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59" w:leftChars="171"/>
        <w:jc w:val="center"/>
        <w:rPr>
          <w:rFonts w:ascii="Times New Roman" w:hAnsi="Times New Roman" w:eastAsia="宋体" w:cs="Times New Roman"/>
          <w:b/>
          <w:bCs/>
          <w:color w:val="auto"/>
          <w:spacing w:val="40"/>
          <w:sz w:val="44"/>
          <w:szCs w:val="44"/>
          <w:highlight w:val="none"/>
        </w:rPr>
      </w:pPr>
    </w:p>
    <w:p>
      <w:pPr>
        <w:pStyle w:val="49"/>
        <w:ind w:firstLine="480"/>
        <w:rPr>
          <w:color w:val="auto"/>
          <w:highlight w:val="none"/>
        </w:rPr>
      </w:pPr>
    </w:p>
    <w:p>
      <w:pPr>
        <w:keepNext w:val="0"/>
        <w:keepLines w:val="0"/>
        <w:pageBreakBefore w:val="0"/>
        <w:widowControl w:val="0"/>
        <w:kinsoku/>
        <w:wordWrap/>
        <w:overflowPunct/>
        <w:topLinePunct w:val="0"/>
        <w:autoSpaceDE/>
        <w:autoSpaceDN/>
        <w:bidi w:val="0"/>
        <w:adjustRightInd/>
        <w:snapToGrid/>
        <w:ind w:left="210" w:leftChars="100" w:right="210" w:rightChars="100"/>
        <w:jc w:val="center"/>
        <w:textAlignment w:val="auto"/>
        <w:rPr>
          <w:rFonts w:hint="eastAsia" w:ascii="宋体" w:hAnsi="宋体" w:eastAsia="宋体" w:cs="宋体"/>
          <w:b/>
          <w:bCs/>
          <w:color w:val="auto"/>
          <w:sz w:val="66"/>
          <w:szCs w:val="66"/>
          <w:highlight w:val="none"/>
          <w:lang w:eastAsia="zh-CN"/>
        </w:rPr>
      </w:pPr>
      <w:r>
        <w:rPr>
          <w:rFonts w:hint="eastAsia" w:ascii="宋体" w:hAnsi="宋体" w:eastAsia="宋体" w:cs="宋体"/>
          <w:b/>
          <w:bCs/>
          <w:color w:val="auto"/>
          <w:sz w:val="66"/>
          <w:szCs w:val="66"/>
          <w:highlight w:val="none"/>
          <w:lang w:eastAsia="zh-CN"/>
        </w:rPr>
        <w:t>传媒大厦中央空调供暖及精密空调改造项目</w:t>
      </w:r>
    </w:p>
    <w:p>
      <w:pPr>
        <w:spacing w:line="360" w:lineRule="auto"/>
        <w:ind w:left="359" w:leftChars="171"/>
        <w:jc w:val="center"/>
        <w:rPr>
          <w:rFonts w:ascii="Times New Roman" w:hAnsi="Times New Roman" w:eastAsia="宋体" w:cs="Times New Roman"/>
          <w:color w:val="auto"/>
          <w:sz w:val="36"/>
          <w:highlight w:val="none"/>
          <w:u w:val="single"/>
        </w:rPr>
      </w:pPr>
    </w:p>
    <w:p>
      <w:pPr>
        <w:spacing w:line="360" w:lineRule="auto"/>
        <w:ind w:left="359" w:leftChars="171"/>
        <w:jc w:val="center"/>
        <w:rPr>
          <w:rFonts w:ascii="Times New Roman" w:hAnsi="Times New Roman" w:eastAsia="宋体" w:cs="Times New Roman"/>
          <w:color w:val="auto"/>
          <w:sz w:val="36"/>
          <w:highlight w:val="none"/>
          <w:u w:val="single"/>
        </w:rPr>
      </w:pPr>
    </w:p>
    <w:p>
      <w:pPr>
        <w:spacing w:line="360" w:lineRule="auto"/>
        <w:ind w:left="359" w:leftChars="171"/>
        <w:jc w:val="center"/>
        <w:rPr>
          <w:rFonts w:ascii="Times New Roman" w:hAnsi="Times New Roman" w:eastAsia="宋体" w:cs="Times New Roman"/>
          <w:color w:val="auto"/>
          <w:sz w:val="36"/>
          <w:highlight w:val="none"/>
          <w:u w:val="single"/>
        </w:rPr>
      </w:pPr>
    </w:p>
    <w:p>
      <w:pPr>
        <w:spacing w:line="360" w:lineRule="auto"/>
        <w:ind w:left="359" w:leftChars="171"/>
        <w:jc w:val="center"/>
        <w:rPr>
          <w:rFonts w:ascii="Times New Roman" w:hAnsi="Times New Roman" w:eastAsia="宋体" w:cs="Times New Roman"/>
          <w:color w:val="auto"/>
          <w:sz w:val="36"/>
          <w:highlight w:val="none"/>
          <w:u w:val="single"/>
        </w:rPr>
      </w:pPr>
    </w:p>
    <w:p>
      <w:pPr>
        <w:spacing w:line="360" w:lineRule="auto"/>
        <w:jc w:val="center"/>
        <w:rPr>
          <w:rFonts w:ascii="Times New Roman" w:hAnsi="Times New Roman" w:eastAsia="宋体" w:cs="Times New Roman"/>
          <w:color w:val="auto"/>
          <w:sz w:val="36"/>
          <w:highlight w:val="none"/>
          <w:u w:val="singl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楷体_GB2312" w:cs="Times New Roman"/>
          <w:b/>
          <w:bCs/>
          <w:color w:val="auto"/>
          <w:spacing w:val="26"/>
          <w:sz w:val="110"/>
          <w:szCs w:val="110"/>
          <w:highlight w:val="none"/>
        </w:rPr>
      </w:pPr>
      <w:r>
        <w:rPr>
          <w:rFonts w:ascii="Times New Roman" w:hAnsi="Times New Roman" w:eastAsia="楷体_GB2312" w:cs="Times New Roman"/>
          <w:b/>
          <w:bCs/>
          <w:color w:val="auto"/>
          <w:spacing w:val="26"/>
          <w:sz w:val="110"/>
          <w:szCs w:val="110"/>
          <w:highlight w:val="none"/>
        </w:rPr>
        <w:t>招标文件</w:t>
      </w:r>
    </w:p>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highlight w:val="none"/>
        </w:rPr>
      </w:pPr>
      <w:r>
        <w:rPr>
          <w:rFonts w:hint="eastAsia"/>
          <w:sz w:val="44"/>
          <w:szCs w:val="44"/>
          <w:highlight w:val="none"/>
          <w:lang w:eastAsia="zh-CN"/>
        </w:rPr>
        <w:t>（</w:t>
      </w:r>
      <w:r>
        <w:rPr>
          <w:rFonts w:hint="eastAsia"/>
          <w:sz w:val="44"/>
          <w:szCs w:val="44"/>
          <w:highlight w:val="none"/>
          <w:lang w:val="en-US" w:eastAsia="zh-CN"/>
        </w:rPr>
        <w:t>项目编号：1210-2340YDZB6746</w:t>
      </w:r>
      <w:r>
        <w:rPr>
          <w:rFonts w:hint="eastAsia"/>
          <w:sz w:val="44"/>
          <w:szCs w:val="44"/>
          <w:highlight w:val="none"/>
          <w:lang w:eastAsia="zh-CN"/>
        </w:rPr>
        <w:t>）</w:t>
      </w:r>
      <w:bookmarkStart w:id="272" w:name="_GoBack"/>
      <w:bookmarkEnd w:id="272"/>
    </w:p>
    <w:p>
      <w:pPr>
        <w:spacing w:line="360" w:lineRule="auto"/>
        <w:jc w:val="center"/>
        <w:rPr>
          <w:rFonts w:ascii="Times New Roman" w:hAnsi="Times New Roman" w:eastAsia="宋体" w:cs="Times New Roman"/>
          <w:color w:val="auto"/>
          <w:sz w:val="32"/>
          <w:highlight w:val="none"/>
        </w:rPr>
      </w:pPr>
    </w:p>
    <w:p>
      <w:pPr>
        <w:spacing w:line="360" w:lineRule="auto"/>
        <w:ind w:firstLine="2560" w:firstLineChars="800"/>
        <w:rPr>
          <w:rFonts w:ascii="Times New Roman" w:hAnsi="Times New Roman" w:eastAsia="宋体" w:cs="Times New Roman"/>
          <w:color w:val="auto"/>
          <w:sz w:val="32"/>
          <w:highlight w:val="none"/>
        </w:rPr>
      </w:pPr>
    </w:p>
    <w:p>
      <w:pPr>
        <w:spacing w:line="360" w:lineRule="auto"/>
        <w:rPr>
          <w:rFonts w:ascii="Times New Roman" w:hAnsi="Times New Roman" w:eastAsia="宋体" w:cs="Times New Roman"/>
          <w:color w:val="auto"/>
          <w:sz w:val="52"/>
          <w:highlight w:val="none"/>
        </w:rPr>
      </w:pPr>
    </w:p>
    <w:p>
      <w:pPr>
        <w:spacing w:line="360" w:lineRule="auto"/>
        <w:ind w:firstLine="900" w:firstLineChars="300"/>
        <w:rPr>
          <w:rFonts w:hint="eastAsia" w:ascii="Times New Roman" w:hAnsi="Times New Roman" w:eastAsia="宋体" w:cs="Times New Roman"/>
          <w:color w:val="auto"/>
          <w:sz w:val="30"/>
          <w:szCs w:val="30"/>
          <w:highlight w:val="none"/>
          <w:lang w:eastAsia="zh-CN"/>
        </w:rPr>
      </w:pPr>
      <w:r>
        <w:rPr>
          <w:rFonts w:ascii="Times New Roman" w:hAnsi="Times New Roman" w:eastAsia="宋体" w:cs="Times New Roman"/>
          <w:color w:val="auto"/>
          <w:sz w:val="30"/>
          <w:szCs w:val="30"/>
          <w:highlight w:val="none"/>
        </w:rPr>
        <w:t>招  标 单 位：</w:t>
      </w:r>
      <w:r>
        <w:rPr>
          <w:rFonts w:hint="eastAsia" w:ascii="Times New Roman" w:hAnsi="Times New Roman" w:eastAsia="宋体" w:cs="Times New Roman"/>
          <w:color w:val="auto"/>
          <w:sz w:val="30"/>
          <w:szCs w:val="30"/>
          <w:highlight w:val="none"/>
          <w:lang w:eastAsia="zh-CN"/>
        </w:rPr>
        <w:t>广东南方报业传媒集团物业管理有限公司</w:t>
      </w:r>
    </w:p>
    <w:p>
      <w:pPr>
        <w:spacing w:line="360" w:lineRule="auto"/>
        <w:ind w:firstLine="900" w:firstLineChars="300"/>
        <w:rPr>
          <w:rFonts w:ascii="Times New Roman" w:hAnsi="Times New Roman" w:eastAsia="宋体" w:cs="Times New Roman"/>
          <w:color w:val="auto"/>
          <w:sz w:val="30"/>
          <w:szCs w:val="30"/>
          <w:highlight w:val="none"/>
        </w:rPr>
      </w:pPr>
      <w:r>
        <w:rPr>
          <w:rFonts w:ascii="Times New Roman" w:hAnsi="Times New Roman" w:eastAsia="宋体" w:cs="Times New Roman"/>
          <w:color w:val="auto"/>
          <w:sz w:val="30"/>
          <w:szCs w:val="30"/>
          <w:highlight w:val="none"/>
        </w:rPr>
        <w:t>招标代理单位：广东有德招标采购有限公司</w:t>
      </w:r>
    </w:p>
    <w:p>
      <w:pPr>
        <w:spacing w:line="360" w:lineRule="auto"/>
        <w:ind w:firstLine="960" w:firstLineChars="300"/>
        <w:rPr>
          <w:rFonts w:ascii="Times New Roman" w:hAnsi="Times New Roman" w:eastAsia="宋体" w:cs="Times New Roman"/>
          <w:b/>
          <w:bCs/>
          <w:color w:val="auto"/>
          <w:sz w:val="36"/>
          <w:szCs w:val="36"/>
          <w:highlight w:val="none"/>
        </w:rPr>
        <w:sectPr>
          <w:headerReference r:id="rId5" w:type="first"/>
          <w:headerReference r:id="rId3" w:type="default"/>
          <w:headerReference r:id="rId4" w:type="even"/>
          <w:footerReference r:id="rId6" w:type="even"/>
          <w:endnotePr>
            <w:numFmt w:val="decimal"/>
          </w:endnotePr>
          <w:pgSz w:w="11905" w:h="16838"/>
          <w:pgMar w:top="1440" w:right="1800" w:bottom="1440" w:left="1800" w:header="850" w:footer="822" w:gutter="0"/>
          <w:cols w:space="720" w:num="1"/>
          <w:docGrid w:linePitch="318" w:charSpace="0"/>
        </w:sectPr>
      </w:pPr>
      <w:r>
        <w:rPr>
          <w:rFonts w:ascii="Times New Roman" w:hAnsi="Times New Roman" w:eastAsia="宋体" w:cs="Times New Roman"/>
          <w:color w:val="auto"/>
          <w:sz w:val="32"/>
          <w:highlight w:val="none"/>
        </w:rPr>
        <w:t>日      期：</w:t>
      </w:r>
      <w:r>
        <w:rPr>
          <w:rFonts w:hint="eastAsia" w:ascii="宋体" w:hAnsi="宋体" w:eastAsia="宋体" w:cs="宋体"/>
          <w:color w:val="auto"/>
          <w:sz w:val="32"/>
          <w:highlight w:val="none"/>
        </w:rPr>
        <w:t>202</w:t>
      </w:r>
      <w:r>
        <w:rPr>
          <w:rFonts w:hint="eastAsia" w:ascii="宋体" w:hAnsi="宋体" w:eastAsia="宋体" w:cs="宋体"/>
          <w:color w:val="auto"/>
          <w:sz w:val="32"/>
          <w:highlight w:val="none"/>
          <w:lang w:val="en-US" w:eastAsia="zh-CN"/>
        </w:rPr>
        <w:t>3</w:t>
      </w:r>
      <w:r>
        <w:rPr>
          <w:rFonts w:hint="eastAsia" w:ascii="宋体" w:hAnsi="宋体" w:eastAsia="宋体" w:cs="宋体"/>
          <w:color w:val="auto"/>
          <w:sz w:val="32"/>
          <w:highlight w:val="none"/>
        </w:rPr>
        <w:t>年</w:t>
      </w:r>
      <w:r>
        <w:rPr>
          <w:rFonts w:hint="eastAsia" w:ascii="宋体" w:hAnsi="宋体" w:eastAsia="宋体" w:cs="宋体"/>
          <w:color w:val="auto"/>
          <w:sz w:val="32"/>
          <w:highlight w:val="none"/>
          <w:lang w:val="en-US" w:eastAsia="zh-CN"/>
        </w:rPr>
        <w:t>9</w:t>
      </w:r>
      <w:r>
        <w:rPr>
          <w:rFonts w:hint="eastAsia" w:ascii="宋体" w:hAnsi="宋体" w:eastAsia="宋体" w:cs="宋体"/>
          <w:color w:val="auto"/>
          <w:sz w:val="32"/>
          <w:highlight w:val="none"/>
        </w:rPr>
        <w:t>月</w:t>
      </w:r>
    </w:p>
    <w:p>
      <w:pPr>
        <w:jc w:val="center"/>
        <w:rPr>
          <w:rFonts w:ascii="Times New Roman" w:hAnsi="Times New Roman" w:eastAsia="宋体" w:cs="Times New Roman"/>
          <w:b/>
          <w:bCs/>
          <w:color w:val="auto"/>
          <w:sz w:val="36"/>
          <w:szCs w:val="36"/>
          <w:highlight w:val="none"/>
        </w:rPr>
      </w:pPr>
    </w:p>
    <w:p>
      <w:pPr>
        <w:jc w:val="center"/>
        <w:rPr>
          <w:rFonts w:ascii="Times New Roman" w:hAnsi="Times New Roman" w:eastAsia="宋体" w:cs="Times New Roman"/>
          <w:b/>
          <w:bCs/>
          <w:color w:val="auto"/>
          <w:sz w:val="36"/>
          <w:szCs w:val="36"/>
          <w:highlight w:val="none"/>
        </w:rPr>
      </w:pPr>
      <w:r>
        <w:rPr>
          <w:rFonts w:ascii="Times New Roman" w:hAnsi="Times New Roman" w:eastAsia="宋体" w:cs="Times New Roman"/>
          <w:b/>
          <w:bCs/>
          <w:color w:val="auto"/>
          <w:sz w:val="36"/>
          <w:szCs w:val="36"/>
          <w:highlight w:val="none"/>
        </w:rPr>
        <w:t>目 录</w:t>
      </w:r>
    </w:p>
    <w:p>
      <w:pPr>
        <w:pStyle w:val="27"/>
        <w:tabs>
          <w:tab w:val="right" w:leader="dot" w:pos="8305"/>
          <w:tab w:val="clear" w:pos="9060"/>
        </w:tabs>
        <w:rPr>
          <w:b/>
          <w:bCs/>
          <w:color w:val="auto"/>
          <w:highlight w:val="none"/>
        </w:rPr>
      </w:pPr>
      <w:bookmarkStart w:id="0" w:name="_Toc2272545"/>
      <w:r>
        <w:rPr>
          <w:rFonts w:hint="eastAsia" w:asciiTheme="majorEastAsia" w:hAnsiTheme="majorEastAsia" w:eastAsiaTheme="majorEastAsia" w:cstheme="majorEastAsia"/>
          <w:color w:val="auto"/>
          <w:szCs w:val="24"/>
          <w:highlight w:val="none"/>
        </w:rPr>
        <w:fldChar w:fldCharType="begin"/>
      </w:r>
      <w:r>
        <w:rPr>
          <w:rFonts w:hint="eastAsia" w:asciiTheme="majorEastAsia" w:hAnsiTheme="majorEastAsia" w:eastAsiaTheme="majorEastAsia" w:cstheme="majorEastAsia"/>
          <w:color w:val="auto"/>
          <w:szCs w:val="24"/>
          <w:highlight w:val="none"/>
        </w:rPr>
        <w:instrText xml:space="preserve">TOC \o "1-4" \h \u </w:instrText>
      </w:r>
      <w:r>
        <w:rPr>
          <w:rFonts w:hint="eastAsia" w:asciiTheme="majorEastAsia" w:hAnsiTheme="majorEastAsia" w:eastAsiaTheme="majorEastAsia" w:cstheme="majorEastAsia"/>
          <w:color w:val="auto"/>
          <w:szCs w:val="24"/>
          <w:highlight w:val="none"/>
        </w:rPr>
        <w:fldChar w:fldCharType="separate"/>
      </w:r>
      <w:r>
        <w:rPr>
          <w:b/>
          <w:bCs/>
          <w:color w:val="auto"/>
          <w:highlight w:val="none"/>
        </w:rPr>
        <w:fldChar w:fldCharType="begin"/>
      </w:r>
      <w:r>
        <w:rPr>
          <w:b/>
          <w:bCs/>
          <w:color w:val="auto"/>
          <w:highlight w:val="none"/>
        </w:rPr>
        <w:instrText xml:space="preserve"> HYPERLINK \l "_Toc6921" </w:instrText>
      </w:r>
      <w:r>
        <w:rPr>
          <w:b/>
          <w:bCs/>
          <w:color w:val="auto"/>
          <w:highlight w:val="none"/>
        </w:rPr>
        <w:fldChar w:fldCharType="separate"/>
      </w:r>
      <w:r>
        <w:rPr>
          <w:rFonts w:hint="eastAsia" w:cs="宋体"/>
          <w:b/>
          <w:bCs/>
          <w:color w:val="auto"/>
          <w:kern w:val="44"/>
          <w:szCs w:val="28"/>
          <w:highlight w:val="none"/>
        </w:rPr>
        <w:t>第一章 招标公告</w:t>
      </w:r>
      <w:r>
        <w:rPr>
          <w:b/>
          <w:bCs/>
          <w:color w:val="auto"/>
          <w:highlight w:val="none"/>
        </w:rPr>
        <w:tab/>
      </w:r>
      <w:r>
        <w:rPr>
          <w:b/>
          <w:bCs/>
          <w:color w:val="auto"/>
          <w:highlight w:val="none"/>
        </w:rPr>
        <w:fldChar w:fldCharType="begin"/>
      </w:r>
      <w:r>
        <w:rPr>
          <w:b/>
          <w:bCs/>
          <w:color w:val="auto"/>
          <w:highlight w:val="none"/>
        </w:rPr>
        <w:instrText xml:space="preserve"> PAGEREF _Toc6921 \h </w:instrText>
      </w:r>
      <w:r>
        <w:rPr>
          <w:b/>
          <w:bCs/>
          <w:color w:val="auto"/>
          <w:highlight w:val="none"/>
        </w:rPr>
        <w:fldChar w:fldCharType="separate"/>
      </w:r>
      <w:r>
        <w:rPr>
          <w:b/>
          <w:bCs/>
          <w:color w:val="auto"/>
          <w:highlight w:val="none"/>
        </w:rPr>
        <w:t>2</w:t>
      </w:r>
      <w:r>
        <w:rPr>
          <w:b/>
          <w:bCs/>
          <w:color w:val="auto"/>
          <w:highlight w:val="none"/>
        </w:rPr>
        <w:fldChar w:fldCharType="end"/>
      </w:r>
      <w:r>
        <w:rPr>
          <w:b/>
          <w:bCs/>
          <w:color w:val="auto"/>
          <w:highlight w:val="none"/>
        </w:rPr>
        <w:fldChar w:fldCharType="end"/>
      </w:r>
    </w:p>
    <w:p>
      <w:pPr>
        <w:pStyle w:val="27"/>
        <w:tabs>
          <w:tab w:val="right" w:leader="dot" w:pos="8305"/>
          <w:tab w:val="clear" w:pos="9060"/>
        </w:tabs>
        <w:rPr>
          <w:b/>
          <w:bCs/>
          <w:color w:val="auto"/>
          <w:highlight w:val="none"/>
        </w:rPr>
      </w:pPr>
      <w:r>
        <w:rPr>
          <w:b/>
          <w:bCs/>
          <w:color w:val="auto"/>
          <w:highlight w:val="none"/>
        </w:rPr>
        <w:fldChar w:fldCharType="begin"/>
      </w:r>
      <w:r>
        <w:rPr>
          <w:b/>
          <w:bCs/>
          <w:color w:val="auto"/>
          <w:highlight w:val="none"/>
        </w:rPr>
        <w:instrText xml:space="preserve"> HYPERLINK \l "_Toc11324" </w:instrText>
      </w:r>
      <w:r>
        <w:rPr>
          <w:b/>
          <w:bCs/>
          <w:color w:val="auto"/>
          <w:highlight w:val="none"/>
        </w:rPr>
        <w:fldChar w:fldCharType="separate"/>
      </w:r>
      <w:r>
        <w:rPr>
          <w:rFonts w:ascii="Times New Roman" w:hAnsi="Times New Roman"/>
          <w:b/>
          <w:bCs/>
          <w:color w:val="auto"/>
          <w:kern w:val="44"/>
          <w:szCs w:val="28"/>
          <w:highlight w:val="none"/>
        </w:rPr>
        <w:t>第二章 投标须知</w:t>
      </w:r>
      <w:r>
        <w:rPr>
          <w:b/>
          <w:bCs/>
          <w:color w:val="auto"/>
          <w:highlight w:val="none"/>
        </w:rPr>
        <w:tab/>
      </w:r>
      <w:r>
        <w:rPr>
          <w:b/>
          <w:bCs/>
          <w:color w:val="auto"/>
          <w:highlight w:val="none"/>
        </w:rPr>
        <w:fldChar w:fldCharType="begin"/>
      </w:r>
      <w:r>
        <w:rPr>
          <w:b/>
          <w:bCs/>
          <w:color w:val="auto"/>
          <w:highlight w:val="none"/>
        </w:rPr>
        <w:instrText xml:space="preserve"> PAGEREF _Toc11324 \h </w:instrText>
      </w:r>
      <w:r>
        <w:rPr>
          <w:b/>
          <w:bCs/>
          <w:color w:val="auto"/>
          <w:highlight w:val="none"/>
        </w:rPr>
        <w:fldChar w:fldCharType="separate"/>
      </w:r>
      <w:r>
        <w:rPr>
          <w:b/>
          <w:bCs/>
          <w:color w:val="auto"/>
          <w:highlight w:val="none"/>
        </w:rPr>
        <w:t>6</w:t>
      </w:r>
      <w:r>
        <w:rPr>
          <w:b/>
          <w:bCs/>
          <w:color w:val="auto"/>
          <w:highlight w:val="none"/>
        </w:rPr>
        <w:fldChar w:fldCharType="end"/>
      </w:r>
      <w:r>
        <w:rPr>
          <w:b/>
          <w:bCs/>
          <w:color w:val="auto"/>
          <w:highlight w:val="none"/>
        </w:rPr>
        <w:fldChar w:fldCharType="end"/>
      </w:r>
    </w:p>
    <w:p>
      <w:pPr>
        <w:pStyle w:val="33"/>
        <w:tabs>
          <w:tab w:val="right" w:leader="dot" w:pos="8305"/>
          <w:tab w:val="clear" w:pos="9060"/>
        </w:tabs>
        <w:rPr>
          <w:color w:val="auto"/>
          <w:highlight w:val="none"/>
        </w:rPr>
      </w:pPr>
      <w:r>
        <w:rPr>
          <w:color w:val="auto"/>
          <w:highlight w:val="none"/>
        </w:rPr>
        <w:fldChar w:fldCharType="begin"/>
      </w:r>
      <w:r>
        <w:rPr>
          <w:color w:val="auto"/>
          <w:highlight w:val="none"/>
        </w:rPr>
        <w:instrText xml:space="preserve"> HYPERLINK \l "_Toc25242" </w:instrText>
      </w:r>
      <w:r>
        <w:rPr>
          <w:color w:val="auto"/>
          <w:highlight w:val="none"/>
        </w:rPr>
        <w:fldChar w:fldCharType="separate"/>
      </w:r>
      <w:r>
        <w:rPr>
          <w:color w:val="auto"/>
          <w:highlight w:val="none"/>
        </w:rPr>
        <w:t>一、投标须知前附表</w:t>
      </w:r>
      <w:r>
        <w:rPr>
          <w:color w:val="auto"/>
          <w:highlight w:val="none"/>
        </w:rPr>
        <w:tab/>
      </w:r>
      <w:r>
        <w:rPr>
          <w:color w:val="auto"/>
          <w:highlight w:val="none"/>
        </w:rPr>
        <w:fldChar w:fldCharType="begin"/>
      </w:r>
      <w:r>
        <w:rPr>
          <w:color w:val="auto"/>
          <w:highlight w:val="none"/>
        </w:rPr>
        <w:instrText xml:space="preserve"> PAGEREF _Toc25242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3"/>
        <w:tabs>
          <w:tab w:val="right" w:leader="dot" w:pos="8305"/>
          <w:tab w:val="clear" w:pos="9060"/>
        </w:tabs>
        <w:rPr>
          <w:color w:val="auto"/>
          <w:highlight w:val="none"/>
        </w:rPr>
      </w:pPr>
      <w:r>
        <w:rPr>
          <w:color w:val="auto"/>
          <w:highlight w:val="none"/>
        </w:rPr>
        <w:fldChar w:fldCharType="begin"/>
      </w:r>
      <w:r>
        <w:rPr>
          <w:color w:val="auto"/>
          <w:highlight w:val="none"/>
        </w:rPr>
        <w:instrText xml:space="preserve"> HYPERLINK \l "_Toc10897" </w:instrText>
      </w:r>
      <w:r>
        <w:rPr>
          <w:color w:val="auto"/>
          <w:highlight w:val="none"/>
        </w:rPr>
        <w:fldChar w:fldCharType="separate"/>
      </w:r>
      <w:r>
        <w:rPr>
          <w:color w:val="auto"/>
          <w:highlight w:val="none"/>
        </w:rPr>
        <w:t>二、投标须知条款</w:t>
      </w:r>
      <w:r>
        <w:rPr>
          <w:color w:val="auto"/>
          <w:highlight w:val="none"/>
        </w:rPr>
        <w:tab/>
      </w:r>
      <w:r>
        <w:rPr>
          <w:color w:val="auto"/>
          <w:highlight w:val="none"/>
        </w:rPr>
        <w:fldChar w:fldCharType="begin"/>
      </w:r>
      <w:r>
        <w:rPr>
          <w:color w:val="auto"/>
          <w:highlight w:val="none"/>
        </w:rPr>
        <w:instrText xml:space="preserve"> PAGEREF _Toc10897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"_Toc22189" </w:instrText>
      </w:r>
      <w:r>
        <w:rPr>
          <w:color w:val="auto"/>
          <w:highlight w:val="none"/>
        </w:rPr>
        <w:fldChar w:fldCharType="separate"/>
      </w:r>
      <w:r>
        <w:rPr>
          <w:bCs/>
          <w:color w:val="auto"/>
          <w:kern w:val="0"/>
          <w:szCs w:val="27"/>
          <w:highlight w:val="none"/>
        </w:rPr>
        <w:t>（一）总则</w:t>
      </w:r>
      <w:r>
        <w:rPr>
          <w:color w:val="auto"/>
          <w:highlight w:val="none"/>
        </w:rPr>
        <w:tab/>
      </w:r>
      <w:r>
        <w:rPr>
          <w:color w:val="auto"/>
          <w:highlight w:val="none"/>
        </w:rPr>
        <w:fldChar w:fldCharType="begin"/>
      </w:r>
      <w:r>
        <w:rPr>
          <w:color w:val="auto"/>
          <w:highlight w:val="none"/>
        </w:rPr>
        <w:instrText xml:space="preserve"> PAGEREF _Toc22189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"_Toc14020" </w:instrText>
      </w:r>
      <w:r>
        <w:rPr>
          <w:color w:val="auto"/>
          <w:highlight w:val="none"/>
        </w:rPr>
        <w:fldChar w:fldCharType="separate"/>
      </w:r>
      <w:r>
        <w:rPr>
          <w:bCs/>
          <w:color w:val="auto"/>
          <w:kern w:val="0"/>
          <w:szCs w:val="27"/>
          <w:highlight w:val="none"/>
        </w:rPr>
        <w:t>（二）招标文件</w:t>
      </w:r>
      <w:r>
        <w:rPr>
          <w:color w:val="auto"/>
          <w:highlight w:val="none"/>
        </w:rPr>
        <w:tab/>
      </w:r>
      <w:r>
        <w:rPr>
          <w:color w:val="auto"/>
          <w:highlight w:val="none"/>
        </w:rPr>
        <w:fldChar w:fldCharType="begin"/>
      </w:r>
      <w:r>
        <w:rPr>
          <w:color w:val="auto"/>
          <w:highlight w:val="none"/>
        </w:rPr>
        <w:instrText xml:space="preserve"> PAGEREF _Toc14020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"_Toc22508" </w:instrText>
      </w:r>
      <w:r>
        <w:rPr>
          <w:color w:val="auto"/>
          <w:highlight w:val="none"/>
        </w:rPr>
        <w:fldChar w:fldCharType="separate"/>
      </w:r>
      <w:r>
        <w:rPr>
          <w:bCs/>
          <w:color w:val="auto"/>
          <w:kern w:val="0"/>
          <w:szCs w:val="27"/>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_Toc22508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"_Toc9246" </w:instrText>
      </w:r>
      <w:r>
        <w:rPr>
          <w:color w:val="auto"/>
          <w:highlight w:val="none"/>
        </w:rPr>
        <w:fldChar w:fldCharType="separate"/>
      </w:r>
      <w:r>
        <w:rPr>
          <w:bCs/>
          <w:color w:val="auto"/>
          <w:kern w:val="0"/>
          <w:szCs w:val="27"/>
          <w:highlight w:val="none"/>
        </w:rPr>
        <w:t>（四）投标文件的提交</w:t>
      </w:r>
      <w:r>
        <w:rPr>
          <w:color w:val="auto"/>
          <w:highlight w:val="none"/>
        </w:rPr>
        <w:tab/>
      </w:r>
      <w:r>
        <w:rPr>
          <w:color w:val="auto"/>
          <w:highlight w:val="none"/>
        </w:rPr>
        <w:fldChar w:fldCharType="begin"/>
      </w:r>
      <w:r>
        <w:rPr>
          <w:color w:val="auto"/>
          <w:highlight w:val="none"/>
        </w:rPr>
        <w:instrText xml:space="preserve"> PAGEREF _Toc9246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"_Toc5302" </w:instrText>
      </w:r>
      <w:r>
        <w:rPr>
          <w:color w:val="auto"/>
          <w:highlight w:val="none"/>
        </w:rPr>
        <w:fldChar w:fldCharType="separate"/>
      </w:r>
      <w:r>
        <w:rPr>
          <w:bCs/>
          <w:color w:val="auto"/>
          <w:kern w:val="0"/>
          <w:szCs w:val="27"/>
          <w:highlight w:val="none"/>
        </w:rPr>
        <w:t>（五）开标、评标、定标及合同签定</w:t>
      </w:r>
      <w:r>
        <w:rPr>
          <w:color w:val="auto"/>
          <w:highlight w:val="none"/>
        </w:rPr>
        <w:tab/>
      </w:r>
      <w:r>
        <w:rPr>
          <w:color w:val="auto"/>
          <w:highlight w:val="none"/>
        </w:rPr>
        <w:fldChar w:fldCharType="begin"/>
      </w:r>
      <w:r>
        <w:rPr>
          <w:color w:val="auto"/>
          <w:highlight w:val="none"/>
        </w:rPr>
        <w:instrText xml:space="preserve"> PAGEREF _Toc5302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7"/>
        <w:tabs>
          <w:tab w:val="right" w:leader="dot" w:pos="8305"/>
          <w:tab w:val="clear" w:pos="9060"/>
        </w:tabs>
        <w:rPr>
          <w:b/>
          <w:bCs/>
          <w:color w:val="auto"/>
          <w:highlight w:val="none"/>
        </w:rPr>
      </w:pPr>
      <w:r>
        <w:rPr>
          <w:b/>
          <w:bCs/>
          <w:color w:val="auto"/>
          <w:highlight w:val="none"/>
        </w:rPr>
        <w:fldChar w:fldCharType="begin"/>
      </w:r>
      <w:r>
        <w:rPr>
          <w:b/>
          <w:bCs/>
          <w:color w:val="auto"/>
          <w:highlight w:val="none"/>
        </w:rPr>
        <w:instrText xml:space="preserve"> HYPERLINK \l "_Toc22227" </w:instrText>
      </w:r>
      <w:r>
        <w:rPr>
          <w:b/>
          <w:bCs/>
          <w:color w:val="auto"/>
          <w:highlight w:val="none"/>
        </w:rPr>
        <w:fldChar w:fldCharType="separate"/>
      </w:r>
      <w:r>
        <w:rPr>
          <w:rFonts w:ascii="Times New Roman" w:hAnsi="Times New Roman"/>
          <w:b/>
          <w:bCs/>
          <w:color w:val="auto"/>
          <w:kern w:val="44"/>
          <w:szCs w:val="28"/>
          <w:highlight w:val="none"/>
        </w:rPr>
        <w:t>第三章 开标、评标及定标办法条款</w:t>
      </w:r>
      <w:r>
        <w:rPr>
          <w:b/>
          <w:bCs/>
          <w:color w:val="auto"/>
          <w:highlight w:val="none"/>
        </w:rPr>
        <w:tab/>
      </w:r>
      <w:r>
        <w:rPr>
          <w:b/>
          <w:bCs/>
          <w:color w:val="auto"/>
          <w:highlight w:val="none"/>
        </w:rPr>
        <w:fldChar w:fldCharType="begin"/>
      </w:r>
      <w:r>
        <w:rPr>
          <w:b/>
          <w:bCs/>
          <w:color w:val="auto"/>
          <w:highlight w:val="none"/>
        </w:rPr>
        <w:instrText xml:space="preserve"> PAGEREF _Toc22227 \h </w:instrText>
      </w:r>
      <w:r>
        <w:rPr>
          <w:b/>
          <w:bCs/>
          <w:color w:val="auto"/>
          <w:highlight w:val="none"/>
        </w:rPr>
        <w:fldChar w:fldCharType="separate"/>
      </w:r>
      <w:r>
        <w:rPr>
          <w:b/>
          <w:bCs/>
          <w:color w:val="auto"/>
          <w:highlight w:val="none"/>
        </w:rPr>
        <w:t>20</w:t>
      </w:r>
      <w:r>
        <w:rPr>
          <w:b/>
          <w:bCs/>
          <w:color w:val="auto"/>
          <w:highlight w:val="none"/>
        </w:rPr>
        <w:fldChar w:fldCharType="end"/>
      </w:r>
      <w:r>
        <w:rPr>
          <w:b/>
          <w:bCs/>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"_Toc23165" </w:instrText>
      </w:r>
      <w:r>
        <w:rPr>
          <w:color w:val="auto"/>
          <w:highlight w:val="none"/>
        </w:rPr>
        <w:fldChar w:fldCharType="separate"/>
      </w:r>
      <w:r>
        <w:rPr>
          <w:bCs/>
          <w:color w:val="auto"/>
          <w:kern w:val="0"/>
          <w:szCs w:val="27"/>
          <w:highlight w:val="none"/>
        </w:rPr>
        <w:t>（一）总则</w:t>
      </w:r>
      <w:r>
        <w:rPr>
          <w:color w:val="auto"/>
          <w:highlight w:val="none"/>
        </w:rPr>
        <w:tab/>
      </w:r>
      <w:r>
        <w:rPr>
          <w:color w:val="auto"/>
          <w:highlight w:val="none"/>
        </w:rPr>
        <w:fldChar w:fldCharType="begin"/>
      </w:r>
      <w:r>
        <w:rPr>
          <w:color w:val="auto"/>
          <w:highlight w:val="none"/>
        </w:rPr>
        <w:instrText xml:space="preserve"> PAGEREF _Toc23165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"_Toc8304" </w:instrText>
      </w:r>
      <w:r>
        <w:rPr>
          <w:color w:val="auto"/>
          <w:highlight w:val="none"/>
        </w:rPr>
        <w:fldChar w:fldCharType="separate"/>
      </w:r>
      <w:r>
        <w:rPr>
          <w:bCs/>
          <w:color w:val="auto"/>
          <w:kern w:val="0"/>
          <w:szCs w:val="27"/>
          <w:highlight w:val="none"/>
        </w:rPr>
        <w:t>（二）开标评标办法程序和细则</w:t>
      </w:r>
      <w:r>
        <w:rPr>
          <w:color w:val="auto"/>
          <w:highlight w:val="none"/>
        </w:rPr>
        <w:tab/>
      </w:r>
      <w:r>
        <w:rPr>
          <w:color w:val="auto"/>
          <w:highlight w:val="none"/>
        </w:rPr>
        <w:fldChar w:fldCharType="begin"/>
      </w:r>
      <w:r>
        <w:rPr>
          <w:color w:val="auto"/>
          <w:highlight w:val="none"/>
        </w:rPr>
        <w:instrText xml:space="preserve"> PAGEREF _Toc8304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"_Toc3822" </w:instrText>
      </w:r>
      <w:r>
        <w:rPr>
          <w:color w:val="auto"/>
          <w:highlight w:val="none"/>
        </w:rPr>
        <w:fldChar w:fldCharType="separate"/>
      </w:r>
      <w:r>
        <w:rPr>
          <w:bCs/>
          <w:color w:val="auto"/>
          <w:kern w:val="0"/>
          <w:szCs w:val="24"/>
          <w:highlight w:val="none"/>
        </w:rPr>
        <w:t>（三）附表</w:t>
      </w:r>
      <w:r>
        <w:rPr>
          <w:color w:val="auto"/>
          <w:highlight w:val="none"/>
        </w:rPr>
        <w:tab/>
      </w:r>
      <w:r>
        <w:rPr>
          <w:color w:val="auto"/>
          <w:highlight w:val="none"/>
        </w:rPr>
        <w:fldChar w:fldCharType="begin"/>
      </w:r>
      <w:r>
        <w:rPr>
          <w:color w:val="auto"/>
          <w:highlight w:val="none"/>
        </w:rPr>
        <w:instrText xml:space="preserve"> PAGEREF _Toc3822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7"/>
        <w:tabs>
          <w:tab w:val="right" w:leader="dot" w:pos="8305"/>
          <w:tab w:val="clear" w:pos="9060"/>
        </w:tabs>
        <w:rPr>
          <w:b/>
          <w:bCs/>
          <w:color w:val="auto"/>
          <w:highlight w:val="none"/>
        </w:rPr>
      </w:pPr>
      <w:r>
        <w:rPr>
          <w:b/>
          <w:bCs/>
          <w:color w:val="auto"/>
          <w:highlight w:val="none"/>
        </w:rPr>
        <w:fldChar w:fldCharType="begin"/>
      </w:r>
      <w:r>
        <w:rPr>
          <w:b/>
          <w:bCs/>
          <w:color w:val="auto"/>
          <w:highlight w:val="none"/>
        </w:rPr>
        <w:instrText xml:space="preserve"> HYPERLINK \l "_Toc27575" </w:instrText>
      </w:r>
      <w:r>
        <w:rPr>
          <w:b/>
          <w:bCs/>
          <w:color w:val="auto"/>
          <w:highlight w:val="none"/>
        </w:rPr>
        <w:fldChar w:fldCharType="separate"/>
      </w:r>
      <w:r>
        <w:rPr>
          <w:rFonts w:ascii="Times New Roman" w:hAnsi="Times New Roman"/>
          <w:b/>
          <w:bCs/>
          <w:color w:val="auto"/>
          <w:kern w:val="44"/>
          <w:szCs w:val="28"/>
          <w:highlight w:val="none"/>
        </w:rPr>
        <w:t>第四章 合同条款</w:t>
      </w:r>
      <w:r>
        <w:rPr>
          <w:b/>
          <w:bCs/>
          <w:color w:val="auto"/>
          <w:highlight w:val="none"/>
        </w:rPr>
        <w:tab/>
      </w:r>
      <w:r>
        <w:rPr>
          <w:b/>
          <w:bCs/>
          <w:color w:val="auto"/>
          <w:highlight w:val="none"/>
        </w:rPr>
        <w:fldChar w:fldCharType="begin"/>
      </w:r>
      <w:r>
        <w:rPr>
          <w:b/>
          <w:bCs/>
          <w:color w:val="auto"/>
          <w:highlight w:val="none"/>
        </w:rPr>
        <w:instrText xml:space="preserve"> PAGEREF _Toc27575 \h </w:instrText>
      </w:r>
      <w:r>
        <w:rPr>
          <w:b/>
          <w:bCs/>
          <w:color w:val="auto"/>
          <w:highlight w:val="none"/>
        </w:rPr>
        <w:fldChar w:fldCharType="separate"/>
      </w:r>
      <w:r>
        <w:rPr>
          <w:b/>
          <w:bCs/>
          <w:color w:val="auto"/>
          <w:highlight w:val="none"/>
        </w:rPr>
        <w:t>34</w:t>
      </w:r>
      <w:r>
        <w:rPr>
          <w:b/>
          <w:bCs/>
          <w:color w:val="auto"/>
          <w:highlight w:val="none"/>
        </w:rPr>
        <w:fldChar w:fldCharType="end"/>
      </w:r>
      <w:r>
        <w:rPr>
          <w:b/>
          <w:bCs/>
          <w:color w:val="auto"/>
          <w:highlight w:val="none"/>
        </w:rPr>
        <w:fldChar w:fldCharType="end"/>
      </w:r>
    </w:p>
    <w:p>
      <w:pPr>
        <w:pStyle w:val="27"/>
        <w:tabs>
          <w:tab w:val="right" w:leader="dot" w:pos="8305"/>
          <w:tab w:val="clear" w:pos="9060"/>
        </w:tabs>
        <w:rPr>
          <w:b/>
          <w:bCs/>
          <w:color w:val="auto"/>
          <w:highlight w:val="none"/>
        </w:rPr>
      </w:pPr>
      <w:r>
        <w:rPr>
          <w:b/>
          <w:bCs/>
          <w:color w:val="auto"/>
          <w:highlight w:val="none"/>
        </w:rPr>
        <w:fldChar w:fldCharType="begin"/>
      </w:r>
      <w:r>
        <w:rPr>
          <w:b/>
          <w:bCs/>
          <w:color w:val="auto"/>
          <w:highlight w:val="none"/>
        </w:rPr>
        <w:instrText xml:space="preserve"> HYPERLINK \l "_Toc27181" </w:instrText>
      </w:r>
      <w:r>
        <w:rPr>
          <w:b/>
          <w:bCs/>
          <w:color w:val="auto"/>
          <w:highlight w:val="none"/>
        </w:rPr>
        <w:fldChar w:fldCharType="separate"/>
      </w:r>
      <w:r>
        <w:rPr>
          <w:rFonts w:ascii="Times New Roman" w:hAnsi="Times New Roman"/>
          <w:b/>
          <w:bCs/>
          <w:color w:val="auto"/>
          <w:kern w:val="44"/>
          <w:szCs w:val="28"/>
          <w:highlight w:val="none"/>
        </w:rPr>
        <w:t>第五章 用户需求书</w:t>
      </w:r>
      <w:r>
        <w:rPr>
          <w:b/>
          <w:bCs/>
          <w:color w:val="auto"/>
          <w:highlight w:val="none"/>
        </w:rPr>
        <w:tab/>
      </w:r>
      <w:r>
        <w:rPr>
          <w:b/>
          <w:bCs/>
          <w:color w:val="auto"/>
          <w:highlight w:val="none"/>
        </w:rPr>
        <w:fldChar w:fldCharType="begin"/>
      </w:r>
      <w:r>
        <w:rPr>
          <w:b/>
          <w:bCs/>
          <w:color w:val="auto"/>
          <w:highlight w:val="none"/>
        </w:rPr>
        <w:instrText xml:space="preserve"> PAGEREF _Toc27181 \h </w:instrText>
      </w:r>
      <w:r>
        <w:rPr>
          <w:b/>
          <w:bCs/>
          <w:color w:val="auto"/>
          <w:highlight w:val="none"/>
        </w:rPr>
        <w:fldChar w:fldCharType="separate"/>
      </w:r>
      <w:r>
        <w:rPr>
          <w:b/>
          <w:bCs/>
          <w:color w:val="auto"/>
          <w:highlight w:val="none"/>
        </w:rPr>
        <w:t>43</w:t>
      </w:r>
      <w:r>
        <w:rPr>
          <w:b/>
          <w:bCs/>
          <w:color w:val="auto"/>
          <w:highlight w:val="none"/>
        </w:rPr>
        <w:fldChar w:fldCharType="end"/>
      </w:r>
      <w:r>
        <w:rPr>
          <w:b/>
          <w:bCs/>
          <w:color w:val="auto"/>
          <w:highlight w:val="none"/>
        </w:rPr>
        <w:fldChar w:fldCharType="end"/>
      </w:r>
    </w:p>
    <w:p>
      <w:pPr>
        <w:pStyle w:val="27"/>
        <w:tabs>
          <w:tab w:val="right" w:leader="dot" w:pos="8305"/>
          <w:tab w:val="clear" w:pos="9060"/>
        </w:tabs>
        <w:rPr>
          <w:b/>
          <w:bCs/>
          <w:color w:val="auto"/>
          <w:highlight w:val="none"/>
        </w:rPr>
      </w:pPr>
      <w:r>
        <w:rPr>
          <w:b/>
          <w:bCs/>
          <w:color w:val="auto"/>
          <w:highlight w:val="none"/>
        </w:rPr>
        <w:fldChar w:fldCharType="begin"/>
      </w:r>
      <w:r>
        <w:rPr>
          <w:b/>
          <w:bCs/>
          <w:color w:val="auto"/>
          <w:highlight w:val="none"/>
        </w:rPr>
        <w:instrText xml:space="preserve"> HYPERLINK \l "_Toc2129" </w:instrText>
      </w:r>
      <w:r>
        <w:rPr>
          <w:b/>
          <w:bCs/>
          <w:color w:val="auto"/>
          <w:highlight w:val="none"/>
        </w:rPr>
        <w:fldChar w:fldCharType="separate"/>
      </w:r>
      <w:r>
        <w:rPr>
          <w:rFonts w:ascii="Times New Roman" w:hAnsi="Times New Roman"/>
          <w:b/>
          <w:bCs/>
          <w:color w:val="auto"/>
          <w:kern w:val="44"/>
          <w:szCs w:val="28"/>
          <w:highlight w:val="none"/>
        </w:rPr>
        <w:t>第</w:t>
      </w:r>
      <w:r>
        <w:rPr>
          <w:rFonts w:hint="eastAsia" w:ascii="Times New Roman" w:hAnsi="Times New Roman"/>
          <w:b/>
          <w:bCs/>
          <w:color w:val="auto"/>
          <w:kern w:val="44"/>
          <w:szCs w:val="28"/>
          <w:highlight w:val="none"/>
          <w:lang w:eastAsia="zh-CN"/>
        </w:rPr>
        <w:t>六</w:t>
      </w:r>
      <w:r>
        <w:rPr>
          <w:rFonts w:ascii="Times New Roman" w:hAnsi="Times New Roman"/>
          <w:b/>
          <w:bCs/>
          <w:color w:val="auto"/>
          <w:kern w:val="44"/>
          <w:szCs w:val="28"/>
          <w:highlight w:val="none"/>
        </w:rPr>
        <w:t>章 投标文件格式</w:t>
      </w:r>
      <w:r>
        <w:rPr>
          <w:b/>
          <w:bCs/>
          <w:color w:val="auto"/>
          <w:highlight w:val="none"/>
        </w:rPr>
        <w:tab/>
      </w:r>
      <w:r>
        <w:rPr>
          <w:b/>
          <w:bCs/>
          <w:color w:val="auto"/>
          <w:highlight w:val="none"/>
        </w:rPr>
        <w:fldChar w:fldCharType="begin"/>
      </w:r>
      <w:r>
        <w:rPr>
          <w:b/>
          <w:bCs/>
          <w:color w:val="auto"/>
          <w:highlight w:val="none"/>
        </w:rPr>
        <w:instrText xml:space="preserve"> PAGEREF _Toc2129 \h </w:instrText>
      </w:r>
      <w:r>
        <w:rPr>
          <w:b/>
          <w:bCs/>
          <w:color w:val="auto"/>
          <w:highlight w:val="none"/>
        </w:rPr>
        <w:fldChar w:fldCharType="separate"/>
      </w:r>
      <w:r>
        <w:rPr>
          <w:b/>
          <w:bCs/>
          <w:color w:val="auto"/>
          <w:highlight w:val="none"/>
        </w:rPr>
        <w:t>48</w:t>
      </w:r>
      <w:r>
        <w:rPr>
          <w:b/>
          <w:bCs/>
          <w:color w:val="auto"/>
          <w:highlight w:val="none"/>
        </w:rPr>
        <w:fldChar w:fldCharType="end"/>
      </w:r>
      <w:r>
        <w:rPr>
          <w:b/>
          <w:bCs/>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"_Toc32615" </w:instrText>
      </w:r>
      <w:r>
        <w:rPr>
          <w:color w:val="auto"/>
          <w:highlight w:val="none"/>
        </w:rPr>
        <w:fldChar w:fldCharType="separate"/>
      </w:r>
      <w:r>
        <w:rPr>
          <w:rFonts w:hint="eastAsia"/>
          <w:bCs/>
          <w:color w:val="auto"/>
          <w:kern w:val="0"/>
          <w:szCs w:val="24"/>
          <w:highlight w:val="none"/>
        </w:rPr>
        <w:t xml:space="preserve">（一） </w:t>
      </w:r>
      <w:r>
        <w:rPr>
          <w:bCs/>
          <w:color w:val="auto"/>
          <w:kern w:val="0"/>
          <w:szCs w:val="24"/>
          <w:highlight w:val="none"/>
        </w:rPr>
        <w:t>自查表</w:t>
      </w:r>
      <w:r>
        <w:rPr>
          <w:color w:val="auto"/>
          <w:highlight w:val="none"/>
        </w:rPr>
        <w:tab/>
      </w:r>
      <w:r>
        <w:rPr>
          <w:color w:val="auto"/>
          <w:highlight w:val="none"/>
        </w:rPr>
        <w:fldChar w:fldCharType="begin"/>
      </w:r>
      <w:r>
        <w:rPr>
          <w:color w:val="auto"/>
          <w:highlight w:val="none"/>
        </w:rPr>
        <w:instrText xml:space="preserve"> PAGEREF _Toc32615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"_Toc13002" </w:instrText>
      </w:r>
      <w:r>
        <w:rPr>
          <w:color w:val="auto"/>
          <w:highlight w:val="none"/>
        </w:rPr>
        <w:fldChar w:fldCharType="separate"/>
      </w:r>
      <w:r>
        <w:rPr>
          <w:rFonts w:hint="eastAsia"/>
          <w:bCs/>
          <w:color w:val="auto"/>
          <w:kern w:val="0"/>
          <w:szCs w:val="24"/>
          <w:highlight w:val="none"/>
        </w:rPr>
        <w:t xml:space="preserve">（二） </w:t>
      </w:r>
      <w:r>
        <w:rPr>
          <w:bCs/>
          <w:color w:val="auto"/>
          <w:kern w:val="0"/>
          <w:szCs w:val="24"/>
          <w:highlight w:val="none"/>
        </w:rPr>
        <w:t>资格文件</w:t>
      </w:r>
      <w:r>
        <w:rPr>
          <w:color w:val="auto"/>
          <w:highlight w:val="none"/>
        </w:rPr>
        <w:tab/>
      </w:r>
      <w:r>
        <w:rPr>
          <w:color w:val="auto"/>
          <w:highlight w:val="none"/>
        </w:rPr>
        <w:fldChar w:fldCharType="begin"/>
      </w:r>
      <w:r>
        <w:rPr>
          <w:color w:val="auto"/>
          <w:highlight w:val="none"/>
        </w:rPr>
        <w:instrText xml:space="preserve"> PAGEREF _Toc13002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"_Toc31026" </w:instrText>
      </w:r>
      <w:r>
        <w:rPr>
          <w:color w:val="auto"/>
          <w:highlight w:val="none"/>
        </w:rPr>
        <w:fldChar w:fldCharType="separate"/>
      </w:r>
      <w:r>
        <w:rPr>
          <w:rFonts w:hint="eastAsia"/>
          <w:bCs/>
          <w:color w:val="auto"/>
          <w:kern w:val="0"/>
          <w:szCs w:val="24"/>
          <w:highlight w:val="none"/>
        </w:rPr>
        <w:t xml:space="preserve">（三） </w:t>
      </w:r>
      <w:r>
        <w:rPr>
          <w:bCs/>
          <w:color w:val="auto"/>
          <w:kern w:val="0"/>
          <w:szCs w:val="24"/>
          <w:highlight w:val="none"/>
        </w:rPr>
        <w:t>技术标文件</w:t>
      </w:r>
      <w:r>
        <w:rPr>
          <w:color w:val="auto"/>
          <w:highlight w:val="none"/>
        </w:rPr>
        <w:tab/>
      </w:r>
      <w:r>
        <w:rPr>
          <w:color w:val="auto"/>
          <w:highlight w:val="none"/>
        </w:rPr>
        <w:fldChar w:fldCharType="begin"/>
      </w:r>
      <w:r>
        <w:rPr>
          <w:color w:val="auto"/>
          <w:highlight w:val="none"/>
        </w:rPr>
        <w:instrText xml:space="preserve"> PAGEREF _Toc31026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20"/>
        <w:tabs>
          <w:tab w:val="right" w:leader="dot" w:pos="8305"/>
        </w:tabs>
        <w:ind w:left="840"/>
        <w:rPr>
          <w:color w:val="auto"/>
          <w:highlight w:val="none"/>
        </w:rPr>
      </w:pPr>
      <w:r>
        <w:rPr>
          <w:color w:val="auto"/>
          <w:highlight w:val="none"/>
        </w:rPr>
        <w:fldChar w:fldCharType="begin"/>
      </w:r>
      <w:r>
        <w:rPr>
          <w:color w:val="auto"/>
          <w:highlight w:val="none"/>
        </w:rPr>
        <w:instrText xml:space="preserve"> HYPERLINK \l "_Toc22279" </w:instrText>
      </w:r>
      <w:r>
        <w:rPr>
          <w:color w:val="auto"/>
          <w:highlight w:val="none"/>
        </w:rPr>
        <w:fldChar w:fldCharType="separate"/>
      </w:r>
      <w:r>
        <w:rPr>
          <w:rFonts w:hint="eastAsia"/>
          <w:bCs/>
          <w:color w:val="auto"/>
          <w:kern w:val="0"/>
          <w:szCs w:val="24"/>
          <w:highlight w:val="none"/>
        </w:rPr>
        <w:t xml:space="preserve">（四） </w:t>
      </w:r>
      <w:r>
        <w:rPr>
          <w:bCs/>
          <w:color w:val="auto"/>
          <w:kern w:val="0"/>
          <w:szCs w:val="24"/>
          <w:highlight w:val="none"/>
        </w:rPr>
        <w:t>经济标文件</w:t>
      </w:r>
      <w:r>
        <w:rPr>
          <w:color w:val="auto"/>
          <w:highlight w:val="none"/>
        </w:rPr>
        <w:tab/>
      </w:r>
      <w:r>
        <w:rPr>
          <w:color w:val="auto"/>
          <w:highlight w:val="none"/>
        </w:rPr>
        <w:fldChar w:fldCharType="begin"/>
      </w:r>
      <w:r>
        <w:rPr>
          <w:color w:val="auto"/>
          <w:highlight w:val="none"/>
        </w:rPr>
        <w:instrText xml:space="preserve"> PAGEREF _Toc22279 \h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spacing w:line="360" w:lineRule="auto"/>
        <w:rPr>
          <w:rFonts w:ascii="Times New Roman" w:hAnsi="Times New Roman" w:eastAsia="宋体" w:cs="Times New Roman"/>
          <w:color w:val="auto"/>
          <w:highlight w:val="none"/>
        </w:rPr>
      </w:pPr>
      <w:r>
        <w:rPr>
          <w:rFonts w:hint="eastAsia" w:asciiTheme="majorEastAsia" w:hAnsiTheme="majorEastAsia" w:eastAsiaTheme="majorEastAsia" w:cstheme="majorEastAsia"/>
          <w:color w:val="auto"/>
          <w:szCs w:val="24"/>
          <w:highlight w:val="none"/>
        </w:rPr>
        <w:fldChar w:fldCharType="end"/>
      </w:r>
    </w:p>
    <w:p>
      <w:pPr>
        <w:spacing w:after="120"/>
        <w:ind w:firstLine="420"/>
        <w:rPr>
          <w:rFonts w:ascii="Times New Roman" w:hAnsi="Times New Roman" w:eastAsia="宋体" w:cs="Times New Roman"/>
          <w:color w:val="auto"/>
          <w:szCs w:val="20"/>
          <w:highlight w:val="none"/>
        </w:rPr>
      </w:pPr>
    </w:p>
    <w:p>
      <w:pPr>
        <w:spacing w:after="120"/>
        <w:ind w:firstLine="420"/>
        <w:rPr>
          <w:rFonts w:ascii="Times New Roman" w:hAnsi="Times New Roman" w:eastAsia="宋体" w:cs="Times New Roman"/>
          <w:color w:val="auto"/>
          <w:szCs w:val="20"/>
          <w:highlight w:val="none"/>
        </w:rPr>
      </w:pPr>
    </w:p>
    <w:p>
      <w:pPr>
        <w:spacing w:after="120"/>
        <w:ind w:firstLine="420"/>
        <w:rPr>
          <w:rFonts w:ascii="Times New Roman" w:hAnsi="Times New Roman" w:eastAsia="宋体" w:cs="Times New Roman"/>
          <w:color w:val="auto"/>
          <w:szCs w:val="20"/>
          <w:highlight w:val="none"/>
        </w:rPr>
      </w:pPr>
    </w:p>
    <w:p>
      <w:pPr>
        <w:spacing w:after="120"/>
        <w:ind w:firstLine="420"/>
        <w:rPr>
          <w:rFonts w:ascii="Times New Roman" w:hAnsi="Times New Roman" w:eastAsia="宋体" w:cs="Times New Roman"/>
          <w:color w:val="auto"/>
          <w:szCs w:val="20"/>
          <w:highlight w:val="none"/>
        </w:rPr>
      </w:pPr>
    </w:p>
    <w:p>
      <w:pPr>
        <w:spacing w:after="120"/>
        <w:ind w:firstLine="420"/>
        <w:rPr>
          <w:rFonts w:ascii="Times New Roman" w:hAnsi="Times New Roman" w:eastAsia="宋体" w:cs="Times New Roman"/>
          <w:color w:val="auto"/>
          <w:szCs w:val="20"/>
          <w:highlight w:val="none"/>
        </w:rPr>
      </w:pPr>
    </w:p>
    <w:p>
      <w:pPr>
        <w:keepNext/>
        <w:keepLines/>
        <w:spacing w:after="120" w:line="360" w:lineRule="auto"/>
        <w:jc w:val="center"/>
        <w:outlineLvl w:val="0"/>
        <w:rPr>
          <w:rFonts w:ascii="Times New Roman" w:hAnsi="Times New Roman" w:eastAsia="宋体" w:cs="Times New Roman"/>
          <w:b/>
          <w:color w:val="auto"/>
          <w:kern w:val="44"/>
          <w:sz w:val="28"/>
          <w:szCs w:val="28"/>
          <w:highlight w:val="none"/>
        </w:rPr>
        <w:sectPr>
          <w:headerReference r:id="rId8" w:type="first"/>
          <w:footerReference r:id="rId10" w:type="first"/>
          <w:headerReference r:id="rId7" w:type="default"/>
          <w:footerReference r:id="rId9" w:type="default"/>
          <w:endnotePr>
            <w:numFmt w:val="decimal"/>
          </w:endnotePr>
          <w:pgSz w:w="11905" w:h="16838"/>
          <w:pgMar w:top="1440" w:right="1800" w:bottom="1440" w:left="1800" w:header="850" w:footer="822" w:gutter="0"/>
          <w:pgNumType w:start="1"/>
          <w:cols w:space="720" w:num="1"/>
          <w:docGrid w:linePitch="318" w:charSpace="0"/>
        </w:sectPr>
      </w:pPr>
      <w:bookmarkStart w:id="1" w:name="_Toc17543"/>
    </w:p>
    <w:p>
      <w:pPr>
        <w:keepNext/>
        <w:keepLines/>
        <w:spacing w:after="120" w:line="360" w:lineRule="auto"/>
        <w:jc w:val="center"/>
        <w:outlineLvl w:val="0"/>
        <w:rPr>
          <w:rFonts w:ascii="宋体" w:hAnsi="宋体" w:eastAsia="宋体" w:cs="宋体"/>
          <w:b/>
          <w:color w:val="auto"/>
          <w:kern w:val="44"/>
          <w:sz w:val="28"/>
          <w:szCs w:val="28"/>
          <w:highlight w:val="none"/>
        </w:rPr>
      </w:pPr>
      <w:bookmarkStart w:id="2" w:name="_Toc4098"/>
      <w:bookmarkStart w:id="3" w:name="_Toc6921"/>
      <w:r>
        <w:rPr>
          <w:rFonts w:hint="eastAsia" w:ascii="宋体" w:hAnsi="宋体" w:eastAsia="宋体" w:cs="宋体"/>
          <w:b/>
          <w:color w:val="auto"/>
          <w:kern w:val="44"/>
          <w:sz w:val="28"/>
          <w:szCs w:val="28"/>
          <w:highlight w:val="none"/>
        </w:rPr>
        <w:t>第一章 招标公告</w:t>
      </w:r>
      <w:bookmarkEnd w:id="1"/>
      <w:bookmarkEnd w:id="2"/>
      <w:bookmarkEnd w:id="3"/>
    </w:p>
    <w:p>
      <w:p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广东有德招标采购有限公司受</w:t>
      </w:r>
      <w:r>
        <w:rPr>
          <w:rFonts w:hint="eastAsia" w:ascii="宋体" w:hAnsi="宋体" w:eastAsia="宋体" w:cs="宋体"/>
          <w:color w:val="auto"/>
          <w:sz w:val="24"/>
          <w:highlight w:val="none"/>
          <w:lang w:eastAsia="zh-CN"/>
        </w:rPr>
        <w:t>广东南方报业传媒集团物业管理有限公司</w:t>
      </w:r>
      <w:r>
        <w:rPr>
          <w:rFonts w:hint="eastAsia" w:ascii="宋体" w:hAnsi="宋体" w:eastAsia="宋体" w:cs="宋体"/>
          <w:color w:val="auto"/>
          <w:sz w:val="24"/>
          <w:highlight w:val="none"/>
        </w:rPr>
        <w:t>的委托，就</w:t>
      </w:r>
      <w:r>
        <w:rPr>
          <w:rFonts w:hint="eastAsia" w:ascii="宋体" w:hAnsi="宋体" w:eastAsia="宋体" w:cs="宋体"/>
          <w:color w:val="auto"/>
          <w:sz w:val="24"/>
          <w:highlight w:val="none"/>
          <w:lang w:eastAsia="zh-CN"/>
        </w:rPr>
        <w:t>传媒大厦中央空调供暖及精密空调改造项目</w:t>
      </w:r>
      <w:r>
        <w:rPr>
          <w:rFonts w:ascii="宋体" w:hAnsi="宋体" w:eastAsia="宋体" w:cs="宋体"/>
          <w:color w:val="auto"/>
          <w:sz w:val="24"/>
          <w:highlight w:val="none"/>
        </w:rPr>
        <w:t>进行公开招标，选定承包人。</w:t>
      </w:r>
    </w:p>
    <w:p>
      <w:pPr>
        <w:numPr>
          <w:ilvl w:val="0"/>
          <w:numId w:val="1"/>
        </w:numPr>
        <w:tabs>
          <w:tab w:val="center" w:pos="4415"/>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1210-2340YDZB6746</w:t>
      </w:r>
    </w:p>
    <w:p>
      <w:pPr>
        <w:numPr>
          <w:ilvl w:val="0"/>
          <w:numId w:val="1"/>
        </w:numPr>
        <w:tabs>
          <w:tab w:val="center" w:pos="4415"/>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工程名称：</w:t>
      </w:r>
      <w:r>
        <w:rPr>
          <w:rFonts w:hint="eastAsia" w:ascii="宋体" w:hAnsi="宋体" w:eastAsia="宋体" w:cs="宋体"/>
          <w:color w:val="auto"/>
          <w:sz w:val="24"/>
          <w:highlight w:val="none"/>
          <w:lang w:eastAsia="zh-CN"/>
        </w:rPr>
        <w:t>传媒大厦中央空调供暖及精密空调改造项目</w:t>
      </w:r>
    </w:p>
    <w:p>
      <w:pP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招标单位：</w:t>
      </w:r>
      <w:r>
        <w:rPr>
          <w:rFonts w:hint="eastAsia" w:ascii="宋体" w:hAnsi="宋体" w:eastAsia="宋体" w:cs="宋体"/>
          <w:color w:val="auto"/>
          <w:sz w:val="24"/>
          <w:highlight w:val="none"/>
          <w:lang w:eastAsia="zh-CN"/>
        </w:rPr>
        <w:t>广东南方报业传媒集团物业管理有限公司</w:t>
      </w:r>
    </w:p>
    <w:p>
      <w:pPr>
        <w:adjustRightInd w:val="0"/>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en-US" w:eastAsia="zh-CN"/>
        </w:rPr>
        <w:t xml:space="preserve">邓先生  </w:t>
      </w:r>
      <w:r>
        <w:rPr>
          <w:rFonts w:ascii="宋体" w:hAnsi="宋体" w:eastAsia="宋体" w:cs="宋体"/>
          <w:color w:val="auto"/>
          <w:sz w:val="24"/>
          <w:highlight w:val="none"/>
        </w:rPr>
        <w:t xml:space="preserve">      联系电话：</w:t>
      </w:r>
      <w:r>
        <w:rPr>
          <w:rFonts w:hint="eastAsia" w:ascii="宋体" w:hAnsi="宋体" w:eastAsia="宋体" w:cs="宋体"/>
          <w:color w:val="auto"/>
          <w:sz w:val="24"/>
          <w:highlight w:val="none"/>
          <w:lang w:val="en-US" w:eastAsia="zh-CN"/>
        </w:rPr>
        <w:t>15602389467</w:t>
      </w:r>
    </w:p>
    <w:p>
      <w:pPr>
        <w:adjustRightInd w:val="0"/>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地址：广东省广州市越秀区广州大道中289号</w:t>
      </w:r>
    </w:p>
    <w:p>
      <w:p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招标代理机构：广东有德招标采购有限公司</w:t>
      </w:r>
    </w:p>
    <w:p>
      <w:p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联系人：黄小姐、倪小姐</w:t>
      </w:r>
      <w:r>
        <w:rPr>
          <w:rFonts w:ascii="宋体" w:hAnsi="宋体" w:eastAsia="宋体" w:cs="宋体"/>
          <w:color w:val="auto"/>
          <w:sz w:val="24"/>
          <w:highlight w:val="none"/>
        </w:rPr>
        <w:t xml:space="preserve">     </w:t>
      </w:r>
      <w:r>
        <w:rPr>
          <w:rFonts w:hint="eastAsia" w:ascii="宋体" w:hAnsi="宋体" w:eastAsia="宋体" w:cs="宋体"/>
          <w:color w:val="auto"/>
          <w:sz w:val="24"/>
          <w:highlight w:val="none"/>
        </w:rPr>
        <w:t>联系电话：</w:t>
      </w:r>
      <w:r>
        <w:rPr>
          <w:rFonts w:ascii="宋体" w:hAnsi="宋体" w:eastAsia="宋体" w:cs="宋体"/>
          <w:color w:val="auto"/>
          <w:sz w:val="24"/>
          <w:highlight w:val="none"/>
        </w:rPr>
        <w:t>020-83627862</w:t>
      </w:r>
    </w:p>
    <w:p>
      <w:pPr>
        <w:adjustRightInd w:val="0"/>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地址：</w:t>
      </w:r>
      <w:r>
        <w:rPr>
          <w:rFonts w:hint="eastAsia" w:ascii="宋体" w:hAnsi="宋体" w:eastAsia="宋体" w:cs="宋体"/>
          <w:color w:val="auto"/>
          <w:sz w:val="24"/>
          <w:szCs w:val="24"/>
          <w:highlight w:val="none"/>
        </w:rPr>
        <w:t>广州市天河北路626号保利中宇广场A座25楼</w:t>
      </w:r>
    </w:p>
    <w:p>
      <w:pPr>
        <w:numPr>
          <w:ilvl w:val="0"/>
          <w:numId w:val="1"/>
        </w:numPr>
        <w:tabs>
          <w:tab w:val="center" w:pos="4415"/>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建设地点：</w:t>
      </w:r>
      <w:r>
        <w:rPr>
          <w:rFonts w:hint="eastAsia" w:ascii="宋体" w:hAnsi="宋体" w:eastAsia="宋体" w:cs="宋体"/>
          <w:color w:val="auto"/>
          <w:sz w:val="24"/>
          <w:highlight w:val="none"/>
          <w:lang w:eastAsia="zh-CN"/>
        </w:rPr>
        <w:t>广州大道中289号1号楼</w:t>
      </w:r>
    </w:p>
    <w:p>
      <w:pPr>
        <w:numPr>
          <w:ilvl w:val="0"/>
          <w:numId w:val="1"/>
        </w:numPr>
        <w:tabs>
          <w:tab w:val="center" w:pos="4415"/>
        </w:tabs>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项目概况：在1号楼裙楼6层平台增设一套供暖机组供1号楼6至28层</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2号楼6层</w:t>
      </w:r>
      <w:r>
        <w:rPr>
          <w:rFonts w:hint="eastAsia" w:ascii="宋体" w:hAnsi="宋体" w:eastAsia="宋体" w:cs="宋体"/>
          <w:color w:val="auto"/>
          <w:sz w:val="24"/>
          <w:highlight w:val="none"/>
        </w:rPr>
        <w:t>及裙楼1至5层办公区域冬季使用，空调供暖面积约为38,737平方米。空调管路采用原用的两管制空调水管，热源水管接入原供冷系统冷冻水管，不供热源的区域应安装电动阀门控制。大厦原空调末端不做更改。</w:t>
      </w:r>
    </w:p>
    <w:p>
      <w:pPr>
        <w:numPr>
          <w:ilvl w:val="0"/>
          <w:numId w:val="0"/>
        </w:numPr>
        <w:tabs>
          <w:tab w:val="center" w:pos="4415"/>
        </w:tabs>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供暖机组电源采用母线槽从负三层配电房1D7低压柜备用开关（1250A）接取到6层平台控制室。控制室需在6层平台合适位置搭建。</w:t>
      </w:r>
    </w:p>
    <w:p>
      <w:pPr>
        <w:numPr>
          <w:ilvl w:val="0"/>
          <w:numId w:val="0"/>
        </w:numPr>
        <w:tabs>
          <w:tab w:val="center" w:pos="4415"/>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1号楼6层的档案库房安装精密空调，保持适宜的温、湿度（要求温度：14℃-24℃，相对湿度：45%-65%）。</w:t>
      </w:r>
    </w:p>
    <w:p>
      <w:pPr>
        <w:numPr>
          <w:ilvl w:val="0"/>
          <w:numId w:val="1"/>
        </w:numPr>
        <w:tabs>
          <w:tab w:val="center" w:pos="4415"/>
        </w:tabs>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highlight w:val="none"/>
        </w:rPr>
        <w:t>标段划分及各标段招标内容、规模和最高投标限价：</w:t>
      </w:r>
    </w:p>
    <w:p>
      <w:pPr>
        <w:numPr>
          <w:ilvl w:val="0"/>
          <w:numId w:val="2"/>
        </w:numPr>
        <w:tabs>
          <w:tab w:val="center" w:pos="4415"/>
        </w:tabs>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本工程划分为1个标段。</w:t>
      </w:r>
    </w:p>
    <w:p>
      <w:pPr>
        <w:numPr>
          <w:ilvl w:val="0"/>
          <w:numId w:val="2"/>
        </w:numPr>
        <w:tabs>
          <w:tab w:val="center" w:pos="4415"/>
        </w:tabs>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招标内容、规模和招标控制价：</w:t>
      </w:r>
    </w:p>
    <w:p>
      <w:pPr>
        <w:tabs>
          <w:tab w:val="center" w:pos="4415"/>
        </w:tabs>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传媒大厦中央空调供暖及精密空调改造</w:t>
      </w:r>
      <w:r>
        <w:rPr>
          <w:rFonts w:ascii="宋体" w:hAnsi="宋体" w:eastAsia="宋体" w:cs="宋体"/>
          <w:color w:val="auto"/>
          <w:sz w:val="24"/>
          <w:szCs w:val="24"/>
          <w:highlight w:val="none"/>
        </w:rPr>
        <w:t>。本项目招标控制价为人民币3</w:t>
      </w:r>
      <w:r>
        <w:rPr>
          <w:rFonts w:hint="eastAsia" w:ascii="宋体" w:hAnsi="宋体" w:eastAsia="宋体" w:cs="宋体"/>
          <w:color w:val="auto"/>
          <w:sz w:val="24"/>
          <w:szCs w:val="24"/>
          <w:highlight w:val="none"/>
          <w:lang w:val="en-US" w:eastAsia="zh-CN"/>
        </w:rPr>
        <w:t>0</w:t>
      </w:r>
      <w:r>
        <w:rPr>
          <w:rFonts w:ascii="宋体" w:hAnsi="宋体" w:eastAsia="宋体" w:cs="宋体"/>
          <w:color w:val="auto"/>
          <w:sz w:val="24"/>
          <w:szCs w:val="24"/>
          <w:highlight w:val="none"/>
        </w:rPr>
        <w:t>0万元，</w:t>
      </w:r>
      <w:r>
        <w:rPr>
          <w:rFonts w:hint="eastAsia" w:ascii="宋体" w:hAnsi="宋体" w:eastAsia="宋体" w:cs="宋体"/>
          <w:color w:val="auto"/>
          <w:sz w:val="24"/>
          <w:szCs w:val="24"/>
          <w:highlight w:val="none"/>
        </w:rPr>
        <w:t>上述预算金额为含税价，投标人须自行承担相应的税费。</w:t>
      </w:r>
    </w:p>
    <w:p>
      <w:pPr>
        <w:numPr>
          <w:ilvl w:val="0"/>
          <w:numId w:val="1"/>
        </w:numPr>
        <w:tabs>
          <w:tab w:val="center" w:pos="4415"/>
        </w:tabs>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highlight w:val="none"/>
        </w:rPr>
        <w:t>资金来源：自筹资金</w:t>
      </w:r>
    </w:p>
    <w:p>
      <w:pPr>
        <w:numPr>
          <w:ilvl w:val="0"/>
          <w:numId w:val="1"/>
        </w:numPr>
        <w:tabs>
          <w:tab w:val="center" w:pos="4415"/>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递交投标文件时间、地点及开标时间：</w:t>
      </w:r>
    </w:p>
    <w:p>
      <w:pPr>
        <w:numPr>
          <w:ilvl w:val="0"/>
          <w:numId w:val="3"/>
        </w:numPr>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递交投标文件起始时间：</w:t>
      </w: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时00分</w:t>
      </w:r>
    </w:p>
    <w:p>
      <w:pPr>
        <w:widowControl/>
        <w:adjustRightInd w:val="0"/>
        <w:snapToGrid w:val="0"/>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时30分</w:t>
      </w:r>
    </w:p>
    <w:p>
      <w:pPr>
        <w:numPr>
          <w:ilvl w:val="0"/>
          <w:numId w:val="3"/>
        </w:numPr>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递交投标文件</w:t>
      </w:r>
      <w:r>
        <w:rPr>
          <w:rFonts w:hint="eastAsia" w:ascii="宋体" w:hAnsi="宋体" w:eastAsia="宋体" w:cs="宋体"/>
          <w:color w:val="auto"/>
          <w:sz w:val="24"/>
          <w:highlight w:val="none"/>
        </w:rPr>
        <w:t>地点：</w:t>
      </w:r>
      <w:r>
        <w:rPr>
          <w:rFonts w:hint="eastAsia" w:ascii="宋体" w:hAnsi="宋体" w:eastAsia="宋体" w:cs="宋体"/>
          <w:color w:val="auto"/>
          <w:sz w:val="24"/>
          <w:szCs w:val="24"/>
          <w:highlight w:val="none"/>
        </w:rPr>
        <w:t>广州市天河北路626号保利中宇广场A座25楼</w:t>
      </w:r>
    </w:p>
    <w:p>
      <w:pPr>
        <w:widowControl/>
        <w:numPr>
          <w:ilvl w:val="0"/>
          <w:numId w:val="3"/>
        </w:numPr>
        <w:adjustRightInd w:val="0"/>
        <w:snapToGrid w:val="0"/>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开标开始时间：</w:t>
      </w: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时30分</w:t>
      </w:r>
    </w:p>
    <w:p>
      <w:pPr>
        <w:widowControl/>
        <w:numPr>
          <w:ilvl w:val="0"/>
          <w:numId w:val="1"/>
        </w:numPr>
        <w:tabs>
          <w:tab w:val="center" w:pos="4415"/>
        </w:tabs>
        <w:adjustRightInd w:val="0"/>
        <w:snapToGri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招标文件获取：</w:t>
      </w:r>
    </w:p>
    <w:p>
      <w:pPr>
        <w:widowControl/>
        <w:adjustRightInd w:val="0"/>
        <w:snapToGrid w:val="0"/>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凡有意参加投标者，应当在</w:t>
      </w: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日</w:t>
      </w:r>
      <w:r>
        <w:rPr>
          <w:rFonts w:hint="eastAsia" w:ascii="宋体" w:hAnsi="宋体" w:eastAsia="宋体" w:cs="宋体"/>
          <w:color w:val="auto"/>
          <w:kern w:val="0"/>
          <w:sz w:val="24"/>
          <w:szCs w:val="24"/>
          <w:highlight w:val="none"/>
        </w:rPr>
        <w:t>至</w:t>
      </w: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日</w:t>
      </w:r>
      <w:r>
        <w:rPr>
          <w:rFonts w:hint="eastAsia" w:ascii="宋体" w:hAnsi="宋体" w:eastAsia="宋体" w:cs="宋体"/>
          <w:color w:val="auto"/>
          <w:kern w:val="0"/>
          <w:sz w:val="24"/>
          <w:szCs w:val="24"/>
          <w:highlight w:val="none"/>
        </w:rPr>
        <w:t>期间（上午09:00至12:00,下午14:30至17:30，法定节假日除外）到广东有德招标采购有限公司（详细地址：</w:t>
      </w:r>
      <w:r>
        <w:rPr>
          <w:rFonts w:hint="eastAsia" w:ascii="宋体" w:hAnsi="宋体" w:eastAsia="宋体" w:cs="宋体"/>
          <w:color w:val="auto"/>
          <w:sz w:val="24"/>
          <w:szCs w:val="24"/>
          <w:highlight w:val="none"/>
        </w:rPr>
        <w:t>广州市天河北路626号保利中宇广场A座25楼；联系方式：邓小姐，020-88260060</w:t>
      </w:r>
      <w:r>
        <w:rPr>
          <w:rFonts w:hint="eastAsia" w:ascii="宋体" w:hAnsi="宋体" w:eastAsia="宋体" w:cs="宋体"/>
          <w:color w:val="auto"/>
          <w:kern w:val="0"/>
          <w:sz w:val="24"/>
          <w:szCs w:val="24"/>
          <w:highlight w:val="none"/>
        </w:rPr>
        <w:t>）现场领购或线上领购招标文件，招标文件每套售价人民币</w:t>
      </w:r>
      <w:r>
        <w:rPr>
          <w:rFonts w:hint="eastAsia" w:ascii="宋体" w:hAnsi="宋体" w:eastAsia="宋体" w:cs="宋体"/>
          <w:color w:val="auto"/>
          <w:kern w:val="0"/>
          <w:sz w:val="24"/>
          <w:szCs w:val="24"/>
          <w:highlight w:val="none"/>
          <w:lang w:val="en-US" w:eastAsia="zh-CN"/>
        </w:rPr>
        <w:t>150</w:t>
      </w:r>
      <w:r>
        <w:rPr>
          <w:rFonts w:hint="eastAsia" w:ascii="宋体" w:hAnsi="宋体" w:eastAsia="宋体" w:cs="宋体"/>
          <w:color w:val="auto"/>
          <w:kern w:val="0"/>
          <w:sz w:val="24"/>
          <w:szCs w:val="24"/>
          <w:highlight w:val="none"/>
        </w:rPr>
        <w:t>元，售后不退。</w:t>
      </w:r>
    </w:p>
    <w:p>
      <w:pPr>
        <w:spacing w:line="360" w:lineRule="auto"/>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备注：</w:t>
      </w:r>
    </w:p>
    <w:p>
      <w:pPr>
        <w:numPr>
          <w:ilvl w:val="0"/>
          <w:numId w:val="4"/>
        </w:numPr>
        <w:tabs>
          <w:tab w:val="left" w:pos="840"/>
          <w:tab w:val="left" w:pos="1092"/>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现场领购招标文件者，供应商登陆广东有德招标采购有限公司（http://www.youde.net）下载《投标登记表》，填写相关信息并加盖供应商公章到采购代理机构处登记，并领购招标文件。</w:t>
      </w:r>
    </w:p>
    <w:p>
      <w:pPr>
        <w:numPr>
          <w:ilvl w:val="0"/>
          <w:numId w:val="4"/>
        </w:numPr>
        <w:tabs>
          <w:tab w:val="left" w:pos="840"/>
          <w:tab w:val="left" w:pos="1092"/>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线上领购招标文件者，供应商登陆广东有德招标采购有限公司（http://www.youde.net）下载《投标登记表》，填写相关信息并加盖供应商公章后扫描发至采购代理机构邮箱（E－mail：</w:t>
      </w:r>
      <w:r>
        <w:rPr>
          <w:color w:val="auto"/>
          <w:highlight w:val="none"/>
        </w:rPr>
        <w:fldChar w:fldCharType="begin"/>
      </w:r>
      <w:r>
        <w:rPr>
          <w:color w:val="auto"/>
          <w:highlight w:val="none"/>
        </w:rPr>
        <w:instrText xml:space="preserve"> HYPERLINK "mailto:youde@163.com），经采购代理机构工作人员确认后办理相关手续。" </w:instrText>
      </w:r>
      <w:r>
        <w:rPr>
          <w:color w:val="auto"/>
          <w:highlight w:val="none"/>
        </w:rPr>
        <w:fldChar w:fldCharType="separate"/>
      </w:r>
      <w:r>
        <w:rPr>
          <w:rFonts w:hint="eastAsia" w:ascii="宋体" w:hAnsi="宋体" w:eastAsia="宋体" w:cs="宋体"/>
          <w:color w:val="auto"/>
          <w:sz w:val="24"/>
          <w:highlight w:val="none"/>
        </w:rPr>
        <w:t>youde_zb@163.com），经采购代理机构工作人员确认后办理相关手续。</w:t>
      </w:r>
      <w:r>
        <w:rPr>
          <w:rFonts w:hint="eastAsia" w:ascii="宋体" w:hAnsi="宋体" w:eastAsia="宋体" w:cs="宋体"/>
          <w:color w:val="auto"/>
          <w:sz w:val="24"/>
          <w:highlight w:val="none"/>
        </w:rPr>
        <w:fldChar w:fldCharType="end"/>
      </w:r>
    </w:p>
    <w:p>
      <w:pPr>
        <w:numPr>
          <w:ilvl w:val="0"/>
          <w:numId w:val="4"/>
        </w:numPr>
        <w:tabs>
          <w:tab w:val="left" w:pos="840"/>
          <w:tab w:val="left" w:pos="1092"/>
        </w:tabs>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领购招标文件账户信息（招标代理机构只接受以投标人名义的汇款，不接受个人的汇款及其它款项）：</w:t>
      </w:r>
    </w:p>
    <w:p>
      <w:pPr>
        <w:numPr>
          <w:ilvl w:val="0"/>
          <w:numId w:val="5"/>
        </w:numPr>
        <w:spacing w:line="360" w:lineRule="auto"/>
        <w:ind w:left="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开户银行名称：中国光大银行广州分行</w:t>
      </w:r>
    </w:p>
    <w:p>
      <w:pPr>
        <w:numPr>
          <w:ilvl w:val="0"/>
          <w:numId w:val="5"/>
        </w:numPr>
        <w:spacing w:line="360" w:lineRule="auto"/>
        <w:ind w:left="0"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单位名称：</w:t>
      </w:r>
      <w:r>
        <w:rPr>
          <w:rFonts w:hint="eastAsia" w:ascii="宋体" w:hAnsi="宋体" w:eastAsia="宋体" w:cs="宋体"/>
          <w:color w:val="auto"/>
          <w:sz w:val="24"/>
          <w:highlight w:val="none"/>
        </w:rPr>
        <w:t>广东有德招标采购有限公司</w:t>
      </w:r>
    </w:p>
    <w:p>
      <w:pPr>
        <w:numPr>
          <w:ilvl w:val="0"/>
          <w:numId w:val="5"/>
        </w:numPr>
        <w:spacing w:line="360" w:lineRule="auto"/>
        <w:ind w:left="0" w:firstLine="480" w:firstLineChars="200"/>
        <w:rPr>
          <w:rFonts w:ascii="宋体" w:hAnsi="宋体" w:eastAsia="宋体" w:cs="宋体"/>
          <w:color w:val="auto"/>
          <w:sz w:val="24"/>
          <w:highlight w:val="none"/>
        </w:rPr>
      </w:pPr>
      <w:r>
        <w:rPr>
          <w:rFonts w:hint="eastAsia" w:ascii="宋体" w:hAnsi="宋体" w:eastAsia="宋体" w:cs="宋体"/>
          <w:bCs/>
          <w:color w:val="auto"/>
          <w:sz w:val="24"/>
          <w:highlight w:val="none"/>
        </w:rPr>
        <w:t>账号：38610188000123567</w:t>
      </w:r>
    </w:p>
    <w:p>
      <w:pPr>
        <w:widowControl/>
        <w:numPr>
          <w:ilvl w:val="0"/>
          <w:numId w:val="1"/>
        </w:numPr>
        <w:tabs>
          <w:tab w:val="center" w:pos="4415"/>
        </w:tabs>
        <w:adjustRightInd w:val="0"/>
        <w:snapToGri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投标人合格条件：</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投标人具有独立法人资格，按国家法律经营</w:t>
      </w:r>
      <w:r>
        <w:rPr>
          <w:rFonts w:hint="eastAsia" w:ascii="宋体" w:hAnsi="宋体" w:eastAsia="宋体" w:cs="宋体"/>
          <w:color w:val="auto"/>
          <w:sz w:val="24"/>
          <w:highlight w:val="none"/>
          <w:lang w:eastAsia="zh-CN"/>
        </w:rPr>
        <w:t>。</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投标人持有建设行政主管部门颁发的安全生产许可证</w:t>
      </w:r>
      <w:r>
        <w:rPr>
          <w:rFonts w:hint="eastAsia" w:ascii="宋体" w:hAnsi="宋体" w:eastAsia="宋体" w:cs="宋体"/>
          <w:color w:val="auto"/>
          <w:sz w:val="24"/>
          <w:highlight w:val="none"/>
          <w:lang w:eastAsia="zh-CN"/>
        </w:rPr>
        <w:t>。</w:t>
      </w:r>
    </w:p>
    <w:p>
      <w:pPr>
        <w:numPr>
          <w:ilvl w:val="0"/>
          <w:numId w:val="6"/>
        </w:numPr>
        <w:adjustRightInd w:val="0"/>
        <w:snapToGrid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w:t>
      </w:r>
      <w:r>
        <w:rPr>
          <w:rFonts w:hint="eastAsia" w:ascii="宋体" w:hAnsi="宋体" w:eastAsia="宋体" w:cs="宋体"/>
          <w:color w:val="auto"/>
          <w:kern w:val="0"/>
          <w:sz w:val="24"/>
          <w:szCs w:val="24"/>
          <w:highlight w:val="none"/>
          <w:lang w:eastAsia="zh-CN"/>
        </w:rPr>
        <w:t>同时</w:t>
      </w:r>
      <w:r>
        <w:rPr>
          <w:rFonts w:hint="eastAsia" w:ascii="宋体" w:hAnsi="宋体" w:eastAsia="宋体" w:cs="宋体"/>
          <w:color w:val="auto"/>
          <w:kern w:val="0"/>
          <w:sz w:val="24"/>
          <w:szCs w:val="24"/>
          <w:highlight w:val="none"/>
        </w:rPr>
        <w:t>具备以下</w:t>
      </w:r>
      <w:r>
        <w:rPr>
          <w:rFonts w:hint="eastAsia" w:ascii="宋体" w:hAnsi="宋体" w:eastAsia="宋体" w:cs="宋体"/>
          <w:color w:val="auto"/>
          <w:kern w:val="0"/>
          <w:sz w:val="24"/>
          <w:szCs w:val="24"/>
          <w:highlight w:val="none"/>
          <w:lang w:eastAsia="zh-CN"/>
        </w:rPr>
        <w:t>两种</w:t>
      </w:r>
      <w:r>
        <w:rPr>
          <w:rFonts w:hint="eastAsia" w:ascii="宋体" w:hAnsi="宋体" w:eastAsia="宋体" w:cs="宋体"/>
          <w:color w:val="auto"/>
          <w:kern w:val="0"/>
          <w:sz w:val="24"/>
          <w:szCs w:val="24"/>
          <w:highlight w:val="none"/>
        </w:rPr>
        <w:t>资质</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①工程设计综合甲级资质，或建筑行业工程设计丙级或以上资质，或建筑行业（建筑工程）专业设计丙级或以上资质，或建筑设计事务所资质，或机电设计事务所资质；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kern w:val="0"/>
          <w:sz w:val="24"/>
          <w:szCs w:val="24"/>
          <w:highlight w:val="none"/>
        </w:rPr>
        <w:t>建筑工程施工总承包三级</w:t>
      </w:r>
      <w:r>
        <w:rPr>
          <w:rFonts w:hint="eastAsia" w:ascii="宋体" w:hAnsi="宋体" w:eastAsia="宋体" w:cs="宋体"/>
          <w:color w:val="auto"/>
          <w:kern w:val="0"/>
          <w:sz w:val="24"/>
          <w:szCs w:val="24"/>
          <w:highlight w:val="none"/>
          <w:lang w:eastAsia="zh-CN"/>
        </w:rPr>
        <w:t>或</w:t>
      </w:r>
      <w:r>
        <w:rPr>
          <w:rFonts w:hint="eastAsia" w:ascii="宋体" w:hAnsi="宋体" w:eastAsia="宋体" w:cs="宋体"/>
          <w:color w:val="auto"/>
          <w:kern w:val="0"/>
          <w:sz w:val="24"/>
          <w:szCs w:val="24"/>
          <w:highlight w:val="none"/>
        </w:rPr>
        <w:t>以上</w:t>
      </w:r>
      <w:r>
        <w:rPr>
          <w:rFonts w:hint="eastAsia" w:ascii="宋体" w:hAnsi="宋体" w:eastAsia="宋体" w:cs="宋体"/>
          <w:color w:val="auto"/>
          <w:kern w:val="0"/>
          <w:sz w:val="24"/>
          <w:szCs w:val="24"/>
          <w:highlight w:val="none"/>
          <w:lang w:eastAsia="zh-CN"/>
        </w:rPr>
        <w:t>资质，或</w:t>
      </w:r>
      <w:r>
        <w:rPr>
          <w:rFonts w:hint="eastAsia" w:ascii="宋体" w:hAnsi="宋体" w:eastAsia="宋体" w:cs="宋体"/>
          <w:color w:val="auto"/>
          <w:sz w:val="24"/>
          <w:szCs w:val="24"/>
          <w:highlight w:val="none"/>
          <w:lang w:eastAsia="zh-CN"/>
        </w:rPr>
        <w:t>机电工程施工总承包</w:t>
      </w:r>
      <w:r>
        <w:rPr>
          <w:rFonts w:hint="eastAsia" w:ascii="宋体" w:hAnsi="宋体" w:eastAsia="宋体" w:cs="宋体"/>
          <w:color w:val="auto"/>
          <w:kern w:val="0"/>
          <w:sz w:val="24"/>
          <w:szCs w:val="24"/>
          <w:highlight w:val="none"/>
        </w:rPr>
        <w:t>三级</w:t>
      </w:r>
      <w:r>
        <w:rPr>
          <w:rFonts w:hint="eastAsia" w:ascii="宋体" w:hAnsi="宋体" w:eastAsia="宋体" w:cs="宋体"/>
          <w:color w:val="auto"/>
          <w:kern w:val="0"/>
          <w:sz w:val="24"/>
          <w:szCs w:val="24"/>
          <w:highlight w:val="none"/>
          <w:lang w:eastAsia="zh-CN"/>
        </w:rPr>
        <w:t>或</w:t>
      </w:r>
      <w:r>
        <w:rPr>
          <w:rFonts w:hint="eastAsia" w:ascii="宋体" w:hAnsi="宋体" w:eastAsia="宋体" w:cs="宋体"/>
          <w:color w:val="auto"/>
          <w:kern w:val="0"/>
          <w:sz w:val="24"/>
          <w:szCs w:val="24"/>
          <w:highlight w:val="none"/>
        </w:rPr>
        <w:t>以上</w:t>
      </w:r>
      <w:r>
        <w:rPr>
          <w:rFonts w:hint="eastAsia" w:ascii="宋体" w:hAnsi="宋体" w:eastAsia="宋体" w:cs="宋体"/>
          <w:color w:val="auto"/>
          <w:kern w:val="0"/>
          <w:sz w:val="24"/>
          <w:szCs w:val="24"/>
          <w:highlight w:val="none"/>
          <w:lang w:eastAsia="zh-CN"/>
        </w:rPr>
        <w:t>资质，或建筑机电安装工程专业承包三级</w:t>
      </w:r>
      <w:r>
        <w:rPr>
          <w:rFonts w:hint="eastAsia" w:ascii="宋体" w:hAnsi="宋体" w:eastAsia="宋体" w:cs="宋体"/>
          <w:color w:val="auto"/>
          <w:kern w:val="0"/>
          <w:sz w:val="24"/>
          <w:szCs w:val="24"/>
          <w:highlight w:val="none"/>
          <w:lang w:val="en-US" w:eastAsia="zh-CN"/>
        </w:rPr>
        <w:t>或</w:t>
      </w:r>
      <w:r>
        <w:rPr>
          <w:rFonts w:hint="eastAsia" w:ascii="宋体" w:hAnsi="宋体" w:eastAsia="宋体" w:cs="宋体"/>
          <w:color w:val="auto"/>
          <w:kern w:val="0"/>
          <w:sz w:val="24"/>
          <w:szCs w:val="24"/>
          <w:highlight w:val="none"/>
        </w:rPr>
        <w:t>以上</w:t>
      </w:r>
      <w:r>
        <w:rPr>
          <w:rFonts w:hint="eastAsia" w:ascii="宋体" w:hAnsi="宋体" w:eastAsia="宋体" w:cs="宋体"/>
          <w:color w:val="auto"/>
          <w:kern w:val="0"/>
          <w:sz w:val="24"/>
          <w:szCs w:val="24"/>
          <w:highlight w:val="none"/>
          <w:lang w:eastAsia="zh-CN"/>
        </w:rPr>
        <w:t>资质。</w:t>
      </w: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注：资质内容按照建市[2014]159号文颁布的新版《建筑业企业资质标准》中对应的资质类别及等级的承包工程范围和《住房和城乡建设部关于建筑业企业资质管理有关问题的通知》（建市[2015]154号）、《住房和城乡建设部关于简化建筑业企业资质标准部分指标的通知》(建市[2016]226号)、《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的要求设置。</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szCs w:val="24"/>
          <w:highlight w:val="none"/>
        </w:rPr>
        <w:t>本项目允许联合体投标</w:t>
      </w:r>
      <w:r>
        <w:rPr>
          <w:rFonts w:hint="eastAsia" w:ascii="宋体" w:hAnsi="宋体" w:eastAsia="宋体" w:cs="宋体"/>
          <w:color w:val="auto"/>
          <w:sz w:val="24"/>
          <w:szCs w:val="24"/>
          <w:highlight w:val="none"/>
          <w:lang w:eastAsia="zh-CN"/>
        </w:rPr>
        <w:t xml:space="preserve">。只接受最多由2家单位（1家设计单位和1家施工单位）组成的联合体,应以承接施工任务的单位为主办方，并签定联合体协议书，联合体协议书应明确确定联合体主办方以及约定各方拟承担的工作和责任。联合体各方不得再以自己名义单独或加入其他联合体参加本项目的投标。 </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投标人在近三年内没有发生重大质量、安全事故。如投标人隐瞒不报一经发现，即取消投标资格或中标资格</w:t>
      </w:r>
      <w:r>
        <w:rPr>
          <w:rFonts w:hint="eastAsia" w:ascii="宋体" w:hAnsi="宋体" w:eastAsia="宋体" w:cs="宋体"/>
          <w:color w:val="auto"/>
          <w:sz w:val="24"/>
          <w:highlight w:val="none"/>
          <w:lang w:eastAsia="zh-CN"/>
        </w:rPr>
        <w:t>。</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投标人无因违约或不恰当履行合同引起的终止、纠纷、争议、仲裁和诉讼记录</w:t>
      </w:r>
      <w:r>
        <w:rPr>
          <w:rFonts w:hint="eastAsia" w:ascii="宋体" w:hAnsi="宋体" w:eastAsia="宋体" w:cs="宋体"/>
          <w:color w:val="auto"/>
          <w:sz w:val="24"/>
          <w:highlight w:val="none"/>
          <w:lang w:eastAsia="zh-CN"/>
        </w:rPr>
        <w:t>。</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投标人未被列入“中国执行信息公开网”（</w:t>
      </w:r>
      <w:r>
        <w:rPr>
          <w:rFonts w:ascii="宋体" w:hAnsi="宋体" w:eastAsia="宋体" w:cs="宋体"/>
          <w:color w:val="auto"/>
          <w:sz w:val="24"/>
          <w:highlight w:val="none"/>
        </w:rPr>
        <w:t>zxgk.court.gov.cn）、“信用中国”网站（www.creditchina.gov.cn）①政府采购严重违法失信行为记录名单②失信被执行人③重大税收违法失信主体</w:t>
      </w:r>
      <w:r>
        <w:rPr>
          <w:rFonts w:hint="eastAsia" w:ascii="宋体" w:hAnsi="宋体" w:eastAsia="宋体" w:cs="宋体"/>
          <w:color w:val="auto"/>
          <w:sz w:val="24"/>
          <w:highlight w:val="none"/>
        </w:rPr>
        <w:t>（以资格审查人员于投标截止日当天在“中国执行信息公开网”（</w:t>
      </w:r>
      <w:r>
        <w:rPr>
          <w:rFonts w:ascii="宋体" w:hAnsi="宋体" w:eastAsia="宋体" w:cs="宋体"/>
          <w:color w:val="auto"/>
          <w:sz w:val="24"/>
          <w:highlight w:val="none"/>
        </w:rPr>
        <w:t>zxgk.court.gov.cn）、“信用中国”网站（www.creditchina.gov.cn）查询结果为准，如相关失信记录已失效，投标人需提供相关证明资料）</w:t>
      </w:r>
      <w:r>
        <w:rPr>
          <w:rFonts w:hint="eastAsia" w:ascii="宋体" w:hAnsi="宋体" w:eastAsia="宋体" w:cs="宋体"/>
          <w:color w:val="auto"/>
          <w:sz w:val="24"/>
          <w:highlight w:val="none"/>
          <w:lang w:eastAsia="zh-CN"/>
        </w:rPr>
        <w:t>。</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本项目不允许分包或转包</w:t>
      </w:r>
      <w:r>
        <w:rPr>
          <w:rFonts w:hint="eastAsia" w:ascii="宋体" w:hAnsi="宋体" w:eastAsia="宋体" w:cs="宋体"/>
          <w:color w:val="auto"/>
          <w:sz w:val="24"/>
          <w:highlight w:val="none"/>
          <w:lang w:eastAsia="zh-CN"/>
        </w:rPr>
        <w:t>。</w:t>
      </w:r>
    </w:p>
    <w:p>
      <w:pPr>
        <w:numPr>
          <w:ilvl w:val="0"/>
          <w:numId w:val="6"/>
        </w:numPr>
        <w:adjustRightInd w:val="0"/>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按要求递交投标保证金。</w:t>
      </w:r>
    </w:p>
    <w:p>
      <w:pPr>
        <w:tabs>
          <w:tab w:val="left" w:pos="7380"/>
        </w:tabs>
        <w:adjustRightInd w:val="0"/>
        <w:snapToGrid w:val="0"/>
        <w:spacing w:line="360" w:lineRule="auto"/>
        <w:ind w:firstLine="480" w:firstLineChars="200"/>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注：未在招标公告第九条单列的资审合格条件，不作为资审不合格的依据。</w:t>
      </w:r>
    </w:p>
    <w:p>
      <w:pPr>
        <w:widowControl/>
        <w:numPr>
          <w:ilvl w:val="0"/>
          <w:numId w:val="1"/>
        </w:numPr>
        <w:tabs>
          <w:tab w:val="center" w:pos="4415"/>
        </w:tabs>
        <w:adjustRightInd w:val="0"/>
        <w:snapToGri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资格审查方式：本工程采用资格后审方式，由评标委员会负责资格审查。</w:t>
      </w:r>
    </w:p>
    <w:p>
      <w:pPr>
        <w:widowControl/>
        <w:numPr>
          <w:ilvl w:val="0"/>
          <w:numId w:val="1"/>
        </w:numPr>
        <w:tabs>
          <w:tab w:val="center" w:pos="4415"/>
        </w:tabs>
        <w:adjustRightInd w:val="0"/>
        <w:snapToGri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满足资格审查合格条件的投标人不足3名或通过有效性审查的投标人不足3名时为招标失败。招标人分析招标失败原因，修正招标方案，重新组织招标。</w:t>
      </w:r>
    </w:p>
    <w:p>
      <w:pPr>
        <w:widowControl/>
        <w:numPr>
          <w:ilvl w:val="0"/>
          <w:numId w:val="1"/>
        </w:numPr>
        <w:tabs>
          <w:tab w:val="center" w:pos="4415"/>
        </w:tabs>
        <w:adjustRightInd w:val="0"/>
        <w:snapToGrid w:val="0"/>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本公告在中国招投标公共服务平台（www.cebpubservice.com）</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中国招投标网（</w:t>
      </w:r>
      <w:r>
        <w:rPr>
          <w:rFonts w:ascii="宋体" w:hAnsi="宋体" w:eastAsia="宋体" w:cs="宋体"/>
          <w:color w:val="auto"/>
          <w:sz w:val="24"/>
          <w:highlight w:val="none"/>
        </w:rPr>
        <w:t>www.infobidding.com）、中国采购与招标网（www.chinabidding.com.cn)、广东有德招标采购有限公司网站（www.youde.net）</w:t>
      </w:r>
      <w:r>
        <w:rPr>
          <w:rFonts w:hint="eastAsia" w:ascii="宋体" w:hAnsi="宋体" w:eastAsia="宋体" w:cs="宋体"/>
          <w:color w:val="auto"/>
          <w:sz w:val="24"/>
          <w:highlight w:val="none"/>
          <w:lang w:eastAsia="zh-CN"/>
        </w:rPr>
        <w:t>、南方网（https://zbtb.southcn.com/)、《南方日报》</w:t>
      </w:r>
      <w:r>
        <w:rPr>
          <w:rFonts w:ascii="宋体" w:hAnsi="宋体" w:eastAsia="宋体" w:cs="宋体"/>
          <w:color w:val="auto"/>
          <w:sz w:val="24"/>
          <w:highlight w:val="none"/>
        </w:rPr>
        <w:t>发布，本公告的修改、补充，均在上述网站发布。</w:t>
      </w:r>
    </w:p>
    <w:p>
      <w:pPr>
        <w:adjustRightInd w:val="0"/>
        <w:snapToGrid w:val="0"/>
        <w:spacing w:line="360" w:lineRule="auto"/>
        <w:ind w:right="29" w:rightChars="14" w:firstLine="480"/>
        <w:jc w:val="right"/>
        <w:rPr>
          <w:rFonts w:ascii="Times New Roman" w:hAnsi="Times New Roman" w:eastAsia="宋体" w:cs="Times New Roman"/>
          <w:color w:val="auto"/>
          <w:sz w:val="24"/>
          <w:highlight w:val="none"/>
        </w:rPr>
      </w:pPr>
    </w:p>
    <w:p>
      <w:pPr>
        <w:adjustRightInd w:val="0"/>
        <w:snapToGrid w:val="0"/>
        <w:spacing w:line="360" w:lineRule="auto"/>
        <w:ind w:right="29" w:rightChars="14" w:firstLine="480"/>
        <w:jc w:val="right"/>
        <w:rPr>
          <w:rFonts w:ascii="Times New Roman" w:hAnsi="Times New Roman" w:eastAsia="宋体" w:cs="Times New Roman"/>
          <w:color w:val="auto"/>
          <w:sz w:val="24"/>
          <w:highlight w:val="none"/>
        </w:rPr>
      </w:pPr>
    </w:p>
    <w:p>
      <w:pPr>
        <w:adjustRightInd w:val="0"/>
        <w:snapToGrid w:val="0"/>
        <w:spacing w:line="360" w:lineRule="auto"/>
        <w:ind w:right="29" w:rightChars="14" w:firstLine="480"/>
        <w:jc w:val="righ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广东有德招标采购有限公司</w:t>
      </w:r>
    </w:p>
    <w:p>
      <w:pPr>
        <w:adjustRightInd w:val="0"/>
        <w:snapToGrid w:val="0"/>
        <w:spacing w:line="360" w:lineRule="auto"/>
        <w:ind w:right="29" w:rightChars="14" w:firstLine="480"/>
        <w:jc w:val="right"/>
        <w:rPr>
          <w:rFonts w:ascii="宋体" w:hAnsi="宋体" w:eastAsia="宋体" w:cs="宋体"/>
          <w:color w:val="auto"/>
          <w:sz w:val="24"/>
          <w:highlight w:val="none"/>
        </w:rPr>
      </w:pP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27</w:t>
      </w:r>
      <w:r>
        <w:rPr>
          <w:rFonts w:hint="eastAsia" w:ascii="宋体" w:hAnsi="宋体" w:eastAsia="宋体" w:cs="宋体"/>
          <w:color w:val="auto"/>
          <w:sz w:val="24"/>
          <w:szCs w:val="24"/>
          <w:highlight w:val="none"/>
        </w:rPr>
        <w:t>日</w:t>
      </w:r>
    </w:p>
    <w:p>
      <w:pPr>
        <w:keepNext/>
        <w:keepLines/>
        <w:pageBreakBefore w:val="0"/>
        <w:widowControl w:val="0"/>
        <w:kinsoku/>
        <w:wordWrap/>
        <w:overflowPunct/>
        <w:topLinePunct w:val="0"/>
        <w:autoSpaceDE/>
        <w:autoSpaceDN/>
        <w:bidi w:val="0"/>
        <w:adjustRightInd/>
        <w:snapToGrid/>
        <w:spacing w:after="120" w:line="360" w:lineRule="auto"/>
        <w:ind w:left="0"/>
        <w:jc w:val="center"/>
        <w:textAlignment w:val="auto"/>
        <w:outlineLvl w:val="0"/>
        <w:rPr>
          <w:rFonts w:ascii="Times New Roman" w:hAnsi="Times New Roman" w:eastAsia="宋体" w:cs="Times New Roman"/>
          <w:b/>
          <w:color w:val="auto"/>
          <w:kern w:val="44"/>
          <w:sz w:val="28"/>
          <w:szCs w:val="28"/>
          <w:highlight w:val="none"/>
        </w:rPr>
      </w:pPr>
      <w:r>
        <w:rPr>
          <w:rFonts w:ascii="Times New Roman" w:hAnsi="Times New Roman" w:eastAsia="宋体" w:cs="Times New Roman"/>
          <w:color w:val="auto"/>
          <w:kern w:val="44"/>
          <w:sz w:val="28"/>
          <w:szCs w:val="28"/>
          <w:highlight w:val="none"/>
        </w:rPr>
        <w:br w:type="page"/>
      </w:r>
      <w:bookmarkStart w:id="4" w:name="_Toc30130"/>
      <w:bookmarkStart w:id="5" w:name="_Toc19471"/>
      <w:bookmarkStart w:id="6" w:name="_Toc11324"/>
      <w:r>
        <w:rPr>
          <w:rFonts w:ascii="Times New Roman" w:hAnsi="Times New Roman" w:eastAsia="宋体" w:cs="Times New Roman"/>
          <w:b/>
          <w:color w:val="auto"/>
          <w:kern w:val="44"/>
          <w:sz w:val="28"/>
          <w:szCs w:val="28"/>
          <w:highlight w:val="none"/>
        </w:rPr>
        <w:t>第二章 投标须知</w:t>
      </w:r>
      <w:bookmarkEnd w:id="4"/>
      <w:bookmarkEnd w:id="5"/>
      <w:bookmarkEnd w:id="6"/>
    </w:p>
    <w:p>
      <w:pPr>
        <w:keepNext/>
        <w:keepLines/>
        <w:pageBreakBefore w:val="0"/>
        <w:widowControl w:val="0"/>
        <w:numPr>
          <w:ilvl w:val="1"/>
          <w:numId w:val="0"/>
        </w:numPr>
        <w:kinsoku/>
        <w:wordWrap/>
        <w:overflowPunct/>
        <w:topLinePunct w:val="0"/>
        <w:autoSpaceDE/>
        <w:autoSpaceDN/>
        <w:bidi w:val="0"/>
        <w:adjustRightInd/>
        <w:snapToGrid/>
        <w:spacing w:before="120" w:after="120" w:line="415" w:lineRule="auto"/>
        <w:ind w:left="0"/>
        <w:jc w:val="center"/>
        <w:textAlignment w:val="auto"/>
        <w:outlineLvl w:val="1"/>
        <w:rPr>
          <w:rFonts w:ascii="Times New Roman" w:hAnsi="Times New Roman" w:eastAsia="宋体" w:cs="Times New Roman"/>
          <w:b/>
          <w:color w:val="auto"/>
          <w:sz w:val="24"/>
          <w:szCs w:val="24"/>
          <w:highlight w:val="none"/>
        </w:rPr>
      </w:pPr>
      <w:bookmarkStart w:id="7" w:name="_Toc30446"/>
      <w:bookmarkStart w:id="8" w:name="_Toc2272546"/>
      <w:bookmarkStart w:id="9" w:name="_Toc9723"/>
      <w:bookmarkStart w:id="10" w:name="_Toc25242"/>
      <w:r>
        <w:rPr>
          <w:rFonts w:ascii="Times New Roman" w:hAnsi="Times New Roman" w:eastAsia="宋体" w:cs="Times New Roman"/>
          <w:b/>
          <w:color w:val="auto"/>
          <w:sz w:val="24"/>
          <w:szCs w:val="24"/>
          <w:highlight w:val="none"/>
        </w:rPr>
        <w:t>一、投标须知前附表</w:t>
      </w:r>
      <w:bookmarkEnd w:id="7"/>
      <w:bookmarkEnd w:id="8"/>
      <w:bookmarkEnd w:id="9"/>
      <w:bookmarkEnd w:id="10"/>
    </w:p>
    <w:p>
      <w:pPr>
        <w:spacing w:line="360" w:lineRule="auto"/>
        <w:ind w:firstLine="482"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本表的条款项号是与本章《投标人须知》条款项号对应的，或增加的条款，是对本章的补充、修改和完善，均已在本表中注明</w:t>
      </w:r>
      <w:r>
        <w:rPr>
          <w:rFonts w:hint="eastAsia" w:ascii="Times New Roman" w:hAnsi="Times New Roman" w:eastAsia="宋体" w:cs="Times New Roman"/>
          <w:b/>
          <w:color w:val="auto"/>
          <w:sz w:val="24"/>
          <w:szCs w:val="24"/>
          <w:highlight w:val="none"/>
        </w:rPr>
        <w:t>。</w:t>
      </w:r>
      <w:r>
        <w:rPr>
          <w:rFonts w:ascii="Times New Roman" w:hAnsi="Times New Roman" w:eastAsia="宋体" w:cs="Times New Roman"/>
          <w:b/>
          <w:color w:val="auto"/>
          <w:sz w:val="24"/>
          <w:szCs w:val="24"/>
          <w:highlight w:val="none"/>
        </w:rPr>
        <w:t>若有矛盾，以此表为准。</w:t>
      </w:r>
    </w:p>
    <w:tbl>
      <w:tblPr>
        <w:tblStyle w:val="38"/>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958"/>
        <w:gridCol w:w="1367"/>
        <w:gridCol w:w="55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400" w:type="pct"/>
            <w:tcBorders>
              <w:top w:val="double" w:color="auto" w:sz="4" w:space="0"/>
              <w:left w:val="double" w:color="auto" w:sz="4" w:space="0"/>
              <w:bottom w:val="single" w:color="auto" w:sz="4" w:space="0"/>
              <w:right w:val="single" w:color="auto" w:sz="4" w:space="0"/>
            </w:tcBorders>
            <w:shd w:val="clear" w:color="auto" w:fill="D7D7D7"/>
            <w:vAlign w:val="center"/>
          </w:tcPr>
          <w:p>
            <w:pPr>
              <w:adjustRightInd w:val="0"/>
              <w:snapToGrid w:val="0"/>
              <w:spacing w:line="400" w:lineRule="exact"/>
              <w:rPr>
                <w:rFonts w:ascii="Times New Roman" w:hAnsi="Times New Roman" w:eastAsia="宋体" w:cs="Times New Roman"/>
                <w:b/>
                <w:bCs/>
                <w:color w:val="auto"/>
                <w:sz w:val="22"/>
                <w:szCs w:val="22"/>
                <w:highlight w:val="none"/>
              </w:rPr>
            </w:pPr>
            <w:r>
              <w:rPr>
                <w:rFonts w:ascii="Times New Roman" w:hAnsi="Times New Roman" w:eastAsia="宋体" w:cs="Times New Roman"/>
                <w:b/>
                <w:bCs/>
                <w:color w:val="auto"/>
                <w:sz w:val="22"/>
                <w:szCs w:val="22"/>
                <w:highlight w:val="none"/>
              </w:rPr>
              <w:t>项目</w:t>
            </w:r>
          </w:p>
        </w:tc>
        <w:tc>
          <w:tcPr>
            <w:tcW w:w="562" w:type="pct"/>
            <w:tcBorders>
              <w:top w:val="double" w:color="auto" w:sz="4" w:space="0"/>
              <w:left w:val="single" w:color="auto" w:sz="4" w:space="0"/>
              <w:bottom w:val="single" w:color="auto" w:sz="4" w:space="0"/>
              <w:right w:val="single" w:color="auto" w:sz="4" w:space="0"/>
            </w:tcBorders>
            <w:shd w:val="clear" w:color="auto" w:fill="D7D7D7"/>
            <w:vAlign w:val="center"/>
          </w:tcPr>
          <w:p>
            <w:pPr>
              <w:adjustRightInd w:val="0"/>
              <w:snapToGrid w:val="0"/>
              <w:spacing w:line="400" w:lineRule="exact"/>
              <w:rPr>
                <w:rFonts w:ascii="Times New Roman" w:hAnsi="Times New Roman" w:eastAsia="宋体" w:cs="Times New Roman"/>
                <w:b/>
                <w:bCs/>
                <w:color w:val="auto"/>
                <w:sz w:val="22"/>
                <w:szCs w:val="22"/>
                <w:highlight w:val="none"/>
              </w:rPr>
            </w:pPr>
            <w:r>
              <w:rPr>
                <w:rFonts w:ascii="Times New Roman" w:hAnsi="Times New Roman" w:eastAsia="宋体" w:cs="Times New Roman"/>
                <w:b/>
                <w:bCs/>
                <w:color w:val="auto"/>
                <w:sz w:val="22"/>
                <w:szCs w:val="22"/>
                <w:highlight w:val="none"/>
              </w:rPr>
              <w:t>条款号</w:t>
            </w:r>
          </w:p>
        </w:tc>
        <w:tc>
          <w:tcPr>
            <w:tcW w:w="802" w:type="pct"/>
            <w:tcBorders>
              <w:top w:val="double" w:color="auto" w:sz="4" w:space="0"/>
              <w:left w:val="single" w:color="auto" w:sz="4" w:space="0"/>
              <w:bottom w:val="single" w:color="auto" w:sz="4" w:space="0"/>
              <w:right w:val="single" w:color="auto" w:sz="4" w:space="0"/>
            </w:tcBorders>
            <w:shd w:val="clear" w:color="auto" w:fill="D7D7D7"/>
            <w:vAlign w:val="center"/>
          </w:tcPr>
          <w:p>
            <w:pPr>
              <w:adjustRightInd w:val="0"/>
              <w:snapToGrid w:val="0"/>
              <w:spacing w:line="400" w:lineRule="exact"/>
              <w:ind w:firstLine="458"/>
              <w:rPr>
                <w:rFonts w:ascii="Times New Roman" w:hAnsi="Times New Roman" w:eastAsia="宋体" w:cs="Times New Roman"/>
                <w:b/>
                <w:bCs/>
                <w:color w:val="auto"/>
                <w:sz w:val="22"/>
                <w:szCs w:val="22"/>
                <w:highlight w:val="none"/>
              </w:rPr>
            </w:pPr>
            <w:r>
              <w:rPr>
                <w:rFonts w:ascii="Times New Roman" w:hAnsi="Times New Roman" w:eastAsia="宋体" w:cs="Times New Roman"/>
                <w:b/>
                <w:bCs/>
                <w:color w:val="auto"/>
                <w:sz w:val="22"/>
                <w:szCs w:val="22"/>
                <w:highlight w:val="none"/>
              </w:rPr>
              <w:t>内容</w:t>
            </w:r>
          </w:p>
        </w:tc>
        <w:tc>
          <w:tcPr>
            <w:tcW w:w="3234" w:type="pct"/>
            <w:tcBorders>
              <w:top w:val="double" w:color="auto" w:sz="4" w:space="0"/>
              <w:left w:val="single" w:color="auto" w:sz="4" w:space="0"/>
              <w:bottom w:val="single" w:color="auto" w:sz="4" w:space="0"/>
              <w:right w:val="double" w:color="auto" w:sz="4" w:space="0"/>
            </w:tcBorders>
            <w:shd w:val="clear" w:color="auto" w:fill="D7D7D7"/>
            <w:vAlign w:val="center"/>
          </w:tcPr>
          <w:p>
            <w:pPr>
              <w:adjustRightInd w:val="0"/>
              <w:snapToGrid w:val="0"/>
              <w:spacing w:line="400" w:lineRule="exact"/>
              <w:ind w:firstLine="458"/>
              <w:jc w:val="center"/>
              <w:rPr>
                <w:rFonts w:ascii="Times New Roman" w:hAnsi="Times New Roman" w:eastAsia="宋体" w:cs="Times New Roman"/>
                <w:b/>
                <w:bCs/>
                <w:color w:val="auto"/>
                <w:sz w:val="22"/>
                <w:szCs w:val="22"/>
                <w:highlight w:val="none"/>
              </w:rPr>
            </w:pPr>
            <w:r>
              <w:rPr>
                <w:rFonts w:ascii="Times New Roman" w:hAnsi="Times New Roman" w:eastAsia="宋体" w:cs="Times New Roman"/>
                <w:b/>
                <w:bCs/>
                <w:color w:val="auto"/>
                <w:sz w:val="22"/>
                <w:szCs w:val="22"/>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定义</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hint="eastAsia" w:ascii="Times New Roman" w:hAnsi="Times New Roman" w:eastAsia="宋体" w:cs="Times New Roman"/>
                <w:color w:val="auto"/>
                <w:sz w:val="22"/>
                <w:szCs w:val="22"/>
                <w:highlight w:val="none"/>
                <w:lang w:eastAsia="zh-CN"/>
              </w:rPr>
            </w:pPr>
            <w:r>
              <w:rPr>
                <w:rFonts w:ascii="Times New Roman" w:hAnsi="Times New Roman" w:eastAsia="宋体" w:cs="Times New Roman"/>
                <w:color w:val="auto"/>
                <w:sz w:val="22"/>
                <w:szCs w:val="22"/>
                <w:highlight w:val="none"/>
              </w:rPr>
              <w:t>招标人（即发包人）：</w:t>
            </w:r>
            <w:r>
              <w:rPr>
                <w:rFonts w:hint="eastAsia" w:ascii="Times New Roman" w:hAnsi="Times New Roman" w:eastAsia="宋体" w:cs="Times New Roman"/>
                <w:color w:val="auto"/>
                <w:sz w:val="22"/>
                <w:szCs w:val="22"/>
                <w:highlight w:val="none"/>
                <w:u w:val="single"/>
                <w:lang w:eastAsia="zh-CN"/>
              </w:rPr>
              <w:t>广东南方报业传媒集团物业管理有限公司</w:t>
            </w:r>
          </w:p>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招标代理：</w:t>
            </w:r>
            <w:r>
              <w:rPr>
                <w:rFonts w:ascii="Times New Roman" w:hAnsi="Times New Roman" w:eastAsia="宋体" w:cs="Times New Roman"/>
                <w:color w:val="auto"/>
                <w:sz w:val="22"/>
                <w:szCs w:val="22"/>
                <w:highlight w:val="none"/>
                <w:u w:val="single"/>
              </w:rPr>
              <w:t>广东有德招标采购有限公司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工程名称</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hint="eastAsia" w:ascii="Times New Roman" w:hAnsi="Times New Roman" w:eastAsia="宋体" w:cs="Times New Roman"/>
                <w:color w:val="auto"/>
                <w:sz w:val="22"/>
                <w:szCs w:val="22"/>
                <w:highlight w:val="none"/>
                <w:u w:val="single"/>
                <w:lang w:eastAsia="zh-CN"/>
              </w:rPr>
            </w:pPr>
            <w:r>
              <w:rPr>
                <w:rFonts w:hint="eastAsia" w:ascii="Times New Roman" w:hAnsi="Times New Roman" w:eastAsia="宋体" w:cs="Times New Roman"/>
                <w:color w:val="auto"/>
                <w:sz w:val="22"/>
                <w:szCs w:val="22"/>
                <w:highlight w:val="none"/>
                <w:u w:val="single"/>
                <w:lang w:eastAsia="zh-CN"/>
              </w:rPr>
              <w:t>传媒大厦中央空调供暖及精密空调改造项目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3</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建设地点</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hint="eastAsia" w:ascii="Times New Roman" w:hAnsi="Times New Roman" w:eastAsia="宋体" w:cs="Times New Roman"/>
                <w:color w:val="auto"/>
                <w:sz w:val="22"/>
                <w:szCs w:val="22"/>
                <w:highlight w:val="none"/>
                <w:u w:val="single"/>
                <w:lang w:eastAsia="zh-CN"/>
              </w:rPr>
            </w:pPr>
            <w:r>
              <w:rPr>
                <w:rFonts w:hint="eastAsia" w:ascii="Times New Roman" w:hAnsi="Times New Roman" w:eastAsia="宋体" w:cs="Times New Roman"/>
                <w:color w:val="auto"/>
                <w:sz w:val="22"/>
                <w:szCs w:val="22"/>
                <w:highlight w:val="none"/>
                <w:u w:val="single"/>
                <w:lang w:eastAsia="zh-CN"/>
              </w:rPr>
              <w:t>广州大道中289号1号楼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4</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建设规模</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u w:val="single"/>
              </w:rPr>
            </w:pPr>
            <w:r>
              <w:rPr>
                <w:rFonts w:hint="eastAsia" w:ascii="Times New Roman" w:hAnsi="Times New Roman" w:eastAsia="宋体" w:cs="Times New Roman"/>
                <w:color w:val="auto"/>
                <w:sz w:val="22"/>
                <w:szCs w:val="22"/>
                <w:highlight w:val="none"/>
                <w:u w:val="single"/>
                <w:lang w:eastAsia="zh-CN"/>
              </w:rPr>
              <w:t>详见招标公告内容</w:t>
            </w:r>
            <w:r>
              <w:rPr>
                <w:rFonts w:hint="eastAsia" w:ascii="Times New Roman" w:hAnsi="Times New Roman" w:eastAsia="宋体" w:cs="Times New Roman"/>
                <w:color w:val="auto"/>
                <w:sz w:val="22"/>
                <w:szCs w:val="22"/>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5</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承包方式</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u w:val="single"/>
              </w:rPr>
              <w:t>采用</w:t>
            </w:r>
            <w:r>
              <w:rPr>
                <w:rFonts w:hint="eastAsia" w:ascii="Times New Roman" w:hAnsi="Times New Roman" w:eastAsia="宋体" w:cs="Times New Roman"/>
                <w:color w:val="auto"/>
                <w:sz w:val="22"/>
                <w:szCs w:val="22"/>
                <w:highlight w:val="none"/>
                <w:u w:val="single"/>
              </w:rPr>
              <w:t>总价包干的</w:t>
            </w:r>
            <w:r>
              <w:rPr>
                <w:rFonts w:ascii="Times New Roman" w:hAnsi="Times New Roman" w:eastAsia="宋体" w:cs="Times New Roman"/>
                <w:color w:val="auto"/>
                <w:sz w:val="22"/>
                <w:szCs w:val="22"/>
                <w:highlight w:val="none"/>
                <w:u w:val="single"/>
              </w:rPr>
              <w:t>合同方式（即</w:t>
            </w:r>
            <w:r>
              <w:rPr>
                <w:rFonts w:hint="eastAsia" w:ascii="Times New Roman" w:hAnsi="Times New Roman" w:eastAsia="宋体" w:cs="Times New Roman"/>
                <w:color w:val="auto"/>
                <w:sz w:val="22"/>
                <w:szCs w:val="22"/>
                <w:highlight w:val="none"/>
                <w:u w:val="single"/>
                <w:lang w:val="en-US" w:eastAsia="zh-CN"/>
              </w:rPr>
              <w:t>包计划、</w:t>
            </w:r>
            <w:r>
              <w:rPr>
                <w:rFonts w:ascii="Times New Roman" w:hAnsi="Times New Roman" w:eastAsia="宋体" w:cs="Times New Roman"/>
                <w:color w:val="auto"/>
                <w:sz w:val="22"/>
                <w:szCs w:val="22"/>
                <w:highlight w:val="none"/>
                <w:u w:val="single"/>
              </w:rPr>
              <w:t>包工、包料、包工期、包质量、包安全、包文明施工、包税、包利润等）。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6</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质量标准</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u w:val="single"/>
              </w:rPr>
            </w:pPr>
            <w:r>
              <w:rPr>
                <w:rFonts w:ascii="Times New Roman" w:hAnsi="Times New Roman" w:eastAsia="宋体" w:cs="Times New Roman"/>
                <w:color w:val="auto"/>
                <w:sz w:val="22"/>
                <w:szCs w:val="22"/>
                <w:highlight w:val="none"/>
                <w:u w:val="single"/>
              </w:rPr>
              <w:t>工程质量符合国家现行施工质量验收规范，达到合格标准。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7</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招标范围</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u w:val="single"/>
              </w:rPr>
            </w:pPr>
            <w:r>
              <w:rPr>
                <w:rFonts w:hint="eastAsia" w:ascii="Times New Roman" w:hAnsi="Times New Roman" w:eastAsia="宋体" w:cs="Times New Roman"/>
                <w:color w:val="auto"/>
                <w:sz w:val="22"/>
                <w:szCs w:val="22"/>
                <w:highlight w:val="none"/>
                <w:u w:val="single"/>
              </w:rPr>
              <w:t>详见招标公告内容。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8</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工期要求</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default" w:ascii="Times New Roman" w:hAnsi="Times New Roman" w:eastAsia="宋体" w:cs="Times New Roman"/>
                <w:color w:val="auto"/>
                <w:sz w:val="22"/>
                <w:szCs w:val="22"/>
                <w:highlight w:val="none"/>
                <w:u w:val="none"/>
                <w:lang w:val="en-US" w:eastAsia="zh-CN"/>
              </w:rPr>
              <w:t>75</w:t>
            </w:r>
            <w:r>
              <w:rPr>
                <w:rFonts w:ascii="Times New Roman" w:hAnsi="Times New Roman" w:eastAsia="宋体" w:cs="Times New Roman"/>
                <w:color w:val="auto"/>
                <w:sz w:val="22"/>
                <w:szCs w:val="22"/>
                <w:highlight w:val="none"/>
              </w:rPr>
              <w:t xml:space="preserve">日历天（欢迎各投标人合理缩短工期）。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9</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3.1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资金来源</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u w:val="single"/>
              </w:rPr>
            </w:pPr>
            <w:r>
              <w:rPr>
                <w:rFonts w:hint="eastAsia" w:ascii="Times New Roman" w:hAnsi="Times New Roman" w:eastAsia="宋体" w:cs="Times New Roman"/>
                <w:color w:val="auto"/>
                <w:sz w:val="22"/>
                <w:szCs w:val="22"/>
                <w:highlight w:val="none"/>
                <w:u w:val="single"/>
              </w:rPr>
              <w:t>自筹</w:t>
            </w:r>
            <w:r>
              <w:rPr>
                <w:rFonts w:ascii="Times New Roman" w:hAnsi="Times New Roman" w:eastAsia="宋体" w:cs="Times New Roman"/>
                <w:color w:val="auto"/>
                <w:sz w:val="22"/>
                <w:szCs w:val="22"/>
                <w:highlight w:val="none"/>
                <w:u w:val="single"/>
              </w:rPr>
              <w:t>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10</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4.1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投标人资质等级及项目负责人等级要求</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11</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58"/>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资格审查方式</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12</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13.1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报价以及单价和总价计算方式</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lang w:eastAsia="zh-CN"/>
              </w:rPr>
              <w:t>总价包干</w:t>
            </w:r>
            <w:r>
              <w:rPr>
                <w:rFonts w:ascii="Times New Roman" w:hAnsi="Times New Roman" w:eastAsia="宋体" w:cs="Times New Roman"/>
                <w:color w:val="auto"/>
                <w:sz w:val="22"/>
                <w:szCs w:val="22"/>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13</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15.1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投标有效期</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u w:val="single"/>
              </w:rPr>
            </w:pPr>
            <w:r>
              <w:rPr>
                <w:rFonts w:ascii="Times New Roman" w:hAnsi="Times New Roman" w:eastAsia="宋体" w:cs="Times New Roman"/>
                <w:color w:val="auto"/>
                <w:sz w:val="22"/>
                <w:szCs w:val="22"/>
                <w:highlight w:val="none"/>
                <w:u w:val="single"/>
              </w:rPr>
              <w:t xml:space="preserve"> 90 </w:t>
            </w:r>
            <w:r>
              <w:rPr>
                <w:rFonts w:ascii="Times New Roman" w:hAnsi="Times New Roman" w:eastAsia="宋体" w:cs="Times New Roman"/>
                <w:color w:val="auto"/>
                <w:sz w:val="22"/>
                <w:szCs w:val="22"/>
                <w:highlight w:val="none"/>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14</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16.1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投标保证金</w:t>
            </w:r>
          </w:p>
        </w:tc>
        <w:tc>
          <w:tcPr>
            <w:tcW w:w="3234" w:type="pct"/>
            <w:tcBorders>
              <w:top w:val="single" w:color="auto" w:sz="4" w:space="0"/>
              <w:left w:val="single" w:color="auto" w:sz="4" w:space="0"/>
              <w:bottom w:val="single" w:color="auto" w:sz="4" w:space="0"/>
              <w:right w:val="double" w:color="auto" w:sz="4" w:space="0"/>
            </w:tcBorders>
            <w:vAlign w:val="center"/>
          </w:tcPr>
          <w:p>
            <w:pPr>
              <w:numPr>
                <w:ilvl w:val="0"/>
                <w:numId w:val="7"/>
              </w:num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本项目投标保证金：</w:t>
            </w:r>
            <w:r>
              <w:rPr>
                <w:rFonts w:hint="eastAsia" w:ascii="Times New Roman" w:hAnsi="Times New Roman" w:eastAsia="宋体" w:cs="Times New Roman"/>
                <w:color w:val="auto"/>
                <w:sz w:val="22"/>
                <w:szCs w:val="22"/>
                <w:highlight w:val="none"/>
              </w:rPr>
              <w:t>人民币</w:t>
            </w:r>
            <w:r>
              <w:rPr>
                <w:rFonts w:hint="eastAsia" w:ascii="Times New Roman" w:hAnsi="Times New Roman" w:eastAsia="宋体" w:cs="Times New Roman"/>
                <w:color w:val="auto"/>
                <w:sz w:val="22"/>
                <w:szCs w:val="22"/>
                <w:highlight w:val="none"/>
                <w:lang w:eastAsia="zh-CN"/>
              </w:rPr>
              <w:t>伍万元整</w:t>
            </w:r>
            <w:r>
              <w:rPr>
                <w:rFonts w:hint="eastAsia" w:ascii="Times New Roman" w:hAnsi="Times New Roman" w:eastAsia="宋体" w:cs="Times New Roman"/>
                <w:color w:val="auto"/>
                <w:sz w:val="22"/>
                <w:szCs w:val="22"/>
                <w:highlight w:val="none"/>
              </w:rPr>
              <w:t>（￥</w:t>
            </w:r>
            <w:r>
              <w:rPr>
                <w:rFonts w:hint="eastAsia" w:ascii="Times New Roman" w:hAnsi="Times New Roman" w:eastAsia="宋体" w:cs="Times New Roman"/>
                <w:color w:val="auto"/>
                <w:sz w:val="22"/>
                <w:szCs w:val="22"/>
                <w:highlight w:val="none"/>
                <w:lang w:val="en-US" w:eastAsia="zh-CN"/>
              </w:rPr>
              <w:t>5</w:t>
            </w:r>
            <w:r>
              <w:rPr>
                <w:rFonts w:hint="eastAsia" w:ascii="Times New Roman" w:hAnsi="Times New Roman" w:eastAsia="宋体" w:cs="Times New Roman"/>
                <w:color w:val="auto"/>
                <w:sz w:val="22"/>
                <w:szCs w:val="22"/>
                <w:highlight w:val="none"/>
              </w:rPr>
              <w:t xml:space="preserve">0000.00）     </w:t>
            </w:r>
          </w:p>
          <w:p>
            <w:pPr>
              <w:numPr>
                <w:ilvl w:val="0"/>
                <w:numId w:val="7"/>
              </w:num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投标保证金作为供应商投标的组成部分，与投标文件一同递交。</w:t>
            </w:r>
          </w:p>
          <w:p>
            <w:pPr>
              <w:numPr>
                <w:ilvl w:val="0"/>
                <w:numId w:val="7"/>
              </w:num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投标保证金应当以支票、汇票、本票或者金融机构、担保机构出具的保函等非现金形式提交。</w:t>
            </w:r>
          </w:p>
          <w:p>
            <w:pPr>
              <w:numPr>
                <w:ilvl w:val="0"/>
                <w:numId w:val="7"/>
              </w:num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投标保证金以转账形式递交的，请务必按以下信息填写汇款单</w:t>
            </w:r>
            <w:r>
              <w:rPr>
                <w:rFonts w:ascii="Times New Roman" w:hAnsi="Times New Roman" w:eastAsia="宋体" w:cs="Times New Roman"/>
                <w:color w:val="auto"/>
                <w:sz w:val="22"/>
                <w:szCs w:val="22"/>
                <w:highlight w:val="none"/>
                <w:lang w:val="zh-CN"/>
              </w:rPr>
              <w:t>：</w:t>
            </w:r>
          </w:p>
          <w:p>
            <w:pPr>
              <w:adjustRightInd w:val="0"/>
              <w:snapToGrid w:val="0"/>
              <w:spacing w:line="400" w:lineRule="exact"/>
              <w:ind w:left="448" w:leftChars="180" w:hanging="70" w:hangingChars="32"/>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收款单位名称：广东有德招标采购有限公司</w:t>
            </w:r>
          </w:p>
          <w:p>
            <w:pPr>
              <w:adjustRightInd w:val="0"/>
              <w:snapToGrid w:val="0"/>
              <w:spacing w:line="400" w:lineRule="exact"/>
              <w:ind w:left="448" w:leftChars="180" w:hanging="70" w:hangingChars="32"/>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开户银行：招商银行广州天润路支行</w:t>
            </w:r>
          </w:p>
          <w:p>
            <w:pPr>
              <w:adjustRightInd w:val="0"/>
              <w:snapToGrid w:val="0"/>
              <w:spacing w:line="400" w:lineRule="exact"/>
              <w:ind w:left="448" w:leftChars="180" w:hanging="70" w:hangingChars="32"/>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账号：120906120910101</w:t>
            </w:r>
          </w:p>
          <w:p>
            <w:pPr>
              <w:adjustRightInd w:val="0"/>
              <w:snapToGrid w:val="0"/>
              <w:spacing w:line="400" w:lineRule="exact"/>
              <w:ind w:left="448" w:leftChars="180" w:hanging="70" w:hangingChars="32"/>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联系人：江小姐、余小姐</w:t>
            </w:r>
          </w:p>
          <w:p>
            <w:pPr>
              <w:adjustRightInd w:val="0"/>
              <w:snapToGrid w:val="0"/>
              <w:spacing w:line="400" w:lineRule="exact"/>
              <w:ind w:left="448" w:leftChars="180" w:hanging="70" w:hangingChars="32"/>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联系电话：</w:t>
            </w:r>
            <w:r>
              <w:rPr>
                <w:rFonts w:hint="eastAsia" w:ascii="Times New Roman" w:hAnsi="Times New Roman" w:eastAsia="宋体" w:cs="Times New Roman"/>
                <w:color w:val="auto"/>
                <w:sz w:val="22"/>
                <w:szCs w:val="22"/>
                <w:highlight w:val="none"/>
              </w:rPr>
              <w:t>020-</w:t>
            </w:r>
            <w:r>
              <w:rPr>
                <w:rFonts w:ascii="Times New Roman" w:hAnsi="Times New Roman" w:eastAsia="宋体" w:cs="Times New Roman"/>
                <w:color w:val="auto"/>
                <w:sz w:val="22"/>
                <w:szCs w:val="22"/>
                <w:highlight w:val="none"/>
              </w:rPr>
              <w:t>87595661、</w:t>
            </w:r>
            <w:r>
              <w:rPr>
                <w:rFonts w:hint="eastAsia" w:ascii="Times New Roman" w:hAnsi="Times New Roman" w:eastAsia="宋体" w:cs="Times New Roman"/>
                <w:color w:val="auto"/>
                <w:sz w:val="22"/>
                <w:szCs w:val="22"/>
                <w:highlight w:val="none"/>
              </w:rPr>
              <w:t>020-</w:t>
            </w:r>
            <w:r>
              <w:rPr>
                <w:rFonts w:ascii="Times New Roman" w:hAnsi="Times New Roman" w:eastAsia="宋体" w:cs="Times New Roman"/>
                <w:color w:val="auto"/>
                <w:sz w:val="22"/>
                <w:szCs w:val="22"/>
                <w:highlight w:val="none"/>
              </w:rPr>
              <w:t>87595690</w:t>
            </w:r>
          </w:p>
          <w:p>
            <w:pPr>
              <w:wordWrap w:val="0"/>
              <w:adjustRightInd w:val="0"/>
              <w:snapToGrid w:val="0"/>
              <w:spacing w:line="400" w:lineRule="exact"/>
              <w:ind w:left="319" w:leftChars="152"/>
              <w:rPr>
                <w:rFonts w:ascii="Times New Roman" w:hAnsi="Times New Roman" w:eastAsia="宋体" w:cs="Times New Roman"/>
                <w:b/>
                <w:color w:val="auto"/>
                <w:sz w:val="22"/>
                <w:szCs w:val="22"/>
                <w:highlight w:val="none"/>
              </w:rPr>
            </w:pPr>
            <w:r>
              <w:rPr>
                <w:rFonts w:ascii="Times New Roman" w:hAnsi="Times New Roman" w:eastAsia="宋体" w:cs="Times New Roman"/>
                <w:b/>
                <w:color w:val="auto"/>
                <w:sz w:val="22"/>
                <w:szCs w:val="22"/>
                <w:highlight w:val="none"/>
              </w:rPr>
              <w:t>注：</w:t>
            </w:r>
            <w:r>
              <w:rPr>
                <w:rFonts w:ascii="Times New Roman" w:hAnsi="Times New Roman" w:eastAsia="宋体" w:cs="Times New Roman"/>
                <w:b/>
                <w:color w:val="auto"/>
                <w:sz w:val="22"/>
                <w:szCs w:val="22"/>
                <w:highlight w:val="none"/>
                <w:lang w:val="zh-CN"/>
              </w:rPr>
              <w:t>投标人请在缴款凭证备注栏写明“</w:t>
            </w:r>
            <w:r>
              <w:rPr>
                <w:rFonts w:ascii="Times New Roman" w:hAnsi="Times New Roman" w:eastAsia="宋体" w:cs="Times New Roman"/>
                <w:b/>
                <w:color w:val="auto"/>
                <w:sz w:val="22"/>
                <w:szCs w:val="22"/>
                <w:highlight w:val="none"/>
                <w:u w:val="single"/>
                <w:lang w:val="zh-CN"/>
              </w:rPr>
              <w:t>项目编号：</w:t>
            </w:r>
            <w:r>
              <w:rPr>
                <w:rFonts w:hint="eastAsia" w:ascii="Times New Roman" w:hAnsi="Times New Roman" w:eastAsia="宋体" w:cs="Times New Roman"/>
                <w:b/>
                <w:color w:val="auto"/>
                <w:sz w:val="22"/>
                <w:szCs w:val="22"/>
                <w:highlight w:val="none"/>
                <w:u w:val="single"/>
                <w:lang w:eastAsia="zh-CN"/>
              </w:rPr>
              <w:t>1210-2340YDZB6746</w:t>
            </w:r>
            <w:r>
              <w:rPr>
                <w:rFonts w:ascii="Times New Roman" w:hAnsi="Times New Roman" w:eastAsia="宋体" w:cs="Times New Roman"/>
                <w:b/>
                <w:color w:val="auto"/>
                <w:sz w:val="22"/>
                <w:szCs w:val="22"/>
                <w:highlight w:val="none"/>
                <w:lang w:val="zh-CN"/>
              </w:rPr>
              <w:t>投标保证金”，以便查询。</w:t>
            </w:r>
            <w:r>
              <w:rPr>
                <w:rFonts w:ascii="Times New Roman" w:hAnsi="Times New Roman" w:eastAsia="宋体" w:cs="Times New Roman"/>
                <w:b/>
                <w:color w:val="auto"/>
                <w:sz w:val="22"/>
                <w:szCs w:val="22"/>
                <w:highlight w:val="none"/>
              </w:rPr>
              <w:t>（上述账号只接受以投标人名义的转账，不接受以个人名义及其他款项的转账）</w:t>
            </w:r>
          </w:p>
          <w:p>
            <w:pPr>
              <w:numPr>
                <w:ilvl w:val="0"/>
                <w:numId w:val="7"/>
              </w:numPr>
              <w:adjustRightInd w:val="0"/>
              <w:snapToGrid w:val="0"/>
              <w:spacing w:line="400" w:lineRule="exact"/>
              <w:rPr>
                <w:rFonts w:ascii="Times New Roman" w:hAnsi="Times New Roman" w:eastAsia="宋体" w:cs="Times New Roman"/>
                <w:color w:val="auto"/>
                <w:sz w:val="22"/>
                <w:szCs w:val="22"/>
                <w:highlight w:val="none"/>
                <w:u w:val="single"/>
              </w:rPr>
            </w:pPr>
            <w:r>
              <w:rPr>
                <w:rFonts w:ascii="Times New Roman" w:hAnsi="Times New Roman" w:eastAsia="宋体" w:cs="Times New Roman"/>
                <w:color w:val="auto"/>
                <w:sz w:val="22"/>
                <w:szCs w:val="22"/>
                <w:highlight w:val="none"/>
                <w:lang w:val="zh-CN"/>
              </w:rPr>
              <w:t>有效期：投标保证金应在投标有效期内有效。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15</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5</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踏勘现场</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时间：2023年10月11日9时30分至2023年10月11日12时00分</w:t>
            </w:r>
          </w:p>
          <w:p>
            <w:pPr>
              <w:adjustRightInd w:val="0"/>
              <w:snapToGrid w:val="0"/>
              <w:spacing w:line="400" w:lineRule="exact"/>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地点：广东省广州市越秀区广州大道中289号</w:t>
            </w:r>
          </w:p>
          <w:p>
            <w:pPr>
              <w:adjustRightInd w:val="0"/>
              <w:snapToGrid w:val="0"/>
              <w:spacing w:line="400" w:lineRule="exact"/>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 xml:space="preserve">联系人：邓先生 </w:t>
            </w:r>
          </w:p>
          <w:p>
            <w:pPr>
              <w:adjustRightInd w:val="0"/>
              <w:snapToGrid w:val="0"/>
              <w:spacing w:line="400" w:lineRule="exact"/>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联系电话：15602389467</w:t>
            </w:r>
          </w:p>
          <w:p>
            <w:pPr>
              <w:adjustRightInd w:val="0"/>
              <w:snapToGrid w:val="0"/>
              <w:spacing w:line="400" w:lineRule="exact"/>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rPr>
              <w:t>请每家潜在投标人可安排不超过2人出席，并须携带本人身份证及加盖投标单位公章的介绍信（证明函）。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16</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8</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投标答疑</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招标人不集中组织，若投标人对招标文件有异议，可在递交投标文件截止</w:t>
            </w:r>
            <w:r>
              <w:rPr>
                <w:rFonts w:hint="eastAsia" w:ascii="Times New Roman" w:hAnsi="Times New Roman" w:eastAsia="宋体" w:cs="Times New Roman"/>
                <w:color w:val="auto"/>
                <w:sz w:val="22"/>
                <w:szCs w:val="22"/>
                <w:highlight w:val="none"/>
              </w:rPr>
              <w:t>时间</w:t>
            </w:r>
            <w:r>
              <w:rPr>
                <w:rFonts w:hint="eastAsia" w:ascii="Times New Roman" w:hAnsi="Times New Roman" w:eastAsia="宋体" w:cs="Times New Roman"/>
                <w:color w:val="auto"/>
                <w:sz w:val="22"/>
                <w:szCs w:val="22"/>
                <w:highlight w:val="none"/>
                <w:u w:val="single"/>
              </w:rPr>
              <w:t>16</w:t>
            </w:r>
            <w:r>
              <w:rPr>
                <w:rFonts w:ascii="Times New Roman" w:hAnsi="Times New Roman" w:eastAsia="宋体" w:cs="Times New Roman"/>
                <w:color w:val="auto"/>
                <w:sz w:val="22"/>
                <w:szCs w:val="22"/>
                <w:highlight w:val="none"/>
              </w:rPr>
              <w:t>日</w:t>
            </w:r>
            <w:r>
              <w:rPr>
                <w:rFonts w:hint="eastAsia" w:ascii="Times New Roman" w:hAnsi="Times New Roman" w:eastAsia="宋体" w:cs="Times New Roman"/>
                <w:color w:val="auto"/>
                <w:sz w:val="22"/>
                <w:szCs w:val="22"/>
                <w:highlight w:val="none"/>
              </w:rPr>
              <w:t>前</w:t>
            </w:r>
            <w:r>
              <w:rPr>
                <w:rFonts w:ascii="Times New Roman" w:hAnsi="Times New Roman" w:eastAsia="宋体" w:cs="Times New Roman"/>
                <w:color w:val="auto"/>
                <w:sz w:val="22"/>
                <w:szCs w:val="22"/>
                <w:highlight w:val="none"/>
              </w:rPr>
              <w:t>提出，并发扫描件至招标代理机构邮箱（</w:t>
            </w:r>
            <w:r>
              <w:rPr>
                <w:rFonts w:hint="eastAsia" w:ascii="Times New Roman" w:hAnsi="Times New Roman" w:eastAsia="宋体" w:cs="Times New Roman"/>
                <w:color w:val="auto"/>
                <w:sz w:val="22"/>
                <w:szCs w:val="22"/>
                <w:highlight w:val="none"/>
              </w:rPr>
              <w:t>E－mail：youde_zb@163.com</w:t>
            </w:r>
            <w:r>
              <w:rPr>
                <w:rFonts w:ascii="Times New Roman" w:hAnsi="Times New Roman" w:eastAsia="宋体" w:cs="Times New Roman"/>
                <w:color w:val="auto"/>
                <w:sz w:val="22"/>
                <w:szCs w:val="22"/>
                <w:highlight w:val="none"/>
              </w:rPr>
              <w:t xml:space="preserve"> </w:t>
            </w:r>
            <w:r>
              <w:rPr>
                <w:rFonts w:hint="eastAsia" w:ascii="Times New Roman" w:hAnsi="Times New Roman" w:eastAsia="宋体" w:cs="Times New Roman"/>
                <w:color w:val="auto"/>
                <w:sz w:val="22"/>
                <w:szCs w:val="22"/>
                <w:highlight w:val="none"/>
              </w:rPr>
              <w:t>）</w:t>
            </w:r>
            <w:r>
              <w:rPr>
                <w:rFonts w:ascii="Times New Roman" w:hAnsi="Times New Roman" w:eastAsia="宋体" w:cs="Times New Roman"/>
                <w:color w:val="auto"/>
                <w:sz w:val="22"/>
                <w:szCs w:val="22"/>
                <w:highlight w:val="none"/>
              </w:rPr>
              <w:t>，逾期不予受理。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17</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18.1</w:t>
            </w:r>
          </w:p>
        </w:tc>
        <w:tc>
          <w:tcPr>
            <w:tcW w:w="802"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投标文件份数</w:t>
            </w:r>
          </w:p>
        </w:tc>
        <w:tc>
          <w:tcPr>
            <w:tcW w:w="3234" w:type="pct"/>
            <w:tcBorders>
              <w:top w:val="single" w:color="auto" w:sz="4" w:space="0"/>
              <w:left w:val="single" w:color="auto" w:sz="4" w:space="0"/>
              <w:bottom w:val="single" w:color="auto" w:sz="4" w:space="0"/>
              <w:right w:val="double" w:color="auto" w:sz="4" w:space="0"/>
            </w:tcBorders>
            <w:vAlign w:val="center"/>
          </w:tcPr>
          <w:p>
            <w:pPr>
              <w:snapToGrid w:val="0"/>
              <w:spacing w:line="44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投标文件正本</w:t>
            </w:r>
            <w:r>
              <w:rPr>
                <w:rFonts w:ascii="Times New Roman" w:hAnsi="Times New Roman" w:eastAsia="宋体" w:cs="Times New Roman"/>
                <w:b/>
                <w:bCs/>
                <w:color w:val="auto"/>
                <w:sz w:val="22"/>
                <w:szCs w:val="22"/>
                <w:highlight w:val="none"/>
                <w:u w:val="single"/>
              </w:rPr>
              <w:t xml:space="preserve"> 1</w:t>
            </w:r>
            <w:r>
              <w:rPr>
                <w:rFonts w:ascii="Times New Roman" w:hAnsi="Times New Roman" w:eastAsia="宋体" w:cs="Times New Roman"/>
                <w:color w:val="auto"/>
                <w:sz w:val="22"/>
                <w:szCs w:val="22"/>
                <w:highlight w:val="none"/>
                <w:u w:val="single"/>
              </w:rPr>
              <w:t xml:space="preserve"> </w:t>
            </w:r>
            <w:r>
              <w:rPr>
                <w:rFonts w:ascii="Times New Roman" w:hAnsi="Times New Roman" w:eastAsia="宋体" w:cs="Times New Roman"/>
                <w:color w:val="auto"/>
                <w:sz w:val="22"/>
                <w:szCs w:val="22"/>
                <w:highlight w:val="none"/>
              </w:rPr>
              <w:t>套，副本</w:t>
            </w:r>
            <w:r>
              <w:rPr>
                <w:rFonts w:ascii="Times New Roman" w:hAnsi="Times New Roman" w:eastAsia="宋体" w:cs="Times New Roman"/>
                <w:color w:val="auto"/>
                <w:sz w:val="22"/>
                <w:szCs w:val="22"/>
                <w:highlight w:val="none"/>
                <w:u w:val="single"/>
              </w:rPr>
              <w:t xml:space="preserve"> </w:t>
            </w:r>
            <w:r>
              <w:rPr>
                <w:rFonts w:ascii="Times New Roman" w:hAnsi="Times New Roman" w:eastAsia="宋体" w:cs="Times New Roman"/>
                <w:b/>
                <w:bCs/>
                <w:color w:val="auto"/>
                <w:sz w:val="22"/>
                <w:szCs w:val="22"/>
                <w:highlight w:val="none"/>
                <w:u w:val="single"/>
              </w:rPr>
              <w:t>5</w:t>
            </w:r>
            <w:r>
              <w:rPr>
                <w:rFonts w:ascii="Times New Roman" w:hAnsi="Times New Roman" w:eastAsia="宋体" w:cs="Times New Roman"/>
                <w:color w:val="auto"/>
                <w:sz w:val="22"/>
                <w:szCs w:val="22"/>
                <w:highlight w:val="none"/>
                <w:u w:val="single"/>
              </w:rPr>
              <w:t xml:space="preserve"> </w:t>
            </w:r>
            <w:r>
              <w:rPr>
                <w:rFonts w:ascii="Times New Roman" w:hAnsi="Times New Roman" w:eastAsia="宋体" w:cs="Times New Roman"/>
                <w:color w:val="auto"/>
                <w:sz w:val="22"/>
                <w:szCs w:val="22"/>
                <w:highlight w:val="none"/>
              </w:rPr>
              <w:t>套，开标信封</w:t>
            </w:r>
            <w:r>
              <w:rPr>
                <w:rFonts w:ascii="Times New Roman" w:hAnsi="Times New Roman" w:eastAsia="宋体" w:cs="Times New Roman"/>
                <w:b/>
                <w:bCs/>
                <w:color w:val="auto"/>
                <w:sz w:val="22"/>
                <w:szCs w:val="22"/>
                <w:highlight w:val="none"/>
                <w:u w:val="single"/>
              </w:rPr>
              <w:t>1</w:t>
            </w:r>
            <w:r>
              <w:rPr>
                <w:rFonts w:ascii="Times New Roman" w:hAnsi="Times New Roman" w:eastAsia="宋体" w:cs="Times New Roman"/>
                <w:color w:val="auto"/>
                <w:sz w:val="22"/>
                <w:szCs w:val="22"/>
                <w:highlight w:val="none"/>
              </w:rPr>
              <w:t>份，电子文件</w:t>
            </w:r>
            <w:r>
              <w:rPr>
                <w:rFonts w:ascii="Times New Roman" w:hAnsi="Times New Roman" w:eastAsia="宋体" w:cs="Times New Roman"/>
                <w:b/>
                <w:bCs/>
                <w:color w:val="auto"/>
                <w:sz w:val="22"/>
                <w:szCs w:val="22"/>
                <w:highlight w:val="none"/>
                <w:u w:val="single"/>
              </w:rPr>
              <w:t>1</w:t>
            </w:r>
            <w:r>
              <w:rPr>
                <w:rFonts w:ascii="Times New Roman" w:hAnsi="Times New Roman" w:eastAsia="宋体" w:cs="Times New Roman"/>
                <w:color w:val="auto"/>
                <w:sz w:val="22"/>
                <w:szCs w:val="22"/>
                <w:highlight w:val="none"/>
              </w:rPr>
              <w:t>份</w:t>
            </w:r>
            <w:r>
              <w:rPr>
                <w:rFonts w:ascii="Times New Roman" w:hAnsi="Times New Roman" w:eastAsia="宋体" w:cs="Times New Roman"/>
                <w:color w:val="auto"/>
                <w:sz w:val="22"/>
                <w:szCs w:val="22"/>
                <w:highlight w:val="none"/>
                <w:lang w:val="zh-CN"/>
              </w:rPr>
              <w:t>（电子文件为光盘或者U盘介质，采用Word和PDF格式，</w:t>
            </w:r>
            <w:r>
              <w:rPr>
                <w:rFonts w:ascii="Times New Roman" w:hAnsi="Times New Roman" w:eastAsia="宋体" w:cs="Times New Roman"/>
                <w:b/>
                <w:bCs/>
                <w:color w:val="auto"/>
                <w:sz w:val="22"/>
                <w:szCs w:val="22"/>
                <w:highlight w:val="none"/>
                <w:lang w:val="zh-CN"/>
              </w:rPr>
              <w:t>PDF中内容必须是投标文件正本扫描件（含签名、盖章）</w:t>
            </w:r>
            <w:r>
              <w:rPr>
                <w:rFonts w:ascii="Times New Roman" w:hAnsi="Times New Roman" w:eastAsia="宋体" w:cs="Times New Roman"/>
                <w:b/>
                <w:bCs/>
                <w:color w:val="auto"/>
                <w:sz w:val="22"/>
                <w:szCs w:val="22"/>
                <w:highlight w:val="none"/>
              </w:rPr>
              <w:t>，</w:t>
            </w:r>
            <w:r>
              <w:rPr>
                <w:rFonts w:ascii="Times New Roman" w:hAnsi="Times New Roman" w:eastAsia="宋体" w:cs="Times New Roman"/>
                <w:color w:val="auto"/>
                <w:sz w:val="22"/>
                <w:szCs w:val="22"/>
                <w:highlight w:val="none"/>
                <w:lang w:val="zh-CN"/>
              </w:rPr>
              <w:t>不留密码，无病毒，不压缩）</w:t>
            </w:r>
            <w:r>
              <w:rPr>
                <w:rFonts w:ascii="Times New Roman" w:hAnsi="Times New Roman" w:eastAsia="宋体" w:cs="Times New Roman"/>
                <w:color w:val="auto"/>
                <w:sz w:val="22"/>
                <w:szCs w:val="22"/>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18</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20.1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投标截止时间</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strike/>
                <w:color w:val="auto"/>
                <w:sz w:val="22"/>
                <w:szCs w:val="22"/>
                <w:highlight w:val="none"/>
              </w:rPr>
            </w:pPr>
            <w:r>
              <w:rPr>
                <w:rFonts w:ascii="Times New Roman" w:hAnsi="Times New Roman" w:eastAsia="宋体" w:cs="Times New Roman"/>
                <w:color w:val="auto"/>
                <w:sz w:val="22"/>
                <w:szCs w:val="22"/>
                <w:highlight w:val="none"/>
              </w:rPr>
              <w:t>2023</w:t>
            </w:r>
            <w:r>
              <w:rPr>
                <w:rFonts w:hint="eastAsia" w:ascii="Times New Roman" w:hAnsi="Times New Roman" w:eastAsia="宋体" w:cs="Times New Roman"/>
                <w:color w:val="auto"/>
                <w:sz w:val="22"/>
                <w:szCs w:val="22"/>
                <w:highlight w:val="none"/>
              </w:rPr>
              <w:t>年</w:t>
            </w:r>
            <w:r>
              <w:rPr>
                <w:rFonts w:hint="eastAsia" w:ascii="Times New Roman" w:hAnsi="Times New Roman" w:eastAsia="宋体" w:cs="Times New Roman"/>
                <w:color w:val="auto"/>
                <w:sz w:val="22"/>
                <w:szCs w:val="22"/>
                <w:highlight w:val="none"/>
                <w:lang w:val="en-US" w:eastAsia="zh-CN"/>
              </w:rPr>
              <w:t>10</w:t>
            </w:r>
            <w:r>
              <w:rPr>
                <w:rFonts w:hint="eastAsia" w:ascii="Times New Roman" w:hAnsi="Times New Roman" w:eastAsia="宋体" w:cs="Times New Roman"/>
                <w:color w:val="auto"/>
                <w:sz w:val="22"/>
                <w:szCs w:val="22"/>
                <w:highlight w:val="none"/>
              </w:rPr>
              <w:t>月</w:t>
            </w:r>
            <w:r>
              <w:rPr>
                <w:rFonts w:hint="eastAsia" w:ascii="Times New Roman" w:hAnsi="Times New Roman" w:eastAsia="宋体" w:cs="Times New Roman"/>
                <w:color w:val="auto"/>
                <w:sz w:val="22"/>
                <w:szCs w:val="22"/>
                <w:highlight w:val="none"/>
                <w:lang w:val="en-US" w:eastAsia="zh-CN"/>
              </w:rPr>
              <w:t>19</w:t>
            </w:r>
            <w:r>
              <w:rPr>
                <w:rFonts w:hint="eastAsia" w:ascii="Times New Roman" w:hAnsi="Times New Roman" w:eastAsia="宋体" w:cs="Times New Roman"/>
                <w:color w:val="auto"/>
                <w:sz w:val="22"/>
                <w:szCs w:val="22"/>
                <w:highlight w:val="none"/>
              </w:rPr>
              <w:t>日</w:t>
            </w:r>
            <w:r>
              <w:rPr>
                <w:rFonts w:hint="eastAsia" w:ascii="Times New Roman" w:hAnsi="Times New Roman" w:eastAsia="宋体" w:cs="Times New Roman"/>
                <w:color w:val="auto"/>
                <w:sz w:val="22"/>
                <w:szCs w:val="22"/>
                <w:highlight w:val="none"/>
                <w:lang w:val="en-US" w:eastAsia="zh-CN"/>
              </w:rPr>
              <w:t>9</w:t>
            </w:r>
            <w:r>
              <w:rPr>
                <w:rFonts w:hint="eastAsia" w:ascii="Times New Roman" w:hAnsi="Times New Roman" w:eastAsia="宋体" w:cs="Times New Roman"/>
                <w:color w:val="auto"/>
                <w:sz w:val="22"/>
                <w:szCs w:val="22"/>
                <w:highlight w:val="none"/>
              </w:rPr>
              <w:t>时</w:t>
            </w:r>
            <w:r>
              <w:rPr>
                <w:rFonts w:ascii="Times New Roman" w:hAnsi="Times New Roman" w:eastAsia="宋体" w:cs="Times New Roman"/>
                <w:color w:val="auto"/>
                <w:sz w:val="22"/>
                <w:szCs w:val="22"/>
                <w:highlight w:val="none"/>
              </w:rPr>
              <w:t>30</w:t>
            </w:r>
            <w:r>
              <w:rPr>
                <w:rFonts w:hint="eastAsia" w:ascii="Times New Roman" w:hAnsi="Times New Roman" w:eastAsia="宋体" w:cs="Times New Roman"/>
                <w:color w:val="auto"/>
                <w:sz w:val="22"/>
                <w:szCs w:val="22"/>
                <w:highlight w:val="none"/>
              </w:rPr>
              <w:t>分（投标文件递交开始时间：</w:t>
            </w:r>
            <w:r>
              <w:rPr>
                <w:rFonts w:ascii="Times New Roman" w:hAnsi="Times New Roman" w:eastAsia="宋体" w:cs="Times New Roman"/>
                <w:color w:val="auto"/>
                <w:sz w:val="22"/>
                <w:szCs w:val="22"/>
                <w:highlight w:val="none"/>
              </w:rPr>
              <w:t>2023</w:t>
            </w:r>
            <w:r>
              <w:rPr>
                <w:rFonts w:hint="eastAsia" w:ascii="Times New Roman" w:hAnsi="Times New Roman" w:eastAsia="宋体" w:cs="Times New Roman"/>
                <w:color w:val="auto"/>
                <w:sz w:val="22"/>
                <w:szCs w:val="22"/>
                <w:highlight w:val="none"/>
              </w:rPr>
              <w:t>年</w:t>
            </w:r>
            <w:r>
              <w:rPr>
                <w:rFonts w:hint="eastAsia" w:ascii="Times New Roman" w:hAnsi="Times New Roman" w:eastAsia="宋体" w:cs="Times New Roman"/>
                <w:color w:val="auto"/>
                <w:sz w:val="22"/>
                <w:szCs w:val="22"/>
                <w:highlight w:val="none"/>
                <w:lang w:val="en-US" w:eastAsia="zh-CN"/>
              </w:rPr>
              <w:t>10</w:t>
            </w:r>
            <w:r>
              <w:rPr>
                <w:rFonts w:hint="eastAsia" w:ascii="Times New Roman" w:hAnsi="Times New Roman" w:eastAsia="宋体" w:cs="Times New Roman"/>
                <w:color w:val="auto"/>
                <w:sz w:val="22"/>
                <w:szCs w:val="22"/>
                <w:highlight w:val="none"/>
              </w:rPr>
              <w:t>月</w:t>
            </w:r>
            <w:r>
              <w:rPr>
                <w:rFonts w:hint="eastAsia" w:ascii="Times New Roman" w:hAnsi="Times New Roman" w:eastAsia="宋体" w:cs="Times New Roman"/>
                <w:color w:val="auto"/>
                <w:sz w:val="22"/>
                <w:szCs w:val="22"/>
                <w:highlight w:val="none"/>
                <w:lang w:val="en-US" w:eastAsia="zh-CN"/>
              </w:rPr>
              <w:t>19</w:t>
            </w:r>
            <w:r>
              <w:rPr>
                <w:rFonts w:hint="eastAsia" w:ascii="Times New Roman" w:hAnsi="Times New Roman" w:eastAsia="宋体" w:cs="Times New Roman"/>
                <w:color w:val="auto"/>
                <w:sz w:val="22"/>
                <w:szCs w:val="22"/>
                <w:highlight w:val="none"/>
              </w:rPr>
              <w:t>日</w:t>
            </w:r>
            <w:r>
              <w:rPr>
                <w:rFonts w:hint="eastAsia" w:ascii="Times New Roman" w:hAnsi="Times New Roman" w:eastAsia="宋体" w:cs="Times New Roman"/>
                <w:color w:val="auto"/>
                <w:sz w:val="22"/>
                <w:szCs w:val="22"/>
                <w:highlight w:val="none"/>
                <w:lang w:val="en-US" w:eastAsia="zh-CN"/>
              </w:rPr>
              <w:t>9</w:t>
            </w:r>
            <w:r>
              <w:rPr>
                <w:rFonts w:hint="eastAsia" w:ascii="Times New Roman" w:hAnsi="Times New Roman" w:eastAsia="宋体" w:cs="Times New Roman"/>
                <w:color w:val="auto"/>
                <w:sz w:val="22"/>
                <w:szCs w:val="22"/>
                <w:highlight w:val="none"/>
              </w:rPr>
              <w:t>时</w:t>
            </w:r>
            <w:r>
              <w:rPr>
                <w:rFonts w:ascii="Times New Roman" w:hAnsi="Times New Roman" w:eastAsia="宋体" w:cs="Times New Roman"/>
                <w:color w:val="auto"/>
                <w:sz w:val="22"/>
                <w:szCs w:val="22"/>
                <w:highlight w:val="none"/>
              </w:rPr>
              <w:t>00</w:t>
            </w:r>
            <w:r>
              <w:rPr>
                <w:rFonts w:hint="eastAsia" w:ascii="Times New Roman" w:hAnsi="Times New Roman" w:eastAsia="宋体" w:cs="Times New Roman"/>
                <w:color w:val="auto"/>
                <w:sz w:val="22"/>
                <w:szCs w:val="22"/>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19</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20.1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开标开始时间和地点</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开标开始时间：</w:t>
            </w:r>
            <w:r>
              <w:rPr>
                <w:rFonts w:ascii="Times New Roman" w:hAnsi="Times New Roman" w:eastAsia="宋体" w:cs="Times New Roman"/>
                <w:color w:val="auto"/>
                <w:sz w:val="22"/>
                <w:szCs w:val="22"/>
                <w:highlight w:val="none"/>
              </w:rPr>
              <w:t>2023</w:t>
            </w:r>
            <w:r>
              <w:rPr>
                <w:rFonts w:hint="eastAsia" w:ascii="Times New Roman" w:hAnsi="Times New Roman" w:eastAsia="宋体" w:cs="Times New Roman"/>
                <w:color w:val="auto"/>
                <w:sz w:val="22"/>
                <w:szCs w:val="22"/>
                <w:highlight w:val="none"/>
              </w:rPr>
              <w:t>年</w:t>
            </w:r>
            <w:r>
              <w:rPr>
                <w:rFonts w:hint="eastAsia" w:ascii="Times New Roman" w:hAnsi="Times New Roman" w:eastAsia="宋体" w:cs="Times New Roman"/>
                <w:color w:val="auto"/>
                <w:sz w:val="22"/>
                <w:szCs w:val="22"/>
                <w:highlight w:val="none"/>
                <w:lang w:val="en-US" w:eastAsia="zh-CN"/>
              </w:rPr>
              <w:t>10</w:t>
            </w:r>
            <w:r>
              <w:rPr>
                <w:rFonts w:hint="eastAsia" w:ascii="Times New Roman" w:hAnsi="Times New Roman" w:eastAsia="宋体" w:cs="Times New Roman"/>
                <w:color w:val="auto"/>
                <w:sz w:val="22"/>
                <w:szCs w:val="22"/>
                <w:highlight w:val="none"/>
              </w:rPr>
              <w:t>月</w:t>
            </w:r>
            <w:r>
              <w:rPr>
                <w:rFonts w:hint="eastAsia" w:ascii="Times New Roman" w:hAnsi="Times New Roman" w:eastAsia="宋体" w:cs="Times New Roman"/>
                <w:color w:val="auto"/>
                <w:sz w:val="22"/>
                <w:szCs w:val="22"/>
                <w:highlight w:val="none"/>
                <w:lang w:val="en-US" w:eastAsia="zh-CN"/>
              </w:rPr>
              <w:t>19</w:t>
            </w:r>
            <w:r>
              <w:rPr>
                <w:rFonts w:hint="eastAsia" w:ascii="Times New Roman" w:hAnsi="Times New Roman" w:eastAsia="宋体" w:cs="Times New Roman"/>
                <w:color w:val="auto"/>
                <w:sz w:val="22"/>
                <w:szCs w:val="22"/>
                <w:highlight w:val="none"/>
              </w:rPr>
              <w:t>日</w:t>
            </w:r>
            <w:r>
              <w:rPr>
                <w:rFonts w:hint="eastAsia" w:ascii="Times New Roman" w:hAnsi="Times New Roman" w:eastAsia="宋体" w:cs="Times New Roman"/>
                <w:color w:val="auto"/>
                <w:sz w:val="22"/>
                <w:szCs w:val="22"/>
                <w:highlight w:val="none"/>
                <w:lang w:val="en-US" w:eastAsia="zh-CN"/>
              </w:rPr>
              <w:t>9</w:t>
            </w:r>
            <w:r>
              <w:rPr>
                <w:rFonts w:hint="eastAsia" w:ascii="Times New Roman" w:hAnsi="Times New Roman" w:eastAsia="宋体" w:cs="Times New Roman"/>
                <w:color w:val="auto"/>
                <w:sz w:val="22"/>
                <w:szCs w:val="22"/>
                <w:highlight w:val="none"/>
              </w:rPr>
              <w:t>时</w:t>
            </w:r>
            <w:r>
              <w:rPr>
                <w:rFonts w:ascii="Times New Roman" w:hAnsi="Times New Roman" w:eastAsia="宋体" w:cs="Times New Roman"/>
                <w:color w:val="auto"/>
                <w:sz w:val="22"/>
                <w:szCs w:val="22"/>
                <w:highlight w:val="none"/>
              </w:rPr>
              <w:t>30</w:t>
            </w:r>
            <w:r>
              <w:rPr>
                <w:rFonts w:hint="eastAsia" w:ascii="Times New Roman" w:hAnsi="Times New Roman" w:eastAsia="宋体" w:cs="Times New Roman"/>
                <w:color w:val="auto"/>
                <w:sz w:val="22"/>
                <w:szCs w:val="22"/>
                <w:highlight w:val="none"/>
              </w:rPr>
              <w:t>分</w:t>
            </w:r>
            <w:r>
              <w:rPr>
                <w:rFonts w:hint="eastAsia" w:ascii="Times New Roman" w:hAnsi="Times New Roman" w:eastAsia="宋体" w:cs="Times New Roman"/>
                <w:color w:val="auto"/>
                <w:sz w:val="22"/>
                <w:szCs w:val="22"/>
                <w:highlight w:val="none"/>
              </w:rPr>
              <w:t>（与投标截止时间为同一时间）</w:t>
            </w:r>
          </w:p>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地点：广州市天河北路</w:t>
            </w:r>
            <w:r>
              <w:rPr>
                <w:rFonts w:ascii="Times New Roman" w:hAnsi="Times New Roman" w:eastAsia="宋体" w:cs="Times New Roman"/>
                <w:color w:val="auto"/>
                <w:sz w:val="22"/>
                <w:szCs w:val="22"/>
                <w:highlight w:val="none"/>
              </w:rPr>
              <w:t>626</w:t>
            </w:r>
            <w:r>
              <w:rPr>
                <w:rFonts w:hint="eastAsia" w:ascii="Times New Roman" w:hAnsi="Times New Roman" w:eastAsia="宋体" w:cs="Times New Roman"/>
                <w:color w:val="auto"/>
                <w:sz w:val="22"/>
                <w:szCs w:val="22"/>
                <w:highlight w:val="none"/>
              </w:rPr>
              <w:t>号保利中宇广场</w:t>
            </w:r>
            <w:r>
              <w:rPr>
                <w:rFonts w:ascii="Times New Roman" w:hAnsi="Times New Roman" w:eastAsia="宋体" w:cs="Times New Roman"/>
                <w:color w:val="auto"/>
                <w:sz w:val="22"/>
                <w:szCs w:val="22"/>
                <w:highlight w:val="none"/>
              </w:rPr>
              <w:t>A</w:t>
            </w:r>
            <w:r>
              <w:rPr>
                <w:rFonts w:hint="eastAsia" w:ascii="Times New Roman" w:hAnsi="Times New Roman" w:eastAsia="宋体" w:cs="Times New Roman"/>
                <w:color w:val="auto"/>
                <w:sz w:val="22"/>
                <w:szCs w:val="22"/>
                <w:highlight w:val="none"/>
              </w:rPr>
              <w:t>座</w:t>
            </w:r>
            <w:r>
              <w:rPr>
                <w:rFonts w:ascii="Times New Roman" w:hAnsi="Times New Roman" w:eastAsia="宋体" w:cs="Times New Roman"/>
                <w:color w:val="auto"/>
                <w:sz w:val="22"/>
                <w:szCs w:val="22"/>
                <w:highlight w:val="none"/>
              </w:rPr>
              <w:t>25</w:t>
            </w:r>
            <w:r>
              <w:rPr>
                <w:rFonts w:hint="eastAsia" w:ascii="Times New Roman" w:hAnsi="Times New Roman" w:eastAsia="宋体" w:cs="Times New Roman"/>
                <w:color w:val="auto"/>
                <w:sz w:val="22"/>
                <w:szCs w:val="22"/>
                <w:highlight w:val="none"/>
              </w:rPr>
              <w:t>楼</w:t>
            </w:r>
          </w:p>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20</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26</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开标评标办法</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21</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29.1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履约担保</w:t>
            </w:r>
          </w:p>
        </w:tc>
        <w:tc>
          <w:tcPr>
            <w:tcW w:w="3234" w:type="pct"/>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cs="宋体"/>
                <w:color w:val="auto"/>
                <w:sz w:val="22"/>
                <w:szCs w:val="22"/>
                <w:highlight w:val="none"/>
              </w:rPr>
            </w:pPr>
            <w:r>
              <w:rPr>
                <w:rFonts w:hint="eastAsia" w:ascii="宋体" w:hAnsi="宋体" w:cs="宋体"/>
                <w:color w:val="auto"/>
                <w:sz w:val="22"/>
                <w:szCs w:val="22"/>
                <w:highlight w:val="none"/>
              </w:rPr>
              <w:t>履约担保：在合同签订后15日内，中标人须向招标人提交合同金额10%的保证金作为履约担保。如中标人在履行合同时违约，招标人按规定扣除履约担保。履约担保余款在竣工验收合格并按要求清场撤离后10日内一次性无息退还。如提供履约保函的，保函有效期在竣工验收合格并按要求清场撤离后10日内有效，若保函有效期内未完成工程竣工验收，中标人应无条件更换同等条件的履约保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22</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最高投标限价</w:t>
            </w:r>
          </w:p>
        </w:tc>
        <w:tc>
          <w:tcPr>
            <w:tcW w:w="3234" w:type="pct"/>
            <w:tcBorders>
              <w:top w:val="single" w:color="auto" w:sz="4" w:space="0"/>
              <w:left w:val="single" w:color="auto" w:sz="4" w:space="0"/>
              <w:bottom w:val="single" w:color="auto" w:sz="4" w:space="0"/>
              <w:right w:val="double" w:color="auto" w:sz="4" w:space="0"/>
            </w:tcBorders>
            <w:vAlign w:val="center"/>
          </w:tcPr>
          <w:p>
            <w:pPr>
              <w:spacing w:line="360" w:lineRule="auto"/>
              <w:rPr>
                <w:rFonts w:hint="eastAsia" w:ascii="宋体" w:hAnsi="宋体" w:cs="宋体"/>
                <w:color w:val="auto"/>
                <w:sz w:val="22"/>
                <w:szCs w:val="22"/>
                <w:highlight w:val="none"/>
              </w:rPr>
            </w:pPr>
            <w:r>
              <w:rPr>
                <w:rFonts w:hint="eastAsia" w:ascii="宋体" w:hAnsi="宋体" w:cs="宋体"/>
                <w:color w:val="auto"/>
                <w:sz w:val="22"/>
                <w:szCs w:val="22"/>
                <w:highlight w:val="none"/>
              </w:rPr>
              <w:t>本次招标最高投标限价为人民币</w:t>
            </w:r>
            <w:r>
              <w:rPr>
                <w:rFonts w:hint="eastAsia" w:ascii="宋体" w:hAnsi="宋体" w:cs="宋体"/>
                <w:b/>
                <w:bCs/>
                <w:color w:val="auto"/>
                <w:sz w:val="22"/>
                <w:szCs w:val="22"/>
                <w:highlight w:val="none"/>
                <w:lang w:val="en-US" w:eastAsia="zh-CN"/>
              </w:rPr>
              <w:t>300</w:t>
            </w:r>
            <w:r>
              <w:rPr>
                <w:rFonts w:hint="eastAsia" w:ascii="宋体" w:hAnsi="宋体" w:cs="宋体"/>
                <w:color w:val="auto"/>
                <w:sz w:val="22"/>
                <w:szCs w:val="22"/>
                <w:highlight w:val="none"/>
              </w:rPr>
              <w:t>万元，其中：</w:t>
            </w:r>
          </w:p>
          <w:p>
            <w:pPr>
              <w:spacing w:line="360" w:lineRule="auto"/>
              <w:rPr>
                <w:rFonts w:hint="eastAsia" w:ascii="宋体" w:hAnsi="宋体" w:cs="宋体"/>
                <w:color w:val="auto"/>
                <w:sz w:val="22"/>
                <w:szCs w:val="22"/>
                <w:highlight w:val="none"/>
              </w:rPr>
            </w:pPr>
            <w:r>
              <w:rPr>
                <w:rFonts w:hint="eastAsia" w:ascii="宋体" w:hAnsi="宋体" w:cs="宋体"/>
                <w:color w:val="auto"/>
                <w:sz w:val="22"/>
                <w:szCs w:val="22"/>
                <w:highlight w:val="none"/>
              </w:rPr>
              <w:t>（1）设计费最高投标限价为</w:t>
            </w:r>
            <w:r>
              <w:rPr>
                <w:rFonts w:ascii="宋体" w:hAnsi="宋体" w:cs="宋体"/>
                <w:b/>
                <w:bCs/>
                <w:color w:val="auto"/>
                <w:sz w:val="22"/>
                <w:szCs w:val="22"/>
                <w:highlight w:val="none"/>
                <w:u w:val="single"/>
              </w:rPr>
              <w:t xml:space="preserve"> </w:t>
            </w:r>
            <w:r>
              <w:rPr>
                <w:rFonts w:hint="eastAsia" w:ascii="宋体" w:hAnsi="宋体" w:cs="宋体"/>
                <w:b/>
                <w:bCs/>
                <w:color w:val="auto"/>
                <w:sz w:val="22"/>
                <w:szCs w:val="22"/>
                <w:highlight w:val="none"/>
                <w:u w:val="single"/>
                <w:lang w:val="en-US" w:eastAsia="zh-CN"/>
              </w:rPr>
              <w:t xml:space="preserve">15 </w:t>
            </w:r>
            <w:r>
              <w:rPr>
                <w:rFonts w:hint="eastAsia" w:ascii="宋体" w:hAnsi="宋体" w:cs="宋体"/>
                <w:color w:val="auto"/>
                <w:sz w:val="22"/>
                <w:szCs w:val="22"/>
                <w:highlight w:val="none"/>
              </w:rPr>
              <w:t>万元；</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（2）建安工程费最高投标限价为</w:t>
            </w:r>
            <w:r>
              <w:rPr>
                <w:rFonts w:ascii="宋体" w:hAnsi="宋体" w:cs="宋体"/>
                <w:b/>
                <w:bCs/>
                <w:color w:val="auto"/>
                <w:sz w:val="22"/>
                <w:szCs w:val="22"/>
                <w:highlight w:val="none"/>
                <w:u w:val="single"/>
              </w:rPr>
              <w:t xml:space="preserve"> </w:t>
            </w:r>
            <w:r>
              <w:rPr>
                <w:rFonts w:hint="eastAsia" w:ascii="宋体" w:hAnsi="宋体" w:cs="宋体"/>
                <w:b/>
                <w:bCs/>
                <w:color w:val="auto"/>
                <w:sz w:val="22"/>
                <w:szCs w:val="22"/>
                <w:highlight w:val="none"/>
                <w:u w:val="single"/>
                <w:lang w:val="en-US" w:eastAsia="zh-CN"/>
              </w:rPr>
              <w:t xml:space="preserve"> 285</w:t>
            </w:r>
            <w:r>
              <w:rPr>
                <w:rFonts w:ascii="宋体" w:hAnsi="宋体" w:cs="宋体"/>
                <w:b/>
                <w:bCs/>
                <w:color w:val="auto"/>
                <w:sz w:val="22"/>
                <w:szCs w:val="22"/>
                <w:highlight w:val="none"/>
                <w:u w:val="single"/>
              </w:rPr>
              <w:t xml:space="preserve"> </w:t>
            </w:r>
            <w:r>
              <w:rPr>
                <w:rFonts w:hint="eastAsia" w:ascii="宋体" w:hAnsi="宋体" w:cs="宋体"/>
                <w:color w:val="auto"/>
                <w:sz w:val="22"/>
                <w:szCs w:val="22"/>
                <w:highlight w:val="none"/>
              </w:rPr>
              <w:t>万元，</w:t>
            </w:r>
          </w:p>
          <w:p>
            <w:pPr>
              <w:spacing w:line="360" w:lineRule="auto"/>
              <w:rPr>
                <w:rFonts w:hint="eastAsia" w:ascii="宋体" w:hAnsi="宋体" w:cs="宋体" w:eastAsiaTheme="minorEastAsia"/>
                <w:color w:val="auto"/>
                <w:kern w:val="2"/>
                <w:sz w:val="22"/>
                <w:szCs w:val="22"/>
                <w:highlight w:val="none"/>
                <w:lang w:val="en-US" w:eastAsia="zh-CN" w:bidi="ar-SA"/>
              </w:rPr>
            </w:pPr>
            <w:r>
              <w:rPr>
                <w:rFonts w:hint="eastAsia" w:ascii="宋体" w:hAnsi="宋体" w:cs="宋体"/>
                <w:color w:val="auto"/>
                <w:sz w:val="22"/>
                <w:szCs w:val="22"/>
                <w:highlight w:val="none"/>
              </w:rPr>
              <w:t>备注：投标报价超过对应的最高投标限价（即最高投标限价、（1）设计费最高投标限价、（2）建安工程费最高投标限价）的投标文件为无效标。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23</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非竞争费用</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hint="default"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0</w:t>
            </w:r>
            <w:r>
              <w:rPr>
                <w:rFonts w:hint="eastAsia" w:ascii="宋体" w:hAnsi="宋体" w:cs="宋体"/>
                <w:color w:val="auto"/>
                <w:sz w:val="22"/>
                <w:szCs w:val="22"/>
                <w:highlight w:val="none"/>
              </w:rPr>
              <w:t>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24</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保修期</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25</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进入第二阶段评审的家数</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通过技术有效性审查的投标人均进入第二阶段。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w:t>
            </w:r>
            <w:r>
              <w:rPr>
                <w:rFonts w:hint="eastAsia" w:ascii="Times New Roman" w:hAnsi="Times New Roman" w:eastAsia="宋体" w:cs="Times New Roman"/>
                <w:color w:val="auto"/>
                <w:sz w:val="22"/>
                <w:szCs w:val="22"/>
                <w:highlight w:val="none"/>
              </w:rPr>
              <w:t>6</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分值分配</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投标人总得分</w:t>
            </w:r>
            <w:r>
              <w:rPr>
                <w:rFonts w:ascii="Times New Roman" w:hAnsi="Times New Roman" w:eastAsia="宋体" w:cs="Times New Roman"/>
                <w:color w:val="auto"/>
                <w:sz w:val="22"/>
                <w:szCs w:val="22"/>
                <w:highlight w:val="none"/>
              </w:rPr>
              <w:t>=</w:t>
            </w:r>
            <w:r>
              <w:rPr>
                <w:rFonts w:hint="eastAsia" w:ascii="Times New Roman" w:hAnsi="Times New Roman" w:eastAsia="宋体" w:cs="Times New Roman"/>
                <w:color w:val="auto"/>
                <w:sz w:val="22"/>
                <w:szCs w:val="22"/>
                <w:highlight w:val="none"/>
              </w:rPr>
              <w:t>技术得分×技术得分权重（</w:t>
            </w:r>
            <w:r>
              <w:rPr>
                <w:rFonts w:hint="eastAsia" w:ascii="Times New Roman" w:hAnsi="Times New Roman" w:eastAsia="宋体" w:cs="Times New Roman"/>
                <w:color w:val="auto"/>
                <w:sz w:val="22"/>
                <w:szCs w:val="22"/>
                <w:highlight w:val="none"/>
                <w:lang w:val="en-US" w:eastAsia="zh-CN"/>
              </w:rPr>
              <w:t>6</w:t>
            </w:r>
            <w:r>
              <w:rPr>
                <w:rFonts w:ascii="Times New Roman" w:hAnsi="Times New Roman" w:eastAsia="宋体" w:cs="Times New Roman"/>
                <w:color w:val="auto"/>
                <w:sz w:val="22"/>
                <w:szCs w:val="22"/>
                <w:highlight w:val="none"/>
              </w:rPr>
              <w:t>0%</w:t>
            </w:r>
            <w:r>
              <w:rPr>
                <w:rFonts w:hint="eastAsia" w:ascii="Times New Roman" w:hAnsi="Times New Roman" w:eastAsia="宋体" w:cs="Times New Roman"/>
                <w:color w:val="auto"/>
                <w:sz w:val="22"/>
                <w:szCs w:val="22"/>
                <w:highlight w:val="none"/>
              </w:rPr>
              <w:t>）＋经济得分×经济得分权重（</w:t>
            </w:r>
            <w:r>
              <w:rPr>
                <w:rFonts w:hint="eastAsia" w:ascii="Times New Roman" w:hAnsi="Times New Roman" w:eastAsia="宋体" w:cs="Times New Roman"/>
                <w:color w:val="auto"/>
                <w:sz w:val="22"/>
                <w:szCs w:val="22"/>
                <w:highlight w:val="none"/>
                <w:lang w:val="en-US" w:eastAsia="zh-CN"/>
              </w:rPr>
              <w:t>4</w:t>
            </w:r>
            <w:r>
              <w:rPr>
                <w:rFonts w:ascii="Times New Roman" w:hAnsi="Times New Roman" w:eastAsia="宋体" w:cs="Times New Roman"/>
                <w:color w:val="auto"/>
                <w:sz w:val="22"/>
                <w:szCs w:val="22"/>
                <w:highlight w:val="none"/>
              </w:rPr>
              <w:t>0%</w:t>
            </w:r>
            <w:r>
              <w:rPr>
                <w:rFonts w:hint="eastAsia" w:ascii="Times New Roman" w:hAnsi="Times New Roman" w:eastAsia="宋体" w:cs="Times New Roman"/>
                <w:color w:val="auto"/>
                <w:sz w:val="22"/>
                <w:szCs w:val="22"/>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w:t>
            </w:r>
            <w:r>
              <w:rPr>
                <w:rFonts w:hint="eastAsia" w:ascii="Times New Roman" w:hAnsi="Times New Roman" w:eastAsia="宋体" w:cs="Times New Roman"/>
                <w:color w:val="auto"/>
                <w:sz w:val="22"/>
                <w:szCs w:val="22"/>
                <w:highlight w:val="none"/>
              </w:rPr>
              <w:t>7</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58"/>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评标委员会人数</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评标委员会由</w:t>
            </w:r>
            <w:r>
              <w:rPr>
                <w:rFonts w:ascii="Times New Roman" w:hAnsi="Times New Roman" w:eastAsia="宋体" w:cs="Times New Roman"/>
                <w:b/>
                <w:bCs/>
                <w:color w:val="auto"/>
                <w:sz w:val="22"/>
                <w:szCs w:val="22"/>
                <w:highlight w:val="none"/>
                <w:u w:val="single"/>
              </w:rPr>
              <w:t xml:space="preserve"> 5 </w:t>
            </w:r>
            <w:r>
              <w:rPr>
                <w:rFonts w:hint="eastAsia" w:ascii="Times New Roman" w:hAnsi="Times New Roman" w:eastAsia="宋体" w:cs="Times New Roman"/>
                <w:color w:val="auto"/>
                <w:sz w:val="22"/>
                <w:szCs w:val="22"/>
                <w:highlight w:val="none"/>
              </w:rPr>
              <w:t>名单数组成，其中招标人代表</w:t>
            </w:r>
            <w:r>
              <w:rPr>
                <w:rFonts w:ascii="Times New Roman" w:hAnsi="Times New Roman" w:eastAsia="宋体" w:cs="Times New Roman"/>
                <w:color w:val="auto"/>
                <w:sz w:val="22"/>
                <w:szCs w:val="22"/>
                <w:highlight w:val="none"/>
                <w:u w:val="single"/>
              </w:rPr>
              <w:t xml:space="preserve"> 1 </w:t>
            </w:r>
            <w:r>
              <w:rPr>
                <w:rFonts w:hint="eastAsia" w:ascii="Times New Roman" w:hAnsi="Times New Roman" w:eastAsia="宋体" w:cs="Times New Roman"/>
                <w:color w:val="auto"/>
                <w:sz w:val="22"/>
                <w:szCs w:val="22"/>
                <w:highlight w:val="none"/>
              </w:rPr>
              <w:t>名，其余</w:t>
            </w:r>
            <w:r>
              <w:rPr>
                <w:rFonts w:ascii="Times New Roman" w:hAnsi="Times New Roman" w:eastAsia="宋体" w:cs="Times New Roman"/>
                <w:color w:val="auto"/>
                <w:sz w:val="22"/>
                <w:szCs w:val="22"/>
                <w:highlight w:val="none"/>
                <w:u w:val="single"/>
              </w:rPr>
              <w:t xml:space="preserve"> 4 </w:t>
            </w:r>
            <w:r>
              <w:rPr>
                <w:rFonts w:hint="eastAsia" w:ascii="Times New Roman" w:hAnsi="Times New Roman" w:eastAsia="宋体" w:cs="Times New Roman"/>
                <w:color w:val="auto"/>
                <w:sz w:val="22"/>
                <w:szCs w:val="22"/>
                <w:highlight w:val="none"/>
              </w:rPr>
              <w:t>名专家均从专家库随机抽取产生。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2</w:t>
            </w:r>
            <w:r>
              <w:rPr>
                <w:rFonts w:hint="eastAsia" w:ascii="Times New Roman" w:hAnsi="Times New Roman" w:eastAsia="宋体" w:cs="Times New Roman"/>
                <w:color w:val="auto"/>
                <w:sz w:val="22"/>
                <w:szCs w:val="22"/>
                <w:highlight w:val="none"/>
              </w:rPr>
              <w:t>8</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13.4、13.5.2</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合同价款的调整办法</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u w:val="single"/>
              </w:rPr>
            </w:pPr>
            <w:r>
              <w:rPr>
                <w:rFonts w:ascii="Times New Roman" w:hAnsi="Times New Roman" w:eastAsia="宋体" w:cs="Times New Roman"/>
                <w:color w:val="auto"/>
                <w:sz w:val="22"/>
                <w:szCs w:val="22"/>
                <w:highlight w:val="none"/>
                <w:u w:val="single"/>
              </w:rPr>
              <w:t>按合同条款相关约定调整。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29</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eastAsia="宋体" w:cs="Times New Roman"/>
                <w:color w:val="auto"/>
                <w:kern w:val="0"/>
                <w:sz w:val="22"/>
                <w:szCs w:val="22"/>
                <w:highlight w:val="none"/>
                <w:lang w:val="zh-CN"/>
              </w:rPr>
              <w:t>分包</w:t>
            </w:r>
          </w:p>
        </w:tc>
        <w:tc>
          <w:tcPr>
            <w:tcW w:w="3234"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color w:val="auto"/>
                <w:kern w:val="0"/>
                <w:sz w:val="22"/>
                <w:szCs w:val="22"/>
                <w:highlight w:val="none"/>
                <w:lang w:val="zh-CN"/>
              </w:rPr>
              <w:sym w:font="Wingdings 2" w:char="0052"/>
            </w:r>
            <w:r>
              <w:rPr>
                <w:rFonts w:ascii="Times New Roman" w:hAnsi="Times New Roman" w:eastAsia="宋体" w:cs="Times New Roman"/>
                <w:color w:val="auto"/>
                <w:kern w:val="0"/>
                <w:sz w:val="22"/>
                <w:szCs w:val="22"/>
                <w:highlight w:val="none"/>
                <w:lang w:val="zh-CN"/>
              </w:rPr>
              <w:t>不允许；</w:t>
            </w:r>
          </w:p>
          <w:p>
            <w:p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eastAsia="宋体" w:cs="Times New Roman"/>
                <w:color w:val="auto"/>
                <w:kern w:val="0"/>
                <w:sz w:val="22"/>
                <w:szCs w:val="22"/>
                <w:highlight w:val="none"/>
                <w:lang w:val="zh-CN"/>
              </w:rPr>
              <w:t>□允许：分包内容要要求：</w:t>
            </w:r>
          </w:p>
          <w:p>
            <w:p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eastAsia="宋体" w:cs="Times New Roman"/>
                <w:color w:val="auto"/>
                <w:kern w:val="0"/>
                <w:sz w:val="22"/>
                <w:szCs w:val="22"/>
                <w:highlight w:val="none"/>
                <w:lang w:val="zh-CN"/>
              </w:rPr>
              <w:t xml:space="preserve">        分包金额要求：</w:t>
            </w:r>
          </w:p>
          <w:p>
            <w:p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eastAsia="宋体" w:cs="Times New Roman"/>
                <w:color w:val="auto"/>
                <w:kern w:val="0"/>
                <w:sz w:val="22"/>
                <w:szCs w:val="22"/>
                <w:highlight w:val="none"/>
                <w:lang w:val="zh-CN"/>
              </w:rPr>
              <w:t xml:space="preserve">        对分包人的资质要求：</w:t>
            </w:r>
          </w:p>
          <w:p>
            <w:p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eastAsia="宋体" w:cs="Times New Roman"/>
                <w:color w:val="auto"/>
                <w:kern w:val="0"/>
                <w:sz w:val="22"/>
                <w:szCs w:val="22"/>
                <w:highlight w:val="none"/>
                <w:lang w:val="zh-CN"/>
              </w:rPr>
              <w:t xml:space="preserve">        对分包人的其他要求：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3</w:t>
            </w:r>
            <w:r>
              <w:rPr>
                <w:rFonts w:hint="eastAsia" w:ascii="Times New Roman" w:hAnsi="Times New Roman" w:eastAsia="宋体" w:cs="Times New Roman"/>
                <w:color w:val="auto"/>
                <w:sz w:val="22"/>
                <w:szCs w:val="22"/>
                <w:highlight w:val="none"/>
              </w:rPr>
              <w:t>0</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31.1</w:t>
            </w: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eastAsia="宋体" w:cs="Times New Roman"/>
                <w:color w:val="auto"/>
                <w:sz w:val="22"/>
                <w:szCs w:val="22"/>
                <w:highlight w:val="none"/>
              </w:rPr>
              <w:t>招标代理服务费</w:t>
            </w:r>
          </w:p>
        </w:tc>
        <w:tc>
          <w:tcPr>
            <w:tcW w:w="3234" w:type="pct"/>
            <w:tcBorders>
              <w:top w:val="single" w:color="auto" w:sz="4" w:space="0"/>
              <w:left w:val="single" w:color="auto" w:sz="4" w:space="0"/>
              <w:bottom w:val="single" w:color="auto" w:sz="4" w:space="0"/>
              <w:right w:val="double" w:color="auto" w:sz="4" w:space="0"/>
            </w:tcBorders>
            <w:vAlign w:val="center"/>
          </w:tcPr>
          <w:p>
            <w:pPr>
              <w:numPr>
                <w:ilvl w:val="0"/>
                <w:numId w:val="8"/>
              </w:numPr>
              <w:tabs>
                <w:tab w:val="left" w:pos="425"/>
              </w:tabs>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中标人须向招标代理机构按如下标准和规定交纳招标代理服务费：</w:t>
            </w:r>
          </w:p>
          <w:p>
            <w:pPr>
              <w:numPr>
                <w:ilvl w:val="0"/>
                <w:numId w:val="9"/>
              </w:numPr>
              <w:adjustRightInd w:val="0"/>
              <w:snapToGrid w:val="0"/>
              <w:spacing w:line="400" w:lineRule="exact"/>
              <w:ind w:left="680" w:hanging="680"/>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招标代理服务费以招标控制价作为计算基数，收费费率如下：</w:t>
            </w:r>
          </w:p>
          <w:tbl>
            <w:tblPr>
              <w:tblStyle w:val="38"/>
              <w:tblpPr w:leftFromText="180" w:rightFromText="180" w:vertAnchor="text" w:horzAnchor="page" w:tblpX="426" w:tblpY="14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1" w:hRule="atLeast"/>
              </w:trPr>
              <w:tc>
                <w:tcPr>
                  <w:tcW w:w="2586" w:type="pct"/>
                </w:tcPr>
                <w:p>
                  <w:pPr>
                    <w:adjustRightInd w:val="0"/>
                    <w:snapToGrid w:val="0"/>
                    <w:spacing w:line="400" w:lineRule="exact"/>
                    <w:jc w:val="righ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0</wp:posOffset>
                            </wp:positionV>
                            <wp:extent cx="1694180" cy="629285"/>
                            <wp:effectExtent l="1905" t="4445" r="18415" b="13970"/>
                            <wp:wrapNone/>
                            <wp:docPr id="11" name="直接连接符 11"/>
                            <wp:cNvGraphicFramePr/>
                            <a:graphic xmlns:a="http://schemas.openxmlformats.org/drawingml/2006/main">
                              <a:graphicData uri="http://schemas.microsoft.com/office/word/2010/wordprocessingShape">
                                <wps:wsp>
                                  <wps:cNvCnPr/>
                                  <wps:spPr>
                                    <a:xfrm>
                                      <a:off x="0" y="0"/>
                                      <a:ext cx="1694180" cy="629285"/>
                                    </a:xfrm>
                                    <a:prstGeom prst="line">
                                      <a:avLst/>
                                    </a:prstGeom>
                                    <a:noFill/>
                                    <a:ln w="9525" cap="flat" cmpd="sng">
                                      <a:solidFill>
                                        <a:srgbClr val="4A7EBB"/>
                                      </a:solidFill>
                                      <a:prstDash val="solid"/>
                                      <a:miter/>
                                    </a:ln>
                                  </wps:spPr>
                                  <wps:bodyPr/>
                                </wps:wsp>
                              </a:graphicData>
                            </a:graphic>
                          </wp:anchor>
                        </w:drawing>
                      </mc:Choice>
                      <mc:Fallback>
                        <w:pict>
                          <v:line id="_x0000_s1026" o:spid="_x0000_s1026" o:spt="20" style="position:absolute;left:0pt;margin-left:-1.6pt;margin-top:0pt;height:49.55pt;width:133.4pt;z-index:251665408;mso-width-relative:page;mso-height-relative:page;" filled="f" stroked="t" coordsize="21600,21600" o:gfxdata="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mFT29YAAAAGAQAA&#10;DwAAAAAAAAABACAAAAAiAAAAZHJzL2Rvd25yZXYueG1sUEsBAhQAFAAAAAgAh07iQHsDEK3iAQAA&#10;oAMAAA4AAAAAAAAAAQAgAAAAJQEAAGRycy9lMm9Eb2MueG1sUEsFBgAAAAAGAAYAWQEAAHkFAAAA&#10;AA==&#10;">
                            <v:fill on="f" focussize="0,0"/>
                            <v:stroke color="#4A7EBB" joinstyle="miter"/>
                            <v:imagedata o:title=""/>
                            <o:lock v:ext="edit" aspectratio="f"/>
                          </v:line>
                        </w:pict>
                      </mc:Fallback>
                    </mc:AlternateContent>
                  </w:r>
                  <w:r>
                    <w:rPr>
                      <w:rFonts w:ascii="Times New Roman" w:hAnsi="Times New Roman" w:eastAsia="宋体" w:cs="Times New Roman"/>
                      <w:color w:val="auto"/>
                      <w:sz w:val="22"/>
                      <w:szCs w:val="22"/>
                      <w:highlight w:val="none"/>
                    </w:rPr>
                    <w:t>费率类别</w:t>
                  </w:r>
                </w:p>
                <w:p>
                  <w:pPr>
                    <w:adjustRightInd w:val="0"/>
                    <w:snapToGrid w:val="0"/>
                    <w:spacing w:line="400" w:lineRule="exact"/>
                    <w:jc w:val="lef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金额（万元）</w:t>
                  </w:r>
                </w:p>
              </w:tc>
              <w:tc>
                <w:tcPr>
                  <w:tcW w:w="2413" w:type="pct"/>
                  <w:vAlign w:val="center"/>
                </w:tcPr>
                <w:p>
                  <w:pPr>
                    <w:adjustRightInd w:val="0"/>
                    <w:snapToGrid w:val="0"/>
                    <w:spacing w:line="400" w:lineRule="exact"/>
                    <w:jc w:val="center"/>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586" w:type="pct"/>
                  <w:vAlign w:val="center"/>
                </w:tcPr>
                <w:p>
                  <w:pPr>
                    <w:adjustRightInd w:val="0"/>
                    <w:snapToGrid w:val="0"/>
                    <w:spacing w:line="400" w:lineRule="exact"/>
                    <w:jc w:val="center"/>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100万元以下</w:t>
                  </w:r>
                </w:p>
              </w:tc>
              <w:tc>
                <w:tcPr>
                  <w:tcW w:w="2413" w:type="pct"/>
                  <w:vAlign w:val="center"/>
                </w:tcPr>
                <w:p>
                  <w:pPr>
                    <w:adjustRightInd w:val="0"/>
                    <w:snapToGrid w:val="0"/>
                    <w:spacing w:line="400" w:lineRule="exact"/>
                    <w:jc w:val="center"/>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1%*</w:t>
                  </w:r>
                  <w:r>
                    <w:rPr>
                      <w:rFonts w:ascii="Times New Roman" w:hAnsi="Times New Roman" w:eastAsia="宋体" w:cs="Times New Roman"/>
                      <w:color w:val="auto"/>
                      <w:sz w:val="22"/>
                      <w:szCs w:val="22"/>
                      <w:highlight w:val="none"/>
                    </w:rPr>
                    <w:t>0</w:t>
                  </w:r>
                  <w:r>
                    <w:rPr>
                      <w:rFonts w:hint="eastAsia" w:ascii="Times New Roman" w:hAnsi="Times New Roman" w:eastAsia="宋体" w:cs="Times New Roman"/>
                      <w:color w:val="auto"/>
                      <w:sz w:val="22"/>
                      <w:szCs w:val="22"/>
                      <w:highlight w:val="none"/>
                    </w:rPr>
                    <w:t>.</w:t>
                  </w:r>
                  <w:r>
                    <w:rPr>
                      <w:rFonts w:hint="eastAsia" w:ascii="Times New Roman" w:hAnsi="Times New Roman" w:eastAsia="宋体" w:cs="Times New Roman"/>
                      <w:color w:val="auto"/>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586" w:type="pct"/>
                  <w:vAlign w:val="center"/>
                </w:tcPr>
                <w:p>
                  <w:pPr>
                    <w:adjustRightInd w:val="0"/>
                    <w:snapToGrid w:val="0"/>
                    <w:spacing w:line="400" w:lineRule="exact"/>
                    <w:jc w:val="center"/>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100-500万元</w:t>
                  </w:r>
                </w:p>
              </w:tc>
              <w:tc>
                <w:tcPr>
                  <w:tcW w:w="2413" w:type="pct"/>
                  <w:vAlign w:val="center"/>
                </w:tcPr>
                <w:p>
                  <w:pPr>
                    <w:adjustRightInd w:val="0"/>
                    <w:snapToGrid w:val="0"/>
                    <w:spacing w:line="400" w:lineRule="exact"/>
                    <w:jc w:val="center"/>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sz w:val="22"/>
                      <w:szCs w:val="22"/>
                      <w:highlight w:val="none"/>
                    </w:rPr>
                    <w:t>0.7%*</w:t>
                  </w:r>
                  <w:r>
                    <w:rPr>
                      <w:rFonts w:ascii="Times New Roman" w:hAnsi="Times New Roman" w:eastAsia="宋体" w:cs="Times New Roman"/>
                      <w:color w:val="auto"/>
                      <w:sz w:val="22"/>
                      <w:szCs w:val="22"/>
                      <w:highlight w:val="none"/>
                    </w:rPr>
                    <w:t>0</w:t>
                  </w:r>
                  <w:r>
                    <w:rPr>
                      <w:rFonts w:hint="eastAsia" w:ascii="Times New Roman" w:hAnsi="Times New Roman" w:eastAsia="宋体" w:cs="Times New Roman"/>
                      <w:color w:val="auto"/>
                      <w:sz w:val="22"/>
                      <w:szCs w:val="22"/>
                      <w:highlight w:val="none"/>
                    </w:rPr>
                    <w:t>.</w:t>
                  </w:r>
                  <w:r>
                    <w:rPr>
                      <w:rFonts w:hint="eastAsia" w:ascii="Times New Roman" w:hAnsi="Times New Roman" w:eastAsia="宋体" w:cs="Times New Roman"/>
                      <w:color w:val="auto"/>
                      <w:sz w:val="22"/>
                      <w:szCs w:val="22"/>
                      <w:highlight w:val="none"/>
                      <w:lang w:val="en-US" w:eastAsia="zh-CN"/>
                    </w:rPr>
                    <w:t>6</w:t>
                  </w:r>
                </w:p>
              </w:tc>
            </w:tr>
          </w:tbl>
          <w:p>
            <w:pPr>
              <w:numPr>
                <w:ilvl w:val="0"/>
                <w:numId w:val="9"/>
              </w:numPr>
              <w:adjustRightInd w:val="0"/>
              <w:snapToGrid w:val="0"/>
              <w:spacing w:line="400" w:lineRule="exact"/>
              <w:ind w:left="680" w:hanging="680"/>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招标代理服务费的交纳形式：采用现金或转账付款方式。</w:t>
            </w:r>
          </w:p>
          <w:p>
            <w:pPr>
              <w:numPr>
                <w:ilvl w:val="0"/>
                <w:numId w:val="9"/>
              </w:numPr>
              <w:adjustRightInd w:val="0"/>
              <w:snapToGrid w:val="0"/>
              <w:spacing w:line="400" w:lineRule="exact"/>
              <w:ind w:left="680" w:hanging="680"/>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招标代理服务费付至：</w:t>
            </w:r>
          </w:p>
          <w:p>
            <w:pPr>
              <w:adjustRightInd w:val="0"/>
              <w:snapToGrid w:val="0"/>
              <w:spacing w:line="400" w:lineRule="exact"/>
              <w:ind w:firstLine="640" w:firstLineChars="291"/>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收款人名称：广东有德招标采购有限公司</w:t>
            </w:r>
          </w:p>
          <w:p>
            <w:pPr>
              <w:adjustRightInd w:val="0"/>
              <w:snapToGrid w:val="0"/>
              <w:spacing w:line="400" w:lineRule="exact"/>
              <w:ind w:firstLine="640" w:firstLineChars="291"/>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开户银行：中国光大银行广州分行</w:t>
            </w:r>
          </w:p>
          <w:p>
            <w:pPr>
              <w:adjustRightInd w:val="0"/>
              <w:snapToGrid w:val="0"/>
              <w:spacing w:line="400" w:lineRule="exact"/>
              <w:ind w:firstLine="640" w:firstLineChars="291"/>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账    号：38610188000123567</w:t>
            </w:r>
          </w:p>
          <w:p>
            <w:pPr>
              <w:numPr>
                <w:ilvl w:val="0"/>
                <w:numId w:val="10"/>
              </w:numPr>
              <w:adjustRightInd w:val="0"/>
              <w:snapToGrid w:val="0"/>
              <w:spacing w:line="400" w:lineRule="exact"/>
              <w:rPr>
                <w:rFonts w:ascii="Times New Roman" w:hAnsi="Times New Roman" w:eastAsia="宋体" w:cs="Times New Roman"/>
                <w:color w:val="auto"/>
                <w:kern w:val="0"/>
                <w:sz w:val="22"/>
                <w:szCs w:val="22"/>
                <w:highlight w:val="none"/>
                <w:lang w:val="zh-CN"/>
              </w:rPr>
            </w:pPr>
            <w:r>
              <w:rPr>
                <w:rFonts w:ascii="Times New Roman" w:hAnsi="Times New Roman" w:eastAsia="宋体" w:cs="Times New Roman"/>
                <w:color w:val="auto"/>
                <w:sz w:val="22"/>
                <w:szCs w:val="22"/>
                <w:highlight w:val="none"/>
              </w:rPr>
              <w:t>中标人向招标代理机构交纳招标代理服务费后，凭授权委托书和领取人身份证复印件并加盖公司公章领取《中标通知书》。如采用银行转账的，须同时递交招标代理服务费缴费凭证复印件并加盖公章。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rPr>
              <w:t>3</w:t>
            </w:r>
            <w:r>
              <w:rPr>
                <w:rFonts w:hint="eastAsia" w:ascii="Times New Roman" w:hAnsi="Times New Roman" w:eastAsia="宋体" w:cs="Times New Roman"/>
                <w:color w:val="auto"/>
                <w:sz w:val="22"/>
                <w:szCs w:val="22"/>
                <w:highlight w:val="none"/>
              </w:rPr>
              <w:t>1</w:t>
            </w:r>
          </w:p>
        </w:tc>
        <w:tc>
          <w:tcPr>
            <w:tcW w:w="5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宋体" w:cs="Times New Roman"/>
                <w:color w:val="auto"/>
                <w:sz w:val="22"/>
                <w:szCs w:val="22"/>
                <w:highlight w:val="none"/>
              </w:rPr>
            </w:pPr>
            <w:r>
              <w:rPr>
                <w:rFonts w:ascii="Times New Roman" w:hAnsi="Times New Roman" w:eastAsia="宋体" w:cs="Times New Roman"/>
                <w:bCs/>
                <w:color w:val="auto"/>
                <w:sz w:val="22"/>
                <w:szCs w:val="22"/>
                <w:highlight w:val="none"/>
              </w:rPr>
              <w:t>开标信封</w:t>
            </w:r>
          </w:p>
        </w:tc>
        <w:tc>
          <w:tcPr>
            <w:tcW w:w="3234" w:type="pct"/>
            <w:tcBorders>
              <w:top w:val="single" w:color="auto" w:sz="4" w:space="0"/>
              <w:left w:val="single" w:color="auto" w:sz="4" w:space="0"/>
              <w:bottom w:val="single" w:color="auto" w:sz="4" w:space="0"/>
              <w:right w:val="double" w:color="auto" w:sz="4" w:space="0"/>
            </w:tcBorders>
            <w:vAlign w:val="center"/>
          </w:tcPr>
          <w:p>
            <w:pPr>
              <w:tabs>
                <w:tab w:val="left" w:pos="1180"/>
              </w:tabs>
              <w:adjustRightInd w:val="0"/>
              <w:snapToGrid w:val="0"/>
              <w:spacing w:line="400" w:lineRule="exact"/>
              <w:rPr>
                <w:rFonts w:ascii="Times New Roman" w:hAnsi="Times New Roman" w:eastAsia="宋体" w:cs="Times New Roman"/>
                <w:color w:val="auto"/>
                <w:sz w:val="22"/>
                <w:szCs w:val="22"/>
                <w:highlight w:val="none"/>
              </w:rPr>
            </w:pPr>
            <w:r>
              <w:rPr>
                <w:rFonts w:ascii="Times New Roman" w:hAnsi="Times New Roman" w:eastAsia="宋体" w:cs="Times New Roman"/>
                <w:color w:val="auto"/>
                <w:sz w:val="22"/>
                <w:szCs w:val="22"/>
                <w:highlight w:val="none"/>
                <w:u w:val="single"/>
                <w:lang w:val="zh-CN" w:eastAsia="zh-TW"/>
              </w:rPr>
              <w:t>为方便开标唱标，投标人应将</w:t>
            </w:r>
            <w:r>
              <w:rPr>
                <w:rFonts w:ascii="Times New Roman" w:hAnsi="Times New Roman" w:eastAsia="宋体" w:cs="Times New Roman"/>
                <w:b/>
                <w:bCs/>
                <w:color w:val="auto"/>
                <w:sz w:val="22"/>
                <w:szCs w:val="22"/>
                <w:highlight w:val="none"/>
                <w:u w:val="single"/>
                <w:lang w:val="zh-CN" w:eastAsia="zh-TW"/>
              </w:rPr>
              <w:t>报价表、投标保证金交纳凭证、退还投标保证金说明</w:t>
            </w:r>
            <w:r>
              <w:rPr>
                <w:rFonts w:ascii="Times New Roman" w:hAnsi="Times New Roman" w:eastAsia="宋体" w:cs="Times New Roman"/>
                <w:color w:val="auto"/>
                <w:sz w:val="22"/>
                <w:szCs w:val="22"/>
                <w:highlight w:val="none"/>
                <w:u w:val="single"/>
                <w:lang w:val="zh-CN" w:eastAsia="zh-TW"/>
              </w:rPr>
              <w:t>单独密封提交，并在封套上标明“开标信封”字样。“开标信封”份数及签章等要求与投标文件正本相同。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0" w:type="pct"/>
            <w:tcBorders>
              <w:top w:val="single" w:color="auto" w:sz="4" w:space="0"/>
              <w:left w:val="doub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line="400" w:lineRule="exact"/>
              <w:ind w:left="0" w:leftChars="0" w:right="0" w:rightChars="0"/>
              <w:jc w:val="both"/>
              <w:rPr>
                <w:rFonts w:ascii="Times New Roman" w:hAnsi="Times New Roman" w:eastAsia="宋体" w:cs="Times New Roman"/>
                <w:color w:val="auto"/>
                <w:sz w:val="22"/>
                <w:szCs w:val="22"/>
                <w:highlight w:val="none"/>
              </w:rPr>
            </w:pPr>
            <w:r>
              <w:rPr>
                <w:rFonts w:hint="eastAsia" w:ascii="Times New Roman" w:hAnsi="Times New Roman" w:eastAsia="宋体" w:cs="Times New Roman"/>
                <w:color w:val="auto"/>
                <w:kern w:val="2"/>
                <w:sz w:val="22"/>
                <w:szCs w:val="22"/>
                <w:highlight w:val="none"/>
                <w:lang w:val="en-US" w:eastAsia="zh-CN" w:bidi="ar"/>
              </w:rPr>
              <w:t>32</w:t>
            </w:r>
          </w:p>
        </w:tc>
        <w:tc>
          <w:tcPr>
            <w:tcW w:w="5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line="400" w:lineRule="exact"/>
              <w:ind w:left="0" w:leftChars="0" w:right="0" w:rightChars="0"/>
              <w:jc w:val="both"/>
              <w:rPr>
                <w:rFonts w:ascii="Times New Roman" w:hAnsi="Times New Roman" w:eastAsia="宋体" w:cs="Times New Roman"/>
                <w:color w:val="auto"/>
                <w:sz w:val="22"/>
                <w:szCs w:val="22"/>
                <w:highlight w:val="none"/>
              </w:rPr>
            </w:pPr>
          </w:p>
        </w:tc>
        <w:tc>
          <w:tcPr>
            <w:tcW w:w="8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ascii="Times New Roman" w:hAnsi="Times New Roman" w:eastAsia="宋体" w:cs="Times New Roman"/>
                <w:bCs/>
                <w:color w:val="auto"/>
                <w:sz w:val="22"/>
                <w:szCs w:val="22"/>
                <w:highlight w:val="none"/>
              </w:rPr>
            </w:pPr>
            <w:r>
              <w:rPr>
                <w:rFonts w:hint="eastAsia" w:ascii="宋体" w:hAnsi="宋体" w:eastAsia="宋体" w:cs="宋体"/>
                <w:color w:val="auto"/>
                <w:kern w:val="2"/>
                <w:sz w:val="22"/>
                <w:szCs w:val="22"/>
                <w:highlight w:val="none"/>
                <w:lang w:val="en-US" w:eastAsia="zh-CN" w:bidi="ar"/>
              </w:rPr>
              <w:t>工程成本警戒价</w:t>
            </w:r>
          </w:p>
        </w:tc>
        <w:tc>
          <w:tcPr>
            <w:tcW w:w="3234" w:type="pct"/>
            <w:tcBorders>
              <w:top w:val="single" w:color="auto" w:sz="4" w:space="0"/>
              <w:left w:val="single" w:color="auto" w:sz="4" w:space="0"/>
              <w:bottom w:val="single" w:color="auto" w:sz="4" w:space="0"/>
              <w:right w:val="doub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lang w:val="en-US" w:eastAsia="zh-CN" w:bidi="ar"/>
              </w:rPr>
              <w:t>施工工程成本警戒价为</w:t>
            </w:r>
            <w:r>
              <w:rPr>
                <w:rFonts w:hint="eastAsia" w:ascii="宋体" w:hAnsi="宋体" w:eastAsia="宋体" w:cs="宋体"/>
                <w:color w:val="auto"/>
                <w:kern w:val="2"/>
                <w:sz w:val="22"/>
                <w:szCs w:val="22"/>
                <w:highlight w:val="none"/>
                <w:u w:val="single"/>
                <w:lang w:val="en-US" w:eastAsia="zh-CN" w:bidi="ar"/>
              </w:rPr>
              <w:t>242.25万元（建安工程费最高投标限价*85%）</w:t>
            </w:r>
            <w:r>
              <w:rPr>
                <w:rFonts w:hint="eastAsia" w:ascii="宋体" w:hAnsi="宋体" w:eastAsia="宋体" w:cs="宋体"/>
                <w:color w:val="auto"/>
                <w:kern w:val="2"/>
                <w:sz w:val="22"/>
                <w:szCs w:val="22"/>
                <w:highlight w:val="none"/>
                <w:lang w:val="en-US" w:eastAsia="zh-CN" w:bidi="ar"/>
              </w:rPr>
              <w:t>。</w:t>
            </w:r>
          </w:p>
          <w:p>
            <w:pPr>
              <w:keepNext w:val="0"/>
              <w:keepLines w:val="0"/>
              <w:widowControl w:val="0"/>
              <w:suppressLineNumbers w:val="0"/>
              <w:spacing w:before="0" w:beforeAutospacing="0" w:after="0" w:afterAutospacing="0"/>
              <w:ind w:left="0" w:leftChars="0" w:right="0" w:rightChars="0"/>
              <w:jc w:val="both"/>
              <w:rPr>
                <w:rFonts w:ascii="Times New Roman" w:hAnsi="Times New Roman" w:eastAsia="宋体" w:cs="Times New Roman"/>
                <w:color w:val="auto"/>
                <w:sz w:val="22"/>
                <w:szCs w:val="22"/>
                <w:highlight w:val="none"/>
                <w:u w:val="single"/>
                <w:lang w:val="zh-CN" w:eastAsia="zh-TW"/>
              </w:rPr>
            </w:pPr>
            <w:r>
              <w:rPr>
                <w:rFonts w:hint="eastAsia" w:ascii="宋体" w:hAnsi="宋体" w:eastAsia="宋体" w:cs="宋体"/>
                <w:color w:val="auto"/>
                <w:kern w:val="2"/>
                <w:sz w:val="22"/>
                <w:szCs w:val="22"/>
                <w:highlight w:val="none"/>
                <w:lang w:val="en-US" w:eastAsia="zh-CN" w:bidi="ar"/>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c>
      </w:tr>
    </w:tbl>
    <w:p>
      <w:pPr>
        <w:rPr>
          <w:rFonts w:ascii="Times New Roman" w:hAnsi="Times New Roman" w:eastAsia="宋体" w:cs="Times New Roman"/>
          <w:b/>
          <w:color w:val="auto"/>
          <w:sz w:val="24"/>
          <w:szCs w:val="24"/>
          <w:highlight w:val="none"/>
        </w:rPr>
      </w:pPr>
      <w:bookmarkStart w:id="11" w:name="_Toc2272548"/>
      <w:bookmarkStart w:id="12" w:name="_Toc27765"/>
      <w:bookmarkStart w:id="13" w:name="_Toc16943"/>
      <w:bookmarkStart w:id="14" w:name="_Toc10897"/>
      <w:r>
        <w:rPr>
          <w:rFonts w:ascii="Times New Roman" w:hAnsi="Times New Roman" w:eastAsia="宋体" w:cs="Times New Roman"/>
          <w:b/>
          <w:color w:val="auto"/>
          <w:sz w:val="24"/>
          <w:szCs w:val="24"/>
          <w:highlight w:val="none"/>
        </w:rPr>
        <w:br w:type="page"/>
      </w:r>
    </w:p>
    <w:p>
      <w:pPr>
        <w:keepNext/>
        <w:keepLines/>
        <w:numPr>
          <w:ilvl w:val="1"/>
          <w:numId w:val="0"/>
        </w:numPr>
        <w:spacing w:before="120" w:after="120" w:line="415" w:lineRule="auto"/>
        <w:ind w:left="454"/>
        <w:jc w:val="center"/>
        <w:outlineLvl w:val="1"/>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二、投标须知条款</w:t>
      </w:r>
      <w:bookmarkEnd w:id="11"/>
      <w:bookmarkEnd w:id="12"/>
      <w:bookmarkEnd w:id="13"/>
      <w:bookmarkEnd w:id="14"/>
    </w:p>
    <w:p>
      <w:pPr>
        <w:widowControl/>
        <w:spacing w:before="156" w:beforeAutospacing="1" w:after="156" w:afterAutospacing="1"/>
        <w:jc w:val="center"/>
        <w:outlineLvl w:val="2"/>
        <w:rPr>
          <w:rFonts w:ascii="Times New Roman" w:hAnsi="Times New Roman" w:eastAsia="宋体" w:cs="Times New Roman"/>
          <w:b/>
          <w:bCs/>
          <w:color w:val="auto"/>
          <w:kern w:val="0"/>
          <w:sz w:val="27"/>
          <w:szCs w:val="27"/>
          <w:highlight w:val="none"/>
        </w:rPr>
      </w:pPr>
      <w:bookmarkStart w:id="15" w:name="_Toc2272549"/>
      <w:bookmarkStart w:id="16" w:name="_Toc22189"/>
      <w:bookmarkStart w:id="17" w:name="_Toc27383"/>
      <w:bookmarkStart w:id="18" w:name="_Toc509"/>
      <w:r>
        <w:rPr>
          <w:rFonts w:ascii="Times New Roman" w:hAnsi="Times New Roman" w:eastAsia="宋体" w:cs="Times New Roman"/>
          <w:b/>
          <w:bCs/>
          <w:color w:val="auto"/>
          <w:kern w:val="0"/>
          <w:sz w:val="27"/>
          <w:szCs w:val="27"/>
          <w:highlight w:val="none"/>
        </w:rPr>
        <w:t>（一）总则</w:t>
      </w:r>
      <w:bookmarkEnd w:id="15"/>
      <w:bookmarkEnd w:id="16"/>
      <w:bookmarkEnd w:id="17"/>
      <w:bookmarkEnd w:id="18"/>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1、定义</w:t>
      </w:r>
    </w:p>
    <w:p>
      <w:pPr>
        <w:spacing w:line="360" w:lineRule="auto"/>
        <w:ind w:firstLine="480"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color w:val="auto"/>
          <w:sz w:val="24"/>
          <w:szCs w:val="20"/>
          <w:highlight w:val="none"/>
        </w:rPr>
        <w:t>本招标文件使用的下列词语具有如下规定的意义：</w:t>
      </w:r>
    </w:p>
    <w:p>
      <w:pPr>
        <w:spacing w:line="360" w:lineRule="auto"/>
        <w:ind w:firstLine="480" w:firstLineChars="200"/>
        <w:rPr>
          <w:rFonts w:ascii="Times New Roman" w:hAnsi="Times New Roman" w:eastAsia="宋体" w:cs="Times New Roman"/>
          <w:b/>
          <w:bCs/>
          <w:color w:val="auto"/>
          <w:sz w:val="24"/>
          <w:szCs w:val="20"/>
          <w:highlight w:val="none"/>
          <w:u w:val="single"/>
        </w:rPr>
      </w:pPr>
      <w:r>
        <w:rPr>
          <w:rFonts w:ascii="Times New Roman" w:hAnsi="Times New Roman" w:eastAsia="宋体" w:cs="Times New Roman"/>
          <w:color w:val="auto"/>
          <w:sz w:val="24"/>
          <w:szCs w:val="20"/>
          <w:highlight w:val="none"/>
        </w:rPr>
        <w:t>（1）“招标人”（即发包人）、“招标代理”均已在投标须知前附表中列明。</w:t>
      </w:r>
    </w:p>
    <w:p>
      <w:pPr>
        <w:spacing w:line="360" w:lineRule="auto"/>
        <w:ind w:firstLine="480" w:firstLineChars="200"/>
        <w:rPr>
          <w:rFonts w:ascii="Times New Roman" w:hAnsi="Times New Roman" w:eastAsia="宋体" w:cs="Times New Roman"/>
          <w:color w:val="auto"/>
          <w:sz w:val="24"/>
          <w:szCs w:val="20"/>
          <w:highlight w:val="none"/>
          <w:u w:val="single"/>
        </w:rPr>
      </w:pPr>
      <w:r>
        <w:rPr>
          <w:rFonts w:ascii="Times New Roman" w:hAnsi="Times New Roman" w:eastAsia="宋体" w:cs="Times New Roman"/>
          <w:color w:val="auto"/>
          <w:sz w:val="24"/>
          <w:szCs w:val="20"/>
          <w:highlight w:val="none"/>
        </w:rPr>
        <w:t xml:space="preserve">（2）“投标人”指向招标人提交投标文件的当事人。   </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（3）“承包人”指其投标被招标人接受并与其签订承包合同的当事人。</w:t>
      </w:r>
    </w:p>
    <w:p>
      <w:pPr>
        <w:spacing w:line="360" w:lineRule="auto"/>
        <w:ind w:firstLine="480" w:firstLineChars="200"/>
        <w:rPr>
          <w:rFonts w:ascii="Times New Roman" w:hAnsi="Times New Roman" w:eastAsia="宋体" w:cs="Times New Roman"/>
          <w:color w:val="auto"/>
          <w:sz w:val="24"/>
          <w:szCs w:val="20"/>
          <w:highlight w:val="none"/>
          <w:u w:val="single"/>
        </w:rPr>
      </w:pPr>
      <w:r>
        <w:rPr>
          <w:rFonts w:ascii="Times New Roman" w:hAnsi="Times New Roman" w:eastAsia="宋体" w:cs="Times New Roman"/>
          <w:color w:val="auto"/>
          <w:sz w:val="24"/>
          <w:szCs w:val="20"/>
          <w:highlight w:val="none"/>
        </w:rPr>
        <w:t>（4）“招标文件”指由招标代理发出的本文件（包括全部章节、附件）及招标答疑会会议纪要和</w:t>
      </w:r>
      <w:r>
        <w:rPr>
          <w:rFonts w:ascii="Times New Roman" w:hAnsi="Times New Roman" w:eastAsia="宋体" w:cs="Times New Roman"/>
          <w:bCs/>
          <w:color w:val="auto"/>
          <w:sz w:val="24"/>
          <w:szCs w:val="20"/>
          <w:highlight w:val="none"/>
        </w:rPr>
        <w:t>招标文件的澄清与修改</w:t>
      </w:r>
      <w:r>
        <w:rPr>
          <w:rFonts w:ascii="Times New Roman" w:hAnsi="Times New Roman" w:eastAsia="宋体" w:cs="Times New Roman"/>
          <w:color w:val="auto"/>
          <w:sz w:val="24"/>
          <w:szCs w:val="20"/>
          <w:highlight w:val="none"/>
        </w:rPr>
        <w:t>文件。</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（5）“投标文件”指投标人根据本项目招标文件向招标人提交的全部文件。</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（6）“书面形式”指打字或印刷的文件和数据电文（包括电报、电传、传真、电子数据交换和电子邮件）。</w:t>
      </w:r>
    </w:p>
    <w:p>
      <w:pPr>
        <w:spacing w:line="360" w:lineRule="auto"/>
        <w:ind w:firstLine="482" w:firstLineChars="200"/>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2、招标说明</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2.1本招标工程项目</w:t>
      </w:r>
      <w:r>
        <w:rPr>
          <w:rFonts w:hint="eastAsia" w:ascii="Times New Roman" w:hAnsi="Times New Roman" w:eastAsia="宋体" w:cs="Times New Roman"/>
          <w:bCs/>
          <w:color w:val="auto"/>
          <w:sz w:val="24"/>
          <w:highlight w:val="none"/>
        </w:rPr>
        <w:t>参照</w:t>
      </w:r>
      <w:r>
        <w:rPr>
          <w:rFonts w:ascii="Times New Roman" w:hAnsi="Times New Roman" w:eastAsia="宋体" w:cs="Times New Roman"/>
          <w:bCs/>
          <w:color w:val="auto"/>
          <w:sz w:val="24"/>
          <w:highlight w:val="none"/>
        </w:rPr>
        <w:t>《中华人民共和国招标投标法》等有关法律、行政法规、规章和规范性文件，通过招标方式选定承包人。</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2.2工程名称、建设地点、建设规模、承包方式、质量标准、招标范围、工期要求等均在投标须知前附表中列明。</w:t>
      </w:r>
    </w:p>
    <w:p>
      <w:pPr>
        <w:tabs>
          <w:tab w:val="left" w:pos="105"/>
        </w:tabs>
        <w:spacing w:line="360" w:lineRule="auto"/>
        <w:ind w:firstLine="482" w:firstLineChars="200"/>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3．资金来源</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3.1本招标工程项目资金来源见投标须知前附表第9项</w:t>
      </w:r>
    </w:p>
    <w:p>
      <w:pPr>
        <w:tabs>
          <w:tab w:val="left" w:pos="105"/>
        </w:tabs>
        <w:spacing w:line="360" w:lineRule="auto"/>
        <w:ind w:firstLine="482" w:firstLineChars="200"/>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4．合格投标人的条件</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4.1详见本项目招标公告</w:t>
      </w:r>
    </w:p>
    <w:p>
      <w:pPr>
        <w:tabs>
          <w:tab w:val="left" w:pos="105"/>
        </w:tabs>
        <w:spacing w:line="360" w:lineRule="auto"/>
        <w:ind w:firstLine="482" w:firstLineChars="200"/>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5．踏勘现场</w:t>
      </w:r>
    </w:p>
    <w:p>
      <w:pPr>
        <w:spacing w:line="360" w:lineRule="auto"/>
        <w:ind w:firstLine="480" w:firstLineChars="200"/>
        <w:rPr>
          <w:rFonts w:ascii="Times New Roman" w:hAnsi="Times New Roman" w:eastAsia="宋体" w:cs="Times New Roman"/>
          <w:bCs/>
          <w:color w:val="auto"/>
          <w:sz w:val="24"/>
          <w:highlight w:val="none"/>
          <w:u w:val="single"/>
        </w:rPr>
      </w:pPr>
      <w:r>
        <w:rPr>
          <w:rFonts w:ascii="Times New Roman" w:hAnsi="Times New Roman" w:eastAsia="宋体" w:cs="Times New Roman"/>
          <w:bCs/>
          <w:color w:val="auto"/>
          <w:sz w:val="24"/>
          <w:highlight w:val="none"/>
        </w:rPr>
        <w:t>5.1 投标人应按本投标须知前附表第15项所述时间和要求对工程现场及周围环境进行踏勘，</w:t>
      </w:r>
      <w:r>
        <w:rPr>
          <w:rFonts w:ascii="Times New Roman" w:hAnsi="Times New Roman" w:eastAsia="宋体" w:cs="Times New Roman"/>
          <w:color w:val="auto"/>
          <w:sz w:val="24"/>
          <w:highlight w:val="none"/>
        </w:rPr>
        <w:t>投标人应充分重视和仔细地进行这种考察，</w:t>
      </w:r>
      <w:r>
        <w:rPr>
          <w:rFonts w:ascii="Times New Roman" w:hAnsi="Times New Roman" w:eastAsia="宋体" w:cs="Times New Roman"/>
          <w:bCs/>
          <w:color w:val="auto"/>
          <w:sz w:val="24"/>
          <w:highlight w:val="none"/>
        </w:rPr>
        <w:t>以便投标人获取</w:t>
      </w:r>
      <w:r>
        <w:rPr>
          <w:rFonts w:ascii="Times New Roman" w:hAnsi="Times New Roman" w:eastAsia="宋体" w:cs="Times New Roman"/>
          <w:color w:val="auto"/>
          <w:sz w:val="24"/>
          <w:highlight w:val="none"/>
        </w:rPr>
        <w:t>那些须投标人自己负责的</w:t>
      </w:r>
      <w:r>
        <w:rPr>
          <w:rFonts w:ascii="Times New Roman" w:hAnsi="Times New Roman" w:eastAsia="宋体" w:cs="Times New Roman"/>
          <w:bCs/>
          <w:color w:val="auto"/>
          <w:sz w:val="24"/>
          <w:highlight w:val="none"/>
        </w:rPr>
        <w:t>有关编制投标文件和签署合同所涉及现场所有的资料。</w:t>
      </w:r>
      <w:r>
        <w:rPr>
          <w:rFonts w:ascii="Times New Roman" w:hAnsi="Times New Roman" w:eastAsia="宋体" w:cs="Times New Roman"/>
          <w:color w:val="auto"/>
          <w:sz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5.2 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5.3 经招标人允许，投标人可为踏勘目的进入招标人的项目现场。</w:t>
      </w:r>
      <w:r>
        <w:rPr>
          <w:rFonts w:ascii="Times New Roman" w:hAnsi="Times New Roman" w:eastAsia="宋体" w:cs="Times New Roman"/>
          <w:color w:val="auto"/>
          <w:sz w:val="24"/>
          <w:highlight w:val="none"/>
        </w:rPr>
        <w:t>在考察过程中，投标人及其代表必须承担那些进入现场后，由于他们的行为所造成的人身伤害（不管是否致命）、财产损失或损坏，以及其他任何原因造成的损失、损坏或费用，</w:t>
      </w:r>
      <w:r>
        <w:rPr>
          <w:rFonts w:ascii="Times New Roman" w:hAnsi="Times New Roman" w:eastAsia="宋体" w:cs="Times New Roman"/>
          <w:bCs/>
          <w:color w:val="auto"/>
          <w:sz w:val="24"/>
          <w:highlight w:val="none"/>
        </w:rPr>
        <w:t>投标人不得因此使招标人承担有关的责任和蒙受损失。</w:t>
      </w:r>
    </w:p>
    <w:p>
      <w:pPr>
        <w:tabs>
          <w:tab w:val="left" w:pos="105"/>
        </w:tabs>
        <w:spacing w:line="360" w:lineRule="auto"/>
        <w:ind w:firstLine="482" w:firstLineChars="200"/>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6．投标费用</w:t>
      </w:r>
    </w:p>
    <w:p>
      <w:pPr>
        <w:tabs>
          <w:tab w:val="left" w:pos="105"/>
        </w:tabs>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6.1</w:t>
      </w:r>
      <w:r>
        <w:rPr>
          <w:rFonts w:ascii="Times New Roman" w:hAnsi="Times New Roman" w:eastAsia="宋体" w:cs="Times New Roman"/>
          <w:color w:val="auto"/>
          <w:sz w:val="24"/>
          <w:highlight w:val="none"/>
        </w:rPr>
        <w:t>不论投标结果如何，投标人应承担</w:t>
      </w:r>
      <w:r>
        <w:rPr>
          <w:rFonts w:ascii="Times New Roman" w:hAnsi="Times New Roman" w:eastAsia="宋体" w:cs="Times New Roman"/>
          <w:bCs/>
          <w:color w:val="auto"/>
          <w:sz w:val="24"/>
          <w:highlight w:val="none"/>
        </w:rPr>
        <w:t>自身</w:t>
      </w:r>
      <w:r>
        <w:rPr>
          <w:rFonts w:ascii="Times New Roman" w:hAnsi="Times New Roman" w:eastAsia="宋体" w:cs="Times New Roman"/>
          <w:color w:val="auto"/>
          <w:sz w:val="24"/>
          <w:highlight w:val="none"/>
        </w:rPr>
        <w:t>因投标文件编制、递交及其他</w:t>
      </w:r>
      <w:r>
        <w:rPr>
          <w:rFonts w:ascii="Times New Roman" w:hAnsi="Times New Roman" w:eastAsia="宋体" w:cs="Times New Roman"/>
          <w:bCs/>
          <w:color w:val="auto"/>
          <w:sz w:val="24"/>
          <w:highlight w:val="none"/>
        </w:rPr>
        <w:t>参加本招标活动</w:t>
      </w:r>
      <w:r>
        <w:rPr>
          <w:rFonts w:ascii="Times New Roman" w:hAnsi="Times New Roman" w:eastAsia="宋体" w:cs="Times New Roman"/>
          <w:color w:val="auto"/>
          <w:sz w:val="24"/>
          <w:highlight w:val="none"/>
        </w:rPr>
        <w:t>所涉及的一切费用，招标人对上述费用不负任何责任。</w:t>
      </w:r>
    </w:p>
    <w:p>
      <w:pPr>
        <w:widowControl/>
        <w:spacing w:before="156" w:beforeAutospacing="1" w:after="156" w:afterAutospacing="1"/>
        <w:jc w:val="center"/>
        <w:outlineLvl w:val="2"/>
        <w:rPr>
          <w:rFonts w:ascii="Times New Roman" w:hAnsi="Times New Roman" w:eastAsia="宋体" w:cs="Times New Roman"/>
          <w:b/>
          <w:bCs/>
          <w:color w:val="auto"/>
          <w:kern w:val="0"/>
          <w:sz w:val="27"/>
          <w:szCs w:val="27"/>
          <w:highlight w:val="none"/>
        </w:rPr>
      </w:pPr>
      <w:bookmarkStart w:id="19" w:name="_Toc3663"/>
      <w:bookmarkStart w:id="20" w:name="_Toc12753"/>
      <w:bookmarkStart w:id="21" w:name="_Toc2272550"/>
      <w:bookmarkStart w:id="22" w:name="_Toc14020"/>
      <w:r>
        <w:rPr>
          <w:rFonts w:ascii="Times New Roman" w:hAnsi="Times New Roman" w:eastAsia="宋体" w:cs="Times New Roman"/>
          <w:b/>
          <w:bCs/>
          <w:color w:val="auto"/>
          <w:kern w:val="0"/>
          <w:sz w:val="27"/>
          <w:szCs w:val="27"/>
          <w:highlight w:val="none"/>
        </w:rPr>
        <w:t>（二）招标文件</w:t>
      </w:r>
      <w:bookmarkEnd w:id="19"/>
      <w:bookmarkEnd w:id="20"/>
      <w:bookmarkEnd w:id="21"/>
      <w:bookmarkEnd w:id="22"/>
    </w:p>
    <w:p>
      <w:pPr>
        <w:tabs>
          <w:tab w:val="left" w:pos="105"/>
        </w:tabs>
        <w:spacing w:line="360" w:lineRule="auto"/>
        <w:ind w:firstLine="482" w:firstLineChars="200"/>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7.招标文件的组成</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bCs/>
          <w:color w:val="auto"/>
          <w:sz w:val="24"/>
          <w:highlight w:val="none"/>
        </w:rPr>
        <w:t>7.1</w:t>
      </w:r>
      <w:r>
        <w:rPr>
          <w:rFonts w:ascii="Times New Roman" w:hAnsi="Times New Roman" w:eastAsia="宋体" w:cs="Times New Roman"/>
          <w:color w:val="auto"/>
          <w:sz w:val="24"/>
          <w:highlight w:val="none"/>
        </w:rPr>
        <w:t>本招标文件包括下列文件，以及所有按本须知第8条发出的招标答疑会会议纪要和按本须知第9条发出的澄清或修改：</w:t>
      </w:r>
    </w:p>
    <w:p>
      <w:pPr>
        <w:spacing w:line="360" w:lineRule="auto"/>
        <w:ind w:left="-2"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bCs/>
          <w:color w:val="auto"/>
          <w:sz w:val="24"/>
          <w:szCs w:val="20"/>
          <w:highlight w:val="none"/>
        </w:rPr>
        <w:t xml:space="preserve">第一章  </w:t>
      </w:r>
      <w:r>
        <w:rPr>
          <w:rFonts w:ascii="Times New Roman" w:hAnsi="Times New Roman" w:eastAsia="宋体" w:cs="Times New Roman"/>
          <w:color w:val="auto"/>
          <w:sz w:val="24"/>
          <w:szCs w:val="20"/>
          <w:highlight w:val="none"/>
        </w:rPr>
        <w:t>招标公告</w:t>
      </w:r>
    </w:p>
    <w:p>
      <w:pPr>
        <w:spacing w:line="360" w:lineRule="auto"/>
        <w:ind w:left="-2"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bCs/>
          <w:color w:val="auto"/>
          <w:sz w:val="24"/>
          <w:szCs w:val="20"/>
          <w:highlight w:val="none"/>
        </w:rPr>
        <w:t xml:space="preserve">第二章  </w:t>
      </w:r>
      <w:r>
        <w:rPr>
          <w:rFonts w:ascii="Times New Roman" w:hAnsi="Times New Roman" w:eastAsia="宋体" w:cs="Times New Roman"/>
          <w:color w:val="auto"/>
          <w:sz w:val="24"/>
          <w:szCs w:val="20"/>
          <w:highlight w:val="none"/>
        </w:rPr>
        <w:t>投标须知</w:t>
      </w:r>
    </w:p>
    <w:p>
      <w:pPr>
        <w:spacing w:line="360" w:lineRule="auto"/>
        <w:ind w:left="-2"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bCs/>
          <w:color w:val="auto"/>
          <w:sz w:val="24"/>
          <w:szCs w:val="20"/>
          <w:highlight w:val="none"/>
        </w:rPr>
        <w:t xml:space="preserve">第三章  </w:t>
      </w:r>
      <w:r>
        <w:rPr>
          <w:rFonts w:ascii="Times New Roman" w:hAnsi="Times New Roman" w:eastAsia="宋体" w:cs="Times New Roman"/>
          <w:color w:val="auto"/>
          <w:sz w:val="24"/>
          <w:szCs w:val="20"/>
          <w:highlight w:val="none"/>
        </w:rPr>
        <w:t>开标、评标及定标办法</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第四章  合同条款</w:t>
      </w:r>
    </w:p>
    <w:p>
      <w:pPr>
        <w:tabs>
          <w:tab w:val="center" w:pos="4152"/>
        </w:tabs>
        <w:spacing w:line="360" w:lineRule="auto"/>
        <w:ind w:left="-2" w:firstLine="480" w:firstLineChars="200"/>
        <w:rPr>
          <w:rFonts w:hint="eastAsia" w:ascii="Times New Roman" w:hAnsi="Times New Roman" w:eastAsia="宋体" w:cs="Times New Roman"/>
          <w:color w:val="auto"/>
          <w:sz w:val="24"/>
          <w:szCs w:val="20"/>
          <w:highlight w:val="none"/>
          <w:lang w:eastAsia="zh-CN"/>
        </w:rPr>
      </w:pPr>
      <w:r>
        <w:rPr>
          <w:rFonts w:ascii="Times New Roman" w:hAnsi="Times New Roman" w:eastAsia="宋体" w:cs="Times New Roman"/>
          <w:bCs/>
          <w:color w:val="auto"/>
          <w:sz w:val="24"/>
          <w:szCs w:val="20"/>
          <w:highlight w:val="none"/>
        </w:rPr>
        <w:t xml:space="preserve">第五章  </w:t>
      </w:r>
      <w:r>
        <w:rPr>
          <w:rFonts w:ascii="Times New Roman" w:hAnsi="Times New Roman" w:eastAsia="宋体" w:cs="Times New Roman"/>
          <w:color w:val="auto"/>
          <w:sz w:val="24"/>
          <w:szCs w:val="20"/>
          <w:highlight w:val="none"/>
        </w:rPr>
        <w:t>用户需求书</w:t>
      </w:r>
      <w:r>
        <w:rPr>
          <w:rFonts w:hint="eastAsia" w:ascii="Times New Roman" w:hAnsi="Times New Roman" w:eastAsia="宋体" w:cs="Times New Roman"/>
          <w:color w:val="auto"/>
          <w:sz w:val="24"/>
          <w:szCs w:val="20"/>
          <w:highlight w:val="none"/>
          <w:lang w:eastAsia="zh-CN"/>
        </w:rPr>
        <w:tab/>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bCs/>
          <w:color w:val="auto"/>
          <w:sz w:val="24"/>
          <w:szCs w:val="20"/>
          <w:highlight w:val="none"/>
        </w:rPr>
        <w:t>第</w:t>
      </w:r>
      <w:r>
        <w:rPr>
          <w:rFonts w:hint="eastAsia" w:ascii="Times New Roman" w:hAnsi="Times New Roman" w:eastAsia="宋体" w:cs="Times New Roman"/>
          <w:bCs/>
          <w:color w:val="auto"/>
          <w:sz w:val="24"/>
          <w:szCs w:val="20"/>
          <w:highlight w:val="none"/>
          <w:lang w:eastAsia="zh-CN"/>
        </w:rPr>
        <w:t>七</w:t>
      </w:r>
      <w:r>
        <w:rPr>
          <w:rFonts w:ascii="Times New Roman" w:hAnsi="Times New Roman" w:eastAsia="宋体" w:cs="Times New Roman"/>
          <w:bCs/>
          <w:color w:val="auto"/>
          <w:sz w:val="24"/>
          <w:szCs w:val="20"/>
          <w:highlight w:val="none"/>
        </w:rPr>
        <w:t xml:space="preserve">章  </w:t>
      </w:r>
      <w:r>
        <w:rPr>
          <w:rFonts w:ascii="Times New Roman" w:hAnsi="Times New Roman" w:eastAsia="宋体" w:cs="Times New Roman"/>
          <w:color w:val="auto"/>
          <w:sz w:val="24"/>
          <w:szCs w:val="20"/>
          <w:highlight w:val="none"/>
        </w:rPr>
        <w:t>投标文件格式</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7.3 投标人一旦中标，招标文件的内容对招标人和中标人双方均有约束力。</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8．招标答疑</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8.1 投标人若对招标文件中有疑问，可以书面形式</w:t>
      </w:r>
      <w:r>
        <w:rPr>
          <w:rFonts w:ascii="Times New Roman" w:hAnsi="Times New Roman" w:eastAsia="宋体" w:cs="Times New Roman"/>
          <w:color w:val="auto"/>
          <w:sz w:val="24"/>
          <w:szCs w:val="24"/>
          <w:highlight w:val="none"/>
        </w:rPr>
        <w:t>提交</w:t>
      </w:r>
      <w:r>
        <w:rPr>
          <w:rFonts w:ascii="Times New Roman" w:hAnsi="Times New Roman" w:eastAsia="宋体" w:cs="Times New Roman"/>
          <w:color w:val="auto"/>
          <w:sz w:val="24"/>
          <w:szCs w:val="20"/>
          <w:highlight w:val="none"/>
        </w:rPr>
        <w:t>给招标代理机构，提交形式见本须知前附表第16项。</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8.2招标答疑会会议纪要将在提交投标文件截止时间15日前发放给已购买招标文件所有投标人。投标人在收到上述通知后，应在24小时内以书面形式向招标代理机构确认，若投标人未在24小时内书面回复确认将视为同意修改内容，并有责任履行相应的义务。</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8.3答疑会会议纪要为招标文件的一部分。</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8.4若招标答疑会会议纪要与招标文件有矛盾，以答疑会议纪要最后发出的书面形式的文件为准。</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9.招标文件的澄清与修改</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9.1招标文件发出后,在提交投标文件截止时间15日前，招标人可对招标文件进行必要的澄清或修改。</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9.2招标文件的澄清或者修改的内容可能影响投标文件编制的，招标人应当在投标截止时间至少15日前，以书面形式通知所有招标文件的潜在投标人；不足15日的，招标人应当顺延提交投标文件的截止时间。潜在投标人在收到上述通知后，应在24小时内以书面形式向招标代理机构确认，若投标人未在24小时内书面回复确认将视为同意修改内容，并有责任履行相应的义务。</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9.3招标文件的修改内容为招标文件的组成部分。</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9.4招标文件的澄清或修改均以书面形式明确的内容为准。当招标文件的澄清、修改、补充等在同一内容的表述不一致时，以最后发出的书面形式的文件为准。</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widowControl/>
        <w:spacing w:before="156" w:beforeAutospacing="1" w:after="156" w:afterAutospacing="1"/>
        <w:jc w:val="center"/>
        <w:outlineLvl w:val="2"/>
        <w:rPr>
          <w:rFonts w:ascii="Times New Roman" w:hAnsi="Times New Roman" w:eastAsia="宋体" w:cs="Times New Roman"/>
          <w:b/>
          <w:bCs/>
          <w:color w:val="auto"/>
          <w:kern w:val="0"/>
          <w:sz w:val="27"/>
          <w:szCs w:val="27"/>
          <w:highlight w:val="none"/>
        </w:rPr>
      </w:pPr>
      <w:bookmarkStart w:id="23" w:name="_Toc22508"/>
      <w:bookmarkStart w:id="24" w:name="_Toc13526"/>
      <w:bookmarkStart w:id="25" w:name="_Toc2272551"/>
      <w:bookmarkStart w:id="26" w:name="_Toc11668"/>
      <w:r>
        <w:rPr>
          <w:rFonts w:ascii="Times New Roman" w:hAnsi="Times New Roman" w:eastAsia="宋体" w:cs="Times New Roman"/>
          <w:b/>
          <w:bCs/>
          <w:color w:val="auto"/>
          <w:kern w:val="0"/>
          <w:sz w:val="27"/>
          <w:szCs w:val="27"/>
          <w:highlight w:val="none"/>
        </w:rPr>
        <w:t>（三）投标文件的编制</w:t>
      </w:r>
      <w:bookmarkEnd w:id="23"/>
      <w:bookmarkEnd w:id="24"/>
      <w:bookmarkEnd w:id="25"/>
      <w:bookmarkEnd w:id="26"/>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10．投标文件的语言及度量衡单位</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10.1 投标文件和与投标有关的所有文件均应使用中文。</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10.2 除工程规范另有规定外，投标文件使用的度量衡单位，均采用中华人民共和国法定计量单位。</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11．投标文件的组成</w:t>
      </w:r>
    </w:p>
    <w:p>
      <w:pPr>
        <w:spacing w:line="360" w:lineRule="auto"/>
        <w:ind w:firstLine="480" w:firstLineChars="200"/>
        <w:rPr>
          <w:rFonts w:ascii="Times New Roman" w:hAnsi="Times New Roman" w:eastAsia="宋体" w:cs="Times New Roman"/>
          <w:b/>
          <w:color w:val="auto"/>
          <w:sz w:val="24"/>
          <w:szCs w:val="20"/>
          <w:highlight w:val="none"/>
        </w:rPr>
      </w:pPr>
      <w:r>
        <w:rPr>
          <w:rFonts w:ascii="Times New Roman" w:hAnsi="Times New Roman" w:eastAsia="宋体" w:cs="Times New Roman"/>
          <w:color w:val="auto"/>
          <w:sz w:val="24"/>
          <w:szCs w:val="20"/>
          <w:highlight w:val="none"/>
        </w:rPr>
        <w:t>11.1 投标文件由技术部分（含资格审查文件）和经济部分投标文件组成</w:t>
      </w:r>
      <w:r>
        <w:rPr>
          <w:rFonts w:ascii="Times New Roman" w:hAnsi="Times New Roman" w:eastAsia="宋体" w:cs="Times New Roman"/>
          <w:b/>
          <w:color w:val="auto"/>
          <w:sz w:val="24"/>
          <w:szCs w:val="20"/>
          <w:highlight w:val="none"/>
        </w:rPr>
        <w:t>。</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11.2投标文件技术标部分主要包括下列内容:</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11.2.1 技术投标文件</w:t>
      </w:r>
      <w:r>
        <w:rPr>
          <w:rFonts w:ascii="Times New Roman" w:hAnsi="Times New Roman" w:eastAsia="宋体" w:cs="Times New Roman"/>
          <w:color w:val="auto"/>
          <w:sz w:val="24"/>
          <w:highlight w:val="none"/>
        </w:rPr>
        <w:t>(按招标文件的要求填写)</w:t>
      </w:r>
      <w:r>
        <w:rPr>
          <w:rFonts w:ascii="Times New Roman" w:hAnsi="Times New Roman" w:eastAsia="宋体" w:cs="Times New Roman"/>
          <w:bCs/>
          <w:color w:val="auto"/>
          <w:sz w:val="24"/>
          <w:highlight w:val="none"/>
        </w:rPr>
        <w:t>；</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11.2.2 资格审查文件：</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详见本项目招标公告</w:t>
      </w:r>
      <w:r>
        <w:rPr>
          <w:rFonts w:hint="eastAsia" w:ascii="Times New Roman" w:hAnsi="Times New Roman" w:eastAsia="宋体" w:cs="Times New Roman"/>
          <w:bCs/>
          <w:color w:val="auto"/>
          <w:sz w:val="24"/>
          <w:highlight w:val="none"/>
        </w:rPr>
        <w:t>。</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11.2.3项目管理机构配备。</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（1）投标人应列出该项目工程的项目管理机构组成表；</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（2）投标人应详细列出该施工组织机构中主要成员的名单、简历资料、职务职称和在本项目中拟担任的职务等资料；</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（3）其他辅助说明资料。</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11.2.3 企业资信。</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（1）企业类似工程业绩</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）企业管理体系认证情况</w:t>
      </w:r>
    </w:p>
    <w:p>
      <w:pPr>
        <w:tabs>
          <w:tab w:val="left" w:pos="1125"/>
        </w:tabs>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11.2.4施工组织设计。</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11.3 经济部分投标文件主要包括下列内容：</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11.3.1 经济投标文件。</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11.3.2投标总价。投标人必须结合企业成本、市场价格以及招标文件中载明的风险内容和范围等编制。</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12．投标文件格式</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12.1 投标文件包括本须知第11条中规定的内容，投标人提交的投标文件应当使用招标文件所提供的投标文件全部格式（表格可以按同样格式扩展）。</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0"/>
          <w:highlight w:val="none"/>
        </w:rPr>
        <w:t>12.2 投标文件全部采用纸质文档，投标人应仔细阅读“第八章 投标文件格式”的相关规定和要求。如投标文件未按规定的格式填写，或主要内容不全，或关键字迹模糊、无法辨认造成无法满足评标需要的，经评标委员会审查否决其投标</w:t>
      </w:r>
      <w:r>
        <w:rPr>
          <w:rFonts w:ascii="Times New Roman" w:hAnsi="Times New Roman" w:eastAsia="宋体" w:cs="Times New Roman"/>
          <w:color w:val="auto"/>
          <w:sz w:val="24"/>
          <w:szCs w:val="24"/>
          <w:highlight w:val="none"/>
        </w:rPr>
        <w:t>。</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13．投标报价及造价承包和变更结算方式</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13.1 本工程的投标报价采用投标须知前附表第12项所规定的方式。投标报价（含单价及总价）精确到“分”。</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13.2投标人未填报单价或合价的工程项目，视为此项费用已包含在合价之中，在实施后，此项目不得重新组价予以调整，招标人将不予支付。</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13.3</w:t>
      </w:r>
      <w:r>
        <w:rPr>
          <w:rFonts w:hint="eastAsia" w:ascii="Times New Roman" w:hAnsi="Times New Roman" w:eastAsia="宋体" w:cs="Times New Roman"/>
          <w:color w:val="auto"/>
          <w:sz w:val="24"/>
          <w:szCs w:val="20"/>
          <w:highlight w:val="none"/>
        </w:rPr>
        <w:t>投标人应充分了解施工场地的位置、周边环境、道路、装卸、保管、安装限制以及影响投标报价的其他要素。投标人根据投标设计，结合市场情况进行投标报价</w:t>
      </w:r>
      <w:r>
        <w:rPr>
          <w:rFonts w:ascii="Times New Roman" w:hAnsi="Times New Roman" w:eastAsia="宋体" w:cs="Times New Roman"/>
          <w:color w:val="auto"/>
          <w:sz w:val="24"/>
          <w:szCs w:val="20"/>
          <w:highlight w:val="none"/>
        </w:rPr>
        <w:t>。</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13.</w:t>
      </w:r>
      <w:r>
        <w:rPr>
          <w:rFonts w:hint="eastAsia" w:ascii="Times New Roman" w:hAnsi="Times New Roman" w:eastAsia="宋体" w:cs="Times New Roman"/>
          <w:color w:val="auto"/>
          <w:sz w:val="24"/>
          <w:szCs w:val="20"/>
          <w:highlight w:val="none"/>
          <w:lang w:val="en-US" w:eastAsia="zh-CN"/>
        </w:rPr>
        <w:t>4</w:t>
      </w:r>
      <w:r>
        <w:rPr>
          <w:rFonts w:ascii="Times New Roman" w:hAnsi="Times New Roman" w:eastAsia="宋体" w:cs="Times New Roman"/>
          <w:color w:val="auto"/>
          <w:sz w:val="24"/>
          <w:szCs w:val="20"/>
          <w:highlight w:val="none"/>
        </w:rPr>
        <w:t>投标人可先到工地踏勘以充分了解工地位置、情况、道路、储存空间、装卸限制及任何其他足以影响承包价的情况，任何因忽视或误解工地情况而导致的索赔或工期延长申请将不被批准。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13.</w:t>
      </w:r>
      <w:r>
        <w:rPr>
          <w:rFonts w:hint="eastAsia" w:ascii="Times New Roman" w:hAnsi="Times New Roman" w:eastAsia="宋体" w:cs="Times New Roman"/>
          <w:color w:val="auto"/>
          <w:sz w:val="24"/>
          <w:szCs w:val="20"/>
          <w:highlight w:val="none"/>
          <w:lang w:val="en-US" w:eastAsia="zh-CN"/>
        </w:rPr>
        <w:t>5</w:t>
      </w:r>
      <w:r>
        <w:rPr>
          <w:rFonts w:ascii="Times New Roman" w:hAnsi="Times New Roman" w:eastAsia="宋体" w:cs="Times New Roman"/>
          <w:color w:val="auto"/>
          <w:sz w:val="24"/>
          <w:szCs w:val="20"/>
          <w:highlight w:val="none"/>
        </w:rPr>
        <w:t>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0"/>
          <w:highlight w:val="none"/>
        </w:rPr>
        <w:t>13.</w:t>
      </w:r>
      <w:r>
        <w:rPr>
          <w:rFonts w:hint="eastAsia" w:ascii="Times New Roman" w:hAnsi="Times New Roman" w:eastAsia="宋体" w:cs="Times New Roman"/>
          <w:color w:val="auto"/>
          <w:sz w:val="24"/>
          <w:szCs w:val="20"/>
          <w:highlight w:val="none"/>
          <w:lang w:val="en-US" w:eastAsia="zh-CN"/>
        </w:rPr>
        <w:t>6</w:t>
      </w:r>
      <w:r>
        <w:rPr>
          <w:rFonts w:ascii="Times New Roman" w:hAnsi="Times New Roman" w:eastAsia="宋体" w:cs="Times New Roman"/>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14．投标货币</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14.1 本工程投标报价采用的币种为人民币。</w:t>
      </w:r>
    </w:p>
    <w:p>
      <w:pPr>
        <w:spacing w:line="360" w:lineRule="auto"/>
        <w:ind w:firstLine="482" w:firstLineChars="200"/>
        <w:rPr>
          <w:rFonts w:ascii="Times New Roman" w:hAnsi="Times New Roman" w:eastAsia="宋体" w:cs="Times New Roman"/>
          <w:color w:val="auto"/>
          <w:sz w:val="24"/>
          <w:szCs w:val="20"/>
          <w:highlight w:val="none"/>
        </w:rPr>
      </w:pPr>
      <w:r>
        <w:rPr>
          <w:rFonts w:ascii="Times New Roman" w:hAnsi="Times New Roman" w:eastAsia="宋体" w:cs="Times New Roman"/>
          <w:b/>
          <w:bCs/>
          <w:color w:val="auto"/>
          <w:sz w:val="24"/>
          <w:szCs w:val="20"/>
          <w:highlight w:val="none"/>
        </w:rPr>
        <w:t>15．投标有效期</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15.1 投标有效期见投标须知前附表第13项所规定的期限，在此期限内，凡符合本招标文件要求的投标文件均保持有效。</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16．投标保证金</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16.1投标人应按投标须知前附表第14项所述金额和时间递交</w:t>
      </w:r>
      <w:r>
        <w:rPr>
          <w:rFonts w:ascii="Times New Roman" w:hAnsi="Times New Roman" w:eastAsia="宋体" w:cs="Times New Roman"/>
          <w:bCs/>
          <w:color w:val="auto"/>
          <w:sz w:val="24"/>
          <w:highlight w:val="none"/>
        </w:rPr>
        <w:t>投标保证金</w:t>
      </w:r>
      <w:r>
        <w:rPr>
          <w:rFonts w:ascii="Times New Roman" w:hAnsi="Times New Roman" w:eastAsia="宋体" w:cs="Times New Roman"/>
          <w:color w:val="auto"/>
          <w:sz w:val="24"/>
          <w:highlight w:val="none"/>
        </w:rPr>
        <w:t>。投标保证金以现金或者支票形式提交的，必须由投标人的银行基本账户转出。</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16.2</w:t>
      </w:r>
      <w:r>
        <w:rPr>
          <w:rFonts w:ascii="Times New Roman" w:hAnsi="Times New Roman" w:eastAsia="宋体" w:cs="Times New Roman"/>
          <w:color w:val="auto"/>
          <w:sz w:val="24"/>
          <w:szCs w:val="24"/>
          <w:highlight w:val="none"/>
        </w:rPr>
        <w:t>开标时投标人没有按要求提供投标保证金的，其投标文件将被否决</w:t>
      </w:r>
      <w:r>
        <w:rPr>
          <w:rFonts w:ascii="Times New Roman" w:hAnsi="Times New Roman" w:eastAsia="宋体" w:cs="Times New Roman"/>
          <w:color w:val="auto"/>
          <w:sz w:val="24"/>
          <w:highlight w:val="none"/>
        </w:rPr>
        <w:t>。</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16.3中标候选人以外的投标人的投标保证金将尽快退还，最迟不超过中标通知书发出之日起五日内。</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16.4中标人和其他中标候选人的投标保证金，在书面合同订立之日起五日内予以退还。</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16.5如有下列情况之一的，招标人不予退还投标保证金：</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16.5.1投标人在投标有效期内撤回投标文件；</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16.5.2中标人未能在规定期限内按要求提交履约担保；</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16.5.3中标人未能在规定期限内签署合同协议。</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17．投标文件的签署</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17.1投标文件的正本须用A4纸打印或用不退色墨水书写，招标文件要求签名的由法定代表人或经其正式授权的代表签字，投标文件封面及要求盖章处须加盖投标人公章；投标文件的副本可采用正本的复印件，并与正本具有同等法律效力。</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17.2除投标人对错误处须修改外，全套投标文件应无涂改或增删，如有修改，修改处应由投标人加盖投标人的印章或由投标文件签字人签字或盖章。</w:t>
      </w:r>
    </w:p>
    <w:p>
      <w:pPr>
        <w:widowControl/>
        <w:spacing w:before="156" w:beforeAutospacing="1" w:after="156" w:afterAutospacing="1"/>
        <w:jc w:val="center"/>
        <w:outlineLvl w:val="2"/>
        <w:rPr>
          <w:rFonts w:ascii="Times New Roman" w:hAnsi="Times New Roman" w:eastAsia="宋体" w:cs="Times New Roman"/>
          <w:b/>
          <w:bCs/>
          <w:color w:val="auto"/>
          <w:kern w:val="0"/>
          <w:sz w:val="27"/>
          <w:szCs w:val="27"/>
          <w:highlight w:val="none"/>
        </w:rPr>
      </w:pPr>
      <w:bookmarkStart w:id="27" w:name="_Toc9246"/>
      <w:bookmarkStart w:id="28" w:name="_Toc4797"/>
      <w:bookmarkStart w:id="29" w:name="_Toc17156"/>
      <w:bookmarkStart w:id="30" w:name="_Toc2272552"/>
      <w:r>
        <w:rPr>
          <w:rFonts w:ascii="Times New Roman" w:hAnsi="Times New Roman" w:eastAsia="宋体" w:cs="Times New Roman"/>
          <w:b/>
          <w:bCs/>
          <w:color w:val="auto"/>
          <w:kern w:val="0"/>
          <w:sz w:val="27"/>
          <w:szCs w:val="27"/>
          <w:highlight w:val="none"/>
        </w:rPr>
        <w:t>（四）投标文件的提交</w:t>
      </w:r>
      <w:bookmarkEnd w:id="27"/>
      <w:bookmarkEnd w:id="28"/>
      <w:bookmarkEnd w:id="29"/>
      <w:bookmarkEnd w:id="30"/>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18．</w:t>
      </w:r>
      <w:r>
        <w:rPr>
          <w:rFonts w:ascii="Times New Roman" w:hAnsi="Times New Roman" w:eastAsia="宋体" w:cs="Times New Roman"/>
          <w:b/>
          <w:color w:val="auto"/>
          <w:sz w:val="24"/>
          <w:szCs w:val="24"/>
          <w:highlight w:val="none"/>
        </w:rPr>
        <w:t>投标文件的密封和标记</w:t>
      </w:r>
    </w:p>
    <w:p>
      <w:pPr>
        <w:spacing w:line="360" w:lineRule="auto"/>
        <w:ind w:firstLine="480" w:firstLineChars="200"/>
        <w:rPr>
          <w:rFonts w:ascii="Times New Roman" w:hAnsi="Times New Roman" w:eastAsia="宋体" w:cs="Times New Roman"/>
          <w:color w:val="auto"/>
          <w:sz w:val="24"/>
          <w:szCs w:val="21"/>
          <w:highlight w:val="none"/>
        </w:rPr>
      </w:pPr>
      <w:r>
        <w:rPr>
          <w:rFonts w:ascii="Times New Roman" w:hAnsi="Times New Roman" w:eastAsia="宋体" w:cs="Times New Roman"/>
          <w:bCs/>
          <w:color w:val="auto"/>
          <w:sz w:val="24"/>
          <w:highlight w:val="none"/>
        </w:rPr>
        <w:t>18.1</w:t>
      </w:r>
      <w:r>
        <w:rPr>
          <w:rFonts w:ascii="Times New Roman" w:hAnsi="Times New Roman" w:eastAsia="宋体" w:cs="Times New Roman"/>
          <w:color w:val="auto"/>
          <w:sz w:val="24"/>
          <w:szCs w:val="21"/>
          <w:highlight w:val="none"/>
        </w:rPr>
        <w:t>投标文件的份数要求：投标人应按投标须知前附表第17项规定的份数递交投标文件。</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color w:val="auto"/>
          <w:sz w:val="24"/>
          <w:szCs w:val="21"/>
          <w:highlight w:val="none"/>
        </w:rPr>
        <w:t>18.2投标文件的密封要求：投标人应将投标文件正本和所有副本分开密封，且在封套上标明“正本”“副本”字样，封口处加盖投标人公章</w:t>
      </w:r>
      <w:r>
        <w:rPr>
          <w:rFonts w:ascii="Times New Roman" w:hAnsi="Times New Roman" w:eastAsia="宋体" w:cs="Times New Roman"/>
          <w:bCs/>
          <w:color w:val="auto"/>
          <w:sz w:val="24"/>
          <w:highlight w:val="none"/>
        </w:rPr>
        <w:t>。</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19．投标文件的递交和接收</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bCs/>
          <w:color w:val="auto"/>
          <w:sz w:val="24"/>
          <w:highlight w:val="none"/>
        </w:rPr>
        <w:t>19.1</w:t>
      </w:r>
      <w:r>
        <w:rPr>
          <w:rFonts w:ascii="Times New Roman" w:hAnsi="Times New Roman" w:eastAsia="宋体" w:cs="Times New Roman"/>
          <w:color w:val="auto"/>
          <w:sz w:val="24"/>
          <w:highlight w:val="none"/>
        </w:rPr>
        <w:t>投标人代表应按投标须知前附表第18项所规定的时间和地点向招标人递交投标文件。</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19.2若出现以下情况之一的，招标人将拒绝接收投标文件：</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 xml:space="preserve">19.2.1投标文件未在递交投标文件截止时间前递交的； </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19.2.2投标文件未按招标文件要求密封的；</w:t>
      </w:r>
    </w:p>
    <w:p>
      <w:pPr>
        <w:spacing w:line="360" w:lineRule="auto"/>
        <w:ind w:firstLine="480" w:firstLineChars="200"/>
        <w:rPr>
          <w:rFonts w:ascii="Times New Roman" w:hAnsi="Times New Roman" w:eastAsia="宋体" w:cs="Times New Roman"/>
          <w:bCs/>
          <w:color w:val="auto"/>
          <w:sz w:val="24"/>
          <w:highlight w:val="none"/>
        </w:rPr>
      </w:pPr>
      <w:r>
        <w:rPr>
          <w:rFonts w:ascii="Times New Roman" w:hAnsi="Times New Roman" w:eastAsia="宋体" w:cs="Times New Roman"/>
          <w:color w:val="auto"/>
          <w:sz w:val="24"/>
          <w:highlight w:val="none"/>
        </w:rPr>
        <w:t>19.2.3投标文件损坏或格式不正确的。</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20．投标文件提交的截止时间</w:t>
      </w:r>
    </w:p>
    <w:p>
      <w:pPr>
        <w:spacing w:line="360" w:lineRule="auto"/>
        <w:ind w:firstLine="480" w:firstLineChars="200"/>
        <w:rPr>
          <w:rFonts w:ascii="Times New Roman" w:hAnsi="Times New Roman" w:eastAsia="宋体" w:cs="Times New Roman"/>
          <w:b/>
          <w:bCs/>
          <w:color w:val="auto"/>
          <w:sz w:val="24"/>
          <w:highlight w:val="none"/>
        </w:rPr>
      </w:pPr>
      <w:r>
        <w:rPr>
          <w:rFonts w:ascii="Times New Roman" w:hAnsi="Times New Roman" w:eastAsia="宋体" w:cs="Times New Roman"/>
          <w:color w:val="auto"/>
          <w:sz w:val="24"/>
          <w:highlight w:val="none"/>
        </w:rPr>
        <w:t>20.1投标人应在投标须知前附表第18项所述的时间前提交投标文件。</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20.2招标人可按本须知第9条规定以招标文件修改的方式，酌情延长提交投标文件的截止时间。在此情况下，投标人的所有权利和义务以及投标人受制约的截止时间，均以延长后新的投标截止时间为准。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20.3 到投标截止时间止，招标人收到的投标文件少于3家的，招标人将重新组织招标。</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21．迟交的投标文件</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21.1 本须知前附表第18项规定的投标截止时间</w:t>
      </w:r>
      <w:r>
        <w:rPr>
          <w:rFonts w:ascii="Times New Roman" w:hAnsi="Times New Roman" w:eastAsia="宋体" w:cs="Times New Roman"/>
          <w:bCs/>
          <w:color w:val="auto"/>
          <w:sz w:val="24"/>
          <w:szCs w:val="24"/>
          <w:highlight w:val="none"/>
        </w:rPr>
        <w:t>后送达的</w:t>
      </w:r>
      <w:r>
        <w:rPr>
          <w:rFonts w:ascii="Times New Roman" w:hAnsi="Times New Roman" w:eastAsia="宋体" w:cs="Times New Roman"/>
          <w:bCs/>
          <w:color w:val="auto"/>
          <w:sz w:val="24"/>
          <w:highlight w:val="none"/>
        </w:rPr>
        <w:t>投标文件，</w:t>
      </w:r>
      <w:r>
        <w:rPr>
          <w:rFonts w:ascii="Times New Roman" w:hAnsi="Times New Roman" w:eastAsia="宋体" w:cs="Times New Roman"/>
          <w:color w:val="auto"/>
          <w:sz w:val="24"/>
          <w:szCs w:val="24"/>
          <w:highlight w:val="none"/>
        </w:rPr>
        <w:t>招标代理机构</w:t>
      </w:r>
      <w:r>
        <w:rPr>
          <w:rFonts w:ascii="Times New Roman" w:hAnsi="Times New Roman" w:eastAsia="宋体" w:cs="Times New Roman"/>
          <w:color w:val="auto"/>
          <w:sz w:val="24"/>
          <w:highlight w:val="none"/>
        </w:rPr>
        <w:t>将予以拒收。</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22．投标文件的修改与撤回</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22.1在规定的投标截止时间前，投标人可以修改或撤回已递交的投标文件，但应以书面形式通知招标人。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22.2修改后再次递交的，按19点的规定执行。</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22.3 在投标截止时间之后，投标人不得补充、修改和更换投标文件。</w:t>
      </w:r>
    </w:p>
    <w:p>
      <w:pPr>
        <w:widowControl/>
        <w:spacing w:before="156" w:beforeAutospacing="1" w:after="156" w:afterAutospacing="1"/>
        <w:jc w:val="center"/>
        <w:outlineLvl w:val="2"/>
        <w:rPr>
          <w:rFonts w:ascii="Times New Roman" w:hAnsi="Times New Roman" w:eastAsia="宋体" w:cs="Times New Roman"/>
          <w:b/>
          <w:bCs/>
          <w:color w:val="auto"/>
          <w:kern w:val="0"/>
          <w:sz w:val="27"/>
          <w:szCs w:val="27"/>
          <w:highlight w:val="none"/>
        </w:rPr>
      </w:pPr>
      <w:bookmarkStart w:id="31" w:name="_Toc15227"/>
      <w:bookmarkStart w:id="32" w:name="_Toc2272553"/>
      <w:bookmarkStart w:id="33" w:name="_Toc5302"/>
      <w:bookmarkStart w:id="34" w:name="_Toc10437"/>
    </w:p>
    <w:p>
      <w:pPr>
        <w:widowControl/>
        <w:spacing w:before="156" w:beforeAutospacing="1" w:after="156" w:afterAutospacing="1"/>
        <w:jc w:val="center"/>
        <w:outlineLvl w:val="2"/>
        <w:rPr>
          <w:rFonts w:ascii="Times New Roman" w:hAnsi="Times New Roman" w:eastAsia="宋体" w:cs="Times New Roman"/>
          <w:b/>
          <w:bCs/>
          <w:color w:val="auto"/>
          <w:kern w:val="0"/>
          <w:sz w:val="27"/>
          <w:szCs w:val="27"/>
          <w:highlight w:val="none"/>
        </w:rPr>
      </w:pPr>
      <w:r>
        <w:rPr>
          <w:rFonts w:ascii="Times New Roman" w:hAnsi="Times New Roman" w:eastAsia="宋体" w:cs="Times New Roman"/>
          <w:b/>
          <w:bCs/>
          <w:color w:val="auto"/>
          <w:kern w:val="0"/>
          <w:sz w:val="27"/>
          <w:szCs w:val="27"/>
          <w:highlight w:val="none"/>
        </w:rPr>
        <w:t>（五）开标、评标、定标及合同签定</w:t>
      </w:r>
      <w:bookmarkEnd w:id="31"/>
      <w:bookmarkEnd w:id="32"/>
      <w:bookmarkEnd w:id="33"/>
      <w:bookmarkEnd w:id="34"/>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23、开标。</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详见第</w:t>
      </w:r>
      <w:r>
        <w:rPr>
          <w:rFonts w:hint="eastAsia" w:ascii="Times New Roman" w:hAnsi="Times New Roman" w:eastAsia="宋体" w:cs="Times New Roman"/>
          <w:color w:val="auto"/>
          <w:sz w:val="24"/>
          <w:highlight w:val="none"/>
        </w:rPr>
        <w:t>三</w:t>
      </w:r>
      <w:r>
        <w:rPr>
          <w:rFonts w:ascii="Times New Roman" w:hAnsi="Times New Roman" w:eastAsia="宋体" w:cs="Times New Roman"/>
          <w:color w:val="auto"/>
          <w:sz w:val="24"/>
          <w:highlight w:val="none"/>
        </w:rPr>
        <w:t>章开标、评标及定标办法</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24．评标过程的保密</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24.1 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24.2 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25．投标文件的澄清，计算错误的修正</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详见招标文件第</w:t>
      </w:r>
      <w:r>
        <w:rPr>
          <w:rFonts w:hint="eastAsia" w:ascii="Times New Roman" w:hAnsi="Times New Roman" w:eastAsia="宋体" w:cs="Times New Roman"/>
          <w:color w:val="auto"/>
          <w:sz w:val="24"/>
          <w:highlight w:val="none"/>
        </w:rPr>
        <w:t>三</w:t>
      </w:r>
      <w:r>
        <w:rPr>
          <w:rFonts w:ascii="Times New Roman" w:hAnsi="Times New Roman" w:eastAsia="宋体" w:cs="Times New Roman"/>
          <w:color w:val="auto"/>
          <w:sz w:val="24"/>
          <w:highlight w:val="none"/>
        </w:rPr>
        <w:t>章开标、评标及定标办法</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26．投标文件的评审、比较和否决</w:t>
      </w:r>
    </w:p>
    <w:p>
      <w:pPr>
        <w:spacing w:line="360" w:lineRule="auto"/>
        <w:ind w:firstLine="480" w:firstLineChars="200"/>
        <w:rPr>
          <w:rFonts w:ascii="Times New Roman" w:hAnsi="Times New Roman" w:eastAsia="宋体" w:cs="Times New Roman"/>
          <w:bCs/>
          <w:color w:val="auto"/>
          <w:sz w:val="24"/>
          <w:szCs w:val="24"/>
          <w:highlight w:val="none"/>
        </w:rPr>
      </w:pPr>
      <w:r>
        <w:rPr>
          <w:rFonts w:ascii="Times New Roman" w:hAnsi="Times New Roman" w:eastAsia="宋体" w:cs="Times New Roman"/>
          <w:color w:val="auto"/>
          <w:sz w:val="24"/>
          <w:highlight w:val="none"/>
        </w:rPr>
        <w:t>详见招标文件第</w:t>
      </w:r>
      <w:r>
        <w:rPr>
          <w:rFonts w:hint="eastAsia" w:ascii="Times New Roman" w:hAnsi="Times New Roman" w:eastAsia="宋体" w:cs="Times New Roman"/>
          <w:color w:val="auto"/>
          <w:sz w:val="24"/>
          <w:highlight w:val="none"/>
        </w:rPr>
        <w:t>三</w:t>
      </w:r>
      <w:r>
        <w:rPr>
          <w:rFonts w:ascii="Times New Roman" w:hAnsi="Times New Roman" w:eastAsia="宋体" w:cs="Times New Roman"/>
          <w:color w:val="auto"/>
          <w:sz w:val="24"/>
          <w:highlight w:val="none"/>
        </w:rPr>
        <w:t>章开标、评标及定标办法。</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27．中标通知书</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27.1招标人或招标代理机构将在</w:t>
      </w:r>
      <w:r>
        <w:rPr>
          <w:rFonts w:ascii="Times New Roman" w:hAnsi="Times New Roman" w:eastAsia="宋体" w:cs="Times New Roman"/>
          <w:color w:val="auto"/>
          <w:sz w:val="24"/>
          <w:szCs w:val="24"/>
          <w:highlight w:val="none"/>
        </w:rPr>
        <w:t>招标公告发布的媒介</w:t>
      </w:r>
      <w:r>
        <w:rPr>
          <w:rFonts w:ascii="Times New Roman" w:hAnsi="Times New Roman" w:eastAsia="宋体" w:cs="Times New Roman"/>
          <w:color w:val="auto"/>
          <w:sz w:val="24"/>
          <w:highlight w:val="none"/>
        </w:rPr>
        <w:t>公示中标候选人，公示期为三天。</w:t>
      </w:r>
    </w:p>
    <w:p>
      <w:pPr>
        <w:spacing w:line="360" w:lineRule="auto"/>
        <w:ind w:firstLine="480" w:firstLineChars="200"/>
        <w:rPr>
          <w:rFonts w:ascii="Times New Roman" w:hAnsi="Times New Roman" w:eastAsia="仿宋_GB2312" w:cs="Times New Roman"/>
          <w:color w:val="auto"/>
          <w:sz w:val="24"/>
          <w:highlight w:val="none"/>
        </w:rPr>
      </w:pPr>
      <w:r>
        <w:rPr>
          <w:rFonts w:ascii="Times New Roman" w:hAnsi="Times New Roman" w:eastAsia="宋体" w:cs="Times New Roman"/>
          <w:color w:val="auto"/>
          <w:sz w:val="24"/>
          <w:highlight w:val="none"/>
        </w:rPr>
        <w:t>27.2公示期满，若无投标人提出异议，招标代理机构对外发布中标公告，并向中标人发出中标通知书。</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28．合同协议书的签订</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28.1 招标人与中标人将于中标通知书发出之日起30日内，按照招标文件和中标人的投标文件商定和签订合同，招标人和中标人不得再行订立背离合同实质性内容的其他协议。</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28.3非经招标人同意，中标人在投标过程中使用的银行名称及帐号至完成竣工结算不得变更，否则招标人有权停止工程款项的拔付及至解除合同，由此造成的一切责任由中标人承担。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28.4招标人支付工程款时，中标人应提供工程所在地发票。</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29．履约担保</w:t>
      </w:r>
    </w:p>
    <w:p>
      <w:pPr>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本须知前附表第</w:t>
      </w:r>
      <w:r>
        <w:rPr>
          <w:rFonts w:hint="eastAsia" w:ascii="Times New Roman" w:hAnsi="Times New Roman" w:eastAsia="宋体" w:cs="Times New Roman"/>
          <w:color w:val="auto"/>
          <w:sz w:val="24"/>
          <w:highlight w:val="none"/>
          <w:lang w:val="en-US" w:eastAsia="zh-CN"/>
        </w:rPr>
        <w:t>21</w:t>
      </w:r>
      <w:r>
        <w:rPr>
          <w:rFonts w:ascii="Times New Roman" w:hAnsi="Times New Roman" w:eastAsia="宋体" w:cs="Times New Roman"/>
          <w:color w:val="auto"/>
          <w:sz w:val="24"/>
          <w:highlight w:val="none"/>
        </w:rPr>
        <w:t>项规定</w:t>
      </w:r>
    </w:p>
    <w:p>
      <w:p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30．合同生效</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30.1在合同双方全权代表在合同协议书上签字，并分别加盖双方单位的公章后，合同正式生效。</w:t>
      </w:r>
    </w:p>
    <w:p>
      <w:pPr>
        <w:numPr>
          <w:ilvl w:val="0"/>
          <w:numId w:val="11"/>
        </w:numPr>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招标代理服务费用</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31.1中标人应按照投标人须知前附表第3</w:t>
      </w:r>
      <w:r>
        <w:rPr>
          <w:rFonts w:hint="eastAsia" w:ascii="Times New Roman" w:hAnsi="Times New Roman" w:eastAsia="宋体" w:cs="Times New Roman"/>
          <w:color w:val="auto"/>
          <w:sz w:val="24"/>
          <w:highlight w:val="none"/>
        </w:rPr>
        <w:t>0</w:t>
      </w:r>
      <w:r>
        <w:rPr>
          <w:rFonts w:ascii="Times New Roman" w:hAnsi="Times New Roman" w:eastAsia="宋体" w:cs="Times New Roman"/>
          <w:color w:val="auto"/>
          <w:sz w:val="24"/>
          <w:highlight w:val="none"/>
        </w:rPr>
        <w:t>项的规定交纳招标代理服务费。否则，其投标保证金将不予退还。</w:t>
      </w:r>
    </w:p>
    <w:p>
      <w:pPr>
        <w:spacing w:line="360" w:lineRule="auto"/>
        <w:ind w:firstLine="482" w:firstLineChars="200"/>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t>32．腐败与欺诈行为</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在招标和合同实施期间，招标人要求投标人和承包人遵守最高的道德标准。</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32.1对本条款的规定，特定义如下词汇：</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1） “腐败行为”是指在招标或合同执行期间，通过提供、给予、接受或索要任何有价值的东西，从而影响招标人有关人员工作的行为；</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32.2如果投标人被认定在本招标的竞争中有腐败或欺诈行为，则会被取消投标资格。</w:t>
      </w:r>
    </w:p>
    <w:p>
      <w:pPr>
        <w:adjustRightInd w:val="0"/>
        <w:snapToGrid w:val="0"/>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32.3投标人如在本项目中存在串通投标、弄虚作假、行贿情形的，中标无效，行政监督部门将对其违法行为进行政处罚并通报。该投标人将被招标人列入黑名单并限制其参与招标人后续项目的投标。</w:t>
      </w:r>
    </w:p>
    <w:p>
      <w:pPr>
        <w:adjustRightInd w:val="0"/>
        <w:snapToGrid w:val="0"/>
        <w:spacing w:line="360" w:lineRule="auto"/>
        <w:ind w:firstLine="540" w:firstLineChars="224"/>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33. 投标人信誉的要求</w:t>
      </w:r>
    </w:p>
    <w:p>
      <w:pPr>
        <w:adjustRightInd w:val="0"/>
        <w:snapToGrid w:val="0"/>
        <w:spacing w:line="360" w:lineRule="auto"/>
        <w:ind w:firstLine="537" w:firstLineChars="224"/>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存在下列情形之一的，招标人可以限制其投标：</w:t>
      </w:r>
    </w:p>
    <w:p>
      <w:pPr>
        <w:adjustRightInd w:val="0"/>
        <w:snapToGrid w:val="0"/>
        <w:spacing w:line="360" w:lineRule="auto"/>
        <w:ind w:firstLine="537" w:firstLineChars="224"/>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（1）被住房城乡建设行政主管部门在全国建筑市场监管一体化工作平台列入建筑市场主体“黑名单”；</w:t>
      </w:r>
    </w:p>
    <w:p>
      <w:pPr>
        <w:adjustRightInd w:val="0"/>
        <w:snapToGrid w:val="0"/>
        <w:spacing w:line="360" w:lineRule="auto"/>
        <w:ind w:firstLine="48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（2）被发改委、人力资源社会保障、质检总局等有关部门、单位在“信用中国”网站中列入</w:t>
      </w:r>
      <w:r>
        <w:rPr>
          <w:rFonts w:hint="eastAsia" w:ascii="Times New Roman" w:hAnsi="Times New Roman" w:eastAsia="宋体" w:cs="Times New Roman"/>
          <w:color w:val="auto"/>
          <w:sz w:val="24"/>
          <w:szCs w:val="20"/>
          <w:highlight w:val="none"/>
          <w:lang w:eastAsia="zh-CN"/>
        </w:rPr>
        <w:t>失信</w:t>
      </w:r>
      <w:r>
        <w:rPr>
          <w:rFonts w:ascii="Times New Roman" w:hAnsi="Times New Roman" w:eastAsia="宋体" w:cs="Times New Roman"/>
          <w:color w:val="auto"/>
          <w:sz w:val="24"/>
          <w:szCs w:val="20"/>
          <w:highlight w:val="none"/>
        </w:rPr>
        <w:t>联合惩戒</w:t>
      </w:r>
      <w:r>
        <w:rPr>
          <w:rFonts w:hint="eastAsia" w:ascii="Times New Roman" w:hAnsi="Times New Roman" w:eastAsia="宋体" w:cs="Times New Roman"/>
          <w:color w:val="auto"/>
          <w:sz w:val="24"/>
          <w:szCs w:val="20"/>
          <w:highlight w:val="none"/>
          <w:lang w:eastAsia="zh-CN"/>
        </w:rPr>
        <w:t>对象</w:t>
      </w:r>
      <w:r>
        <w:rPr>
          <w:rFonts w:ascii="Times New Roman" w:hAnsi="Times New Roman" w:eastAsia="宋体" w:cs="Times New Roman"/>
          <w:color w:val="auto"/>
          <w:sz w:val="24"/>
          <w:szCs w:val="20"/>
          <w:highlight w:val="none"/>
        </w:rPr>
        <w:t>名单。</w:t>
      </w:r>
    </w:p>
    <w:p>
      <w:pPr>
        <w:keepNext/>
        <w:keepLines/>
        <w:spacing w:after="120" w:line="360" w:lineRule="auto"/>
        <w:jc w:val="center"/>
        <w:outlineLvl w:val="0"/>
        <w:rPr>
          <w:rFonts w:ascii="Times New Roman" w:hAnsi="Times New Roman" w:eastAsia="宋体" w:cs="Times New Roman"/>
          <w:color w:val="auto"/>
          <w:kern w:val="44"/>
          <w:sz w:val="28"/>
          <w:szCs w:val="28"/>
          <w:highlight w:val="none"/>
        </w:rPr>
      </w:pPr>
      <w:r>
        <w:rPr>
          <w:rFonts w:ascii="Times New Roman" w:hAnsi="Times New Roman" w:eastAsia="宋体" w:cs="Times New Roman"/>
          <w:color w:val="auto"/>
          <w:kern w:val="44"/>
          <w:sz w:val="24"/>
          <w:szCs w:val="28"/>
          <w:highlight w:val="none"/>
        </w:rPr>
        <w:br w:type="page"/>
      </w:r>
      <w:bookmarkStart w:id="35" w:name="_Toc2272554"/>
      <w:bookmarkStart w:id="36" w:name="_Toc28400"/>
      <w:bookmarkStart w:id="37" w:name="_Toc22227"/>
      <w:bookmarkStart w:id="38" w:name="_Toc10978"/>
      <w:r>
        <w:rPr>
          <w:rFonts w:ascii="Times New Roman" w:hAnsi="Times New Roman" w:eastAsia="宋体" w:cs="Times New Roman"/>
          <w:b/>
          <w:bCs/>
          <w:color w:val="auto"/>
          <w:kern w:val="44"/>
          <w:sz w:val="28"/>
          <w:szCs w:val="28"/>
          <w:highlight w:val="none"/>
        </w:rPr>
        <w:t xml:space="preserve">第三章 </w:t>
      </w:r>
      <w:bookmarkEnd w:id="35"/>
      <w:r>
        <w:rPr>
          <w:rFonts w:ascii="Times New Roman" w:hAnsi="Times New Roman" w:eastAsia="宋体" w:cs="Times New Roman"/>
          <w:b/>
          <w:bCs/>
          <w:color w:val="auto"/>
          <w:kern w:val="44"/>
          <w:sz w:val="28"/>
          <w:szCs w:val="28"/>
          <w:highlight w:val="none"/>
        </w:rPr>
        <w:t>开标、评标及定标办法条款</w:t>
      </w:r>
      <w:bookmarkEnd w:id="36"/>
      <w:bookmarkEnd w:id="37"/>
      <w:bookmarkEnd w:id="38"/>
    </w:p>
    <w:p>
      <w:pPr>
        <w:widowControl/>
        <w:spacing w:before="156" w:beforeAutospacing="1" w:after="156" w:afterAutospacing="1"/>
        <w:ind w:firstLine="542" w:firstLineChars="200"/>
        <w:jc w:val="center"/>
        <w:outlineLvl w:val="2"/>
        <w:rPr>
          <w:rFonts w:ascii="Times New Roman" w:hAnsi="Times New Roman" w:eastAsia="宋体" w:cs="Times New Roman"/>
          <w:b/>
          <w:bCs/>
          <w:color w:val="auto"/>
          <w:kern w:val="0"/>
          <w:sz w:val="27"/>
          <w:szCs w:val="27"/>
          <w:highlight w:val="none"/>
        </w:rPr>
      </w:pPr>
      <w:bookmarkStart w:id="39" w:name="_Toc23165"/>
      <w:bookmarkStart w:id="40" w:name="_Toc2272557"/>
      <w:bookmarkStart w:id="41" w:name="_Toc7579"/>
      <w:bookmarkStart w:id="42" w:name="_Toc26745"/>
      <w:r>
        <w:rPr>
          <w:rFonts w:ascii="Times New Roman" w:hAnsi="Times New Roman" w:eastAsia="宋体" w:cs="Times New Roman"/>
          <w:b/>
          <w:bCs/>
          <w:color w:val="auto"/>
          <w:kern w:val="0"/>
          <w:sz w:val="27"/>
          <w:szCs w:val="27"/>
          <w:highlight w:val="none"/>
        </w:rPr>
        <w:t>（一）总则</w:t>
      </w:r>
      <w:bookmarkEnd w:id="39"/>
      <w:bookmarkEnd w:id="40"/>
      <w:bookmarkEnd w:id="41"/>
      <w:bookmarkEnd w:id="42"/>
    </w:p>
    <w:p>
      <w:pPr>
        <w:spacing w:line="360" w:lineRule="auto"/>
        <w:ind w:firstLine="480" w:firstLineChars="200"/>
        <w:rPr>
          <w:rFonts w:ascii="Times New Roman" w:hAnsi="Times New Roman" w:eastAsia="宋体" w:cs="Times New Roman"/>
          <w:b/>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4</w:t>
      </w:r>
      <w:r>
        <w:rPr>
          <w:rFonts w:ascii="Times New Roman" w:hAnsi="Times New Roman" w:eastAsia="宋体" w:cs="Times New Roman"/>
          <w:color w:val="auto"/>
          <w:sz w:val="24"/>
          <w:szCs w:val="24"/>
          <w:highlight w:val="none"/>
        </w:rPr>
        <w:t xml:space="preserve"> 开标、评标及定标所依据的规则</w:t>
      </w:r>
    </w:p>
    <w:p>
      <w:pPr>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34.1参照</w:t>
      </w:r>
      <w:r>
        <w:rPr>
          <w:rFonts w:ascii="Times New Roman" w:hAnsi="Times New Roman" w:eastAsia="宋体" w:cs="Times New Roman"/>
          <w:color w:val="auto"/>
          <w:sz w:val="24"/>
          <w:szCs w:val="24"/>
          <w:highlight w:val="none"/>
        </w:rPr>
        <w:t>《中华人民共和国招标投标法》《中华人民共和国招标投标法实施条例》</w:t>
      </w:r>
      <w:r>
        <w:rPr>
          <w:rFonts w:hint="eastAsia" w:ascii="Times New Roman" w:hAnsi="Times New Roman" w:eastAsia="宋体" w:cs="Times New Roman"/>
          <w:color w:val="auto"/>
          <w:sz w:val="24"/>
          <w:szCs w:val="24"/>
          <w:highlight w:val="none"/>
        </w:rPr>
        <w:t>及</w:t>
      </w:r>
      <w:r>
        <w:rPr>
          <w:rFonts w:ascii="Times New Roman" w:hAnsi="Times New Roman" w:eastAsia="宋体" w:cs="Times New Roman"/>
          <w:color w:val="auto"/>
          <w:sz w:val="24"/>
          <w:szCs w:val="24"/>
          <w:highlight w:val="none"/>
        </w:rPr>
        <w:t>其配套法律法规。</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4</w:t>
      </w:r>
      <w:r>
        <w:rPr>
          <w:rFonts w:ascii="Times New Roman" w:hAnsi="Times New Roman" w:eastAsia="宋体" w:cs="Times New Roman"/>
          <w:color w:val="auto"/>
          <w:sz w:val="24"/>
          <w:szCs w:val="24"/>
          <w:highlight w:val="none"/>
        </w:rPr>
        <w:t>.2本项目招标文件。</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．开标</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.1 招标人按投标须知前附表第19项所规定的时间和地点公开开标，并邀请所有投标人参加。截标后，开标开始时间因故推迟的，相关评标信息仍以原定的开标开始时间的信息为准。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.2 招标人在招标文件要求提交投标文件的截止时间前收到的投标文件，开标时都当众予以解密、公布。</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.3若递交投标文件的投标人不足3家，则重新组织招标。</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w:t>
      </w: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.4按下列程序进行开标：</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w:t>
      </w: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.4.1在投标截止时间后半小时内，招标代理机构公布招标项目名称、投标人名称、投标保证金的递交情况、投标报价、工期及其他内容；</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w:t>
      </w: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.4.3投标人代表、招标人代表、监标人、记录人等有关人员在开标记录上签字确认；若有关人员不签字的，不影响开标程序；</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w:t>
      </w: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.4.4开标结束。</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．评标</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.1评标委员会由招标人依法组建。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.2评标委员会的职责及守则：</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.2.1根据评标细则，对</w:t>
      </w:r>
      <w:r>
        <w:rPr>
          <w:rFonts w:ascii="Times New Roman" w:hAnsi="Times New Roman" w:eastAsia="宋体" w:cs="Times New Roman"/>
          <w:color w:val="auto"/>
          <w:sz w:val="24"/>
          <w:highlight w:val="none"/>
        </w:rPr>
        <w:t>投标文件</w:t>
      </w:r>
      <w:r>
        <w:rPr>
          <w:rFonts w:ascii="Times New Roman" w:hAnsi="Times New Roman" w:eastAsia="宋体" w:cs="Times New Roman"/>
          <w:color w:val="auto"/>
          <w:sz w:val="24"/>
          <w:szCs w:val="24"/>
          <w:highlight w:val="none"/>
        </w:rPr>
        <w:t>进行认真评审，完成评审报告；</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.2.2向招标人报告评审意见，推荐合格的中标候选人。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bCs/>
          <w:color w:val="auto"/>
          <w:sz w:val="24"/>
          <w:szCs w:val="24"/>
          <w:highlight w:val="none"/>
        </w:rPr>
        <w:t>3</w:t>
      </w:r>
      <w:r>
        <w:rPr>
          <w:rFonts w:hint="eastAsia" w:ascii="Times New Roman" w:hAnsi="Times New Roman" w:eastAsia="宋体" w:cs="Times New Roman"/>
          <w:bCs/>
          <w:color w:val="auto"/>
          <w:sz w:val="24"/>
          <w:szCs w:val="24"/>
          <w:highlight w:val="none"/>
        </w:rPr>
        <w:t>6</w:t>
      </w:r>
      <w:r>
        <w:rPr>
          <w:rFonts w:ascii="Times New Roman" w:hAnsi="Times New Roman" w:eastAsia="宋体" w:cs="Times New Roman"/>
          <w:bCs/>
          <w:color w:val="auto"/>
          <w:sz w:val="24"/>
          <w:szCs w:val="24"/>
          <w:highlight w:val="none"/>
        </w:rPr>
        <w:t>.2.3</w:t>
      </w:r>
      <w:r>
        <w:rPr>
          <w:rFonts w:ascii="Times New Roman" w:hAnsi="Times New Roman" w:eastAsia="宋体" w:cs="Times New Roman"/>
          <w:b/>
          <w:bCs/>
          <w:color w:val="auto"/>
          <w:sz w:val="24"/>
          <w:szCs w:val="24"/>
          <w:highlight w:val="none"/>
        </w:rPr>
        <w:t xml:space="preserve"> </w:t>
      </w:r>
      <w:r>
        <w:rPr>
          <w:rFonts w:ascii="Times New Roman" w:hAnsi="Times New Roman" w:eastAsia="宋体" w:cs="Times New Roman"/>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.2.4全体参与评标人员：</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.2.4.1 必须遵守评标纪律、不得泄密；</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.2.4.2 必须公正、不得循私；</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.2.4.3 必须科学、不得草率；</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.2.4.4 必须客观、不得带有成见；</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.2.4.5 必须平等、不得强加于人；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.2.4.6 必须严谨、不得随意马虎。</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 xml:space="preserve">.3 评标结束后，评标委员会递交评标报告并依法推荐中标候选人。 </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．投标文件的澄清</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.3 评标委员会或评标委员会专业评审组成员均应当阅读投标人的澄清，但应独立参考澄清对投标文件进行评审。</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.4如果投标文件实质上不响应招标文件的各项要求，评标委员会将按照符合性审查标准予以拒绝，不接受投标人通过修改或撤销其不符合要求的差异或保留，使之成为具有响应性的投标。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8</w:t>
      </w:r>
      <w:r>
        <w:rPr>
          <w:rFonts w:ascii="Times New Roman" w:hAnsi="Times New Roman" w:eastAsia="宋体" w:cs="Times New Roman"/>
          <w:color w:val="auto"/>
          <w:sz w:val="24"/>
          <w:szCs w:val="24"/>
          <w:highlight w:val="none"/>
        </w:rPr>
        <w:t>．定标</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8</w:t>
      </w:r>
      <w:r>
        <w:rPr>
          <w:rFonts w:ascii="Times New Roman" w:hAnsi="Times New Roman" w:eastAsia="宋体" w:cs="Times New Roman"/>
          <w:color w:val="auto"/>
          <w:sz w:val="24"/>
          <w:szCs w:val="24"/>
          <w:highlight w:val="none"/>
        </w:rPr>
        <w:t>.1 招标人根据评标委员会递交的评标报告，最终审定中标人。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8</w:t>
      </w:r>
      <w:r>
        <w:rPr>
          <w:rFonts w:ascii="Times New Roman" w:hAnsi="Times New Roman" w:eastAsia="宋体" w:cs="Times New Roman"/>
          <w:color w:val="auto"/>
          <w:sz w:val="24"/>
          <w:szCs w:val="24"/>
          <w:highlight w:val="none"/>
        </w:rPr>
        <w:t>.2 依法必须进行公开招标的项目，招标人应当确定排名第一的中标候选人为中标人。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8</w:t>
      </w:r>
      <w:r>
        <w:rPr>
          <w:rFonts w:ascii="Times New Roman" w:hAnsi="Times New Roman" w:eastAsia="宋体" w:cs="Times New Roman"/>
          <w:color w:val="auto"/>
          <w:sz w:val="24"/>
          <w:szCs w:val="24"/>
          <w:highlight w:val="none"/>
        </w:rPr>
        <w:t>.3排名第一的中标候选人放弃中标、或因不可抗力提出不能履行合同，或者招标文件规定应当提交履约担保而在规定的期限内未能提交的，招标人可以确定排名第二的中标候选人为中标人。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8</w:t>
      </w:r>
      <w:r>
        <w:rPr>
          <w:rFonts w:ascii="Times New Roman" w:hAnsi="Times New Roman" w:eastAsia="宋体" w:cs="Times New Roman"/>
          <w:color w:val="auto"/>
          <w:sz w:val="24"/>
          <w:szCs w:val="24"/>
          <w:highlight w:val="none"/>
        </w:rPr>
        <w:t>.4排名第二的中标候选人出现前款所列的情形的，招标人可以确定排名第三的中标候选人为中标人。以此类推，如所有中标候选人均出现前款所列的情形，为招标失败，招标人依法重新招标。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8</w:t>
      </w:r>
      <w:r>
        <w:rPr>
          <w:rFonts w:ascii="Times New Roman" w:hAnsi="Times New Roman" w:eastAsia="宋体" w:cs="Times New Roman"/>
          <w:color w:val="auto"/>
          <w:sz w:val="24"/>
          <w:szCs w:val="24"/>
          <w:highlight w:val="none"/>
        </w:rPr>
        <w:t>.5 重新评标的，评标信息（含业绩、奖项等）仍以投标截止时投标人的信息为准。因特殊原因需要延长投标有效期，投标人拒绝延长投标有效期的，仍参与评标，但不被推荐为中标候选人。</w:t>
      </w:r>
    </w:p>
    <w:p>
      <w:pPr>
        <w:widowControl/>
        <w:spacing w:before="156" w:beforeAutospacing="1" w:after="156" w:afterAutospacing="1"/>
        <w:ind w:firstLine="542" w:firstLineChars="200"/>
        <w:jc w:val="center"/>
        <w:outlineLvl w:val="2"/>
        <w:rPr>
          <w:rFonts w:ascii="Times New Roman" w:hAnsi="Times New Roman" w:eastAsia="宋体" w:cs="Times New Roman"/>
          <w:b/>
          <w:bCs/>
          <w:color w:val="auto"/>
          <w:kern w:val="0"/>
          <w:sz w:val="27"/>
          <w:szCs w:val="27"/>
          <w:highlight w:val="none"/>
        </w:rPr>
      </w:pPr>
      <w:bookmarkStart w:id="43" w:name="_Toc18739"/>
      <w:bookmarkStart w:id="44" w:name="_Toc16597"/>
      <w:bookmarkStart w:id="45" w:name="_Toc2272558"/>
      <w:bookmarkStart w:id="46" w:name="_Toc8304"/>
      <w:r>
        <w:rPr>
          <w:rFonts w:ascii="Times New Roman" w:hAnsi="Times New Roman" w:eastAsia="宋体" w:cs="Times New Roman"/>
          <w:b/>
          <w:bCs/>
          <w:color w:val="auto"/>
          <w:kern w:val="0"/>
          <w:sz w:val="27"/>
          <w:szCs w:val="27"/>
          <w:highlight w:val="none"/>
        </w:rPr>
        <w:t>（二）开标评标办法程序和细则</w:t>
      </w:r>
      <w:bookmarkEnd w:id="43"/>
      <w:bookmarkEnd w:id="44"/>
      <w:bookmarkEnd w:id="45"/>
      <w:bookmarkEnd w:id="46"/>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．开标和评标程序</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.1技术标（含资格审查文件）与经济标投标文件同时公开开标；</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.2由评标委员会对所有已公开开标的投标人进行资格审查；</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.3技术标投标文件有效性审查；</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.4技术标详细审查评分；</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 xml:space="preserve">.5经济标详细审查评分； </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.6评标委员会按照投标人总得分由高至低排序；</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.7经济标投标文件有效性审查；</w:t>
      </w:r>
    </w:p>
    <w:p>
      <w:pPr>
        <w:snapToGrid w:val="0"/>
        <w:spacing w:line="360" w:lineRule="auto"/>
        <w:ind w:firstLine="48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 w:val="24"/>
          <w:szCs w:val="24"/>
          <w:highlight w:val="none"/>
        </w:rPr>
        <w:t>39</w:t>
      </w:r>
      <w:r>
        <w:rPr>
          <w:rFonts w:ascii="Times New Roman" w:hAnsi="Times New Roman" w:eastAsia="宋体" w:cs="Times New Roman"/>
          <w:color w:val="auto"/>
          <w:sz w:val="24"/>
          <w:szCs w:val="24"/>
          <w:highlight w:val="none"/>
        </w:rPr>
        <w:t>.8评标委员会按排序向招标人推荐中标候选人名单，并递交资格审查报告及评标报告。</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．开标细则</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.1开标由招标人主持；</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.2 细则</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 xml:space="preserve">.2.1投标截止期前，各投标人递交投标文件（包括技术标投标文件、经济标投标文件）至招标代理机构。有关投标文件提交的事项详见第一章投标须知。 </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.2.2开标时，投标人代表有权出席开标会，也可以自主决定不参加开标会，若投标人代表对开标过程提出异议，该投标人代表须同时出示本人身份证原件。</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.2.3</w:t>
      </w:r>
      <w:r>
        <w:rPr>
          <w:rFonts w:ascii="Times New Roman" w:hAnsi="Times New Roman" w:eastAsia="宋体" w:cs="Times New Roman"/>
          <w:color w:val="auto"/>
          <w:sz w:val="24"/>
          <w:highlight w:val="none"/>
        </w:rPr>
        <w:t>在投标截止后</w:t>
      </w:r>
      <w:r>
        <w:rPr>
          <w:rFonts w:ascii="Times New Roman" w:hAnsi="Times New Roman" w:eastAsia="宋体" w:cs="Times New Roman"/>
          <w:color w:val="auto"/>
          <w:sz w:val="24"/>
          <w:szCs w:val="24"/>
          <w:highlight w:val="none"/>
        </w:rPr>
        <w:t>，公布下列内容，并予以记录，记录提交评标委员会评审：</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.2.3.1开标时，公布：a、投标人名称；b、</w:t>
      </w:r>
      <w:r>
        <w:rPr>
          <w:rFonts w:ascii="Times New Roman" w:hAnsi="Times New Roman" w:eastAsia="宋体" w:cs="Times New Roman"/>
          <w:color w:val="auto"/>
          <w:sz w:val="24"/>
          <w:highlight w:val="none"/>
        </w:rPr>
        <w:t>投标文件</w:t>
      </w:r>
      <w:r>
        <w:rPr>
          <w:rFonts w:ascii="Times New Roman" w:hAnsi="Times New Roman" w:eastAsia="宋体" w:cs="Times New Roman"/>
          <w:color w:val="auto"/>
          <w:sz w:val="24"/>
          <w:szCs w:val="24"/>
          <w:highlight w:val="none"/>
        </w:rPr>
        <w:t>密封情况；c、投标报价等主要内容及开标记录表中的其他必要内容。投标报价以数字和文字两种方式表述的，应公布文字表述的投标报价。</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.3招标人对开标过程进行记录，并存档备查，投标人在开标记录上签字。</w:t>
      </w:r>
    </w:p>
    <w:p>
      <w:pPr>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0</w:t>
      </w:r>
      <w:r>
        <w:rPr>
          <w:rFonts w:ascii="Times New Roman" w:hAnsi="Times New Roman" w:eastAsia="宋体" w:cs="Times New Roman"/>
          <w:color w:val="auto"/>
          <w:sz w:val="24"/>
          <w:szCs w:val="24"/>
          <w:highlight w:val="none"/>
        </w:rPr>
        <w:t>.4 招标人将上述符合要求的投标文件，送至评标委员会进行评审。</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 资格审查及评标细则</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.1资格审查及评标均由招标人依法组建的评标委员会负责。</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.2评标委员会的组成：评标委员会为综合评标委员会，负责资格审查及评标工作。</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．投标人资格审查</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.2汇总资格审查情况，编写资格审查报告。</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.3资格审查不合格的投标文件不参加下一阶段的评标，不参与评标参考价的计算。</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.4资格审查时，投标企业名称已经工商变更的，但企业及个人的资质证书未完成企业名称变更，仍然承认其有效。资质证书、安全生产许可证之间登记的信息不一致，应当允许投标人澄清，不得直接否决其投标。</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.5资审合格后，投标人的资格发生变化而不满足投标人合格条件，在发出中标通知书前，资格问题仍未解决的，招标人将取消其中标资格。</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.6资格审查合格的投标人少于3名的</w:t>
      </w:r>
      <w:r>
        <w:rPr>
          <w:rFonts w:ascii="Times New Roman" w:hAnsi="Times New Roman" w:eastAsia="宋体" w:cs="Times New Roman"/>
          <w:color w:val="auto"/>
          <w:szCs w:val="20"/>
          <w:highlight w:val="none"/>
        </w:rPr>
        <w:t>，</w:t>
      </w:r>
      <w:r>
        <w:rPr>
          <w:rFonts w:ascii="Times New Roman" w:hAnsi="Times New Roman" w:eastAsia="宋体" w:cs="Times New Roman"/>
          <w:color w:val="auto"/>
          <w:sz w:val="24"/>
          <w:szCs w:val="24"/>
          <w:highlight w:val="none"/>
        </w:rPr>
        <w:t>则本项目招标失败。</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．技术标评审</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则本项目招标失败。</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.2技术标详细审查评分：评标委员会按照附表四《技术标详细审查评分表》的标准，对通过技术标有效性审查的投标文件技术标进行详细审查，评出技术分，得分四舍五入精确到小数点后两位。</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44．技术标评审</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则本项目招标失败。</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45．经济标评审和得分汇总</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45.1将评标委员会确认后的合格投标人的有效投标报价去掉一个最高投标报价和一个最低投标报价（当投标人不足5家时，直接取其平均值作为评标参考价），剩余的投标报价的平均值作为评标参考价。</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kern w:val="0"/>
          <w:sz w:val="24"/>
          <w:szCs w:val="24"/>
          <w:highlight w:val="none"/>
        </w:rPr>
        <w:t>4</w:t>
      </w:r>
      <w:r>
        <w:rPr>
          <w:rFonts w:hint="eastAsia" w:ascii="Times New Roman" w:hAnsi="Times New Roman" w:eastAsia="宋体" w:cs="Times New Roman"/>
          <w:color w:val="auto"/>
          <w:kern w:val="0"/>
          <w:sz w:val="24"/>
          <w:szCs w:val="24"/>
          <w:highlight w:val="none"/>
        </w:rPr>
        <w:t>5</w:t>
      </w:r>
      <w:r>
        <w:rPr>
          <w:rFonts w:ascii="Times New Roman" w:hAnsi="Times New Roman" w:eastAsia="宋体" w:cs="Times New Roman"/>
          <w:color w:val="auto"/>
          <w:kern w:val="0"/>
          <w:sz w:val="24"/>
          <w:szCs w:val="24"/>
          <w:highlight w:val="none"/>
        </w:rPr>
        <w:t>.2</w:t>
      </w:r>
      <w:r>
        <w:rPr>
          <w:rFonts w:ascii="Times New Roman" w:hAnsi="Times New Roman" w:eastAsia="宋体" w:cs="Times New Roman"/>
          <w:color w:val="auto"/>
          <w:sz w:val="24"/>
          <w:szCs w:val="24"/>
          <w:highlight w:val="none"/>
        </w:rPr>
        <w:t>等于评标参考价的投标报价为满分，高于评标参考价的投标报价则按其比例，每高于1%减</w:t>
      </w:r>
      <w:r>
        <w:rPr>
          <w:rFonts w:hint="eastAsia" w:ascii="Times New Roman" w:hAnsi="Times New Roman" w:eastAsia="宋体" w:cs="Times New Roman"/>
          <w:color w:val="auto"/>
          <w:sz w:val="24"/>
          <w:szCs w:val="24"/>
          <w:highlight w:val="none"/>
          <w:lang w:val="en-US" w:eastAsia="zh-CN"/>
        </w:rPr>
        <w:t>1</w:t>
      </w:r>
      <w:r>
        <w:rPr>
          <w:rFonts w:ascii="Times New Roman" w:hAnsi="Times New Roman" w:eastAsia="宋体" w:cs="Times New Roman"/>
          <w:color w:val="auto"/>
          <w:sz w:val="24"/>
          <w:szCs w:val="24"/>
          <w:highlight w:val="none"/>
        </w:rPr>
        <w:t>分（精确到0.01），每低于1%减1分（精确到0.01）。如此类推，算出所有投标人价格评分。</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.3计算通过技术标有效性审查的投标人总得分。投标人总得分=（技术得分＋经济得分）。技术、经济得分分值按投标须知前附表的规定执行。总得分四舍五入保留两位小数。</w:t>
      </w:r>
    </w:p>
    <w:p>
      <w:pPr>
        <w:tabs>
          <w:tab w:val="left" w:pos="7380"/>
        </w:tabs>
        <w:snapToGrid w:val="0"/>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.经济标的有效性审查</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.1经济标的有效性审查：按照投标人总得分排序，依次对投标文件进行经济标有效性审查，投标文件中没有任一种列于本办法附表三《经济标有效性审查表》中情形的，为有效</w:t>
      </w:r>
      <w:r>
        <w:rPr>
          <w:rFonts w:ascii="Times New Roman" w:hAnsi="Times New Roman" w:eastAsia="宋体" w:cs="Times New Roman"/>
          <w:color w:val="auto"/>
          <w:sz w:val="24"/>
          <w:highlight w:val="none"/>
        </w:rPr>
        <w:t>投标文件</w:t>
      </w:r>
      <w:r>
        <w:rPr>
          <w:rFonts w:ascii="Times New Roman" w:hAnsi="Times New Roman" w:eastAsia="宋体" w:cs="Times New Roman"/>
          <w:color w:val="auto"/>
          <w:sz w:val="24"/>
          <w:szCs w:val="24"/>
          <w:highlight w:val="none"/>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.2经济标的算术校核。评标委员会对进行经济标有效性审查的投标文件投标报价按照就低不就高的原则进行算术校核，具体标准如下：</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.2.1如果数字表示的金额和用文字表示的金额不一致时，应以文字表示的金额为准；</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.2.2经算术复核的投标人报价与其投标报价不一致时，按就低不就高原则确定其最终报价；</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.2.4当合价、金额累加错误时，按就低不就高原则，如果累加修正值小于原累加值，则按累加修正值；如果累加修正值大于原累加值，则按原累加值；</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5</w:t>
      </w:r>
      <w:r>
        <w:rPr>
          <w:rFonts w:ascii="Times New Roman" w:hAnsi="Times New Roman" w:eastAsia="宋体" w:cs="Times New Roman"/>
          <w:color w:val="auto"/>
          <w:sz w:val="24"/>
          <w:szCs w:val="24"/>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tabs>
          <w:tab w:val="left" w:pos="1077"/>
          <w:tab w:val="left" w:pos="1280"/>
        </w:tabs>
        <w:adjustRightInd w:val="0"/>
        <w:snapToGrid w:val="0"/>
        <w:spacing w:line="360" w:lineRule="auto"/>
        <w:ind w:left="420"/>
        <w:rPr>
          <w:rFonts w:ascii="宋体" w:hAnsi="宋体" w:cs="宋体"/>
          <w:color w:val="auto"/>
          <w:sz w:val="24"/>
          <w:highlight w:val="none"/>
          <w:lang w:val="zh-CN"/>
        </w:rPr>
      </w:pPr>
      <w:r>
        <w:rPr>
          <w:rFonts w:hint="eastAsia" w:ascii="宋体" w:hAnsi="宋体" w:cs="宋体"/>
          <w:color w:val="auto"/>
          <w:sz w:val="24"/>
          <w:highlight w:val="none"/>
        </w:rPr>
        <w:t>46.3</w:t>
      </w:r>
      <w:r>
        <w:rPr>
          <w:rFonts w:hint="eastAsia" w:ascii="宋体" w:hAnsi="宋体" w:cs="宋体"/>
          <w:color w:val="auto"/>
          <w:sz w:val="24"/>
          <w:highlight w:val="none"/>
          <w:lang w:val="zh-CN"/>
        </w:rPr>
        <w:t>评审价的确定：按上述条款校核修正后的价格为评审价。</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8</w:t>
      </w:r>
      <w:r>
        <w:rPr>
          <w:rFonts w:ascii="Times New Roman" w:hAnsi="Times New Roman" w:eastAsia="宋体" w:cs="Times New Roman"/>
          <w:color w:val="auto"/>
          <w:sz w:val="24"/>
          <w:szCs w:val="24"/>
          <w:highlight w:val="none"/>
        </w:rPr>
        <w:t>.评标委员会应在通过投标文件经济标有效性审查的投标人中，评标结果按评审后得分由高到低顺序排列。得分相同的，按投标报价由低到高顺序排列。得分且投标报价相同的，按技术指标优劣顺序排列。</w:t>
      </w:r>
      <w:r>
        <w:rPr>
          <w:rFonts w:hint="eastAsia" w:ascii="Times New Roman" w:hAnsi="Times New Roman" w:eastAsia="宋体" w:cs="Times New Roman"/>
          <w:color w:val="auto"/>
          <w:sz w:val="24"/>
          <w:szCs w:val="24"/>
          <w:highlight w:val="none"/>
        </w:rPr>
        <w:t>总得分</w:t>
      </w:r>
      <w:r>
        <w:rPr>
          <w:rFonts w:ascii="Times New Roman" w:hAnsi="Times New Roman" w:eastAsia="宋体" w:cs="Times New Roman"/>
          <w:color w:val="auto"/>
          <w:sz w:val="24"/>
          <w:szCs w:val="24"/>
          <w:highlight w:val="none"/>
        </w:rPr>
        <w:t>相同，且</w:t>
      </w:r>
      <w:r>
        <w:rPr>
          <w:rFonts w:hint="eastAsia" w:ascii="Times New Roman" w:hAnsi="Times New Roman" w:eastAsia="宋体" w:cs="Times New Roman"/>
          <w:color w:val="auto"/>
          <w:sz w:val="24"/>
          <w:szCs w:val="24"/>
          <w:highlight w:val="none"/>
        </w:rPr>
        <w:t>投标报</w:t>
      </w:r>
      <w:r>
        <w:rPr>
          <w:rFonts w:ascii="Times New Roman" w:hAnsi="Times New Roman" w:eastAsia="宋体" w:cs="Times New Roman"/>
          <w:color w:val="auto"/>
          <w:sz w:val="24"/>
          <w:szCs w:val="24"/>
          <w:highlight w:val="none"/>
        </w:rPr>
        <w:t>价和技术评分均相同的，名次由评标委员会抽签决定。推荐前3名依次为第一中标候选人至第三中标候选人,并编制评标报告。</w:t>
      </w:r>
    </w:p>
    <w:p>
      <w:pPr>
        <w:spacing w:line="360" w:lineRule="auto"/>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49</w:t>
      </w:r>
      <w:r>
        <w:rPr>
          <w:rFonts w:ascii="Times New Roman" w:hAnsi="Times New Roman" w:eastAsia="宋体" w:cs="Times New Roman"/>
          <w:color w:val="auto"/>
          <w:sz w:val="24"/>
          <w:szCs w:val="24"/>
          <w:highlight w:val="none"/>
        </w:rPr>
        <w:t>.若通过经济标有效性审查的投标人不足三家，应当依法重新招标。</w:t>
      </w:r>
    </w:p>
    <w:p>
      <w:pPr>
        <w:widowControl/>
        <w:spacing w:before="156" w:beforeAutospacing="1" w:after="156" w:afterAutospacing="1"/>
        <w:jc w:val="center"/>
        <w:outlineLvl w:val="2"/>
        <w:rPr>
          <w:rFonts w:ascii="Times New Roman" w:hAnsi="Times New Roman" w:eastAsia="宋体" w:cs="Times New Roman"/>
          <w:b/>
          <w:bCs/>
          <w:color w:val="auto"/>
          <w:kern w:val="0"/>
          <w:sz w:val="24"/>
          <w:szCs w:val="24"/>
          <w:highlight w:val="none"/>
        </w:rPr>
      </w:pPr>
      <w:bookmarkStart w:id="47" w:name="_Toc3822"/>
      <w:bookmarkStart w:id="48" w:name="_Toc9933"/>
      <w:bookmarkStart w:id="49" w:name="_Toc11859"/>
    </w:p>
    <w:p>
      <w:pPr>
        <w:widowControl/>
        <w:spacing w:before="156" w:beforeAutospacing="1" w:after="156" w:afterAutospacing="1"/>
        <w:jc w:val="center"/>
        <w:outlineLvl w:val="2"/>
        <w:rPr>
          <w:rFonts w:ascii="Times New Roman" w:hAnsi="Times New Roman" w:eastAsia="宋体" w:cs="Times New Roman"/>
          <w:b/>
          <w:bCs/>
          <w:color w:val="auto"/>
          <w:kern w:val="0"/>
          <w:sz w:val="24"/>
          <w:szCs w:val="24"/>
          <w:highlight w:val="none"/>
        </w:rPr>
      </w:pPr>
    </w:p>
    <w:p>
      <w:pPr>
        <w:widowControl/>
        <w:spacing w:before="156" w:beforeAutospacing="1" w:after="156" w:afterAutospacing="1"/>
        <w:jc w:val="center"/>
        <w:outlineLvl w:val="2"/>
        <w:rPr>
          <w:rFonts w:ascii="Times New Roman" w:hAnsi="Times New Roman" w:eastAsia="宋体" w:cs="Times New Roman"/>
          <w:b/>
          <w:bCs/>
          <w:color w:val="auto"/>
          <w:kern w:val="0"/>
          <w:sz w:val="24"/>
          <w:szCs w:val="24"/>
          <w:highlight w:val="none"/>
        </w:rPr>
      </w:pPr>
    </w:p>
    <w:p>
      <w:pPr>
        <w:widowControl/>
        <w:spacing w:before="156" w:beforeAutospacing="1" w:after="156" w:afterAutospacing="1"/>
        <w:jc w:val="center"/>
        <w:outlineLvl w:val="2"/>
        <w:rPr>
          <w:rFonts w:ascii="Times New Roman" w:hAnsi="Times New Roman" w:eastAsia="宋体" w:cs="Times New Roman"/>
          <w:b/>
          <w:bCs/>
          <w:color w:val="auto"/>
          <w:kern w:val="0"/>
          <w:sz w:val="24"/>
          <w:szCs w:val="24"/>
          <w:highlight w:val="none"/>
        </w:rPr>
      </w:pPr>
    </w:p>
    <w:p>
      <w:pPr>
        <w:widowControl/>
        <w:spacing w:before="156" w:beforeAutospacing="1" w:after="156" w:afterAutospacing="1"/>
        <w:jc w:val="center"/>
        <w:outlineLvl w:val="2"/>
        <w:rPr>
          <w:rFonts w:ascii="Times New Roman" w:hAnsi="Times New Roman" w:eastAsia="宋体" w:cs="Times New Roman"/>
          <w:b/>
          <w:bCs/>
          <w:color w:val="auto"/>
          <w:kern w:val="0"/>
          <w:sz w:val="24"/>
          <w:szCs w:val="24"/>
          <w:highlight w:val="none"/>
        </w:rPr>
      </w:pPr>
      <w:r>
        <w:rPr>
          <w:rFonts w:ascii="Times New Roman" w:hAnsi="Times New Roman" w:eastAsia="宋体" w:cs="Times New Roman"/>
          <w:b/>
          <w:bCs/>
          <w:color w:val="auto"/>
          <w:kern w:val="0"/>
          <w:sz w:val="24"/>
          <w:szCs w:val="24"/>
          <w:highlight w:val="none"/>
        </w:rPr>
        <w:t>（三）附表</w:t>
      </w:r>
      <w:bookmarkEnd w:id="47"/>
      <w:bookmarkEnd w:id="48"/>
      <w:bookmarkEnd w:id="49"/>
    </w:p>
    <w:p>
      <w:pPr>
        <w:keepNext/>
        <w:keepLines/>
        <w:numPr>
          <w:ilvl w:val="3"/>
          <w:numId w:val="0"/>
        </w:numPr>
        <w:spacing w:line="360" w:lineRule="auto"/>
        <w:ind w:firstLine="480" w:firstLineChars="200"/>
        <w:jc w:val="left"/>
        <w:outlineLvl w:val="3"/>
        <w:rPr>
          <w:rFonts w:ascii="Times New Roman" w:hAnsi="Times New Roman" w:eastAsia="宋体" w:cs="Times New Roman"/>
          <w:color w:val="auto"/>
          <w:sz w:val="24"/>
          <w:szCs w:val="24"/>
          <w:highlight w:val="none"/>
        </w:rPr>
      </w:pPr>
      <w:bookmarkStart w:id="50" w:name="_Toc11695"/>
      <w:bookmarkStart w:id="51" w:name="_Toc10464"/>
      <w:bookmarkStart w:id="52" w:name="_Toc11761"/>
      <w:r>
        <w:rPr>
          <w:rFonts w:ascii="Times New Roman" w:hAnsi="Times New Roman" w:eastAsia="宋体" w:cs="Times New Roman"/>
          <w:color w:val="auto"/>
          <w:sz w:val="24"/>
          <w:szCs w:val="24"/>
          <w:highlight w:val="none"/>
        </w:rPr>
        <w:t>附表一：资格审查表</w:t>
      </w:r>
      <w:bookmarkEnd w:id="50"/>
      <w:bookmarkEnd w:id="51"/>
      <w:bookmarkEnd w:id="52"/>
    </w:p>
    <w:p>
      <w:pPr>
        <w:keepNext/>
        <w:keepLines/>
        <w:numPr>
          <w:ilvl w:val="3"/>
          <w:numId w:val="0"/>
        </w:numPr>
        <w:spacing w:line="360" w:lineRule="auto"/>
        <w:ind w:firstLine="480" w:firstLineChars="200"/>
        <w:jc w:val="left"/>
        <w:outlineLvl w:val="3"/>
        <w:rPr>
          <w:rFonts w:ascii="Times New Roman" w:hAnsi="Times New Roman" w:eastAsia="宋体" w:cs="Times New Roman"/>
          <w:color w:val="auto"/>
          <w:sz w:val="24"/>
          <w:szCs w:val="24"/>
          <w:highlight w:val="none"/>
        </w:rPr>
      </w:pPr>
      <w:bookmarkStart w:id="53" w:name="_Toc12312"/>
      <w:bookmarkStart w:id="54" w:name="_Toc30583"/>
      <w:bookmarkStart w:id="55" w:name="_Toc6863"/>
      <w:r>
        <w:rPr>
          <w:rFonts w:ascii="Times New Roman" w:hAnsi="Times New Roman" w:eastAsia="宋体" w:cs="Times New Roman"/>
          <w:color w:val="auto"/>
          <w:sz w:val="24"/>
          <w:szCs w:val="24"/>
          <w:highlight w:val="none"/>
        </w:rPr>
        <w:t>附表二：技术标有效性审查表</w:t>
      </w:r>
      <w:bookmarkEnd w:id="53"/>
      <w:bookmarkEnd w:id="54"/>
      <w:bookmarkEnd w:id="55"/>
    </w:p>
    <w:p>
      <w:pPr>
        <w:keepNext/>
        <w:keepLines/>
        <w:numPr>
          <w:ilvl w:val="3"/>
          <w:numId w:val="0"/>
        </w:numPr>
        <w:spacing w:line="360" w:lineRule="auto"/>
        <w:ind w:firstLine="480" w:firstLineChars="200"/>
        <w:jc w:val="left"/>
        <w:outlineLvl w:val="3"/>
        <w:rPr>
          <w:rFonts w:ascii="Times New Roman" w:hAnsi="Times New Roman" w:eastAsia="宋体" w:cs="Times New Roman"/>
          <w:color w:val="auto"/>
          <w:sz w:val="24"/>
          <w:szCs w:val="24"/>
          <w:highlight w:val="none"/>
        </w:rPr>
      </w:pPr>
      <w:bookmarkStart w:id="56" w:name="_Toc1285"/>
      <w:bookmarkStart w:id="57" w:name="_Toc16723"/>
      <w:bookmarkStart w:id="58" w:name="_Toc4186"/>
      <w:r>
        <w:rPr>
          <w:rFonts w:ascii="Times New Roman" w:hAnsi="Times New Roman" w:eastAsia="宋体" w:cs="Times New Roman"/>
          <w:color w:val="auto"/>
          <w:sz w:val="24"/>
          <w:szCs w:val="24"/>
          <w:highlight w:val="none"/>
        </w:rPr>
        <w:t>附表三：经济标有效性审查表</w:t>
      </w:r>
      <w:bookmarkEnd w:id="56"/>
      <w:bookmarkEnd w:id="57"/>
      <w:bookmarkEnd w:id="58"/>
    </w:p>
    <w:p>
      <w:pPr>
        <w:keepNext/>
        <w:keepLines/>
        <w:numPr>
          <w:ilvl w:val="3"/>
          <w:numId w:val="0"/>
        </w:numPr>
        <w:spacing w:line="360" w:lineRule="auto"/>
        <w:ind w:firstLine="480" w:firstLineChars="200"/>
        <w:jc w:val="left"/>
        <w:outlineLvl w:val="3"/>
        <w:rPr>
          <w:rFonts w:ascii="Times New Roman" w:hAnsi="Times New Roman" w:eastAsia="宋体" w:cs="Times New Roman"/>
          <w:color w:val="auto"/>
          <w:sz w:val="24"/>
          <w:szCs w:val="24"/>
          <w:highlight w:val="none"/>
        </w:rPr>
      </w:pPr>
      <w:bookmarkStart w:id="59" w:name="_Toc19680"/>
      <w:bookmarkStart w:id="60" w:name="_Toc13933"/>
      <w:bookmarkStart w:id="61" w:name="_Toc27116"/>
      <w:r>
        <w:rPr>
          <w:rFonts w:ascii="Times New Roman" w:hAnsi="Times New Roman" w:eastAsia="宋体" w:cs="Times New Roman"/>
          <w:color w:val="auto"/>
          <w:sz w:val="24"/>
          <w:szCs w:val="24"/>
          <w:highlight w:val="none"/>
        </w:rPr>
        <w:t>附表四：技术标详细审查评分表</w:t>
      </w:r>
      <w:bookmarkEnd w:id="59"/>
      <w:bookmarkEnd w:id="60"/>
      <w:bookmarkEnd w:id="61"/>
    </w:p>
    <w:p>
      <w:pPr>
        <w:keepNext/>
        <w:keepLines/>
        <w:numPr>
          <w:ilvl w:val="3"/>
          <w:numId w:val="0"/>
        </w:numPr>
        <w:spacing w:line="360" w:lineRule="auto"/>
        <w:ind w:firstLine="480" w:firstLineChars="200"/>
        <w:jc w:val="left"/>
        <w:outlineLvl w:val="3"/>
        <w:rPr>
          <w:rFonts w:ascii="Times New Roman" w:hAnsi="Times New Roman" w:eastAsia="宋体" w:cs="Times New Roman"/>
          <w:color w:val="auto"/>
          <w:sz w:val="24"/>
          <w:szCs w:val="24"/>
          <w:highlight w:val="none"/>
        </w:rPr>
      </w:pPr>
      <w:bookmarkStart w:id="62" w:name="_Toc17964"/>
      <w:bookmarkStart w:id="63" w:name="_Toc22284"/>
      <w:bookmarkStart w:id="64" w:name="_Toc6644"/>
      <w:r>
        <w:rPr>
          <w:rFonts w:ascii="Times New Roman" w:hAnsi="Times New Roman" w:eastAsia="宋体" w:cs="Times New Roman"/>
          <w:color w:val="auto"/>
          <w:sz w:val="24"/>
          <w:szCs w:val="24"/>
          <w:highlight w:val="none"/>
        </w:rPr>
        <w:t>附表五：经济标评分表</w:t>
      </w:r>
      <w:bookmarkEnd w:id="62"/>
      <w:bookmarkEnd w:id="63"/>
      <w:bookmarkEnd w:id="64"/>
    </w:p>
    <w:p>
      <w:pPr>
        <w:keepNext/>
        <w:keepLines/>
        <w:numPr>
          <w:ilvl w:val="3"/>
          <w:numId w:val="0"/>
        </w:numPr>
        <w:spacing w:line="360" w:lineRule="auto"/>
        <w:ind w:firstLine="480" w:firstLineChars="200"/>
        <w:jc w:val="left"/>
        <w:outlineLvl w:val="3"/>
        <w:rPr>
          <w:rFonts w:ascii="Times New Roman" w:hAnsi="Times New Roman" w:eastAsia="宋体" w:cs="Times New Roman"/>
          <w:color w:val="auto"/>
          <w:sz w:val="24"/>
          <w:szCs w:val="24"/>
          <w:highlight w:val="none"/>
        </w:rPr>
      </w:pPr>
      <w:bookmarkStart w:id="65" w:name="_Toc19832"/>
      <w:bookmarkStart w:id="66" w:name="_Toc5973"/>
      <w:bookmarkStart w:id="67" w:name="_Toc29633"/>
      <w:r>
        <w:rPr>
          <w:rFonts w:ascii="Times New Roman" w:hAnsi="Times New Roman" w:eastAsia="宋体" w:cs="Times New Roman"/>
          <w:color w:val="auto"/>
          <w:sz w:val="24"/>
          <w:szCs w:val="24"/>
          <w:highlight w:val="none"/>
        </w:rPr>
        <w:t>附表六：算术复核表</w:t>
      </w:r>
      <w:bookmarkEnd w:id="65"/>
      <w:bookmarkEnd w:id="66"/>
      <w:bookmarkEnd w:id="67"/>
    </w:p>
    <w:p>
      <w:pPr>
        <w:spacing w:line="360" w:lineRule="auto"/>
        <w:ind w:firstLine="480" w:firstLineChars="200"/>
        <w:rPr>
          <w:rFonts w:ascii="Times New Roman" w:hAnsi="Times New Roman" w:eastAsia="宋体" w:cs="Times New Roman"/>
          <w:color w:val="auto"/>
          <w:sz w:val="24"/>
          <w:szCs w:val="24"/>
          <w:highlight w:val="none"/>
        </w:rPr>
      </w:pPr>
    </w:p>
    <w:p>
      <w:pPr>
        <w:spacing w:line="360" w:lineRule="auto"/>
        <w:ind w:firstLine="480" w:firstLineChars="200"/>
        <w:rPr>
          <w:rFonts w:ascii="Times New Roman" w:hAnsi="Times New Roman" w:eastAsia="宋体" w:cs="Times New Roman"/>
          <w:color w:val="auto"/>
          <w:sz w:val="24"/>
          <w:szCs w:val="24"/>
          <w:highlight w:val="none"/>
        </w:rPr>
      </w:pPr>
    </w:p>
    <w:p>
      <w:pPr>
        <w:spacing w:line="360" w:lineRule="auto"/>
        <w:ind w:firstLine="480" w:firstLineChars="200"/>
        <w:rPr>
          <w:rFonts w:ascii="Times New Roman" w:hAnsi="Times New Roman" w:eastAsia="宋体" w:cs="Times New Roman"/>
          <w:color w:val="auto"/>
          <w:sz w:val="24"/>
          <w:szCs w:val="24"/>
          <w:highlight w:val="none"/>
        </w:rPr>
        <w:sectPr>
          <w:endnotePr>
            <w:numFmt w:val="decimal"/>
          </w:endnotePr>
          <w:pgSz w:w="11905" w:h="16838"/>
          <w:pgMar w:top="1440" w:right="1800" w:bottom="1440" w:left="1800" w:header="850" w:footer="822" w:gutter="0"/>
          <w:cols w:space="720" w:num="1"/>
          <w:docGrid w:linePitch="318" w:charSpace="0"/>
        </w:sectPr>
      </w:pPr>
    </w:p>
    <w:p>
      <w:pPr>
        <w:widowControl/>
        <w:snapToGrid w:val="0"/>
        <w:spacing w:line="360" w:lineRule="auto"/>
        <w:ind w:right="102"/>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附表一：</w:t>
      </w:r>
    </w:p>
    <w:p>
      <w:pPr>
        <w:jc w:val="center"/>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32"/>
          <w:szCs w:val="32"/>
          <w:highlight w:val="none"/>
        </w:rPr>
        <w:t>资格审查表</w:t>
      </w:r>
    </w:p>
    <w:tbl>
      <w:tblPr>
        <w:tblStyle w:val="38"/>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4064"/>
        <w:gridCol w:w="3336"/>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2346"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审查项目</w:t>
            </w:r>
          </w:p>
        </w:tc>
        <w:tc>
          <w:tcPr>
            <w:tcW w:w="1925"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须审查的资料</w:t>
            </w:r>
          </w:p>
        </w:tc>
        <w:tc>
          <w:tcPr>
            <w:tcW w:w="464"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审查</w:t>
            </w:r>
          </w:p>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投标人具有独立法人资格，按国家法律经营。</w:t>
            </w:r>
          </w:p>
        </w:tc>
        <w:tc>
          <w:tcPr>
            <w:tcW w:w="192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提供营业执照副本复印件；</w:t>
            </w:r>
            <w:r>
              <w:rPr>
                <w:rFonts w:hint="eastAsia" w:ascii="宋体" w:hAnsi="宋体" w:eastAsia="宋体" w:cs="宋体"/>
                <w:color w:val="auto"/>
                <w:sz w:val="24"/>
                <w:szCs w:val="24"/>
                <w:highlight w:val="none"/>
                <w:lang w:bidi="ar"/>
              </w:rPr>
              <w:t>分支机构投标，须取得具有法人资格的总公司（总所）出具给分支机构的授权书，并提供总公司（总所）和分支机构的营业执照（执业许可证）复印件。</w:t>
            </w:r>
            <w:r>
              <w:rPr>
                <w:rFonts w:hint="eastAsia" w:ascii="宋体" w:hAnsi="宋体" w:eastAsia="宋体" w:cs="宋体"/>
                <w:color w:val="auto"/>
                <w:sz w:val="24"/>
                <w:szCs w:val="24"/>
                <w:highlight w:val="none"/>
              </w:rPr>
              <w:t>。</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投标人持有建设行政主管部门颁发的安全生产许可证。</w:t>
            </w:r>
          </w:p>
        </w:tc>
        <w:tc>
          <w:tcPr>
            <w:tcW w:w="19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提供证书复印件。</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投标人均持有建设行政主管部门颁发的企业资质证书，符合公告要求。</w:t>
            </w:r>
          </w:p>
        </w:tc>
        <w:tc>
          <w:tcPr>
            <w:tcW w:w="19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提供资质证书复印件。</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本项目允许联合体投标。</w:t>
            </w:r>
          </w:p>
        </w:tc>
        <w:tc>
          <w:tcPr>
            <w:tcW w:w="19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联合体协议书</w:t>
            </w:r>
            <w:r>
              <w:rPr>
                <w:rFonts w:hint="eastAsia" w:ascii="宋体" w:hAnsi="宋体" w:eastAsia="宋体" w:cs="宋体"/>
                <w:color w:val="auto"/>
                <w:sz w:val="24"/>
                <w:szCs w:val="24"/>
                <w:highlight w:val="none"/>
              </w:rPr>
              <w:t>。</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投标人在近三年内没有发生重大质量、安全事故。如投标人隐瞒不报一经发现，即取消投标资格或中标资格。</w:t>
            </w:r>
          </w:p>
        </w:tc>
        <w:tc>
          <w:tcPr>
            <w:tcW w:w="19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提供书面声明。</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tabs>
                <w:tab w:val="left" w:pos="1092"/>
              </w:tabs>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投标人无因违约或不恰当履行合同引起的终止、纠纷、争议、仲裁和诉讼记录。</w:t>
            </w:r>
          </w:p>
        </w:tc>
        <w:tc>
          <w:tcPr>
            <w:tcW w:w="19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提供书面声明。</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tabs>
                <w:tab w:val="left" w:pos="1092"/>
              </w:tabs>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投标人未被列入“中国执行信息公开网”（</w:t>
            </w:r>
            <w:r>
              <w:rPr>
                <w:rFonts w:ascii="宋体" w:hAnsi="宋体" w:eastAsia="宋体" w:cs="宋体"/>
                <w:color w:val="auto"/>
                <w:sz w:val="24"/>
                <w:highlight w:val="none"/>
              </w:rPr>
              <w:t>zxgk.court.gov.cn）、“信用中国”网站（www.creditchina.gov.cn）①政府采购严重违法失信行为记录名单②失信被执行人③重大税收违法失</w:t>
            </w:r>
            <w:r>
              <w:rPr>
                <w:rFonts w:hint="eastAsia" w:ascii="宋体" w:hAnsi="宋体" w:eastAsia="宋体" w:cs="宋体"/>
                <w:color w:val="auto"/>
                <w:sz w:val="24"/>
                <w:highlight w:val="none"/>
              </w:rPr>
              <w:t>信主体。</w:t>
            </w:r>
          </w:p>
        </w:tc>
        <w:tc>
          <w:tcPr>
            <w:tcW w:w="19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以资格审查人员于投标截止日当天在“中国执行信息公开网”（</w:t>
            </w:r>
            <w:r>
              <w:rPr>
                <w:rFonts w:ascii="宋体" w:hAnsi="宋体" w:eastAsia="宋体" w:cs="宋体"/>
                <w:color w:val="auto"/>
                <w:sz w:val="24"/>
                <w:highlight w:val="none"/>
              </w:rPr>
              <w:t>zxgk.court.gov.cn）、“信用中国”网站（www.creditchina.gov.cn）查询结果为准，如相关失信记</w:t>
            </w:r>
            <w:r>
              <w:rPr>
                <w:rFonts w:hint="eastAsia" w:ascii="宋体" w:hAnsi="宋体" w:eastAsia="宋体" w:cs="宋体"/>
                <w:color w:val="auto"/>
                <w:sz w:val="24"/>
                <w:highlight w:val="none"/>
              </w:rPr>
              <w:t>录已失效，投标人需提供相关证明资料</w:t>
            </w:r>
            <w:r>
              <w:rPr>
                <w:rFonts w:hint="eastAsia" w:ascii="宋体" w:hAnsi="宋体" w:eastAsia="宋体" w:cs="宋体"/>
                <w:color w:val="auto"/>
                <w:sz w:val="24"/>
                <w:szCs w:val="24"/>
                <w:highlight w:val="none"/>
              </w:rPr>
              <w:t>。</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r>
              <w:rPr>
                <w:rFonts w:hint="eastAsia" w:ascii="宋体" w:hAnsi="宋体" w:eastAsia="宋体" w:cs="宋体"/>
                <w:color w:val="auto"/>
                <w:sz w:val="24"/>
                <w:highlight w:val="none"/>
              </w:rPr>
              <w:t>本项目不允许分包或转包。</w:t>
            </w:r>
          </w:p>
        </w:tc>
        <w:tc>
          <w:tcPr>
            <w:tcW w:w="1925"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提供书面声明。</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3" w:type="pct"/>
            <w:tcBorders>
              <w:top w:val="single" w:color="auto" w:sz="4" w:space="0"/>
              <w:left w:val="single" w:color="auto" w:sz="4" w:space="0"/>
              <w:bottom w:val="single" w:color="auto" w:sz="4" w:space="0"/>
              <w:right w:val="single" w:color="auto" w:sz="4" w:space="0"/>
            </w:tcBorders>
            <w:vAlign w:val="center"/>
          </w:tcPr>
          <w:p>
            <w:pPr>
              <w:numPr>
                <w:ilvl w:val="0"/>
                <w:numId w:val="12"/>
              </w:numPr>
              <w:adjustRightInd w:val="0"/>
              <w:snapToGrid w:val="0"/>
              <w:jc w:val="center"/>
              <w:rPr>
                <w:rFonts w:ascii="宋体" w:hAnsi="宋体" w:eastAsia="宋体" w:cs="宋体"/>
                <w:color w:val="auto"/>
                <w:sz w:val="24"/>
                <w:szCs w:val="24"/>
                <w:highlight w:val="none"/>
              </w:rPr>
            </w:pPr>
          </w:p>
        </w:tc>
        <w:tc>
          <w:tcPr>
            <w:tcW w:w="2346"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按要求递交投标保证金。</w:t>
            </w:r>
          </w:p>
        </w:tc>
        <w:tc>
          <w:tcPr>
            <w:tcW w:w="1925"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auto"/>
                <w:sz w:val="24"/>
                <w:szCs w:val="24"/>
                <w:highlight w:val="none"/>
              </w:rPr>
            </w:pPr>
            <w:r>
              <w:rPr>
                <w:rFonts w:hint="eastAsia" w:ascii="宋体" w:hAnsi="宋体"/>
                <w:color w:val="auto"/>
                <w:sz w:val="24"/>
                <w:highlight w:val="none"/>
              </w:rPr>
              <w:t>已按招标文件要求提交足额投标保证金或投标担保函</w:t>
            </w:r>
            <w:r>
              <w:rPr>
                <w:rFonts w:hint="eastAsia" w:ascii="宋体" w:hAnsi="宋体" w:eastAsia="宋体" w:cs="宋体"/>
                <w:color w:val="auto"/>
                <w:sz w:val="24"/>
                <w:szCs w:val="24"/>
                <w:highlight w:val="none"/>
              </w:rPr>
              <w:t>。</w:t>
            </w:r>
          </w:p>
        </w:tc>
        <w:tc>
          <w:tcPr>
            <w:tcW w:w="4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4"/>
                <w:szCs w:val="24"/>
                <w:highlight w:val="none"/>
              </w:rPr>
            </w:pPr>
          </w:p>
        </w:tc>
      </w:tr>
    </w:tbl>
    <w:p>
      <w:pPr>
        <w:adjustRightInd w:val="0"/>
        <w:snapToGrid w:val="0"/>
        <w:spacing w:line="360" w:lineRule="auto"/>
        <w:ind w:firstLine="537" w:firstLineChars="224"/>
        <w:rPr>
          <w:rFonts w:ascii="Times New Roman" w:hAnsi="Times New Roman" w:eastAsia="宋体" w:cs="Times New Roman"/>
          <w:color w:val="auto"/>
          <w:sz w:val="24"/>
          <w:szCs w:val="24"/>
          <w:highlight w:val="none"/>
        </w:rPr>
      </w:pPr>
    </w:p>
    <w:p>
      <w:pPr>
        <w:adjustRightInd w:val="0"/>
        <w:snapToGrid w:val="0"/>
        <w:spacing w:line="360" w:lineRule="auto"/>
        <w:ind w:firstLine="537" w:firstLineChars="224"/>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备注：</w:t>
      </w:r>
    </w:p>
    <w:p>
      <w:pPr>
        <w:adjustRightInd w:val="0"/>
        <w:snapToGrid w:val="0"/>
        <w:spacing w:line="360" w:lineRule="auto"/>
        <w:ind w:firstLine="537" w:firstLineChars="224"/>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1、每一项目符合的打“○”，不符合的打“×”； </w:t>
      </w:r>
    </w:p>
    <w:p>
      <w:pPr>
        <w:adjustRightInd w:val="0"/>
        <w:snapToGrid w:val="0"/>
        <w:spacing w:line="360" w:lineRule="auto"/>
        <w:ind w:firstLine="537" w:firstLineChars="224"/>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2、若评委意见不一致时，则按少数服从多数的原则，作出评审结论。汇总后，出现一个“×”的结论为“不通过”。</w:t>
      </w:r>
    </w:p>
    <w:p>
      <w:pPr>
        <w:rPr>
          <w:rFonts w:ascii="Times New Roman" w:hAnsi="Times New Roman" w:eastAsia="宋体" w:cs="Times New Roman"/>
          <w:color w:val="auto"/>
          <w:highlight w:val="none"/>
        </w:rPr>
        <w:sectPr>
          <w:endnotePr>
            <w:numFmt w:val="decimal"/>
          </w:endnotePr>
          <w:pgSz w:w="11905" w:h="16838"/>
          <w:pgMar w:top="1440" w:right="1800" w:bottom="1440" w:left="1800" w:header="850" w:footer="822" w:gutter="0"/>
          <w:cols w:space="720" w:num="1"/>
          <w:docGrid w:linePitch="318" w:charSpace="0"/>
        </w:sectPr>
      </w:pPr>
    </w:p>
    <w:p>
      <w:pPr>
        <w:rPr>
          <w:rFonts w:hint="eastAsia" w:ascii="Times New Roman" w:hAnsi="Times New Roman" w:eastAsia="宋体" w:cs="Times New Roman"/>
          <w:b/>
          <w:bCs/>
          <w:color w:val="auto"/>
          <w:sz w:val="24"/>
          <w:szCs w:val="24"/>
          <w:highlight w:val="none"/>
          <w:lang w:eastAsia="zh-CN"/>
        </w:rPr>
      </w:pPr>
      <w:r>
        <w:rPr>
          <w:rFonts w:ascii="Times New Roman" w:hAnsi="Times New Roman" w:eastAsia="宋体" w:cs="Times New Roman"/>
          <w:b/>
          <w:bCs/>
          <w:color w:val="auto"/>
          <w:sz w:val="24"/>
          <w:szCs w:val="24"/>
          <w:highlight w:val="none"/>
        </w:rPr>
        <w:t>附表二</w:t>
      </w:r>
      <w:r>
        <w:rPr>
          <w:rFonts w:hint="eastAsia" w:ascii="Times New Roman" w:hAnsi="Times New Roman" w:eastAsia="宋体" w:cs="Times New Roman"/>
          <w:b/>
          <w:bCs/>
          <w:color w:val="auto"/>
          <w:sz w:val="24"/>
          <w:szCs w:val="24"/>
          <w:highlight w:val="none"/>
          <w:lang w:eastAsia="zh-CN"/>
        </w:rPr>
        <w:t>：</w:t>
      </w:r>
    </w:p>
    <w:p>
      <w:pPr>
        <w:jc w:val="center"/>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36"/>
          <w:szCs w:val="36"/>
          <w:highlight w:val="none"/>
        </w:rPr>
        <w:t>技术标有效性审查表</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3791"/>
        <w:gridCol w:w="4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225" w:type="pct"/>
            <w:tcBorders>
              <w:top w:val="single" w:color="auto" w:sz="4" w:space="0"/>
              <w:left w:val="single" w:color="auto" w:sz="4" w:space="0"/>
              <w:bottom w:val="single" w:color="auto" w:sz="4" w:space="0"/>
              <w:right w:val="single" w:color="auto" w:sz="4" w:space="0"/>
            </w:tcBorders>
            <w:shd w:val="clear" w:color="auto" w:fill="EAEAEA"/>
            <w:vAlign w:val="center"/>
          </w:tcPr>
          <w:p>
            <w:pPr>
              <w:tabs>
                <w:tab w:val="left" w:pos="1918"/>
              </w:tabs>
              <w:adjustRightInd w:val="0"/>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评审内容</w:t>
            </w:r>
          </w:p>
        </w:tc>
        <w:tc>
          <w:tcPr>
            <w:tcW w:w="2351"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jc w:val="center"/>
              <w:rPr>
                <w:rFonts w:ascii="宋体" w:hAnsi="宋体" w:eastAsia="宋体" w:cs="宋体"/>
                <w:b/>
                <w:bCs/>
                <w:color w:val="auto"/>
                <w:sz w:val="24"/>
                <w:szCs w:val="24"/>
                <w:highlight w:val="none"/>
              </w:rPr>
            </w:pPr>
            <w:r>
              <w:rPr>
                <w:rFonts w:hint="eastAsia" w:ascii="宋体" w:hAnsi="宋体"/>
                <w:b/>
                <w:color w:val="auto"/>
                <w:sz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投标函</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color w:val="auto"/>
                <w:sz w:val="24"/>
                <w:highlight w:val="none"/>
              </w:rPr>
              <w:t>按对应格式文件填写、签署、盖章。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项目工期</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具有有效的法定代表人证明书，或法定代表人授权书</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4</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 w:val="24"/>
                <w:szCs w:val="24"/>
                <w:highlight w:val="none"/>
              </w:rPr>
            </w:pPr>
            <w:r>
              <w:rPr>
                <w:rFonts w:hint="eastAsia" w:ascii="宋体" w:hAnsi="宋体"/>
                <w:color w:val="auto"/>
                <w:sz w:val="24"/>
                <w:highlight w:val="none"/>
              </w:rPr>
              <w:t>投标截止日起</w:t>
            </w:r>
            <w:r>
              <w:rPr>
                <w:rFonts w:ascii="宋体" w:hAnsi="宋体"/>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5</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提交招标代理服务费支付承诺书，且按招标文件要求签署、盖章</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招标代理服务费支付承诺书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6</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投标人未出现实质性条款响应负偏离的情况</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7</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 w:val="24"/>
                <w:szCs w:val="24"/>
                <w:highlight w:val="none"/>
              </w:rPr>
            </w:pPr>
            <w:r>
              <w:rPr>
                <w:rFonts w:hint="eastAsia" w:ascii="宋体" w:hAnsi="宋体" w:cs="宋体"/>
                <w:color w:val="auto"/>
                <w:sz w:val="24"/>
                <w:szCs w:val="24"/>
                <w:highlight w:val="none"/>
              </w:rPr>
              <w:t>投标文件完整性</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 w:val="24"/>
                <w:szCs w:val="24"/>
                <w:highlight w:val="none"/>
              </w:rPr>
            </w:pPr>
            <w:r>
              <w:rPr>
                <w:rFonts w:hint="eastAsia" w:ascii="宋体" w:cs="Tahoma"/>
                <w:color w:val="auto"/>
                <w:kern w:val="28"/>
                <w:sz w:val="24"/>
                <w:highlight w:val="none"/>
              </w:rPr>
              <w:t>投标文件内容基本完整，无重大错漏，并按要求签署、盖章，未出现主要内容不全或关键字迹模糊、无法辨认的。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3"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8</w:t>
            </w:r>
          </w:p>
        </w:tc>
        <w:tc>
          <w:tcPr>
            <w:tcW w:w="2225" w:type="pct"/>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 w:val="24"/>
                <w:szCs w:val="24"/>
                <w:highlight w:val="none"/>
              </w:rPr>
            </w:pPr>
            <w:r>
              <w:rPr>
                <w:rFonts w:hint="eastAsia" w:ascii="宋体" w:hAnsi="宋体"/>
                <w:color w:val="auto"/>
                <w:sz w:val="24"/>
                <w:highlight w:val="none"/>
              </w:rPr>
              <w:t>其他要求</w:t>
            </w:r>
          </w:p>
        </w:tc>
        <w:tc>
          <w:tcPr>
            <w:tcW w:w="2351"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 w:val="24"/>
                <w:szCs w:val="24"/>
                <w:highlight w:val="none"/>
              </w:rPr>
            </w:pPr>
            <w:r>
              <w:rPr>
                <w:rFonts w:hint="eastAsia" w:ascii="宋体" w:hAnsi="宋体"/>
                <w:color w:val="auto"/>
                <w:sz w:val="24"/>
                <w:highlight w:val="none"/>
              </w:rPr>
              <w:t>没有出现法律、法规和招标文件规定的其他投标无效情形。</w:t>
            </w:r>
          </w:p>
        </w:tc>
      </w:tr>
    </w:tbl>
    <w:p>
      <w:pPr>
        <w:spacing w:line="360" w:lineRule="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注：1.每一项目符合的打“○”，不符合的打“×”</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2.若出现评标委员会否决投标的，应在评标报告中载明否决投标的具体情形、原因。</w:t>
      </w:r>
    </w:p>
    <w:p>
      <w:pPr>
        <w:spacing w:line="360" w:lineRule="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3.凡出现以上任何一项</w:t>
      </w:r>
      <w:r>
        <w:rPr>
          <w:rFonts w:hint="eastAsia" w:ascii="Times New Roman" w:hAnsi="Times New Roman" w:eastAsia="宋体" w:cs="Times New Roman"/>
          <w:color w:val="auto"/>
          <w:sz w:val="24"/>
          <w:szCs w:val="24"/>
          <w:highlight w:val="none"/>
          <w:lang w:eastAsia="zh-CN"/>
        </w:rPr>
        <w:t>否决</w:t>
      </w:r>
      <w:r>
        <w:rPr>
          <w:rFonts w:ascii="Times New Roman" w:hAnsi="Times New Roman" w:eastAsia="宋体" w:cs="Times New Roman"/>
          <w:color w:val="auto"/>
          <w:sz w:val="24"/>
          <w:szCs w:val="24"/>
          <w:highlight w:val="none"/>
        </w:rPr>
        <w:t>情形</w:t>
      </w:r>
      <w:r>
        <w:rPr>
          <w:rFonts w:hint="eastAsia" w:ascii="Times New Roman" w:hAnsi="Times New Roman" w:eastAsia="宋体" w:cs="Times New Roman"/>
          <w:color w:val="auto"/>
          <w:sz w:val="24"/>
          <w:szCs w:val="24"/>
          <w:highlight w:val="none"/>
          <w:lang w:eastAsia="zh-CN"/>
        </w:rPr>
        <w:t>的</w:t>
      </w:r>
      <w:r>
        <w:rPr>
          <w:rFonts w:ascii="Times New Roman" w:hAnsi="Times New Roman" w:eastAsia="宋体" w:cs="Times New Roman"/>
          <w:color w:val="auto"/>
          <w:sz w:val="24"/>
          <w:szCs w:val="24"/>
          <w:highlight w:val="none"/>
        </w:rPr>
        <w:t>，结论均为无效，否则就为有效。</w:t>
      </w:r>
    </w:p>
    <w:p>
      <w:pPr>
        <w:spacing w:line="360" w:lineRule="auto"/>
        <w:ind w:firstLine="42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4.如对本表中某种情形的评审意见不一致时，以评标委员会过半数成员的意见作为评标委员会对该情形的认定结论。</w:t>
      </w:r>
    </w:p>
    <w:p>
      <w:pPr>
        <w:ind w:firstLine="420"/>
        <w:rPr>
          <w:rFonts w:ascii="Times New Roman" w:hAnsi="Times New Roman" w:eastAsia="宋体" w:cs="Times New Roman"/>
          <w:color w:val="auto"/>
          <w:szCs w:val="21"/>
          <w:highlight w:val="none"/>
        </w:rPr>
      </w:pPr>
    </w:p>
    <w:p>
      <w:pPr>
        <w:rPr>
          <w:rFonts w:hint="eastAsia" w:ascii="Times New Roman" w:hAnsi="Times New Roman" w:eastAsia="宋体" w:cs="Times New Roman"/>
          <w:b/>
          <w:bCs/>
          <w:color w:val="auto"/>
          <w:szCs w:val="21"/>
          <w:highlight w:val="none"/>
          <w:lang w:eastAsia="zh-CN"/>
        </w:rPr>
      </w:pPr>
      <w:r>
        <w:rPr>
          <w:rFonts w:ascii="Times New Roman" w:hAnsi="Times New Roman" w:eastAsia="宋体" w:cs="Times New Roman"/>
          <w:color w:val="auto"/>
          <w:highlight w:val="none"/>
        </w:rPr>
        <w:br w:type="page"/>
      </w:r>
      <w:r>
        <w:rPr>
          <w:rFonts w:ascii="Times New Roman" w:hAnsi="Times New Roman" w:eastAsia="宋体" w:cs="Times New Roman"/>
          <w:b/>
          <w:bCs/>
          <w:color w:val="auto"/>
          <w:sz w:val="24"/>
          <w:szCs w:val="24"/>
          <w:highlight w:val="none"/>
        </w:rPr>
        <w:t>附表三</w:t>
      </w:r>
      <w:r>
        <w:rPr>
          <w:rFonts w:hint="eastAsia" w:ascii="Times New Roman" w:hAnsi="Times New Roman" w:eastAsia="宋体" w:cs="Times New Roman"/>
          <w:b/>
          <w:bCs/>
          <w:color w:val="auto"/>
          <w:sz w:val="24"/>
          <w:szCs w:val="24"/>
          <w:highlight w:val="none"/>
          <w:lang w:eastAsia="zh-CN"/>
        </w:rPr>
        <w:t>：</w:t>
      </w:r>
    </w:p>
    <w:p>
      <w:pPr>
        <w:jc w:val="center"/>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36"/>
          <w:szCs w:val="36"/>
          <w:highlight w:val="none"/>
        </w:rPr>
        <w:t>经济标有效性审查表</w:t>
      </w:r>
    </w:p>
    <w:tbl>
      <w:tblPr>
        <w:tblStyle w:val="38"/>
        <w:tblW w:w="885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6058"/>
        <w:gridCol w:w="1181"/>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6" w:type="dxa"/>
            <w:tcBorders>
              <w:top w:val="single" w:color="auto" w:sz="4" w:space="0"/>
              <w:left w:val="single" w:color="auto" w:sz="4" w:space="0"/>
              <w:bottom w:val="single" w:color="auto" w:sz="4" w:space="0"/>
              <w:right w:val="single" w:color="auto" w:sz="4" w:space="0"/>
            </w:tcBorders>
            <w:shd w:val="clear" w:color="auto" w:fill="EAEAEA"/>
            <w:vAlign w:val="center"/>
          </w:tcPr>
          <w:p>
            <w:pP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6058" w:type="dxa"/>
            <w:tcBorders>
              <w:top w:val="single" w:color="auto" w:sz="4" w:space="0"/>
              <w:left w:val="single" w:color="auto" w:sz="4" w:space="0"/>
              <w:bottom w:val="single" w:color="auto" w:sz="4" w:space="0"/>
              <w:right w:val="single" w:color="auto" w:sz="4" w:space="0"/>
              <w:tl2br w:val="single" w:color="auto" w:sz="4" w:space="0"/>
            </w:tcBorders>
            <w:shd w:val="clear" w:color="auto" w:fill="EAEAEA"/>
          </w:tcPr>
          <w:p>
            <w:pPr>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                         投标人</w:t>
            </w:r>
          </w:p>
          <w:p>
            <w:pPr>
              <w:rPr>
                <w:rFonts w:ascii="宋体" w:hAnsi="宋体" w:eastAsia="宋体" w:cs="宋体"/>
                <w:b/>
                <w:bCs/>
                <w:color w:val="auto"/>
                <w:sz w:val="24"/>
                <w:szCs w:val="24"/>
                <w:highlight w:val="none"/>
              </w:rPr>
            </w:pPr>
          </w:p>
          <w:p>
            <w:pP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评审内容</w:t>
            </w:r>
          </w:p>
        </w:tc>
        <w:tc>
          <w:tcPr>
            <w:tcW w:w="1181" w:type="dxa"/>
            <w:tcBorders>
              <w:top w:val="single" w:color="auto" w:sz="4" w:space="0"/>
              <w:left w:val="single" w:color="auto" w:sz="4" w:space="0"/>
              <w:bottom w:val="single" w:color="auto" w:sz="4" w:space="0"/>
              <w:right w:val="single" w:color="auto" w:sz="4" w:space="0"/>
            </w:tcBorders>
            <w:shd w:val="clear" w:color="auto" w:fill="EAEAEA"/>
          </w:tcPr>
          <w:p>
            <w:pPr>
              <w:rPr>
                <w:rFonts w:ascii="宋体" w:hAnsi="宋体" w:eastAsia="宋体" w:cs="宋体"/>
                <w:b/>
                <w:bCs/>
                <w:color w:val="auto"/>
                <w:sz w:val="24"/>
                <w:szCs w:val="24"/>
                <w:highlight w:val="none"/>
              </w:rPr>
            </w:pPr>
          </w:p>
        </w:tc>
        <w:tc>
          <w:tcPr>
            <w:tcW w:w="1035" w:type="dxa"/>
            <w:tcBorders>
              <w:top w:val="single" w:color="auto" w:sz="4" w:space="0"/>
              <w:left w:val="single" w:color="auto" w:sz="4" w:space="0"/>
              <w:bottom w:val="single" w:color="auto" w:sz="4" w:space="0"/>
              <w:right w:val="single" w:color="auto" w:sz="4" w:space="0"/>
            </w:tcBorders>
            <w:shd w:val="clear" w:color="auto" w:fill="EAEAEA"/>
          </w:tcPr>
          <w:p>
            <w:pPr>
              <w:rPr>
                <w:rFonts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605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对同一招标项目未出现两个或以上的投标报价；</w:t>
            </w:r>
          </w:p>
        </w:tc>
        <w:tc>
          <w:tcPr>
            <w:tcW w:w="1181"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auto"/>
                <w:sz w:val="24"/>
                <w:szCs w:val="24"/>
                <w:highlight w:val="none"/>
              </w:rPr>
            </w:pPr>
          </w:p>
        </w:tc>
        <w:tc>
          <w:tcPr>
            <w:tcW w:w="103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605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投标报价未高于最高投标限价</w:t>
            </w:r>
            <w:r>
              <w:rPr>
                <w:rFonts w:hint="eastAsia" w:ascii="宋体" w:hAnsi="宋体" w:eastAsia="宋体" w:cs="宋体"/>
                <w:color w:val="auto"/>
                <w:sz w:val="24"/>
                <w:szCs w:val="24"/>
                <w:highlight w:val="none"/>
                <w:lang w:eastAsia="zh-CN"/>
              </w:rPr>
              <w:t>和分项限价的</w:t>
            </w:r>
            <w:r>
              <w:rPr>
                <w:rFonts w:hint="eastAsia" w:ascii="宋体" w:hAnsi="宋体" w:eastAsia="宋体" w:cs="宋体"/>
                <w:color w:val="auto"/>
                <w:sz w:val="24"/>
                <w:szCs w:val="24"/>
                <w:highlight w:val="none"/>
              </w:rPr>
              <w:t>；</w:t>
            </w:r>
          </w:p>
        </w:tc>
        <w:tc>
          <w:tcPr>
            <w:tcW w:w="1181"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auto"/>
                <w:sz w:val="24"/>
                <w:szCs w:val="24"/>
                <w:highlight w:val="none"/>
              </w:rPr>
            </w:pPr>
          </w:p>
        </w:tc>
        <w:tc>
          <w:tcPr>
            <w:tcW w:w="103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605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若评标委员会认为投标人的报价低于成本警戒价或明显低于其他通过符合性审查投标人的报价，评标委员会应当要求该投标人在要求的时间内做出书面说明并提供相关证明材料。投标人能在评标委员会要求的时间内合理说明理由或者能提供相关证明材料的，评标委员会认定该投标人非恶意以低于成本报价竞标的。</w:t>
            </w:r>
          </w:p>
        </w:tc>
        <w:tc>
          <w:tcPr>
            <w:tcW w:w="1181"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auto"/>
                <w:sz w:val="24"/>
                <w:szCs w:val="24"/>
                <w:highlight w:val="none"/>
              </w:rPr>
            </w:pPr>
          </w:p>
        </w:tc>
        <w:tc>
          <w:tcPr>
            <w:tcW w:w="1035" w:type="dxa"/>
            <w:tcBorders>
              <w:top w:val="single" w:color="auto" w:sz="4" w:space="0"/>
              <w:left w:val="single" w:color="auto" w:sz="4" w:space="0"/>
              <w:bottom w:val="single" w:color="auto" w:sz="4" w:space="0"/>
              <w:right w:val="single" w:color="auto" w:sz="4" w:space="0"/>
            </w:tcBorders>
          </w:tcPr>
          <w:p>
            <w:pPr>
              <w:rPr>
                <w:rFonts w:ascii="宋体" w:hAnsi="宋体" w:eastAsia="宋体" w:cs="宋体"/>
                <w:color w:val="auto"/>
                <w:sz w:val="24"/>
                <w:szCs w:val="24"/>
                <w:highlight w:val="none"/>
              </w:rPr>
            </w:pPr>
          </w:p>
        </w:tc>
      </w:tr>
    </w:tbl>
    <w:p>
      <w:pPr>
        <w:spacing w:line="360" w:lineRule="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注：1.每一项目符合的打“○”，不符合的打“×”</w:t>
      </w:r>
    </w:p>
    <w:p>
      <w:pPr>
        <w:spacing w:line="360" w:lineRule="auto"/>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2.若出现评标委员会否决投标的，应在评标报告中载明否决投标的具体情形、原因。</w:t>
      </w:r>
    </w:p>
    <w:p>
      <w:pPr>
        <w:spacing w:line="360" w:lineRule="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3.凡出现以上任何一项</w:t>
      </w:r>
      <w:r>
        <w:rPr>
          <w:rFonts w:hint="eastAsia" w:ascii="Times New Roman" w:hAnsi="Times New Roman" w:eastAsia="宋体" w:cs="Times New Roman"/>
          <w:color w:val="auto"/>
          <w:sz w:val="24"/>
          <w:szCs w:val="24"/>
          <w:highlight w:val="none"/>
          <w:lang w:eastAsia="zh-CN"/>
        </w:rPr>
        <w:t>否决</w:t>
      </w:r>
      <w:r>
        <w:rPr>
          <w:rFonts w:ascii="Times New Roman" w:hAnsi="Times New Roman" w:eastAsia="宋体" w:cs="Times New Roman"/>
          <w:color w:val="auto"/>
          <w:sz w:val="24"/>
          <w:szCs w:val="24"/>
          <w:highlight w:val="none"/>
        </w:rPr>
        <w:t>情形</w:t>
      </w:r>
      <w:r>
        <w:rPr>
          <w:rFonts w:hint="eastAsia" w:ascii="Times New Roman" w:hAnsi="Times New Roman" w:eastAsia="宋体" w:cs="Times New Roman"/>
          <w:color w:val="auto"/>
          <w:sz w:val="24"/>
          <w:szCs w:val="24"/>
          <w:highlight w:val="none"/>
          <w:lang w:eastAsia="zh-CN"/>
        </w:rPr>
        <w:t>的</w:t>
      </w:r>
      <w:r>
        <w:rPr>
          <w:rFonts w:ascii="Times New Roman" w:hAnsi="Times New Roman" w:eastAsia="宋体" w:cs="Times New Roman"/>
          <w:color w:val="auto"/>
          <w:sz w:val="24"/>
          <w:szCs w:val="24"/>
          <w:highlight w:val="none"/>
        </w:rPr>
        <w:t>，结论均为无效，否则就为有效。</w:t>
      </w:r>
    </w:p>
    <w:p>
      <w:pPr>
        <w:spacing w:line="360" w:lineRule="auto"/>
        <w:ind w:firstLine="42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4.如对本表中某种情形的评审意见不一致时，以评标委员会过半数成员的意见作为评标委员会对该情形的认定结论。</w:t>
      </w:r>
    </w:p>
    <w:p>
      <w:pPr>
        <w:spacing w:after="120"/>
        <w:ind w:firstLine="458"/>
        <w:rPr>
          <w:rFonts w:ascii="Times New Roman" w:hAnsi="Times New Roman" w:eastAsia="宋体" w:cs="Times New Roman"/>
          <w:color w:val="auto"/>
          <w:sz w:val="24"/>
          <w:szCs w:val="24"/>
          <w:highlight w:val="none"/>
        </w:rPr>
        <w:sectPr>
          <w:endnotePr>
            <w:numFmt w:val="decimal"/>
          </w:endnotePr>
          <w:pgSz w:w="11905" w:h="16838"/>
          <w:pgMar w:top="1440" w:right="1800" w:bottom="1440" w:left="1800" w:header="850" w:footer="822" w:gutter="0"/>
          <w:cols w:space="720" w:num="1"/>
          <w:docGrid w:linePitch="318" w:charSpace="0"/>
        </w:sectPr>
      </w:pPr>
    </w:p>
    <w:p>
      <w:pPr>
        <w:rPr>
          <w:rFonts w:hint="eastAsia" w:ascii="Times New Roman" w:hAnsi="Times New Roman" w:eastAsia="宋体" w:cs="Times New Roman"/>
          <w:b/>
          <w:bCs/>
          <w:color w:val="auto"/>
          <w:sz w:val="24"/>
          <w:szCs w:val="24"/>
          <w:highlight w:val="none"/>
          <w:lang w:eastAsia="zh-CN"/>
        </w:rPr>
      </w:pPr>
      <w:r>
        <w:rPr>
          <w:rFonts w:ascii="Times New Roman" w:hAnsi="Times New Roman" w:eastAsia="宋体" w:cs="Times New Roman"/>
          <w:b/>
          <w:bCs/>
          <w:color w:val="auto"/>
          <w:sz w:val="24"/>
          <w:szCs w:val="24"/>
          <w:highlight w:val="none"/>
        </w:rPr>
        <w:t>附表四</w:t>
      </w:r>
      <w:r>
        <w:rPr>
          <w:rFonts w:hint="eastAsia" w:ascii="Times New Roman" w:hAnsi="Times New Roman" w:eastAsia="宋体" w:cs="Times New Roman"/>
          <w:b/>
          <w:bCs/>
          <w:color w:val="auto"/>
          <w:sz w:val="24"/>
          <w:szCs w:val="24"/>
          <w:highlight w:val="none"/>
          <w:lang w:eastAsia="zh-CN"/>
        </w:rPr>
        <w:t>：</w:t>
      </w:r>
    </w:p>
    <w:p>
      <w:pPr>
        <w:jc w:val="center"/>
        <w:rPr>
          <w:rFonts w:ascii="Times New Roman" w:hAnsi="Times New Roman" w:eastAsia="宋体" w:cs="Times New Roman"/>
          <w:color w:val="auto"/>
          <w:sz w:val="24"/>
          <w:szCs w:val="24"/>
          <w:highlight w:val="none"/>
        </w:rPr>
      </w:pPr>
      <w:r>
        <w:rPr>
          <w:rFonts w:ascii="Times New Roman" w:hAnsi="Times New Roman" w:eastAsia="宋体" w:cs="Times New Roman"/>
          <w:b/>
          <w:color w:val="auto"/>
          <w:sz w:val="36"/>
          <w:szCs w:val="36"/>
          <w:highlight w:val="none"/>
        </w:rPr>
        <w:t>技术标详细审查评分表</w:t>
      </w:r>
    </w:p>
    <w:tbl>
      <w:tblPr>
        <w:tblStyle w:val="38"/>
        <w:tblW w:w="55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327"/>
        <w:gridCol w:w="643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shd w:val="clear" w:color="auto" w:fill="EAEAE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1327" w:type="dxa"/>
            <w:shd w:val="clear" w:color="auto" w:fill="EAEAE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评审因素</w:t>
            </w:r>
          </w:p>
        </w:tc>
        <w:tc>
          <w:tcPr>
            <w:tcW w:w="6435" w:type="dxa"/>
            <w:shd w:val="clear" w:color="auto" w:fill="EAEAE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评分细则</w:t>
            </w:r>
          </w:p>
        </w:tc>
        <w:tc>
          <w:tcPr>
            <w:tcW w:w="900" w:type="dxa"/>
            <w:shd w:val="clear" w:color="auto" w:fill="EAEAE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cs="宋体" w:eastAsiaTheme="minorEastAsia"/>
                <w:b/>
                <w:color w:val="auto"/>
                <w:sz w:val="24"/>
                <w:szCs w:val="24"/>
                <w:highlight w:val="none"/>
                <w:lang w:eastAsia="zh-CN"/>
              </w:rPr>
            </w:pPr>
            <w:r>
              <w:rPr>
                <w:rFonts w:hint="eastAsia" w:ascii="宋体" w:hAnsi="宋体" w:cs="宋体"/>
                <w:b/>
                <w:color w:val="auto"/>
                <w:sz w:val="24"/>
                <w:szCs w:val="24"/>
                <w:highlight w:val="none"/>
                <w:lang w:eastAsia="zh-CN"/>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设计方案</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设计方案应符合</w:t>
            </w:r>
            <w:r>
              <w:rPr>
                <w:rFonts w:hint="eastAsia" w:ascii="宋体" w:hAnsi="宋体" w:cs="宋体"/>
                <w:color w:val="auto"/>
                <w:sz w:val="24"/>
                <w:szCs w:val="24"/>
                <w:highlight w:val="none"/>
                <w:lang w:eastAsia="zh-CN"/>
              </w:rPr>
              <w:t>采购</w:t>
            </w:r>
            <w:r>
              <w:rPr>
                <w:rFonts w:hint="eastAsia" w:ascii="宋体" w:hAnsi="宋体" w:cs="宋体"/>
                <w:color w:val="auto"/>
                <w:sz w:val="24"/>
                <w:szCs w:val="24"/>
                <w:highlight w:val="none"/>
              </w:rPr>
              <w:t>要求、功能设置等各方面充分融入节能环保元素；同时充分考虑到实施的可行性与经济性，采用成熟的技术以降低设计、施工的难度，并能保证运营、维护的可持续性。</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方案详细、合理，具有针对性，可操作性强，得</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方案完善</w:t>
            </w:r>
            <w:r>
              <w:rPr>
                <w:rFonts w:hint="eastAsia" w:ascii="宋体" w:hAnsi="宋体" w:cs="宋体"/>
                <w:color w:val="auto"/>
                <w:sz w:val="24"/>
                <w:szCs w:val="24"/>
                <w:highlight w:val="none"/>
                <w:lang w:eastAsia="zh-CN"/>
              </w:rPr>
              <w:t>、较合理</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具有针对性，</w:t>
            </w:r>
            <w:r>
              <w:rPr>
                <w:rFonts w:hint="eastAsia" w:ascii="宋体" w:hAnsi="宋体" w:cs="宋体"/>
                <w:color w:val="auto"/>
                <w:sz w:val="24"/>
                <w:szCs w:val="24"/>
                <w:highlight w:val="none"/>
              </w:rPr>
              <w:t>可操作性</w:t>
            </w:r>
            <w:r>
              <w:rPr>
                <w:rFonts w:hint="eastAsia" w:ascii="宋体" w:hAnsi="宋体" w:cs="宋体"/>
                <w:color w:val="auto"/>
                <w:sz w:val="24"/>
                <w:szCs w:val="24"/>
                <w:highlight w:val="none"/>
                <w:lang w:eastAsia="zh-CN"/>
              </w:rPr>
              <w:t>较强</w:t>
            </w:r>
            <w:r>
              <w:rPr>
                <w:rFonts w:hint="eastAsia" w:ascii="宋体" w:hAnsi="宋体" w:cs="宋体"/>
                <w:color w:val="auto"/>
                <w:sz w:val="24"/>
                <w:szCs w:val="24"/>
                <w:highlight w:val="none"/>
              </w:rPr>
              <w:t>，得</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方案</w:t>
            </w:r>
            <w:r>
              <w:rPr>
                <w:rFonts w:hint="eastAsia" w:ascii="宋体" w:hAnsi="宋体" w:cs="宋体"/>
                <w:color w:val="auto"/>
                <w:sz w:val="24"/>
                <w:szCs w:val="24"/>
                <w:highlight w:val="none"/>
                <w:lang w:eastAsia="zh-CN"/>
              </w:rPr>
              <w:t>较完善</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较合理，针对性不强，可操作，得</w:t>
            </w:r>
            <w:r>
              <w:rPr>
                <w:rFonts w:hint="eastAsia" w:ascii="宋体" w:hAnsi="宋体" w:cs="宋体"/>
                <w:color w:val="auto"/>
                <w:sz w:val="24"/>
                <w:szCs w:val="24"/>
                <w:highlight w:val="none"/>
                <w:lang w:val="en-US" w:eastAsia="zh-CN"/>
              </w:rPr>
              <w:t>8分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针对性</w:t>
            </w:r>
            <w:r>
              <w:rPr>
                <w:rFonts w:hint="eastAsia" w:ascii="宋体" w:hAnsi="宋体" w:cs="宋体"/>
                <w:color w:val="auto"/>
                <w:sz w:val="24"/>
                <w:szCs w:val="24"/>
                <w:highlight w:val="none"/>
                <w:lang w:eastAsia="zh-CN"/>
              </w:rPr>
              <w:t>差</w:t>
            </w:r>
            <w:r>
              <w:rPr>
                <w:rFonts w:hint="eastAsia" w:ascii="宋体" w:hAnsi="宋体" w:cs="宋体"/>
                <w:color w:val="auto"/>
                <w:sz w:val="24"/>
                <w:szCs w:val="24"/>
                <w:highlight w:val="none"/>
              </w:rPr>
              <w:t>，可操作性差，得</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无提供</w:t>
            </w:r>
            <w:r>
              <w:rPr>
                <w:rFonts w:hint="eastAsia" w:ascii="宋体" w:hAnsi="宋体" w:cs="宋体"/>
                <w:color w:val="auto"/>
                <w:sz w:val="24"/>
                <w:szCs w:val="24"/>
                <w:highlight w:val="none"/>
                <w:lang w:eastAsia="zh-CN"/>
              </w:rPr>
              <w:t>设计方案</w:t>
            </w:r>
            <w:r>
              <w:rPr>
                <w:rFonts w:hint="eastAsia" w:ascii="宋体" w:hAnsi="宋体" w:cs="宋体"/>
                <w:color w:val="auto"/>
                <w:sz w:val="24"/>
                <w:szCs w:val="24"/>
                <w:highlight w:val="none"/>
              </w:rPr>
              <w:t>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施工组织方案</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施工组织方案包含现场管理、材料管理、施工协调、巡检等内容。</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施工组织方案、施工总体安排合理，运用先进的施工工艺，施工机械；对施工难点有合理的建议，得</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施工组织方案、施工总体安排较合理，施工工艺、施工机械使用较合理，</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施工组织方案、施工总体安排基本合理，施工工艺，施工机械基本合理，得</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施工组织方案、施工总体安排较差，运用施工工艺较差，得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不提供施工组织方案，不得分。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项目</w:t>
            </w:r>
            <w:r>
              <w:rPr>
                <w:rFonts w:hint="eastAsia" w:ascii="宋体" w:hAnsi="宋体" w:cs="宋体"/>
                <w:color w:val="auto"/>
                <w:sz w:val="24"/>
                <w:szCs w:val="24"/>
                <w:highlight w:val="none"/>
              </w:rPr>
              <w:t>进度计划和进度保证措施</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关键线路清晰、准确、完整，进度计划编制合理、可行，满足招标文件对工期的要求，对关键节点的控制措施有力、合理、可行，得</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 xml:space="preserve">分； </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关键线路较清晰、准确、完整，进度计划编制较可行，能满足招标文件对工期的要求，对关键节点的控制措施较合理、可行，得</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关键线路基本准确，进度计划编制基本合理，对关键节点的控制措施基本可行，得</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 xml:space="preserve">分； </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关键线路不准确，计划编制不合理，或对关键节点的控制措施不可行，得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没有提供相关描述的，不得分。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bCs/>
                <w:color w:val="auto"/>
                <w:sz w:val="24"/>
                <w:szCs w:val="24"/>
                <w:highlight w:val="none"/>
                <w:lang w:val="en-US" w:eastAsia="zh-CN"/>
              </w:rPr>
            </w:pPr>
            <w:r>
              <w:rPr>
                <w:rFonts w:hint="eastAsia" w:ascii="宋体" w:hAnsi="宋体" w:cs="宋体"/>
                <w:bCs/>
                <w:color w:val="auto"/>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cs="宋体" w:eastAsiaTheme="minorEastAsia"/>
                <w:color w:val="auto"/>
                <w:sz w:val="24"/>
                <w:szCs w:val="24"/>
                <w:highlight w:val="none"/>
                <w:lang w:eastAsia="zh-CN"/>
              </w:rPr>
            </w:pPr>
            <w:r>
              <w:rPr>
                <w:rFonts w:hint="eastAsia" w:ascii="宋体" w:hAnsi="宋体"/>
                <w:bCs/>
                <w:color w:val="auto"/>
                <w:sz w:val="24"/>
                <w:highlight w:val="none"/>
              </w:rPr>
              <w:t>品牌选用情况（根据各投标人对主材所选用的品牌进行评价）</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投标人提供的主要设备品牌（第五章 《用户需求书》中的“四、主材品牌推荐”），</w:t>
            </w:r>
            <w:r>
              <w:rPr>
                <w:rFonts w:hint="eastAsia" w:ascii="宋体" w:hAnsi="宋体" w:cs="宋体"/>
                <w:color w:val="auto"/>
                <w:sz w:val="24"/>
                <w:szCs w:val="24"/>
                <w:highlight w:val="none"/>
                <w:lang w:val="en-US" w:eastAsia="zh-CN"/>
              </w:rPr>
              <w:t>只要</w:t>
            </w:r>
            <w:r>
              <w:rPr>
                <w:rFonts w:hint="eastAsia" w:ascii="宋体" w:hAnsi="宋体" w:cs="宋体"/>
                <w:color w:val="auto"/>
                <w:sz w:val="24"/>
                <w:szCs w:val="24"/>
                <w:highlight w:val="none"/>
              </w:rPr>
              <w:t>有</w:t>
            </w:r>
            <w:r>
              <w:rPr>
                <w:rFonts w:hint="eastAsia" w:ascii="宋体" w:hAnsi="宋体" w:cs="宋体"/>
                <w:color w:val="auto"/>
                <w:sz w:val="24"/>
                <w:szCs w:val="24"/>
                <w:highlight w:val="none"/>
                <w:lang w:eastAsia="zh-CN"/>
              </w:rPr>
              <w:t>任意一项主材</w:t>
            </w:r>
            <w:r>
              <w:rPr>
                <w:rFonts w:hint="eastAsia" w:ascii="宋体" w:hAnsi="宋体" w:cs="宋体"/>
                <w:color w:val="auto"/>
                <w:sz w:val="24"/>
                <w:szCs w:val="24"/>
                <w:highlight w:val="none"/>
              </w:rPr>
              <w:t>不满足用户需求书的同类推荐品牌要求，扣</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安全防护制度和安全保障措施、应急处理措施</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具有施工危险因素分析、安全事故应急预案，安全保障、安全防护制度及应急措施完善、切实可行，采用规范准确、清晰，具有安全手册，得</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 xml:space="preserve">分； </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具有施工危险因素分析、安全事故应急预案，安全保障、安全防护制度及应急措施基本完善、切实可行，采用规范准确，得</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施工危险因素分析、安全防护制度、安全保障以及应急措施不完善、不切实可行，得1分；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没有提供相关描述的，不得分。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cs="宋体" w:eastAsiaTheme="minorEastAsia"/>
                <w:bCs/>
                <w:color w:val="auto"/>
                <w:sz w:val="24"/>
                <w:szCs w:val="24"/>
                <w:highlight w:val="none"/>
                <w:lang w:eastAsia="zh-CN"/>
              </w:rPr>
            </w:pPr>
            <w:r>
              <w:rPr>
                <w:rFonts w:hint="eastAsia" w:ascii="宋体" w:hAnsi="宋体" w:cs="宋体"/>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安装、调试方案</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根据投标人提供的安装、调试方案作为评审依据：</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方案详细、合理，具有针对性，可操作性强，得</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方案基本完善，可操作性一般，得</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方案简单、没有针对性，可操作性较差，得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无提供不得分。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cs="宋体" w:eastAsiaTheme="minorEastAsia"/>
                <w:bCs/>
                <w:color w:val="auto"/>
                <w:sz w:val="24"/>
                <w:szCs w:val="24"/>
                <w:highlight w:val="none"/>
                <w:lang w:eastAsia="zh-CN"/>
              </w:rPr>
            </w:pPr>
            <w:r>
              <w:rPr>
                <w:rFonts w:hint="eastAsia" w:ascii="宋体" w:hAnsi="宋体" w:cs="宋体"/>
                <w:bCs/>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施工质量保证</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针对项目实际情况提出的施工质量保证措施合理、可行性强，得</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针对项目实际情况提出的施工质量保证措施合理、可行性较强，得</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针对项目实际情况提出的施工质量保证措施基本合理、基本可行，得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针对项目实际情况提出的施工质量保证措施合理性、可行性较差，得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不提供施工质量保证措施，不得分。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bCs/>
                <w:color w:val="auto"/>
                <w:sz w:val="24"/>
                <w:szCs w:val="24"/>
                <w:highlight w:val="none"/>
                <w:lang w:val="en-US" w:eastAsia="zh-CN"/>
              </w:rPr>
            </w:pPr>
            <w:r>
              <w:rPr>
                <w:rFonts w:hint="eastAsia" w:ascii="宋体" w:hAnsi="宋体" w:cs="宋体"/>
                <w:bCs/>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服务响应承诺</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对到达现场时间进行评审：</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1小时内（含1小时）到达现场服务的，得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2小时内（含2小时）到达现场服务的，得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超过2小时到达现场服务的，得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其他情况不得分。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【注：提供服务响应承诺函并加盖公章，格式自拟，不提供或承诺内容不明确导致专家无法认定的不得分。】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项目管理机构能力</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eastAsiaTheme="minorEastAsia"/>
                <w:b/>
                <w:color w:val="auto"/>
                <w:sz w:val="24"/>
                <w:szCs w:val="24"/>
                <w:highlight w:val="none"/>
                <w:lang w:eastAsia="zh-CN"/>
              </w:rPr>
            </w:pPr>
            <w:r>
              <w:rPr>
                <w:rFonts w:hint="eastAsia" w:ascii="宋体" w:hAnsi="宋体" w:cs="宋体"/>
                <w:b/>
                <w:color w:val="auto"/>
                <w:sz w:val="24"/>
                <w:szCs w:val="24"/>
                <w:highlight w:val="none"/>
              </w:rPr>
              <w:t>1.</w:t>
            </w:r>
            <w:r>
              <w:rPr>
                <w:rFonts w:hint="eastAsia" w:ascii="宋体" w:hAnsi="宋体" w:cs="宋体"/>
                <w:b/>
                <w:color w:val="auto"/>
                <w:sz w:val="24"/>
                <w:szCs w:val="24"/>
                <w:highlight w:val="none"/>
                <w:lang w:eastAsia="zh-CN"/>
              </w:rPr>
              <w:t>项目</w:t>
            </w:r>
            <w:r>
              <w:rPr>
                <w:rFonts w:hint="eastAsia" w:ascii="宋体" w:hAnsi="宋体" w:cs="宋体"/>
                <w:b/>
                <w:color w:val="auto"/>
                <w:sz w:val="24"/>
                <w:szCs w:val="24"/>
                <w:highlight w:val="none"/>
              </w:rPr>
              <w:t>负责人</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bCs/>
                <w:color w:val="auto"/>
                <w:sz w:val="24"/>
                <w:szCs w:val="24"/>
                <w:highlight w:val="none"/>
              </w:rPr>
            </w:pPr>
            <w:r>
              <w:rPr>
                <w:rFonts w:hint="eastAsia" w:ascii="宋体" w:hAnsi="宋体" w:cs="宋体"/>
                <w:bCs/>
                <w:color w:val="auto"/>
                <w:sz w:val="24"/>
                <w:szCs w:val="24"/>
                <w:highlight w:val="none"/>
              </w:rPr>
              <w:t>具有</w:t>
            </w:r>
            <w:r>
              <w:rPr>
                <w:rFonts w:hint="eastAsia" w:ascii="宋体" w:hAnsi="宋体" w:cs="宋体"/>
                <w:bCs/>
                <w:color w:val="auto"/>
                <w:sz w:val="24"/>
                <w:szCs w:val="24"/>
                <w:highlight w:val="none"/>
                <w:lang w:eastAsia="zh-CN"/>
              </w:rPr>
              <w:t>建筑工程或机电</w:t>
            </w:r>
            <w:r>
              <w:rPr>
                <w:rFonts w:hint="eastAsia" w:ascii="宋体" w:hAnsi="宋体" w:cs="宋体"/>
                <w:bCs/>
                <w:color w:val="auto"/>
                <w:sz w:val="24"/>
                <w:szCs w:val="24"/>
                <w:highlight w:val="none"/>
              </w:rPr>
              <w:t>工程</w:t>
            </w:r>
            <w:r>
              <w:rPr>
                <w:rFonts w:hint="eastAsia" w:ascii="宋体" w:hAnsi="宋体" w:cs="宋体"/>
                <w:bCs/>
                <w:color w:val="auto"/>
                <w:sz w:val="24"/>
                <w:szCs w:val="24"/>
                <w:highlight w:val="none"/>
                <w:lang w:eastAsia="zh-CN"/>
              </w:rPr>
              <w:t>等相关</w:t>
            </w:r>
            <w:r>
              <w:rPr>
                <w:rFonts w:hint="eastAsia" w:ascii="宋体" w:hAnsi="宋体" w:cs="宋体"/>
                <w:bCs/>
                <w:color w:val="auto"/>
                <w:sz w:val="24"/>
                <w:szCs w:val="24"/>
                <w:highlight w:val="none"/>
              </w:rPr>
              <w:t>专业</w:t>
            </w:r>
            <w:r>
              <w:rPr>
                <w:rFonts w:hint="eastAsia" w:ascii="宋体" w:hAnsi="宋体" w:cs="宋体"/>
                <w:bCs/>
                <w:color w:val="auto"/>
                <w:sz w:val="24"/>
                <w:szCs w:val="24"/>
                <w:highlight w:val="none"/>
                <w:lang w:eastAsia="zh-CN"/>
              </w:rPr>
              <w:t>中</w:t>
            </w:r>
            <w:r>
              <w:rPr>
                <w:rFonts w:hint="eastAsia" w:ascii="宋体" w:hAnsi="宋体" w:cs="宋体"/>
                <w:bCs/>
                <w:color w:val="auto"/>
                <w:sz w:val="24"/>
                <w:szCs w:val="24"/>
                <w:highlight w:val="none"/>
              </w:rPr>
              <w:t>级工程师或以上职称证得</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Chars="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配备的其它成员：</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拟配备本项目的人员配备合理、专业性高，得6分；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拟配备本项目的人员配备较合理、专业性较高，得4分；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拟配备本项目的人员技术一般，得2分。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【注：提供上述人员的证书复印件，及在本单位任职的证明材料（提供社保证明（近一年内任意一个月）），不提供或不符合均不得分。】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pStyle w:val="126"/>
              <w:keepNext w:val="0"/>
              <w:keepLines w:val="0"/>
              <w:pageBreakBefore w:val="0"/>
              <w:widowControl w:val="0"/>
              <w:numPr>
                <w:ilvl w:val="0"/>
                <w:numId w:val="13"/>
              </w:numPr>
              <w:kinsoku/>
              <w:wordWrap/>
              <w:overflowPunct/>
              <w:topLinePunct w:val="0"/>
              <w:autoSpaceDE/>
              <w:autoSpaceDN/>
              <w:bidi w:val="0"/>
              <w:adjustRightInd/>
              <w:snapToGrid w:val="0"/>
              <w:spacing w:line="300" w:lineRule="exact"/>
              <w:ind w:left="0" w:leftChars="0" w:firstLine="0" w:firstLineChars="0"/>
              <w:jc w:val="center"/>
              <w:textAlignment w:val="auto"/>
              <w:rPr>
                <w:rFonts w:ascii="宋体" w:hAnsi="宋体" w:eastAsia="宋体" w:cs="宋体"/>
                <w:color w:val="auto"/>
                <w:sz w:val="24"/>
                <w:szCs w:val="24"/>
                <w:highlight w:val="none"/>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同类业绩</w:t>
            </w:r>
          </w:p>
        </w:tc>
        <w:tc>
          <w:tcPr>
            <w:tcW w:w="643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自2020年1月至投标截止时间止，投标人承接的同类业绩，每提供一个业绩得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分，本项最高得1</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【注:上述业绩证明需提供合同关键页或验收报告的复印件，否则不得分。时间以合同签订时间或竣工验收时间为准。】</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宋体" w:hAnsi="宋体" w:cs="宋体" w:eastAsiaTheme="minorEastAsia"/>
                <w:color w:val="auto"/>
                <w:sz w:val="24"/>
                <w:szCs w:val="24"/>
                <w:highlight w:val="none"/>
                <w:lang w:val="en-US" w:eastAsia="zh-CN"/>
              </w:rPr>
            </w:pPr>
            <w:r>
              <w:rPr>
                <w:rFonts w:hint="eastAsia" w:ascii="宋体" w:hAnsi="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1" w:type="dxa"/>
            <w:gridSpan w:val="3"/>
            <w:shd w:val="clear" w:color="auto" w:fill="EAEAE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合计</w:t>
            </w:r>
          </w:p>
        </w:tc>
        <w:tc>
          <w:tcPr>
            <w:tcW w:w="900" w:type="dxa"/>
            <w:shd w:val="clear" w:color="auto" w:fill="EAEAE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cs="宋体"/>
                <w:b/>
                <w:color w:val="auto"/>
                <w:sz w:val="24"/>
                <w:szCs w:val="24"/>
                <w:highlight w:val="none"/>
              </w:rPr>
            </w:pPr>
            <w:r>
              <w:rPr>
                <w:rFonts w:hint="eastAsia" w:ascii="宋体" w:hAnsi="宋体" w:cs="宋体"/>
                <w:b/>
                <w:color w:val="auto"/>
                <w:sz w:val="24"/>
                <w:szCs w:val="24"/>
                <w:highlight w:val="none"/>
                <w:lang w:val="en-US" w:eastAsia="zh-CN"/>
              </w:rPr>
              <w:t>10</w:t>
            </w:r>
            <w:r>
              <w:rPr>
                <w:rFonts w:hint="eastAsia" w:ascii="宋体" w:hAnsi="宋体" w:cs="宋体"/>
                <w:b/>
                <w:color w:val="auto"/>
                <w:sz w:val="24"/>
                <w:szCs w:val="24"/>
                <w:highlight w:val="none"/>
              </w:rPr>
              <w:t xml:space="preserve">0分 </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注：本表按百分制评分，分数出现小数点，保留小数点后二位小数，第三位小数四舍五入。</w:t>
      </w:r>
    </w:p>
    <w:p>
      <w:pPr>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附表五</w:t>
      </w:r>
    </w:p>
    <w:p>
      <w:pPr>
        <w:jc w:val="center"/>
        <w:rPr>
          <w:rFonts w:ascii="Times New Roman" w:hAnsi="Times New Roman" w:eastAsia="宋体" w:cs="Times New Roman"/>
          <w:color w:val="auto"/>
          <w:sz w:val="24"/>
          <w:szCs w:val="24"/>
          <w:highlight w:val="none"/>
        </w:rPr>
      </w:pPr>
      <w:r>
        <w:rPr>
          <w:rFonts w:hint="eastAsia" w:ascii="Times New Roman" w:hAnsi="Times New Roman" w:eastAsia="宋体" w:cs="Times New Roman"/>
          <w:b/>
          <w:color w:val="auto"/>
          <w:sz w:val="36"/>
          <w:szCs w:val="36"/>
          <w:highlight w:val="none"/>
        </w:rPr>
        <w:t>经济标评分表</w:t>
      </w:r>
    </w:p>
    <w:tbl>
      <w:tblPr>
        <w:tblStyle w:val="38"/>
        <w:tblW w:w="871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7"/>
        <w:gridCol w:w="1187"/>
        <w:gridCol w:w="1187"/>
        <w:gridCol w:w="1187"/>
        <w:gridCol w:w="1187"/>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投标人名称</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投标报价</w:t>
            </w:r>
            <w:r>
              <w:rPr>
                <w:rFonts w:ascii="宋体" w:hAnsi="宋体" w:eastAsia="宋体" w:cs="宋体"/>
                <w:b/>
                <w:bCs/>
                <w:color w:val="auto"/>
                <w:sz w:val="24"/>
                <w:szCs w:val="24"/>
                <w:highlight w:val="none"/>
              </w:rPr>
              <w:t>PT（元）</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评标参考价</w:t>
            </w:r>
            <w:r>
              <w:rPr>
                <w:rFonts w:ascii="宋体" w:hAnsi="宋体" w:eastAsia="宋体" w:cs="宋体"/>
                <w:b/>
                <w:bCs/>
                <w:color w:val="auto"/>
                <w:sz w:val="24"/>
                <w:szCs w:val="24"/>
                <w:highlight w:val="none"/>
              </w:rPr>
              <w:t>PC（元）</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偏差（（</w:t>
            </w:r>
            <w:r>
              <w:rPr>
                <w:rFonts w:ascii="宋体" w:hAnsi="宋体" w:eastAsia="宋体" w:cs="宋体"/>
                <w:b/>
                <w:bCs/>
                <w:color w:val="auto"/>
                <w:sz w:val="24"/>
                <w:szCs w:val="24"/>
                <w:highlight w:val="none"/>
              </w:rPr>
              <w:t>PT-PC）/PC）（%）</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减分（</w:t>
            </w:r>
            <w:r>
              <w:rPr>
                <w:rFonts w:ascii="宋体" w:hAnsi="宋体" w:eastAsia="宋体" w:cs="宋体"/>
                <w:b/>
                <w:bCs/>
                <w:color w:val="auto"/>
                <w:sz w:val="24"/>
                <w:szCs w:val="24"/>
                <w:highlight w:val="none"/>
              </w:rPr>
              <w:t>A）</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得分</w:t>
            </w:r>
            <w:r>
              <w:rPr>
                <w:rFonts w:ascii="宋体" w:hAnsi="宋体" w:eastAsia="宋体" w:cs="宋体"/>
                <w:b/>
                <w:bCs/>
                <w:color w:val="auto"/>
                <w:sz w:val="24"/>
                <w:szCs w:val="24"/>
                <w:highlight w:val="none"/>
              </w:rPr>
              <w:t>(I=100-A)</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得分排名次序</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p>
        </w:tc>
      </w:tr>
    </w:tbl>
    <w:p>
      <w:pPr>
        <w:adjustRightInd w:val="0"/>
        <w:snapToGrid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p>
      <w:pPr>
        <w:tabs>
          <w:tab w:val="left" w:pos="0"/>
        </w:tabs>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将评标委员会确认后的合格投标人的有效投标报价去掉一个最高投标报价和一个最低投标报价（当投标人不足</w:t>
      </w:r>
      <w:r>
        <w:rPr>
          <w:rFonts w:ascii="宋体" w:hAnsi="宋体" w:eastAsia="宋体" w:cs="宋体"/>
          <w:color w:val="auto"/>
          <w:sz w:val="24"/>
          <w:szCs w:val="24"/>
          <w:highlight w:val="none"/>
        </w:rPr>
        <w:t>5家时，直接取其平均值作为评标参考价），剩余的投标报价的平均值作为评标参考价。等于评标参考价的投标报价为满分，高于评标参考价的投标报价则按其比例，每高于1%减</w:t>
      </w: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分（精确到0.01），每低于1%减1分（精确到0.01）。如此类推，算出所有投标人价格评分。各有效投标报价得分计算公式为：</w:t>
      </w:r>
    </w:p>
    <w:p>
      <w:pPr>
        <w:tabs>
          <w:tab w:val="left" w:pos="0"/>
        </w:tabs>
        <w:adjustRightInd w:val="0"/>
        <w:snapToGrid w:val="0"/>
        <w:spacing w:line="360"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100</w:t>
      </w:r>
      <w:r>
        <w:rPr>
          <w:rFonts w:hint="eastAsia" w:ascii="宋体" w:hAnsi="宋体" w:eastAsia="宋体" w:cs="宋体"/>
          <w:color w:val="auto"/>
          <w:sz w:val="24"/>
          <w:szCs w:val="24"/>
          <w:highlight w:val="none"/>
        </w:rPr>
        <w:t>分为投标报价满分；</w:t>
      </w:r>
      <w:r>
        <w:rPr>
          <w:rFonts w:ascii="宋体" w:hAnsi="宋体" w:eastAsia="宋体" w:cs="宋体"/>
          <w:color w:val="auto"/>
          <w:sz w:val="24"/>
          <w:szCs w:val="24"/>
          <w:highlight w:val="none"/>
        </w:rPr>
        <w:t>PT为各投标人的有效报价；PC为投标报价评标参考价。</w:t>
      </w:r>
    </w:p>
    <w:p>
      <w:pPr>
        <w:numPr>
          <w:ilvl w:val="0"/>
          <w:numId w:val="14"/>
        </w:numPr>
        <w:spacing w:line="312"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当</w:t>
      </w:r>
      <w:r>
        <w:rPr>
          <w:rFonts w:ascii="宋体" w:hAnsi="宋体" w:eastAsia="宋体" w:cs="宋体"/>
          <w:color w:val="auto"/>
          <w:sz w:val="24"/>
          <w:szCs w:val="24"/>
          <w:highlight w:val="none"/>
        </w:rPr>
        <w:t>PT等于基准值PC时，价格得分为满分，即100</w:t>
      </w:r>
      <w:r>
        <w:rPr>
          <w:rFonts w:hint="eastAsia" w:ascii="宋体" w:hAnsi="宋体" w:eastAsia="宋体" w:cs="宋体"/>
          <w:color w:val="auto"/>
          <w:sz w:val="24"/>
          <w:szCs w:val="24"/>
          <w:highlight w:val="none"/>
        </w:rPr>
        <w:t>分；</w:t>
      </w:r>
    </w:p>
    <w:p>
      <w:pPr>
        <w:numPr>
          <w:ilvl w:val="0"/>
          <w:numId w:val="14"/>
        </w:numPr>
        <w:spacing w:line="312"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当</w:t>
      </w:r>
      <w:r>
        <w:rPr>
          <w:rFonts w:ascii="宋体" w:hAnsi="宋体" w:eastAsia="宋体" w:cs="宋体"/>
          <w:color w:val="auto"/>
          <w:sz w:val="24"/>
          <w:szCs w:val="24"/>
          <w:highlight w:val="none"/>
        </w:rPr>
        <w:t>PT高于基准值PC时，价格得分=100-（PT-PC）÷PC×100÷1×</w:t>
      </w:r>
      <w:r>
        <w:rPr>
          <w:rFonts w:hint="eastAsia" w:ascii="宋体" w:hAnsi="宋体" w:eastAsia="宋体" w:cs="宋体"/>
          <w:color w:val="auto"/>
          <w:sz w:val="24"/>
          <w:szCs w:val="24"/>
          <w:highlight w:val="none"/>
          <w:lang w:val="en-US" w:eastAsia="zh-CN"/>
        </w:rPr>
        <w:t>1</w:t>
      </w:r>
    </w:p>
    <w:p>
      <w:pPr>
        <w:numPr>
          <w:ilvl w:val="0"/>
          <w:numId w:val="14"/>
        </w:numPr>
        <w:spacing w:line="312"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当</w:t>
      </w:r>
      <w:r>
        <w:rPr>
          <w:rFonts w:ascii="宋体" w:hAnsi="宋体" w:eastAsia="宋体" w:cs="宋体"/>
          <w:color w:val="auto"/>
          <w:sz w:val="24"/>
          <w:szCs w:val="24"/>
          <w:highlight w:val="none"/>
        </w:rPr>
        <w:t>PT低于基准值PC时，价格得分=100-（PC-PT）÷PC×100÷1×1</w:t>
      </w: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宋体" w:hAnsi="宋体" w:eastAsia="宋体" w:cs="宋体"/>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b/>
          <w:bCs/>
          <w:color w:val="auto"/>
          <w:sz w:val="24"/>
          <w:szCs w:val="24"/>
          <w:highlight w:val="none"/>
        </w:rPr>
        <w:sectPr>
          <w:headerReference r:id="rId11" w:type="default"/>
          <w:footerReference r:id="rId12" w:type="default"/>
          <w:endnotePr>
            <w:numFmt w:val="decimal"/>
          </w:endnotePr>
          <w:pgSz w:w="11905" w:h="16838"/>
          <w:pgMar w:top="1440" w:right="1800" w:bottom="1440" w:left="1800" w:header="850" w:footer="822" w:gutter="0"/>
          <w:cols w:space="720" w:num="1"/>
          <w:docGrid w:linePitch="318" w:charSpace="0"/>
        </w:sectPr>
      </w:pPr>
    </w:p>
    <w:p>
      <w:pPr>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附表六</w:t>
      </w:r>
    </w:p>
    <w:p>
      <w:pPr>
        <w:jc w:val="center"/>
        <w:rPr>
          <w:rFonts w:ascii="Times New Roman" w:hAnsi="Times New Roman" w:eastAsia="宋体" w:cs="Times New Roman"/>
          <w:b/>
          <w:color w:val="auto"/>
          <w:sz w:val="36"/>
          <w:szCs w:val="36"/>
          <w:highlight w:val="none"/>
        </w:rPr>
      </w:pPr>
      <w:r>
        <w:rPr>
          <w:rFonts w:ascii="Times New Roman" w:hAnsi="Times New Roman" w:eastAsia="宋体" w:cs="Times New Roman"/>
          <w:b/>
          <w:color w:val="auto"/>
          <w:sz w:val="36"/>
          <w:szCs w:val="36"/>
          <w:highlight w:val="none"/>
        </w:rPr>
        <w:t>算术复核表</w:t>
      </w:r>
    </w:p>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工程名称：</w:t>
      </w:r>
    </w:p>
    <w:tbl>
      <w:tblPr>
        <w:tblStyle w:val="3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858"/>
        <w:gridCol w:w="1952"/>
        <w:gridCol w:w="2803"/>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序号</w:t>
            </w:r>
          </w:p>
        </w:tc>
        <w:tc>
          <w:tcPr>
            <w:tcW w:w="1858"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投标人名称</w:t>
            </w:r>
          </w:p>
        </w:tc>
        <w:tc>
          <w:tcPr>
            <w:tcW w:w="1952"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原投标报价（A）</w:t>
            </w:r>
          </w:p>
        </w:tc>
        <w:tc>
          <w:tcPr>
            <w:tcW w:w="2803"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算数复核后投标报价（B）</w:t>
            </w:r>
          </w:p>
        </w:tc>
        <w:tc>
          <w:tcPr>
            <w:tcW w:w="1412" w:type="dxa"/>
            <w:tcBorders>
              <w:top w:val="single" w:color="auto" w:sz="4" w:space="0"/>
              <w:left w:val="single" w:color="auto" w:sz="4" w:space="0"/>
              <w:bottom w:val="single" w:color="auto" w:sz="4" w:space="0"/>
              <w:right w:val="single" w:color="auto" w:sz="4" w:space="0"/>
            </w:tcBorders>
            <w:shd w:val="clear" w:color="auto" w:fill="EAEAEA"/>
            <w:vAlign w:val="center"/>
          </w:tcPr>
          <w:p>
            <w:pPr>
              <w:jc w:val="center"/>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858"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95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c>
          <w:tcPr>
            <w:tcW w:w="141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auto"/>
                <w:sz w:val="36"/>
                <w:szCs w:val="36"/>
                <w:highlight w:val="none"/>
              </w:rPr>
            </w:pPr>
          </w:p>
        </w:tc>
      </w:tr>
    </w:tbl>
    <w:p>
      <w:pPr>
        <w:rPr>
          <w:rFonts w:ascii="Times New Roman" w:hAnsi="Times New Roman" w:eastAsia="宋体" w:cs="Times New Roman"/>
          <w:color w:val="auto"/>
          <w:szCs w:val="21"/>
          <w:highlight w:val="none"/>
        </w:rPr>
      </w:pPr>
    </w:p>
    <w:p>
      <w:pPr>
        <w:spacing w:line="360" w:lineRule="auto"/>
        <w:jc w:val="center"/>
        <w:rPr>
          <w:rFonts w:ascii="Times New Roman" w:hAnsi="Times New Roman" w:eastAsia="仿宋_GB2312" w:cs="Times New Roman"/>
          <w:color w:val="auto"/>
          <w:szCs w:val="21"/>
          <w:highlight w:val="none"/>
        </w:rPr>
        <w:sectPr>
          <w:endnotePr>
            <w:numFmt w:val="decimal"/>
          </w:endnotePr>
          <w:pgSz w:w="11905" w:h="16838"/>
          <w:pgMar w:top="1440" w:right="1800" w:bottom="1440" w:left="1800" w:header="850" w:footer="822" w:gutter="0"/>
          <w:cols w:space="720" w:num="1"/>
          <w:docGrid w:linePitch="318" w:charSpace="0"/>
        </w:sectPr>
      </w:pPr>
    </w:p>
    <w:p>
      <w:pPr>
        <w:keepNext/>
        <w:keepLines/>
        <w:adjustRightInd w:val="0"/>
        <w:snapToGrid w:val="0"/>
        <w:spacing w:line="360" w:lineRule="auto"/>
        <w:jc w:val="center"/>
        <w:outlineLvl w:val="0"/>
        <w:rPr>
          <w:rFonts w:ascii="Times New Roman" w:hAnsi="Times New Roman" w:eastAsia="宋体" w:cs="Times New Roman"/>
          <w:b/>
          <w:color w:val="auto"/>
          <w:kern w:val="44"/>
          <w:sz w:val="28"/>
          <w:szCs w:val="28"/>
          <w:highlight w:val="none"/>
        </w:rPr>
      </w:pPr>
      <w:bookmarkStart w:id="68" w:name="_Toc2272566"/>
      <w:bookmarkStart w:id="69" w:name="_Toc2730"/>
      <w:bookmarkStart w:id="70" w:name="_Toc18666"/>
      <w:bookmarkStart w:id="71" w:name="_Toc27575"/>
      <w:r>
        <w:rPr>
          <w:rFonts w:ascii="Times New Roman" w:hAnsi="Times New Roman" w:eastAsia="宋体" w:cs="Times New Roman"/>
          <w:b/>
          <w:color w:val="auto"/>
          <w:kern w:val="44"/>
          <w:sz w:val="28"/>
          <w:szCs w:val="28"/>
          <w:highlight w:val="none"/>
        </w:rPr>
        <w:t>第四章 合同条款</w:t>
      </w:r>
      <w:bookmarkEnd w:id="68"/>
      <w:bookmarkEnd w:id="69"/>
      <w:bookmarkEnd w:id="70"/>
      <w:bookmarkEnd w:id="71"/>
    </w:p>
    <w:p>
      <w:pPr>
        <w:jc w:val="center"/>
        <w:rPr>
          <w:rFonts w:ascii="宋体" w:hAnsi="宋体"/>
          <w:b/>
          <w:bCs/>
          <w:color w:val="auto"/>
          <w:sz w:val="24"/>
          <w:szCs w:val="24"/>
          <w:highlight w:val="none"/>
        </w:rPr>
      </w:pPr>
    </w:p>
    <w:p>
      <w:pPr>
        <w:jc w:val="center"/>
        <w:rPr>
          <w:rFonts w:ascii="宋体" w:hAnsi="宋体"/>
          <w:b/>
          <w:bCs/>
          <w:color w:val="auto"/>
          <w:sz w:val="24"/>
          <w:szCs w:val="24"/>
          <w:highlight w:val="none"/>
        </w:rPr>
      </w:pPr>
    </w:p>
    <w:p>
      <w:pPr>
        <w:jc w:val="center"/>
        <w:rPr>
          <w:rFonts w:ascii="宋体" w:hAnsi="宋体"/>
          <w:b/>
          <w:bCs/>
          <w:color w:val="auto"/>
          <w:sz w:val="24"/>
          <w:szCs w:val="24"/>
          <w:highlight w:val="none"/>
        </w:rPr>
      </w:pPr>
    </w:p>
    <w:p>
      <w:pPr>
        <w:pStyle w:val="4"/>
        <w:rPr>
          <w:color w:val="auto"/>
          <w:highlight w:val="none"/>
        </w:rPr>
      </w:pPr>
    </w:p>
    <w:p>
      <w:pPr>
        <w:jc w:val="center"/>
        <w:rPr>
          <w:rFonts w:hint="eastAsia" w:ascii="黑体" w:hAnsi="黑体" w:eastAsia="黑体"/>
          <w:b/>
          <w:color w:val="auto"/>
          <w:sz w:val="72"/>
          <w:szCs w:val="72"/>
          <w:highlight w:val="none"/>
        </w:rPr>
      </w:pPr>
      <w:r>
        <w:rPr>
          <w:rFonts w:hint="eastAsia" w:ascii="黑体" w:hAnsi="黑体" w:eastAsia="黑体"/>
          <w:b/>
          <w:color w:val="auto"/>
          <w:sz w:val="72"/>
          <w:szCs w:val="72"/>
          <w:highlight w:val="none"/>
        </w:rPr>
        <w:t>传媒大厦中央空调供暖及精密空调改造项目</w:t>
      </w:r>
    </w:p>
    <w:p>
      <w:pPr>
        <w:jc w:val="center"/>
        <w:rPr>
          <w:rFonts w:hint="eastAsia" w:ascii="黑体" w:hAnsi="黑体" w:eastAsia="黑体"/>
          <w:b/>
          <w:color w:val="auto"/>
          <w:sz w:val="72"/>
          <w:szCs w:val="72"/>
          <w:highlight w:val="none"/>
        </w:rPr>
      </w:pPr>
    </w:p>
    <w:p>
      <w:pPr>
        <w:jc w:val="center"/>
        <w:rPr>
          <w:rFonts w:ascii="黑体" w:hAnsi="黑体" w:eastAsia="黑体"/>
          <w:b/>
          <w:color w:val="auto"/>
          <w:sz w:val="72"/>
          <w:szCs w:val="72"/>
          <w:highlight w:val="none"/>
        </w:rPr>
      </w:pPr>
      <w:r>
        <w:rPr>
          <w:rFonts w:hint="eastAsia" w:ascii="黑体" w:hAnsi="黑体" w:eastAsia="黑体"/>
          <w:b/>
          <w:color w:val="auto"/>
          <w:sz w:val="72"/>
          <w:szCs w:val="72"/>
          <w:highlight w:val="none"/>
        </w:rPr>
        <w:t>施</w:t>
      </w:r>
    </w:p>
    <w:p>
      <w:pPr>
        <w:jc w:val="center"/>
        <w:rPr>
          <w:rFonts w:ascii="黑体" w:hAnsi="黑体" w:eastAsia="黑体"/>
          <w:b/>
          <w:color w:val="auto"/>
          <w:sz w:val="32"/>
          <w:szCs w:val="32"/>
          <w:highlight w:val="none"/>
        </w:rPr>
      </w:pPr>
    </w:p>
    <w:p>
      <w:pPr>
        <w:jc w:val="center"/>
        <w:rPr>
          <w:rFonts w:ascii="黑体" w:hAnsi="黑体" w:eastAsia="黑体"/>
          <w:b/>
          <w:color w:val="auto"/>
          <w:sz w:val="72"/>
          <w:szCs w:val="72"/>
          <w:highlight w:val="none"/>
        </w:rPr>
      </w:pPr>
      <w:r>
        <w:rPr>
          <w:rFonts w:hint="eastAsia" w:ascii="黑体" w:hAnsi="黑体" w:eastAsia="黑体"/>
          <w:b/>
          <w:color w:val="auto"/>
          <w:sz w:val="72"/>
          <w:szCs w:val="72"/>
          <w:highlight w:val="none"/>
        </w:rPr>
        <w:t>工</w:t>
      </w:r>
    </w:p>
    <w:p>
      <w:pPr>
        <w:jc w:val="center"/>
        <w:rPr>
          <w:rFonts w:ascii="黑体" w:hAnsi="黑体" w:eastAsia="黑体"/>
          <w:b/>
          <w:color w:val="auto"/>
          <w:sz w:val="32"/>
          <w:szCs w:val="32"/>
          <w:highlight w:val="none"/>
        </w:rPr>
      </w:pPr>
    </w:p>
    <w:p>
      <w:pPr>
        <w:jc w:val="center"/>
        <w:rPr>
          <w:rFonts w:ascii="黑体" w:hAnsi="黑体" w:eastAsia="黑体"/>
          <w:b/>
          <w:color w:val="auto"/>
          <w:sz w:val="72"/>
          <w:szCs w:val="72"/>
          <w:highlight w:val="none"/>
        </w:rPr>
      </w:pPr>
      <w:r>
        <w:rPr>
          <w:rFonts w:hint="eastAsia" w:ascii="黑体" w:hAnsi="黑体" w:eastAsia="黑体"/>
          <w:b/>
          <w:color w:val="auto"/>
          <w:sz w:val="72"/>
          <w:szCs w:val="72"/>
          <w:highlight w:val="none"/>
        </w:rPr>
        <w:t>合</w:t>
      </w:r>
    </w:p>
    <w:p>
      <w:pPr>
        <w:jc w:val="center"/>
        <w:rPr>
          <w:rFonts w:ascii="黑体" w:hAnsi="黑体" w:eastAsia="黑体"/>
          <w:b/>
          <w:color w:val="auto"/>
          <w:sz w:val="32"/>
          <w:szCs w:val="32"/>
          <w:highlight w:val="none"/>
        </w:rPr>
      </w:pPr>
    </w:p>
    <w:p>
      <w:pPr>
        <w:jc w:val="center"/>
        <w:rPr>
          <w:rFonts w:ascii="黑体" w:hAnsi="黑体" w:eastAsia="黑体"/>
          <w:b/>
          <w:color w:val="auto"/>
          <w:sz w:val="72"/>
          <w:szCs w:val="72"/>
          <w:highlight w:val="none"/>
        </w:rPr>
      </w:pPr>
      <w:r>
        <w:rPr>
          <w:rFonts w:hint="eastAsia" w:ascii="黑体" w:hAnsi="黑体" w:eastAsia="黑体"/>
          <w:b/>
          <w:color w:val="auto"/>
          <w:sz w:val="72"/>
          <w:szCs w:val="72"/>
          <w:highlight w:val="none"/>
        </w:rPr>
        <w:t>同</w:t>
      </w:r>
    </w:p>
    <w:p>
      <w:pPr>
        <w:pStyle w:val="4"/>
        <w:rPr>
          <w:rFonts w:hint="eastAsia"/>
          <w:color w:val="auto"/>
          <w:highlight w:val="none"/>
          <w:lang w:eastAsia="zh-CN"/>
        </w:rPr>
      </w:pPr>
    </w:p>
    <w:p>
      <w:pPr>
        <w:jc w:val="center"/>
        <w:rPr>
          <w:b/>
          <w:color w:val="auto"/>
          <w:sz w:val="84"/>
          <w:szCs w:val="84"/>
          <w:highlight w:val="none"/>
        </w:rPr>
      </w:pPr>
    </w:p>
    <w:p>
      <w:pPr>
        <w:pStyle w:val="127"/>
        <w:spacing w:before="0" w:beforeAutospacing="0" w:after="0" w:afterAutospacing="0" w:line="360" w:lineRule="auto"/>
        <w:ind w:firstLine="1105" w:firstLineChars="393"/>
        <w:rPr>
          <w:rStyle w:val="128"/>
          <w:rFonts w:hint="eastAsia" w:eastAsia="宋体"/>
          <w:b/>
          <w:color w:val="auto"/>
          <w:sz w:val="28"/>
          <w:szCs w:val="28"/>
          <w:highlight w:val="none"/>
          <w:lang w:eastAsia="zh-CN"/>
        </w:rPr>
      </w:pPr>
      <w:r>
        <w:rPr>
          <w:rStyle w:val="128"/>
          <w:rFonts w:hint="eastAsia"/>
          <w:b/>
          <w:color w:val="auto"/>
          <w:sz w:val="28"/>
          <w:szCs w:val="28"/>
          <w:highlight w:val="none"/>
        </w:rPr>
        <w:t>甲方（发包方）：</w:t>
      </w:r>
    </w:p>
    <w:p>
      <w:pPr>
        <w:pStyle w:val="127"/>
        <w:spacing w:before="0" w:beforeAutospacing="0" w:after="0" w:afterAutospacing="0" w:line="360" w:lineRule="auto"/>
        <w:ind w:firstLine="1105" w:firstLineChars="393"/>
        <w:rPr>
          <w:rStyle w:val="128"/>
          <w:rFonts w:hint="eastAsia"/>
          <w:b/>
          <w:color w:val="auto"/>
          <w:sz w:val="28"/>
          <w:szCs w:val="28"/>
          <w:highlight w:val="none"/>
        </w:rPr>
      </w:pPr>
    </w:p>
    <w:p>
      <w:pPr>
        <w:pStyle w:val="127"/>
        <w:spacing w:before="0" w:beforeAutospacing="0" w:after="0" w:afterAutospacing="0" w:line="360" w:lineRule="auto"/>
        <w:ind w:firstLine="1105" w:firstLineChars="393"/>
        <w:rPr>
          <w:rStyle w:val="128"/>
          <w:rFonts w:hint="eastAsia"/>
          <w:b/>
          <w:color w:val="auto"/>
          <w:sz w:val="28"/>
          <w:szCs w:val="28"/>
          <w:highlight w:val="none"/>
        </w:rPr>
      </w:pPr>
      <w:r>
        <w:rPr>
          <w:rStyle w:val="128"/>
          <w:rFonts w:hint="eastAsia"/>
          <w:b/>
          <w:color w:val="auto"/>
          <w:sz w:val="28"/>
          <w:szCs w:val="28"/>
          <w:highlight w:val="none"/>
        </w:rPr>
        <w:t>乙方（施工方）：</w:t>
      </w:r>
    </w:p>
    <w:p>
      <w:pPr>
        <w:pStyle w:val="32"/>
        <w:ind w:left="0" w:leftChars="0" w:firstLine="0" w:firstLineChars="0"/>
        <w:rPr>
          <w:rFonts w:hint="eastAsia"/>
          <w:color w:val="auto"/>
          <w:highlight w:val="none"/>
          <w:lang w:val="en-US"/>
        </w:rPr>
      </w:pPr>
    </w:p>
    <w:p>
      <w:pPr>
        <w:pStyle w:val="32"/>
        <w:ind w:left="0" w:leftChars="0" w:firstLine="0" w:firstLineChars="0"/>
        <w:rPr>
          <w:rFonts w:hint="eastAsia"/>
          <w:color w:val="auto"/>
          <w:highlight w:val="none"/>
          <w:lang w:val="en-US"/>
        </w:rPr>
      </w:pPr>
    </w:p>
    <w:p>
      <w:pPr>
        <w:widowControl/>
        <w:spacing w:line="480" w:lineRule="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甲方（</w:t>
      </w:r>
      <w:r>
        <w:rPr>
          <w:rFonts w:hint="eastAsia" w:ascii="宋体" w:hAnsi="宋体" w:eastAsia="宋体" w:cs="宋体"/>
          <w:color w:val="auto"/>
          <w:kern w:val="0"/>
          <w:sz w:val="24"/>
          <w:highlight w:val="none"/>
        </w:rPr>
        <w:t>发包方）：</w:t>
      </w:r>
      <w:r>
        <w:rPr>
          <w:rFonts w:hint="eastAsia" w:ascii="宋体" w:hAnsi="宋体" w:eastAsia="宋体" w:cs="宋体"/>
          <w:color w:val="auto"/>
          <w:kern w:val="0"/>
          <w:sz w:val="24"/>
          <w:szCs w:val="24"/>
          <w:highlight w:val="none"/>
          <w:u w:val="single"/>
          <w:lang w:eastAsia="zh-CN"/>
        </w:rPr>
        <w:t>南方日报社</w:t>
      </w:r>
      <w:r>
        <w:rPr>
          <w:rFonts w:hint="eastAsia" w:ascii="宋体" w:hAnsi="宋体" w:cs="宋体"/>
          <w:color w:val="auto"/>
          <w:kern w:val="0"/>
          <w:sz w:val="24"/>
          <w:highlight w:val="none"/>
          <w:u w:val="single"/>
          <w:lang w:val="en-US" w:eastAsia="zh-CN"/>
        </w:rPr>
        <w:t xml:space="preserve">                    </w:t>
      </w:r>
    </w:p>
    <w:p>
      <w:pPr>
        <w:widowControl/>
        <w:spacing w:line="48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通讯地址：</w:t>
      </w:r>
      <w:r>
        <w:rPr>
          <w:rFonts w:hint="eastAsia" w:ascii="宋体" w:hAnsi="宋体" w:eastAsia="宋体" w:cs="宋体"/>
          <w:color w:val="auto"/>
          <w:kern w:val="0"/>
          <w:sz w:val="24"/>
          <w:szCs w:val="24"/>
          <w:highlight w:val="none"/>
          <w:lang w:eastAsia="zh-CN"/>
        </w:rPr>
        <w:t>广州市越秀区</w:t>
      </w:r>
      <w:r>
        <w:rPr>
          <w:rFonts w:hint="eastAsia" w:ascii="宋体" w:hAnsi="宋体" w:eastAsia="宋体" w:cs="宋体"/>
          <w:color w:val="auto"/>
          <w:kern w:val="0"/>
          <w:sz w:val="24"/>
          <w:szCs w:val="24"/>
          <w:highlight w:val="none"/>
          <w:lang w:val="en-US" w:eastAsia="zh-CN"/>
        </w:rPr>
        <w:t>广州大道中289号1号楼6楼</w:t>
      </w:r>
      <w:r>
        <w:rPr>
          <w:rFonts w:hint="eastAsia" w:ascii="宋体" w:hAnsi="宋体" w:eastAsia="宋体" w:cs="宋体"/>
          <w:color w:val="auto"/>
          <w:kern w:val="0"/>
          <w:sz w:val="24"/>
          <w:highlight w:val="none"/>
          <w:u w:val="none"/>
        </w:rPr>
        <w:t xml:space="preserve">        </w:t>
      </w:r>
    </w:p>
    <w:p>
      <w:pPr>
        <w:widowControl/>
        <w:spacing w:line="48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收件联系人：</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联系电话：</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rPr>
        <w:t xml:space="preserve"> </w:t>
      </w:r>
    </w:p>
    <w:p>
      <w:pPr>
        <w:widowControl/>
        <w:spacing w:line="480" w:lineRule="auto"/>
        <w:rPr>
          <w:rFonts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法定代表人：</w:t>
      </w:r>
      <w:r>
        <w:rPr>
          <w:rFonts w:hint="eastAsia" w:ascii="宋体" w:hAnsi="宋体" w:eastAsia="宋体" w:cs="宋体"/>
          <w:color w:val="auto"/>
          <w:kern w:val="0"/>
          <w:sz w:val="24"/>
          <w:highlight w:val="none"/>
          <w:u w:val="single"/>
        </w:rPr>
        <w:t xml:space="preserve">                                        </w:t>
      </w:r>
    </w:p>
    <w:p>
      <w:pPr>
        <w:widowControl/>
        <w:spacing w:line="360" w:lineRule="auto"/>
        <w:rPr>
          <w:rFonts w:hint="eastAsia" w:ascii="宋体" w:hAnsi="宋体" w:eastAsia="宋体" w:cs="宋体"/>
          <w:color w:val="auto"/>
          <w:kern w:val="0"/>
          <w:sz w:val="24"/>
          <w:highlight w:val="none"/>
        </w:rPr>
      </w:pPr>
    </w:p>
    <w:p>
      <w:pPr>
        <w:widowControl/>
        <w:spacing w:line="480" w:lineRule="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乙方（</w:t>
      </w:r>
      <w:r>
        <w:rPr>
          <w:rFonts w:hint="eastAsia" w:ascii="宋体" w:hAnsi="宋体" w:eastAsia="宋体" w:cs="宋体"/>
          <w:color w:val="auto"/>
          <w:kern w:val="0"/>
          <w:sz w:val="24"/>
          <w:highlight w:val="none"/>
        </w:rPr>
        <w:t>承包方）：</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w:t>
      </w:r>
    </w:p>
    <w:p>
      <w:pPr>
        <w:widowControl/>
        <w:spacing w:line="480" w:lineRule="auto"/>
        <w:rPr>
          <w:rFonts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通讯地址：</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p>
    <w:p>
      <w:pPr>
        <w:widowControl/>
        <w:spacing w:line="480" w:lineRule="auto"/>
        <w:rPr>
          <w:rFonts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收件联系人：</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 xml:space="preserve"> 联系电话：</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p>
    <w:p>
      <w:pPr>
        <w:widowControl/>
        <w:spacing w:line="480" w:lineRule="auto"/>
        <w:rPr>
          <w:rFonts w:hint="default" w:eastAsia="宋体"/>
          <w:color w:val="auto"/>
          <w:highlight w:val="none"/>
          <w:lang w:val="en-US" w:eastAsia="zh-CN"/>
        </w:rPr>
      </w:pPr>
      <w:r>
        <w:rPr>
          <w:rFonts w:hint="eastAsia" w:ascii="宋体" w:hAnsi="宋体" w:eastAsia="宋体" w:cs="宋体"/>
          <w:color w:val="auto"/>
          <w:kern w:val="0"/>
          <w:sz w:val="24"/>
          <w:highlight w:val="none"/>
        </w:rPr>
        <w:t>法定代表人：</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p>
    <w:p>
      <w:pPr>
        <w:widowControl/>
        <w:spacing w:line="480" w:lineRule="auto"/>
        <w:rPr>
          <w:rFonts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本工程施工负责人：</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联系电话：</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w:t>
      </w:r>
    </w:p>
    <w:p>
      <w:pPr>
        <w:widowControl/>
        <w:spacing w:line="480" w:lineRule="auto"/>
        <w:rPr>
          <w:rFonts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本工程设计负责人：</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联系电话：</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 xml:space="preserve"> </w:t>
      </w:r>
    </w:p>
    <w:p>
      <w:pPr>
        <w:widowControl/>
        <w:spacing w:line="360" w:lineRule="auto"/>
        <w:ind w:firstLine="480" w:firstLineChars="200"/>
        <w:rPr>
          <w:rFonts w:hint="eastAsia" w:ascii="宋体" w:hAnsi="宋体" w:eastAsia="宋体" w:cs="宋体"/>
          <w:color w:val="auto"/>
          <w:kern w:val="0"/>
          <w:sz w:val="24"/>
          <w:highlight w:val="none"/>
        </w:rPr>
      </w:pP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依照</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rPr>
        <w:t>中华人民共和国</w:t>
      </w:r>
      <w:r>
        <w:rPr>
          <w:rFonts w:hint="eastAsia" w:ascii="宋体" w:hAnsi="宋体" w:cs="宋体"/>
          <w:color w:val="auto"/>
          <w:kern w:val="0"/>
          <w:sz w:val="24"/>
          <w:highlight w:val="none"/>
          <w:lang w:val="en-US" w:eastAsia="zh-CN"/>
        </w:rPr>
        <w:t>民法典</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rPr>
        <w:t>及规范性文件，甲、乙双方在平等、自愿、协商一致的基础上，就乙方承包甲方传媒大厦中央空调供暖及精密空调改造项目（以下简称“工程”或“项目”）的有关事宜，达成如下条款：</w:t>
      </w:r>
    </w:p>
    <w:p>
      <w:pPr>
        <w:pStyle w:val="49"/>
        <w:ind w:firstLine="480"/>
        <w:rPr>
          <w:rFonts w:hint="eastAsia"/>
          <w:color w:val="auto"/>
          <w:highlight w:val="none"/>
        </w:rPr>
      </w:pPr>
    </w:p>
    <w:p>
      <w:pPr>
        <w:widowControl/>
        <w:tabs>
          <w:tab w:val="left" w:pos="3686"/>
          <w:tab w:val="left" w:pos="3828"/>
          <w:tab w:val="left" w:pos="3969"/>
        </w:tabs>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第一条</w:t>
      </w:r>
      <w:r>
        <w:rPr>
          <w:rFonts w:ascii="宋体" w:hAnsi="宋体" w:eastAsia="宋体" w:cs="宋体"/>
          <w:b/>
          <w:color w:val="auto"/>
          <w:kern w:val="0"/>
          <w:sz w:val="24"/>
          <w:highlight w:val="none"/>
        </w:rPr>
        <w:t xml:space="preserve"> </w:t>
      </w:r>
      <w:r>
        <w:rPr>
          <w:rFonts w:hint="eastAsia" w:ascii="宋体" w:hAnsi="宋体" w:eastAsia="宋体" w:cs="宋体"/>
          <w:b/>
          <w:color w:val="auto"/>
          <w:kern w:val="0"/>
          <w:sz w:val="24"/>
          <w:highlight w:val="none"/>
        </w:rPr>
        <w:t>工程概况</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 项目名称：</w:t>
      </w:r>
      <w:r>
        <w:rPr>
          <w:rFonts w:hint="eastAsia" w:ascii="宋体" w:hAnsi="宋体" w:eastAsia="宋体" w:cs="宋体"/>
          <w:color w:val="auto"/>
          <w:kern w:val="0"/>
          <w:sz w:val="24"/>
          <w:szCs w:val="24"/>
          <w:highlight w:val="none"/>
          <w:lang w:val="en-US" w:eastAsia="zh-CN"/>
        </w:rPr>
        <w:t>传媒大厦中央空调供暖及精密空调改造项目</w:t>
      </w:r>
    </w:p>
    <w:p>
      <w:pPr>
        <w:widowControl/>
        <w:spacing w:line="360" w:lineRule="auto"/>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rPr>
        <w:t>1</w:t>
      </w:r>
      <w:r>
        <w:rPr>
          <w:rFonts w:ascii="宋体" w:hAnsi="宋体" w:eastAsia="宋体" w:cs="宋体"/>
          <w:color w:val="auto"/>
          <w:kern w:val="0"/>
          <w:sz w:val="24"/>
          <w:highlight w:val="none"/>
        </w:rPr>
        <w:t>.2</w:t>
      </w:r>
      <w:r>
        <w:rPr>
          <w:rFonts w:hint="eastAsia" w:ascii="宋体" w:hAnsi="宋体" w:eastAsia="宋体" w:cs="宋体"/>
          <w:color w:val="auto"/>
          <w:kern w:val="0"/>
          <w:sz w:val="24"/>
          <w:highlight w:val="none"/>
        </w:rPr>
        <w:t>工程地点：</w:t>
      </w:r>
      <w:r>
        <w:rPr>
          <w:rFonts w:hint="eastAsia" w:ascii="宋体" w:hAnsi="宋体" w:eastAsia="宋体" w:cs="宋体"/>
          <w:color w:val="auto"/>
          <w:kern w:val="0"/>
          <w:sz w:val="24"/>
          <w:szCs w:val="24"/>
          <w:highlight w:val="none"/>
          <w:lang w:eastAsia="zh-CN"/>
        </w:rPr>
        <w:t>广州市越秀区</w:t>
      </w:r>
      <w:r>
        <w:rPr>
          <w:rFonts w:hint="eastAsia" w:ascii="宋体" w:hAnsi="宋体" w:eastAsia="宋体" w:cs="宋体"/>
          <w:color w:val="auto"/>
          <w:kern w:val="0"/>
          <w:sz w:val="24"/>
          <w:szCs w:val="24"/>
          <w:highlight w:val="none"/>
          <w:lang w:val="en-US" w:eastAsia="zh-CN"/>
        </w:rPr>
        <w:t>广州大道中289号</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ascii="宋体" w:hAnsi="宋体" w:eastAsia="宋体" w:cs="宋体"/>
          <w:color w:val="auto"/>
          <w:kern w:val="0"/>
          <w:sz w:val="24"/>
          <w:highlight w:val="none"/>
        </w:rPr>
        <w:t>3</w:t>
      </w:r>
      <w:r>
        <w:rPr>
          <w:rFonts w:hint="eastAsia" w:ascii="宋体" w:hAnsi="宋体" w:eastAsia="宋体" w:cs="宋体"/>
          <w:color w:val="auto"/>
          <w:kern w:val="0"/>
          <w:sz w:val="24"/>
          <w:highlight w:val="none"/>
        </w:rPr>
        <w:t>工程内容：</w:t>
      </w:r>
    </w:p>
    <w:p>
      <w:pPr>
        <w:widowControl/>
        <w:spacing w:line="360" w:lineRule="auto"/>
        <w:ind w:firstLine="480" w:firstLineChars="200"/>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1.3.1在全面清晰了解原有中央空调系统的基础上，完成中央空调供暖和精密空调改造的设计和施工方案，出具相关图纸。</w:t>
      </w:r>
    </w:p>
    <w:p>
      <w:pPr>
        <w:widowControl/>
        <w:spacing w:line="360" w:lineRule="auto"/>
        <w:ind w:firstLine="480" w:firstLineChars="200"/>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1.3.2拆除清理平台花基并做好</w:t>
      </w:r>
      <w:r>
        <w:rPr>
          <w:rFonts w:hint="eastAsia" w:ascii="宋体" w:hAnsi="宋体" w:eastAsia="宋体" w:cs="宋体"/>
          <w:color w:val="auto"/>
          <w:kern w:val="0"/>
          <w:sz w:val="24"/>
          <w:highlight w:val="none"/>
        </w:rPr>
        <w:t>防水</w:t>
      </w:r>
      <w:r>
        <w:rPr>
          <w:rFonts w:hint="eastAsia" w:ascii="宋体" w:hAnsi="宋体" w:cs="宋体"/>
          <w:color w:val="auto"/>
          <w:kern w:val="0"/>
          <w:sz w:val="24"/>
          <w:highlight w:val="none"/>
          <w:lang w:val="en-US" w:eastAsia="zh-CN"/>
        </w:rPr>
        <w:t>渗漏</w:t>
      </w:r>
      <w:r>
        <w:rPr>
          <w:rFonts w:hint="eastAsia" w:ascii="宋体" w:hAnsi="宋体" w:eastAsia="宋体" w:cs="宋体"/>
          <w:color w:val="auto"/>
          <w:kern w:val="0"/>
          <w:sz w:val="24"/>
          <w:highlight w:val="none"/>
        </w:rPr>
        <w:t>处理</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做好供暖机组和精密空调的承重基础。</w:t>
      </w:r>
    </w:p>
    <w:p>
      <w:pPr>
        <w:widowControl/>
        <w:spacing w:line="360" w:lineRule="auto"/>
        <w:ind w:firstLine="480" w:firstLineChars="20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1.3.3 敷设供暖机组和精密空调电源，搭建满足供暖机组控制柜放置的控制室。</w:t>
      </w:r>
    </w:p>
    <w:p>
      <w:pPr>
        <w:widowControl/>
        <w:spacing w:line="360" w:lineRule="auto"/>
        <w:ind w:firstLine="480" w:firstLineChars="200"/>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1.3.4拆除6层库房原有中央空调风机盘管和冷冻水管道，保证库房范围无水源进入。</w:t>
      </w:r>
    </w:p>
    <w:p>
      <w:pPr>
        <w:widowControl/>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cs="宋体"/>
          <w:color w:val="auto"/>
          <w:kern w:val="0"/>
          <w:sz w:val="24"/>
          <w:highlight w:val="none"/>
          <w:lang w:val="en-US" w:eastAsia="zh-CN"/>
        </w:rPr>
        <w:t>1.3.5完成</w:t>
      </w:r>
      <w:r>
        <w:rPr>
          <w:rFonts w:hint="eastAsia" w:ascii="宋体" w:hAnsi="宋体" w:eastAsia="宋体" w:cs="宋体"/>
          <w:color w:val="auto"/>
          <w:kern w:val="0"/>
          <w:sz w:val="24"/>
          <w:szCs w:val="24"/>
          <w:highlight w:val="none"/>
          <w:lang w:val="en-US" w:eastAsia="zh-CN"/>
        </w:rPr>
        <w:t>中央空调供暖</w:t>
      </w:r>
      <w:r>
        <w:rPr>
          <w:rFonts w:hint="eastAsia" w:ascii="宋体" w:hAnsi="宋体" w:cs="宋体"/>
          <w:color w:val="auto"/>
          <w:kern w:val="0"/>
          <w:sz w:val="24"/>
          <w:szCs w:val="24"/>
          <w:highlight w:val="none"/>
          <w:lang w:val="en-US" w:eastAsia="zh-CN"/>
        </w:rPr>
        <w:t>机组与</w:t>
      </w:r>
      <w:r>
        <w:rPr>
          <w:rFonts w:hint="eastAsia" w:ascii="宋体" w:hAnsi="宋体" w:eastAsia="宋体" w:cs="宋体"/>
          <w:color w:val="auto"/>
          <w:kern w:val="0"/>
          <w:sz w:val="24"/>
          <w:szCs w:val="24"/>
          <w:highlight w:val="none"/>
          <w:lang w:val="en-US" w:eastAsia="zh-CN"/>
        </w:rPr>
        <w:t>精密空调</w:t>
      </w:r>
      <w:r>
        <w:rPr>
          <w:rFonts w:hint="eastAsia" w:ascii="宋体" w:hAnsi="宋体" w:cs="宋体"/>
          <w:color w:val="auto"/>
          <w:kern w:val="0"/>
          <w:sz w:val="24"/>
          <w:szCs w:val="24"/>
          <w:highlight w:val="none"/>
          <w:lang w:val="en-US" w:eastAsia="zh-CN"/>
        </w:rPr>
        <w:t>安装与调试。</w:t>
      </w:r>
      <w:r>
        <w:rPr>
          <w:rFonts w:hint="eastAsia" w:ascii="宋体" w:hAnsi="宋体" w:eastAsia="宋体" w:cs="宋体"/>
          <w:color w:val="auto"/>
          <w:kern w:val="0"/>
          <w:sz w:val="24"/>
          <w:highlight w:val="none"/>
        </w:rPr>
        <w:t xml:space="preserve"> </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ascii="宋体" w:hAnsi="宋体" w:eastAsia="宋体" w:cs="宋体"/>
          <w:color w:val="auto"/>
          <w:kern w:val="0"/>
          <w:sz w:val="24"/>
          <w:highlight w:val="none"/>
        </w:rPr>
        <w:t>4</w:t>
      </w:r>
      <w:r>
        <w:rPr>
          <w:rFonts w:hint="eastAsia" w:ascii="宋体" w:hAnsi="宋体" w:eastAsia="宋体" w:cs="宋体"/>
          <w:color w:val="auto"/>
          <w:kern w:val="0"/>
          <w:sz w:val="24"/>
          <w:highlight w:val="none"/>
        </w:rPr>
        <w:t>工程承包方式：</w:t>
      </w:r>
      <w:r>
        <w:rPr>
          <w:rFonts w:hint="eastAsia" w:ascii="宋体" w:hAnsi="宋体" w:eastAsia="宋体" w:cs="宋体"/>
          <w:color w:val="auto"/>
          <w:kern w:val="0"/>
          <w:sz w:val="24"/>
          <w:highlight w:val="none"/>
          <w:u w:val="none"/>
        </w:rPr>
        <w:t>采用总价包干的合同方式（即</w:t>
      </w:r>
      <w:r>
        <w:rPr>
          <w:rFonts w:hint="eastAsia" w:ascii="宋体" w:hAnsi="宋体" w:eastAsia="宋体" w:cs="宋体"/>
          <w:color w:val="auto"/>
          <w:kern w:val="0"/>
          <w:sz w:val="24"/>
          <w:highlight w:val="none"/>
        </w:rPr>
        <w:t>包设计</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u w:val="none"/>
        </w:rPr>
        <w:t>包工、包料、包工期、包质量、包安全、包文明施工、包税、包利润等）</w:t>
      </w:r>
      <w:r>
        <w:rPr>
          <w:rFonts w:hint="eastAsia" w:ascii="宋体" w:hAnsi="宋体" w:eastAsia="宋体" w:cs="宋体"/>
          <w:color w:val="auto"/>
          <w:kern w:val="0"/>
          <w:sz w:val="24"/>
          <w:highlight w:val="none"/>
        </w:rPr>
        <w:t>包全部材料；</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ascii="宋体" w:hAnsi="宋体" w:eastAsia="宋体" w:cs="宋体"/>
          <w:color w:val="auto"/>
          <w:kern w:val="0"/>
          <w:sz w:val="24"/>
          <w:highlight w:val="none"/>
        </w:rPr>
        <w:t>5</w:t>
      </w:r>
      <w:r>
        <w:rPr>
          <w:rFonts w:hint="eastAsia" w:ascii="宋体" w:hAnsi="宋体" w:eastAsia="宋体" w:cs="宋体"/>
          <w:color w:val="auto"/>
          <w:kern w:val="0"/>
          <w:sz w:val="24"/>
          <w:highlight w:val="none"/>
        </w:rPr>
        <w:t>工程期限</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u w:val="single"/>
          <w:lang w:val="en-US" w:eastAsia="zh-CN"/>
        </w:rPr>
        <w:t>75</w:t>
      </w:r>
      <w:r>
        <w:rPr>
          <w:rFonts w:hint="eastAsia" w:ascii="宋体" w:hAnsi="宋体" w:eastAsia="宋体" w:cs="宋体"/>
          <w:color w:val="auto"/>
          <w:kern w:val="0"/>
          <w:sz w:val="24"/>
          <w:highlight w:val="none"/>
        </w:rPr>
        <w:t>个日历日（含设计时长）</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rPr>
        <w:t>自本协议生效之次日起</w:t>
      </w:r>
      <w:r>
        <w:rPr>
          <w:rFonts w:hint="eastAsia" w:ascii="宋体" w:hAnsi="宋体" w:cs="宋体"/>
          <w:color w:val="auto"/>
          <w:kern w:val="0"/>
          <w:sz w:val="24"/>
          <w:highlight w:val="none"/>
          <w:u w:val="single"/>
          <w:lang w:val="en-US" w:eastAsia="zh-CN"/>
        </w:rPr>
        <w:t>计</w:t>
      </w:r>
      <w:r>
        <w:rPr>
          <w:rFonts w:hint="eastAsia" w:ascii="宋体" w:hAnsi="宋体" w:eastAsia="宋体" w:cs="宋体"/>
          <w:color w:val="auto"/>
          <w:kern w:val="0"/>
          <w:sz w:val="24"/>
          <w:highlight w:val="none"/>
        </w:rPr>
        <w:t>。</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第二条</w:t>
      </w:r>
      <w:r>
        <w:rPr>
          <w:rFonts w:ascii="宋体" w:hAnsi="宋体" w:eastAsia="宋体" w:cs="宋体"/>
          <w:b/>
          <w:color w:val="auto"/>
          <w:kern w:val="0"/>
          <w:sz w:val="24"/>
          <w:highlight w:val="none"/>
        </w:rPr>
        <w:t xml:space="preserve"> </w:t>
      </w:r>
      <w:r>
        <w:rPr>
          <w:rFonts w:hint="eastAsia" w:ascii="宋体" w:hAnsi="宋体" w:eastAsia="宋体" w:cs="宋体"/>
          <w:b/>
          <w:color w:val="auto"/>
          <w:kern w:val="0"/>
          <w:sz w:val="24"/>
          <w:highlight w:val="none"/>
        </w:rPr>
        <w:t>施工图纸</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2.1甲方委托乙方设计施工方案及出图。乙方提供的设计方案一套，乙方按照双方最终确认以及政府部门批准（如需）的设计方案和设计图纸施工。</w:t>
      </w:r>
    </w:p>
    <w:p>
      <w:pPr>
        <w:widowControl/>
        <w:spacing w:line="360" w:lineRule="auto"/>
        <w:ind w:firstLine="480" w:firstLineChars="200"/>
        <w:rPr>
          <w:rFonts w:hint="eastAsia" w:ascii="宋体" w:hAnsi="宋体" w:eastAsia="宋体" w:cs="宋体"/>
          <w:color w:val="auto"/>
          <w:kern w:val="0"/>
          <w:sz w:val="24"/>
          <w:highlight w:val="none"/>
        </w:rPr>
      </w:pPr>
      <w:r>
        <w:rPr>
          <w:rFonts w:ascii="宋体" w:hAnsi="宋体" w:eastAsia="宋体" w:cs="宋体"/>
          <w:color w:val="auto"/>
          <w:kern w:val="0"/>
          <w:sz w:val="24"/>
          <w:highlight w:val="none"/>
        </w:rPr>
        <w:t xml:space="preserve">2.2 </w:t>
      </w:r>
      <w:r>
        <w:rPr>
          <w:rFonts w:hint="eastAsia" w:ascii="宋体" w:hAnsi="宋体" w:eastAsia="宋体" w:cs="宋体"/>
          <w:color w:val="auto"/>
          <w:kern w:val="0"/>
          <w:sz w:val="24"/>
          <w:highlight w:val="none"/>
        </w:rPr>
        <w:t>双方确认的设计图纸一式</w:t>
      </w:r>
      <w:r>
        <w:rPr>
          <w:rFonts w:hint="eastAsia" w:ascii="宋体" w:hAnsi="宋体" w:cs="宋体"/>
          <w:color w:val="auto"/>
          <w:kern w:val="0"/>
          <w:sz w:val="24"/>
          <w:highlight w:val="none"/>
          <w:u w:val="single"/>
          <w:lang w:val="en-US" w:eastAsia="zh-CN"/>
        </w:rPr>
        <w:t>3</w:t>
      </w:r>
      <w:r>
        <w:rPr>
          <w:rFonts w:hint="eastAsia" w:ascii="宋体" w:hAnsi="宋体" w:eastAsia="宋体" w:cs="宋体"/>
          <w:color w:val="auto"/>
          <w:kern w:val="0"/>
          <w:sz w:val="24"/>
          <w:highlight w:val="none"/>
        </w:rPr>
        <w:t>份，甲方持</w:t>
      </w:r>
      <w:r>
        <w:rPr>
          <w:rFonts w:hint="eastAsia" w:ascii="宋体" w:hAnsi="宋体" w:cs="宋体"/>
          <w:color w:val="auto"/>
          <w:kern w:val="0"/>
          <w:sz w:val="24"/>
          <w:highlight w:val="none"/>
          <w:u w:val="single"/>
          <w:lang w:val="en-US" w:eastAsia="zh-CN"/>
        </w:rPr>
        <w:t>2</w:t>
      </w:r>
      <w:r>
        <w:rPr>
          <w:rFonts w:hint="eastAsia" w:ascii="宋体" w:hAnsi="宋体" w:eastAsia="宋体" w:cs="宋体"/>
          <w:color w:val="auto"/>
          <w:kern w:val="0"/>
          <w:sz w:val="24"/>
          <w:highlight w:val="none"/>
        </w:rPr>
        <w:t>份、乙方持</w:t>
      </w:r>
      <w:r>
        <w:rPr>
          <w:rFonts w:hint="eastAsia" w:ascii="宋体" w:hAnsi="宋体" w:cs="宋体"/>
          <w:color w:val="auto"/>
          <w:kern w:val="0"/>
          <w:sz w:val="24"/>
          <w:highlight w:val="none"/>
          <w:u w:val="single"/>
          <w:lang w:val="en-US" w:eastAsia="zh-CN"/>
        </w:rPr>
        <w:t>1</w:t>
      </w:r>
      <w:r>
        <w:rPr>
          <w:rFonts w:hint="eastAsia" w:ascii="宋体" w:hAnsi="宋体" w:eastAsia="宋体" w:cs="宋体"/>
          <w:color w:val="auto"/>
          <w:kern w:val="0"/>
          <w:sz w:val="24"/>
          <w:highlight w:val="none"/>
        </w:rPr>
        <w:t>份，设计费包含在</w:t>
      </w:r>
      <w:r>
        <w:rPr>
          <w:rFonts w:hint="eastAsia" w:ascii="宋体" w:hAnsi="宋体" w:eastAsia="宋体" w:cs="宋体"/>
          <w:color w:val="auto"/>
          <w:kern w:val="0"/>
          <w:sz w:val="24"/>
          <w:highlight w:val="none"/>
          <w:lang w:val="en-US" w:eastAsia="zh-CN"/>
        </w:rPr>
        <w:t>合同总</w:t>
      </w:r>
      <w:r>
        <w:rPr>
          <w:rFonts w:hint="eastAsia" w:ascii="宋体" w:hAnsi="宋体" w:eastAsia="宋体" w:cs="宋体"/>
          <w:color w:val="auto"/>
          <w:kern w:val="0"/>
          <w:sz w:val="24"/>
          <w:highlight w:val="none"/>
        </w:rPr>
        <w:t>价款内，甲方不再另行支付。</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第三条 甲方义务</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3.1甲方</w:t>
      </w:r>
      <w:r>
        <w:rPr>
          <w:rFonts w:hint="eastAsia" w:ascii="宋体" w:hAnsi="宋体" w:eastAsia="宋体" w:cs="宋体"/>
          <w:color w:val="auto"/>
          <w:kern w:val="0"/>
          <w:sz w:val="24"/>
          <w:szCs w:val="24"/>
          <w:highlight w:val="none"/>
        </w:rPr>
        <w:t>委托</w:t>
      </w:r>
      <w:r>
        <w:rPr>
          <w:rFonts w:hint="eastAsia" w:ascii="宋体" w:hAnsi="宋体" w:eastAsia="宋体" w:cs="宋体"/>
          <w:color w:val="auto"/>
          <w:kern w:val="0"/>
          <w:sz w:val="24"/>
          <w:szCs w:val="24"/>
          <w:highlight w:val="none"/>
          <w:u w:val="none"/>
          <w:lang w:val="en-US" w:eastAsia="zh-CN"/>
        </w:rPr>
        <w:t>广东南方报业传媒集团物业管理有限公司</w:t>
      </w:r>
      <w:r>
        <w:rPr>
          <w:rFonts w:hint="eastAsia" w:ascii="宋体" w:hAnsi="宋体" w:cs="宋体"/>
          <w:color w:val="auto"/>
          <w:kern w:val="0"/>
          <w:sz w:val="24"/>
          <w:szCs w:val="24"/>
          <w:highlight w:val="none"/>
          <w:u w:val="none"/>
          <w:lang w:val="en-US" w:eastAsia="zh-CN"/>
        </w:rPr>
        <w:t>为甲方代表，</w:t>
      </w:r>
      <w:r>
        <w:rPr>
          <w:rFonts w:hint="eastAsia" w:ascii="宋体" w:hAnsi="宋体" w:eastAsia="宋体" w:cs="宋体"/>
          <w:color w:val="auto"/>
          <w:kern w:val="0"/>
          <w:sz w:val="24"/>
          <w:highlight w:val="none"/>
        </w:rPr>
        <w:t>负责合同履行及与乙方接洽，对工程质量、进度进行监督检查，办理施工所涉及的各种申请</w:t>
      </w:r>
      <w:r>
        <w:rPr>
          <w:rFonts w:hint="eastAsia" w:ascii="宋体" w:hAnsi="宋体" w:cs="宋体"/>
          <w:color w:val="auto"/>
          <w:kern w:val="0"/>
          <w:sz w:val="24"/>
          <w:highlight w:val="none"/>
          <w:lang w:eastAsia="zh-CN"/>
        </w:rPr>
        <w:t>，</w:t>
      </w:r>
      <w:r>
        <w:rPr>
          <w:rFonts w:hint="eastAsia" w:ascii="宋体" w:hAnsi="宋体" w:cs="宋体"/>
          <w:color w:val="auto"/>
          <w:kern w:val="0"/>
          <w:sz w:val="24"/>
          <w:szCs w:val="24"/>
          <w:highlight w:val="none"/>
          <w:u w:val="none"/>
          <w:lang w:val="en-US" w:eastAsia="zh-CN"/>
        </w:rPr>
        <w:t>派</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跟进工程事宜。</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3.2开工前</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天，向乙方提供物业管理单位同意施工的文件，并向乙方现场交底，为乙方入场施工创造条件。</w:t>
      </w:r>
    </w:p>
    <w:p>
      <w:pPr>
        <w:widowControl/>
        <w:tabs>
          <w:tab w:val="left" w:pos="36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3.3工程所在的物业管理单位因施工而收取的各项物业管理费用，由甲方承担（出入证除外），乙方协助提供物管所需相关资料。</w:t>
      </w:r>
    </w:p>
    <w:p>
      <w:pPr>
        <w:widowControl/>
        <w:tabs>
          <w:tab w:val="left" w:pos="36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3.4甲方提供施工期间的水源、电源。</w:t>
      </w:r>
    </w:p>
    <w:p>
      <w:pPr>
        <w:widowControl/>
        <w:tabs>
          <w:tab w:val="left" w:pos="360"/>
        </w:tabs>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r>
        <w:rPr>
          <w:rFonts w:ascii="宋体" w:hAnsi="宋体" w:eastAsia="宋体" w:cs="宋体"/>
          <w:color w:val="auto"/>
          <w:kern w:val="0"/>
          <w:sz w:val="24"/>
          <w:highlight w:val="none"/>
        </w:rPr>
        <w:t>5</w:t>
      </w:r>
      <w:r>
        <w:rPr>
          <w:rFonts w:hint="eastAsia" w:ascii="宋体" w:hAnsi="宋体" w:eastAsia="宋体" w:cs="宋体"/>
          <w:color w:val="auto"/>
          <w:kern w:val="0"/>
          <w:sz w:val="24"/>
          <w:highlight w:val="none"/>
        </w:rPr>
        <w:t>参与对工程质量、施工进度的监督。</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xml:space="preserve">第四条 </w:t>
      </w:r>
      <w:r>
        <w:rPr>
          <w:rFonts w:hint="eastAsia" w:ascii="宋体" w:hAnsi="宋体" w:cs="宋体"/>
          <w:b/>
          <w:color w:val="auto"/>
          <w:kern w:val="0"/>
          <w:sz w:val="24"/>
          <w:highlight w:val="none"/>
          <w:lang w:val="en-US" w:eastAsia="zh-CN"/>
        </w:rPr>
        <w:t xml:space="preserve"> </w:t>
      </w:r>
      <w:r>
        <w:rPr>
          <w:rFonts w:hint="eastAsia" w:ascii="宋体" w:hAnsi="宋体" w:eastAsia="宋体" w:cs="宋体"/>
          <w:b/>
          <w:color w:val="auto"/>
          <w:kern w:val="0"/>
          <w:sz w:val="24"/>
          <w:highlight w:val="none"/>
        </w:rPr>
        <w:t>乙方义务</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4.1乙方委派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（身份证号：</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，联系电话：</w:t>
      </w:r>
      <w:r>
        <w:rPr>
          <w:rFonts w:hint="eastAsia" w:ascii="宋体" w:hAnsi="宋体" w:eastAsia="宋体" w:cs="宋体"/>
          <w:color w:val="auto"/>
          <w:kern w:val="0"/>
          <w:sz w:val="24"/>
          <w:highlight w:val="none"/>
          <w:u w:val="single"/>
        </w:rPr>
        <w:t xml:space="preserve"> </w:t>
      </w:r>
      <w:r>
        <w:rPr>
          <w:rFonts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）为乙方代表，负责履行合同，提供设计图纸，并按设计要求组织施工，保质、保量的按期完成施工任务，解决合同中规定由乙方负责的各项事宜。</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w:t>
      </w:r>
      <w:r>
        <w:rPr>
          <w:rFonts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严格执行法律法规及规范性文件关于设计、</w:t>
      </w:r>
      <w:r>
        <w:rPr>
          <w:rFonts w:hint="eastAsia" w:ascii="宋体" w:hAnsi="宋体" w:cs="宋体"/>
          <w:color w:val="auto"/>
          <w:kern w:val="0"/>
          <w:sz w:val="24"/>
          <w:highlight w:val="none"/>
          <w:lang w:eastAsia="zh-CN"/>
        </w:rPr>
        <w:t>暖通</w:t>
      </w:r>
      <w:r>
        <w:rPr>
          <w:rFonts w:hint="eastAsia" w:ascii="宋体" w:hAnsi="宋体" w:cs="宋体"/>
          <w:color w:val="auto"/>
          <w:kern w:val="0"/>
          <w:sz w:val="24"/>
          <w:highlight w:val="none"/>
          <w:lang w:val="en-US" w:eastAsia="zh-CN"/>
        </w:rPr>
        <w:t>技术</w:t>
      </w:r>
      <w:r>
        <w:rPr>
          <w:rFonts w:hint="eastAsia" w:ascii="宋体" w:hAnsi="宋体" w:eastAsia="宋体" w:cs="宋体"/>
          <w:color w:val="auto"/>
          <w:kern w:val="0"/>
          <w:sz w:val="24"/>
          <w:highlight w:val="none"/>
        </w:rPr>
        <w:t>的规定，保证工程质量。</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4.3</w:t>
      </w:r>
      <w:r>
        <w:rPr>
          <w:rFonts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根据设计</w:t>
      </w:r>
      <w:r>
        <w:rPr>
          <w:rFonts w:hint="eastAsia" w:ascii="宋体" w:hAnsi="宋体" w:cs="宋体"/>
          <w:color w:val="auto"/>
          <w:kern w:val="0"/>
          <w:sz w:val="24"/>
          <w:highlight w:val="none"/>
          <w:lang w:val="en-US" w:eastAsia="zh-CN"/>
        </w:rPr>
        <w:t>和施工</w:t>
      </w:r>
      <w:r>
        <w:rPr>
          <w:rFonts w:hint="eastAsia" w:ascii="宋体" w:hAnsi="宋体" w:eastAsia="宋体" w:cs="宋体"/>
          <w:color w:val="auto"/>
          <w:kern w:val="0"/>
          <w:sz w:val="24"/>
          <w:highlight w:val="none"/>
        </w:rPr>
        <w:t>方案向甲方提供工程费用明细和工程预算表，并在具体采购行为发生时提供所采购商品的合格证明。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 xml:space="preserve">.4 </w:t>
      </w:r>
      <w:r>
        <w:rPr>
          <w:rFonts w:hint="eastAsia" w:ascii="宋体" w:hAnsi="宋体" w:eastAsia="宋体" w:cs="宋体"/>
          <w:color w:val="auto"/>
          <w:kern w:val="0"/>
          <w:sz w:val="24"/>
          <w:highlight w:val="none"/>
        </w:rPr>
        <w:t>在甲方未正式提供有关部门的审批文件之前，禁止拆改承重结构，严禁随意拆改原建筑结构及各种设备管线等，否则应承担相应责任。</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5</w:t>
      </w:r>
      <w:r>
        <w:rPr>
          <w:rFonts w:hint="eastAsia" w:ascii="宋体" w:hAnsi="宋体" w:eastAsia="宋体" w:cs="宋体"/>
          <w:color w:val="auto"/>
          <w:kern w:val="0"/>
          <w:sz w:val="24"/>
          <w:highlight w:val="none"/>
        </w:rPr>
        <w:t>严格执行国家或本市有关部门对施工现场管理规定，处理好施工带来的扰民问题及周围单位（居民）的关系，并注意环境保护。</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6</w:t>
      </w:r>
      <w:r>
        <w:rPr>
          <w:rFonts w:hint="eastAsia" w:ascii="宋体" w:hAnsi="宋体" w:eastAsia="宋体" w:cs="宋体"/>
          <w:color w:val="auto"/>
          <w:kern w:val="0"/>
          <w:sz w:val="24"/>
          <w:highlight w:val="none"/>
        </w:rPr>
        <w:t>保护建筑内与施工有关的各种设施，保证施工场所内上、下管道畅通。施工现场的每天垃圾清扫，工程完工后负责清扫施工现场。符合工程验收条件。</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7</w:t>
      </w:r>
      <w:r>
        <w:rPr>
          <w:rFonts w:hint="eastAsia" w:ascii="宋体" w:hAnsi="宋体" w:eastAsia="宋体" w:cs="宋体"/>
          <w:color w:val="auto"/>
          <w:kern w:val="0"/>
          <w:sz w:val="24"/>
          <w:highlight w:val="none"/>
        </w:rPr>
        <w:t>因乙方在施工中违反法律法规及规范性文件或物业管理规定而引起的罚款及赔偿由乙方负责承担。</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8</w:t>
      </w:r>
      <w:r>
        <w:rPr>
          <w:rFonts w:hint="eastAsia" w:ascii="宋体" w:hAnsi="宋体" w:eastAsia="宋体" w:cs="宋体"/>
          <w:color w:val="auto"/>
          <w:kern w:val="0"/>
          <w:sz w:val="24"/>
          <w:highlight w:val="none"/>
        </w:rPr>
        <w:t>负责所有施工范围内所有材料的卸装和搬运。</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9</w:t>
      </w:r>
      <w:r>
        <w:rPr>
          <w:rFonts w:hint="eastAsia" w:ascii="宋体" w:hAnsi="宋体" w:eastAsia="宋体" w:cs="宋体"/>
          <w:color w:val="auto"/>
          <w:kern w:val="0"/>
          <w:sz w:val="24"/>
          <w:highlight w:val="none"/>
        </w:rPr>
        <w:t>服从和配合甲方的领导和管理，做好安全保卫工作，加强施工人员的安全教育管理，并为现场施工人员购买保险，负责因项目施工导致的</w:t>
      </w:r>
      <w:r>
        <w:rPr>
          <w:rFonts w:hint="eastAsia" w:ascii="宋体" w:hAnsi="宋体" w:cs="宋体"/>
          <w:color w:val="auto"/>
          <w:kern w:val="0"/>
          <w:sz w:val="24"/>
          <w:highlight w:val="none"/>
          <w:lang w:val="en-US" w:eastAsia="zh-CN"/>
        </w:rPr>
        <w:t>甲方、乙方及第三方</w:t>
      </w:r>
      <w:r>
        <w:rPr>
          <w:rFonts w:hint="eastAsia" w:ascii="宋体" w:hAnsi="宋体" w:eastAsia="宋体" w:cs="宋体"/>
          <w:color w:val="auto"/>
          <w:kern w:val="0"/>
          <w:sz w:val="24"/>
          <w:highlight w:val="none"/>
        </w:rPr>
        <w:t>人员伤亡</w:t>
      </w:r>
      <w:r>
        <w:rPr>
          <w:rFonts w:hint="eastAsia" w:ascii="宋体" w:hAnsi="宋体" w:cs="宋体"/>
          <w:color w:val="auto"/>
          <w:kern w:val="0"/>
          <w:sz w:val="24"/>
          <w:highlight w:val="none"/>
          <w:lang w:val="en-US" w:eastAsia="zh-CN"/>
        </w:rPr>
        <w:t>或财产损失</w:t>
      </w:r>
      <w:r>
        <w:rPr>
          <w:rFonts w:hint="eastAsia" w:ascii="宋体" w:hAnsi="宋体" w:eastAsia="宋体" w:cs="宋体"/>
          <w:color w:val="auto"/>
          <w:kern w:val="0"/>
          <w:sz w:val="24"/>
          <w:highlight w:val="none"/>
        </w:rPr>
        <w:t>的赔偿。</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10</w:t>
      </w:r>
      <w:r>
        <w:rPr>
          <w:rFonts w:hint="eastAsia" w:ascii="宋体" w:hAnsi="宋体" w:eastAsia="宋体" w:cs="宋体"/>
          <w:color w:val="auto"/>
          <w:kern w:val="0"/>
          <w:sz w:val="24"/>
          <w:highlight w:val="none"/>
        </w:rPr>
        <w:t>严禁浪费材料，如有发生甲方有权作出处理，并要求乙方按照市场价格赔偿所浪费材料的价款。</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4.1</w:t>
      </w:r>
      <w:r>
        <w:rPr>
          <w:rFonts w:ascii="宋体" w:hAnsi="宋体" w:eastAsia="宋体" w:cs="宋体"/>
          <w:color w:val="auto"/>
          <w:kern w:val="0"/>
          <w:sz w:val="24"/>
          <w:highlight w:val="none"/>
        </w:rPr>
        <w:t>1</w:t>
      </w:r>
      <w:r>
        <w:rPr>
          <w:rFonts w:hint="eastAsia" w:ascii="宋体" w:hAnsi="宋体" w:eastAsia="宋体" w:cs="宋体"/>
          <w:color w:val="auto"/>
          <w:kern w:val="0"/>
          <w:sz w:val="24"/>
          <w:highlight w:val="none"/>
        </w:rPr>
        <w:t>严格按照双方确认的图纸施工，除非因履行合理注意义务或审慎义务，擅自施工造成返工或甲方损失的，由乙方承担。</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4.1</w:t>
      </w:r>
      <w:r>
        <w:rPr>
          <w:rFonts w:ascii="宋体" w:hAnsi="宋体" w:eastAsia="宋体" w:cs="宋体"/>
          <w:color w:val="auto"/>
          <w:kern w:val="0"/>
          <w:sz w:val="24"/>
          <w:highlight w:val="none"/>
        </w:rPr>
        <w:t>2</w:t>
      </w:r>
      <w:r>
        <w:rPr>
          <w:rFonts w:hint="eastAsia" w:ascii="宋体" w:hAnsi="宋体" w:eastAsia="宋体" w:cs="宋体"/>
          <w:color w:val="auto"/>
          <w:kern w:val="0"/>
          <w:sz w:val="24"/>
          <w:highlight w:val="none"/>
        </w:rPr>
        <w:t>不得寻衅滋事，恶意停工、窝工，准时发放员工劳动报酬，如有发生无论是否造成甲方损失，甲方均有权要求乙方按照合同总价款的2</w:t>
      </w:r>
      <w:r>
        <w:rPr>
          <w:rFonts w:ascii="宋体" w:hAnsi="宋体" w:eastAsia="宋体" w:cs="宋体"/>
          <w:color w:val="auto"/>
          <w:kern w:val="0"/>
          <w:sz w:val="24"/>
          <w:highlight w:val="none"/>
        </w:rPr>
        <w:t>0%</w:t>
      </w:r>
      <w:r>
        <w:rPr>
          <w:rFonts w:hint="eastAsia" w:ascii="宋体" w:hAnsi="宋体" w:eastAsia="宋体" w:cs="宋体"/>
          <w:color w:val="auto"/>
          <w:kern w:val="0"/>
          <w:sz w:val="24"/>
          <w:highlight w:val="none"/>
        </w:rPr>
        <w:t>承担违约责任。</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4.1</w:t>
      </w:r>
      <w:r>
        <w:rPr>
          <w:rFonts w:ascii="宋体" w:hAnsi="宋体" w:eastAsia="宋体" w:cs="宋体"/>
          <w:color w:val="auto"/>
          <w:kern w:val="0"/>
          <w:sz w:val="24"/>
          <w:highlight w:val="none"/>
        </w:rPr>
        <w:t>3</w:t>
      </w:r>
      <w:r>
        <w:rPr>
          <w:rFonts w:hint="eastAsia" w:ascii="宋体" w:hAnsi="宋体" w:eastAsia="宋体" w:cs="宋体"/>
          <w:color w:val="auto"/>
          <w:kern w:val="0"/>
          <w:sz w:val="24"/>
          <w:highlight w:val="none"/>
        </w:rPr>
        <w:t>乙方负责提供施工及报送相关单位的全部设计图纸。乙方提供的设计应符合大众审美，尊重民族情感，不违反公序良俗原则，不存在侵犯第三方知识产权或其他合法权益的潜在法律风险。设计图纸一经用于施工，其所有的权利即归属于甲方，乙方不得在任何时候向甲方主张设计图纸的任何权益，也不得将提供于甲方的设计图纸用于第三方；如设计过程中需用到甲方</w:t>
      </w:r>
      <w:r>
        <w:rPr>
          <w:rFonts w:ascii="宋体" w:hAnsi="宋体" w:eastAsia="宋体" w:cs="宋体"/>
          <w:color w:val="auto"/>
          <w:kern w:val="0"/>
          <w:sz w:val="24"/>
          <w:highlight w:val="none"/>
        </w:rPr>
        <w:t>logo</w:t>
      </w:r>
      <w:r>
        <w:rPr>
          <w:rFonts w:hint="eastAsia" w:ascii="宋体" w:hAnsi="宋体" w:eastAsia="宋体" w:cs="宋体"/>
          <w:color w:val="auto"/>
          <w:kern w:val="0"/>
          <w:sz w:val="24"/>
          <w:highlight w:val="none"/>
        </w:rPr>
        <w:t>，应当在项目验收合格后，将记载甲方logo的内容删除或销毁，不得用于其他用途。</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 xml:space="preserve">.14 </w:t>
      </w:r>
      <w:r>
        <w:rPr>
          <w:rFonts w:hint="eastAsia" w:ascii="宋体" w:hAnsi="宋体" w:eastAsia="宋体" w:cs="宋体"/>
          <w:color w:val="auto"/>
          <w:kern w:val="0"/>
          <w:sz w:val="24"/>
          <w:highlight w:val="none"/>
        </w:rPr>
        <w:t>分别于水电</w:t>
      </w:r>
      <w:r>
        <w:rPr>
          <w:rFonts w:ascii="宋体" w:hAnsi="宋体" w:eastAsia="宋体" w:cs="宋体"/>
          <w:color w:val="auto"/>
          <w:kern w:val="0"/>
          <w:sz w:val="24"/>
          <w:highlight w:val="none"/>
        </w:rPr>
        <w:t>封槽前</w:t>
      </w:r>
      <w:r>
        <w:rPr>
          <w:rFonts w:hint="eastAsia" w:ascii="宋体" w:hAnsi="宋体" w:eastAsia="宋体" w:cs="宋体"/>
          <w:color w:val="auto"/>
          <w:kern w:val="0"/>
          <w:sz w:val="24"/>
          <w:highlight w:val="none"/>
        </w:rPr>
        <w:t>、</w:t>
      </w:r>
      <w:r>
        <w:rPr>
          <w:rFonts w:ascii="宋体" w:hAnsi="宋体" w:eastAsia="宋体" w:cs="宋体"/>
          <w:color w:val="auto"/>
          <w:kern w:val="0"/>
          <w:sz w:val="24"/>
          <w:highlight w:val="none"/>
        </w:rPr>
        <w:t>板材进入到施工现场之后</w:t>
      </w:r>
      <w:r>
        <w:rPr>
          <w:rFonts w:hint="eastAsia" w:ascii="宋体" w:hAnsi="宋体" w:eastAsia="宋体" w:cs="宋体"/>
          <w:color w:val="auto"/>
          <w:kern w:val="0"/>
          <w:sz w:val="24"/>
          <w:highlight w:val="none"/>
        </w:rPr>
        <w:t>、</w:t>
      </w:r>
      <w:r>
        <w:rPr>
          <w:rFonts w:ascii="宋体" w:hAnsi="宋体" w:eastAsia="宋体" w:cs="宋体"/>
          <w:color w:val="auto"/>
          <w:kern w:val="0"/>
          <w:sz w:val="24"/>
          <w:highlight w:val="none"/>
        </w:rPr>
        <w:t>木地板铺贴</w:t>
      </w:r>
      <w:r>
        <w:rPr>
          <w:rFonts w:hint="eastAsia" w:ascii="宋体" w:hAnsi="宋体" w:eastAsia="宋体" w:cs="宋体"/>
          <w:color w:val="auto"/>
          <w:kern w:val="0"/>
          <w:sz w:val="24"/>
          <w:highlight w:val="none"/>
        </w:rPr>
        <w:t>（如有）</w:t>
      </w:r>
      <w:r>
        <w:rPr>
          <w:rFonts w:ascii="宋体" w:hAnsi="宋体" w:eastAsia="宋体" w:cs="宋体"/>
          <w:color w:val="auto"/>
          <w:kern w:val="0"/>
          <w:sz w:val="24"/>
          <w:highlight w:val="none"/>
        </w:rPr>
        <w:t>之前</w:t>
      </w:r>
      <w:r>
        <w:rPr>
          <w:rFonts w:hint="eastAsia" w:ascii="宋体" w:hAnsi="宋体" w:eastAsia="宋体" w:cs="宋体"/>
          <w:color w:val="auto"/>
          <w:kern w:val="0"/>
          <w:sz w:val="24"/>
          <w:highlight w:val="none"/>
        </w:rPr>
        <w:t>分别</w:t>
      </w:r>
      <w:r>
        <w:rPr>
          <w:rFonts w:ascii="宋体" w:hAnsi="宋体" w:eastAsia="宋体" w:cs="宋体"/>
          <w:color w:val="auto"/>
          <w:kern w:val="0"/>
          <w:sz w:val="24"/>
          <w:highlight w:val="none"/>
        </w:rPr>
        <w:t>做防白蚁的处理工作。</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 xml:space="preserve">.15 </w:t>
      </w:r>
      <w:r>
        <w:rPr>
          <w:rFonts w:hint="eastAsia" w:ascii="宋体" w:hAnsi="宋体" w:eastAsia="宋体" w:cs="宋体"/>
          <w:color w:val="auto"/>
          <w:kern w:val="0"/>
          <w:sz w:val="24"/>
          <w:highlight w:val="none"/>
        </w:rPr>
        <w:t>铺设排污管道，项目工程防水、漏水、渗水处理。</w:t>
      </w:r>
    </w:p>
    <w:p>
      <w:pPr>
        <w:widowControl/>
        <w:spacing w:line="360" w:lineRule="auto"/>
        <w:ind w:firstLine="480" w:firstLineChars="200"/>
        <w:rPr>
          <w:rFonts w:ascii="宋体" w:hAnsi="宋体" w:eastAsia="宋体" w:cs="宋体"/>
          <w:color w:val="auto"/>
          <w:kern w:val="0"/>
          <w:sz w:val="24"/>
          <w:highlight w:val="none"/>
        </w:rPr>
      </w:pPr>
      <w:r>
        <w:rPr>
          <w:rFonts w:ascii="宋体" w:hAnsi="宋体" w:eastAsia="宋体" w:cs="宋体"/>
          <w:color w:val="auto"/>
          <w:kern w:val="0"/>
          <w:sz w:val="24"/>
          <w:highlight w:val="none"/>
        </w:rPr>
        <w:t>4.1</w:t>
      </w:r>
      <w:r>
        <w:rPr>
          <w:rFonts w:hint="eastAsia" w:ascii="宋体" w:hAnsi="宋体" w:cs="宋体"/>
          <w:color w:val="auto"/>
          <w:kern w:val="0"/>
          <w:sz w:val="24"/>
          <w:highlight w:val="none"/>
          <w:lang w:val="en-US" w:eastAsia="zh-CN"/>
        </w:rPr>
        <w:t>6</w:t>
      </w:r>
      <w:r>
        <w:rPr>
          <w:rFonts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施工过程中，使用环保材料。</w:t>
      </w:r>
    </w:p>
    <w:p>
      <w:pPr>
        <w:widowControl/>
        <w:spacing w:line="360" w:lineRule="auto"/>
        <w:ind w:firstLine="480" w:firstLineChars="200"/>
        <w:rPr>
          <w:rFonts w:hint="eastAsia" w:ascii="宋体" w:hAnsi="宋体" w:eastAsia="宋体" w:cs="宋体"/>
          <w:color w:val="auto"/>
          <w:kern w:val="0"/>
          <w:sz w:val="24"/>
          <w:highlight w:val="none"/>
        </w:rPr>
      </w:pPr>
      <w:r>
        <w:rPr>
          <w:rFonts w:ascii="宋体" w:hAnsi="宋体" w:eastAsia="宋体" w:cs="宋体"/>
          <w:color w:val="auto"/>
          <w:kern w:val="0"/>
          <w:sz w:val="24"/>
          <w:highlight w:val="none"/>
        </w:rPr>
        <w:t>4.1</w:t>
      </w:r>
      <w:r>
        <w:rPr>
          <w:rFonts w:hint="eastAsia" w:ascii="宋体" w:hAnsi="宋体" w:cs="宋体"/>
          <w:color w:val="auto"/>
          <w:kern w:val="0"/>
          <w:sz w:val="24"/>
          <w:highlight w:val="none"/>
          <w:lang w:val="en-US" w:eastAsia="zh-CN"/>
        </w:rPr>
        <w:t>7</w:t>
      </w:r>
      <w:r>
        <w:rPr>
          <w:rFonts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承诺履行合理注意义务和审慎义务。</w:t>
      </w:r>
    </w:p>
    <w:p>
      <w:pPr>
        <w:widowControl/>
        <w:numPr>
          <w:ilvl w:val="0"/>
          <w:numId w:val="15"/>
        </w:numPr>
        <w:spacing w:line="360" w:lineRule="auto"/>
        <w:rPr>
          <w:rFonts w:hint="eastAsia" w:ascii="宋体" w:hAnsi="宋体" w:eastAsia="宋体" w:cs="宋体"/>
          <w:b/>
          <w:color w:val="auto"/>
          <w:kern w:val="0"/>
          <w:sz w:val="24"/>
          <w:highlight w:val="none"/>
        </w:rPr>
      </w:pPr>
      <w:r>
        <w:rPr>
          <w:rFonts w:hint="eastAsia" w:ascii="宋体" w:hAnsi="宋体" w:cs="宋体"/>
          <w:b/>
          <w:color w:val="auto"/>
          <w:kern w:val="0"/>
          <w:sz w:val="24"/>
          <w:highlight w:val="none"/>
          <w:lang w:val="en-US" w:eastAsia="zh-CN"/>
        </w:rPr>
        <w:t xml:space="preserve"> </w:t>
      </w:r>
      <w:r>
        <w:rPr>
          <w:rFonts w:ascii="宋体" w:hAnsi="宋体" w:eastAsia="宋体" w:cs="宋体"/>
          <w:b/>
          <w:color w:val="auto"/>
          <w:kern w:val="0"/>
          <w:sz w:val="24"/>
          <w:highlight w:val="none"/>
        </w:rPr>
        <w:t xml:space="preserve"> </w:t>
      </w:r>
      <w:r>
        <w:rPr>
          <w:rFonts w:hint="eastAsia" w:ascii="宋体" w:hAnsi="宋体" w:eastAsia="宋体" w:cs="宋体"/>
          <w:b/>
          <w:color w:val="auto"/>
          <w:kern w:val="0"/>
          <w:sz w:val="24"/>
          <w:highlight w:val="none"/>
        </w:rPr>
        <w:t>施工材料</w:t>
      </w:r>
    </w:p>
    <w:p>
      <w:pPr>
        <w:widowControl/>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 xml:space="preserve">     </w:t>
      </w:r>
      <w:r>
        <w:rPr>
          <w:rFonts w:hint="eastAsia" w:ascii="宋体" w:hAnsi="宋体" w:eastAsia="宋体" w:cs="宋体"/>
          <w:bCs/>
          <w:color w:val="auto"/>
          <w:kern w:val="0"/>
          <w:sz w:val="24"/>
          <w:highlight w:val="none"/>
        </w:rPr>
        <w:t>5.1</w:t>
      </w:r>
      <w:r>
        <w:rPr>
          <w:rFonts w:ascii="宋体" w:hAnsi="宋体" w:eastAsia="宋体" w:cs="宋体"/>
          <w:bCs/>
          <w:color w:val="auto"/>
          <w:kern w:val="0"/>
          <w:sz w:val="24"/>
          <w:highlight w:val="none"/>
        </w:rPr>
        <w:t xml:space="preserve"> </w:t>
      </w:r>
      <w:r>
        <w:rPr>
          <w:rFonts w:hint="eastAsia" w:ascii="宋体" w:hAnsi="宋体" w:eastAsia="宋体" w:cs="宋体"/>
          <w:bCs/>
          <w:color w:val="auto"/>
          <w:kern w:val="0"/>
          <w:sz w:val="24"/>
          <w:highlight w:val="none"/>
        </w:rPr>
        <w:t>所有材料由乙</w:t>
      </w:r>
      <w:r>
        <w:rPr>
          <w:rFonts w:hint="eastAsia" w:ascii="宋体" w:hAnsi="宋体" w:eastAsia="宋体" w:cs="宋体"/>
          <w:color w:val="auto"/>
          <w:kern w:val="0"/>
          <w:sz w:val="24"/>
          <w:highlight w:val="none"/>
        </w:rPr>
        <w:t>方提供,乙方应当将所购买材料的清单（包括品牌、规格、型号、数量、用途、价格）分别提供给甲方以及甲方指定的第三方存档，乙方提供的材料清单内应当加盖乙方公章。</w:t>
      </w:r>
    </w:p>
    <w:p>
      <w:pPr>
        <w:widowControl/>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5.2</w:t>
      </w:r>
      <w:r>
        <w:rPr>
          <w:rFonts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所有施工工具、保护措施等由乙方提供,施工及现场办公的临电，临水设施，电梯保护（如有），现场灭火器放置等工作由乙方负责。</w:t>
      </w:r>
    </w:p>
    <w:p>
      <w:pPr>
        <w:widowControl/>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5.3</w:t>
      </w:r>
      <w:r>
        <w:rPr>
          <w:rFonts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乙方购买的材料应按照图纸要求执行，并符合实际施工需要，不得过度采购,以免产生浪费。</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第六条  质量要求</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6.1该工程质量（含环保要求）严格以施工图纸、做法说明、设计变更为依据。</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6.2若双方未另行约定该工程质量标准，该工程质量均按国家相关标准执行。</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6.3双方约定：</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6.3.1施工过程中双方对设计或工程质量发生争议，申请由专门的鉴定机构对设计或工程质量予以鉴定，鉴定所需费用采取“谁提出谁垫付”的原则，经认证，设计或工程质量不符合合同约定标准的，鉴定所需费用由乙方承担；设计或工程质量符合合同约定标准的，鉴定所需费用由甲方承担。</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6.3.2木材、石材等天然物品，允许有自然色差与纹理差别，但乙方有义务提醒甲方，并征得甲方同意。</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6.4乙方应认真按照约定质量标准和设计要求进行施工，为甲方的检查、检验提供便利条件。若工程质量达不到约定标准，乙方应按约定标准返工整改，并承担由于自身原因导致的返工整改费用。</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6.5该工程的设计和施工质量由乙方负责。</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xml:space="preserve">第七条 </w:t>
      </w:r>
      <w:r>
        <w:rPr>
          <w:rFonts w:ascii="宋体" w:hAnsi="宋体" w:eastAsia="宋体" w:cs="宋体"/>
          <w:b/>
          <w:color w:val="auto"/>
          <w:kern w:val="0"/>
          <w:sz w:val="24"/>
          <w:highlight w:val="none"/>
        </w:rPr>
        <w:t xml:space="preserve"> </w:t>
      </w:r>
      <w:r>
        <w:rPr>
          <w:rFonts w:hint="eastAsia" w:ascii="宋体" w:hAnsi="宋体" w:eastAsia="宋体" w:cs="宋体"/>
          <w:b/>
          <w:color w:val="auto"/>
          <w:kern w:val="0"/>
          <w:sz w:val="24"/>
          <w:highlight w:val="none"/>
        </w:rPr>
        <w:t>工程变更</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7.1为确保甲方工程质量、工期，合同签订后</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rPr>
        <w:t>乙方在施工中不得无故变更施工图纸、增加工程费用</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rPr>
        <w:t>工程项目或施工内容如需变更的，乙方应当以书面形式提出变更事由，经甲方同意后，另行签署书面协议，同时调整相关工期，但合同总价款不变。</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7.2工程开工后，在某分项项目未施工前，乙方应接受甲方提出的合理变更要求。</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第八条  工期延误</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8.1对以下原因造成的竣工日期延误，经甲方确认，工期相应顺延：</w:t>
      </w:r>
    </w:p>
    <w:p>
      <w:pPr>
        <w:widowControl/>
        <w:spacing w:line="360" w:lineRule="auto"/>
        <w:ind w:firstLine="480" w:firstLineChars="200"/>
        <w:rPr>
          <w:rFonts w:hint="eastAsia" w:ascii="宋体" w:hAnsi="宋体" w:eastAsia="宋体" w:cs="宋体"/>
          <w:color w:val="auto"/>
          <w:kern w:val="0"/>
          <w:sz w:val="24"/>
          <w:highlight w:val="none"/>
        </w:rPr>
      </w:pPr>
      <w:r>
        <w:rPr>
          <w:rFonts w:ascii="宋体" w:hAnsi="宋体" w:eastAsia="宋体" w:cs="宋体"/>
          <w:color w:val="auto"/>
          <w:kern w:val="0"/>
          <w:sz w:val="24"/>
          <w:highlight w:val="none"/>
        </w:rPr>
        <w:t xml:space="preserve">8.1.1 </w:t>
      </w:r>
      <w:r>
        <w:rPr>
          <w:rFonts w:hint="eastAsia" w:ascii="宋体" w:hAnsi="宋体" w:eastAsia="宋体" w:cs="宋体"/>
          <w:color w:val="auto"/>
          <w:kern w:val="0"/>
          <w:sz w:val="24"/>
          <w:highlight w:val="none"/>
        </w:rPr>
        <w:t>工程量或设计变更；</w:t>
      </w:r>
    </w:p>
    <w:p>
      <w:pPr>
        <w:widowControl/>
        <w:spacing w:line="360" w:lineRule="auto"/>
        <w:ind w:firstLine="480" w:firstLineChars="200"/>
        <w:rPr>
          <w:rFonts w:hint="eastAsia" w:ascii="宋体" w:hAnsi="宋体" w:eastAsia="宋体" w:cs="宋体"/>
          <w:color w:val="auto"/>
          <w:kern w:val="0"/>
          <w:sz w:val="24"/>
          <w:highlight w:val="none"/>
        </w:rPr>
      </w:pPr>
      <w:r>
        <w:rPr>
          <w:rFonts w:ascii="宋体" w:hAnsi="宋体" w:eastAsia="宋体" w:cs="宋体"/>
          <w:color w:val="auto"/>
          <w:kern w:val="0"/>
          <w:sz w:val="24"/>
          <w:highlight w:val="none"/>
        </w:rPr>
        <w:t xml:space="preserve">8.1.2 </w:t>
      </w:r>
      <w:r>
        <w:rPr>
          <w:rFonts w:hint="eastAsia" w:ascii="宋体" w:hAnsi="宋体" w:eastAsia="宋体" w:cs="宋体"/>
          <w:color w:val="auto"/>
          <w:kern w:val="0"/>
          <w:sz w:val="24"/>
          <w:highlight w:val="none"/>
        </w:rPr>
        <w:t>不可抗力；</w:t>
      </w:r>
    </w:p>
    <w:p>
      <w:pPr>
        <w:widowControl/>
        <w:spacing w:line="360" w:lineRule="auto"/>
        <w:ind w:firstLine="480" w:firstLineChars="200"/>
        <w:rPr>
          <w:rFonts w:hint="eastAsia" w:ascii="宋体" w:hAnsi="宋体" w:eastAsia="宋体" w:cs="宋体"/>
          <w:color w:val="auto"/>
          <w:kern w:val="0"/>
          <w:sz w:val="24"/>
          <w:highlight w:val="none"/>
        </w:rPr>
      </w:pPr>
      <w:r>
        <w:rPr>
          <w:rFonts w:ascii="宋体" w:hAnsi="宋体" w:eastAsia="宋体" w:cs="宋体"/>
          <w:color w:val="auto"/>
          <w:kern w:val="0"/>
          <w:sz w:val="24"/>
          <w:highlight w:val="none"/>
        </w:rPr>
        <w:t xml:space="preserve">8.1.3 </w:t>
      </w:r>
      <w:r>
        <w:rPr>
          <w:rFonts w:hint="eastAsia" w:ascii="宋体" w:hAnsi="宋体" w:eastAsia="宋体" w:cs="宋体"/>
          <w:color w:val="auto"/>
          <w:kern w:val="0"/>
          <w:sz w:val="24"/>
          <w:highlight w:val="none"/>
        </w:rPr>
        <w:t>甲方未按时参加阶段验收而造成的停工；</w:t>
      </w:r>
    </w:p>
    <w:p>
      <w:pPr>
        <w:widowControl/>
        <w:spacing w:line="360" w:lineRule="auto"/>
        <w:ind w:firstLine="480" w:firstLineChars="200"/>
        <w:rPr>
          <w:rFonts w:hint="eastAsia" w:ascii="宋体" w:hAnsi="宋体" w:eastAsia="宋体" w:cs="宋体"/>
          <w:color w:val="auto"/>
          <w:kern w:val="0"/>
          <w:sz w:val="24"/>
          <w:highlight w:val="none"/>
        </w:rPr>
      </w:pPr>
      <w:r>
        <w:rPr>
          <w:rFonts w:ascii="宋体" w:hAnsi="宋体" w:eastAsia="宋体" w:cs="宋体"/>
          <w:color w:val="auto"/>
          <w:kern w:val="0"/>
          <w:sz w:val="24"/>
          <w:highlight w:val="none"/>
        </w:rPr>
        <w:t xml:space="preserve">8.1.4 </w:t>
      </w:r>
      <w:r>
        <w:rPr>
          <w:rFonts w:hint="eastAsia" w:ascii="宋体" w:hAnsi="宋体" w:eastAsia="宋体" w:cs="宋体"/>
          <w:color w:val="auto"/>
          <w:kern w:val="0"/>
          <w:sz w:val="24"/>
          <w:highlight w:val="none"/>
        </w:rPr>
        <w:t>甲方书面同意工期顺延等其它情况。</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8.2</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乙方不得因甲方未按合同约定付款而延长工期、停工、窝工。</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w:t>
      </w:r>
      <w:r>
        <w:rPr>
          <w:rFonts w:hint="eastAsia" w:ascii="宋体" w:hAnsi="宋体" w:cs="宋体"/>
          <w:color w:val="auto"/>
          <w:kern w:val="0"/>
          <w:sz w:val="24"/>
          <w:highlight w:val="none"/>
          <w:lang w:val="en-US" w:eastAsia="zh-CN"/>
        </w:rPr>
        <w:t xml:space="preserve">3 </w:t>
      </w:r>
      <w:r>
        <w:rPr>
          <w:rFonts w:hint="eastAsia" w:ascii="宋体" w:hAnsi="宋体" w:eastAsia="宋体" w:cs="宋体"/>
          <w:color w:val="auto"/>
          <w:kern w:val="0"/>
          <w:sz w:val="24"/>
          <w:highlight w:val="none"/>
        </w:rPr>
        <w:t>因乙方原因造成工程质量存在问题的，工期不得顺延，并应对返工造成的材料浪费向甲方进行赔偿。</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xml:space="preserve">第九条  </w:t>
      </w:r>
      <w:r>
        <w:rPr>
          <w:rFonts w:hint="eastAsia" w:ascii="宋体" w:hAnsi="宋体" w:eastAsia="宋体" w:cs="宋体"/>
          <w:b/>
          <w:color w:val="auto"/>
          <w:kern w:val="0"/>
          <w:sz w:val="24"/>
          <w:szCs w:val="24"/>
          <w:highlight w:val="none"/>
          <w:lang w:val="en-US" w:eastAsia="zh-CN"/>
        </w:rPr>
        <w:t>金额及付款</w:t>
      </w:r>
    </w:p>
    <w:p>
      <w:pPr>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 xml:space="preserve"> 合同总价</w:t>
      </w:r>
      <w:r>
        <w:rPr>
          <w:rFonts w:hint="eastAsia" w:ascii="宋体" w:hAnsi="宋体" w:eastAsia="宋体" w:cs="宋体"/>
          <w:color w:val="auto"/>
          <w:kern w:val="0"/>
          <w:sz w:val="24"/>
          <w:szCs w:val="24"/>
          <w:highlight w:val="none"/>
        </w:rPr>
        <w:t>为</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元</w:t>
      </w:r>
      <w:r>
        <w:rPr>
          <w:rFonts w:hint="eastAsia" w:ascii="宋体" w:hAnsi="宋体" w:eastAsia="宋体" w:cs="宋体"/>
          <w:color w:val="auto"/>
          <w:kern w:val="0"/>
          <w:sz w:val="24"/>
          <w:szCs w:val="24"/>
          <w:highlight w:val="none"/>
          <w:lang w:val="en-US" w:eastAsia="zh-CN"/>
        </w:rPr>
        <w:t>（含税）</w:t>
      </w:r>
      <w:r>
        <w:rPr>
          <w:rFonts w:hint="eastAsia" w:ascii="宋体" w:hAnsi="宋体" w:eastAsia="宋体" w:cs="宋体"/>
          <w:color w:val="auto"/>
          <w:kern w:val="0"/>
          <w:sz w:val="24"/>
          <w:szCs w:val="24"/>
          <w:highlight w:val="none"/>
        </w:rPr>
        <w:t>，大写人</w:t>
      </w:r>
      <w:r>
        <w:rPr>
          <w:rFonts w:hint="eastAsia" w:ascii="宋体" w:hAnsi="宋体" w:eastAsia="宋体" w:cs="宋体"/>
          <w:color w:val="auto"/>
          <w:kern w:val="0"/>
          <w:sz w:val="24"/>
          <w:szCs w:val="24"/>
          <w:highlight w:val="none"/>
          <w:u w:val="none"/>
          <w:lang w:val="en-US" w:eastAsia="zh-CN"/>
        </w:rPr>
        <w:t>民币：</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元整。其中设计费</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元，工程费</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元。</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付款方式：</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9.2.1 </w:t>
      </w:r>
      <w:r>
        <w:rPr>
          <w:rFonts w:hint="eastAsia" w:ascii="宋体" w:hAnsi="宋体" w:eastAsia="宋体" w:cs="宋体"/>
          <w:color w:val="auto"/>
          <w:kern w:val="0"/>
          <w:sz w:val="24"/>
          <w:szCs w:val="24"/>
          <w:highlight w:val="none"/>
        </w:rPr>
        <w:t>合同签订后10天内，支付合同价的</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rPr>
        <w:t>0%</w:t>
      </w:r>
      <w:r>
        <w:rPr>
          <w:rFonts w:hint="eastAsia" w:ascii="宋体" w:hAnsi="宋体" w:eastAsia="宋体" w:cs="宋体"/>
          <w:color w:val="auto"/>
          <w:kern w:val="0"/>
          <w:sz w:val="24"/>
          <w:szCs w:val="24"/>
          <w:highlight w:val="none"/>
        </w:rPr>
        <w:t>工程预付款；工程通过竣工验收后</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工程款累计支付到合同价的</w:t>
      </w:r>
      <w:r>
        <w:rPr>
          <w:rFonts w:hint="eastAsia" w:ascii="宋体" w:hAnsi="宋体" w:eastAsia="宋体" w:cs="宋体"/>
          <w:color w:val="auto"/>
          <w:kern w:val="0"/>
          <w:sz w:val="24"/>
          <w:szCs w:val="24"/>
          <w:highlight w:val="none"/>
          <w:u w:val="single"/>
          <w:lang w:val="en-US" w:eastAsia="zh-CN"/>
        </w:rPr>
        <w:t>85</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rPr>
        <w:t>（含预付款）</w:t>
      </w:r>
      <w:r>
        <w:rPr>
          <w:rFonts w:hint="eastAsia" w:ascii="宋体" w:hAnsi="宋体" w:eastAsia="宋体" w:cs="宋体"/>
          <w:color w:val="auto"/>
          <w:kern w:val="0"/>
          <w:sz w:val="24"/>
          <w:szCs w:val="24"/>
          <w:highlight w:val="none"/>
        </w:rPr>
        <w:t>。工程经结算审计后10天内，支付至结算价的</w:t>
      </w:r>
      <w:r>
        <w:rPr>
          <w:rFonts w:hint="eastAsia" w:ascii="宋体" w:hAnsi="宋体" w:eastAsia="宋体" w:cs="宋体"/>
          <w:color w:val="auto"/>
          <w:kern w:val="0"/>
          <w:sz w:val="24"/>
          <w:szCs w:val="24"/>
          <w:highlight w:val="none"/>
          <w:u w:val="single"/>
        </w:rPr>
        <w:t>97%</w:t>
      </w:r>
      <w:r>
        <w:rPr>
          <w:rFonts w:hint="eastAsia" w:ascii="宋体" w:hAnsi="宋体" w:eastAsia="宋体" w:cs="宋体"/>
          <w:color w:val="auto"/>
          <w:kern w:val="0"/>
          <w:sz w:val="24"/>
          <w:szCs w:val="24"/>
          <w:highlight w:val="none"/>
        </w:rPr>
        <w:t>，余款在质保期满</w:t>
      </w:r>
      <w:r>
        <w:rPr>
          <w:rFonts w:hint="eastAsia" w:ascii="宋体" w:hAnsi="宋体" w:cs="宋体"/>
          <w:color w:val="auto"/>
          <w:kern w:val="0"/>
          <w:sz w:val="24"/>
          <w:szCs w:val="24"/>
          <w:highlight w:val="none"/>
          <w:lang w:val="en-US" w:eastAsia="zh-CN"/>
        </w:rPr>
        <w:t>后</w:t>
      </w:r>
      <w:r>
        <w:rPr>
          <w:rFonts w:hint="eastAsia" w:ascii="宋体" w:hAnsi="宋体" w:eastAsia="宋体" w:cs="宋体"/>
          <w:color w:val="auto"/>
          <w:kern w:val="0"/>
          <w:sz w:val="24"/>
          <w:szCs w:val="24"/>
          <w:highlight w:val="none"/>
        </w:rPr>
        <w:t>10天内无息付清。</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9.2.2 </w:t>
      </w:r>
      <w:r>
        <w:rPr>
          <w:rFonts w:hint="eastAsia" w:ascii="宋体" w:hAnsi="宋体" w:eastAsia="宋体" w:cs="宋体"/>
          <w:color w:val="auto"/>
          <w:kern w:val="0"/>
          <w:sz w:val="24"/>
          <w:szCs w:val="24"/>
          <w:highlight w:val="none"/>
        </w:rPr>
        <w:t>本项目报批报建的一切费用由</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承担。</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9.2.3 </w:t>
      </w:r>
      <w:r>
        <w:rPr>
          <w:rFonts w:hint="eastAsia" w:ascii="宋体" w:hAnsi="宋体" w:eastAsia="宋体" w:cs="宋体"/>
          <w:color w:val="auto"/>
          <w:kern w:val="0"/>
          <w:sz w:val="24"/>
          <w:szCs w:val="24"/>
          <w:highlight w:val="none"/>
        </w:rPr>
        <w:t>乙方应按甲方要求</w:t>
      </w:r>
      <w:r>
        <w:rPr>
          <w:rFonts w:hint="eastAsia" w:ascii="宋体" w:hAnsi="宋体" w:eastAsia="宋体" w:cs="宋体"/>
          <w:color w:val="auto"/>
          <w:kern w:val="0"/>
          <w:sz w:val="24"/>
          <w:szCs w:val="24"/>
          <w:highlight w:val="none"/>
          <w:lang w:eastAsia="zh-CN"/>
        </w:rPr>
        <w:t>在甲方付款前</w:t>
      </w:r>
      <w:r>
        <w:rPr>
          <w:rFonts w:hint="eastAsia" w:ascii="宋体" w:hAnsi="宋体" w:eastAsia="宋体" w:cs="宋体"/>
          <w:color w:val="auto"/>
          <w:kern w:val="0"/>
          <w:sz w:val="24"/>
          <w:szCs w:val="24"/>
          <w:highlight w:val="none"/>
        </w:rPr>
        <w:t>向甲方开具</w:t>
      </w:r>
      <w:r>
        <w:rPr>
          <w:rFonts w:hint="eastAsia" w:ascii="宋体" w:hAnsi="宋体" w:eastAsia="宋体" w:cs="宋体"/>
          <w:color w:val="auto"/>
          <w:kern w:val="0"/>
          <w:sz w:val="24"/>
          <w:szCs w:val="24"/>
          <w:highlight w:val="none"/>
          <w:lang w:val="en-US" w:eastAsia="zh-CN"/>
        </w:rPr>
        <w:t>等额</w:t>
      </w:r>
      <w:r>
        <w:rPr>
          <w:rFonts w:hint="eastAsia" w:ascii="宋体" w:hAnsi="宋体" w:eastAsia="宋体" w:cs="宋体"/>
          <w:color w:val="auto"/>
          <w:kern w:val="0"/>
          <w:sz w:val="24"/>
          <w:szCs w:val="24"/>
          <w:highlight w:val="none"/>
        </w:rPr>
        <w:t>增值税专用发票，</w:t>
      </w:r>
      <w:r>
        <w:rPr>
          <w:rFonts w:hint="eastAsia" w:ascii="宋体" w:hAnsi="宋体" w:eastAsia="宋体" w:cs="宋体"/>
          <w:color w:val="auto"/>
          <w:kern w:val="0"/>
          <w:sz w:val="24"/>
          <w:szCs w:val="24"/>
          <w:highlight w:val="none"/>
          <w:lang w:eastAsia="zh-CN"/>
        </w:rPr>
        <w:t>否则甲方有权延迟付款，</w:t>
      </w:r>
      <w:r>
        <w:rPr>
          <w:rFonts w:hint="eastAsia" w:ascii="宋体" w:hAnsi="宋体" w:eastAsia="宋体" w:cs="宋体"/>
          <w:color w:val="auto"/>
          <w:kern w:val="0"/>
          <w:sz w:val="24"/>
          <w:szCs w:val="24"/>
          <w:highlight w:val="none"/>
        </w:rPr>
        <w:t>甲方开票信息：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u w:val="none"/>
        </w:rPr>
        <w:t>南方日报社</w:t>
      </w:r>
      <w:r>
        <w:rPr>
          <w:rFonts w:hint="eastAsia" w:ascii="宋体" w:hAnsi="宋体" w:eastAsia="宋体" w:cs="宋体"/>
          <w:color w:val="auto"/>
          <w:kern w:val="0"/>
          <w:sz w:val="24"/>
          <w:szCs w:val="24"/>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纳税人识别号：124400006713825565</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开户行：中国建设银行广州市五羊新城支行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u w:val="none"/>
          <w:lang w:val="en-US"/>
        </w:rPr>
      </w:pPr>
      <w:r>
        <w:rPr>
          <w:rFonts w:hint="eastAsia" w:ascii="宋体" w:hAnsi="宋体" w:eastAsia="宋体" w:cs="宋体"/>
          <w:color w:val="auto"/>
          <w:kern w:val="0"/>
          <w:sz w:val="24"/>
          <w:szCs w:val="24"/>
          <w:highlight w:val="none"/>
          <w:lang w:eastAsia="zh-CN"/>
        </w:rPr>
        <w:t>账号：44001400905059318318</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地址：广东省广州市越秀区广州大道中289号</w:t>
      </w:r>
      <w:r>
        <w:rPr>
          <w:rFonts w:hint="eastAsia" w:ascii="宋体" w:hAnsi="宋体" w:eastAsia="宋体" w:cs="宋体"/>
          <w:color w:val="auto"/>
          <w:kern w:val="0"/>
          <w:sz w:val="24"/>
          <w:szCs w:val="24"/>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电话：020-83000917</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乙方</w:t>
      </w:r>
      <w:r>
        <w:rPr>
          <w:rFonts w:hint="eastAsia" w:ascii="宋体" w:hAnsi="宋体" w:eastAsia="宋体" w:cs="宋体"/>
          <w:color w:val="auto"/>
          <w:kern w:val="0"/>
          <w:sz w:val="24"/>
          <w:szCs w:val="24"/>
          <w:highlight w:val="none"/>
          <w:lang w:val="en-US" w:eastAsia="zh-CN"/>
        </w:rPr>
        <w:t>收款</w:t>
      </w:r>
      <w:r>
        <w:rPr>
          <w:rFonts w:hint="eastAsia" w:ascii="宋体" w:hAnsi="宋体" w:eastAsia="宋体" w:cs="宋体"/>
          <w:color w:val="auto"/>
          <w:kern w:val="0"/>
          <w:sz w:val="24"/>
          <w:szCs w:val="24"/>
          <w:highlight w:val="none"/>
        </w:rPr>
        <w:t>账户信息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0"/>
          <w:sz w:val="24"/>
          <w:highlight w:val="none"/>
          <w:lang w:val="en-US" w:eastAsia="zh-CN"/>
        </w:rPr>
      </w:pPr>
      <w:r>
        <w:rPr>
          <w:rFonts w:hint="eastAsia" w:ascii="宋体" w:hAnsi="宋体" w:eastAsia="宋体" w:cs="宋体"/>
          <w:b w:val="0"/>
          <w:bCs w:val="0"/>
          <w:color w:val="auto"/>
          <w:kern w:val="0"/>
          <w:sz w:val="24"/>
          <w:highlight w:val="none"/>
        </w:rPr>
        <w:t>户名：</w:t>
      </w:r>
      <w:r>
        <w:rPr>
          <w:rFonts w:hint="eastAsia" w:ascii="宋体" w:hAnsi="宋体" w:eastAsia="宋体" w:cs="宋体"/>
          <w:b w:val="0"/>
          <w:bCs w:val="0"/>
          <w:color w:val="auto"/>
          <w:kern w:val="0"/>
          <w:sz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bCs w:val="0"/>
          <w:color w:val="auto"/>
          <w:kern w:val="0"/>
          <w:sz w:val="24"/>
          <w:highlight w:val="none"/>
        </w:rPr>
        <w:t>开户行：</w:t>
      </w:r>
      <w:r>
        <w:rPr>
          <w:rFonts w:hint="eastAsia" w:ascii="宋体" w:hAnsi="宋体" w:eastAsia="宋体" w:cs="宋体"/>
          <w:bCs w:val="0"/>
          <w:color w:val="auto"/>
          <w:kern w:val="0"/>
          <w:sz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val="0"/>
          <w:color w:val="auto"/>
          <w:kern w:val="0"/>
          <w:sz w:val="24"/>
          <w:szCs w:val="24"/>
          <w:highlight w:val="none"/>
          <w:lang w:val="en-US" w:eastAsia="zh-CN"/>
        </w:rPr>
      </w:pPr>
      <w:r>
        <w:rPr>
          <w:rFonts w:hint="eastAsia" w:ascii="宋体" w:hAnsi="宋体" w:eastAsia="宋体" w:cs="宋体"/>
          <w:bCs w:val="0"/>
          <w:color w:val="auto"/>
          <w:kern w:val="0"/>
          <w:sz w:val="24"/>
          <w:szCs w:val="24"/>
          <w:highlight w:val="none"/>
        </w:rPr>
        <w:t>账号：</w:t>
      </w:r>
      <w:r>
        <w:rPr>
          <w:rFonts w:hint="eastAsia" w:ascii="宋体" w:hAnsi="宋体" w:eastAsia="宋体" w:cs="宋体"/>
          <w:bCs w:val="0"/>
          <w:color w:val="auto"/>
          <w:kern w:val="0"/>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地址：</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电话：</w:t>
      </w:r>
      <w:r>
        <w:rPr>
          <w:rFonts w:hint="eastAsia" w:ascii="宋体" w:hAnsi="宋体" w:eastAsia="宋体" w:cs="宋体"/>
          <w:color w:val="auto"/>
          <w:kern w:val="0"/>
          <w:sz w:val="24"/>
          <w:szCs w:val="24"/>
          <w:highlight w:val="none"/>
          <w:lang w:val="en-US" w:eastAsia="zh-CN"/>
        </w:rPr>
        <w:t xml:space="preserve">                </w:t>
      </w:r>
    </w:p>
    <w:p>
      <w:pPr>
        <w:spacing w:line="360" w:lineRule="auto"/>
        <w:ind w:firstLine="480"/>
        <w:rPr>
          <w:rFonts w:hint="eastAsia"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lang w:val="en-US" w:eastAsia="zh-CN"/>
        </w:rPr>
        <w:t>9.</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u w:val="none"/>
        </w:rPr>
        <w:t>本合同费用已包括</w:t>
      </w:r>
      <w:r>
        <w:rPr>
          <w:rFonts w:hint="eastAsia" w:ascii="宋体" w:hAnsi="宋体" w:eastAsia="宋体" w:cs="宋体"/>
          <w:color w:val="auto"/>
          <w:kern w:val="0"/>
          <w:sz w:val="24"/>
          <w:szCs w:val="24"/>
          <w:highlight w:val="none"/>
          <w:u w:val="none"/>
          <w:lang w:val="en-US" w:eastAsia="zh-CN"/>
        </w:rPr>
        <w:t>工程</w:t>
      </w:r>
      <w:r>
        <w:rPr>
          <w:rFonts w:hint="eastAsia" w:ascii="宋体" w:hAnsi="宋体" w:eastAsia="宋体" w:cs="宋体"/>
          <w:color w:val="auto"/>
          <w:kern w:val="0"/>
          <w:sz w:val="24"/>
          <w:szCs w:val="24"/>
          <w:highlight w:val="none"/>
          <w:u w:val="none"/>
        </w:rPr>
        <w:t>标的所需的税费、</w:t>
      </w:r>
      <w:r>
        <w:rPr>
          <w:rFonts w:hint="eastAsia" w:ascii="宋体" w:hAnsi="宋体" w:cs="宋体"/>
          <w:color w:val="auto"/>
          <w:kern w:val="0"/>
          <w:sz w:val="24"/>
          <w:szCs w:val="24"/>
          <w:highlight w:val="none"/>
          <w:u w:val="none"/>
          <w:lang w:val="en-US" w:eastAsia="zh-CN"/>
        </w:rPr>
        <w:t>采购费、</w:t>
      </w:r>
      <w:r>
        <w:rPr>
          <w:rFonts w:hint="eastAsia" w:ascii="宋体" w:hAnsi="宋体" w:eastAsia="宋体" w:cs="宋体"/>
          <w:color w:val="auto"/>
          <w:kern w:val="0"/>
          <w:sz w:val="24"/>
          <w:szCs w:val="24"/>
          <w:highlight w:val="none"/>
          <w:u w:val="none"/>
        </w:rPr>
        <w:t>人工费、维护人员高空作业费及其引发的意外伤亡、医疗、补助等全部费用在内。</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第十条   工程验收与保修</w:t>
      </w:r>
    </w:p>
    <w:p>
      <w:pPr>
        <w:widowControl/>
        <w:spacing w:line="360" w:lineRule="auto"/>
        <w:ind w:firstLine="480" w:firstLineChars="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10.1在施工过程中分下列三个阶段对工程质量进行验收；</w:t>
      </w:r>
      <w:r>
        <w:rPr>
          <w:rFonts w:hint="eastAsia" w:ascii="宋体" w:hAnsi="宋体" w:cs="宋体"/>
          <w:color w:val="auto"/>
          <w:kern w:val="0"/>
          <w:sz w:val="24"/>
          <w:highlight w:val="none"/>
          <w:u w:val="none"/>
          <w:lang w:eastAsia="zh-CN"/>
        </w:rPr>
        <w:t>（</w:t>
      </w:r>
      <w:r>
        <w:rPr>
          <w:rFonts w:hint="eastAsia" w:ascii="宋体" w:hAnsi="宋体" w:cs="宋体"/>
          <w:color w:val="auto"/>
          <w:kern w:val="0"/>
          <w:sz w:val="24"/>
          <w:highlight w:val="none"/>
          <w:u w:val="none"/>
          <w:lang w:val="en-US" w:eastAsia="zh-CN"/>
        </w:rPr>
        <w:t>请按实际填写</w:t>
      </w:r>
      <w:r>
        <w:rPr>
          <w:rFonts w:hint="eastAsia" w:ascii="宋体" w:hAnsi="宋体" w:cs="宋体"/>
          <w:color w:val="auto"/>
          <w:kern w:val="0"/>
          <w:sz w:val="24"/>
          <w:highlight w:val="none"/>
          <w:u w:val="none"/>
          <w:lang w:eastAsia="zh-CN"/>
        </w:rPr>
        <w:t>）</w:t>
      </w:r>
    </w:p>
    <w:p>
      <w:pPr>
        <w:widowControl/>
        <w:spacing w:line="360" w:lineRule="auto"/>
        <w:ind w:firstLine="480" w:firstLineChars="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10.1.1水、电管线，防水层及吊顶基层等隐蔽工程的验收；</w:t>
      </w:r>
    </w:p>
    <w:p>
      <w:pPr>
        <w:widowControl/>
        <w:spacing w:line="360" w:lineRule="auto"/>
        <w:ind w:firstLine="480" w:firstLineChars="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10.1.2油漆、</w:t>
      </w:r>
      <w:r>
        <w:rPr>
          <w:rFonts w:hint="eastAsia" w:ascii="宋体" w:hAnsi="宋体" w:cs="宋体"/>
          <w:color w:val="auto"/>
          <w:kern w:val="0"/>
          <w:sz w:val="24"/>
          <w:highlight w:val="none"/>
          <w:u w:val="none"/>
          <w:lang w:val="en-US" w:eastAsia="zh-CN"/>
        </w:rPr>
        <w:t>保温层、</w:t>
      </w:r>
      <w:r>
        <w:rPr>
          <w:rFonts w:hint="eastAsia" w:ascii="宋体" w:hAnsi="宋体" w:eastAsia="宋体" w:cs="宋体"/>
          <w:color w:val="auto"/>
          <w:kern w:val="0"/>
          <w:sz w:val="24"/>
          <w:highlight w:val="none"/>
          <w:u w:val="none"/>
        </w:rPr>
        <w:t>面层涂料</w:t>
      </w:r>
      <w:r>
        <w:rPr>
          <w:rFonts w:hint="eastAsia" w:ascii="宋体" w:hAnsi="宋体" w:cs="宋体"/>
          <w:color w:val="auto"/>
          <w:kern w:val="0"/>
          <w:sz w:val="24"/>
          <w:highlight w:val="none"/>
          <w:u w:val="none"/>
          <w:lang w:eastAsia="zh-CN"/>
        </w:rPr>
        <w:t>、</w:t>
      </w:r>
      <w:r>
        <w:rPr>
          <w:rFonts w:hint="eastAsia" w:ascii="宋体" w:hAnsi="宋体" w:cs="宋体"/>
          <w:color w:val="auto"/>
          <w:kern w:val="0"/>
          <w:sz w:val="24"/>
          <w:highlight w:val="none"/>
          <w:u w:val="none"/>
          <w:lang w:val="en-US" w:eastAsia="zh-CN"/>
        </w:rPr>
        <w:t>设备</w:t>
      </w:r>
      <w:r>
        <w:rPr>
          <w:rFonts w:hint="eastAsia" w:ascii="宋体" w:hAnsi="宋体" w:eastAsia="宋体" w:cs="宋体"/>
          <w:color w:val="auto"/>
          <w:kern w:val="0"/>
          <w:sz w:val="24"/>
          <w:highlight w:val="none"/>
          <w:u w:val="none"/>
        </w:rPr>
        <w:t>施工前验收；</w:t>
      </w:r>
    </w:p>
    <w:p>
      <w:pPr>
        <w:widowControl/>
        <w:spacing w:line="360" w:lineRule="auto"/>
        <w:ind w:firstLine="480" w:firstLineChars="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10.1.3竣工验收、环保测试。</w:t>
      </w:r>
    </w:p>
    <w:p>
      <w:pPr>
        <w:widowControl/>
        <w:spacing w:line="360" w:lineRule="auto"/>
        <w:ind w:firstLine="480" w:firstLineChars="200"/>
        <w:rPr>
          <w:rFonts w:hint="eastAsia" w:ascii="宋体" w:hAnsi="宋体" w:eastAsia="宋体" w:cs="宋体"/>
          <w:color w:val="auto"/>
          <w:kern w:val="0"/>
          <w:sz w:val="24"/>
          <w:highlight w:val="none"/>
        </w:rPr>
      </w:pPr>
      <w:r>
        <w:rPr>
          <w:rFonts w:ascii="宋体" w:hAnsi="宋体" w:eastAsia="宋体" w:cs="宋体"/>
          <w:color w:val="auto"/>
          <w:kern w:val="0"/>
          <w:sz w:val="24"/>
          <w:highlight w:val="none"/>
        </w:rPr>
        <w:t>10.2</w:t>
      </w:r>
      <w:r>
        <w:rPr>
          <w:rFonts w:hint="eastAsia" w:ascii="宋体" w:hAnsi="宋体" w:eastAsia="宋体" w:cs="宋体"/>
          <w:color w:val="auto"/>
          <w:kern w:val="0"/>
          <w:sz w:val="24"/>
          <w:highlight w:val="none"/>
        </w:rPr>
        <w:t>乙方应提前两天通知甲方指定的第三方参加各阶段验收、测试，各阶段验收、测试合格后应填写工程验收单。</w:t>
      </w:r>
    </w:p>
    <w:p>
      <w:pPr>
        <w:widowControl/>
        <w:spacing w:line="360" w:lineRule="auto"/>
        <w:ind w:firstLine="480" w:firstLineChars="200"/>
        <w:rPr>
          <w:rFonts w:hint="eastAsia" w:ascii="宋体" w:hAnsi="宋体" w:cs="宋体"/>
          <w:color w:val="auto"/>
          <w:kern w:val="0"/>
          <w:sz w:val="24"/>
          <w:highlight w:val="none"/>
          <w:u w:val="none"/>
          <w:lang w:val="en-US" w:eastAsia="zh-CN"/>
        </w:rPr>
      </w:pPr>
      <w:r>
        <w:rPr>
          <w:rFonts w:hint="eastAsia" w:ascii="宋体" w:hAnsi="宋体" w:eastAsia="宋体" w:cs="宋体"/>
          <w:color w:val="auto"/>
          <w:kern w:val="0"/>
          <w:sz w:val="24"/>
          <w:highlight w:val="none"/>
        </w:rPr>
        <w:t>10.</w:t>
      </w:r>
      <w:r>
        <w:rPr>
          <w:rFonts w:ascii="宋体" w:hAnsi="宋体" w:eastAsia="宋体" w:cs="宋体"/>
          <w:color w:val="auto"/>
          <w:kern w:val="0"/>
          <w:sz w:val="24"/>
          <w:highlight w:val="none"/>
        </w:rPr>
        <w:t>3</w:t>
      </w:r>
      <w:r>
        <w:rPr>
          <w:rFonts w:hint="eastAsia" w:ascii="宋体" w:hAnsi="宋体" w:eastAsia="宋体" w:cs="宋体"/>
          <w:color w:val="auto"/>
          <w:kern w:val="0"/>
          <w:sz w:val="24"/>
          <w:highlight w:val="none"/>
        </w:rPr>
        <w:t>工程竣工</w:t>
      </w:r>
      <w:r>
        <w:rPr>
          <w:rFonts w:hint="eastAsia" w:ascii="宋体" w:hAnsi="宋体" w:cs="宋体"/>
          <w:color w:val="auto"/>
          <w:kern w:val="0"/>
          <w:sz w:val="24"/>
          <w:highlight w:val="none"/>
          <w:lang w:val="en-US" w:eastAsia="zh-CN"/>
        </w:rPr>
        <w:t>后，经调试、</w:t>
      </w:r>
      <w:r>
        <w:rPr>
          <w:rFonts w:hint="eastAsia" w:ascii="宋体" w:hAnsi="宋体" w:eastAsia="宋体" w:cs="宋体"/>
          <w:color w:val="auto"/>
          <w:kern w:val="0"/>
          <w:sz w:val="24"/>
          <w:highlight w:val="none"/>
        </w:rPr>
        <w:t>验收合格，乙方向甲方办理移交手续，并填写工程保修单</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整体项目</w:t>
      </w:r>
      <w:r>
        <w:rPr>
          <w:rFonts w:hint="eastAsia" w:ascii="宋体" w:hAnsi="宋体" w:eastAsia="宋体" w:cs="宋体"/>
          <w:color w:val="auto"/>
          <w:kern w:val="0"/>
          <w:sz w:val="24"/>
          <w:highlight w:val="none"/>
        </w:rPr>
        <w:t>保修期限为</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 xml:space="preserve">2 </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szCs w:val="24"/>
          <w:highlight w:val="none"/>
          <w:lang w:val="en-US" w:eastAsia="zh-CN"/>
        </w:rPr>
        <w:t>防水</w:t>
      </w:r>
      <w:r>
        <w:rPr>
          <w:rFonts w:hint="eastAsia" w:ascii="宋体" w:hAnsi="宋体" w:eastAsia="宋体" w:cs="宋体"/>
          <w:color w:val="auto"/>
          <w:kern w:val="0"/>
          <w:sz w:val="24"/>
          <w:highlight w:val="none"/>
        </w:rPr>
        <w:t>保修期限为</w:t>
      </w:r>
      <w:r>
        <w:rPr>
          <w:rFonts w:hint="eastAsia" w:ascii="宋体" w:hAnsi="宋体" w:eastAsia="宋体" w:cs="宋体"/>
          <w:color w:val="auto"/>
          <w:kern w:val="0"/>
          <w:sz w:val="24"/>
          <w:highlight w:val="none"/>
          <w:u w:val="single"/>
          <w:lang w:val="en-US" w:eastAsia="zh-CN"/>
        </w:rPr>
        <w:t xml:space="preserve"> 5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lang w:eastAsia="zh-CN"/>
        </w:rPr>
        <w:t>，</w:t>
      </w:r>
      <w:r>
        <w:rPr>
          <w:rFonts w:hint="eastAsia" w:ascii="宋体" w:hAnsi="宋体" w:cs="宋体"/>
          <w:color w:val="auto"/>
          <w:kern w:val="0"/>
          <w:sz w:val="24"/>
          <w:highlight w:val="none"/>
          <w:lang w:val="en-US" w:eastAsia="zh-CN"/>
        </w:rPr>
        <w:t>自验收合格后移交之日起计算</w:t>
      </w:r>
      <w:r>
        <w:rPr>
          <w:rFonts w:hint="eastAsia" w:ascii="宋体" w:hAnsi="宋体" w:eastAsia="宋体" w:cs="宋体"/>
          <w:color w:val="auto"/>
          <w:kern w:val="0"/>
          <w:sz w:val="24"/>
          <w:highlight w:val="none"/>
        </w:rPr>
        <w:t>。乙方</w:t>
      </w:r>
      <w:r>
        <w:rPr>
          <w:rFonts w:hint="eastAsia" w:ascii="宋体" w:hAnsi="宋体" w:cs="宋体"/>
          <w:color w:val="auto"/>
          <w:kern w:val="0"/>
          <w:sz w:val="24"/>
          <w:highlight w:val="none"/>
          <w:lang w:val="en-US" w:eastAsia="zh-CN"/>
        </w:rPr>
        <w:t>接到甲方通知24</w:t>
      </w:r>
      <w:r>
        <w:rPr>
          <w:rFonts w:hint="eastAsia" w:ascii="宋体" w:hAnsi="宋体" w:cs="宋体"/>
          <w:color w:val="auto"/>
          <w:kern w:val="0"/>
          <w:sz w:val="24"/>
          <w:highlight w:val="none"/>
          <w:u w:val="none"/>
          <w:lang w:val="en-US" w:eastAsia="zh-CN"/>
        </w:rPr>
        <w:t>小时内到场维修，未按规定时间到场的，甲方有权自行委托第三方处理，费用由乙方承担。</w:t>
      </w:r>
    </w:p>
    <w:p>
      <w:pPr>
        <w:widowControl/>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10.4</w:t>
      </w:r>
      <w:r>
        <w:rPr>
          <w:rFonts w:hint="eastAsia" w:ascii="宋体" w:hAnsi="宋体" w:eastAsia="宋体" w:cs="宋体"/>
          <w:color w:val="auto"/>
          <w:kern w:val="0"/>
          <w:sz w:val="24"/>
          <w:highlight w:val="none"/>
        </w:rPr>
        <w:t>乙方</w:t>
      </w:r>
      <w:r>
        <w:rPr>
          <w:rFonts w:hint="eastAsia" w:ascii="宋体" w:hAnsi="宋体" w:eastAsia="宋体" w:cs="宋体"/>
          <w:color w:val="auto"/>
          <w:kern w:val="0"/>
          <w:sz w:val="24"/>
          <w:highlight w:val="none"/>
          <w:lang w:val="en-US" w:eastAsia="zh-CN"/>
        </w:rPr>
        <w:t>在</w:t>
      </w:r>
      <w:r>
        <w:rPr>
          <w:rFonts w:hint="eastAsia" w:ascii="宋体" w:hAnsi="宋体" w:eastAsia="宋体" w:cs="宋体"/>
          <w:color w:val="auto"/>
          <w:kern w:val="0"/>
          <w:sz w:val="24"/>
          <w:highlight w:val="none"/>
        </w:rPr>
        <w:t>保修期</w:t>
      </w:r>
      <w:r>
        <w:rPr>
          <w:rFonts w:hint="eastAsia" w:ascii="宋体" w:hAnsi="宋体" w:eastAsia="宋体" w:cs="宋体"/>
          <w:color w:val="auto"/>
          <w:kern w:val="0"/>
          <w:sz w:val="24"/>
          <w:highlight w:val="none"/>
          <w:lang w:val="en-US" w:eastAsia="zh-CN"/>
        </w:rPr>
        <w:t>内需</w:t>
      </w:r>
      <w:r>
        <w:rPr>
          <w:rFonts w:hint="eastAsia" w:ascii="宋体" w:hAnsi="宋体" w:eastAsia="宋体" w:cs="宋体"/>
          <w:color w:val="auto"/>
          <w:kern w:val="0"/>
          <w:sz w:val="24"/>
          <w:highlight w:val="none"/>
        </w:rPr>
        <w:t>积极配合甲方</w:t>
      </w:r>
      <w:r>
        <w:rPr>
          <w:rFonts w:hint="eastAsia" w:ascii="宋体" w:hAnsi="宋体" w:eastAsia="宋体" w:cs="宋体"/>
          <w:color w:val="auto"/>
          <w:kern w:val="0"/>
          <w:sz w:val="24"/>
          <w:highlight w:val="none"/>
          <w:lang w:eastAsia="zh-CN"/>
        </w:rPr>
        <w:t>要求</w:t>
      </w:r>
      <w:r>
        <w:rPr>
          <w:rFonts w:hint="eastAsia" w:ascii="宋体" w:hAnsi="宋体" w:eastAsia="宋体" w:cs="宋体"/>
          <w:color w:val="auto"/>
          <w:kern w:val="0"/>
          <w:sz w:val="24"/>
          <w:highlight w:val="none"/>
        </w:rPr>
        <w:t>开展</w:t>
      </w:r>
      <w:r>
        <w:rPr>
          <w:rFonts w:hint="eastAsia" w:ascii="宋体" w:hAnsi="宋体" w:eastAsia="宋体" w:cs="宋体"/>
          <w:color w:val="auto"/>
          <w:kern w:val="0"/>
          <w:sz w:val="24"/>
          <w:highlight w:val="none"/>
          <w:lang w:val="en-US" w:eastAsia="zh-CN"/>
        </w:rPr>
        <w:t>对改造后的中央空调维保工作交流</w:t>
      </w:r>
      <w:r>
        <w:rPr>
          <w:rFonts w:hint="eastAsia" w:ascii="宋体" w:hAnsi="宋体" w:eastAsia="宋体" w:cs="宋体"/>
          <w:color w:val="auto"/>
          <w:kern w:val="0"/>
          <w:sz w:val="24"/>
          <w:highlight w:val="none"/>
          <w:lang w:eastAsia="zh-CN"/>
        </w:rPr>
        <w:t>不少于</w:t>
      </w:r>
      <w:r>
        <w:rPr>
          <w:rFonts w:hint="eastAsia" w:ascii="宋体" w:hAnsi="宋体" w:eastAsia="宋体" w:cs="宋体"/>
          <w:color w:val="auto"/>
          <w:kern w:val="0"/>
          <w:sz w:val="24"/>
          <w:highlight w:val="none"/>
          <w:lang w:val="en-US" w:eastAsia="zh-CN"/>
        </w:rPr>
        <w:t>2次。</w:t>
      </w:r>
    </w:p>
    <w:p>
      <w:pPr>
        <w:widowControl/>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kern w:val="0"/>
          <w:sz w:val="24"/>
          <w:highlight w:val="none"/>
          <w:lang w:val="en-US" w:eastAsia="zh-CN"/>
        </w:rPr>
        <w:t>10.5</w:t>
      </w:r>
      <w:r>
        <w:rPr>
          <w:rFonts w:hint="eastAsia" w:ascii="宋体" w:hAnsi="宋体" w:eastAsia="宋体" w:cs="宋体"/>
          <w:color w:val="auto"/>
          <w:kern w:val="0"/>
          <w:sz w:val="24"/>
          <w:highlight w:val="none"/>
        </w:rPr>
        <w:t>工程竣工</w:t>
      </w:r>
      <w:r>
        <w:rPr>
          <w:rFonts w:hint="eastAsia" w:ascii="宋体" w:hAnsi="宋体" w:eastAsia="宋体" w:cs="宋体"/>
          <w:color w:val="auto"/>
          <w:kern w:val="0"/>
          <w:sz w:val="24"/>
          <w:highlight w:val="none"/>
          <w:lang w:val="en-US" w:eastAsia="zh-CN"/>
        </w:rPr>
        <w:t>后，</w:t>
      </w:r>
      <w:r>
        <w:rPr>
          <w:rFonts w:hint="eastAsia" w:ascii="宋体" w:hAnsi="宋体" w:eastAsia="宋体" w:cs="宋体"/>
          <w:color w:val="auto"/>
          <w:kern w:val="0"/>
          <w:sz w:val="24"/>
          <w:highlight w:val="none"/>
        </w:rPr>
        <w:t>乙方向甲方</w:t>
      </w:r>
      <w:r>
        <w:rPr>
          <w:rFonts w:hint="eastAsia" w:ascii="宋体" w:hAnsi="宋体" w:eastAsia="宋体" w:cs="宋体"/>
          <w:color w:val="auto"/>
          <w:kern w:val="0"/>
          <w:sz w:val="24"/>
          <w:highlight w:val="none"/>
          <w:lang w:val="en-US" w:eastAsia="zh-CN"/>
        </w:rPr>
        <w:t>提供项目的一式三份纸质版竣工图和电子版竣</w:t>
      </w:r>
      <w:r>
        <w:rPr>
          <w:rFonts w:hint="eastAsia" w:ascii="宋体" w:hAnsi="宋体" w:eastAsia="宋体" w:cs="宋体"/>
          <w:b w:val="0"/>
          <w:bCs w:val="0"/>
          <w:color w:val="auto"/>
          <w:sz w:val="24"/>
          <w:szCs w:val="24"/>
          <w:highlight w:val="none"/>
          <w:lang w:val="en-US" w:eastAsia="zh-CN"/>
        </w:rPr>
        <w:t>工图。</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第十一条  违约责任</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11.1除本合同另有约定或不可抗</w:t>
      </w:r>
      <w:r>
        <w:rPr>
          <w:rFonts w:hint="eastAsia" w:ascii="宋体" w:hAnsi="宋体" w:cs="宋体"/>
          <w:color w:val="auto"/>
          <w:kern w:val="0"/>
          <w:sz w:val="24"/>
          <w:highlight w:val="none"/>
          <w:lang w:val="en-US" w:eastAsia="zh-CN"/>
        </w:rPr>
        <w:t>力</w:t>
      </w:r>
      <w:r>
        <w:rPr>
          <w:rFonts w:hint="eastAsia" w:ascii="宋体" w:hAnsi="宋体" w:eastAsia="宋体" w:cs="宋体"/>
          <w:color w:val="auto"/>
          <w:kern w:val="0"/>
          <w:sz w:val="24"/>
          <w:highlight w:val="none"/>
        </w:rPr>
        <w:t>外，任何一方未能全面履行其在本合同项下之义务的，则该方应被视作违反本协议。违约方应依本协议约定和法律规定承担违约责任，赔偿守约方因其违约行为而发生的所有损失（包括但不限于守约方的直接损失、预期利益损失、为避免损失而进行的合理费用支出、律师费、案件受理费、评估费、差旅费、拍卖费、招投标费用，下同）。</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w:t>
      </w:r>
      <w:r>
        <w:rPr>
          <w:rFonts w:ascii="宋体" w:hAnsi="宋体" w:eastAsia="宋体" w:cs="宋体"/>
          <w:color w:val="auto"/>
          <w:kern w:val="0"/>
          <w:sz w:val="24"/>
          <w:highlight w:val="none"/>
        </w:rPr>
        <w:t>2</w:t>
      </w:r>
      <w:r>
        <w:rPr>
          <w:rFonts w:hint="eastAsia" w:ascii="宋体" w:hAnsi="宋体" w:eastAsia="宋体" w:cs="宋体"/>
          <w:color w:val="auto"/>
          <w:kern w:val="0"/>
          <w:sz w:val="24"/>
          <w:highlight w:val="none"/>
        </w:rPr>
        <w:t>本合同生效后甲、乙双方应严格履行合同所规定的各项条款，不得擅自变更或解除合同 ，否则违约方将支付对方工程</w:t>
      </w:r>
      <w:r>
        <w:rPr>
          <w:rFonts w:hint="eastAsia" w:ascii="宋体" w:hAnsi="宋体" w:cs="宋体"/>
          <w:color w:val="auto"/>
          <w:kern w:val="0"/>
          <w:sz w:val="24"/>
          <w:highlight w:val="none"/>
          <w:lang w:val="en-US" w:eastAsia="zh-CN"/>
        </w:rPr>
        <w:t>总造价</w:t>
      </w:r>
      <w:r>
        <w:rPr>
          <w:rFonts w:hint="eastAsia" w:ascii="宋体" w:hAnsi="宋体" w:eastAsia="宋体" w:cs="宋体"/>
          <w:color w:val="auto"/>
          <w:kern w:val="0"/>
          <w:sz w:val="24"/>
          <w:highlight w:val="none"/>
        </w:rPr>
        <w:t>的</w:t>
      </w:r>
      <w:r>
        <w:rPr>
          <w:rFonts w:ascii="宋体" w:hAnsi="宋体" w:eastAsia="宋体" w:cs="宋体"/>
          <w:color w:val="auto"/>
          <w:kern w:val="0"/>
          <w:sz w:val="24"/>
          <w:highlight w:val="none"/>
        </w:rPr>
        <w:t>5</w:t>
      </w:r>
      <w:r>
        <w:rPr>
          <w:rFonts w:hint="eastAsia" w:ascii="宋体" w:hAnsi="宋体" w:eastAsia="宋体" w:cs="宋体"/>
          <w:color w:val="auto"/>
          <w:kern w:val="0"/>
          <w:sz w:val="24"/>
          <w:highlight w:val="none"/>
        </w:rPr>
        <w:t>%作为违约金，若因此造成守约方其他损失的，违约方应继续赔付守约方损失。</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w:t>
      </w:r>
      <w:r>
        <w:rPr>
          <w:rFonts w:ascii="宋体" w:hAnsi="宋体" w:eastAsia="宋体" w:cs="宋体"/>
          <w:color w:val="auto"/>
          <w:kern w:val="0"/>
          <w:sz w:val="24"/>
          <w:highlight w:val="none"/>
        </w:rPr>
        <w:t>3</w:t>
      </w:r>
      <w:r>
        <w:rPr>
          <w:rFonts w:hint="eastAsia" w:ascii="宋体" w:hAnsi="宋体" w:eastAsia="宋体" w:cs="宋体"/>
          <w:color w:val="auto"/>
          <w:kern w:val="0"/>
          <w:sz w:val="24"/>
          <w:highlight w:val="none"/>
        </w:rPr>
        <w:t>乙方原因，工程质量达不到双方约定的质量标准，由乙方负责修理，所需修理费用由乙方承担，工期不顺延。</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w:t>
      </w:r>
      <w:r>
        <w:rPr>
          <w:rFonts w:ascii="宋体" w:hAnsi="宋体" w:eastAsia="宋体" w:cs="宋体"/>
          <w:color w:val="auto"/>
          <w:kern w:val="0"/>
          <w:sz w:val="24"/>
          <w:highlight w:val="none"/>
        </w:rPr>
        <w:t>4</w:t>
      </w:r>
      <w:r>
        <w:rPr>
          <w:rFonts w:hint="eastAsia" w:ascii="宋体" w:hAnsi="宋体" w:eastAsia="宋体" w:cs="宋体"/>
          <w:color w:val="auto"/>
          <w:kern w:val="0"/>
          <w:sz w:val="24"/>
          <w:highlight w:val="none"/>
        </w:rPr>
        <w:t>乙方的原因致使工期延误，则每延误一日，乙方按照工程总造价的</w:t>
      </w:r>
      <w:r>
        <w:rPr>
          <w:rFonts w:ascii="宋体" w:hAnsi="宋体" w:eastAsia="宋体" w:cs="宋体"/>
          <w:color w:val="auto"/>
          <w:kern w:val="0"/>
          <w:sz w:val="24"/>
          <w:highlight w:val="none"/>
        </w:rPr>
        <w:t>1</w:t>
      </w:r>
      <w:r>
        <w:rPr>
          <w:rFonts w:hint="eastAsia" w:ascii="宋体" w:hAnsi="宋体" w:eastAsia="宋体" w:cs="宋体"/>
          <w:color w:val="auto"/>
          <w:kern w:val="0"/>
          <w:sz w:val="24"/>
          <w:highlight w:val="none"/>
        </w:rPr>
        <w:t>‰向甲方支付违约金。</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w:t>
      </w:r>
      <w:r>
        <w:rPr>
          <w:rFonts w:ascii="宋体" w:hAnsi="宋体" w:eastAsia="宋体" w:cs="宋体"/>
          <w:color w:val="auto"/>
          <w:kern w:val="0"/>
          <w:sz w:val="24"/>
          <w:highlight w:val="none"/>
        </w:rPr>
        <w:t xml:space="preserve">5 </w:t>
      </w:r>
      <w:r>
        <w:rPr>
          <w:rFonts w:hint="eastAsia" w:ascii="宋体" w:hAnsi="宋体" w:eastAsia="宋体" w:cs="宋体"/>
          <w:color w:val="auto"/>
          <w:kern w:val="0"/>
          <w:sz w:val="24"/>
          <w:highlight w:val="none"/>
        </w:rPr>
        <w:t>乙方设计不符合法律法规、规范性文件规定或不符合甲方要求的，甲方连续三次提出合理要求，要求乙方进行修改，乙方的修改成果仍未符合国家法律法规的规定以及甲方要求的，视为乙方不能胜任本项目的设计和施工，甲方有权单方解除本协议，且无需向乙方支付任何费用，乙方需对甲方所产生的损失承担全部赔偿责任</w:t>
      </w:r>
      <w:r>
        <w:rPr>
          <w:rFonts w:hint="eastAsia" w:ascii="宋体" w:hAnsi="宋体" w:cs="宋体"/>
          <w:color w:val="auto"/>
          <w:kern w:val="0"/>
          <w:sz w:val="24"/>
          <w:highlight w:val="none"/>
          <w:lang w:val="en-US" w:eastAsia="zh-CN"/>
        </w:rPr>
        <w:t>并按</w:t>
      </w:r>
      <w:r>
        <w:rPr>
          <w:rFonts w:hint="eastAsia" w:ascii="宋体" w:hAnsi="宋体" w:eastAsia="宋体" w:cs="宋体"/>
          <w:color w:val="auto"/>
          <w:kern w:val="0"/>
          <w:sz w:val="24"/>
          <w:highlight w:val="none"/>
        </w:rPr>
        <w:t>工程</w:t>
      </w:r>
      <w:r>
        <w:rPr>
          <w:rFonts w:hint="eastAsia" w:ascii="宋体" w:hAnsi="宋体" w:cs="宋体"/>
          <w:color w:val="auto"/>
          <w:kern w:val="0"/>
          <w:sz w:val="24"/>
          <w:highlight w:val="none"/>
          <w:lang w:val="en-US" w:eastAsia="zh-CN"/>
        </w:rPr>
        <w:t>总造价</w:t>
      </w:r>
      <w:r>
        <w:rPr>
          <w:rFonts w:hint="eastAsia" w:ascii="宋体" w:hAnsi="宋体" w:eastAsia="宋体" w:cs="宋体"/>
          <w:color w:val="auto"/>
          <w:kern w:val="0"/>
          <w:sz w:val="24"/>
          <w:highlight w:val="none"/>
        </w:rPr>
        <w:t>的5%</w:t>
      </w:r>
      <w:r>
        <w:rPr>
          <w:rFonts w:hint="eastAsia" w:ascii="宋体" w:hAnsi="宋体" w:cs="宋体"/>
          <w:color w:val="auto"/>
          <w:kern w:val="0"/>
          <w:sz w:val="24"/>
          <w:highlight w:val="none"/>
          <w:lang w:val="en-US" w:eastAsia="zh-CN"/>
        </w:rPr>
        <w:t>向甲方支付</w:t>
      </w:r>
      <w:r>
        <w:rPr>
          <w:rFonts w:hint="eastAsia" w:ascii="宋体" w:hAnsi="宋体" w:eastAsia="宋体" w:cs="宋体"/>
          <w:color w:val="auto"/>
          <w:kern w:val="0"/>
          <w:sz w:val="24"/>
          <w:highlight w:val="none"/>
        </w:rPr>
        <w:t>违约金。</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ascii="宋体" w:hAnsi="宋体" w:eastAsia="宋体" w:cs="宋体"/>
          <w:color w:val="auto"/>
          <w:kern w:val="0"/>
          <w:sz w:val="24"/>
          <w:highlight w:val="none"/>
        </w:rPr>
        <w:t xml:space="preserve">1.6 </w:t>
      </w:r>
      <w:r>
        <w:rPr>
          <w:rFonts w:hint="eastAsia" w:ascii="宋体" w:hAnsi="宋体" w:eastAsia="宋体" w:cs="宋体"/>
          <w:color w:val="auto"/>
          <w:kern w:val="0"/>
          <w:sz w:val="24"/>
          <w:highlight w:val="none"/>
        </w:rPr>
        <w:t>乙方设计侵犯第三方权利、违反公序良俗、不尊重民族情感的，导致甲方被追究责任的，乙方应赔偿第三方的损失</w:t>
      </w:r>
      <w:r>
        <w:rPr>
          <w:rFonts w:hint="eastAsia" w:ascii="宋体" w:hAnsi="宋体" w:cs="宋体"/>
          <w:color w:val="auto"/>
          <w:kern w:val="0"/>
          <w:sz w:val="24"/>
          <w:highlight w:val="none"/>
          <w:lang w:val="en-US" w:eastAsia="zh-CN"/>
        </w:rPr>
        <w:t>以及给甲方造成的全部损失</w:t>
      </w:r>
      <w:r>
        <w:rPr>
          <w:rFonts w:hint="eastAsia" w:ascii="宋体" w:hAnsi="宋体" w:eastAsia="宋体" w:cs="宋体"/>
          <w:color w:val="auto"/>
          <w:kern w:val="0"/>
          <w:sz w:val="24"/>
          <w:highlight w:val="none"/>
        </w:rPr>
        <w:t>，并向甲方支付工程总造价的</w:t>
      </w:r>
      <w:r>
        <w:rPr>
          <w:rFonts w:ascii="宋体" w:hAnsi="宋体" w:eastAsia="宋体" w:cs="宋体"/>
          <w:color w:val="auto"/>
          <w:kern w:val="0"/>
          <w:sz w:val="24"/>
          <w:highlight w:val="none"/>
        </w:rPr>
        <w:t>5</w:t>
      </w:r>
      <w:r>
        <w:rPr>
          <w:rFonts w:hint="eastAsia" w:ascii="宋体" w:hAnsi="宋体" w:eastAsia="宋体" w:cs="宋体"/>
          <w:color w:val="auto"/>
          <w:kern w:val="0"/>
          <w:sz w:val="24"/>
          <w:highlight w:val="none"/>
        </w:rPr>
        <w:t>%作为违约金。</w:t>
      </w:r>
    </w:p>
    <w:p>
      <w:pPr>
        <w:widowControl/>
        <w:spacing w:line="360" w:lineRule="auto"/>
        <w:ind w:firstLine="480" w:firstLineChars="200"/>
        <w:rPr>
          <w:rFonts w:hint="eastAsia"/>
          <w:color w:val="auto"/>
          <w:highlight w:val="none"/>
        </w:rPr>
      </w:pPr>
      <w:r>
        <w:rPr>
          <w:rFonts w:hint="eastAsia" w:ascii="宋体" w:hAnsi="宋体" w:eastAsia="宋体" w:cs="宋体"/>
          <w:color w:val="auto"/>
          <w:kern w:val="0"/>
          <w:sz w:val="24"/>
          <w:highlight w:val="none"/>
        </w:rPr>
        <w:t>1</w:t>
      </w:r>
      <w:r>
        <w:rPr>
          <w:rFonts w:ascii="宋体" w:hAnsi="宋体" w:eastAsia="宋体" w:cs="宋体"/>
          <w:color w:val="auto"/>
          <w:kern w:val="0"/>
          <w:sz w:val="24"/>
          <w:highlight w:val="none"/>
        </w:rPr>
        <w:t>1.7</w:t>
      </w:r>
      <w:r>
        <w:rPr>
          <w:rFonts w:hint="eastAsia" w:ascii="宋体" w:hAnsi="宋体" w:eastAsia="宋体" w:cs="宋体"/>
          <w:color w:val="auto"/>
          <w:kern w:val="0"/>
          <w:sz w:val="24"/>
          <w:highlight w:val="none"/>
        </w:rPr>
        <w:t>乙方为联合体的，乙方内部应当对甲方的损失以及乙方应对甲方承担的违约责任承担连带赔偿责任。</w:t>
      </w:r>
    </w:p>
    <w:p>
      <w:pPr>
        <w:spacing w:line="360" w:lineRule="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highlight w:val="none"/>
        </w:rPr>
        <w:t>第十</w:t>
      </w:r>
      <w:r>
        <w:rPr>
          <w:rFonts w:hint="eastAsia" w:ascii="宋体" w:hAnsi="宋体" w:eastAsia="宋体" w:cs="宋体"/>
          <w:b/>
          <w:color w:val="auto"/>
          <w:kern w:val="0"/>
          <w:sz w:val="24"/>
          <w:highlight w:val="none"/>
          <w:lang w:val="en-US" w:eastAsia="zh-CN"/>
        </w:rPr>
        <w:t>二</w:t>
      </w:r>
      <w:r>
        <w:rPr>
          <w:rFonts w:hint="eastAsia" w:ascii="宋体" w:hAnsi="宋体" w:eastAsia="宋体" w:cs="宋体"/>
          <w:b/>
          <w:color w:val="auto"/>
          <w:kern w:val="0"/>
          <w:sz w:val="24"/>
          <w:highlight w:val="none"/>
        </w:rPr>
        <w:t>条</w:t>
      </w:r>
      <w:r>
        <w:rPr>
          <w:rFonts w:hint="eastAsia" w:ascii="宋体" w:hAnsi="宋体" w:eastAsia="宋体" w:cs="宋体"/>
          <w:b/>
          <w:color w:val="auto"/>
          <w:kern w:val="0"/>
          <w:sz w:val="24"/>
          <w:highlight w:val="none"/>
          <w:lang w:val="en-US" w:eastAsia="zh-CN"/>
        </w:rPr>
        <w:t xml:space="preserve">  </w:t>
      </w:r>
      <w:r>
        <w:rPr>
          <w:rFonts w:hint="eastAsia" w:ascii="宋体" w:hAnsi="宋体" w:eastAsia="宋体" w:cs="宋体"/>
          <w:b/>
          <w:color w:val="auto"/>
          <w:kern w:val="0"/>
          <w:sz w:val="24"/>
          <w:szCs w:val="24"/>
          <w:highlight w:val="none"/>
        </w:rPr>
        <w:t>工程结算</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乙方</w:t>
      </w:r>
      <w:r>
        <w:rPr>
          <w:rFonts w:hint="eastAsia" w:ascii="宋体" w:hAnsi="宋体" w:eastAsia="宋体" w:cs="宋体"/>
          <w:color w:val="auto"/>
          <w:kern w:val="0"/>
          <w:sz w:val="24"/>
          <w:szCs w:val="24"/>
          <w:highlight w:val="none"/>
        </w:rPr>
        <w:t>报送给</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的结算文件，由</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采购的第三方工程造价咨询机构进行审计。审计费的收费标准按</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采购的第三方工程造价咨询机构签订的审计业务约定书的相关条款为准。</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本工程的审计费用，按如下条款执行：</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lang w:val="en-US" w:eastAsia="zh-CN"/>
        </w:rPr>
        <w:t xml:space="preserve">2.2.1 </w:t>
      </w:r>
      <w:r>
        <w:rPr>
          <w:rFonts w:hint="eastAsia" w:ascii="宋体" w:hAnsi="宋体" w:eastAsia="宋体" w:cs="宋体"/>
          <w:color w:val="auto"/>
          <w:kern w:val="0"/>
          <w:sz w:val="24"/>
          <w:szCs w:val="24"/>
          <w:highlight w:val="none"/>
        </w:rPr>
        <w:t>若审减率在3％（含3％）以内的，审计费总额由</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承担；</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注：审减率＝（送审结算金额－造价公司审定金额）÷送审结算金额，送审结算金额指报送到</w:t>
      </w:r>
      <w:r>
        <w:rPr>
          <w:rFonts w:hint="eastAsia" w:ascii="宋体" w:hAnsi="宋体" w:cs="宋体"/>
          <w:color w:val="auto"/>
          <w:kern w:val="0"/>
          <w:sz w:val="24"/>
          <w:szCs w:val="24"/>
          <w:highlight w:val="none"/>
          <w:lang w:val="en-US" w:eastAsia="zh-CN"/>
        </w:rPr>
        <w:t>甲方</w:t>
      </w:r>
      <w:r>
        <w:rPr>
          <w:rFonts w:hint="eastAsia" w:ascii="宋体" w:hAnsi="宋体" w:eastAsia="宋体" w:cs="宋体"/>
          <w:color w:val="auto"/>
          <w:kern w:val="0"/>
          <w:sz w:val="24"/>
          <w:szCs w:val="24"/>
          <w:highlight w:val="none"/>
        </w:rPr>
        <w:t>采购的第三方工程造价咨询机构的结算金额）</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lang w:val="en-US" w:eastAsia="zh-CN"/>
        </w:rPr>
        <w:t xml:space="preserve">2.2.2 </w:t>
      </w:r>
      <w:r>
        <w:rPr>
          <w:rFonts w:hint="eastAsia" w:ascii="宋体" w:hAnsi="宋体" w:eastAsia="宋体" w:cs="宋体"/>
          <w:color w:val="auto"/>
          <w:kern w:val="0"/>
          <w:sz w:val="24"/>
          <w:szCs w:val="24"/>
          <w:highlight w:val="none"/>
        </w:rPr>
        <w:t>若审减率超出3％且在10％（含10％）以内的，</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应承担超出部分的审计费，计算公式为：</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应承担的审计费＝（审减率－3％）÷审减率×审计费总额；</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lang w:val="en-US" w:eastAsia="zh-CN"/>
        </w:rPr>
        <w:t xml:space="preserve">2.2.3 </w:t>
      </w:r>
      <w:r>
        <w:rPr>
          <w:rFonts w:hint="eastAsia" w:ascii="宋体" w:hAnsi="宋体" w:eastAsia="宋体" w:cs="宋体"/>
          <w:color w:val="auto"/>
          <w:kern w:val="0"/>
          <w:sz w:val="24"/>
          <w:szCs w:val="24"/>
          <w:highlight w:val="none"/>
        </w:rPr>
        <w:t>若审减率超出10％的，审计费总额全部均由</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承担；</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lang w:val="en-US" w:eastAsia="zh-CN"/>
        </w:rPr>
        <w:t xml:space="preserve">2.2.4 </w:t>
      </w:r>
      <w:r>
        <w:rPr>
          <w:rFonts w:hint="eastAsia" w:ascii="宋体" w:hAnsi="宋体" w:eastAsia="宋体" w:cs="宋体"/>
          <w:color w:val="auto"/>
          <w:kern w:val="0"/>
          <w:sz w:val="24"/>
          <w:szCs w:val="24"/>
          <w:highlight w:val="none"/>
        </w:rPr>
        <w:t>应由</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承担的审计费用，甲方有权在任一笔尚未支付的合同款项中予以扣除。</w:t>
      </w:r>
    </w:p>
    <w:p>
      <w:pPr>
        <w:spacing w:line="360" w:lineRule="auto"/>
        <w:ind w:firstLine="48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 xml:space="preserve"> 本</w:t>
      </w:r>
      <w:r>
        <w:rPr>
          <w:rFonts w:hint="eastAsia" w:ascii="宋体" w:hAnsi="宋体" w:eastAsia="宋体" w:cs="宋体"/>
          <w:color w:val="auto"/>
          <w:kern w:val="0"/>
          <w:sz w:val="24"/>
          <w:szCs w:val="24"/>
          <w:highlight w:val="none"/>
        </w:rPr>
        <w:t>工程结算方式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按</w:t>
      </w:r>
      <w:r>
        <w:rPr>
          <w:rFonts w:hint="eastAsia" w:ascii="宋体" w:hAnsi="宋体" w:eastAsia="宋体" w:cs="宋体"/>
          <w:color w:val="auto"/>
          <w:kern w:val="0"/>
          <w:sz w:val="24"/>
          <w:szCs w:val="24"/>
          <w:highlight w:val="none"/>
          <w:lang w:val="en-US" w:eastAsia="zh-CN"/>
        </w:rPr>
        <w:t>结算价结算，综合单价不变，但不得超过合同总价（含税）。</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第十</w:t>
      </w:r>
      <w:r>
        <w:rPr>
          <w:rFonts w:hint="eastAsia" w:ascii="宋体" w:hAnsi="宋体" w:cs="宋体"/>
          <w:b/>
          <w:color w:val="auto"/>
          <w:kern w:val="0"/>
          <w:sz w:val="24"/>
          <w:highlight w:val="none"/>
          <w:lang w:val="en-US" w:eastAsia="zh-CN"/>
        </w:rPr>
        <w:t>三</w:t>
      </w:r>
      <w:r>
        <w:rPr>
          <w:rFonts w:hint="eastAsia" w:ascii="宋体" w:hAnsi="宋体" w:eastAsia="宋体" w:cs="宋体"/>
          <w:b/>
          <w:color w:val="auto"/>
          <w:kern w:val="0"/>
          <w:sz w:val="24"/>
          <w:highlight w:val="none"/>
        </w:rPr>
        <w:t>条  其他规定</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.1因工程施工而产生的垃圾，由乙方负责搬运，由此产生的费用</w:t>
      </w:r>
      <w:r>
        <w:rPr>
          <w:rFonts w:hint="eastAsia" w:ascii="宋体" w:hAnsi="宋体" w:eastAsia="宋体" w:cs="Cambria"/>
          <w:color w:val="auto"/>
          <w:kern w:val="0"/>
          <w:sz w:val="24"/>
          <w:highlight w:val="none"/>
        </w:rPr>
        <w:t>由乙方负担</w:t>
      </w:r>
      <w:r>
        <w:rPr>
          <w:rFonts w:hint="eastAsia" w:ascii="宋体" w:hAnsi="宋体" w:eastAsia="宋体" w:cs="宋体"/>
          <w:color w:val="auto"/>
          <w:kern w:val="0"/>
          <w:sz w:val="24"/>
          <w:highlight w:val="none"/>
        </w:rPr>
        <w:t>。</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.2施工期间，甲方交付施工地点的钥匙给乙方，由乙方负责保管，工程竣工验收合格后，甲方向乙方提供新锁一套，由乙方当场负责安装并交付甲方。</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.3</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乙方按合同约定和规范施工，如甲方有特殊要求，需在施工前以书面形式通知乙方。</w:t>
      </w:r>
    </w:p>
    <w:p>
      <w:pPr>
        <w:spacing w:line="360" w:lineRule="auto"/>
        <w:ind w:firstLine="48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13.4 </w:t>
      </w:r>
      <w:r>
        <w:rPr>
          <w:rFonts w:hint="eastAsia" w:ascii="宋体" w:hAnsi="宋体" w:eastAsia="宋体" w:cs="宋体"/>
          <w:color w:val="auto"/>
          <w:kern w:val="0"/>
          <w:sz w:val="24"/>
          <w:szCs w:val="24"/>
          <w:highlight w:val="none"/>
        </w:rPr>
        <w:t>由于设计失误，致使</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项目造成重大损失，</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应承担</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全部经济损失，</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保留追究</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责任的权利；本项目招标文件、中标人投标文件均作为本合同组成部分，与本合同具有同等法律效力。</w:t>
      </w:r>
    </w:p>
    <w:p>
      <w:pPr>
        <w:widowControl/>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第十</w:t>
      </w:r>
      <w:r>
        <w:rPr>
          <w:rFonts w:hint="eastAsia" w:ascii="宋体" w:hAnsi="宋体" w:cs="宋体"/>
          <w:b/>
          <w:color w:val="auto"/>
          <w:kern w:val="0"/>
          <w:sz w:val="24"/>
          <w:highlight w:val="none"/>
          <w:lang w:val="en-US" w:eastAsia="zh-CN"/>
        </w:rPr>
        <w:t>四</w:t>
      </w:r>
      <w:r>
        <w:rPr>
          <w:rFonts w:hint="eastAsia" w:ascii="宋体" w:hAnsi="宋体" w:eastAsia="宋体" w:cs="宋体"/>
          <w:b/>
          <w:color w:val="auto"/>
          <w:kern w:val="0"/>
          <w:sz w:val="24"/>
          <w:highlight w:val="none"/>
        </w:rPr>
        <w:t>条  合同争议的解决方式</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双方发生争议不能协商解决时，任一方均有权向项目所在地有管辖权的人民法院提起诉讼。</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第十四条   附则</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14.1本合同生效后工程不得全部或部分转包、分包。</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14.2本合同一式</w:t>
      </w:r>
      <w:r>
        <w:rPr>
          <w:rFonts w:hint="eastAsia" w:ascii="宋体" w:hAnsi="宋体" w:cs="宋体"/>
          <w:color w:val="auto"/>
          <w:kern w:val="0"/>
          <w:sz w:val="24"/>
          <w:highlight w:val="none"/>
          <w:u w:val="single"/>
          <w:lang w:val="en-US" w:eastAsia="zh-CN"/>
        </w:rPr>
        <w:t xml:space="preserve"> 8 </w:t>
      </w:r>
      <w:r>
        <w:rPr>
          <w:rFonts w:hint="eastAsia" w:ascii="宋体" w:hAnsi="宋体" w:eastAsia="宋体" w:cs="宋体"/>
          <w:color w:val="auto"/>
          <w:kern w:val="0"/>
          <w:sz w:val="24"/>
          <w:highlight w:val="none"/>
        </w:rPr>
        <w:t>份，双方盖章后生效，甲方持</w:t>
      </w:r>
      <w:r>
        <w:rPr>
          <w:rFonts w:hint="eastAsia" w:ascii="宋体" w:hAnsi="宋体" w:cs="宋体"/>
          <w:color w:val="auto"/>
          <w:kern w:val="0"/>
          <w:sz w:val="24"/>
          <w:highlight w:val="none"/>
          <w:u w:val="single"/>
          <w:lang w:val="en-US" w:eastAsia="zh-CN"/>
        </w:rPr>
        <w:t>4</w:t>
      </w:r>
      <w:r>
        <w:rPr>
          <w:rFonts w:hint="eastAsia" w:ascii="宋体" w:hAnsi="宋体" w:eastAsia="宋体" w:cs="宋体"/>
          <w:color w:val="auto"/>
          <w:kern w:val="0"/>
          <w:sz w:val="24"/>
          <w:highlight w:val="none"/>
        </w:rPr>
        <w:t>份、乙方持</w:t>
      </w:r>
      <w:r>
        <w:rPr>
          <w:rFonts w:hint="eastAsia" w:ascii="宋体" w:hAnsi="宋体" w:cs="宋体"/>
          <w:color w:val="auto"/>
          <w:kern w:val="0"/>
          <w:sz w:val="24"/>
          <w:highlight w:val="none"/>
          <w:u w:val="single"/>
          <w:lang w:val="en-US" w:eastAsia="zh-CN"/>
        </w:rPr>
        <w:t>4</w:t>
      </w:r>
      <w:r>
        <w:rPr>
          <w:rFonts w:hint="eastAsia" w:ascii="宋体" w:hAnsi="宋体" w:eastAsia="宋体" w:cs="宋体"/>
          <w:color w:val="auto"/>
          <w:kern w:val="0"/>
          <w:sz w:val="24"/>
          <w:highlight w:val="none"/>
        </w:rPr>
        <w:t>份，具有同等法律效力。</w:t>
      </w:r>
    </w:p>
    <w:p>
      <w:pPr>
        <w:widowControl/>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第十五条  合同附件</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15.1 </w:t>
      </w:r>
      <w:r>
        <w:rPr>
          <w:rFonts w:hint="eastAsia" w:ascii="宋体" w:hAnsi="宋体" w:eastAsia="宋体" w:cs="宋体"/>
          <w:color w:val="auto"/>
          <w:kern w:val="0"/>
          <w:sz w:val="24"/>
          <w:szCs w:val="24"/>
          <w:highlight w:val="none"/>
        </w:rPr>
        <w:t>以下附件均为本合同组成部分，与本合同具有同等法律效力。</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lang w:val="en-US" w:eastAsia="zh-CN"/>
        </w:rPr>
        <w:t>5.1.1 招标公告</w:t>
      </w:r>
      <w:r>
        <w:rPr>
          <w:rFonts w:hint="eastAsia" w:ascii="宋体" w:hAnsi="宋体" w:eastAsia="宋体" w:cs="宋体"/>
          <w:color w:val="auto"/>
          <w:kern w:val="0"/>
          <w:sz w:val="24"/>
          <w:szCs w:val="24"/>
          <w:highlight w:val="none"/>
        </w:rPr>
        <w:t>。</w:t>
      </w:r>
    </w:p>
    <w:p>
      <w:pPr>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lang w:val="en-US" w:eastAsia="zh-CN"/>
        </w:rPr>
        <w:t xml:space="preserve">5.1.2 </w:t>
      </w:r>
      <w:r>
        <w:rPr>
          <w:rFonts w:hint="eastAsia" w:ascii="宋体" w:hAnsi="宋体" w:eastAsia="宋体" w:cs="宋体"/>
          <w:color w:val="auto"/>
          <w:kern w:val="0"/>
          <w:sz w:val="24"/>
          <w:szCs w:val="24"/>
          <w:highlight w:val="none"/>
          <w:lang w:eastAsia="zh-CN"/>
        </w:rPr>
        <w:t>投标</w:t>
      </w:r>
      <w:r>
        <w:rPr>
          <w:rFonts w:hint="eastAsia" w:ascii="宋体" w:hAnsi="宋体" w:eastAsia="宋体" w:cs="宋体"/>
          <w:color w:val="auto"/>
          <w:kern w:val="0"/>
          <w:sz w:val="24"/>
          <w:szCs w:val="24"/>
          <w:highlight w:val="none"/>
        </w:rPr>
        <w:t>文件。</w:t>
      </w:r>
    </w:p>
    <w:p>
      <w:pPr>
        <w:widowControl/>
        <w:spacing w:line="360" w:lineRule="auto"/>
        <w:rPr>
          <w:rFonts w:hint="eastAsia" w:ascii="宋体" w:hAnsi="宋体" w:eastAsia="宋体" w:cs="宋体"/>
          <w:color w:val="auto"/>
          <w:kern w:val="0"/>
          <w:sz w:val="24"/>
          <w:highlight w:val="none"/>
        </w:rPr>
      </w:pPr>
    </w:p>
    <w:p>
      <w:pPr>
        <w:pStyle w:val="18"/>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p>
      <w:pPr>
        <w:widowControl/>
        <w:spacing w:line="48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198120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5.6pt;height:0pt;width:0.05pt;z-index:251666432;mso-width-relative:page;mso-height-relative:page;" filled="f" stroked="t" coordsize="21600,21600" o:gfxdata="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yBtL0wAAAAcBAAAPAAAAAAAAAAEAIAAAACIAAABkcnMvZG93bnJldi54bWxQSwECFAAUAAAACACH&#10;TuJAeN9u1/ABAADgAwAADgAAAAAAAAABACAAAAAiAQAAZHJzL2Uyb0RvYy54bWxQSwUGAAAAAAYA&#10;BgBZAQAAhAUAAAAA&#10;">
                <v:fill on="f" focussize="0,0"/>
                <v:stroke color="#000000" joinstyle="round"/>
                <v:imagedata o:title=""/>
                <o:lock v:ext="edit" aspectratio="f"/>
              </v:line>
            </w:pict>
          </mc:Fallback>
        </mc:AlternateContent>
      </w:r>
      <w:r>
        <w:rPr>
          <w:rFonts w:hint="eastAsia" w:ascii="宋体" w:hAnsi="宋体" w:eastAsia="宋体" w:cs="宋体"/>
          <w:color w:val="auto"/>
          <w:kern w:val="0"/>
          <w:sz w:val="24"/>
          <w:highlight w:val="none"/>
        </w:rPr>
        <w:t xml:space="preserve">甲方：（盖章） </w:t>
      </w:r>
      <w:r>
        <w:rPr>
          <w:rFonts w:ascii="宋体" w:hAnsi="宋体" w:eastAsia="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乙方（盖章）：</w:t>
      </w:r>
    </w:p>
    <w:p>
      <w:pPr>
        <w:widowControl/>
        <w:spacing w:line="48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p>
    <w:p>
      <w:pPr>
        <w:widowControl/>
        <w:spacing w:line="48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法定代表人（盖章或签字）：    </w:t>
      </w:r>
      <w:r>
        <w:rPr>
          <w:rFonts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 xml:space="preserve">              法定代表人（盖章或签字）   </w:t>
      </w:r>
    </w:p>
    <w:p>
      <w:pPr>
        <w:rPr>
          <w:color w:val="auto"/>
          <w:highlight w:val="none"/>
        </w:rPr>
      </w:pPr>
      <w:r>
        <w:rPr>
          <w:rFonts w:hint="eastAsia" w:ascii="宋体" w:hAnsi="宋体" w:eastAsia="宋体" w:cs="宋体"/>
          <w:color w:val="auto"/>
          <w:kern w:val="0"/>
          <w:sz w:val="24"/>
          <w:highlight w:val="none"/>
        </w:rPr>
        <w:t xml:space="preserve">   年      月      日                            年     月      日</w:t>
      </w:r>
    </w:p>
    <w:p>
      <w:pPr>
        <w:pStyle w:val="127"/>
        <w:spacing w:before="0" w:beforeAutospacing="0" w:after="0" w:afterAutospacing="0" w:line="360" w:lineRule="auto"/>
        <w:ind w:firstLine="1105" w:firstLineChars="393"/>
        <w:rPr>
          <w:rStyle w:val="128"/>
          <w:rFonts w:hint="eastAsia"/>
          <w:b/>
          <w:color w:val="auto"/>
          <w:sz w:val="28"/>
          <w:szCs w:val="28"/>
          <w:highlight w:val="none"/>
        </w:rPr>
      </w:pPr>
    </w:p>
    <w:p>
      <w:pPr>
        <w:pStyle w:val="127"/>
        <w:spacing w:before="0" w:beforeAutospacing="0" w:after="0" w:afterAutospacing="0" w:line="360" w:lineRule="auto"/>
        <w:ind w:firstLine="1105" w:firstLineChars="393"/>
        <w:rPr>
          <w:rStyle w:val="128"/>
          <w:rFonts w:hint="eastAsia"/>
          <w:b/>
          <w:color w:val="auto"/>
          <w:sz w:val="28"/>
          <w:szCs w:val="28"/>
          <w:highlight w:val="none"/>
        </w:rPr>
      </w:pPr>
    </w:p>
    <w:p>
      <w:pPr>
        <w:keepNext/>
        <w:keepLines/>
        <w:spacing w:after="120" w:line="360" w:lineRule="auto"/>
        <w:jc w:val="center"/>
        <w:outlineLvl w:val="0"/>
        <w:rPr>
          <w:rFonts w:ascii="Times New Roman" w:hAnsi="Times New Roman" w:eastAsia="宋体" w:cs="Times New Roman"/>
          <w:b/>
          <w:color w:val="auto"/>
          <w:kern w:val="44"/>
          <w:sz w:val="28"/>
          <w:szCs w:val="28"/>
          <w:highlight w:val="none"/>
        </w:rPr>
      </w:pPr>
      <w:bookmarkStart w:id="72" w:name="_Toc25284"/>
      <w:bookmarkStart w:id="73" w:name="_Toc17346"/>
      <w:bookmarkStart w:id="74" w:name="_Toc27181"/>
      <w:r>
        <w:rPr>
          <w:rFonts w:ascii="Times New Roman" w:hAnsi="Times New Roman" w:eastAsia="宋体" w:cs="Times New Roman"/>
          <w:b/>
          <w:color w:val="auto"/>
          <w:kern w:val="44"/>
          <w:sz w:val="28"/>
          <w:szCs w:val="28"/>
          <w:highlight w:val="none"/>
        </w:rPr>
        <w:t>第五章 用户需求书</w:t>
      </w:r>
      <w:bookmarkEnd w:id="72"/>
      <w:bookmarkEnd w:id="73"/>
      <w:bookmarkEnd w:id="74"/>
    </w:p>
    <w:p>
      <w:pPr>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left="0" w:firstLine="482" w:firstLineChars="200"/>
        <w:textAlignment w:val="auto"/>
        <w:rPr>
          <w:rFonts w:hint="eastAsia" w:ascii="宋体" w:hAnsi="宋体" w:eastAsia="宋体" w:cs="宋体"/>
          <w:b/>
          <w:bCs/>
          <w:color w:val="auto"/>
          <w:sz w:val="24"/>
          <w:szCs w:val="24"/>
          <w:highlight w:val="none"/>
        </w:rPr>
      </w:pPr>
      <w:bookmarkStart w:id="75" w:name="_Toc6246"/>
      <w:bookmarkStart w:id="76" w:name="_Toc26660"/>
      <w:bookmarkStart w:id="77" w:name="_Toc2272569"/>
      <w:bookmarkStart w:id="78" w:name="_Toc6177"/>
      <w:r>
        <w:rPr>
          <w:rFonts w:hint="eastAsia" w:ascii="宋体" w:hAnsi="宋体" w:eastAsia="宋体" w:cs="宋体"/>
          <w:b/>
          <w:bCs/>
          <w:color w:val="auto"/>
          <w:sz w:val="24"/>
          <w:szCs w:val="24"/>
          <w:highlight w:val="none"/>
        </w:rPr>
        <w:t>工程名称、地点</w:t>
      </w:r>
    </w:p>
    <w:p>
      <w:pPr>
        <w:keepNext w:val="0"/>
        <w:keepLines w:val="0"/>
        <w:pageBreakBefore w:val="0"/>
        <w:widowControl w:val="0"/>
        <w:numPr>
          <w:ilvl w:val="0"/>
          <w:numId w:val="17"/>
        </w:numPr>
        <w:tabs>
          <w:tab w:val="left" w:pos="540"/>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传媒大厦中央空调供暖及精密空调改造项目</w:t>
      </w:r>
      <w:r>
        <w:rPr>
          <w:rFonts w:hint="eastAsia" w:ascii="宋体" w:hAnsi="宋体" w:eastAsia="宋体" w:cs="宋体"/>
          <w:color w:val="auto"/>
          <w:sz w:val="24"/>
          <w:szCs w:val="24"/>
          <w:highlight w:val="none"/>
        </w:rPr>
        <w:t>。</w:t>
      </w:r>
    </w:p>
    <w:p>
      <w:pPr>
        <w:keepNext w:val="0"/>
        <w:keepLines w:val="0"/>
        <w:pageBreakBefore w:val="0"/>
        <w:widowControl w:val="0"/>
        <w:numPr>
          <w:ilvl w:val="0"/>
          <w:numId w:val="17"/>
        </w:numPr>
        <w:tabs>
          <w:tab w:val="left" w:pos="540"/>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建设地点：广州大道中289号</w:t>
      </w:r>
      <w:r>
        <w:rPr>
          <w:rFonts w:hint="eastAsia" w:ascii="宋体" w:hAnsi="宋体" w:eastAsia="宋体" w:cs="宋体"/>
          <w:color w:val="auto"/>
          <w:sz w:val="24"/>
          <w:szCs w:val="24"/>
          <w:highlight w:val="none"/>
          <w:lang w:val="en-US" w:eastAsia="zh-CN"/>
        </w:rPr>
        <w:t>1号楼</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3.招标单位：广东南方报业传媒集团物业管理有限公司</w:t>
      </w:r>
    </w:p>
    <w:p>
      <w:pPr>
        <w:pStyle w:val="19"/>
        <w:keepNext w:val="0"/>
        <w:keepLines w:val="0"/>
        <w:pageBreakBefore w:val="0"/>
        <w:widowControl w:val="0"/>
        <w:kinsoku/>
        <w:wordWrap/>
        <w:overflowPunct/>
        <w:topLinePunct w:val="0"/>
        <w:autoSpaceDE/>
        <w:autoSpaceDN/>
        <w:bidi w:val="0"/>
        <w:adjustRightInd/>
        <w:snapToGrid w:val="0"/>
        <w:spacing w:after="0"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4.本项目招标主休为广东南方报业传媒集团物业管理有限公司，合同签订主体为南方日报社。</w:t>
      </w:r>
    </w:p>
    <w:p>
      <w:pPr>
        <w:pStyle w:val="19"/>
        <w:keepNext w:val="0"/>
        <w:keepLines w:val="0"/>
        <w:pageBreakBefore w:val="0"/>
        <w:widowControl w:val="0"/>
        <w:kinsoku/>
        <w:wordWrap/>
        <w:overflowPunct/>
        <w:topLinePunct w:val="0"/>
        <w:autoSpaceDE/>
        <w:autoSpaceDN/>
        <w:bidi w:val="0"/>
        <w:adjustRightInd/>
        <w:snapToGrid w:val="0"/>
        <w:spacing w:after="0" w:line="360" w:lineRule="auto"/>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5.中标人中标后须与合同签订主体签订本项目的施工合同。</w:t>
      </w:r>
    </w:p>
    <w:p>
      <w:pPr>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lef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工程</w:t>
      </w:r>
      <w:r>
        <w:rPr>
          <w:rFonts w:hint="eastAsia" w:ascii="宋体" w:hAnsi="宋体" w:eastAsia="宋体" w:cs="宋体"/>
          <w:b/>
          <w:bCs/>
          <w:color w:val="auto"/>
          <w:sz w:val="24"/>
          <w:szCs w:val="24"/>
          <w:highlight w:val="none"/>
          <w:lang w:val="en-US" w:eastAsia="zh-CN"/>
        </w:rPr>
        <w:t>概况</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val="0"/>
        <w:spacing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在1号楼裙楼6层平台增设一套</w:t>
      </w:r>
      <w:r>
        <w:rPr>
          <w:rFonts w:hint="eastAsia" w:ascii="宋体" w:hAnsi="宋体" w:eastAsia="宋体" w:cs="宋体"/>
          <w:color w:val="auto"/>
          <w:kern w:val="2"/>
          <w:sz w:val="24"/>
          <w:szCs w:val="24"/>
          <w:highlight w:val="none"/>
          <w:lang w:val="en-US" w:eastAsia="zh-CN"/>
        </w:rPr>
        <w:t>供暖机组</w:t>
      </w:r>
      <w:r>
        <w:rPr>
          <w:rFonts w:hint="eastAsia" w:ascii="宋体" w:hAnsi="宋体" w:eastAsia="宋体" w:cs="宋体"/>
          <w:color w:val="auto"/>
          <w:sz w:val="24"/>
          <w:szCs w:val="24"/>
          <w:highlight w:val="none"/>
          <w:lang w:val="en-US" w:eastAsia="zh-CN"/>
        </w:rPr>
        <w:t>供1号楼6至28层</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2号楼6层</w:t>
      </w:r>
      <w:r>
        <w:rPr>
          <w:rFonts w:hint="eastAsia" w:ascii="宋体" w:hAnsi="宋体" w:eastAsia="宋体" w:cs="宋体"/>
          <w:color w:val="auto"/>
          <w:sz w:val="24"/>
          <w:szCs w:val="24"/>
          <w:highlight w:val="none"/>
          <w:lang w:val="en-US" w:eastAsia="zh-CN"/>
        </w:rPr>
        <w:t>及裙楼1至5层办公区域冬季使用，空调供暖面积约为38,737平方米。空调管路采用原用的两管制空调水管，热源水管接入原供冷系统冷冻水管，不供热源的区域应安装电动阀门控制。大厦原空调末端不做更改。</w:t>
      </w:r>
    </w:p>
    <w:p>
      <w:pPr>
        <w:pStyle w:val="19"/>
        <w:keepNext w:val="0"/>
        <w:keepLines w:val="0"/>
        <w:pageBreakBefore w:val="0"/>
        <w:widowControl w:val="0"/>
        <w:kinsoku/>
        <w:wordWrap/>
        <w:overflowPunct/>
        <w:topLinePunct w:val="0"/>
        <w:autoSpaceDE/>
        <w:autoSpaceDN/>
        <w:bidi w:val="0"/>
        <w:adjustRightInd/>
        <w:snapToGrid w:val="0"/>
        <w:spacing w:after="0" w:line="360" w:lineRule="auto"/>
        <w:ind w:left="0" w:firstLine="480" w:firstLineChars="200"/>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供暖机组电源采用母线槽从负三层配电房1D7低压柜备用开关（1250A）接取到6层平台控制室。控制室需在6层平台合适位置搭建。</w:t>
      </w:r>
    </w:p>
    <w:p>
      <w:pPr>
        <w:pStyle w:val="19"/>
        <w:keepNext w:val="0"/>
        <w:keepLines w:val="0"/>
        <w:pageBreakBefore w:val="0"/>
        <w:widowControl w:val="0"/>
        <w:kinsoku/>
        <w:wordWrap/>
        <w:overflowPunct/>
        <w:topLinePunct w:val="0"/>
        <w:autoSpaceDE/>
        <w:autoSpaceDN/>
        <w:bidi w:val="0"/>
        <w:adjustRightInd/>
        <w:snapToGrid w:val="0"/>
        <w:spacing w:after="0" w:line="360" w:lineRule="auto"/>
        <w:ind w:left="0" w:firstLine="480" w:firstLineChars="200"/>
        <w:textAlignment w:val="auto"/>
        <w:rPr>
          <w:rFonts w:hint="eastAsia" w:ascii="宋体" w:hAnsi="宋体" w:eastAsia="宋体" w:cs="宋体"/>
          <w:color w:val="auto"/>
          <w:spacing w:val="0"/>
          <w:sz w:val="24"/>
          <w:szCs w:val="24"/>
          <w:highlight w:val="none"/>
          <w:shd w:val="clear" w:color="auto" w:fill="auto"/>
          <w:lang w:val="en-US" w:eastAsia="zh-CN"/>
        </w:rPr>
      </w:pPr>
      <w:r>
        <w:rPr>
          <w:rFonts w:hint="eastAsia" w:ascii="宋体" w:hAnsi="宋体" w:eastAsia="宋体" w:cs="宋体"/>
          <w:i w:val="0"/>
          <w:caps w:val="0"/>
          <w:color w:val="auto"/>
          <w:spacing w:val="0"/>
          <w:sz w:val="24"/>
          <w:szCs w:val="24"/>
          <w:highlight w:val="none"/>
          <w:shd w:val="clear" w:color="auto" w:fill="auto"/>
          <w:lang w:val="en-US" w:eastAsia="zh-CN"/>
        </w:rPr>
        <w:t>1号楼6层的档案库房安装精密空调，保持适宜的温、湿度（要求温度：14℃-24℃，相对湿度：45%-65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pacing w:val="0"/>
          <w:sz w:val="24"/>
          <w:szCs w:val="24"/>
          <w:highlight w:val="none"/>
          <w:shd w:val="clear" w:color="auto" w:fill="auto"/>
          <w:lang w:val="en-US" w:eastAsia="zh-CN"/>
        </w:rPr>
        <w:t>。</w:t>
      </w:r>
    </w:p>
    <w:p>
      <w:pPr>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lef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技术</w:t>
      </w:r>
      <w:r>
        <w:rPr>
          <w:rFonts w:hint="eastAsia" w:ascii="宋体" w:hAnsi="宋体" w:eastAsia="宋体" w:cs="宋体"/>
          <w:b/>
          <w:bCs/>
          <w:color w:val="auto"/>
          <w:sz w:val="24"/>
          <w:szCs w:val="24"/>
          <w:highlight w:val="none"/>
        </w:rPr>
        <w:t>要求</w:t>
      </w:r>
    </w:p>
    <w:p>
      <w:pPr>
        <w:keepNext w:val="0"/>
        <w:keepLines w:val="0"/>
        <w:pageBreakBefore w:val="0"/>
        <w:widowControl w:val="0"/>
        <w:numPr>
          <w:ilvl w:val="0"/>
          <w:numId w:val="18"/>
        </w:numPr>
        <w:tabs>
          <w:tab w:val="left" w:pos="540"/>
          <w:tab w:val="clear" w:pos="312"/>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使用的管道应选用符合国家标准和规范要求的耐腐蚀、耐压力、耐低温等特性的材料。</w:t>
      </w:r>
    </w:p>
    <w:p>
      <w:pPr>
        <w:keepNext w:val="0"/>
        <w:keepLines w:val="0"/>
        <w:pageBreakBefore w:val="0"/>
        <w:widowControl w:val="0"/>
        <w:numPr>
          <w:ilvl w:val="0"/>
          <w:numId w:val="18"/>
        </w:numPr>
        <w:tabs>
          <w:tab w:val="left" w:pos="540"/>
          <w:tab w:val="clear" w:pos="312"/>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为了减少供暖水管的热量损失，管道外部进行绝冷处理，采用柔性泡沫橡塑保温，厚度不少于25mm，室外部分包铝片保护。</w:t>
      </w:r>
    </w:p>
    <w:p>
      <w:pPr>
        <w:keepNext w:val="0"/>
        <w:keepLines w:val="0"/>
        <w:pageBreakBefore w:val="0"/>
        <w:widowControl w:val="0"/>
        <w:numPr>
          <w:ilvl w:val="0"/>
          <w:numId w:val="18"/>
        </w:numPr>
        <w:tabs>
          <w:tab w:val="left" w:pos="540"/>
          <w:tab w:val="clear" w:pos="312"/>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管道连接根据具体情况选择合适的连接方式，确保连接牢固、密封可靠。原有的保温层不得损坏、损坏应及时修补好。</w:t>
      </w:r>
    </w:p>
    <w:p>
      <w:pPr>
        <w:keepNext w:val="0"/>
        <w:keepLines w:val="0"/>
        <w:pageBreakBefore w:val="0"/>
        <w:widowControl w:val="0"/>
        <w:numPr>
          <w:ilvl w:val="0"/>
          <w:numId w:val="18"/>
        </w:numPr>
        <w:tabs>
          <w:tab w:val="left" w:pos="540"/>
          <w:tab w:val="clear" w:pos="312"/>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空调水系统采用一级泵变流量系统，供暖系统管路和夏季空调共用。供冷、供暖通过群控模式控制总管上的电动阀切换实现。</w:t>
      </w:r>
    </w:p>
    <w:p>
      <w:pPr>
        <w:keepNext w:val="0"/>
        <w:keepLines w:val="0"/>
        <w:pageBreakBefore w:val="0"/>
        <w:widowControl w:val="0"/>
        <w:numPr>
          <w:ilvl w:val="0"/>
          <w:numId w:val="18"/>
        </w:numPr>
        <w:tabs>
          <w:tab w:val="left" w:pos="540"/>
          <w:tab w:val="clear" w:pos="312"/>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供暖机组安装位置按甲方要求安装，并要确保甲方提供场地具备足够的空间和承重能力。</w:t>
      </w:r>
    </w:p>
    <w:p>
      <w:pPr>
        <w:keepNext w:val="0"/>
        <w:keepLines w:val="0"/>
        <w:pageBreakBefore w:val="0"/>
        <w:widowControl w:val="0"/>
        <w:numPr>
          <w:ilvl w:val="0"/>
          <w:numId w:val="18"/>
        </w:numPr>
        <w:tabs>
          <w:tab w:val="left" w:pos="540"/>
          <w:tab w:val="clear" w:pos="312"/>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供暖机组的控制系统需要与供暖系统配套，包括温度、压力、流量等参数的监测和调节，确保机组能够按照设定的要求进行运行和控制。</w:t>
      </w:r>
    </w:p>
    <w:p>
      <w:pPr>
        <w:keepNext w:val="0"/>
        <w:keepLines w:val="0"/>
        <w:pageBreakBefore w:val="0"/>
        <w:widowControl w:val="0"/>
        <w:numPr>
          <w:ilvl w:val="0"/>
          <w:numId w:val="18"/>
        </w:numPr>
        <w:tabs>
          <w:tab w:val="left" w:pos="540"/>
          <w:tab w:val="clear" w:pos="312"/>
        </w:tabs>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供暖机组要求应视甲方要求进行详细设计和施工方案制定，确保整套供暖系统安全、可靠和高效运行。</w:t>
      </w:r>
    </w:p>
    <w:p>
      <w:pPr>
        <w:keepNext w:val="0"/>
        <w:keepLines w:val="0"/>
        <w:pageBreakBefore w:val="0"/>
        <w:widowControl w:val="0"/>
        <w:numPr>
          <w:ilvl w:val="0"/>
          <w:numId w:val="18"/>
        </w:numPr>
        <w:tabs>
          <w:tab w:val="left" w:pos="540"/>
        </w:tabs>
        <w:kinsoku/>
        <w:wordWrap/>
        <w:overflowPunct/>
        <w:topLinePunct w:val="0"/>
        <w:autoSpaceDE/>
        <w:autoSpaceDN/>
        <w:bidi w:val="0"/>
        <w:adjustRightInd/>
        <w:snapToGrid w:val="0"/>
        <w:spacing w:line="360" w:lineRule="auto"/>
        <w:ind w:left="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供暖机组的电气系统需要符合电气安全规范，包括电源接入、配电箱、电缆敷设、接地保护等，以确保机组的安全运行。</w:t>
      </w:r>
    </w:p>
    <w:p>
      <w:pPr>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left="0"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主材品牌推荐</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val="0"/>
        <w:spacing w:line="360" w:lineRule="auto"/>
        <w:ind w:lef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本项目采用的主材推荐选用下述所列品牌（或厂家）或投标人选用同等档次或优于推荐品牌的品牌（或厂家）。</w:t>
      </w:r>
    </w:p>
    <w:p>
      <w:pPr>
        <w:keepNext w:val="0"/>
        <w:keepLines w:val="0"/>
        <w:pageBreakBefore w:val="0"/>
        <w:widowControl w:val="0"/>
        <w:numPr>
          <w:ilvl w:val="0"/>
          <w:numId w:val="19"/>
        </w:numPr>
        <w:tabs>
          <w:tab w:val="left" w:pos="540"/>
        </w:tabs>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风冷涡旋热泵机组（使用环保制冷剂）：日立、麦克维尔、开利、约克、特灵。</w:t>
      </w:r>
    </w:p>
    <w:p>
      <w:pPr>
        <w:keepNext w:val="0"/>
        <w:keepLines w:val="0"/>
        <w:pageBreakBefore w:val="0"/>
        <w:widowControl w:val="0"/>
        <w:numPr>
          <w:ilvl w:val="0"/>
          <w:numId w:val="19"/>
        </w:numPr>
        <w:tabs>
          <w:tab w:val="left" w:pos="540"/>
        </w:tabs>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精密空调（使用环保制冷剂）：</w:t>
      </w:r>
      <w:r>
        <w:rPr>
          <w:rFonts w:hint="eastAsia" w:ascii="宋体" w:hAnsi="宋体" w:eastAsia="宋体" w:cs="宋体"/>
          <w:i w:val="0"/>
          <w:iCs w:val="0"/>
          <w:caps w:val="0"/>
          <w:color w:val="auto"/>
          <w:spacing w:val="0"/>
          <w:sz w:val="24"/>
          <w:szCs w:val="24"/>
          <w:highlight w:val="none"/>
          <w:shd w:val="clear"/>
        </w:rPr>
        <w:t>湿腾、清华同方瑞风、申菱、世图兹Stulz、阿尔西Airsys</w:t>
      </w:r>
      <w:r>
        <w:rPr>
          <w:rFonts w:hint="eastAsia" w:ascii="宋体" w:hAnsi="宋体" w:eastAsia="宋体" w:cs="宋体"/>
          <w:color w:val="auto"/>
          <w:sz w:val="24"/>
          <w:szCs w:val="24"/>
          <w:highlight w:val="none"/>
          <w:lang w:val="en-US" w:eastAsia="zh-CN"/>
        </w:rPr>
        <w:t>。</w:t>
      </w:r>
    </w:p>
    <w:p>
      <w:pPr>
        <w:keepNext w:val="0"/>
        <w:keepLines w:val="0"/>
        <w:pageBreakBefore w:val="0"/>
        <w:widowControl w:val="0"/>
        <w:numPr>
          <w:ilvl w:val="0"/>
          <w:numId w:val="19"/>
        </w:numPr>
        <w:tabs>
          <w:tab w:val="left" w:pos="540"/>
        </w:tabs>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水泵：</w:t>
      </w:r>
      <w:r>
        <w:rPr>
          <w:rFonts w:hint="eastAsia" w:ascii="宋体" w:hAnsi="宋体" w:eastAsia="宋体" w:cs="宋体"/>
          <w:i w:val="0"/>
          <w:caps w:val="0"/>
          <w:color w:val="auto"/>
          <w:spacing w:val="0"/>
          <w:sz w:val="24"/>
          <w:szCs w:val="24"/>
          <w:highlight w:val="none"/>
        </w:rPr>
        <w:t>广一泵业、白云泵业、肯富来泵业、凌霄泵业、南方泵业</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lang w:val="en-US" w:eastAsia="zh-CN"/>
        </w:rPr>
        <w:t>合一泵业、</w:t>
      </w:r>
      <w:r>
        <w:rPr>
          <w:rFonts w:hint="eastAsia" w:ascii="宋体" w:hAnsi="宋体" w:eastAsia="宋体" w:cs="宋体"/>
          <w:i w:val="0"/>
          <w:iCs w:val="0"/>
          <w:caps w:val="0"/>
          <w:color w:val="auto"/>
          <w:spacing w:val="0"/>
          <w:sz w:val="24"/>
          <w:szCs w:val="24"/>
          <w:highlight w:val="none"/>
          <w:shd w:val="clear" w:fill="auto"/>
        </w:rPr>
        <w:t>上海双解泵业</w:t>
      </w:r>
      <w:r>
        <w:rPr>
          <w:rFonts w:hint="eastAsia" w:ascii="宋体" w:hAnsi="宋体" w:eastAsia="宋体" w:cs="宋体"/>
          <w:i w:val="0"/>
          <w:caps w:val="0"/>
          <w:color w:val="auto"/>
          <w:spacing w:val="0"/>
          <w:sz w:val="24"/>
          <w:szCs w:val="24"/>
          <w:highlight w:val="none"/>
          <w:lang w:val="en-US" w:eastAsia="zh-CN"/>
        </w:rPr>
        <w:t>。</w:t>
      </w:r>
    </w:p>
    <w:p>
      <w:pPr>
        <w:keepNext w:val="0"/>
        <w:keepLines w:val="0"/>
        <w:pageBreakBefore w:val="0"/>
        <w:widowControl w:val="0"/>
        <w:numPr>
          <w:ilvl w:val="0"/>
          <w:numId w:val="19"/>
        </w:numPr>
        <w:tabs>
          <w:tab w:val="left" w:pos="540"/>
        </w:tabs>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阀门：</w:t>
      </w:r>
      <w:r>
        <w:rPr>
          <w:rFonts w:hint="eastAsia" w:ascii="宋体" w:hAnsi="宋体" w:eastAsia="宋体" w:cs="宋体"/>
          <w:i w:val="0"/>
          <w:caps w:val="0"/>
          <w:color w:val="auto"/>
          <w:spacing w:val="0"/>
          <w:sz w:val="24"/>
          <w:szCs w:val="24"/>
          <w:highlight w:val="none"/>
        </w:rPr>
        <w:t>埃美柯、河北远大、上海良工、中核苏阀</w:t>
      </w:r>
      <w:r>
        <w:rPr>
          <w:rFonts w:hint="eastAsia" w:ascii="宋体" w:hAnsi="宋体" w:eastAsia="宋体" w:cs="宋体"/>
          <w:i w:val="0"/>
          <w:caps w:val="0"/>
          <w:color w:val="auto"/>
          <w:spacing w:val="0"/>
          <w:sz w:val="24"/>
          <w:szCs w:val="24"/>
          <w:highlight w:val="none"/>
          <w:lang w:eastAsia="zh-CN"/>
        </w:rPr>
        <w:t>、</w:t>
      </w:r>
      <w:r>
        <w:rPr>
          <w:rFonts w:hint="eastAsia" w:ascii="宋体" w:hAnsi="宋体" w:eastAsia="宋体" w:cs="宋体"/>
          <w:i w:val="0"/>
          <w:caps w:val="0"/>
          <w:color w:val="auto"/>
          <w:spacing w:val="0"/>
          <w:sz w:val="24"/>
          <w:szCs w:val="24"/>
          <w:highlight w:val="none"/>
        </w:rPr>
        <w:t>天津塘沽</w:t>
      </w:r>
      <w:r>
        <w:rPr>
          <w:rFonts w:hint="eastAsia" w:ascii="宋体" w:hAnsi="宋体" w:eastAsia="宋体" w:cs="宋体"/>
          <w:i w:val="0"/>
          <w:caps w:val="0"/>
          <w:color w:val="auto"/>
          <w:spacing w:val="0"/>
          <w:sz w:val="24"/>
          <w:szCs w:val="24"/>
          <w:highlight w:val="none"/>
          <w:lang w:eastAsia="zh-CN"/>
        </w:rPr>
        <w:t>。</w:t>
      </w:r>
    </w:p>
    <w:p>
      <w:pPr>
        <w:keepNext w:val="0"/>
        <w:keepLines w:val="0"/>
        <w:pageBreakBefore w:val="0"/>
        <w:widowControl w:val="0"/>
        <w:tabs>
          <w:tab w:val="left" w:pos="540"/>
        </w:tabs>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5.母线槽（铜材）：</w:t>
      </w:r>
      <w:r>
        <w:rPr>
          <w:rFonts w:hint="eastAsia" w:ascii="宋体" w:hAnsi="宋体" w:eastAsia="宋体" w:cs="宋体"/>
          <w:i w:val="0"/>
          <w:iCs w:val="0"/>
          <w:caps w:val="0"/>
          <w:color w:val="auto"/>
          <w:spacing w:val="0"/>
          <w:sz w:val="24"/>
          <w:szCs w:val="24"/>
          <w:highlight w:val="none"/>
          <w:shd w:val="clear" w:fill="auto"/>
        </w:rPr>
        <w:t>白云电器、广东谷菱、西杰电气、威腾电气、珠海光乐、广州半径</w:t>
      </w:r>
      <w:r>
        <w:rPr>
          <w:rFonts w:hint="eastAsia" w:ascii="宋体" w:hAnsi="宋体" w:eastAsia="宋体" w:cs="宋体"/>
          <w:color w:val="auto"/>
          <w:sz w:val="24"/>
          <w:szCs w:val="24"/>
          <w:highlight w:val="none"/>
          <w:lang w:val="en-US" w:eastAsia="zh-CN"/>
        </w:rPr>
        <w:t>。</w:t>
      </w:r>
    </w:p>
    <w:p>
      <w:pPr>
        <w:keepNext w:val="0"/>
        <w:keepLines w:val="0"/>
        <w:pageBreakBefore w:val="0"/>
        <w:widowControl w:val="0"/>
        <w:tabs>
          <w:tab w:val="left" w:pos="540"/>
        </w:tabs>
        <w:kinsoku/>
        <w:wordWrap/>
        <w:overflowPunct/>
        <w:topLinePunct w:val="0"/>
        <w:autoSpaceDE/>
        <w:autoSpaceDN/>
        <w:bidi w:val="0"/>
        <w:adjustRightInd/>
        <w:snapToGrid w:val="0"/>
        <w:spacing w:line="360" w:lineRule="auto"/>
        <w:ind w:left="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6.电线电缆</w:t>
      </w:r>
      <w:r>
        <w:rPr>
          <w:rFonts w:hint="eastAsia" w:ascii="宋体" w:hAnsi="宋体" w:eastAsia="宋体" w:cs="宋体"/>
          <w:color w:val="auto"/>
          <w:sz w:val="24"/>
          <w:szCs w:val="24"/>
          <w:highlight w:val="none"/>
          <w:lang w:val="en-US" w:eastAsia="zh-CN"/>
        </w:rPr>
        <w:t>（国标铜材）</w:t>
      </w:r>
      <w:r>
        <w:rPr>
          <w:rFonts w:hint="eastAsia" w:ascii="宋体" w:hAnsi="宋体" w:eastAsia="宋体" w:cs="宋体"/>
          <w:color w:val="auto"/>
          <w:sz w:val="24"/>
          <w:szCs w:val="24"/>
          <w:highlight w:val="none"/>
          <w:lang w:val="en-US" w:eastAsia="zh-CN"/>
        </w:rPr>
        <w:t>：</w:t>
      </w:r>
      <w:r>
        <w:rPr>
          <w:rFonts w:hint="eastAsia" w:ascii="宋体" w:hAnsi="宋体" w:eastAsia="宋体" w:cs="宋体"/>
          <w:i w:val="0"/>
          <w:iCs w:val="0"/>
          <w:caps w:val="0"/>
          <w:color w:val="auto"/>
          <w:spacing w:val="0"/>
          <w:sz w:val="24"/>
          <w:szCs w:val="24"/>
          <w:highlight w:val="none"/>
          <w:shd w:val="clear" w:fill="auto"/>
        </w:rPr>
        <w:t>远东电缆、中联电缆，宝胜电缆、金龙羽，中宝电缆</w:t>
      </w:r>
      <w:r>
        <w:rPr>
          <w:rFonts w:hint="eastAsia" w:ascii="宋体" w:hAnsi="宋体" w:eastAsia="宋体" w:cs="宋体"/>
          <w:color w:val="auto"/>
          <w:sz w:val="24"/>
          <w:szCs w:val="24"/>
          <w:highlight w:val="none"/>
          <w:lang w:val="en-US" w:eastAsia="zh-CN"/>
        </w:rPr>
        <w:t>。</w:t>
      </w:r>
    </w:p>
    <w:p>
      <w:pPr>
        <w:numPr>
          <w:ilvl w:val="0"/>
          <w:numId w:val="16"/>
        </w:numPr>
        <w:snapToGrid w:val="0"/>
        <w:spacing w:line="360" w:lineRule="auto"/>
        <w:ind w:left="300" w:leftChars="143" w:firstLine="118" w:firstLineChars="49"/>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基本设计要求</w:t>
      </w:r>
    </w:p>
    <w:p>
      <w:pPr>
        <w:tabs>
          <w:tab w:val="left" w:pos="540"/>
        </w:tabs>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1.供暖</w:t>
      </w:r>
      <w:r>
        <w:rPr>
          <w:rFonts w:hint="eastAsia" w:ascii="宋体" w:hAnsi="宋体" w:eastAsia="宋体" w:cs="宋体"/>
          <w:color w:val="auto"/>
          <w:sz w:val="24"/>
          <w:szCs w:val="24"/>
          <w:highlight w:val="none"/>
        </w:rPr>
        <w:t>系统设计时需要充分考虑</w:t>
      </w:r>
      <w:r>
        <w:rPr>
          <w:rFonts w:hint="eastAsia" w:ascii="宋体" w:hAnsi="宋体" w:eastAsia="宋体" w:cs="宋体"/>
          <w:color w:val="auto"/>
          <w:sz w:val="24"/>
          <w:szCs w:val="24"/>
          <w:highlight w:val="none"/>
          <w:lang w:val="en-US" w:eastAsia="zh-CN"/>
        </w:rPr>
        <w:t>甲方要求，原计划</w:t>
      </w:r>
      <w:r>
        <w:rPr>
          <w:rFonts w:hint="eastAsia" w:ascii="宋体" w:hAnsi="宋体" w:eastAsia="宋体" w:cs="宋体"/>
          <w:color w:val="auto"/>
          <w:sz w:val="24"/>
          <w:szCs w:val="24"/>
          <w:highlight w:val="none"/>
        </w:rPr>
        <w:t>空间的温度和湿度，基于实际需</w:t>
      </w:r>
      <w:r>
        <w:rPr>
          <w:rFonts w:hint="eastAsia" w:ascii="宋体" w:hAnsi="宋体" w:eastAsia="宋体" w:cs="宋体"/>
          <w:color w:val="auto"/>
          <w:sz w:val="24"/>
          <w:szCs w:val="24"/>
          <w:highlight w:val="none"/>
          <w:lang w:val="en-US" w:eastAsia="zh-CN"/>
        </w:rPr>
        <w:t>能提供</w:t>
      </w:r>
      <w:r>
        <w:rPr>
          <w:rFonts w:hint="eastAsia" w:ascii="宋体" w:hAnsi="宋体" w:eastAsia="宋体" w:cs="宋体"/>
          <w:color w:val="auto"/>
          <w:sz w:val="24"/>
          <w:szCs w:val="24"/>
          <w:highlight w:val="none"/>
        </w:rPr>
        <w:t>适当的供热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并且需完美接入中央空调系统，确保整套供暖系统安全、可靠和高效运行</w:t>
      </w:r>
      <w:r>
        <w:rPr>
          <w:rFonts w:hint="eastAsia" w:ascii="宋体" w:hAnsi="宋体" w:eastAsia="宋体" w:cs="宋体"/>
          <w:color w:val="auto"/>
          <w:sz w:val="24"/>
          <w:szCs w:val="24"/>
          <w:highlight w:val="none"/>
        </w:rPr>
        <w:t>。</w:t>
      </w:r>
    </w:p>
    <w:p>
      <w:pPr>
        <w:tabs>
          <w:tab w:val="left" w:pos="540"/>
        </w:tabs>
        <w:snapToGrid w:val="0"/>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机组设计应该选用低噪音和低振动的机组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维护方便</w:t>
      </w:r>
      <w:r>
        <w:rPr>
          <w:rFonts w:hint="eastAsia" w:ascii="宋体" w:hAnsi="宋体" w:eastAsia="宋体" w:cs="宋体"/>
          <w:color w:val="auto"/>
          <w:sz w:val="24"/>
          <w:szCs w:val="24"/>
          <w:highlight w:val="none"/>
          <w:lang w:eastAsia="zh-CN"/>
        </w:rPr>
        <w:t>。</w:t>
      </w:r>
    </w:p>
    <w:p>
      <w:pPr>
        <w:tabs>
          <w:tab w:val="left" w:pos="540"/>
        </w:tabs>
        <w:snapToGrid w:val="0"/>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3.新增</w:t>
      </w:r>
      <w:r>
        <w:rPr>
          <w:rFonts w:hint="eastAsia" w:ascii="宋体" w:hAnsi="宋体" w:eastAsia="宋体" w:cs="宋体"/>
          <w:color w:val="auto"/>
          <w:sz w:val="24"/>
          <w:szCs w:val="24"/>
          <w:highlight w:val="none"/>
        </w:rPr>
        <w:t>管道布局</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rPr>
        <w:t>应</w:t>
      </w:r>
      <w:r>
        <w:rPr>
          <w:rFonts w:hint="eastAsia" w:ascii="宋体" w:hAnsi="宋体" w:eastAsia="宋体" w:cs="宋体"/>
          <w:color w:val="auto"/>
          <w:sz w:val="24"/>
          <w:szCs w:val="24"/>
          <w:highlight w:val="none"/>
          <w:lang w:val="en-US" w:eastAsia="zh-CN"/>
        </w:rPr>
        <w:t>根据现场</w:t>
      </w:r>
      <w:r>
        <w:rPr>
          <w:rFonts w:hint="eastAsia" w:ascii="宋体" w:hAnsi="宋体" w:eastAsia="宋体" w:cs="宋体"/>
          <w:color w:val="auto"/>
          <w:sz w:val="24"/>
          <w:szCs w:val="24"/>
          <w:highlight w:val="none"/>
        </w:rPr>
        <w:t>合理</w:t>
      </w:r>
      <w:r>
        <w:rPr>
          <w:rFonts w:hint="eastAsia" w:ascii="宋体" w:hAnsi="宋体" w:eastAsia="宋体" w:cs="宋体"/>
          <w:color w:val="auto"/>
          <w:sz w:val="24"/>
          <w:szCs w:val="24"/>
          <w:highlight w:val="none"/>
          <w:lang w:val="en-US" w:eastAsia="zh-CN"/>
        </w:rPr>
        <w:t>布局，</w:t>
      </w:r>
      <w:r>
        <w:rPr>
          <w:rFonts w:hint="eastAsia" w:ascii="宋体" w:hAnsi="宋体" w:eastAsia="宋体" w:cs="宋体"/>
          <w:color w:val="auto"/>
          <w:sz w:val="24"/>
          <w:szCs w:val="24"/>
          <w:highlight w:val="none"/>
        </w:rPr>
        <w:t>管道尺寸</w:t>
      </w:r>
      <w:r>
        <w:rPr>
          <w:rFonts w:hint="eastAsia" w:ascii="宋体" w:hAnsi="宋体" w:eastAsia="宋体" w:cs="宋体"/>
          <w:color w:val="auto"/>
          <w:sz w:val="24"/>
          <w:szCs w:val="24"/>
          <w:highlight w:val="none"/>
          <w:lang w:val="en-US" w:eastAsia="zh-CN"/>
        </w:rPr>
        <w:t>需符合</w:t>
      </w:r>
      <w:r>
        <w:rPr>
          <w:rFonts w:hint="eastAsia" w:ascii="宋体" w:hAnsi="宋体" w:eastAsia="宋体" w:cs="宋体"/>
          <w:color w:val="auto"/>
          <w:sz w:val="24"/>
          <w:szCs w:val="24"/>
          <w:highlight w:val="none"/>
        </w:rPr>
        <w:t>规定的标准</w:t>
      </w:r>
      <w:r>
        <w:rPr>
          <w:rFonts w:hint="eastAsia" w:ascii="宋体" w:hAnsi="宋体" w:eastAsia="宋体" w:cs="宋体"/>
          <w:color w:val="auto"/>
          <w:sz w:val="24"/>
          <w:szCs w:val="24"/>
          <w:highlight w:val="none"/>
          <w:lang w:eastAsia="zh-CN"/>
        </w:rPr>
        <w:t>。</w:t>
      </w:r>
    </w:p>
    <w:p>
      <w:pPr>
        <w:widowControl w:val="0"/>
        <w:numPr>
          <w:ilvl w:val="0"/>
          <w:numId w:val="16"/>
        </w:numPr>
        <w:snapToGrid w:val="0"/>
        <w:spacing w:line="360" w:lineRule="auto"/>
        <w:ind w:left="300" w:leftChars="143" w:firstLine="118" w:firstLineChars="49"/>
        <w:jc w:val="left"/>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安装位置示意图及估算清单（仅供参考）</w:t>
      </w:r>
    </w:p>
    <w:p>
      <w:pPr>
        <w:tabs>
          <w:tab w:val="left" w:pos="540"/>
        </w:tabs>
        <w:snapToGrid w:val="0"/>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1.安装位置示意图（详见附件1）</w:t>
      </w:r>
    </w:p>
    <w:p>
      <w:pPr>
        <w:tabs>
          <w:tab w:val="left" w:pos="540"/>
        </w:tabs>
        <w:snapToGri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工程量估算清单</w:t>
      </w:r>
      <w:r>
        <w:rPr>
          <w:rFonts w:hint="eastAsia" w:ascii="宋体" w:hAnsi="宋体" w:eastAsia="宋体" w:cs="宋体"/>
          <w:color w:val="auto"/>
          <w:sz w:val="24"/>
          <w:szCs w:val="24"/>
          <w:highlight w:val="none"/>
          <w:lang w:val="en-US" w:eastAsia="zh-CN"/>
        </w:rPr>
        <w:t>（详见附件2）</w:t>
      </w:r>
    </w:p>
    <w:p>
      <w:pPr>
        <w:widowControl w:val="0"/>
        <w:numPr>
          <w:ilvl w:val="0"/>
          <w:numId w:val="16"/>
        </w:numPr>
        <w:snapToGrid w:val="0"/>
        <w:spacing w:line="360" w:lineRule="auto"/>
        <w:ind w:left="300" w:leftChars="143" w:firstLine="118" w:firstLineChars="49"/>
        <w:jc w:val="left"/>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保修期与培训</w:t>
      </w:r>
    </w:p>
    <w:p>
      <w:pPr>
        <w:keepNext w:val="0"/>
        <w:keepLines w:val="0"/>
        <w:pageBreakBefore w:val="0"/>
        <w:widowControl/>
        <w:numPr>
          <w:ilvl w:val="0"/>
          <w:numId w:val="20"/>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kern w:val="0"/>
          <w:sz w:val="24"/>
          <w:highlight w:val="none"/>
          <w:u w:val="none"/>
          <w:lang w:val="en-US" w:eastAsia="zh-CN"/>
        </w:rPr>
      </w:pPr>
      <w:r>
        <w:rPr>
          <w:rFonts w:hint="eastAsia" w:ascii="宋体" w:hAnsi="宋体" w:cs="宋体"/>
          <w:color w:val="auto"/>
          <w:kern w:val="0"/>
          <w:sz w:val="24"/>
          <w:highlight w:val="none"/>
          <w:lang w:val="en-US" w:eastAsia="zh-CN"/>
        </w:rPr>
        <w:t>整体项目</w:t>
      </w:r>
      <w:r>
        <w:rPr>
          <w:rFonts w:hint="eastAsia" w:ascii="宋体" w:hAnsi="宋体" w:eastAsia="宋体" w:cs="宋体"/>
          <w:color w:val="auto"/>
          <w:kern w:val="0"/>
          <w:sz w:val="24"/>
          <w:highlight w:val="none"/>
        </w:rPr>
        <w:t>保修期限为</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 xml:space="preserve">2 </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szCs w:val="24"/>
          <w:highlight w:val="none"/>
          <w:lang w:val="en-US" w:eastAsia="zh-CN"/>
        </w:rPr>
        <w:t>防水</w:t>
      </w:r>
      <w:r>
        <w:rPr>
          <w:rFonts w:hint="eastAsia" w:ascii="宋体" w:hAnsi="宋体" w:eastAsia="宋体" w:cs="宋体"/>
          <w:color w:val="auto"/>
          <w:kern w:val="0"/>
          <w:sz w:val="24"/>
          <w:highlight w:val="none"/>
        </w:rPr>
        <w:t>保修期限为</w:t>
      </w:r>
      <w:r>
        <w:rPr>
          <w:rFonts w:hint="eastAsia" w:ascii="宋体" w:hAnsi="宋体" w:eastAsia="宋体" w:cs="宋体"/>
          <w:color w:val="auto"/>
          <w:kern w:val="0"/>
          <w:sz w:val="24"/>
          <w:highlight w:val="none"/>
          <w:u w:val="single"/>
          <w:lang w:val="en-US" w:eastAsia="zh-CN"/>
        </w:rPr>
        <w:t xml:space="preserve"> 5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lang w:eastAsia="zh-CN"/>
        </w:rPr>
        <w:t>，</w:t>
      </w:r>
      <w:r>
        <w:rPr>
          <w:rFonts w:hint="eastAsia" w:ascii="宋体" w:hAnsi="宋体" w:cs="宋体"/>
          <w:color w:val="auto"/>
          <w:kern w:val="0"/>
          <w:sz w:val="24"/>
          <w:highlight w:val="none"/>
          <w:lang w:val="en-US" w:eastAsia="zh-CN"/>
        </w:rPr>
        <w:t>自验收合格后移交之日起计算</w:t>
      </w:r>
      <w:r>
        <w:rPr>
          <w:rFonts w:hint="eastAsia" w:ascii="宋体" w:hAnsi="宋体" w:eastAsia="宋体" w:cs="宋体"/>
          <w:color w:val="auto"/>
          <w:kern w:val="0"/>
          <w:sz w:val="24"/>
          <w:highlight w:val="none"/>
        </w:rPr>
        <w:t>。乙方</w:t>
      </w:r>
      <w:r>
        <w:rPr>
          <w:rFonts w:hint="eastAsia" w:ascii="宋体" w:hAnsi="宋体" w:cs="宋体"/>
          <w:color w:val="auto"/>
          <w:kern w:val="0"/>
          <w:sz w:val="24"/>
          <w:highlight w:val="none"/>
          <w:lang w:val="en-US" w:eastAsia="zh-CN"/>
        </w:rPr>
        <w:t>接到甲方通知24</w:t>
      </w:r>
      <w:r>
        <w:rPr>
          <w:rFonts w:hint="eastAsia" w:ascii="宋体" w:hAnsi="宋体" w:cs="宋体"/>
          <w:color w:val="auto"/>
          <w:kern w:val="0"/>
          <w:sz w:val="24"/>
          <w:highlight w:val="none"/>
          <w:u w:val="none"/>
          <w:lang w:val="en-US" w:eastAsia="zh-CN"/>
        </w:rPr>
        <w:t>小时内到场维修，未按规定时间到场的，甲方有权自行委托第三方处理，费用由乙方承担。</w:t>
      </w:r>
    </w:p>
    <w:p>
      <w:pPr>
        <w:keepNext w:val="0"/>
        <w:keepLines w:val="0"/>
        <w:pageBreakBefore w:val="0"/>
        <w:widowControl/>
        <w:tabs>
          <w:tab w:val="left" w:pos="312"/>
        </w:tabs>
        <w:kinsoku/>
        <w:wordWrap/>
        <w:overflowPunct/>
        <w:topLinePunct w:val="0"/>
        <w:autoSpaceDE/>
        <w:autoSpaceDN/>
        <w:bidi w:val="0"/>
        <w:adjustRightInd/>
        <w:spacing w:line="360" w:lineRule="auto"/>
        <w:ind w:firstLine="480" w:firstLineChars="200"/>
        <w:textAlignment w:val="auto"/>
        <w:rPr>
          <w:rFonts w:hint="eastAsia"/>
          <w:color w:val="auto"/>
          <w:highlight w:val="none"/>
        </w:rPr>
      </w:pPr>
      <w:r>
        <w:rPr>
          <w:rFonts w:hint="eastAsia" w:ascii="宋体" w:hAnsi="宋体" w:cs="宋体"/>
          <w:color w:val="auto"/>
          <w:kern w:val="0"/>
          <w:sz w:val="24"/>
          <w:szCs w:val="22"/>
          <w:highlight w:val="none"/>
          <w:u w:val="none"/>
          <w:lang w:val="en-US" w:eastAsia="zh-CN"/>
        </w:rPr>
        <w:t>2.</w:t>
      </w:r>
      <w:r>
        <w:rPr>
          <w:rFonts w:hint="eastAsia" w:ascii="宋体" w:hAnsi="宋体" w:cs="宋体" w:eastAsiaTheme="minorEastAsia"/>
          <w:color w:val="auto"/>
          <w:kern w:val="0"/>
          <w:sz w:val="24"/>
          <w:szCs w:val="22"/>
          <w:highlight w:val="none"/>
          <w:u w:val="none"/>
        </w:rPr>
        <w:t>乙</w:t>
      </w:r>
      <w:r>
        <w:rPr>
          <w:rFonts w:hint="eastAsia" w:ascii="宋体" w:hAnsi="宋体" w:cs="宋体"/>
          <w:color w:val="auto"/>
          <w:sz w:val="24"/>
          <w:szCs w:val="24"/>
          <w:highlight w:val="none"/>
        </w:rPr>
        <w:t>方</w:t>
      </w:r>
      <w:r>
        <w:rPr>
          <w:rFonts w:hint="eastAsia" w:ascii="宋体" w:hAnsi="宋体" w:cs="宋体"/>
          <w:color w:val="auto"/>
          <w:sz w:val="24"/>
          <w:szCs w:val="24"/>
          <w:highlight w:val="none"/>
          <w:lang w:val="en-US" w:eastAsia="zh-CN"/>
        </w:rPr>
        <w:t>在</w:t>
      </w:r>
      <w:r>
        <w:rPr>
          <w:rFonts w:hint="eastAsia" w:ascii="宋体" w:hAnsi="宋体" w:eastAsia="宋体" w:cs="宋体"/>
          <w:color w:val="auto"/>
          <w:kern w:val="0"/>
          <w:sz w:val="24"/>
          <w:highlight w:val="none"/>
        </w:rPr>
        <w:t>保修期</w:t>
      </w:r>
      <w:r>
        <w:rPr>
          <w:rFonts w:hint="eastAsia" w:ascii="宋体" w:hAnsi="宋体" w:cs="宋体"/>
          <w:color w:val="auto"/>
          <w:sz w:val="24"/>
          <w:szCs w:val="24"/>
          <w:highlight w:val="none"/>
          <w:lang w:val="en-US" w:eastAsia="zh-CN"/>
        </w:rPr>
        <w:t>内需</w:t>
      </w:r>
      <w:r>
        <w:rPr>
          <w:rFonts w:hint="eastAsia" w:ascii="宋体" w:hAnsi="宋体" w:cs="宋体"/>
          <w:color w:val="auto"/>
          <w:sz w:val="24"/>
          <w:szCs w:val="24"/>
          <w:highlight w:val="none"/>
        </w:rPr>
        <w:t>积极配合甲方</w:t>
      </w:r>
      <w:r>
        <w:rPr>
          <w:rFonts w:hint="eastAsia" w:ascii="宋体" w:hAnsi="宋体" w:cs="宋体"/>
          <w:color w:val="auto"/>
          <w:sz w:val="24"/>
          <w:szCs w:val="24"/>
          <w:highlight w:val="none"/>
          <w:lang w:eastAsia="zh-CN"/>
        </w:rPr>
        <w:t>要求</w:t>
      </w:r>
      <w:r>
        <w:rPr>
          <w:rFonts w:hint="eastAsia" w:ascii="宋体" w:hAnsi="宋体" w:cs="宋体"/>
          <w:color w:val="auto"/>
          <w:sz w:val="24"/>
          <w:szCs w:val="24"/>
          <w:highlight w:val="none"/>
        </w:rPr>
        <w:t>开展</w:t>
      </w:r>
      <w:r>
        <w:rPr>
          <w:rFonts w:hint="eastAsia" w:ascii="宋体" w:hAnsi="宋体" w:cs="宋体"/>
          <w:color w:val="auto"/>
          <w:sz w:val="24"/>
          <w:szCs w:val="24"/>
          <w:highlight w:val="none"/>
          <w:lang w:val="en-US" w:eastAsia="zh-CN"/>
        </w:rPr>
        <w:t>对改造后的中央空调维保工作交流</w:t>
      </w:r>
      <w:r>
        <w:rPr>
          <w:rFonts w:hint="eastAsia" w:ascii="宋体" w:hAnsi="宋体" w:cs="宋体"/>
          <w:color w:val="auto"/>
          <w:sz w:val="24"/>
          <w:szCs w:val="24"/>
          <w:highlight w:val="none"/>
          <w:lang w:eastAsia="zh-CN"/>
        </w:rPr>
        <w:t>不少于</w:t>
      </w:r>
      <w:r>
        <w:rPr>
          <w:rFonts w:hint="eastAsia" w:ascii="宋体" w:hAnsi="宋体" w:cs="宋体"/>
          <w:color w:val="auto"/>
          <w:sz w:val="24"/>
          <w:szCs w:val="24"/>
          <w:highlight w:val="none"/>
          <w:lang w:val="en-US" w:eastAsia="zh-CN"/>
        </w:rPr>
        <w:t>2次。</w:t>
      </w:r>
    </w:p>
    <w:p>
      <w:pPr>
        <w:keepNext w:val="0"/>
        <w:keepLines w:val="0"/>
        <w:pageBreakBefore w:val="0"/>
        <w:numPr>
          <w:ilvl w:val="0"/>
          <w:numId w:val="16"/>
        </w:numPr>
        <w:tabs>
          <w:tab w:val="clear" w:pos="720"/>
        </w:tabs>
        <w:kinsoku/>
        <w:wordWrap/>
        <w:overflowPunct/>
        <w:topLinePunct w:val="0"/>
        <w:autoSpaceDE/>
        <w:autoSpaceDN/>
        <w:bidi w:val="0"/>
        <w:adjustRightInd/>
        <w:snapToGrid w:val="0"/>
        <w:spacing w:line="360" w:lineRule="auto"/>
        <w:ind w:left="300" w:leftChars="143" w:firstLine="118" w:firstLineChars="49"/>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设计及成果要求</w:t>
      </w:r>
    </w:p>
    <w:p>
      <w:pPr>
        <w:keepNext w:val="0"/>
        <w:keepLines w:val="0"/>
        <w:pageBreakBefore w:val="0"/>
        <w:widowControl/>
        <w:tabs>
          <w:tab w:val="left" w:pos="312"/>
        </w:tabs>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（一）给、排水施工图成果要求</w:t>
      </w:r>
    </w:p>
    <w:p>
      <w:pPr>
        <w:keepNext w:val="0"/>
        <w:keepLines w:val="0"/>
        <w:pageBreakBefore w:val="0"/>
        <w:widowControl/>
        <w:tabs>
          <w:tab w:val="left" w:pos="312"/>
        </w:tabs>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1.施工设计应与相关专业密切配合，认真执行绘图规定，主要内容包括:主要设备材料表、图例及图纸目录；</w:t>
      </w:r>
    </w:p>
    <w:p>
      <w:pPr>
        <w:keepNext w:val="0"/>
        <w:keepLines w:val="0"/>
        <w:pageBreakBefore w:val="0"/>
        <w:widowControl/>
        <w:tabs>
          <w:tab w:val="left" w:pos="312"/>
        </w:tabs>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2.主要设备及材料表: 主要设备仪表的规格型号及数量，列出各种管材的型号；</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3.图例:图中出现的符号在图例中都应表示清楚；</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4.图纸目录应仅列明图号、图纸名称和图幅；</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5.列明所采用的国家标准图集的编号、名称和页次；</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6.设计说明: 应详细说明以下内容:</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（1）设计依据</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（2）设计范围</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（3）系统设计说明</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（4）管材及管道接口</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（5）阀门及附件</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（5）管道敷设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（6）防腐及油漆</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（7）管道试压</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（8）管道冲洗</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（9）管道保温</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7.给、排水系统</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（1）应根据平面图正确示意管道走向；</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（2）应表明建筑编号和标高，正负零零标高和室外地坪标高；</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（3）管道应注明管径和标高，注明系统标号与平面图一致；</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（4）立管应标号，与平面图标号一致；</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（5）应根据系统分类分别绘制各系统图；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（6）闸阀、仪表的位置应在系统图中标明；</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（7）接用水及排水点部分如在系统图中表示困难，应注明此部分的出处；</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（8）设备房应绘制平面图及剖面图；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8.给、排水平面图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（1）应根据建筑平面图的不同绘制相应的平面图；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（2）首层、标准层、顶层的平面图必须绘制；</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（3）平面图中应根据卫生间布置绘制各种管线；</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（4）立管位置及标号应表示清楚，给、排水系统标号应表示清楚，与系统图保持一致；</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（5）给、排水出建筑物横向干管应标注管径和平面具体位置尺寸；</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（6）房间名称应标注清楚；</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（7）平面图如果表示不清楚，应绘制大样图；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（8）屋面水箱配管应绘制大样图；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（9）给、水泵房应绘制大样图；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（10）管道井管道布置大样图。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（二）设备、电气施工图成果要求</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施工设计应与相关专业密切配合，认真执行绘图规定，表示方法应符合国家制图标准，主要内容包括:</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1.主要设备材料表、图例及图纸目录</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（1）主要设备及材料表:水泵、热泵机组、精密空调、高低压开关柜的型号、规格以及数量，主要配电箱规格型号及数量，高、低压电缆规格数量，电话电视所用配牛的数量等；</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（2）图中出现的符号在图例中都应表示清楚；</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（3）图纸目录应仅列明图号、图纸名称和图幅。</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2. 设计说明:应详细说明以下内容:</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（1）设计依据</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（2）设计范围</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（3）供电电源</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（4）配电系统</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（5）导线及敷设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（6）接地及安全</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（7）建筑物防雷</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3. 详细绘制设备基础剖面图；</w:t>
      </w:r>
    </w:p>
    <w:p>
      <w:pPr>
        <w:widowControl/>
        <w:tabs>
          <w:tab w:val="left" w:pos="312"/>
        </w:tabs>
        <w:spacing w:line="360" w:lineRule="auto"/>
        <w:ind w:firstLine="480" w:firstLineChars="200"/>
        <w:rPr>
          <w:rFonts w:hint="eastAsia" w:ascii="宋体" w:hAnsi="宋体" w:cs="宋体"/>
          <w:color w:val="auto"/>
          <w:kern w:val="0"/>
          <w:sz w:val="24"/>
          <w:szCs w:val="22"/>
          <w:highlight w:val="none"/>
          <w:u w:val="none"/>
          <w:lang w:val="en-US" w:eastAsia="zh-CN"/>
        </w:rPr>
      </w:pPr>
      <w:r>
        <w:rPr>
          <w:rFonts w:hint="eastAsia" w:ascii="宋体" w:hAnsi="宋体" w:cs="宋体"/>
          <w:color w:val="auto"/>
          <w:kern w:val="0"/>
          <w:sz w:val="24"/>
          <w:szCs w:val="22"/>
          <w:highlight w:val="none"/>
          <w:u w:val="none"/>
          <w:lang w:val="en-US" w:eastAsia="zh-CN"/>
        </w:rPr>
        <w:t>4. 详细绘制控制原型图。</w:t>
      </w:r>
    </w:p>
    <w:p>
      <w:pPr>
        <w:numPr>
          <w:ilvl w:val="0"/>
          <w:numId w:val="16"/>
        </w:numPr>
        <w:snapToGrid w:val="0"/>
        <w:spacing w:line="360" w:lineRule="auto"/>
        <w:ind w:left="0"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费用结算</w:t>
      </w:r>
    </w:p>
    <w:p>
      <w:pPr>
        <w:numPr>
          <w:ilvl w:val="0"/>
          <w:numId w:val="0"/>
        </w:numPr>
        <w:tabs>
          <w:tab w:val="left" w:pos="540"/>
        </w:tabs>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rPr>
        <w:t>合同签订后10天内，支付合同价的</w:t>
      </w:r>
      <w:r>
        <w:rPr>
          <w:rFonts w:hint="eastAsia" w:ascii="宋体" w:hAnsi="宋体" w:eastAsia="宋体" w:cs="宋体"/>
          <w:color w:val="auto"/>
          <w:kern w:val="2"/>
          <w:sz w:val="24"/>
          <w:szCs w:val="24"/>
          <w:highlight w:val="none"/>
          <w:u w:val="none"/>
          <w:lang w:val="en-US" w:eastAsia="zh-CN"/>
        </w:rPr>
        <w:t>3</w:t>
      </w:r>
      <w:r>
        <w:rPr>
          <w:rFonts w:hint="eastAsia" w:ascii="宋体" w:hAnsi="宋体" w:eastAsia="宋体" w:cs="宋体"/>
          <w:color w:val="auto"/>
          <w:kern w:val="2"/>
          <w:sz w:val="24"/>
          <w:szCs w:val="24"/>
          <w:highlight w:val="none"/>
          <w:u w:val="none"/>
        </w:rPr>
        <w:t>0%</w:t>
      </w:r>
      <w:r>
        <w:rPr>
          <w:rFonts w:hint="eastAsia" w:ascii="宋体" w:hAnsi="宋体" w:eastAsia="宋体" w:cs="宋体"/>
          <w:color w:val="auto"/>
          <w:kern w:val="2"/>
          <w:sz w:val="24"/>
          <w:szCs w:val="24"/>
          <w:highlight w:val="none"/>
        </w:rPr>
        <w:t>工程预付款；工程通过竣工验收后</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工程款累计支付到合同价的</w:t>
      </w:r>
      <w:r>
        <w:rPr>
          <w:rFonts w:hint="eastAsia" w:ascii="宋体" w:hAnsi="宋体" w:eastAsia="宋体" w:cs="宋体"/>
          <w:color w:val="auto"/>
          <w:kern w:val="2"/>
          <w:sz w:val="24"/>
          <w:szCs w:val="24"/>
          <w:highlight w:val="none"/>
          <w:u w:val="none"/>
          <w:lang w:val="en-US" w:eastAsia="zh-CN"/>
        </w:rPr>
        <w:t>85</w:t>
      </w:r>
      <w:r>
        <w:rPr>
          <w:rFonts w:hint="eastAsia" w:ascii="宋体" w:hAnsi="宋体" w:eastAsia="宋体" w:cs="宋体"/>
          <w:color w:val="auto"/>
          <w:kern w:val="2"/>
          <w:sz w:val="24"/>
          <w:szCs w:val="24"/>
          <w:highlight w:val="none"/>
          <w:u w:val="none"/>
        </w:rPr>
        <w:t>%</w:t>
      </w:r>
      <w:r>
        <w:rPr>
          <w:rFonts w:hint="eastAsia" w:ascii="宋体" w:hAnsi="宋体" w:eastAsia="宋体" w:cs="宋体"/>
          <w:color w:val="auto"/>
          <w:kern w:val="2"/>
          <w:sz w:val="24"/>
          <w:szCs w:val="24"/>
          <w:highlight w:val="none"/>
        </w:rPr>
        <w:t>（含预付款</w:t>
      </w:r>
      <w:r>
        <w:rPr>
          <w:rFonts w:hint="eastAsia" w:ascii="宋体" w:hAnsi="宋体" w:eastAsia="宋体" w:cs="宋体"/>
          <w:color w:val="auto"/>
          <w:kern w:val="2"/>
          <w:sz w:val="24"/>
          <w:szCs w:val="24"/>
          <w:highlight w:val="none"/>
        </w:rPr>
        <w:t>）。工程经结算审计后10天内，支付至结算价的</w:t>
      </w:r>
      <w:r>
        <w:rPr>
          <w:rFonts w:hint="eastAsia" w:ascii="宋体" w:hAnsi="宋体" w:eastAsia="宋体" w:cs="宋体"/>
          <w:color w:val="auto"/>
          <w:kern w:val="2"/>
          <w:sz w:val="24"/>
          <w:szCs w:val="24"/>
          <w:highlight w:val="none"/>
          <w:u w:val="none"/>
        </w:rPr>
        <w:t>97%</w:t>
      </w:r>
      <w:r>
        <w:rPr>
          <w:rFonts w:hint="eastAsia" w:ascii="宋体" w:hAnsi="宋体" w:eastAsia="宋体" w:cs="宋体"/>
          <w:color w:val="auto"/>
          <w:kern w:val="2"/>
          <w:sz w:val="24"/>
          <w:szCs w:val="24"/>
          <w:highlight w:val="none"/>
        </w:rPr>
        <w:t>，余款在质保期满</w:t>
      </w:r>
      <w:r>
        <w:rPr>
          <w:rFonts w:hint="eastAsia" w:ascii="宋体" w:hAnsi="宋体" w:eastAsia="宋体" w:cs="宋体"/>
          <w:color w:val="auto"/>
          <w:kern w:val="2"/>
          <w:sz w:val="24"/>
          <w:szCs w:val="24"/>
          <w:highlight w:val="none"/>
          <w:lang w:val="en-US" w:eastAsia="zh-CN"/>
        </w:rPr>
        <w:t>后</w:t>
      </w:r>
      <w:r>
        <w:rPr>
          <w:rFonts w:hint="eastAsia" w:ascii="宋体" w:hAnsi="宋体" w:eastAsia="宋体" w:cs="宋体"/>
          <w:color w:val="auto"/>
          <w:kern w:val="2"/>
          <w:sz w:val="24"/>
          <w:szCs w:val="24"/>
          <w:highlight w:val="none"/>
        </w:rPr>
        <w:t>10天内无息付清。</w:t>
      </w:r>
    </w:p>
    <w:p>
      <w:pPr>
        <w:numPr>
          <w:ilvl w:val="0"/>
          <w:numId w:val="0"/>
        </w:numPr>
        <w:tabs>
          <w:tab w:val="left" w:pos="540"/>
        </w:tabs>
        <w:snapToGrid w:val="0"/>
        <w:spacing w:line="360" w:lineRule="auto"/>
        <w:ind w:firstLine="480" w:firstLineChars="200"/>
        <w:rPr>
          <w:rFonts w:hint="eastAsia" w:ascii="宋体" w:hAnsi="宋体" w:eastAsia="宋体" w:cs="宋体"/>
          <w:b w:val="0"/>
          <w:color w:val="auto"/>
          <w:kern w:val="2"/>
          <w:sz w:val="24"/>
          <w:szCs w:val="24"/>
          <w:highlight w:val="none"/>
        </w:rPr>
      </w:pPr>
    </w:p>
    <w:bookmarkEnd w:id="75"/>
    <w:bookmarkEnd w:id="76"/>
    <w:bookmarkEnd w:id="77"/>
    <w:bookmarkEnd w:id="78"/>
    <w:p>
      <w:pPr>
        <w:rPr>
          <w:rFonts w:ascii="Times New Roman" w:hAnsi="Times New Roman" w:eastAsia="宋体" w:cs="Times New Roman"/>
          <w:color w:val="auto"/>
          <w:sz w:val="24"/>
          <w:szCs w:val="24"/>
          <w:highlight w:val="none"/>
        </w:rPr>
        <w:sectPr>
          <w:footerReference r:id="rId13" w:type="default"/>
          <w:pgSz w:w="11905" w:h="16838"/>
          <w:pgMar w:top="1440" w:right="1800" w:bottom="1440" w:left="1800" w:header="850" w:footer="822" w:gutter="0"/>
          <w:cols w:space="720" w:num="1"/>
          <w:docGrid w:linePitch="318" w:charSpace="0"/>
        </w:sectPr>
      </w:pPr>
    </w:p>
    <w:p>
      <w:pPr>
        <w:keepNext/>
        <w:keepLines/>
        <w:spacing w:after="120" w:line="360" w:lineRule="auto"/>
        <w:jc w:val="center"/>
        <w:outlineLvl w:val="0"/>
        <w:rPr>
          <w:rFonts w:ascii="Times New Roman" w:hAnsi="Times New Roman" w:eastAsia="宋体" w:cs="Times New Roman"/>
          <w:b/>
          <w:color w:val="auto"/>
          <w:kern w:val="44"/>
          <w:sz w:val="28"/>
          <w:szCs w:val="28"/>
          <w:highlight w:val="none"/>
        </w:rPr>
      </w:pPr>
      <w:bookmarkStart w:id="79" w:name="_Toc6597"/>
      <w:bookmarkStart w:id="80" w:name="_Toc26287"/>
      <w:bookmarkStart w:id="81" w:name="_Toc2272567"/>
      <w:bookmarkStart w:id="82" w:name="_Toc2129"/>
      <w:r>
        <w:rPr>
          <w:rFonts w:ascii="Times New Roman" w:hAnsi="Times New Roman" w:eastAsia="宋体" w:cs="Times New Roman"/>
          <w:b/>
          <w:color w:val="auto"/>
          <w:kern w:val="44"/>
          <w:sz w:val="28"/>
          <w:szCs w:val="28"/>
          <w:highlight w:val="none"/>
        </w:rPr>
        <w:t>第</w:t>
      </w:r>
      <w:r>
        <w:rPr>
          <w:rFonts w:hint="eastAsia" w:ascii="Times New Roman" w:hAnsi="Times New Roman" w:eastAsia="宋体" w:cs="Times New Roman"/>
          <w:b/>
          <w:color w:val="auto"/>
          <w:kern w:val="44"/>
          <w:sz w:val="28"/>
          <w:szCs w:val="28"/>
          <w:highlight w:val="none"/>
          <w:lang w:eastAsia="zh-CN"/>
        </w:rPr>
        <w:t>六</w:t>
      </w:r>
      <w:r>
        <w:rPr>
          <w:rFonts w:ascii="Times New Roman" w:hAnsi="Times New Roman" w:eastAsia="宋体" w:cs="Times New Roman"/>
          <w:b/>
          <w:color w:val="auto"/>
          <w:kern w:val="44"/>
          <w:sz w:val="28"/>
          <w:szCs w:val="28"/>
          <w:highlight w:val="none"/>
        </w:rPr>
        <w:t>章 投标文件格式</w:t>
      </w:r>
      <w:bookmarkEnd w:id="79"/>
      <w:bookmarkEnd w:id="80"/>
      <w:bookmarkEnd w:id="81"/>
      <w:bookmarkEnd w:id="82"/>
    </w:p>
    <w:p>
      <w:pPr>
        <w:jc w:val="center"/>
        <w:rPr>
          <w:rFonts w:ascii="Times New Roman" w:hAnsi="Times New Roman" w:eastAsia="黑体" w:cs="Times New Roman"/>
          <w:color w:val="auto"/>
          <w:sz w:val="28"/>
          <w:szCs w:val="28"/>
          <w:highlight w:val="none"/>
          <w:u w:val="single"/>
        </w:rPr>
      </w:pPr>
    </w:p>
    <w:p>
      <w:pPr>
        <w:jc w:val="center"/>
        <w:rPr>
          <w:rFonts w:ascii="Times New Roman" w:hAnsi="Times New Roman" w:eastAsia="黑体" w:cs="Times New Roman"/>
          <w:color w:val="auto"/>
          <w:sz w:val="44"/>
          <w:szCs w:val="44"/>
          <w:highlight w:val="none"/>
          <w:u w:val="single"/>
        </w:rPr>
      </w:pPr>
    </w:p>
    <w:p>
      <w:pPr>
        <w:ind w:left="840" w:leftChars="400" w:right="840" w:rightChars="400"/>
        <w:jc w:val="center"/>
        <w:rPr>
          <w:rFonts w:ascii="Times New Roman" w:hAnsi="Times New Roman" w:eastAsia="宋体" w:cs="Times New Roman"/>
          <w:color w:val="auto"/>
          <w:sz w:val="44"/>
          <w:szCs w:val="44"/>
          <w:highlight w:val="none"/>
          <w:u w:val="none"/>
        </w:rPr>
      </w:pPr>
      <w:r>
        <w:rPr>
          <w:rFonts w:hint="eastAsia" w:ascii="Times New Roman" w:hAnsi="Times New Roman" w:eastAsia="宋体" w:cs="Times New Roman"/>
          <w:color w:val="auto"/>
          <w:sz w:val="44"/>
          <w:szCs w:val="44"/>
          <w:highlight w:val="none"/>
          <w:u w:val="none"/>
        </w:rPr>
        <w:t>传媒大厦中央空调供暖及精密空调改造项目</w:t>
      </w:r>
    </w:p>
    <w:p>
      <w:pPr>
        <w:ind w:left="840" w:leftChars="400" w:right="840" w:rightChars="400"/>
        <w:rPr>
          <w:rFonts w:ascii="Times New Roman" w:hAnsi="Times New Roman" w:eastAsia="黑体" w:cs="Times New Roman"/>
          <w:color w:val="auto"/>
          <w:sz w:val="20"/>
          <w:szCs w:val="20"/>
          <w:highlight w:val="none"/>
        </w:rPr>
      </w:pPr>
    </w:p>
    <w:p>
      <w:pPr>
        <w:rPr>
          <w:rFonts w:ascii="Times New Roman" w:hAnsi="Times New Roman" w:eastAsia="黑体" w:cs="Times New Roman"/>
          <w:color w:val="auto"/>
          <w:sz w:val="20"/>
          <w:szCs w:val="20"/>
          <w:highlight w:val="none"/>
        </w:rPr>
      </w:pPr>
    </w:p>
    <w:p>
      <w:pPr>
        <w:jc w:val="center"/>
        <w:rPr>
          <w:rFonts w:ascii="Times New Roman" w:hAnsi="Times New Roman" w:eastAsia="黑体" w:cs="Times New Roman"/>
          <w:color w:val="auto"/>
          <w:sz w:val="44"/>
          <w:szCs w:val="44"/>
          <w:highlight w:val="none"/>
        </w:rPr>
      </w:pPr>
    </w:p>
    <w:p>
      <w:pPr>
        <w:jc w:val="center"/>
        <w:rPr>
          <w:rFonts w:ascii="Times New Roman" w:hAnsi="Times New Roman" w:eastAsia="黑体" w:cs="Times New Roman"/>
          <w:color w:val="auto"/>
          <w:sz w:val="44"/>
          <w:szCs w:val="44"/>
          <w:highlight w:val="none"/>
        </w:rPr>
      </w:pPr>
    </w:p>
    <w:p>
      <w:pPr>
        <w:jc w:val="center"/>
        <w:rPr>
          <w:rFonts w:ascii="Times New Roman" w:hAnsi="Times New Roman" w:eastAsia="黑体" w:cs="Times New Roman"/>
          <w:color w:val="auto"/>
          <w:sz w:val="44"/>
          <w:szCs w:val="44"/>
          <w:highlight w:val="none"/>
        </w:rPr>
      </w:pPr>
    </w:p>
    <w:p>
      <w:pPr>
        <w:jc w:val="center"/>
        <w:rPr>
          <w:rFonts w:ascii="Times New Roman" w:hAnsi="Times New Roman" w:eastAsia="黑体" w:cs="Times New Roman"/>
          <w:color w:val="auto"/>
          <w:sz w:val="44"/>
          <w:szCs w:val="44"/>
          <w:highlight w:val="none"/>
        </w:rPr>
      </w:pPr>
    </w:p>
    <w:p>
      <w:pPr>
        <w:jc w:val="center"/>
        <w:rPr>
          <w:rFonts w:ascii="Times New Roman" w:hAnsi="Times New Roman" w:eastAsia="黑体" w:cs="Times New Roman"/>
          <w:color w:val="auto"/>
          <w:sz w:val="44"/>
          <w:szCs w:val="44"/>
          <w:highlight w:val="none"/>
        </w:rPr>
      </w:pPr>
    </w:p>
    <w:p>
      <w:pPr>
        <w:jc w:val="center"/>
        <w:rPr>
          <w:rFonts w:ascii="Times New Roman" w:hAnsi="Times New Roman" w:eastAsia="黑体" w:cs="Times New Roman"/>
          <w:color w:val="auto"/>
          <w:sz w:val="44"/>
          <w:szCs w:val="44"/>
          <w:highlight w:val="none"/>
        </w:rPr>
      </w:pPr>
    </w:p>
    <w:p>
      <w:pPr>
        <w:jc w:val="center"/>
        <w:rPr>
          <w:rFonts w:ascii="Times New Roman" w:hAnsi="Times New Roman" w:eastAsia="黑体" w:cs="Times New Roman"/>
          <w:color w:val="auto"/>
          <w:sz w:val="44"/>
          <w:szCs w:val="44"/>
          <w:highlight w:val="none"/>
        </w:rPr>
      </w:pPr>
    </w:p>
    <w:p>
      <w:pPr>
        <w:jc w:val="center"/>
        <w:rPr>
          <w:rFonts w:ascii="Times New Roman" w:hAnsi="Times New Roman" w:eastAsia="黑体" w:cs="Times New Roman"/>
          <w:color w:val="auto"/>
          <w:sz w:val="44"/>
          <w:szCs w:val="44"/>
          <w:highlight w:val="none"/>
        </w:rPr>
      </w:pPr>
      <w:r>
        <w:rPr>
          <w:rFonts w:ascii="Times New Roman" w:hAnsi="Times New Roman" w:eastAsia="黑体" w:cs="Times New Roman"/>
          <w:color w:val="auto"/>
          <w:sz w:val="44"/>
          <w:szCs w:val="44"/>
          <w:highlight w:val="none"/>
        </w:rPr>
        <w:t>投  标  文  件</w:t>
      </w: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宋体" w:cs="Times New Roman"/>
          <w:color w:val="auto"/>
          <w:sz w:val="28"/>
          <w:szCs w:val="28"/>
          <w:highlight w:val="none"/>
        </w:rPr>
      </w:pPr>
    </w:p>
    <w:p>
      <w:pPr>
        <w:rPr>
          <w:rFonts w:ascii="Times New Roman" w:hAnsi="Times New Roman" w:eastAsia="宋体" w:cs="Times New Roman"/>
          <w:color w:val="auto"/>
          <w:highlight w:val="none"/>
        </w:rPr>
      </w:pPr>
    </w:p>
    <w:p>
      <w:pPr>
        <w:rPr>
          <w:rFonts w:ascii="Times New Roman" w:hAnsi="Times New Roman" w:eastAsia="黑体" w:cs="Times New Roman"/>
          <w:color w:val="auto"/>
          <w:sz w:val="28"/>
          <w:szCs w:val="28"/>
          <w:highlight w:val="none"/>
        </w:rPr>
      </w:pPr>
    </w:p>
    <w:p>
      <w:pPr>
        <w:rPr>
          <w:rFonts w:ascii="Times New Roman" w:hAnsi="Times New Roman" w:eastAsia="黑体" w:cs="Times New Roman"/>
          <w:color w:val="auto"/>
          <w:sz w:val="28"/>
          <w:szCs w:val="28"/>
          <w:highlight w:val="none"/>
        </w:rPr>
      </w:pPr>
    </w:p>
    <w:p>
      <w:pPr>
        <w:jc w:val="center"/>
        <w:rPr>
          <w:rFonts w:ascii="Times New Roman" w:hAnsi="Times New Roman" w:eastAsia="黑体" w:cs="Times New Roman"/>
          <w:color w:val="auto"/>
          <w:sz w:val="28"/>
          <w:szCs w:val="28"/>
          <w:highlight w:val="none"/>
          <w:u w:val="single"/>
        </w:rPr>
      </w:pPr>
      <w:r>
        <w:rPr>
          <w:rFonts w:ascii="Times New Roman" w:hAnsi="Times New Roman" w:eastAsia="黑体" w:cs="Times New Roman"/>
          <w:color w:val="auto"/>
          <w:sz w:val="28"/>
          <w:szCs w:val="28"/>
          <w:highlight w:val="none"/>
        </w:rPr>
        <w:t>投标人：</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（盖单位章）</w:t>
      </w:r>
    </w:p>
    <w:p>
      <w:pPr>
        <w:jc w:val="center"/>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8"/>
          <w:szCs w:val="28"/>
          <w:highlight w:val="none"/>
        </w:rPr>
        <w:t>法定代表人或其委托代理人：</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（签字或盖章）</w:t>
      </w:r>
    </w:p>
    <w:p>
      <w:pPr>
        <w:jc w:val="center"/>
        <w:rPr>
          <w:rFonts w:ascii="Times New Roman" w:hAnsi="Times New Roman" w:eastAsia="黑体" w:cs="Times New Roman"/>
          <w:color w:val="auto"/>
          <w:sz w:val="28"/>
          <w:szCs w:val="28"/>
          <w:highlight w:val="none"/>
        </w:rPr>
        <w:sectPr>
          <w:pgSz w:w="11905" w:h="16838"/>
          <w:pgMar w:top="1440" w:right="1800" w:bottom="1440" w:left="1800" w:header="850" w:footer="822" w:gutter="0"/>
          <w:cols w:space="720" w:num="1"/>
          <w:docGrid w:linePitch="318" w:charSpace="0"/>
        </w:sectPr>
      </w:pP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年</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月</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日</w:t>
      </w:r>
    </w:p>
    <w:p>
      <w:pPr>
        <w:widowControl/>
        <w:numPr>
          <w:ilvl w:val="0"/>
          <w:numId w:val="21"/>
        </w:numPr>
        <w:spacing w:line="360" w:lineRule="auto"/>
        <w:jc w:val="center"/>
        <w:outlineLvl w:val="2"/>
        <w:rPr>
          <w:rFonts w:ascii="Times New Roman" w:hAnsi="Times New Roman" w:eastAsia="宋体" w:cs="Times New Roman"/>
          <w:b/>
          <w:bCs/>
          <w:color w:val="auto"/>
          <w:kern w:val="0"/>
          <w:sz w:val="24"/>
          <w:szCs w:val="24"/>
          <w:highlight w:val="none"/>
        </w:rPr>
      </w:pPr>
      <w:bookmarkStart w:id="83" w:name="_Toc19527"/>
      <w:bookmarkStart w:id="84" w:name="_Toc12235"/>
      <w:bookmarkStart w:id="85" w:name="_Toc29494"/>
      <w:bookmarkStart w:id="86" w:name="_Toc32615"/>
      <w:bookmarkStart w:id="87" w:name="_Toc29100"/>
      <w:bookmarkStart w:id="88" w:name="_Toc31885"/>
      <w:bookmarkStart w:id="89" w:name="_Toc26694"/>
      <w:r>
        <w:rPr>
          <w:rFonts w:ascii="Times New Roman" w:hAnsi="Times New Roman" w:eastAsia="宋体" w:cs="Times New Roman"/>
          <w:b/>
          <w:bCs/>
          <w:color w:val="auto"/>
          <w:kern w:val="0"/>
          <w:sz w:val="24"/>
          <w:szCs w:val="24"/>
          <w:highlight w:val="none"/>
        </w:rPr>
        <w:t>自查表</w:t>
      </w:r>
      <w:bookmarkEnd w:id="83"/>
      <w:bookmarkEnd w:id="84"/>
      <w:bookmarkEnd w:id="85"/>
      <w:bookmarkEnd w:id="86"/>
      <w:bookmarkEnd w:id="87"/>
      <w:bookmarkEnd w:id="88"/>
    </w:p>
    <w:p>
      <w:pPr>
        <w:keepNext/>
        <w:keepLines/>
        <w:numPr>
          <w:ilvl w:val="3"/>
          <w:numId w:val="0"/>
        </w:numPr>
        <w:spacing w:line="360" w:lineRule="auto"/>
        <w:jc w:val="center"/>
        <w:outlineLvl w:val="3"/>
        <w:rPr>
          <w:rFonts w:ascii="Times New Roman" w:hAnsi="Times New Roman" w:eastAsia="宋体" w:cs="Times New Roman"/>
          <w:b/>
          <w:bCs/>
          <w:color w:val="auto"/>
          <w:sz w:val="28"/>
          <w:szCs w:val="28"/>
          <w:highlight w:val="none"/>
        </w:rPr>
      </w:pPr>
      <w:bookmarkStart w:id="90" w:name="_Toc27409"/>
      <w:bookmarkStart w:id="91" w:name="_Toc20086"/>
      <w:bookmarkStart w:id="92" w:name="_Toc28882"/>
      <w:bookmarkStart w:id="93" w:name="_Toc16873"/>
      <w:bookmarkStart w:id="94" w:name="_Toc32076"/>
      <w:bookmarkStart w:id="95" w:name="_Toc29715"/>
      <w:bookmarkStart w:id="96" w:name="_Toc27063"/>
      <w:r>
        <w:rPr>
          <w:rFonts w:ascii="Times New Roman" w:hAnsi="Times New Roman" w:eastAsia="宋体" w:cs="Times New Roman"/>
          <w:b/>
          <w:bCs/>
          <w:color w:val="auto"/>
          <w:sz w:val="28"/>
          <w:szCs w:val="28"/>
          <w:highlight w:val="none"/>
        </w:rPr>
        <w:t>1.1 资格审查自查表</w:t>
      </w:r>
      <w:bookmarkEnd w:id="90"/>
      <w:bookmarkEnd w:id="91"/>
      <w:bookmarkEnd w:id="92"/>
      <w:bookmarkEnd w:id="93"/>
      <w:bookmarkEnd w:id="94"/>
      <w:bookmarkEnd w:id="95"/>
      <w:bookmarkEnd w:id="96"/>
    </w:p>
    <w:tbl>
      <w:tblPr>
        <w:tblStyle w:val="38"/>
        <w:tblW w:w="8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837"/>
        <w:gridCol w:w="1470"/>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14"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序号</w:t>
            </w:r>
          </w:p>
        </w:tc>
        <w:tc>
          <w:tcPr>
            <w:tcW w:w="4837"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审查内容</w:t>
            </w:r>
          </w:p>
        </w:tc>
        <w:tc>
          <w:tcPr>
            <w:tcW w:w="1470"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bCs/>
                <w:color w:val="auto"/>
                <w:sz w:val="24"/>
                <w:szCs w:val="24"/>
                <w:highlight w:val="none"/>
              </w:rPr>
              <w:t>自查结论</w:t>
            </w:r>
          </w:p>
        </w:tc>
        <w:tc>
          <w:tcPr>
            <w:tcW w:w="1693"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rPr>
              <w:t>证明材料</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bCs/>
                <w:color w:val="auto"/>
                <w:sz w:val="24"/>
                <w:szCs w:val="24"/>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w:t>
            </w:r>
          </w:p>
        </w:tc>
        <w:tc>
          <w:tcPr>
            <w:tcW w:w="48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投标人具有独立法人资格，按国家法律经营。</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w:t>
            </w:r>
          </w:p>
        </w:tc>
        <w:tc>
          <w:tcPr>
            <w:tcW w:w="48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highlight w:val="none"/>
              </w:rPr>
              <w:t>投标人持有建设行政主管部门颁发的安全生产许可证。</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p>
        </w:tc>
        <w:tc>
          <w:tcPr>
            <w:tcW w:w="48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投标人均持有建设行政主管部门颁发的企业资质证书，符合公告要求。</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w:t>
            </w:r>
          </w:p>
        </w:tc>
        <w:tc>
          <w:tcPr>
            <w:tcW w:w="48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本项目允许联合体投标。</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w:t>
            </w:r>
          </w:p>
        </w:tc>
        <w:tc>
          <w:tcPr>
            <w:tcW w:w="48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投标人在近三年内没有发生重大质量、安全事故。如投标人隐瞒不报一经发现，即取消投标资格或中标资格。</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6</w:t>
            </w:r>
          </w:p>
        </w:tc>
        <w:tc>
          <w:tcPr>
            <w:tcW w:w="4837" w:type="dxa"/>
            <w:vAlign w:val="center"/>
          </w:tcPr>
          <w:p>
            <w:pPr>
              <w:keepNext w:val="0"/>
              <w:keepLines w:val="0"/>
              <w:pageBreakBefore w:val="0"/>
              <w:widowControl w:val="0"/>
              <w:tabs>
                <w:tab w:val="left" w:pos="1092"/>
              </w:tabs>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highlight w:val="none"/>
              </w:rPr>
              <w:t>投标人无因违约或不恰当履行合同引起的终止、纠纷、争议、仲裁和诉讼记录。</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7</w:t>
            </w:r>
          </w:p>
        </w:tc>
        <w:tc>
          <w:tcPr>
            <w:tcW w:w="4837" w:type="dxa"/>
            <w:vAlign w:val="center"/>
          </w:tcPr>
          <w:p>
            <w:pPr>
              <w:keepNext w:val="0"/>
              <w:keepLines w:val="0"/>
              <w:pageBreakBefore w:val="0"/>
              <w:widowControl w:val="0"/>
              <w:tabs>
                <w:tab w:val="left" w:pos="1092"/>
              </w:tabs>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highlight w:val="none"/>
              </w:rPr>
              <w:t>投标人未被列入“中国执行信息公开网”（</w:t>
            </w:r>
            <w:r>
              <w:rPr>
                <w:rFonts w:ascii="宋体" w:hAnsi="宋体" w:eastAsia="宋体" w:cs="宋体"/>
                <w:color w:val="auto"/>
                <w:sz w:val="24"/>
                <w:highlight w:val="none"/>
              </w:rPr>
              <w:t>zxgk.court.gov.cn）、“信用中国”网站（www.creditchina.gov.cn）①政府采购严重违法失信行为记录名单②失信被执行人③重大税收违法失</w:t>
            </w:r>
            <w:r>
              <w:rPr>
                <w:rFonts w:hint="eastAsia" w:ascii="宋体" w:hAnsi="宋体" w:eastAsia="宋体" w:cs="宋体"/>
                <w:color w:val="auto"/>
                <w:sz w:val="24"/>
                <w:highlight w:val="none"/>
              </w:rPr>
              <w:t>信主体。</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8</w:t>
            </w:r>
          </w:p>
        </w:tc>
        <w:tc>
          <w:tcPr>
            <w:tcW w:w="4837" w:type="dxa"/>
            <w:vAlign w:val="center"/>
          </w:tcPr>
          <w:p>
            <w:pPr>
              <w:keepNext w:val="0"/>
              <w:keepLines w:val="0"/>
              <w:pageBreakBefore w:val="0"/>
              <w:widowControl w:val="0"/>
              <w:kinsoku/>
              <w:wordWrap/>
              <w:overflowPunct/>
              <w:topLinePunct w:val="0"/>
              <w:autoSpaceDE/>
              <w:autoSpaceDN/>
              <w:bidi w:val="0"/>
              <w:spacing w:line="240" w:lineRule="auto"/>
              <w:ind w:left="0" w:firstLine="0" w:firstLineChars="0"/>
              <w:textAlignment w:val="auto"/>
              <w:rPr>
                <w:rFonts w:ascii="宋体" w:hAnsi="宋体" w:cs="宋体"/>
                <w:color w:val="auto"/>
                <w:sz w:val="24"/>
                <w:highlight w:val="none"/>
              </w:rPr>
            </w:pPr>
            <w:r>
              <w:rPr>
                <w:rFonts w:hint="eastAsia" w:ascii="宋体" w:hAnsi="宋体" w:eastAsia="宋体" w:cs="宋体"/>
                <w:color w:val="auto"/>
                <w:sz w:val="24"/>
                <w:highlight w:val="none"/>
              </w:rPr>
              <w:t>本项目不允许分包或转包。</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9</w:t>
            </w:r>
          </w:p>
        </w:tc>
        <w:tc>
          <w:tcPr>
            <w:tcW w:w="4837" w:type="dxa"/>
            <w:vAlign w:val="center"/>
          </w:tcPr>
          <w:p>
            <w:pPr>
              <w:keepNext w:val="0"/>
              <w:keepLines w:val="0"/>
              <w:pageBreakBefore w:val="0"/>
              <w:widowControl w:val="0"/>
              <w:kinsoku/>
              <w:wordWrap/>
              <w:overflowPunct/>
              <w:topLinePunct w:val="0"/>
              <w:autoSpaceDE/>
              <w:autoSpaceDN/>
              <w:bidi w:val="0"/>
              <w:spacing w:line="240" w:lineRule="auto"/>
              <w:ind w:left="0" w:firstLine="0" w:firstLineChars="0"/>
              <w:textAlignment w:val="auto"/>
              <w:rPr>
                <w:rFonts w:ascii="宋体" w:hAnsi="宋体" w:cs="宋体"/>
                <w:color w:val="auto"/>
                <w:sz w:val="24"/>
                <w:highlight w:val="none"/>
              </w:rPr>
            </w:pPr>
            <w:r>
              <w:rPr>
                <w:rFonts w:hint="eastAsia" w:ascii="宋体" w:hAnsi="宋体" w:eastAsia="宋体" w:cs="宋体"/>
                <w:color w:val="auto"/>
                <w:sz w:val="24"/>
                <w:highlight w:val="none"/>
              </w:rPr>
              <w:t>按要求递交投标保证金。</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bl>
    <w:p>
      <w:pPr>
        <w:spacing w:line="360" w:lineRule="auto"/>
        <w:ind w:left="-359" w:leftChars="-171" w:firstLine="360" w:firstLineChars="15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注：1、投标人必须严格按照上表所列要求在投标文件中对应如实提供，如有任何缺漏和不符合项将会直接导致否决投标。2、投标人根据自查结论在对应的□打“√”。</w:t>
      </w:r>
    </w:p>
    <w:p>
      <w:pPr>
        <w:keepNext w:val="0"/>
        <w:keepLines w:val="0"/>
        <w:pageBreakBefore w:val="0"/>
        <w:widowControl w:val="0"/>
        <w:kinsoku/>
        <w:wordWrap/>
        <w:overflowPunct/>
        <w:topLinePunct w:val="0"/>
        <w:autoSpaceDE/>
        <w:autoSpaceDN/>
        <w:bidi w:val="0"/>
        <w:adjustRightInd w:val="0"/>
        <w:snapToGrid w:val="0"/>
        <w:spacing w:line="360" w:lineRule="auto"/>
        <w:ind w:firstLine="3578" w:firstLineChars="1491"/>
        <w:textAlignment w:val="auto"/>
        <w:rPr>
          <w:rFonts w:ascii="Times New Roman" w:hAnsi="Times New Roman" w:eastAsia="宋体" w:cs="Times New Roman"/>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3578" w:firstLineChars="1491"/>
        <w:textAlignment w:val="auto"/>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投标人名称（加盖公章）：</w:t>
      </w:r>
    </w:p>
    <w:p>
      <w:pPr>
        <w:keepNext w:val="0"/>
        <w:keepLines w:val="0"/>
        <w:pageBreakBefore w:val="0"/>
        <w:widowControl w:val="0"/>
        <w:kinsoku/>
        <w:wordWrap/>
        <w:overflowPunct/>
        <w:topLinePunct w:val="0"/>
        <w:autoSpaceDE/>
        <w:autoSpaceDN/>
        <w:bidi w:val="0"/>
        <w:spacing w:line="360" w:lineRule="auto"/>
        <w:ind w:firstLine="3578" w:firstLineChars="1491"/>
        <w:textAlignment w:val="auto"/>
        <w:rPr>
          <w:rFonts w:ascii="Times New Roman" w:hAnsi="Times New Roman" w:eastAsia="宋体" w:cs="Times New Roman"/>
          <w:color w:val="auto"/>
          <w:sz w:val="24"/>
          <w:highlight w:val="none"/>
        </w:rPr>
        <w:sectPr>
          <w:pgSz w:w="11905" w:h="16838"/>
          <w:pgMar w:top="1440" w:right="1800" w:bottom="1440" w:left="1800" w:header="850" w:footer="822" w:gutter="0"/>
          <w:cols w:space="720" w:num="1"/>
          <w:docGrid w:linePitch="318" w:charSpace="0"/>
        </w:sectPr>
      </w:pPr>
      <w:r>
        <w:rPr>
          <w:rFonts w:ascii="Times New Roman" w:hAnsi="Times New Roman" w:eastAsia="宋体" w:cs="Times New Roman"/>
          <w:color w:val="auto"/>
          <w:sz w:val="24"/>
          <w:highlight w:val="none"/>
        </w:rPr>
        <w:t>日期：   年   月   日</w:t>
      </w: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97" w:name="_Toc31870"/>
      <w:bookmarkStart w:id="98" w:name="_Toc13224"/>
      <w:bookmarkStart w:id="99" w:name="_Toc17603"/>
      <w:bookmarkStart w:id="100" w:name="_Toc25867"/>
      <w:bookmarkStart w:id="101" w:name="_Toc27474"/>
      <w:bookmarkStart w:id="102" w:name="_Toc1903"/>
      <w:r>
        <w:rPr>
          <w:rFonts w:ascii="Times New Roman" w:hAnsi="Times New Roman" w:eastAsia="宋体" w:cs="Times New Roman"/>
          <w:b/>
          <w:bCs/>
          <w:color w:val="auto"/>
          <w:sz w:val="28"/>
          <w:szCs w:val="28"/>
          <w:highlight w:val="none"/>
        </w:rPr>
        <w:t>1.2 技术标有效性审查自查表</w:t>
      </w:r>
      <w:bookmarkEnd w:id="97"/>
      <w:bookmarkEnd w:id="98"/>
      <w:bookmarkEnd w:id="99"/>
    </w:p>
    <w:bookmarkEnd w:id="100"/>
    <w:bookmarkEnd w:id="101"/>
    <w:bookmarkEnd w:id="102"/>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4739"/>
        <w:gridCol w:w="143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09" w:type="pct"/>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序号</w:t>
            </w:r>
          </w:p>
        </w:tc>
        <w:tc>
          <w:tcPr>
            <w:tcW w:w="2781" w:type="pct"/>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审查内容</w:t>
            </w:r>
          </w:p>
        </w:tc>
        <w:tc>
          <w:tcPr>
            <w:tcW w:w="844" w:type="pct"/>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bCs/>
                <w:color w:val="auto"/>
                <w:sz w:val="24"/>
                <w:szCs w:val="24"/>
                <w:highlight w:val="none"/>
              </w:rPr>
              <w:t>自查结论</w:t>
            </w:r>
          </w:p>
        </w:tc>
        <w:tc>
          <w:tcPr>
            <w:tcW w:w="965" w:type="pct"/>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rPr>
              <w:t>证明材料</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bCs/>
                <w:color w:val="auto"/>
                <w:sz w:val="24"/>
                <w:szCs w:val="24"/>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投标函</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项目工期</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具有有效的法定代表人证明书，或法定代表人授权书</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投标有效期</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提交招标代理服务费支付承诺书，且按招标文件要求签署、盖章</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6</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hAnsi="宋体"/>
                <w:color w:val="auto"/>
                <w:sz w:val="24"/>
                <w:highlight w:val="none"/>
              </w:rPr>
            </w:pPr>
            <w:r>
              <w:rPr>
                <w:rFonts w:hint="eastAsia" w:ascii="宋体" w:hAnsi="宋体" w:eastAsia="宋体" w:cs="宋体"/>
                <w:color w:val="auto"/>
                <w:sz w:val="24"/>
                <w:szCs w:val="24"/>
                <w:highlight w:val="none"/>
              </w:rPr>
              <w:t>投标人未出现实质性条款响应负偏离的情况</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7</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hAnsi="宋体"/>
                <w:color w:val="auto"/>
                <w:sz w:val="24"/>
                <w:highlight w:val="none"/>
              </w:rPr>
            </w:pPr>
            <w:r>
              <w:rPr>
                <w:rFonts w:hint="eastAsia" w:ascii="宋体" w:hAnsi="宋体" w:cs="宋体"/>
                <w:color w:val="auto"/>
                <w:sz w:val="24"/>
                <w:szCs w:val="24"/>
                <w:highlight w:val="none"/>
              </w:rPr>
              <w:t>投标文件完整性</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0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8</w:t>
            </w:r>
          </w:p>
        </w:tc>
        <w:tc>
          <w:tcPr>
            <w:tcW w:w="2781" w:type="pct"/>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ascii="宋体" w:hAnsi="宋体"/>
                <w:color w:val="auto"/>
                <w:sz w:val="24"/>
                <w:highlight w:val="none"/>
              </w:rPr>
            </w:pPr>
            <w:r>
              <w:rPr>
                <w:rFonts w:hint="eastAsia" w:ascii="宋体" w:hAnsi="宋体"/>
                <w:color w:val="auto"/>
                <w:sz w:val="24"/>
                <w:highlight w:val="none"/>
              </w:rPr>
              <w:t>其他要求</w:t>
            </w:r>
          </w:p>
        </w:tc>
        <w:tc>
          <w:tcPr>
            <w:tcW w:w="84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96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bl>
    <w:p>
      <w:pPr>
        <w:spacing w:line="360" w:lineRule="auto"/>
        <w:ind w:left="-359" w:leftChars="-171" w:firstLine="360" w:firstLineChars="15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注：1、投标人必须严格按照上表所列要求在投标文件中对应如实提供，如有任何缺漏和不符合项将会直接导致否决投标。2、投标人根据自查结论在对应的□打“√”。</w:t>
      </w:r>
    </w:p>
    <w:p>
      <w:pPr>
        <w:adjustRightInd w:val="0"/>
        <w:snapToGrid w:val="0"/>
        <w:spacing w:before="72" w:after="72" w:line="480" w:lineRule="auto"/>
        <w:ind w:firstLine="3131" w:firstLineChars="1491"/>
        <w:rPr>
          <w:rFonts w:ascii="Times New Roman" w:hAnsi="Times New Roman" w:eastAsia="宋体" w:cs="Times New Roman"/>
          <w:color w:val="auto"/>
          <w:szCs w:val="21"/>
          <w:highlight w:val="none"/>
        </w:rPr>
      </w:pPr>
    </w:p>
    <w:p>
      <w:pPr>
        <w:adjustRightInd w:val="0"/>
        <w:snapToGrid w:val="0"/>
        <w:spacing w:before="72" w:after="72" w:line="480" w:lineRule="auto"/>
        <w:ind w:firstLine="3131" w:firstLineChars="1491"/>
        <w:rPr>
          <w:rFonts w:ascii="Times New Roman" w:hAnsi="Times New Roman" w:eastAsia="宋体" w:cs="Times New Roman"/>
          <w:color w:val="auto"/>
          <w:szCs w:val="21"/>
          <w:highlight w:val="none"/>
        </w:rPr>
      </w:pPr>
    </w:p>
    <w:p>
      <w:pPr>
        <w:adjustRightInd w:val="0"/>
        <w:snapToGrid w:val="0"/>
        <w:spacing w:before="72" w:after="72" w:line="480" w:lineRule="auto"/>
        <w:ind w:firstLine="3578" w:firstLineChars="1491"/>
        <w:rPr>
          <w:rFonts w:ascii="Times New Roman" w:hAnsi="Times New Roman" w:eastAsia="宋体" w:cs="Times New Roman"/>
          <w:color w:val="auto"/>
          <w:sz w:val="24"/>
          <w:szCs w:val="24"/>
          <w:highlight w:val="none"/>
          <w:u w:val="single"/>
        </w:rPr>
      </w:pPr>
      <w:r>
        <w:rPr>
          <w:rFonts w:ascii="Times New Roman" w:hAnsi="Times New Roman" w:eastAsia="宋体" w:cs="Times New Roman"/>
          <w:color w:val="auto"/>
          <w:sz w:val="24"/>
          <w:szCs w:val="24"/>
          <w:highlight w:val="none"/>
        </w:rPr>
        <w:t>投标人名称（加盖公章）：</w:t>
      </w:r>
    </w:p>
    <w:p>
      <w:pPr>
        <w:spacing w:before="72" w:after="72" w:line="400" w:lineRule="exact"/>
        <w:ind w:firstLine="3578" w:firstLineChars="1491"/>
        <w:rPr>
          <w:rFonts w:ascii="Times New Roman" w:hAnsi="Times New Roman" w:eastAsia="宋体" w:cs="Times New Roman"/>
          <w:color w:val="auto"/>
          <w:sz w:val="24"/>
          <w:szCs w:val="24"/>
          <w:highlight w:val="none"/>
        </w:rPr>
        <w:sectPr>
          <w:pgSz w:w="11905" w:h="16838"/>
          <w:pgMar w:top="1440" w:right="1800" w:bottom="1440" w:left="1800" w:header="850" w:footer="822" w:gutter="0"/>
          <w:cols w:space="720" w:num="1"/>
          <w:docGrid w:linePitch="318" w:charSpace="0"/>
        </w:sectPr>
      </w:pPr>
      <w:r>
        <w:rPr>
          <w:rFonts w:ascii="Times New Roman" w:hAnsi="Times New Roman" w:eastAsia="宋体" w:cs="Times New Roman"/>
          <w:color w:val="auto"/>
          <w:sz w:val="24"/>
          <w:szCs w:val="24"/>
          <w:highlight w:val="none"/>
        </w:rPr>
        <w:t>日期：   年   月   日</w:t>
      </w: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03" w:name="_Toc2159"/>
      <w:bookmarkStart w:id="104" w:name="_Toc22529"/>
      <w:bookmarkStart w:id="105" w:name="_Toc17522"/>
      <w:r>
        <w:rPr>
          <w:rFonts w:ascii="Times New Roman" w:hAnsi="Times New Roman" w:eastAsia="宋体" w:cs="Times New Roman"/>
          <w:b/>
          <w:bCs/>
          <w:color w:val="auto"/>
          <w:sz w:val="28"/>
          <w:szCs w:val="28"/>
          <w:highlight w:val="none"/>
        </w:rPr>
        <w:t>1.3经济标有效性审查自查表</w:t>
      </w:r>
      <w:bookmarkEnd w:id="103"/>
      <w:bookmarkEnd w:id="104"/>
      <w:bookmarkEnd w:id="105"/>
    </w:p>
    <w:tbl>
      <w:tblPr>
        <w:tblStyle w:val="38"/>
        <w:tblW w:w="8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837"/>
        <w:gridCol w:w="1470"/>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trPr>
        <w:tc>
          <w:tcPr>
            <w:tcW w:w="714"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序号</w:t>
            </w:r>
          </w:p>
        </w:tc>
        <w:tc>
          <w:tcPr>
            <w:tcW w:w="4837"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审查内容</w:t>
            </w:r>
          </w:p>
        </w:tc>
        <w:tc>
          <w:tcPr>
            <w:tcW w:w="1470"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bCs/>
                <w:color w:val="auto"/>
                <w:sz w:val="24"/>
                <w:szCs w:val="24"/>
                <w:highlight w:val="none"/>
              </w:rPr>
              <w:t>自查结论</w:t>
            </w:r>
          </w:p>
        </w:tc>
        <w:tc>
          <w:tcPr>
            <w:tcW w:w="1693" w:type="dxa"/>
            <w:shd w:val="clear" w:color="auto" w:fill="D7D7D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rPr>
              <w:t>证明材料</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b/>
                <w:color w:val="auto"/>
                <w:sz w:val="24"/>
                <w:szCs w:val="24"/>
                <w:highlight w:val="none"/>
              </w:rPr>
            </w:pPr>
            <w:r>
              <w:rPr>
                <w:rFonts w:hint="eastAsia" w:ascii="Times New Roman" w:hAnsi="Times New Roman" w:eastAsia="宋体" w:cs="Times New Roman"/>
                <w:b/>
                <w:bCs/>
                <w:color w:val="auto"/>
                <w:sz w:val="24"/>
                <w:szCs w:val="24"/>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w:t>
            </w:r>
          </w:p>
        </w:tc>
        <w:tc>
          <w:tcPr>
            <w:tcW w:w="4837" w:type="dxa"/>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对同一招标项目未出现两个或以上的投标报价；</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w:t>
            </w:r>
          </w:p>
        </w:tc>
        <w:tc>
          <w:tcPr>
            <w:tcW w:w="4837" w:type="dxa"/>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投标报价未高于最高投标限价</w:t>
            </w:r>
            <w:r>
              <w:rPr>
                <w:rFonts w:hint="eastAsia" w:ascii="宋体" w:hAnsi="宋体" w:eastAsia="宋体" w:cs="宋体"/>
                <w:color w:val="auto"/>
                <w:sz w:val="24"/>
                <w:szCs w:val="24"/>
                <w:highlight w:val="none"/>
                <w:lang w:eastAsia="zh-CN"/>
              </w:rPr>
              <w:t>和分项限价的</w:t>
            </w:r>
            <w:r>
              <w:rPr>
                <w:rFonts w:hint="eastAsia" w:ascii="宋体" w:hAnsi="宋体" w:eastAsia="宋体" w:cs="宋体"/>
                <w:color w:val="auto"/>
                <w:sz w:val="24"/>
                <w:szCs w:val="24"/>
                <w:highlight w:val="none"/>
              </w:rPr>
              <w:t>；</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p>
        </w:tc>
        <w:tc>
          <w:tcPr>
            <w:tcW w:w="4837" w:type="dxa"/>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4"/>
                <w:szCs w:val="24"/>
                <w:highlight w:val="none"/>
              </w:rPr>
              <w:t>若评标委员会认为投标人的报价低于成本警戒价或明显低于其他通过符合性审查投标人的报价，评标委员会应当要求该投标人在要求的时间内做出书面说明并提供相关证明材料。投标人能在评标委员会要求的时间内合理说明理由或者能提供相关证明材料的，评标委员会认定该投标人非恶意以低于成本报价竞标的。</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□通过</w:t>
            </w:r>
          </w:p>
          <w:p>
            <w:pPr>
              <w:keepNext w:val="0"/>
              <w:keepLines w:val="0"/>
              <w:pageBreakBefore w:val="0"/>
              <w:widowControl w:val="0"/>
              <w:kinsoku/>
              <w:wordWrap/>
              <w:overflowPunct/>
              <w:topLinePunct w:val="0"/>
              <w:autoSpaceDE/>
              <w:autoSpaceDN/>
              <w:bidi w:val="0"/>
              <w:adjustRightInd w:val="0"/>
              <w:snapToGrid w:val="0"/>
              <w:spacing w:line="240" w:lineRule="auto"/>
              <w:ind w:left="-171" w:firstLine="170" w:firstLineChars="71"/>
              <w:jc w:val="left"/>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□不通过</w:t>
            </w:r>
          </w:p>
        </w:tc>
        <w:tc>
          <w:tcPr>
            <w:tcW w:w="16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ind w:left="-171"/>
              <w:jc w:val="center"/>
              <w:textAlignment w:val="auto"/>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第（）页</w:t>
            </w:r>
          </w:p>
        </w:tc>
      </w:tr>
    </w:tbl>
    <w:p>
      <w:pPr>
        <w:spacing w:line="360" w:lineRule="auto"/>
        <w:ind w:left="-359" w:leftChars="-171" w:firstLine="360" w:firstLineChars="15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注：</w:t>
      </w:r>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rPr>
        <w:t>、投标人必须严格按照上表所列要求在投标文件中对应如实提供，如有任何缺漏和不符</w:t>
      </w:r>
      <w:r>
        <w:rPr>
          <w:rFonts w:ascii="Times New Roman" w:hAnsi="Times New Roman" w:eastAsia="宋体" w:cs="Times New Roman"/>
          <w:color w:val="auto"/>
          <w:sz w:val="24"/>
          <w:highlight w:val="none"/>
        </w:rPr>
        <w:t>合项将会直接导致否决投标。2、投标人根据自查结论在对应的□打“√”。</w:t>
      </w:r>
    </w:p>
    <w:p>
      <w:pPr>
        <w:adjustRightInd w:val="0"/>
        <w:snapToGrid w:val="0"/>
        <w:spacing w:before="72" w:after="72" w:line="480" w:lineRule="auto"/>
        <w:ind w:firstLine="3131" w:firstLineChars="1491"/>
        <w:rPr>
          <w:rFonts w:ascii="Times New Roman" w:hAnsi="Times New Roman" w:eastAsia="宋体" w:cs="Times New Roman"/>
          <w:color w:val="auto"/>
          <w:szCs w:val="21"/>
          <w:highlight w:val="none"/>
        </w:rPr>
      </w:pPr>
    </w:p>
    <w:p>
      <w:pPr>
        <w:adjustRightInd w:val="0"/>
        <w:snapToGrid w:val="0"/>
        <w:spacing w:before="72" w:after="72" w:line="480" w:lineRule="auto"/>
        <w:ind w:firstLine="3131" w:firstLineChars="1491"/>
        <w:rPr>
          <w:rFonts w:ascii="Times New Roman" w:hAnsi="Times New Roman" w:eastAsia="宋体" w:cs="Times New Roman"/>
          <w:color w:val="auto"/>
          <w:szCs w:val="21"/>
          <w:highlight w:val="none"/>
        </w:rPr>
      </w:pPr>
    </w:p>
    <w:p>
      <w:pPr>
        <w:adjustRightInd w:val="0"/>
        <w:snapToGrid w:val="0"/>
        <w:spacing w:before="72" w:after="72" w:line="480" w:lineRule="auto"/>
        <w:ind w:firstLine="3578" w:firstLineChars="1491"/>
        <w:rPr>
          <w:rFonts w:ascii="Times New Roman" w:hAnsi="Times New Roman" w:eastAsia="宋体" w:cs="Times New Roman"/>
          <w:color w:val="auto"/>
          <w:sz w:val="24"/>
          <w:szCs w:val="24"/>
          <w:highlight w:val="none"/>
          <w:u w:val="single"/>
        </w:rPr>
      </w:pPr>
      <w:r>
        <w:rPr>
          <w:rFonts w:ascii="Times New Roman" w:hAnsi="Times New Roman" w:eastAsia="宋体" w:cs="Times New Roman"/>
          <w:color w:val="auto"/>
          <w:sz w:val="24"/>
          <w:szCs w:val="24"/>
          <w:highlight w:val="none"/>
        </w:rPr>
        <w:t>投标人名称（加盖公章）：</w:t>
      </w:r>
    </w:p>
    <w:p>
      <w:pPr>
        <w:spacing w:before="72" w:after="72" w:line="400" w:lineRule="exact"/>
        <w:ind w:firstLine="3578" w:firstLineChars="1491"/>
        <w:rPr>
          <w:rFonts w:ascii="Times New Roman" w:hAnsi="Times New Roman" w:eastAsia="宋体" w:cs="Times New Roman"/>
          <w:color w:val="auto"/>
          <w:sz w:val="24"/>
          <w:szCs w:val="24"/>
          <w:highlight w:val="none"/>
        </w:rPr>
        <w:sectPr>
          <w:pgSz w:w="11905" w:h="16838"/>
          <w:pgMar w:top="1440" w:right="1800" w:bottom="1440" w:left="1800" w:header="850" w:footer="822" w:gutter="0"/>
          <w:cols w:space="720" w:num="1"/>
          <w:docGrid w:linePitch="318" w:charSpace="0"/>
        </w:sectPr>
      </w:pPr>
      <w:r>
        <w:rPr>
          <w:rFonts w:ascii="Times New Roman" w:hAnsi="Times New Roman" w:eastAsia="宋体" w:cs="Times New Roman"/>
          <w:color w:val="auto"/>
          <w:sz w:val="24"/>
          <w:szCs w:val="24"/>
          <w:highlight w:val="none"/>
        </w:rPr>
        <w:t>日期：   年   月   日</w:t>
      </w:r>
    </w:p>
    <w:bookmarkEnd w:id="89"/>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06" w:name="_Toc646"/>
      <w:bookmarkStart w:id="107" w:name="_Toc29972"/>
      <w:bookmarkStart w:id="108" w:name="_Toc6681"/>
      <w:bookmarkStart w:id="109" w:name="_Toc26090"/>
      <w:bookmarkStart w:id="110" w:name="_Toc30096"/>
      <w:bookmarkStart w:id="111" w:name="_Toc3702"/>
      <w:bookmarkStart w:id="112" w:name="_Toc379"/>
      <w:r>
        <w:rPr>
          <w:rFonts w:ascii="Times New Roman" w:hAnsi="Times New Roman" w:eastAsia="宋体" w:cs="Times New Roman"/>
          <w:b/>
          <w:bCs/>
          <w:color w:val="auto"/>
          <w:sz w:val="28"/>
          <w:szCs w:val="28"/>
          <w:highlight w:val="none"/>
        </w:rPr>
        <w:t>1.4技术标详细审查评分自查表</w:t>
      </w:r>
      <w:bookmarkEnd w:id="106"/>
      <w:bookmarkEnd w:id="107"/>
      <w:bookmarkEnd w:id="108"/>
      <w:bookmarkEnd w:id="109"/>
      <w:bookmarkEnd w:id="110"/>
      <w:bookmarkEnd w:id="111"/>
      <w:bookmarkEnd w:id="112"/>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56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31" w:type="dxa"/>
            <w:shd w:val="clear" w:color="auto" w:fill="CCCCCC"/>
            <w:vAlign w:val="center"/>
          </w:tcPr>
          <w:p>
            <w:pPr>
              <w:jc w:val="center"/>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序号</w:t>
            </w:r>
          </w:p>
        </w:tc>
        <w:tc>
          <w:tcPr>
            <w:tcW w:w="4560" w:type="dxa"/>
            <w:shd w:val="clear" w:color="auto" w:fill="CCCCCC"/>
            <w:vAlign w:val="center"/>
          </w:tcPr>
          <w:p>
            <w:pPr>
              <w:jc w:val="center"/>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评审分项</w:t>
            </w:r>
          </w:p>
        </w:tc>
        <w:tc>
          <w:tcPr>
            <w:tcW w:w="3180" w:type="dxa"/>
            <w:shd w:val="clear" w:color="auto" w:fill="CCCCCC"/>
            <w:vAlign w:val="center"/>
          </w:tcPr>
          <w:p>
            <w:pPr>
              <w:jc w:val="center"/>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7</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8</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9</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31"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p>
        </w:tc>
        <w:tc>
          <w:tcPr>
            <w:tcW w:w="4560" w:type="dxa"/>
            <w:vAlign w:val="center"/>
          </w:tcPr>
          <w:p>
            <w:pPr>
              <w:rPr>
                <w:rFonts w:ascii="Times New Roman" w:hAnsi="Times New Roman" w:eastAsia="宋体" w:cs="Times New Roman"/>
                <w:color w:val="auto"/>
                <w:sz w:val="24"/>
                <w:highlight w:val="none"/>
              </w:rPr>
            </w:pPr>
          </w:p>
        </w:tc>
        <w:tc>
          <w:tcPr>
            <w:tcW w:w="3180" w:type="dxa"/>
            <w:vAlign w:val="center"/>
          </w:tcPr>
          <w:p>
            <w:pPr>
              <w:rPr>
                <w:rFonts w:ascii="Times New Roman" w:hAnsi="Times New Roman" w:eastAsia="宋体" w:cs="Times New Roman"/>
                <w:color w:val="auto"/>
                <w:sz w:val="24"/>
                <w:highlight w:val="none"/>
              </w:rPr>
            </w:pPr>
          </w:p>
        </w:tc>
      </w:tr>
    </w:tbl>
    <w:p>
      <w:pPr>
        <w:spacing w:before="120" w:beforeLines="50" w:line="360" w:lineRule="auto"/>
        <w:ind w:left="-359" w:leftChars="-171" w:firstLine="360" w:firstLineChars="15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注：投标人应根据《技术标详细审查评分表》的各项内容填写此表。</w:t>
      </w: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adjustRightInd w:val="0"/>
        <w:snapToGrid w:val="0"/>
        <w:spacing w:before="72" w:after="72" w:line="480" w:lineRule="auto"/>
        <w:ind w:firstLine="3578" w:firstLineChars="1491"/>
        <w:rPr>
          <w:rFonts w:ascii="Times New Roman" w:hAnsi="Times New Roman" w:eastAsia="宋体" w:cs="Times New Roman"/>
          <w:color w:val="auto"/>
          <w:sz w:val="24"/>
          <w:szCs w:val="24"/>
          <w:highlight w:val="none"/>
          <w:u w:val="single"/>
        </w:rPr>
      </w:pPr>
      <w:r>
        <w:rPr>
          <w:rFonts w:ascii="Times New Roman" w:hAnsi="Times New Roman" w:eastAsia="宋体" w:cs="Times New Roman"/>
          <w:color w:val="auto"/>
          <w:sz w:val="24"/>
          <w:szCs w:val="24"/>
          <w:highlight w:val="none"/>
        </w:rPr>
        <w:t>投标人名称（加盖公章）：</w:t>
      </w:r>
    </w:p>
    <w:p>
      <w:pPr>
        <w:spacing w:before="72" w:after="72" w:line="400" w:lineRule="exact"/>
        <w:ind w:firstLine="3578" w:firstLineChars="1491"/>
        <w:rPr>
          <w:rFonts w:ascii="Times New Roman" w:hAnsi="Times New Roman" w:eastAsia="仿宋_GB2312" w:cs="Times New Roman"/>
          <w:b/>
          <w:color w:val="auto"/>
          <w:sz w:val="24"/>
          <w:szCs w:val="24"/>
          <w:highlight w:val="none"/>
        </w:rPr>
      </w:pPr>
      <w:r>
        <w:rPr>
          <w:rFonts w:ascii="Times New Roman" w:hAnsi="Times New Roman" w:eastAsia="宋体" w:cs="Times New Roman"/>
          <w:color w:val="auto"/>
          <w:sz w:val="24"/>
          <w:szCs w:val="24"/>
          <w:highlight w:val="none"/>
        </w:rPr>
        <w:t>日期：   年   月   日</w:t>
      </w:r>
    </w:p>
    <w:p>
      <w:pPr>
        <w:spacing w:before="72" w:after="72" w:line="400" w:lineRule="exact"/>
        <w:rPr>
          <w:rFonts w:ascii="Times New Roman" w:hAnsi="Times New Roman" w:eastAsia="仿宋_GB2312" w:cs="Times New Roman"/>
          <w:b/>
          <w:color w:val="auto"/>
          <w:szCs w:val="21"/>
          <w:highlight w:val="none"/>
        </w:rPr>
      </w:pPr>
    </w:p>
    <w:p>
      <w:pPr>
        <w:spacing w:before="72" w:after="72" w:line="400" w:lineRule="exact"/>
        <w:rPr>
          <w:rFonts w:ascii="Times New Roman" w:hAnsi="Times New Roman" w:eastAsia="仿宋_GB2312" w:cs="Times New Roman"/>
          <w:b/>
          <w:color w:val="auto"/>
          <w:sz w:val="24"/>
          <w:highlight w:val="none"/>
        </w:rPr>
      </w:pPr>
    </w:p>
    <w:p>
      <w:pPr>
        <w:spacing w:before="72" w:after="72" w:line="400" w:lineRule="exact"/>
        <w:rPr>
          <w:rFonts w:ascii="Times New Roman" w:hAnsi="Times New Roman" w:eastAsia="仿宋_GB2312" w:cs="Times New Roman"/>
          <w:b/>
          <w:color w:val="auto"/>
          <w:sz w:val="24"/>
          <w:highlight w:val="none"/>
        </w:rPr>
      </w:pPr>
    </w:p>
    <w:p>
      <w:pPr>
        <w:spacing w:before="72" w:after="72" w:line="400" w:lineRule="exact"/>
        <w:rPr>
          <w:rFonts w:ascii="Times New Roman" w:hAnsi="Times New Roman" w:eastAsia="仿宋_GB2312" w:cs="Times New Roman"/>
          <w:b/>
          <w:color w:val="auto"/>
          <w:sz w:val="24"/>
          <w:highlight w:val="none"/>
        </w:rPr>
        <w:sectPr>
          <w:pgSz w:w="11905" w:h="16838"/>
          <w:pgMar w:top="1440" w:right="1800" w:bottom="1440" w:left="1800" w:header="850" w:footer="822" w:gutter="0"/>
          <w:cols w:space="720" w:num="1"/>
          <w:docGrid w:linePitch="318" w:charSpace="0"/>
        </w:sectPr>
      </w:pPr>
    </w:p>
    <w:p>
      <w:pPr>
        <w:widowControl/>
        <w:numPr>
          <w:ilvl w:val="0"/>
          <w:numId w:val="21"/>
        </w:numPr>
        <w:spacing w:before="156" w:beforeAutospacing="1" w:after="156" w:afterAutospacing="1"/>
        <w:jc w:val="center"/>
        <w:outlineLvl w:val="2"/>
        <w:rPr>
          <w:rFonts w:ascii="Times New Roman" w:hAnsi="Times New Roman" w:eastAsia="宋体" w:cs="Times New Roman"/>
          <w:b/>
          <w:bCs/>
          <w:color w:val="auto"/>
          <w:kern w:val="0"/>
          <w:sz w:val="24"/>
          <w:szCs w:val="24"/>
          <w:highlight w:val="none"/>
        </w:rPr>
      </w:pPr>
      <w:bookmarkStart w:id="113" w:name="_Toc17058"/>
      <w:bookmarkStart w:id="114" w:name="_Toc423021954"/>
      <w:bookmarkStart w:id="115" w:name="_Toc13002"/>
      <w:bookmarkStart w:id="116" w:name="_Toc30651"/>
      <w:bookmarkStart w:id="117" w:name="_Toc13047"/>
      <w:bookmarkStart w:id="118" w:name="_Toc9365"/>
      <w:bookmarkStart w:id="119" w:name="_Toc2340"/>
      <w:bookmarkStart w:id="120" w:name="_Toc8592"/>
      <w:bookmarkStart w:id="121" w:name="_Toc381489424"/>
      <w:r>
        <w:rPr>
          <w:rFonts w:ascii="Times New Roman" w:hAnsi="Times New Roman" w:eastAsia="宋体" w:cs="Times New Roman"/>
          <w:b/>
          <w:bCs/>
          <w:color w:val="auto"/>
          <w:kern w:val="0"/>
          <w:sz w:val="24"/>
          <w:szCs w:val="24"/>
          <w:highlight w:val="none"/>
        </w:rPr>
        <w:t>资格文件</w:t>
      </w:r>
      <w:bookmarkEnd w:id="113"/>
      <w:bookmarkEnd w:id="114"/>
      <w:bookmarkEnd w:id="115"/>
      <w:bookmarkEnd w:id="116"/>
      <w:bookmarkEnd w:id="117"/>
      <w:bookmarkEnd w:id="118"/>
      <w:bookmarkEnd w:id="119"/>
      <w:bookmarkEnd w:id="120"/>
      <w:bookmarkEnd w:id="121"/>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22" w:name="_Toc7914"/>
      <w:bookmarkStart w:id="123" w:name="_Toc182886665"/>
      <w:bookmarkStart w:id="124" w:name="_Toc381489425"/>
      <w:bookmarkStart w:id="125" w:name="_Toc183316725"/>
      <w:bookmarkStart w:id="126" w:name="_Toc11219"/>
      <w:bookmarkStart w:id="127" w:name="_Toc196294644"/>
      <w:bookmarkStart w:id="128" w:name="_Toc7618"/>
      <w:bookmarkStart w:id="129" w:name="_Toc169318447"/>
      <w:bookmarkStart w:id="130" w:name="_Toc168730817"/>
      <w:bookmarkStart w:id="131" w:name="_Toc1669"/>
      <w:bookmarkStart w:id="132" w:name="_Toc423021955"/>
      <w:bookmarkStart w:id="133" w:name="_Toc5242"/>
      <w:bookmarkStart w:id="134" w:name="_Toc30993"/>
      <w:bookmarkStart w:id="135" w:name="_Toc766"/>
      <w:r>
        <w:rPr>
          <w:rFonts w:ascii="Times New Roman" w:hAnsi="Times New Roman" w:eastAsia="宋体" w:cs="Times New Roman"/>
          <w:b/>
          <w:bCs/>
          <w:color w:val="auto"/>
          <w:sz w:val="28"/>
          <w:szCs w:val="28"/>
          <w:highlight w:val="none"/>
        </w:rPr>
        <w:t>1.1</w:t>
      </w:r>
      <w:bookmarkEnd w:id="122"/>
      <w:bookmarkEnd w:id="123"/>
      <w:bookmarkEnd w:id="124"/>
      <w:bookmarkEnd w:id="125"/>
      <w:bookmarkEnd w:id="126"/>
      <w:bookmarkEnd w:id="127"/>
      <w:bookmarkEnd w:id="128"/>
      <w:bookmarkEnd w:id="129"/>
      <w:bookmarkEnd w:id="130"/>
      <w:bookmarkEnd w:id="131"/>
      <w:bookmarkEnd w:id="132"/>
      <w:r>
        <w:rPr>
          <w:rFonts w:ascii="Times New Roman" w:hAnsi="Times New Roman" w:eastAsia="宋体" w:cs="Times New Roman"/>
          <w:b/>
          <w:bCs/>
          <w:color w:val="auto"/>
          <w:sz w:val="28"/>
          <w:szCs w:val="28"/>
          <w:highlight w:val="none"/>
        </w:rPr>
        <w:t>投标函</w:t>
      </w:r>
      <w:bookmarkEnd w:id="133"/>
      <w:bookmarkEnd w:id="134"/>
      <w:bookmarkEnd w:id="135"/>
    </w:p>
    <w:p>
      <w:pPr>
        <w:spacing w:line="440" w:lineRule="exact"/>
        <w:rPr>
          <w:rFonts w:ascii="Times New Roman" w:hAnsi="Times New Roman" w:eastAsia="宋体" w:cs="Times New Roman"/>
          <w:color w:val="auto"/>
          <w:sz w:val="24"/>
          <w:szCs w:val="24"/>
          <w:highlight w:val="none"/>
        </w:rPr>
      </w:pPr>
      <w:bookmarkStart w:id="136" w:name="_Toc159221038"/>
      <w:bookmarkStart w:id="137" w:name="_Toc124256789"/>
      <w:bookmarkStart w:id="138" w:name="_Toc182886666"/>
      <w:bookmarkStart w:id="139" w:name="_Toc183316726"/>
      <w:bookmarkStart w:id="140" w:name="_Toc196294645"/>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（招标人名称）：</w:t>
      </w:r>
    </w:p>
    <w:p>
      <w:pPr>
        <w:spacing w:line="44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1．我方已仔细研究了</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（项目名称）招标文件的全部内容，愿意以人民币（大写）</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）的投标总报价，工期</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，按合同约定进行实施和竣工承包工程，修补工程中的任何缺陷，实现工程目的。</w:t>
      </w:r>
    </w:p>
    <w:p>
      <w:pPr>
        <w:spacing w:line="44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2．我方承诺在招标文件规定的投标有效期内不修改、撤销投标文件。</w:t>
      </w:r>
    </w:p>
    <w:p>
      <w:pPr>
        <w:spacing w:line="440" w:lineRule="exact"/>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3．</w:t>
      </w:r>
      <w:r>
        <w:rPr>
          <w:rFonts w:hint="eastAsia" w:ascii="Times New Roman" w:hAnsi="Times New Roman"/>
          <w:color w:val="auto"/>
          <w:sz w:val="24"/>
          <w:szCs w:val="24"/>
          <w:highlight w:val="none"/>
        </w:rPr>
        <w:t>投标有效期为递交投标文件之日起90天，中标人投标有效期延至合同验收之日。</w:t>
      </w:r>
    </w:p>
    <w:p>
      <w:pPr>
        <w:spacing w:line="440" w:lineRule="exact"/>
        <w:ind w:firstLine="480" w:firstLineChars="200"/>
        <w:jc w:val="left"/>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4.</w:t>
      </w:r>
      <w:r>
        <w:rPr>
          <w:rFonts w:ascii="Times New Roman" w:hAnsi="Times New Roman" w:eastAsia="宋体" w:cs="Times New Roman"/>
          <w:color w:val="auto"/>
          <w:sz w:val="24"/>
          <w:szCs w:val="24"/>
          <w:highlight w:val="none"/>
        </w:rPr>
        <w:t>随同本投标函提交投标保证金一份，金额为人民币（大写）</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 ）。</w:t>
      </w:r>
    </w:p>
    <w:p>
      <w:pPr>
        <w:spacing w:line="44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5</w:t>
      </w:r>
      <w:r>
        <w:rPr>
          <w:rFonts w:ascii="Times New Roman" w:hAnsi="Times New Roman" w:eastAsia="宋体" w:cs="Times New Roman"/>
          <w:color w:val="auto"/>
          <w:sz w:val="24"/>
          <w:szCs w:val="24"/>
          <w:highlight w:val="none"/>
        </w:rPr>
        <w:t>．如我方中标：</w:t>
      </w:r>
    </w:p>
    <w:p>
      <w:pPr>
        <w:spacing w:line="440" w:lineRule="exact"/>
        <w:ind w:firstLine="820" w:firstLineChars="342"/>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（1）我方承诺在收到中标通知书后，在中标通知书规定的期限内与你方签订合同。</w:t>
      </w:r>
    </w:p>
    <w:p>
      <w:pPr>
        <w:spacing w:line="440" w:lineRule="exact"/>
        <w:ind w:firstLine="820" w:firstLineChars="342"/>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（2）本投标函属于合同文件的组成部分。</w:t>
      </w:r>
    </w:p>
    <w:p>
      <w:pPr>
        <w:spacing w:line="440" w:lineRule="exact"/>
        <w:ind w:firstLine="820" w:firstLineChars="342"/>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（3）我方承诺按照招标文件规定向你方递交履约担保。</w:t>
      </w:r>
    </w:p>
    <w:p>
      <w:pPr>
        <w:spacing w:line="440" w:lineRule="exact"/>
        <w:ind w:firstLine="820" w:firstLineChars="342"/>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（4）我方承诺在合同约定的期限内完成并移交全部合同工程。</w:t>
      </w:r>
    </w:p>
    <w:p>
      <w:pPr>
        <w:spacing w:line="44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5．我方在此声明，所递交的投标文件及有关资料内容完整、真实和准确。</w:t>
      </w:r>
    </w:p>
    <w:p>
      <w:pPr>
        <w:spacing w:line="440" w:lineRule="exact"/>
        <w:ind w:firstLine="4200" w:firstLineChars="1750"/>
        <w:rPr>
          <w:rFonts w:ascii="Times New Roman" w:hAnsi="Times New Roman" w:eastAsia="宋体" w:cs="Times New Roman"/>
          <w:color w:val="auto"/>
          <w:sz w:val="24"/>
          <w:szCs w:val="24"/>
          <w:highlight w:val="none"/>
        </w:rPr>
      </w:pPr>
    </w:p>
    <w:p>
      <w:pPr>
        <w:spacing w:line="440" w:lineRule="exact"/>
        <w:ind w:firstLine="4200" w:firstLineChars="1750"/>
        <w:rPr>
          <w:rFonts w:ascii="Times New Roman" w:hAnsi="Times New Roman" w:eastAsia="宋体" w:cs="Times New Roman"/>
          <w:color w:val="auto"/>
          <w:sz w:val="24"/>
          <w:szCs w:val="24"/>
          <w:highlight w:val="none"/>
        </w:rPr>
      </w:pPr>
    </w:p>
    <w:p>
      <w:pPr>
        <w:spacing w:line="440" w:lineRule="exact"/>
        <w:ind w:firstLine="3158" w:firstLineChars="1316"/>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投 标 人：</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（盖单位章）</w:t>
      </w:r>
    </w:p>
    <w:p>
      <w:pPr>
        <w:spacing w:line="440" w:lineRule="exact"/>
        <w:ind w:firstLine="3158" w:firstLineChars="1316"/>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法定代表人或其委托代理人：</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（签字）</w:t>
      </w:r>
    </w:p>
    <w:p>
      <w:pPr>
        <w:spacing w:line="440" w:lineRule="exact"/>
        <w:ind w:firstLine="3158" w:firstLineChars="1316"/>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地址：</w:t>
      </w:r>
      <w:r>
        <w:rPr>
          <w:rFonts w:ascii="Times New Roman" w:hAnsi="Times New Roman" w:eastAsia="宋体" w:cs="Times New Roman"/>
          <w:color w:val="auto"/>
          <w:sz w:val="24"/>
          <w:szCs w:val="24"/>
          <w:highlight w:val="none"/>
          <w:u w:val="single"/>
        </w:rPr>
        <w:t xml:space="preserve">                                     </w:t>
      </w:r>
    </w:p>
    <w:p>
      <w:pPr>
        <w:spacing w:line="440" w:lineRule="exact"/>
        <w:ind w:firstLine="3158" w:firstLineChars="1316"/>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网址：</w:t>
      </w:r>
      <w:r>
        <w:rPr>
          <w:rFonts w:ascii="Times New Roman" w:hAnsi="Times New Roman" w:eastAsia="宋体" w:cs="Times New Roman"/>
          <w:color w:val="auto"/>
          <w:sz w:val="24"/>
          <w:szCs w:val="24"/>
          <w:highlight w:val="none"/>
          <w:u w:val="single"/>
        </w:rPr>
        <w:t xml:space="preserve">                                     </w:t>
      </w:r>
    </w:p>
    <w:p>
      <w:pPr>
        <w:spacing w:line="440" w:lineRule="exact"/>
        <w:ind w:firstLine="3158" w:firstLineChars="1316"/>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电话：</w:t>
      </w:r>
      <w:r>
        <w:rPr>
          <w:rFonts w:ascii="Times New Roman" w:hAnsi="Times New Roman" w:eastAsia="宋体" w:cs="Times New Roman"/>
          <w:color w:val="auto"/>
          <w:sz w:val="24"/>
          <w:szCs w:val="24"/>
          <w:highlight w:val="none"/>
          <w:u w:val="single"/>
        </w:rPr>
        <w:t xml:space="preserve">                                     </w:t>
      </w:r>
    </w:p>
    <w:p>
      <w:pPr>
        <w:spacing w:line="440" w:lineRule="exact"/>
        <w:ind w:firstLine="3158" w:firstLineChars="1316"/>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传真：</w:t>
      </w:r>
      <w:r>
        <w:rPr>
          <w:rFonts w:ascii="Times New Roman" w:hAnsi="Times New Roman" w:eastAsia="宋体" w:cs="Times New Roman"/>
          <w:color w:val="auto"/>
          <w:sz w:val="24"/>
          <w:szCs w:val="24"/>
          <w:highlight w:val="none"/>
          <w:u w:val="single"/>
        </w:rPr>
        <w:t xml:space="preserve">                                     </w:t>
      </w:r>
    </w:p>
    <w:p>
      <w:pPr>
        <w:spacing w:line="440" w:lineRule="exact"/>
        <w:ind w:firstLine="3158" w:firstLineChars="1316"/>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邮政编码：</w:t>
      </w:r>
      <w:r>
        <w:rPr>
          <w:rFonts w:ascii="Times New Roman" w:hAnsi="Times New Roman" w:eastAsia="宋体" w:cs="Times New Roman"/>
          <w:color w:val="auto"/>
          <w:sz w:val="24"/>
          <w:szCs w:val="24"/>
          <w:highlight w:val="none"/>
          <w:u w:val="single"/>
        </w:rPr>
        <w:t xml:space="preserve">                                 </w:t>
      </w:r>
    </w:p>
    <w:p>
      <w:pPr>
        <w:spacing w:line="440" w:lineRule="exact"/>
        <w:ind w:firstLine="3158" w:firstLineChars="1316"/>
        <w:rPr>
          <w:rFonts w:ascii="Times New Roman" w:hAnsi="Times New Roman" w:eastAsia="宋体" w:cs="Times New Roman"/>
          <w:color w:val="auto"/>
          <w:sz w:val="24"/>
          <w:szCs w:val="24"/>
          <w:highlight w:val="none"/>
        </w:rPr>
        <w:sectPr>
          <w:pgSz w:w="11905" w:h="16838"/>
          <w:pgMar w:top="1440" w:right="1800" w:bottom="1440" w:left="1800" w:header="850" w:footer="822" w:gutter="0"/>
          <w:cols w:space="720" w:num="1"/>
          <w:docGrid w:linePitch="318" w:charSpace="0"/>
        </w:sectPr>
      </w:pP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年</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月</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日</w:t>
      </w: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41" w:name="_Toc300835213"/>
      <w:bookmarkStart w:id="142" w:name="_Toc152042580"/>
      <w:bookmarkStart w:id="143" w:name="_Toc247527831"/>
      <w:bookmarkStart w:id="144" w:name="_Toc23655"/>
      <w:bookmarkStart w:id="145" w:name="_Toc21015"/>
      <w:bookmarkStart w:id="146" w:name="_Toc247514283"/>
      <w:bookmarkStart w:id="147" w:name="_Toc152045791"/>
      <w:bookmarkStart w:id="148" w:name="_Toc17506"/>
      <w:bookmarkStart w:id="149" w:name="_Toc144974860"/>
      <w:r>
        <w:rPr>
          <w:rFonts w:ascii="Times New Roman" w:hAnsi="Times New Roman" w:eastAsia="宋体" w:cs="Times New Roman"/>
          <w:b/>
          <w:bCs/>
          <w:color w:val="auto"/>
          <w:sz w:val="28"/>
          <w:szCs w:val="28"/>
          <w:highlight w:val="none"/>
        </w:rPr>
        <w:t>1.2法定代表人身份证明</w:t>
      </w:r>
      <w:bookmarkEnd w:id="141"/>
      <w:bookmarkEnd w:id="142"/>
      <w:bookmarkEnd w:id="143"/>
      <w:bookmarkEnd w:id="144"/>
      <w:bookmarkEnd w:id="145"/>
      <w:bookmarkEnd w:id="146"/>
      <w:bookmarkEnd w:id="147"/>
      <w:bookmarkEnd w:id="148"/>
      <w:bookmarkEnd w:id="149"/>
    </w:p>
    <w:p>
      <w:pPr>
        <w:spacing w:line="440" w:lineRule="exact"/>
        <w:rPr>
          <w:rFonts w:ascii="Times New Roman" w:hAnsi="Times New Roman" w:eastAsia="宋体" w:cs="Times New Roman"/>
          <w:color w:val="auto"/>
          <w:sz w:val="20"/>
          <w:szCs w:val="20"/>
          <w:highlight w:val="none"/>
        </w:rPr>
      </w:pPr>
    </w:p>
    <w:p>
      <w:pPr>
        <w:spacing w:line="440" w:lineRule="exact"/>
        <w:rPr>
          <w:rFonts w:ascii="Times New Roman" w:hAnsi="Times New Roman" w:eastAsia="宋体" w:cs="Times New Roman"/>
          <w:color w:val="auto"/>
          <w:szCs w:val="21"/>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投标人名称：</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 </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单位性质：</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 </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地址：</w:t>
      </w:r>
      <w:r>
        <w:rPr>
          <w:rFonts w:ascii="Times New Roman" w:hAnsi="Times New Roman" w:eastAsia="宋体" w:cs="Times New Roman"/>
          <w:color w:val="auto"/>
          <w:sz w:val="24"/>
          <w:szCs w:val="24"/>
          <w:highlight w:val="none"/>
          <w:u w:val="single"/>
        </w:rPr>
        <w:t xml:space="preserve">                                   </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成立时间：</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年</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月</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日</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经营期限：</w:t>
      </w:r>
      <w:r>
        <w:rPr>
          <w:rFonts w:ascii="Times New Roman" w:hAnsi="Times New Roman" w:eastAsia="宋体" w:cs="Times New Roman"/>
          <w:color w:val="auto"/>
          <w:sz w:val="24"/>
          <w:szCs w:val="24"/>
          <w:highlight w:val="none"/>
          <w:u w:val="single"/>
        </w:rPr>
        <w:t xml:space="preserve">                               </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姓名：</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 性别：</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 年龄：</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职务：</w:t>
      </w:r>
      <w:r>
        <w:rPr>
          <w:rFonts w:ascii="Times New Roman" w:hAnsi="Times New Roman" w:eastAsia="宋体" w:cs="Times New Roman"/>
          <w:color w:val="auto"/>
          <w:sz w:val="24"/>
          <w:szCs w:val="24"/>
          <w:highlight w:val="none"/>
          <w:u w:val="single"/>
        </w:rPr>
        <w:t xml:space="preserve">        </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系</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 （投标人名称）的法定代表人。</w:t>
      </w:r>
    </w:p>
    <w:p>
      <w:pPr>
        <w:spacing w:line="44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特此证明。</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附：法定代表人身份证复印件。</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投标人：</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（盖单位章）</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年</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月</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 日           </w:t>
      </w:r>
    </w:p>
    <w:p>
      <w:pPr>
        <w:spacing w:line="440" w:lineRule="exact"/>
        <w:jc w:val="center"/>
        <w:rPr>
          <w:rFonts w:ascii="Times New Roman" w:hAnsi="Times New Roman" w:eastAsia="宋体" w:cs="Times New Roman"/>
          <w:b/>
          <w:bCs/>
          <w:color w:val="auto"/>
          <w:sz w:val="28"/>
          <w:szCs w:val="28"/>
          <w:highlight w:val="none"/>
        </w:rPr>
      </w:pPr>
      <w:r>
        <w:rPr>
          <w:rFonts w:ascii="Times New Roman" w:hAnsi="Times New Roman" w:eastAsia="黑体" w:cs="Times New Roman"/>
          <w:color w:val="auto"/>
          <w:sz w:val="24"/>
          <w:szCs w:val="24"/>
          <w:highlight w:val="none"/>
        </w:rPr>
        <w:br w:type="page"/>
      </w:r>
      <w:bookmarkStart w:id="150" w:name="_Toc152045792"/>
      <w:bookmarkStart w:id="151" w:name="_Toc152042581"/>
      <w:bookmarkStart w:id="152" w:name="_Toc247527832"/>
      <w:bookmarkStart w:id="153" w:name="_Toc144974861"/>
      <w:bookmarkStart w:id="154" w:name="_Toc300835214"/>
      <w:bookmarkStart w:id="155" w:name="_Toc247514284"/>
      <w:bookmarkStart w:id="156" w:name="_Toc22881"/>
      <w:r>
        <w:rPr>
          <w:rFonts w:ascii="Times New Roman" w:hAnsi="Times New Roman" w:eastAsia="宋体" w:cs="Times New Roman"/>
          <w:b/>
          <w:bCs/>
          <w:color w:val="auto"/>
          <w:sz w:val="28"/>
          <w:szCs w:val="28"/>
          <w:highlight w:val="none"/>
        </w:rPr>
        <w:t>1.3授权委托书</w:t>
      </w:r>
      <w:bookmarkEnd w:id="150"/>
      <w:bookmarkEnd w:id="151"/>
      <w:bookmarkEnd w:id="152"/>
      <w:bookmarkEnd w:id="153"/>
      <w:bookmarkEnd w:id="154"/>
      <w:bookmarkEnd w:id="155"/>
      <w:bookmarkEnd w:id="156"/>
    </w:p>
    <w:p>
      <w:pPr>
        <w:spacing w:line="440" w:lineRule="exact"/>
        <w:rPr>
          <w:rFonts w:ascii="Times New Roman" w:hAnsi="Times New Roman" w:eastAsia="黑体" w:cs="Times New Roman"/>
          <w:color w:val="auto"/>
          <w:szCs w:val="21"/>
          <w:highlight w:val="none"/>
        </w:rPr>
      </w:pPr>
    </w:p>
    <w:p>
      <w:pPr>
        <w:topLinePunct/>
        <w:spacing w:line="44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本人</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（姓名）系</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（投标人名称）的法定代表人，现委托</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（姓名）为我方代理人。代理人根据授权，以我方名义签署、澄清、说明、补正、递交、撤回、修改</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（项目名称）投标文件、签订合同和处理有关事宜，其法律后果由我方承担。</w:t>
      </w: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委托期限：</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w:t>
      </w:r>
    </w:p>
    <w:p>
      <w:pPr>
        <w:spacing w:line="44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代理人无转委托权。</w:t>
      </w:r>
    </w:p>
    <w:p>
      <w:pPr>
        <w:spacing w:line="44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附：法定代表人身份证明</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投标人：</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（盖单位章）</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法定代表人：</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（签字）</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身份证号码：</w:t>
      </w:r>
      <w:r>
        <w:rPr>
          <w:rFonts w:ascii="Times New Roman" w:hAnsi="Times New Roman" w:eastAsia="宋体" w:cs="Times New Roman"/>
          <w:color w:val="auto"/>
          <w:sz w:val="24"/>
          <w:szCs w:val="24"/>
          <w:highlight w:val="none"/>
          <w:u w:val="single"/>
        </w:rPr>
        <w:t xml:space="preserve">                                     </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委托代理人：</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 xml:space="preserve">（签字） </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身份证号码：</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附身份证复印件</w:t>
      </w:r>
    </w:p>
    <w:p>
      <w:pPr>
        <w:spacing w:line="440" w:lineRule="exact"/>
        <w:rPr>
          <w:rFonts w:ascii="Times New Roman" w:hAnsi="Times New Roman" w:eastAsia="宋体" w:cs="Times New Roman"/>
          <w:color w:val="auto"/>
          <w:sz w:val="24"/>
          <w:szCs w:val="24"/>
          <w:highlight w:val="none"/>
        </w:rPr>
      </w:pPr>
    </w:p>
    <w:p>
      <w:pPr>
        <w:spacing w:line="440" w:lineRule="exact"/>
        <w:rPr>
          <w:rFonts w:ascii="Times New Roman" w:hAnsi="Times New Roman" w:eastAsia="宋体" w:cs="Times New Roman"/>
          <w:color w:val="auto"/>
          <w:sz w:val="24"/>
          <w:szCs w:val="24"/>
          <w:highlight w:val="none"/>
        </w:rPr>
      </w:pPr>
    </w:p>
    <w:p>
      <w:pPr>
        <w:spacing w:line="440" w:lineRule="exact"/>
        <w:ind w:firstLine="1800" w:firstLineChars="750"/>
        <w:rPr>
          <w:rFonts w:ascii="Times New Roman" w:hAnsi="Times New Roman" w:eastAsia="黑体" w:cs="Times New Roman"/>
          <w:color w:val="auto"/>
          <w:sz w:val="24"/>
          <w:szCs w:val="24"/>
          <w:highlight w:val="none"/>
        </w:rPr>
      </w:pP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年</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月</w:t>
      </w:r>
      <w:r>
        <w:rPr>
          <w:rFonts w:ascii="Times New Roman" w:hAnsi="Times New Roman" w:eastAsia="宋体" w:cs="Times New Roman"/>
          <w:color w:val="auto"/>
          <w:sz w:val="24"/>
          <w:szCs w:val="24"/>
          <w:highlight w:val="none"/>
          <w:u w:val="single"/>
        </w:rPr>
        <w:t xml:space="preserve">       </w:t>
      </w:r>
      <w:r>
        <w:rPr>
          <w:rFonts w:ascii="Times New Roman" w:hAnsi="Times New Roman" w:eastAsia="宋体" w:cs="Times New Roman"/>
          <w:color w:val="auto"/>
          <w:sz w:val="24"/>
          <w:szCs w:val="24"/>
          <w:highlight w:val="none"/>
        </w:rPr>
        <w:t>日</w:t>
      </w: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r>
        <w:rPr>
          <w:rFonts w:ascii="Times New Roman" w:hAnsi="Times New Roman" w:eastAsia="黑体" w:cs="Times New Roman"/>
          <w:color w:val="auto"/>
          <w:sz w:val="24"/>
          <w:szCs w:val="24"/>
          <w:highlight w:val="none"/>
        </w:rPr>
        <w:br w:type="page"/>
      </w:r>
      <w:bookmarkEnd w:id="136"/>
      <w:bookmarkEnd w:id="137"/>
      <w:bookmarkEnd w:id="138"/>
      <w:bookmarkEnd w:id="139"/>
      <w:bookmarkEnd w:id="140"/>
      <w:bookmarkStart w:id="157" w:name="_Toc23154"/>
      <w:bookmarkStart w:id="158" w:name="_Toc18108"/>
      <w:bookmarkStart w:id="159" w:name="_Toc20193"/>
      <w:bookmarkStart w:id="160" w:name="_Toc24369"/>
      <w:bookmarkStart w:id="161" w:name="_Toc16612"/>
      <w:bookmarkStart w:id="162" w:name="_Toc20287"/>
      <w:bookmarkStart w:id="163" w:name="_Toc381489432"/>
      <w:bookmarkStart w:id="164" w:name="_Toc31305"/>
      <w:bookmarkStart w:id="165" w:name="_Toc423021968"/>
      <w:bookmarkStart w:id="166" w:name="_Toc196294634"/>
      <w:r>
        <w:rPr>
          <w:rFonts w:ascii="Times New Roman" w:hAnsi="Times New Roman" w:eastAsia="宋体" w:cs="Times New Roman"/>
          <w:b/>
          <w:bCs/>
          <w:color w:val="auto"/>
          <w:sz w:val="28"/>
          <w:szCs w:val="28"/>
          <w:highlight w:val="none"/>
        </w:rPr>
        <w:t>1.4资格声明的文件</w:t>
      </w:r>
      <w:bookmarkEnd w:id="157"/>
      <w:bookmarkEnd w:id="158"/>
      <w:bookmarkEnd w:id="159"/>
    </w:p>
    <w:p>
      <w:pPr>
        <w:spacing w:before="120" w:beforeLines="50" w:after="120" w:afterLines="50" w:line="360" w:lineRule="auto"/>
        <w:rPr>
          <w:rFonts w:ascii="Times New Roman" w:hAnsi="Times New Roman" w:eastAsia="宋体" w:cs="Times New Roman"/>
          <w:b/>
          <w:color w:val="auto"/>
          <w:sz w:val="24"/>
          <w:szCs w:val="24"/>
          <w:highlight w:val="none"/>
        </w:rPr>
      </w:pPr>
      <w:r>
        <w:rPr>
          <w:rFonts w:ascii="Times New Roman" w:hAnsi="Times New Roman" w:eastAsia="宋体" w:cs="Times New Roman"/>
          <w:b/>
          <w:color w:val="auto"/>
          <w:sz w:val="24"/>
          <w:szCs w:val="24"/>
          <w:highlight w:val="none"/>
        </w:rPr>
        <w:t>致：广东有德招标采购有限公司</w:t>
      </w:r>
    </w:p>
    <w:p>
      <w:pPr>
        <w:adjustRightInd w:val="0"/>
        <w:snapToGrid w:val="0"/>
        <w:spacing w:line="360" w:lineRule="auto"/>
        <w:ind w:firstLine="480" w:firstLineChars="200"/>
        <w:rPr>
          <w:rFonts w:ascii="Times New Roman" w:hAnsi="Times New Roman" w:eastAsia="宋体" w:cs="Times New Roman"/>
          <w:b/>
          <w:bCs/>
          <w:color w:val="auto"/>
          <w:sz w:val="24"/>
          <w:szCs w:val="24"/>
          <w:highlight w:val="none"/>
        </w:rPr>
      </w:pPr>
      <w:r>
        <w:rPr>
          <w:rFonts w:ascii="Times New Roman" w:hAnsi="Times New Roman" w:eastAsia="宋体" w:cs="Times New Roman"/>
          <w:color w:val="auto"/>
          <w:sz w:val="24"/>
          <w:szCs w:val="24"/>
          <w:highlight w:val="none"/>
        </w:rPr>
        <w:t>关于贵方采购</w:t>
      </w:r>
      <w:r>
        <w:rPr>
          <w:rFonts w:ascii="Times New Roman" w:hAnsi="Times New Roman" w:eastAsia="宋体" w:cs="Times New Roman"/>
          <w:color w:val="auto"/>
          <w:sz w:val="24"/>
          <w:szCs w:val="24"/>
          <w:highlight w:val="none"/>
          <w:u w:val="single"/>
        </w:rPr>
        <w:t xml:space="preserve">  （项目名称） （项目编号：      ）</w:t>
      </w:r>
      <w:r>
        <w:rPr>
          <w:rFonts w:ascii="Times New Roman" w:hAnsi="Times New Roman" w:eastAsia="宋体" w:cs="Times New Roman"/>
          <w:color w:val="auto"/>
          <w:sz w:val="24"/>
          <w:szCs w:val="24"/>
          <w:highlight w:val="none"/>
        </w:rPr>
        <w:t>，本单位愿意提交投标文件，并证明提交下列文件和说明是真实和有效的，具体要求如下：</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4405"/>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2585"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审查项目</w:t>
            </w:r>
          </w:p>
        </w:tc>
        <w:tc>
          <w:tcPr>
            <w:tcW w:w="2124" w:type="pct"/>
            <w:tcBorders>
              <w:top w:val="single" w:color="auto" w:sz="4" w:space="0"/>
              <w:left w:val="single" w:color="auto" w:sz="4" w:space="0"/>
              <w:bottom w:val="single" w:color="auto" w:sz="4" w:space="0"/>
              <w:right w:val="single" w:color="auto" w:sz="4" w:space="0"/>
            </w:tcBorders>
            <w:shd w:val="clear" w:color="auto" w:fill="EAEAEA"/>
            <w:vAlign w:val="center"/>
          </w:tcPr>
          <w:p>
            <w:pPr>
              <w:adjustRightInd w:val="0"/>
              <w:snapToGrid w:val="0"/>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须审查的资料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投标人具有独立法人资格，按国家法律经营。</w:t>
            </w:r>
          </w:p>
        </w:tc>
        <w:tc>
          <w:tcPr>
            <w:tcW w:w="2124"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提供营业执照副本复印件；</w:t>
            </w:r>
            <w:r>
              <w:rPr>
                <w:rFonts w:hint="eastAsia" w:ascii="宋体" w:hAnsi="宋体" w:eastAsia="宋体" w:cs="宋体"/>
                <w:color w:val="auto"/>
                <w:sz w:val="24"/>
                <w:szCs w:val="24"/>
                <w:highlight w:val="none"/>
                <w:lang w:bidi="ar"/>
              </w:rPr>
              <w:t>分支机构投标，须取得具有法人资格的总公司（总所）出具给分支机构的授权书，并提供总公司（总所）和分支机构的营业执照（执业许可证）复印件。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投标人持有建设行政主管部门颁发的安全生产许可证。</w:t>
            </w:r>
          </w:p>
        </w:tc>
        <w:tc>
          <w:tcPr>
            <w:tcW w:w="21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投标人均持有建设行政主管部门颁发的企业资质证书，符合公告要求。</w:t>
            </w:r>
          </w:p>
        </w:tc>
        <w:tc>
          <w:tcPr>
            <w:tcW w:w="21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本项目允许联合体投标。</w:t>
            </w:r>
          </w:p>
        </w:tc>
        <w:tc>
          <w:tcPr>
            <w:tcW w:w="21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提供联合体协议</w:t>
            </w:r>
            <w:r>
              <w:rPr>
                <w:rFonts w:hint="eastAsia" w:ascii="宋体" w:hAnsi="宋体" w:eastAsia="宋体" w:cs="宋体"/>
                <w:color w:val="auto"/>
                <w:sz w:val="24"/>
                <w:szCs w:val="24"/>
                <w:highlight w:val="none"/>
                <w:lang w:eastAsia="zh-CN"/>
              </w:rPr>
              <w:t>书</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投标人在近三年内没有发生重大质量、安全事故。如投标人隐瞒不报一经发现，即取消投标资格或中标资格。</w:t>
            </w:r>
          </w:p>
        </w:tc>
        <w:tc>
          <w:tcPr>
            <w:tcW w:w="21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tabs>
                <w:tab w:val="left" w:pos="1092"/>
              </w:tabs>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投标人无因违约或不恰当履行合同引起的终止、纠纷、争议、仲裁和诉讼记录。</w:t>
            </w:r>
          </w:p>
        </w:tc>
        <w:tc>
          <w:tcPr>
            <w:tcW w:w="21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tabs>
                <w:tab w:val="left" w:pos="1092"/>
              </w:tabs>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投标人未被列入“中国执行信息公开网”（</w:t>
            </w:r>
            <w:r>
              <w:rPr>
                <w:rFonts w:ascii="宋体" w:hAnsi="宋体" w:eastAsia="宋体" w:cs="宋体"/>
                <w:color w:val="auto"/>
                <w:sz w:val="24"/>
                <w:highlight w:val="none"/>
              </w:rPr>
              <w:t>zxgk.court.gov.cn）、“信用中国”网站（www.creditchina.gov.cn）①政府采购严重违法失信行为记录名单②失信被执行人③重大税收违法失</w:t>
            </w:r>
            <w:r>
              <w:rPr>
                <w:rFonts w:hint="eastAsia" w:ascii="宋体" w:hAnsi="宋体" w:eastAsia="宋体" w:cs="宋体"/>
                <w:color w:val="auto"/>
                <w:sz w:val="24"/>
                <w:highlight w:val="none"/>
              </w:rPr>
              <w:t>信主体。</w:t>
            </w:r>
          </w:p>
        </w:tc>
        <w:tc>
          <w:tcPr>
            <w:tcW w:w="21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color w:val="auto"/>
                <w:sz w:val="24"/>
                <w:szCs w:val="24"/>
                <w:highlight w:val="none"/>
              </w:rPr>
            </w:pPr>
            <w:r>
              <w:rPr>
                <w:rFonts w:hint="eastAsia" w:ascii="宋体" w:hAnsi="宋体" w:eastAsia="宋体" w:cs="宋体"/>
                <w:color w:val="auto"/>
                <w:sz w:val="24"/>
                <w:highlight w:val="none"/>
              </w:rPr>
              <w:t>以资格审查人员于投标截止日当天在“中国执行信息公开网”（</w:t>
            </w:r>
            <w:r>
              <w:rPr>
                <w:rFonts w:ascii="宋体" w:hAnsi="宋体" w:eastAsia="宋体" w:cs="宋体"/>
                <w:color w:val="auto"/>
                <w:sz w:val="24"/>
                <w:highlight w:val="none"/>
              </w:rPr>
              <w:t>zxgk.court.gov.cn）、“信用中国”网站（www.creditchina.gov.cn）查询结果为准，如相关失信记</w:t>
            </w:r>
            <w:r>
              <w:rPr>
                <w:rFonts w:hint="eastAsia" w:ascii="宋体" w:hAnsi="宋体" w:eastAsia="宋体" w:cs="宋体"/>
                <w:color w:val="auto"/>
                <w:sz w:val="24"/>
                <w:highlight w:val="none"/>
              </w:rPr>
              <w:t>录已失效，投标人需提供相关证明资料</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highlight w:val="none"/>
              </w:rPr>
            </w:pPr>
            <w:r>
              <w:rPr>
                <w:rFonts w:hint="eastAsia" w:ascii="宋体" w:hAnsi="宋体" w:eastAsia="宋体" w:cs="宋体"/>
                <w:color w:val="auto"/>
                <w:sz w:val="24"/>
                <w:highlight w:val="none"/>
              </w:rPr>
              <w:t>本项目不允许分包或转包。</w:t>
            </w:r>
          </w:p>
        </w:tc>
        <w:tc>
          <w:tcPr>
            <w:tcW w:w="2124"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 w:type="pct"/>
            <w:tcBorders>
              <w:top w:val="single" w:color="auto" w:sz="4" w:space="0"/>
              <w:left w:val="single" w:color="auto" w:sz="4" w:space="0"/>
              <w:bottom w:val="single" w:color="auto" w:sz="4" w:space="0"/>
              <w:right w:val="single" w:color="auto" w:sz="4" w:space="0"/>
            </w:tcBorders>
            <w:vAlign w:val="center"/>
          </w:tcPr>
          <w:p>
            <w:pPr>
              <w:numPr>
                <w:ilvl w:val="0"/>
                <w:numId w:val="22"/>
              </w:numPr>
              <w:adjustRightInd w:val="0"/>
              <w:snapToGrid w:val="0"/>
              <w:jc w:val="center"/>
              <w:rPr>
                <w:rFonts w:ascii="宋体" w:hAnsi="宋体" w:eastAsia="宋体" w:cs="宋体"/>
                <w:color w:val="auto"/>
                <w:sz w:val="24"/>
                <w:szCs w:val="24"/>
                <w:highlight w:val="none"/>
              </w:rPr>
            </w:pPr>
          </w:p>
        </w:tc>
        <w:tc>
          <w:tcPr>
            <w:tcW w:w="2585"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highlight w:val="none"/>
              </w:rPr>
            </w:pPr>
            <w:r>
              <w:rPr>
                <w:rFonts w:hint="eastAsia" w:ascii="宋体" w:hAnsi="宋体" w:eastAsia="宋体" w:cs="宋体"/>
                <w:color w:val="auto"/>
                <w:sz w:val="24"/>
                <w:highlight w:val="none"/>
              </w:rPr>
              <w:t>按要求递交投标保证金。</w:t>
            </w:r>
          </w:p>
        </w:tc>
        <w:tc>
          <w:tcPr>
            <w:tcW w:w="2124"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auto"/>
                <w:sz w:val="24"/>
                <w:szCs w:val="24"/>
                <w:highlight w:val="none"/>
              </w:rPr>
            </w:pPr>
            <w:r>
              <w:rPr>
                <w:rFonts w:hint="eastAsia" w:ascii="宋体" w:hAnsi="宋体"/>
                <w:color w:val="auto"/>
                <w:sz w:val="24"/>
                <w:highlight w:val="none"/>
              </w:rPr>
              <w:t>已按招标文件要求提交足额投标保证金或投标担保函</w:t>
            </w:r>
            <w:r>
              <w:rPr>
                <w:rFonts w:hint="eastAsia" w:ascii="宋体" w:hAnsi="宋体" w:eastAsia="宋体" w:cs="宋体"/>
                <w:color w:val="auto"/>
                <w:sz w:val="24"/>
                <w:szCs w:val="24"/>
                <w:highlight w:val="none"/>
              </w:rPr>
              <w:t>。</w:t>
            </w:r>
          </w:p>
        </w:tc>
      </w:tr>
    </w:tbl>
    <w:p>
      <w:pPr>
        <w:ind w:firstLine="420"/>
        <w:rPr>
          <w:rFonts w:ascii="Times New Roman" w:hAnsi="Times New Roman" w:eastAsia="宋体" w:cs="Times New Roman"/>
          <w:b/>
          <w:bCs/>
          <w:color w:val="auto"/>
          <w:sz w:val="28"/>
          <w:szCs w:val="28"/>
          <w:highlight w:val="none"/>
        </w:rPr>
      </w:pPr>
    </w:p>
    <w:p>
      <w:pPr>
        <w:adjustRightInd w:val="0"/>
        <w:snapToGrid w:val="0"/>
        <w:spacing w:before="72" w:after="72" w:line="480" w:lineRule="auto"/>
        <w:ind w:firstLine="3578" w:firstLineChars="1491"/>
        <w:rPr>
          <w:rFonts w:ascii="Times New Roman" w:hAnsi="Times New Roman"/>
          <w:color w:val="auto"/>
          <w:sz w:val="24"/>
          <w:highlight w:val="none"/>
          <w:u w:val="single"/>
        </w:rPr>
      </w:pPr>
      <w:r>
        <w:rPr>
          <w:rFonts w:ascii="Times New Roman" w:hAnsi="Times New Roman"/>
          <w:color w:val="auto"/>
          <w:sz w:val="24"/>
          <w:highlight w:val="none"/>
        </w:rPr>
        <w:t>投标人名称（加盖公章）：</w:t>
      </w:r>
    </w:p>
    <w:p>
      <w:pPr>
        <w:spacing w:before="72" w:after="72" w:line="400" w:lineRule="exact"/>
        <w:ind w:firstLine="3578" w:firstLineChars="1491"/>
        <w:rPr>
          <w:rFonts w:ascii="Times New Roman" w:hAnsi="Times New Roman"/>
          <w:color w:val="auto"/>
          <w:sz w:val="24"/>
          <w:highlight w:val="none"/>
        </w:rPr>
        <w:sectPr>
          <w:pgSz w:w="11905" w:h="16838"/>
          <w:pgMar w:top="1440" w:right="1800" w:bottom="1440" w:left="1800" w:header="850" w:footer="822" w:gutter="0"/>
          <w:cols w:space="720" w:num="1"/>
          <w:docGrid w:linePitch="318" w:charSpace="0"/>
        </w:sectPr>
      </w:pPr>
      <w:r>
        <w:rPr>
          <w:rFonts w:ascii="Times New Roman" w:hAnsi="Times New Roman"/>
          <w:color w:val="auto"/>
          <w:sz w:val="24"/>
          <w:highlight w:val="none"/>
        </w:rPr>
        <w:t>日期：   年   月   日</w:t>
      </w: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67" w:name="_Toc1554"/>
      <w:bookmarkStart w:id="168" w:name="_Toc20672"/>
      <w:bookmarkStart w:id="169" w:name="_Toc8204"/>
      <w:r>
        <w:rPr>
          <w:rFonts w:ascii="Times New Roman" w:hAnsi="Times New Roman" w:eastAsia="宋体" w:cs="Times New Roman"/>
          <w:b/>
          <w:bCs/>
          <w:color w:val="auto"/>
          <w:sz w:val="28"/>
          <w:szCs w:val="28"/>
          <w:highlight w:val="none"/>
        </w:rPr>
        <w:t>1.5退还投标保证金说明</w:t>
      </w:r>
      <w:bookmarkEnd w:id="160"/>
      <w:bookmarkEnd w:id="161"/>
      <w:bookmarkEnd w:id="162"/>
      <w:bookmarkEnd w:id="163"/>
      <w:bookmarkEnd w:id="164"/>
      <w:bookmarkEnd w:id="165"/>
      <w:bookmarkEnd w:id="167"/>
      <w:bookmarkEnd w:id="168"/>
      <w:bookmarkEnd w:id="169"/>
    </w:p>
    <w:p>
      <w:pPr>
        <w:adjustRightInd w:val="0"/>
        <w:snapToGrid w:val="0"/>
        <w:spacing w:before="120" w:beforeLines="50" w:after="120" w:afterLines="50" w:line="360" w:lineRule="auto"/>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致：广东有德招标采购有限公司</w:t>
      </w:r>
    </w:p>
    <w:p>
      <w:pPr>
        <w:spacing w:line="360" w:lineRule="auto"/>
        <w:ind w:firstLine="42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u w:val="single"/>
        </w:rPr>
        <w:t xml:space="preserve">（投标人全称) </w:t>
      </w:r>
      <w:r>
        <w:rPr>
          <w:rFonts w:ascii="Times New Roman" w:hAnsi="Times New Roman" w:eastAsia="宋体" w:cs="Times New Roman"/>
          <w:color w:val="auto"/>
          <w:sz w:val="24"/>
          <w:highlight w:val="none"/>
        </w:rPr>
        <w:t>参加贵方组织的</w:t>
      </w:r>
      <w:r>
        <w:rPr>
          <w:rFonts w:ascii="Times New Roman" w:hAnsi="Times New Roman" w:eastAsia="宋体" w:cs="Times New Roman"/>
          <w:color w:val="auto"/>
          <w:sz w:val="24"/>
          <w:highlight w:val="none"/>
          <w:u w:val="single"/>
        </w:rPr>
        <w:t>（项目名称）（项目编号为： ）</w:t>
      </w:r>
      <w:r>
        <w:rPr>
          <w:rFonts w:ascii="Times New Roman" w:hAnsi="Times New Roman" w:eastAsia="宋体" w:cs="Times New Roman"/>
          <w:color w:val="auto"/>
          <w:sz w:val="24"/>
          <w:highlight w:val="none"/>
        </w:rPr>
        <w:t>的采购活动。按招标文件的规定，已通过（银行转帐、银行汇款、银行保函）形式交纳</w:t>
      </w:r>
      <w:r>
        <w:rPr>
          <w:rFonts w:ascii="Times New Roman" w:hAnsi="Times New Roman" w:eastAsia="宋体" w:cs="Times New Roman"/>
          <w:color w:val="auto"/>
          <w:sz w:val="24"/>
          <w:highlight w:val="none"/>
          <w:u w:val="single"/>
        </w:rPr>
        <w:t>（大写）人民币  　　  元</w:t>
      </w:r>
      <w:r>
        <w:rPr>
          <w:rFonts w:ascii="Times New Roman" w:hAnsi="Times New Roman" w:eastAsia="宋体" w:cs="Times New Roman"/>
          <w:color w:val="auto"/>
          <w:sz w:val="24"/>
          <w:highlight w:val="none"/>
        </w:rPr>
        <w:t>的投标保证金。请贵公司退还时划到以下账户：</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66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atLeast"/>
          <w:jc w:val="center"/>
        </w:trPr>
        <w:tc>
          <w:tcPr>
            <w:tcW w:w="2143"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 xml:space="preserve">收款单位（全称） </w:t>
            </w:r>
          </w:p>
        </w:tc>
        <w:tc>
          <w:tcPr>
            <w:tcW w:w="6638" w:type="dxa"/>
            <w:vAlign w:val="center"/>
          </w:tcPr>
          <w:p>
            <w:pP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2143"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开户银行（全称）</w:t>
            </w:r>
          </w:p>
        </w:tc>
        <w:tc>
          <w:tcPr>
            <w:tcW w:w="6638" w:type="dxa"/>
            <w:vAlign w:val="center"/>
          </w:tcPr>
          <w:p>
            <w:pP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143"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开户银行帐号</w:t>
            </w:r>
          </w:p>
        </w:tc>
        <w:tc>
          <w:tcPr>
            <w:tcW w:w="6638" w:type="dxa"/>
            <w:vAlign w:val="center"/>
          </w:tcPr>
          <w:p>
            <w:pP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143"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联系人</w:t>
            </w:r>
          </w:p>
        </w:tc>
        <w:tc>
          <w:tcPr>
            <w:tcW w:w="6638" w:type="dxa"/>
            <w:vAlign w:val="center"/>
          </w:tcPr>
          <w:p>
            <w:pP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143" w:type="dxa"/>
            <w:vAlign w:val="center"/>
          </w:tcPr>
          <w:p>
            <w:pP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联系电话（手机）</w:t>
            </w:r>
          </w:p>
        </w:tc>
        <w:tc>
          <w:tcPr>
            <w:tcW w:w="6638" w:type="dxa"/>
            <w:vAlign w:val="center"/>
          </w:tcPr>
          <w:p>
            <w:pPr>
              <w:rPr>
                <w:rFonts w:ascii="Times New Roman" w:hAnsi="Times New Roman" w:eastAsia="宋体" w:cs="Times New Roman"/>
                <w:color w:val="auto"/>
                <w:sz w:val="24"/>
                <w:highlight w:val="none"/>
              </w:rPr>
            </w:pPr>
          </w:p>
        </w:tc>
      </w:tr>
    </w:tbl>
    <w:p>
      <w:pPr>
        <w:snapToGrid w:val="0"/>
        <w:spacing w:line="360" w:lineRule="auto"/>
        <w:ind w:firstLine="470" w:firstLineChars="196"/>
        <w:rPr>
          <w:rFonts w:ascii="Times New Roman" w:hAnsi="Times New Roman" w:eastAsia="宋体" w:cs="Times New Roman"/>
          <w:color w:val="auto"/>
          <w:sz w:val="24"/>
          <w:highlight w:val="none"/>
        </w:rPr>
      </w:pPr>
    </w:p>
    <w:p>
      <w:pPr>
        <w:adjustRightInd w:val="0"/>
        <w:snapToGrid w:val="0"/>
        <w:spacing w:before="72" w:after="72" w:line="480" w:lineRule="auto"/>
        <w:ind w:firstLine="3578" w:firstLineChars="1491"/>
        <w:rPr>
          <w:rFonts w:ascii="Times New Roman" w:hAnsi="Times New Roman" w:eastAsia="宋体" w:cs="Times New Roman"/>
          <w:color w:val="auto"/>
          <w:sz w:val="24"/>
          <w:highlight w:val="none"/>
        </w:rPr>
      </w:pPr>
    </w:p>
    <w:p>
      <w:pPr>
        <w:adjustRightInd w:val="0"/>
        <w:snapToGrid w:val="0"/>
        <w:spacing w:before="72" w:after="72" w:line="480" w:lineRule="auto"/>
        <w:ind w:firstLine="3578" w:firstLineChars="1491"/>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投标人名称（加盖公章）：</w:t>
      </w:r>
    </w:p>
    <w:p>
      <w:pPr>
        <w:spacing w:before="72" w:after="72" w:line="400" w:lineRule="exact"/>
        <w:ind w:firstLine="3578" w:firstLineChars="1491"/>
        <w:rPr>
          <w:rFonts w:ascii="Times New Roman" w:hAnsi="Times New Roman" w:eastAsia="宋体" w:cs="Times New Roman"/>
          <w:color w:val="auto"/>
          <w:sz w:val="24"/>
          <w:highlight w:val="none"/>
        </w:rPr>
        <w:sectPr>
          <w:pgSz w:w="11905" w:h="16838"/>
          <w:pgMar w:top="1440" w:right="1800" w:bottom="1440" w:left="1800" w:header="850" w:footer="822" w:gutter="0"/>
          <w:cols w:space="720" w:num="1"/>
          <w:docGrid w:linePitch="318" w:charSpace="0"/>
        </w:sectPr>
      </w:pPr>
      <w:r>
        <w:rPr>
          <w:rFonts w:ascii="Times New Roman" w:hAnsi="Times New Roman" w:eastAsia="宋体" w:cs="Times New Roman"/>
          <w:color w:val="auto"/>
          <w:sz w:val="24"/>
          <w:highlight w:val="none"/>
        </w:rPr>
        <w:t>日期：   年   月   日</w:t>
      </w: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70" w:name="_Toc19595"/>
      <w:bookmarkStart w:id="171" w:name="_Toc24318"/>
      <w:bookmarkStart w:id="172" w:name="_Toc4642"/>
      <w:bookmarkStart w:id="173" w:name="_Toc12775"/>
      <w:bookmarkStart w:id="174" w:name="_Toc3067"/>
      <w:bookmarkStart w:id="175" w:name="_Toc32494"/>
      <w:r>
        <w:rPr>
          <w:rFonts w:ascii="Times New Roman" w:hAnsi="Times New Roman" w:eastAsia="宋体" w:cs="Times New Roman"/>
          <w:b/>
          <w:bCs/>
          <w:color w:val="auto"/>
          <w:sz w:val="28"/>
          <w:szCs w:val="28"/>
          <w:highlight w:val="none"/>
        </w:rPr>
        <w:t>1.6投标保证金凭证</w:t>
      </w:r>
      <w:bookmarkEnd w:id="170"/>
      <w:bookmarkEnd w:id="171"/>
      <w:bookmarkEnd w:id="172"/>
      <w:bookmarkEnd w:id="173"/>
      <w:bookmarkEnd w:id="174"/>
      <w:bookmarkEnd w:id="175"/>
    </w:p>
    <w:p>
      <w:pPr>
        <w:snapToGrid w:val="0"/>
        <w:spacing w:line="360" w:lineRule="auto"/>
        <w:ind w:firstLine="470" w:firstLineChars="196"/>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说明：附投标保证金交纳凭证。</w:t>
      </w:r>
    </w:p>
    <w:p>
      <w:pPr>
        <w:snapToGrid w:val="0"/>
        <w:spacing w:line="360" w:lineRule="auto"/>
        <w:ind w:firstLine="470" w:firstLineChars="196"/>
        <w:rPr>
          <w:rFonts w:ascii="Times New Roman" w:hAnsi="Times New Roman" w:eastAsia="宋体" w:cs="Times New Roman"/>
          <w:color w:val="auto"/>
          <w:sz w:val="24"/>
          <w:highlight w:val="none"/>
        </w:rPr>
      </w:pPr>
    </w:p>
    <w:p>
      <w:pPr>
        <w:snapToGrid w:val="0"/>
        <w:spacing w:line="360" w:lineRule="auto"/>
        <w:ind w:firstLine="470" w:firstLineChars="196"/>
        <w:rPr>
          <w:rFonts w:ascii="Times New Roman" w:hAnsi="Times New Roman" w:eastAsia="宋体" w:cs="Times New Roman"/>
          <w:color w:val="auto"/>
          <w:sz w:val="24"/>
          <w:highlight w:val="none"/>
        </w:rPr>
        <w:sectPr>
          <w:pgSz w:w="11905" w:h="16838"/>
          <w:pgMar w:top="1440" w:right="1800" w:bottom="1440" w:left="1800" w:header="850" w:footer="822" w:gutter="0"/>
          <w:cols w:space="720" w:num="1"/>
          <w:docGrid w:linePitch="318" w:charSpace="0"/>
        </w:sectPr>
      </w:pP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76" w:name="_Toc583"/>
      <w:bookmarkStart w:id="177" w:name="_Toc3877"/>
      <w:bookmarkStart w:id="178" w:name="_Toc23454"/>
      <w:bookmarkStart w:id="179" w:name="_Toc23996"/>
      <w:bookmarkStart w:id="180" w:name="_Toc13598"/>
      <w:bookmarkStart w:id="181" w:name="_Toc423021970"/>
      <w:bookmarkStart w:id="182" w:name="_Toc23026"/>
      <w:bookmarkStart w:id="183" w:name="_Toc23286"/>
      <w:r>
        <w:rPr>
          <w:rFonts w:ascii="Times New Roman" w:hAnsi="Times New Roman" w:eastAsia="宋体" w:cs="Times New Roman"/>
          <w:b/>
          <w:bCs/>
          <w:color w:val="auto"/>
          <w:sz w:val="28"/>
          <w:szCs w:val="28"/>
          <w:highlight w:val="none"/>
        </w:rPr>
        <w:t>1.7招标代理服务费支付承诺书</w:t>
      </w:r>
      <w:bookmarkEnd w:id="176"/>
      <w:bookmarkEnd w:id="177"/>
      <w:bookmarkEnd w:id="178"/>
      <w:bookmarkEnd w:id="179"/>
      <w:bookmarkEnd w:id="180"/>
      <w:bookmarkEnd w:id="181"/>
      <w:bookmarkEnd w:id="182"/>
      <w:bookmarkEnd w:id="183"/>
    </w:p>
    <w:p>
      <w:pPr>
        <w:spacing w:before="120" w:beforeLines="50" w:after="120" w:afterLines="50" w:line="360" w:lineRule="auto"/>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致：广东有德招标采购有限公司</w:t>
      </w:r>
    </w:p>
    <w:p>
      <w:pPr>
        <w:spacing w:before="72" w:after="72"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本公司</w:t>
      </w:r>
      <w:r>
        <w:rPr>
          <w:rFonts w:ascii="Times New Roman" w:hAnsi="Times New Roman" w:eastAsia="宋体" w:cs="Times New Roman"/>
          <w:color w:val="auto"/>
          <w:sz w:val="24"/>
          <w:highlight w:val="none"/>
          <w:u w:val="single"/>
        </w:rPr>
        <w:t xml:space="preserve">     (投标人全称)   </w:t>
      </w:r>
      <w:r>
        <w:rPr>
          <w:rFonts w:ascii="Times New Roman" w:hAnsi="Times New Roman" w:eastAsia="宋体" w:cs="Times New Roman"/>
          <w:color w:val="auto"/>
          <w:sz w:val="24"/>
          <w:highlight w:val="none"/>
        </w:rPr>
        <w:t>在参加贵公司举行的</w:t>
      </w:r>
      <w:r>
        <w:rPr>
          <w:rFonts w:ascii="Times New Roman" w:hAnsi="Times New Roman" w:eastAsia="宋体" w:cs="Times New Roman"/>
          <w:color w:val="auto"/>
          <w:sz w:val="24"/>
          <w:highlight w:val="none"/>
          <w:u w:val="single"/>
        </w:rPr>
        <w:t>（项目名称）(项目编号： )</w:t>
      </w:r>
      <w:r>
        <w:rPr>
          <w:rFonts w:ascii="Times New Roman" w:hAnsi="Times New Roman" w:eastAsia="宋体" w:cs="Times New Roman"/>
          <w:color w:val="auto"/>
          <w:sz w:val="24"/>
          <w:highlight w:val="none"/>
        </w:rPr>
        <w:t>招标中如获中标,保证在收到贵公司发出的中标通知书的同时，向贵公司交纳招标代理服务费。</w:t>
      </w:r>
    </w:p>
    <w:p>
      <w:pPr>
        <w:spacing w:before="72" w:after="72"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如我公司违反上述承诺，愿意承担由此引起的全部法律责任。</w:t>
      </w:r>
    </w:p>
    <w:p>
      <w:pPr>
        <w:spacing w:before="72" w:after="72" w:line="360" w:lineRule="auto"/>
        <w:ind w:firstLine="544" w:firstLineChars="227"/>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特此承诺。</w:t>
      </w:r>
    </w:p>
    <w:p>
      <w:pPr>
        <w:spacing w:before="72" w:after="72" w:line="360" w:lineRule="auto"/>
        <w:ind w:left="315"/>
        <w:rPr>
          <w:rFonts w:ascii="Times New Roman" w:hAnsi="Times New Roman" w:eastAsia="宋体" w:cs="Times New Roman"/>
          <w:color w:val="auto"/>
          <w:sz w:val="24"/>
          <w:highlight w:val="none"/>
        </w:rPr>
      </w:pPr>
    </w:p>
    <w:p>
      <w:pPr>
        <w:spacing w:before="72" w:after="72" w:line="360" w:lineRule="auto"/>
        <w:ind w:left="315"/>
        <w:rPr>
          <w:rFonts w:ascii="Times New Roman" w:hAnsi="Times New Roman" w:eastAsia="宋体" w:cs="Times New Roman"/>
          <w:color w:val="auto"/>
          <w:sz w:val="24"/>
          <w:highlight w:val="none"/>
        </w:rPr>
      </w:pPr>
    </w:p>
    <w:p>
      <w:pPr>
        <w:spacing w:before="72" w:after="72" w:line="360" w:lineRule="auto"/>
        <w:ind w:left="315"/>
        <w:rPr>
          <w:rFonts w:ascii="Times New Roman" w:hAnsi="Times New Roman" w:eastAsia="宋体" w:cs="Times New Roman"/>
          <w:color w:val="auto"/>
          <w:sz w:val="24"/>
          <w:highlight w:val="none"/>
        </w:rPr>
      </w:pPr>
    </w:p>
    <w:p>
      <w:pPr>
        <w:adjustRightInd w:val="0"/>
        <w:snapToGrid w:val="0"/>
        <w:spacing w:before="72" w:after="72" w:line="480" w:lineRule="auto"/>
        <w:ind w:firstLine="3578" w:firstLineChars="1491"/>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投标人名称（加盖公章）：</w:t>
      </w:r>
    </w:p>
    <w:p>
      <w:pPr>
        <w:spacing w:before="72" w:after="72" w:line="400" w:lineRule="exact"/>
        <w:ind w:firstLine="3578" w:firstLineChars="1491"/>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日期：   年   月   日</w:t>
      </w:r>
    </w:p>
    <w:p>
      <w:pPr>
        <w:spacing w:before="72" w:after="72" w:line="400" w:lineRule="exact"/>
        <w:ind w:firstLine="3578" w:firstLineChars="1491"/>
        <w:rPr>
          <w:rFonts w:ascii="Times New Roman" w:hAnsi="Times New Roman" w:eastAsia="宋体" w:cs="Times New Roman"/>
          <w:color w:val="auto"/>
          <w:sz w:val="24"/>
          <w:highlight w:val="none"/>
        </w:rPr>
      </w:pPr>
    </w:p>
    <w:p>
      <w:pPr>
        <w:spacing w:before="72" w:after="72" w:line="400" w:lineRule="exact"/>
        <w:ind w:firstLine="3578" w:firstLineChars="1491"/>
        <w:rPr>
          <w:rFonts w:ascii="Times New Roman" w:hAnsi="Times New Roman" w:eastAsia="宋体" w:cs="Times New Roman"/>
          <w:color w:val="auto"/>
          <w:sz w:val="24"/>
          <w:highlight w:val="none"/>
        </w:rPr>
      </w:pPr>
    </w:p>
    <w:p>
      <w:pPr>
        <w:spacing w:before="72" w:after="72" w:line="400" w:lineRule="exact"/>
        <w:ind w:firstLine="3578" w:firstLineChars="1491"/>
        <w:rPr>
          <w:rFonts w:ascii="Times New Roman" w:hAnsi="Times New Roman" w:eastAsia="宋体" w:cs="Times New Roman"/>
          <w:color w:val="auto"/>
          <w:sz w:val="24"/>
          <w:highlight w:val="none"/>
        </w:rPr>
      </w:pPr>
    </w:p>
    <w:p>
      <w:pPr>
        <w:spacing w:before="72" w:after="72" w:line="400" w:lineRule="exact"/>
        <w:ind w:firstLine="3578" w:firstLineChars="1491"/>
        <w:rPr>
          <w:rFonts w:ascii="Times New Roman" w:hAnsi="Times New Roman" w:eastAsia="宋体" w:cs="Times New Roman"/>
          <w:color w:val="auto"/>
          <w:sz w:val="24"/>
          <w:highlight w:val="none"/>
        </w:rPr>
      </w:pPr>
    </w:p>
    <w:p>
      <w:pPr>
        <w:spacing w:before="72" w:after="72" w:line="400" w:lineRule="exact"/>
        <w:ind w:firstLine="3578" w:firstLineChars="1491"/>
        <w:rPr>
          <w:rFonts w:ascii="Times New Roman" w:hAnsi="Times New Roman" w:eastAsia="宋体" w:cs="Times New Roman"/>
          <w:color w:val="auto"/>
          <w:sz w:val="24"/>
          <w:highlight w:val="none"/>
        </w:rPr>
      </w:pPr>
    </w:p>
    <w:p>
      <w:pPr>
        <w:spacing w:before="72" w:after="72" w:line="400" w:lineRule="exact"/>
        <w:ind w:firstLine="3578" w:firstLineChars="1491"/>
        <w:rPr>
          <w:rFonts w:ascii="Times New Roman" w:hAnsi="Times New Roman" w:eastAsia="宋体" w:cs="Times New Roman"/>
          <w:color w:val="auto"/>
          <w:sz w:val="24"/>
          <w:highlight w:val="none"/>
        </w:rPr>
      </w:pPr>
    </w:p>
    <w:p>
      <w:pPr>
        <w:spacing w:before="72" w:after="72" w:line="400" w:lineRule="exact"/>
        <w:ind w:firstLine="3578" w:firstLineChars="1491"/>
        <w:rPr>
          <w:rFonts w:ascii="Times New Roman" w:hAnsi="Times New Roman" w:eastAsia="宋体" w:cs="Times New Roman"/>
          <w:color w:val="auto"/>
          <w:sz w:val="24"/>
          <w:highlight w:val="none"/>
        </w:rPr>
      </w:pPr>
    </w:p>
    <w:p>
      <w:pPr>
        <w:autoSpaceDE w:val="0"/>
        <w:autoSpaceDN w:val="0"/>
        <w:spacing w:line="360" w:lineRule="auto"/>
        <w:jc w:val="center"/>
        <w:rPr>
          <w:rFonts w:ascii="Times New Roman" w:hAnsi="Times New Roman" w:eastAsia="仿宋_GB2312" w:cs="Times New Roman"/>
          <w:b/>
          <w:color w:val="auto"/>
          <w:sz w:val="28"/>
          <w:szCs w:val="28"/>
          <w:highlight w:val="none"/>
        </w:rPr>
        <w:sectPr>
          <w:pgSz w:w="11905" w:h="16838"/>
          <w:pgMar w:top="1440" w:right="1800" w:bottom="1440" w:left="1800" w:header="850" w:footer="822" w:gutter="0"/>
          <w:cols w:space="720" w:num="1"/>
          <w:docGrid w:linePitch="318" w:charSpace="0"/>
        </w:sectPr>
      </w:pP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84" w:name="_Toc10765"/>
      <w:bookmarkStart w:id="185" w:name="_Toc423021961"/>
      <w:bookmarkStart w:id="186" w:name="_Toc30490"/>
      <w:bookmarkStart w:id="187" w:name="_Toc10192"/>
      <w:bookmarkStart w:id="188" w:name="_Toc21871"/>
      <w:bookmarkStart w:id="189" w:name="_Toc31026"/>
      <w:bookmarkStart w:id="190" w:name="_Toc20635"/>
      <w:bookmarkStart w:id="191" w:name="_Toc12708"/>
      <w:bookmarkStart w:id="192" w:name="_Toc381489435"/>
      <w:r>
        <w:rPr>
          <w:rFonts w:hint="eastAsia" w:ascii="Times New Roman" w:hAnsi="Times New Roman" w:eastAsia="宋体" w:cs="Times New Roman"/>
          <w:b/>
          <w:bCs/>
          <w:color w:val="auto"/>
          <w:sz w:val="28"/>
          <w:szCs w:val="28"/>
          <w:highlight w:val="none"/>
          <w:lang w:val="en-US" w:eastAsia="zh-CN"/>
        </w:rPr>
        <w:t>1.8</w:t>
      </w:r>
      <w:r>
        <w:rPr>
          <w:rFonts w:ascii="Times New Roman" w:hAnsi="Times New Roman" w:eastAsia="宋体" w:cs="Times New Roman"/>
          <w:b/>
          <w:bCs/>
          <w:color w:val="auto"/>
          <w:sz w:val="28"/>
          <w:szCs w:val="28"/>
          <w:highlight w:val="none"/>
        </w:rPr>
        <w:t>联合体协议书</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u w:val="single"/>
        </w:rPr>
      </w:pPr>
      <w:r>
        <w:rPr>
          <w:color w:val="auto"/>
          <w:sz w:val="24"/>
          <w:szCs w:val="24"/>
          <w:highlight w:val="none"/>
        </w:rPr>
        <w:t>主办方名称：</w:t>
      </w:r>
      <w:r>
        <w:rPr>
          <w:color w:val="auto"/>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法定代表人：</w:t>
      </w:r>
      <w:r>
        <w:rPr>
          <w:color w:val="auto"/>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法定地址：</w:t>
      </w:r>
      <w:r>
        <w:rPr>
          <w:color w:val="auto"/>
          <w:sz w:val="24"/>
          <w:szCs w:val="24"/>
          <w:highlight w:val="none"/>
          <w:u w:val="single"/>
        </w:rPr>
        <w:t xml:space="preserve">                           </w:t>
      </w:r>
      <w:r>
        <w:rPr>
          <w:rFonts w:hint="eastAsia"/>
          <w:color w:val="auto"/>
          <w:sz w:val="24"/>
          <w:szCs w:val="24"/>
          <w:highlight w:val="none"/>
          <w:u w:val="single"/>
        </w:rPr>
        <w:t xml:space="preserve">  </w:t>
      </w:r>
      <w:r>
        <w:rPr>
          <w:color w:val="auto"/>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成员名称：</w:t>
      </w:r>
      <w:r>
        <w:rPr>
          <w:color w:val="auto"/>
          <w:sz w:val="24"/>
          <w:szCs w:val="24"/>
          <w:highlight w:val="none"/>
          <w:u w:val="single"/>
        </w:rPr>
        <w:t xml:space="preserve">                         </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color w:val="auto"/>
          <w:sz w:val="24"/>
          <w:szCs w:val="24"/>
          <w:highlight w:val="none"/>
          <w:u w:val="single"/>
        </w:rPr>
        <w:t xml:space="preserve"> </w:t>
      </w:r>
      <w:r>
        <w:rPr>
          <w:color w:val="auto"/>
          <w:sz w:val="24"/>
          <w:szCs w:val="24"/>
          <w:highlight w:val="none"/>
          <w:u w:val="single"/>
        </w:rPr>
        <w:t xml:space="preserve"> </w:t>
      </w:r>
    </w:p>
    <w:p>
      <w:pPr>
        <w:keepNext w:val="0"/>
        <w:keepLines w:val="0"/>
        <w:pageBreakBefore w:val="0"/>
        <w:widowControl w:val="0"/>
        <w:tabs>
          <w:tab w:val="left" w:pos="6839"/>
        </w:tabs>
        <w:kinsoku/>
        <w:wordWrap/>
        <w:overflowPunct/>
        <w:topLinePunct/>
        <w:autoSpaceDE/>
        <w:autoSpaceDN/>
        <w:bidi w:val="0"/>
        <w:adjustRightInd/>
        <w:snapToGrid w:val="0"/>
        <w:spacing w:line="360" w:lineRule="auto"/>
        <w:ind w:right="0" w:firstLine="480" w:firstLineChars="200"/>
        <w:jc w:val="left"/>
        <w:textAlignment w:val="auto"/>
        <w:rPr>
          <w:rFonts w:hint="eastAsia" w:eastAsiaTheme="minorEastAsia"/>
          <w:color w:val="auto"/>
          <w:sz w:val="24"/>
          <w:szCs w:val="24"/>
          <w:highlight w:val="none"/>
          <w:lang w:eastAsia="zh-CN"/>
        </w:rPr>
      </w:pPr>
      <w:r>
        <w:rPr>
          <w:color w:val="auto"/>
          <w:sz w:val="24"/>
          <w:szCs w:val="24"/>
          <w:highlight w:val="none"/>
        </w:rPr>
        <w:t>法定代表人：</w:t>
      </w:r>
      <w:r>
        <w:rPr>
          <w:color w:val="auto"/>
          <w:sz w:val="24"/>
          <w:szCs w:val="24"/>
          <w:highlight w:val="none"/>
          <w:u w:val="single"/>
        </w:rPr>
        <w:t xml:space="preserve">                            </w:t>
      </w:r>
      <w:r>
        <w:rPr>
          <w:rFonts w:hint="eastAsia"/>
          <w:color w:val="auto"/>
          <w:sz w:val="24"/>
          <w:szCs w:val="24"/>
          <w:highlight w:val="none"/>
          <w:u w:val="single"/>
          <w:lang w:eastAsia="zh-CN"/>
        </w:rPr>
        <w:tab/>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u w:val="single"/>
        </w:rPr>
      </w:pPr>
      <w:r>
        <w:rPr>
          <w:color w:val="auto"/>
          <w:sz w:val="24"/>
          <w:szCs w:val="24"/>
          <w:highlight w:val="none"/>
        </w:rPr>
        <w:t>法定地址：</w:t>
      </w:r>
      <w:r>
        <w:rPr>
          <w:color w:val="auto"/>
          <w:sz w:val="24"/>
          <w:szCs w:val="24"/>
          <w:highlight w:val="none"/>
          <w:u w:val="single"/>
        </w:rPr>
        <w:t xml:space="preserve">                            </w:t>
      </w:r>
      <w:r>
        <w:rPr>
          <w:rFonts w:hint="eastAsia"/>
          <w:color w:val="auto"/>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u w:val="singl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本协议书各方遵循平等、自愿、公平和诚实信用的原则，共同愿意组成联合体，参加</w:t>
      </w:r>
      <w:r>
        <w:rPr>
          <w:color w:val="auto"/>
          <w:sz w:val="24"/>
          <w:szCs w:val="24"/>
          <w:highlight w:val="none"/>
          <w:u w:val="single"/>
        </w:rPr>
        <w:t xml:space="preserve">          </w:t>
      </w:r>
      <w:r>
        <w:rPr>
          <w:color w:val="auto"/>
          <w:sz w:val="24"/>
          <w:szCs w:val="24"/>
          <w:highlight w:val="none"/>
        </w:rPr>
        <w:t>项目（以下简称“本工程”）的投标。现就下列有关事宜，订立本协议书。</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1.</w:t>
      </w:r>
      <w:r>
        <w:rPr>
          <w:rFonts w:hint="eastAsia"/>
          <w:color w:val="auto"/>
          <w:sz w:val="24"/>
          <w:szCs w:val="24"/>
          <w:highlight w:val="none"/>
        </w:rPr>
        <w:t xml:space="preserve"> </w:t>
      </w:r>
      <w:r>
        <w:rPr>
          <w:color w:val="auto"/>
          <w:sz w:val="24"/>
          <w:szCs w:val="24"/>
          <w:highlight w:val="none"/>
          <w:u w:val="single"/>
        </w:rPr>
        <w:t>（某成员单位名称）</w:t>
      </w:r>
      <w:r>
        <w:rPr>
          <w:color w:val="auto"/>
          <w:sz w:val="24"/>
          <w:szCs w:val="24"/>
          <w:highlight w:val="none"/>
        </w:rPr>
        <w:t>为</w:t>
      </w:r>
      <w:r>
        <w:rPr>
          <w:color w:val="auto"/>
          <w:sz w:val="24"/>
          <w:szCs w:val="24"/>
          <w:highlight w:val="none"/>
          <w:u w:val="single"/>
        </w:rPr>
        <w:t>（联合体名称）</w:t>
      </w:r>
      <w:r>
        <w:rPr>
          <w:color w:val="auto"/>
          <w:sz w:val="24"/>
          <w:szCs w:val="24"/>
          <w:highlight w:val="none"/>
        </w:rPr>
        <w:t>主办方。</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2. 在本工程投标阶段，联合体主办方合法代表联合体各成员负责本工程投标文件编制活动，代表联合体提交和接收相关的资料、信息及指示，并处理与投标和中标有关的一切事务；联合体中标后，联合体主办方负责合同订立和合同实施阶段的主办、组织和协调工作。</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3. 联合体将严格按照招标文件的各项要求，递交投标文件，履行投标义务和中标后的合同，共同承担合同规定的一切义务和责任，联合体各成员单位按照内部职责的划分，承担各自所负的责任和风险，并向招标人承担连带责任。</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4. 联合体各成员分工：</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u w:val="single"/>
        </w:rPr>
      </w:pPr>
      <w:r>
        <w:rPr>
          <w:color w:val="auto"/>
          <w:sz w:val="24"/>
          <w:szCs w:val="24"/>
          <w:highlight w:val="none"/>
          <w:u w:val="single"/>
        </w:rPr>
        <w:t xml:space="preserve">                    。</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5. 联合体中标后，本联合体协议是合同的附件，对联合体各成员单位有合同约束力。</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6. 本协议书自签署之日起生效，联合体未中标或者中标时合同履行完毕后自动失效。</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7. 本协议书一式</w:t>
      </w:r>
      <w:r>
        <w:rPr>
          <w:color w:val="auto"/>
          <w:sz w:val="24"/>
          <w:szCs w:val="24"/>
          <w:highlight w:val="none"/>
          <w:u w:val="single"/>
        </w:rPr>
        <w:t xml:space="preserve">    </w:t>
      </w:r>
      <w:r>
        <w:rPr>
          <w:color w:val="auto"/>
          <w:sz w:val="24"/>
          <w:szCs w:val="24"/>
          <w:highlight w:val="none"/>
        </w:rPr>
        <w:t>份，联合体成员和招标人各执一份。</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 xml:space="preserve">              主办方名称：（盖单位章）</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 xml:space="preserve">              法定代表人或其委托代理人：（</w:t>
      </w:r>
      <w:r>
        <w:rPr>
          <w:color w:val="auto"/>
          <w:spacing w:val="18"/>
          <w:sz w:val="24"/>
          <w:szCs w:val="24"/>
          <w:highlight w:val="none"/>
        </w:rPr>
        <w:t>签名或盖章</w:t>
      </w:r>
      <w:r>
        <w:rPr>
          <w:color w:val="auto"/>
          <w:sz w:val="24"/>
          <w:szCs w:val="24"/>
          <w:highlight w:val="none"/>
        </w:rPr>
        <w:t>）</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 xml:space="preserve">              成员名称：（盖单位章）</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 xml:space="preserve">              法定代表人或其委托代理人：（</w:t>
      </w:r>
      <w:r>
        <w:rPr>
          <w:color w:val="auto"/>
          <w:spacing w:val="18"/>
          <w:sz w:val="24"/>
          <w:szCs w:val="24"/>
          <w:highlight w:val="none"/>
        </w:rPr>
        <w:t>签名或盖章</w:t>
      </w:r>
      <w:r>
        <w:rPr>
          <w:color w:val="auto"/>
          <w:sz w:val="24"/>
          <w:szCs w:val="24"/>
          <w:highlight w:val="none"/>
        </w:rPr>
        <w:t>）</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right"/>
        <w:textAlignment w:val="auto"/>
        <w:rPr>
          <w:color w:val="auto"/>
          <w:sz w:val="24"/>
          <w:szCs w:val="24"/>
          <w:highlight w:val="none"/>
        </w:rPr>
      </w:pPr>
      <w:r>
        <w:rPr>
          <w:color w:val="auto"/>
          <w:sz w:val="24"/>
          <w:szCs w:val="24"/>
          <w:highlight w:val="none"/>
        </w:rPr>
        <w:t xml:space="preserve">   年     月    日</w:t>
      </w: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360" w:lineRule="auto"/>
        <w:ind w:right="0" w:firstLine="480" w:firstLineChars="200"/>
        <w:jc w:val="left"/>
        <w:textAlignment w:val="auto"/>
        <w:rPr>
          <w:color w:val="auto"/>
          <w:sz w:val="24"/>
          <w:szCs w:val="24"/>
          <w:highlight w:val="none"/>
        </w:rPr>
      </w:pPr>
      <w:r>
        <w:rPr>
          <w:color w:val="auto"/>
          <w:sz w:val="24"/>
          <w:szCs w:val="24"/>
          <w:highlight w:val="none"/>
        </w:rPr>
        <w:t>备注：</w:t>
      </w:r>
    </w:p>
    <w:p>
      <w:pPr>
        <w:pStyle w:val="105"/>
        <w:keepNext w:val="0"/>
        <w:keepLines w:val="0"/>
        <w:pageBreakBefore w:val="0"/>
        <w:widowControl w:val="0"/>
        <w:kinsoku/>
        <w:wordWrap/>
        <w:overflowPunct/>
        <w:autoSpaceDE/>
        <w:autoSpaceDN/>
        <w:bidi w:val="0"/>
        <w:adjustRightInd/>
        <w:snapToGrid w:val="0"/>
        <w:spacing w:line="360" w:lineRule="auto"/>
        <w:ind w:right="0" w:firstLine="480" w:firstLineChars="200"/>
        <w:textAlignment w:val="auto"/>
        <w:rPr>
          <w:color w:val="auto"/>
          <w:sz w:val="24"/>
          <w:szCs w:val="24"/>
          <w:highlight w:val="none"/>
        </w:rPr>
      </w:pPr>
      <w:r>
        <w:rPr>
          <w:color w:val="auto"/>
          <w:sz w:val="24"/>
          <w:szCs w:val="24"/>
          <w:highlight w:val="none"/>
        </w:rPr>
        <w:t>1、本协议书由委托代理人签字的，应附法定代表人签字的授权委托书。</w:t>
      </w:r>
    </w:p>
    <w:p>
      <w:pPr>
        <w:pStyle w:val="105"/>
        <w:keepNext w:val="0"/>
        <w:keepLines w:val="0"/>
        <w:pageBreakBefore w:val="0"/>
        <w:widowControl w:val="0"/>
        <w:kinsoku/>
        <w:wordWrap/>
        <w:overflowPunct/>
        <w:autoSpaceDE/>
        <w:autoSpaceDN/>
        <w:bidi w:val="0"/>
        <w:adjustRightInd/>
        <w:snapToGrid w:val="0"/>
        <w:spacing w:line="360" w:lineRule="auto"/>
        <w:ind w:right="0" w:firstLine="480" w:firstLineChars="200"/>
        <w:textAlignment w:val="auto"/>
        <w:rPr>
          <w:color w:val="auto"/>
          <w:sz w:val="24"/>
          <w:szCs w:val="24"/>
          <w:highlight w:val="none"/>
          <w:lang w:val="zh-CN"/>
        </w:rPr>
      </w:pPr>
      <w:r>
        <w:rPr>
          <w:color w:val="auto"/>
          <w:sz w:val="24"/>
          <w:szCs w:val="24"/>
          <w:highlight w:val="none"/>
        </w:rPr>
        <w:t>2、对于联合体投标人，除联合体协议书必须联合体各方分别按要求进行签字或盖章外，其他资料若需要签字或盖章的均可由联合体主办方签字或盖章；投标资料封面及其他内容及落款中的“投标人”应填写联合体各方的单位全称【格式示例为：(主)单位全称(成)单位全称】，由联合体主办方签字或盖章即可。</w:t>
      </w:r>
    </w:p>
    <w:p>
      <w:pPr>
        <w:keepNext w:val="0"/>
        <w:keepLines w:val="0"/>
        <w:pageBreakBefore w:val="0"/>
        <w:widowControl w:val="0"/>
        <w:kinsoku/>
        <w:wordWrap/>
        <w:overflowPunct/>
        <w:autoSpaceDE/>
        <w:autoSpaceDN/>
        <w:bidi w:val="0"/>
        <w:adjustRightInd/>
        <w:snapToGrid w:val="0"/>
        <w:spacing w:line="360" w:lineRule="auto"/>
        <w:ind w:right="0" w:firstLine="482" w:firstLineChars="200"/>
        <w:textAlignment w:val="auto"/>
        <w:rPr>
          <w:rFonts w:ascii="Times New Roman" w:hAnsi="Times New Roman" w:eastAsia="宋体" w:cs="Times New Roman"/>
          <w:b/>
          <w:bCs/>
          <w:color w:val="auto"/>
          <w:kern w:val="0"/>
          <w:sz w:val="24"/>
          <w:szCs w:val="24"/>
          <w:highlight w:val="none"/>
        </w:rPr>
      </w:pPr>
    </w:p>
    <w:p>
      <w:pPr>
        <w:rPr>
          <w:rFonts w:ascii="Times New Roman" w:hAnsi="Times New Roman" w:eastAsia="宋体" w:cs="Times New Roman"/>
          <w:b/>
          <w:bCs/>
          <w:color w:val="auto"/>
          <w:kern w:val="0"/>
          <w:sz w:val="24"/>
          <w:szCs w:val="24"/>
          <w:highlight w:val="none"/>
        </w:rPr>
      </w:pPr>
      <w:r>
        <w:rPr>
          <w:rFonts w:ascii="Times New Roman" w:hAnsi="Times New Roman" w:eastAsia="宋体" w:cs="Times New Roman"/>
          <w:b/>
          <w:bCs/>
          <w:color w:val="auto"/>
          <w:kern w:val="0"/>
          <w:sz w:val="24"/>
          <w:szCs w:val="24"/>
          <w:highlight w:val="none"/>
        </w:rPr>
        <w:br w:type="page"/>
      </w:r>
    </w:p>
    <w:p>
      <w:pPr>
        <w:widowControl/>
        <w:numPr>
          <w:ilvl w:val="0"/>
          <w:numId w:val="21"/>
        </w:numPr>
        <w:spacing w:before="156" w:beforeAutospacing="1" w:after="156" w:afterAutospacing="1"/>
        <w:jc w:val="center"/>
        <w:outlineLvl w:val="2"/>
        <w:rPr>
          <w:rFonts w:ascii="Times New Roman" w:hAnsi="Times New Roman" w:eastAsia="宋体" w:cs="Times New Roman"/>
          <w:b/>
          <w:bCs/>
          <w:color w:val="auto"/>
          <w:kern w:val="0"/>
          <w:sz w:val="24"/>
          <w:szCs w:val="24"/>
          <w:highlight w:val="none"/>
        </w:rPr>
      </w:pPr>
      <w:r>
        <w:rPr>
          <w:rFonts w:ascii="Times New Roman" w:hAnsi="Times New Roman" w:eastAsia="宋体" w:cs="Times New Roman"/>
          <w:b/>
          <w:bCs/>
          <w:color w:val="auto"/>
          <w:kern w:val="0"/>
          <w:sz w:val="24"/>
          <w:szCs w:val="24"/>
          <w:highlight w:val="none"/>
        </w:rPr>
        <w:t>技术标文件</w:t>
      </w:r>
      <w:bookmarkEnd w:id="166"/>
      <w:bookmarkEnd w:id="184"/>
      <w:bookmarkEnd w:id="185"/>
      <w:bookmarkEnd w:id="186"/>
      <w:bookmarkEnd w:id="187"/>
      <w:bookmarkEnd w:id="188"/>
      <w:bookmarkEnd w:id="189"/>
      <w:bookmarkEnd w:id="190"/>
      <w:bookmarkEnd w:id="191"/>
      <w:bookmarkEnd w:id="192"/>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193" w:name="_Toc17873"/>
      <w:bookmarkStart w:id="194" w:name="_Toc18205"/>
      <w:bookmarkStart w:id="195" w:name="_Toc14839"/>
      <w:r>
        <w:rPr>
          <w:rFonts w:ascii="Times New Roman" w:hAnsi="Times New Roman" w:eastAsia="宋体" w:cs="Times New Roman"/>
          <w:b/>
          <w:bCs/>
          <w:color w:val="auto"/>
          <w:sz w:val="28"/>
          <w:szCs w:val="28"/>
          <w:highlight w:val="none"/>
        </w:rPr>
        <w:t>1.1投标人基本情况表</w:t>
      </w:r>
      <w:bookmarkEnd w:id="193"/>
      <w:bookmarkEnd w:id="194"/>
      <w:bookmarkEnd w:id="195"/>
    </w:p>
    <w:tbl>
      <w:tblPr>
        <w:tblStyle w:val="3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148"/>
        <w:gridCol w:w="701"/>
        <w:gridCol w:w="840"/>
        <w:gridCol w:w="420"/>
        <w:gridCol w:w="311"/>
        <w:gridCol w:w="1418"/>
        <w:gridCol w:w="15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邮政编码</w:t>
            </w:r>
          </w:p>
        </w:tc>
        <w:tc>
          <w:tcPr>
            <w:tcW w:w="200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联系方式</w:t>
            </w:r>
          </w:p>
        </w:tc>
        <w:tc>
          <w:tcPr>
            <w:tcW w:w="11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联系人</w:t>
            </w:r>
          </w:p>
        </w:tc>
        <w:tc>
          <w:tcPr>
            <w:tcW w:w="227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 话</w:t>
            </w:r>
          </w:p>
        </w:tc>
        <w:tc>
          <w:tcPr>
            <w:tcW w:w="200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11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传  真</w:t>
            </w:r>
          </w:p>
        </w:tc>
        <w:tc>
          <w:tcPr>
            <w:tcW w:w="227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网 址</w:t>
            </w:r>
          </w:p>
        </w:tc>
        <w:tc>
          <w:tcPr>
            <w:tcW w:w="200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法定代表人</w:t>
            </w:r>
          </w:p>
        </w:tc>
        <w:tc>
          <w:tcPr>
            <w:tcW w:w="11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姓名</w:t>
            </w:r>
          </w:p>
        </w:tc>
        <w:tc>
          <w:tcPr>
            <w:tcW w:w="7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技术负责人</w:t>
            </w:r>
          </w:p>
        </w:tc>
        <w:tc>
          <w:tcPr>
            <w:tcW w:w="114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姓名</w:t>
            </w:r>
          </w:p>
        </w:tc>
        <w:tc>
          <w:tcPr>
            <w:tcW w:w="7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1728" w:type="dxa"/>
            <w:tcBorders>
              <w:top w:val="single" w:color="auto" w:sz="4" w:space="0"/>
              <w:left w:val="single" w:color="auto" w:sz="4" w:space="0"/>
              <w:right w:val="single" w:color="auto" w:sz="4" w:space="0"/>
            </w:tcBorders>
            <w:vAlign w:val="center"/>
          </w:tcPr>
          <w:p>
            <w:pPr>
              <w:topLinePunct/>
              <w:spacing w:line="440" w:lineRule="exact"/>
              <w:ind w:firstLine="240" w:firstLineChars="10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eastAsia="宋体" w:cs="Times New Roman"/>
                <w:color w:val="auto"/>
                <w:sz w:val="24"/>
                <w:szCs w:val="24"/>
                <w:highlight w:val="none"/>
              </w:rPr>
            </w:pPr>
          </w:p>
        </w:tc>
      </w:tr>
    </w:tbl>
    <w:p>
      <w:pPr>
        <w:topLinePunct/>
        <w:spacing w:line="440" w:lineRule="exact"/>
        <w:rPr>
          <w:rFonts w:ascii="Times New Roman" w:hAnsi="Times New Roman" w:eastAsia="宋体" w:cs="Times New Roman"/>
          <w:color w:val="auto"/>
          <w:sz w:val="20"/>
          <w:highlight w:val="none"/>
        </w:rPr>
        <w:sectPr>
          <w:pgSz w:w="11905" w:h="16838"/>
          <w:pgMar w:top="1440" w:right="1800" w:bottom="1440" w:left="1800" w:header="850" w:footer="822" w:gutter="0"/>
          <w:cols w:space="720" w:num="1"/>
          <w:docGrid w:linePitch="318" w:charSpace="0"/>
        </w:sectPr>
      </w:pPr>
    </w:p>
    <w:p>
      <w:pPr>
        <w:keepNext/>
        <w:keepLines/>
        <w:numPr>
          <w:ilvl w:val="3"/>
          <w:numId w:val="0"/>
        </w:numPr>
        <w:spacing w:before="120" w:beforeLines="50" w:after="120" w:afterLines="50" w:line="360" w:lineRule="auto"/>
        <w:jc w:val="center"/>
        <w:outlineLvl w:val="3"/>
        <w:rPr>
          <w:rFonts w:ascii="Times New Roman" w:hAnsi="Times New Roman"/>
          <w:b/>
          <w:bCs/>
          <w:color w:val="auto"/>
          <w:sz w:val="28"/>
          <w:szCs w:val="28"/>
          <w:highlight w:val="none"/>
        </w:rPr>
      </w:pPr>
      <w:bookmarkStart w:id="196" w:name="_Toc247527850"/>
      <w:bookmarkStart w:id="197" w:name="_Toc300835226"/>
      <w:bookmarkStart w:id="198" w:name="_Toc29388"/>
      <w:bookmarkStart w:id="199" w:name="_Toc152042599"/>
      <w:bookmarkStart w:id="200" w:name="_Toc15711"/>
      <w:bookmarkStart w:id="201" w:name="_Toc152045810"/>
      <w:bookmarkStart w:id="202" w:name="_Toc17685"/>
      <w:bookmarkStart w:id="203" w:name="_Toc247514302"/>
      <w:bookmarkStart w:id="204" w:name="_Toc144974878"/>
      <w:r>
        <w:rPr>
          <w:rFonts w:hint="eastAsia" w:ascii="Times New Roman" w:hAnsi="Times New Roman"/>
          <w:b/>
          <w:bCs/>
          <w:color w:val="auto"/>
          <w:sz w:val="28"/>
          <w:szCs w:val="28"/>
          <w:highlight w:val="none"/>
        </w:rPr>
        <w:t>1.2需求书</w:t>
      </w:r>
      <w:r>
        <w:rPr>
          <w:rFonts w:ascii="Times New Roman" w:hAnsi="Times New Roman"/>
          <w:b/>
          <w:bCs/>
          <w:color w:val="auto"/>
          <w:sz w:val="28"/>
          <w:szCs w:val="28"/>
          <w:highlight w:val="none"/>
        </w:rPr>
        <w:t>响应及偏差表</w:t>
      </w:r>
    </w:p>
    <w:tbl>
      <w:tblPr>
        <w:tblStyle w:val="38"/>
        <w:tblW w:w="5151"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596"/>
        <w:gridCol w:w="1759"/>
        <w:gridCol w:w="3018"/>
        <w:gridCol w:w="1408"/>
        <w:gridCol w:w="715"/>
        <w:gridCol w:w="1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5000" w:type="pct"/>
            <w:gridSpan w:val="6"/>
            <w:shd w:val="clear" w:color="auto" w:fill="EAEAEA"/>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b/>
                <w:bCs/>
                <w:color w:val="auto"/>
                <w:kern w:val="1"/>
                <w:sz w:val="24"/>
                <w:szCs w:val="24"/>
                <w:highlight w:val="none"/>
              </w:rPr>
              <w:t>关键技术条款（带“★”条款）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序号</w:t>
            </w:r>
          </w:p>
        </w:tc>
        <w:tc>
          <w:tcPr>
            <w:tcW w:w="1021"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招标文件条目号</w:t>
            </w:r>
          </w:p>
        </w:tc>
        <w:tc>
          <w:tcPr>
            <w:tcW w:w="1752"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招标文件要求</w:t>
            </w:r>
          </w:p>
        </w:tc>
        <w:tc>
          <w:tcPr>
            <w:tcW w:w="817"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响应内容</w:t>
            </w:r>
          </w:p>
        </w:tc>
        <w:tc>
          <w:tcPr>
            <w:tcW w:w="415"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是否偏离</w:t>
            </w:r>
          </w:p>
        </w:tc>
        <w:tc>
          <w:tcPr>
            <w:tcW w:w="646"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1</w:t>
            </w:r>
          </w:p>
        </w:tc>
        <w:tc>
          <w:tcPr>
            <w:tcW w:w="1021" w:type="pct"/>
            <w:noWrap w:val="0"/>
            <w:vAlign w:val="center"/>
          </w:tcPr>
          <w:p>
            <w:pPr>
              <w:spacing w:line="240" w:lineRule="auto"/>
              <w:rPr>
                <w:rFonts w:hint="eastAsia" w:ascii="宋体" w:hAnsi="宋体" w:eastAsia="宋体" w:cs="宋体"/>
                <w:color w:val="auto"/>
                <w:kern w:val="1"/>
                <w:sz w:val="24"/>
                <w:szCs w:val="24"/>
                <w:highlight w:val="none"/>
              </w:rPr>
            </w:pPr>
          </w:p>
        </w:tc>
        <w:tc>
          <w:tcPr>
            <w:tcW w:w="1752" w:type="pct"/>
            <w:noWrap w:val="0"/>
            <w:vAlign w:val="top"/>
          </w:tcPr>
          <w:p>
            <w:pPr>
              <w:spacing w:line="240" w:lineRule="auto"/>
              <w:rPr>
                <w:rFonts w:hint="eastAsia" w:ascii="宋体" w:hAnsi="宋体" w:eastAsia="宋体" w:cs="宋体"/>
                <w:color w:val="auto"/>
                <w:kern w:val="1"/>
                <w:sz w:val="24"/>
                <w:szCs w:val="24"/>
                <w:highlight w:val="none"/>
              </w:rPr>
            </w:pPr>
          </w:p>
        </w:tc>
        <w:tc>
          <w:tcPr>
            <w:tcW w:w="817" w:type="pct"/>
            <w:noWrap w:val="0"/>
            <w:vAlign w:val="top"/>
          </w:tcPr>
          <w:p>
            <w:pPr>
              <w:spacing w:line="240" w:lineRule="auto"/>
              <w:rPr>
                <w:rFonts w:hint="eastAsia" w:ascii="宋体" w:hAnsi="宋体" w:eastAsia="宋体" w:cs="宋体"/>
                <w:color w:val="auto"/>
                <w:kern w:val="1"/>
                <w:sz w:val="24"/>
                <w:szCs w:val="24"/>
                <w:highlight w:val="none"/>
              </w:rPr>
            </w:pPr>
          </w:p>
        </w:tc>
        <w:tc>
          <w:tcPr>
            <w:tcW w:w="415" w:type="pct"/>
            <w:noWrap w:val="0"/>
            <w:vAlign w:val="top"/>
          </w:tcPr>
          <w:p>
            <w:pPr>
              <w:spacing w:line="240" w:lineRule="auto"/>
              <w:rPr>
                <w:rFonts w:hint="eastAsia" w:ascii="宋体" w:hAnsi="宋体" w:eastAsia="宋体" w:cs="宋体"/>
                <w:color w:val="auto"/>
                <w:kern w:val="1"/>
                <w:sz w:val="24"/>
                <w:szCs w:val="24"/>
                <w:highlight w:val="none"/>
              </w:rPr>
            </w:pPr>
          </w:p>
        </w:tc>
        <w:tc>
          <w:tcPr>
            <w:tcW w:w="646" w:type="pct"/>
            <w:noWrap w:val="0"/>
            <w:vAlign w:val="top"/>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5000" w:type="pct"/>
            <w:gridSpan w:val="6"/>
            <w:shd w:val="clear" w:color="auto" w:fill="EAEAEA"/>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b/>
                <w:bCs/>
                <w:color w:val="auto"/>
                <w:kern w:val="1"/>
                <w:sz w:val="24"/>
                <w:szCs w:val="24"/>
                <w:highlight w:val="none"/>
              </w:rPr>
              <w:t>重要技术条款（带“#”条款）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序号</w:t>
            </w:r>
          </w:p>
        </w:tc>
        <w:tc>
          <w:tcPr>
            <w:tcW w:w="1021"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招标文件条目号</w:t>
            </w:r>
          </w:p>
        </w:tc>
        <w:tc>
          <w:tcPr>
            <w:tcW w:w="1752"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招标文件要求</w:t>
            </w:r>
          </w:p>
        </w:tc>
        <w:tc>
          <w:tcPr>
            <w:tcW w:w="817"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响应内容</w:t>
            </w:r>
          </w:p>
        </w:tc>
        <w:tc>
          <w:tcPr>
            <w:tcW w:w="415"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是否偏离</w:t>
            </w:r>
          </w:p>
        </w:tc>
        <w:tc>
          <w:tcPr>
            <w:tcW w:w="646"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1</w:t>
            </w:r>
          </w:p>
        </w:tc>
        <w:tc>
          <w:tcPr>
            <w:tcW w:w="1021" w:type="pct"/>
            <w:noWrap w:val="0"/>
            <w:vAlign w:val="center"/>
          </w:tcPr>
          <w:p>
            <w:pPr>
              <w:spacing w:line="240" w:lineRule="auto"/>
              <w:rPr>
                <w:rFonts w:hint="eastAsia" w:ascii="宋体" w:hAnsi="宋体" w:eastAsia="宋体" w:cs="宋体"/>
                <w:color w:val="auto"/>
                <w:kern w:val="1"/>
                <w:sz w:val="24"/>
                <w:szCs w:val="24"/>
                <w:highlight w:val="none"/>
              </w:rPr>
            </w:pPr>
          </w:p>
        </w:tc>
        <w:tc>
          <w:tcPr>
            <w:tcW w:w="1752" w:type="pct"/>
            <w:noWrap w:val="0"/>
            <w:vAlign w:val="center"/>
          </w:tcPr>
          <w:p>
            <w:pPr>
              <w:spacing w:line="240" w:lineRule="auto"/>
              <w:rPr>
                <w:rFonts w:hint="eastAsia" w:ascii="宋体" w:hAnsi="宋体" w:eastAsia="宋体" w:cs="宋体"/>
                <w:color w:val="auto"/>
                <w:kern w:val="1"/>
                <w:sz w:val="24"/>
                <w:szCs w:val="24"/>
                <w:highlight w:val="none"/>
              </w:rPr>
            </w:pPr>
          </w:p>
        </w:tc>
        <w:tc>
          <w:tcPr>
            <w:tcW w:w="817" w:type="pct"/>
            <w:noWrap w:val="0"/>
            <w:vAlign w:val="center"/>
          </w:tcPr>
          <w:p>
            <w:pPr>
              <w:spacing w:line="240" w:lineRule="auto"/>
              <w:rPr>
                <w:rFonts w:hint="eastAsia" w:ascii="宋体" w:hAnsi="宋体" w:eastAsia="宋体" w:cs="宋体"/>
                <w:color w:val="auto"/>
                <w:kern w:val="1"/>
                <w:sz w:val="24"/>
                <w:szCs w:val="24"/>
                <w:highlight w:val="none"/>
              </w:rPr>
            </w:pPr>
          </w:p>
        </w:tc>
        <w:tc>
          <w:tcPr>
            <w:tcW w:w="415" w:type="pct"/>
            <w:noWrap w:val="0"/>
            <w:vAlign w:val="center"/>
          </w:tcPr>
          <w:p>
            <w:pPr>
              <w:spacing w:line="240" w:lineRule="auto"/>
              <w:rPr>
                <w:rFonts w:hint="eastAsia" w:ascii="宋体" w:hAnsi="宋体" w:eastAsia="宋体" w:cs="宋体"/>
                <w:color w:val="auto"/>
                <w:kern w:val="1"/>
                <w:sz w:val="24"/>
                <w:szCs w:val="24"/>
                <w:highlight w:val="none"/>
              </w:rPr>
            </w:pPr>
          </w:p>
        </w:tc>
        <w:tc>
          <w:tcPr>
            <w:tcW w:w="646" w:type="pct"/>
            <w:noWrap w:val="0"/>
            <w:vAlign w:val="center"/>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2</w:t>
            </w:r>
          </w:p>
        </w:tc>
        <w:tc>
          <w:tcPr>
            <w:tcW w:w="1021" w:type="pct"/>
            <w:noWrap w:val="0"/>
            <w:vAlign w:val="top"/>
          </w:tcPr>
          <w:p>
            <w:pPr>
              <w:spacing w:line="240" w:lineRule="auto"/>
              <w:rPr>
                <w:rFonts w:hint="eastAsia" w:ascii="宋体" w:hAnsi="宋体" w:eastAsia="宋体" w:cs="宋体"/>
                <w:color w:val="auto"/>
                <w:kern w:val="1"/>
                <w:sz w:val="24"/>
                <w:szCs w:val="24"/>
                <w:highlight w:val="none"/>
              </w:rPr>
            </w:pPr>
          </w:p>
        </w:tc>
        <w:tc>
          <w:tcPr>
            <w:tcW w:w="1752" w:type="pct"/>
            <w:noWrap w:val="0"/>
            <w:vAlign w:val="top"/>
          </w:tcPr>
          <w:p>
            <w:pPr>
              <w:spacing w:line="240" w:lineRule="auto"/>
              <w:rPr>
                <w:rFonts w:hint="eastAsia" w:ascii="宋体" w:hAnsi="宋体" w:eastAsia="宋体" w:cs="宋体"/>
                <w:color w:val="auto"/>
                <w:kern w:val="1"/>
                <w:sz w:val="24"/>
                <w:szCs w:val="24"/>
                <w:highlight w:val="none"/>
              </w:rPr>
            </w:pPr>
          </w:p>
        </w:tc>
        <w:tc>
          <w:tcPr>
            <w:tcW w:w="817" w:type="pct"/>
            <w:noWrap w:val="0"/>
            <w:vAlign w:val="top"/>
          </w:tcPr>
          <w:p>
            <w:pPr>
              <w:spacing w:line="240" w:lineRule="auto"/>
              <w:rPr>
                <w:rFonts w:hint="eastAsia" w:ascii="宋体" w:hAnsi="宋体" w:eastAsia="宋体" w:cs="宋体"/>
                <w:color w:val="auto"/>
                <w:kern w:val="1"/>
                <w:sz w:val="24"/>
                <w:szCs w:val="24"/>
                <w:highlight w:val="none"/>
              </w:rPr>
            </w:pPr>
          </w:p>
        </w:tc>
        <w:tc>
          <w:tcPr>
            <w:tcW w:w="415" w:type="pct"/>
            <w:noWrap w:val="0"/>
            <w:vAlign w:val="top"/>
          </w:tcPr>
          <w:p>
            <w:pPr>
              <w:spacing w:line="240" w:lineRule="auto"/>
              <w:rPr>
                <w:rFonts w:hint="eastAsia" w:ascii="宋体" w:hAnsi="宋体" w:eastAsia="宋体" w:cs="宋体"/>
                <w:color w:val="auto"/>
                <w:kern w:val="1"/>
                <w:sz w:val="24"/>
                <w:szCs w:val="24"/>
                <w:highlight w:val="none"/>
              </w:rPr>
            </w:pPr>
          </w:p>
        </w:tc>
        <w:tc>
          <w:tcPr>
            <w:tcW w:w="646" w:type="pct"/>
            <w:noWrap w:val="0"/>
            <w:vAlign w:val="top"/>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3</w:t>
            </w:r>
          </w:p>
        </w:tc>
        <w:tc>
          <w:tcPr>
            <w:tcW w:w="1021" w:type="pct"/>
            <w:noWrap w:val="0"/>
            <w:vAlign w:val="top"/>
          </w:tcPr>
          <w:p>
            <w:pPr>
              <w:spacing w:line="240" w:lineRule="auto"/>
              <w:rPr>
                <w:rFonts w:hint="eastAsia" w:ascii="宋体" w:hAnsi="宋体" w:eastAsia="宋体" w:cs="宋体"/>
                <w:color w:val="auto"/>
                <w:kern w:val="1"/>
                <w:sz w:val="24"/>
                <w:szCs w:val="24"/>
                <w:highlight w:val="none"/>
              </w:rPr>
            </w:pPr>
          </w:p>
        </w:tc>
        <w:tc>
          <w:tcPr>
            <w:tcW w:w="1752" w:type="pct"/>
            <w:noWrap w:val="0"/>
            <w:vAlign w:val="top"/>
          </w:tcPr>
          <w:p>
            <w:pPr>
              <w:spacing w:line="240" w:lineRule="auto"/>
              <w:rPr>
                <w:rFonts w:hint="eastAsia" w:ascii="宋体" w:hAnsi="宋体" w:eastAsia="宋体" w:cs="宋体"/>
                <w:color w:val="auto"/>
                <w:kern w:val="1"/>
                <w:sz w:val="24"/>
                <w:szCs w:val="24"/>
                <w:highlight w:val="none"/>
              </w:rPr>
            </w:pPr>
          </w:p>
        </w:tc>
        <w:tc>
          <w:tcPr>
            <w:tcW w:w="817" w:type="pct"/>
            <w:noWrap w:val="0"/>
            <w:vAlign w:val="top"/>
          </w:tcPr>
          <w:p>
            <w:pPr>
              <w:spacing w:line="240" w:lineRule="auto"/>
              <w:rPr>
                <w:rFonts w:hint="eastAsia" w:ascii="宋体" w:hAnsi="宋体" w:eastAsia="宋体" w:cs="宋体"/>
                <w:color w:val="auto"/>
                <w:kern w:val="1"/>
                <w:sz w:val="24"/>
                <w:szCs w:val="24"/>
                <w:highlight w:val="none"/>
              </w:rPr>
            </w:pPr>
          </w:p>
        </w:tc>
        <w:tc>
          <w:tcPr>
            <w:tcW w:w="415" w:type="pct"/>
            <w:noWrap w:val="0"/>
            <w:vAlign w:val="top"/>
          </w:tcPr>
          <w:p>
            <w:pPr>
              <w:spacing w:line="240" w:lineRule="auto"/>
              <w:rPr>
                <w:rFonts w:hint="eastAsia" w:ascii="宋体" w:hAnsi="宋体" w:eastAsia="宋体" w:cs="宋体"/>
                <w:color w:val="auto"/>
                <w:kern w:val="1"/>
                <w:sz w:val="24"/>
                <w:szCs w:val="24"/>
                <w:highlight w:val="none"/>
              </w:rPr>
            </w:pPr>
          </w:p>
        </w:tc>
        <w:tc>
          <w:tcPr>
            <w:tcW w:w="646" w:type="pct"/>
            <w:noWrap w:val="0"/>
            <w:vAlign w:val="top"/>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tcBorders>
              <w:bottom w:val="single" w:color="000000" w:sz="6" w:space="0"/>
            </w:tcBorders>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w:t>
            </w:r>
          </w:p>
        </w:tc>
        <w:tc>
          <w:tcPr>
            <w:tcW w:w="1021"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1752"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817"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415"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646"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5000" w:type="pct"/>
            <w:gridSpan w:val="6"/>
            <w:shd w:val="clear" w:color="auto" w:fill="EAEAEA"/>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b/>
                <w:bCs/>
                <w:color w:val="auto"/>
                <w:kern w:val="1"/>
                <w:sz w:val="24"/>
                <w:szCs w:val="24"/>
                <w:highlight w:val="none"/>
              </w:rPr>
              <w:t>一般技术条款(不带“★”或带“#”条款)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序号</w:t>
            </w:r>
          </w:p>
        </w:tc>
        <w:tc>
          <w:tcPr>
            <w:tcW w:w="1021"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招标文件条目号</w:t>
            </w:r>
          </w:p>
        </w:tc>
        <w:tc>
          <w:tcPr>
            <w:tcW w:w="1752"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招标文件要求</w:t>
            </w:r>
          </w:p>
        </w:tc>
        <w:tc>
          <w:tcPr>
            <w:tcW w:w="817"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响应内容</w:t>
            </w:r>
          </w:p>
        </w:tc>
        <w:tc>
          <w:tcPr>
            <w:tcW w:w="415"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是否偏离</w:t>
            </w:r>
          </w:p>
        </w:tc>
        <w:tc>
          <w:tcPr>
            <w:tcW w:w="646" w:type="pct"/>
            <w:noWrap w:val="0"/>
            <w:vAlign w:val="center"/>
          </w:tcPr>
          <w:p>
            <w:pPr>
              <w:spacing w:line="240" w:lineRule="auto"/>
              <w:jc w:val="center"/>
              <w:rPr>
                <w:rFonts w:hint="eastAsia" w:ascii="宋体" w:hAnsi="宋体" w:eastAsia="宋体" w:cs="宋体"/>
                <w:b/>
                <w:bCs/>
                <w:color w:val="auto"/>
                <w:kern w:val="1"/>
                <w:sz w:val="24"/>
                <w:szCs w:val="24"/>
                <w:highlight w:val="none"/>
              </w:rPr>
            </w:pPr>
            <w:r>
              <w:rPr>
                <w:rFonts w:hint="eastAsia" w:ascii="宋体" w:hAnsi="宋体" w:eastAsia="宋体" w:cs="宋体"/>
                <w:b/>
                <w:bCs/>
                <w:color w:val="auto"/>
                <w:kern w:val="1"/>
                <w:sz w:val="24"/>
                <w:szCs w:val="24"/>
                <w:highlight w:val="none"/>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1</w:t>
            </w:r>
          </w:p>
        </w:tc>
        <w:tc>
          <w:tcPr>
            <w:tcW w:w="1021" w:type="pct"/>
            <w:noWrap w:val="0"/>
            <w:vAlign w:val="center"/>
          </w:tcPr>
          <w:p>
            <w:pPr>
              <w:spacing w:line="240" w:lineRule="auto"/>
              <w:rPr>
                <w:rFonts w:hint="eastAsia" w:ascii="宋体" w:hAnsi="宋体" w:eastAsia="宋体" w:cs="宋体"/>
                <w:color w:val="auto"/>
                <w:kern w:val="1"/>
                <w:sz w:val="24"/>
                <w:szCs w:val="24"/>
                <w:highlight w:val="none"/>
              </w:rPr>
            </w:pPr>
          </w:p>
        </w:tc>
        <w:tc>
          <w:tcPr>
            <w:tcW w:w="1752" w:type="pct"/>
            <w:noWrap w:val="0"/>
            <w:vAlign w:val="center"/>
          </w:tcPr>
          <w:p>
            <w:pPr>
              <w:spacing w:line="240" w:lineRule="auto"/>
              <w:rPr>
                <w:rFonts w:hint="eastAsia" w:ascii="宋体" w:hAnsi="宋体" w:eastAsia="宋体" w:cs="宋体"/>
                <w:color w:val="auto"/>
                <w:kern w:val="1"/>
                <w:sz w:val="24"/>
                <w:szCs w:val="24"/>
                <w:highlight w:val="none"/>
              </w:rPr>
            </w:pPr>
          </w:p>
        </w:tc>
        <w:tc>
          <w:tcPr>
            <w:tcW w:w="817" w:type="pct"/>
            <w:noWrap w:val="0"/>
            <w:vAlign w:val="center"/>
          </w:tcPr>
          <w:p>
            <w:pPr>
              <w:spacing w:line="240" w:lineRule="auto"/>
              <w:rPr>
                <w:rFonts w:hint="eastAsia" w:ascii="宋体" w:hAnsi="宋体" w:eastAsia="宋体" w:cs="宋体"/>
                <w:color w:val="auto"/>
                <w:kern w:val="1"/>
                <w:sz w:val="24"/>
                <w:szCs w:val="24"/>
                <w:highlight w:val="none"/>
              </w:rPr>
            </w:pPr>
          </w:p>
        </w:tc>
        <w:tc>
          <w:tcPr>
            <w:tcW w:w="415" w:type="pct"/>
            <w:noWrap w:val="0"/>
            <w:vAlign w:val="center"/>
          </w:tcPr>
          <w:p>
            <w:pPr>
              <w:spacing w:line="240" w:lineRule="auto"/>
              <w:rPr>
                <w:rFonts w:hint="eastAsia" w:ascii="宋体" w:hAnsi="宋体" w:eastAsia="宋体" w:cs="宋体"/>
                <w:color w:val="auto"/>
                <w:kern w:val="1"/>
                <w:sz w:val="24"/>
                <w:szCs w:val="24"/>
                <w:highlight w:val="none"/>
              </w:rPr>
            </w:pPr>
          </w:p>
        </w:tc>
        <w:tc>
          <w:tcPr>
            <w:tcW w:w="646" w:type="pct"/>
            <w:noWrap w:val="0"/>
            <w:vAlign w:val="center"/>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2</w:t>
            </w:r>
          </w:p>
        </w:tc>
        <w:tc>
          <w:tcPr>
            <w:tcW w:w="1021" w:type="pct"/>
            <w:noWrap w:val="0"/>
            <w:vAlign w:val="top"/>
          </w:tcPr>
          <w:p>
            <w:pPr>
              <w:spacing w:line="240" w:lineRule="auto"/>
              <w:rPr>
                <w:rFonts w:hint="eastAsia" w:ascii="宋体" w:hAnsi="宋体" w:eastAsia="宋体" w:cs="宋体"/>
                <w:color w:val="auto"/>
                <w:kern w:val="1"/>
                <w:sz w:val="24"/>
                <w:szCs w:val="24"/>
                <w:highlight w:val="none"/>
              </w:rPr>
            </w:pPr>
          </w:p>
        </w:tc>
        <w:tc>
          <w:tcPr>
            <w:tcW w:w="1752" w:type="pct"/>
            <w:noWrap w:val="0"/>
            <w:vAlign w:val="top"/>
          </w:tcPr>
          <w:p>
            <w:pPr>
              <w:spacing w:line="240" w:lineRule="auto"/>
              <w:rPr>
                <w:rFonts w:hint="eastAsia" w:ascii="宋体" w:hAnsi="宋体" w:eastAsia="宋体" w:cs="宋体"/>
                <w:color w:val="auto"/>
                <w:kern w:val="1"/>
                <w:sz w:val="24"/>
                <w:szCs w:val="24"/>
                <w:highlight w:val="none"/>
              </w:rPr>
            </w:pPr>
          </w:p>
        </w:tc>
        <w:tc>
          <w:tcPr>
            <w:tcW w:w="817" w:type="pct"/>
            <w:noWrap w:val="0"/>
            <w:vAlign w:val="top"/>
          </w:tcPr>
          <w:p>
            <w:pPr>
              <w:spacing w:line="240" w:lineRule="auto"/>
              <w:rPr>
                <w:rFonts w:hint="eastAsia" w:ascii="宋体" w:hAnsi="宋体" w:eastAsia="宋体" w:cs="宋体"/>
                <w:color w:val="auto"/>
                <w:kern w:val="1"/>
                <w:sz w:val="24"/>
                <w:szCs w:val="24"/>
                <w:highlight w:val="none"/>
              </w:rPr>
            </w:pPr>
          </w:p>
        </w:tc>
        <w:tc>
          <w:tcPr>
            <w:tcW w:w="415" w:type="pct"/>
            <w:noWrap w:val="0"/>
            <w:vAlign w:val="top"/>
          </w:tcPr>
          <w:p>
            <w:pPr>
              <w:spacing w:line="240" w:lineRule="auto"/>
              <w:rPr>
                <w:rFonts w:hint="eastAsia" w:ascii="宋体" w:hAnsi="宋体" w:eastAsia="宋体" w:cs="宋体"/>
                <w:color w:val="auto"/>
                <w:kern w:val="1"/>
                <w:sz w:val="24"/>
                <w:szCs w:val="24"/>
                <w:highlight w:val="none"/>
              </w:rPr>
            </w:pPr>
          </w:p>
        </w:tc>
        <w:tc>
          <w:tcPr>
            <w:tcW w:w="646" w:type="pct"/>
            <w:noWrap w:val="0"/>
            <w:vAlign w:val="top"/>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3</w:t>
            </w:r>
          </w:p>
        </w:tc>
        <w:tc>
          <w:tcPr>
            <w:tcW w:w="1021" w:type="pct"/>
            <w:noWrap w:val="0"/>
            <w:vAlign w:val="top"/>
          </w:tcPr>
          <w:p>
            <w:pPr>
              <w:spacing w:line="240" w:lineRule="auto"/>
              <w:rPr>
                <w:rFonts w:hint="eastAsia" w:ascii="宋体" w:hAnsi="宋体" w:eastAsia="宋体" w:cs="宋体"/>
                <w:color w:val="auto"/>
                <w:kern w:val="1"/>
                <w:sz w:val="24"/>
                <w:szCs w:val="24"/>
                <w:highlight w:val="none"/>
              </w:rPr>
            </w:pPr>
          </w:p>
        </w:tc>
        <w:tc>
          <w:tcPr>
            <w:tcW w:w="1752" w:type="pct"/>
            <w:noWrap w:val="0"/>
            <w:vAlign w:val="top"/>
          </w:tcPr>
          <w:p>
            <w:pPr>
              <w:spacing w:line="240" w:lineRule="auto"/>
              <w:rPr>
                <w:rFonts w:hint="eastAsia" w:ascii="宋体" w:hAnsi="宋体" w:eastAsia="宋体" w:cs="宋体"/>
                <w:color w:val="auto"/>
                <w:kern w:val="1"/>
                <w:sz w:val="24"/>
                <w:szCs w:val="24"/>
                <w:highlight w:val="none"/>
              </w:rPr>
            </w:pPr>
          </w:p>
        </w:tc>
        <w:tc>
          <w:tcPr>
            <w:tcW w:w="817" w:type="pct"/>
            <w:noWrap w:val="0"/>
            <w:vAlign w:val="top"/>
          </w:tcPr>
          <w:p>
            <w:pPr>
              <w:spacing w:line="240" w:lineRule="auto"/>
              <w:rPr>
                <w:rFonts w:hint="eastAsia" w:ascii="宋体" w:hAnsi="宋体" w:eastAsia="宋体" w:cs="宋体"/>
                <w:color w:val="auto"/>
                <w:kern w:val="1"/>
                <w:sz w:val="24"/>
                <w:szCs w:val="24"/>
                <w:highlight w:val="none"/>
              </w:rPr>
            </w:pPr>
          </w:p>
        </w:tc>
        <w:tc>
          <w:tcPr>
            <w:tcW w:w="415" w:type="pct"/>
            <w:noWrap w:val="0"/>
            <w:vAlign w:val="top"/>
          </w:tcPr>
          <w:p>
            <w:pPr>
              <w:spacing w:line="240" w:lineRule="auto"/>
              <w:rPr>
                <w:rFonts w:hint="eastAsia" w:ascii="宋体" w:hAnsi="宋体" w:eastAsia="宋体" w:cs="宋体"/>
                <w:color w:val="auto"/>
                <w:kern w:val="1"/>
                <w:sz w:val="24"/>
                <w:szCs w:val="24"/>
                <w:highlight w:val="none"/>
              </w:rPr>
            </w:pPr>
          </w:p>
        </w:tc>
        <w:tc>
          <w:tcPr>
            <w:tcW w:w="646" w:type="pct"/>
            <w:noWrap w:val="0"/>
            <w:vAlign w:val="top"/>
          </w:tcPr>
          <w:p>
            <w:pPr>
              <w:spacing w:line="240" w:lineRule="auto"/>
              <w:rPr>
                <w:rFonts w:hint="eastAsia" w:ascii="宋体" w:hAnsi="宋体" w:eastAsia="宋体" w:cs="宋体"/>
                <w:color w:val="auto"/>
                <w:kern w:val="1"/>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346" w:type="pct"/>
            <w:tcBorders>
              <w:bottom w:val="single" w:color="000000" w:sz="6" w:space="0"/>
            </w:tcBorders>
            <w:noWrap w:val="0"/>
            <w:vAlign w:val="center"/>
          </w:tcPr>
          <w:p>
            <w:pPr>
              <w:spacing w:line="240" w:lineRule="auto"/>
              <w:jc w:val="center"/>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w:t>
            </w:r>
          </w:p>
        </w:tc>
        <w:tc>
          <w:tcPr>
            <w:tcW w:w="1021"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1752"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817"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415"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c>
          <w:tcPr>
            <w:tcW w:w="646" w:type="pct"/>
            <w:tcBorders>
              <w:bottom w:val="single" w:color="000000" w:sz="6" w:space="0"/>
            </w:tcBorders>
            <w:noWrap w:val="0"/>
            <w:vAlign w:val="top"/>
          </w:tcPr>
          <w:p>
            <w:pPr>
              <w:spacing w:line="240" w:lineRule="auto"/>
              <w:rPr>
                <w:rFonts w:hint="eastAsia" w:ascii="宋体" w:hAnsi="宋体" w:eastAsia="宋体" w:cs="宋体"/>
                <w:color w:val="auto"/>
                <w:kern w:val="1"/>
                <w:sz w:val="24"/>
                <w:szCs w:val="24"/>
                <w:highlight w:val="none"/>
              </w:rPr>
            </w:pPr>
          </w:p>
        </w:tc>
      </w:tr>
    </w:tbl>
    <w:p>
      <w:pPr>
        <w:spacing w:after="120" w:line="400" w:lineRule="exact"/>
        <w:rPr>
          <w:rFonts w:ascii="宋体" w:hAnsi="宋体" w:cs="宋体"/>
          <w:b/>
          <w:color w:val="auto"/>
          <w:kern w:val="1"/>
          <w:highlight w:val="none"/>
        </w:rPr>
      </w:pPr>
      <w:r>
        <w:rPr>
          <w:rFonts w:ascii="宋体" w:hAnsi="宋体" w:cs="宋体"/>
          <w:b/>
          <w:color w:val="auto"/>
          <w:kern w:val="1"/>
          <w:highlight w:val="none"/>
        </w:rPr>
        <w:t>注：</w:t>
      </w:r>
    </w:p>
    <w:p>
      <w:pPr>
        <w:spacing w:after="120" w:line="400" w:lineRule="exact"/>
        <w:ind w:left="316" w:hanging="316"/>
        <w:rPr>
          <w:rFonts w:ascii="宋体" w:hAnsi="宋体" w:cs="宋体"/>
          <w:b/>
          <w:color w:val="auto"/>
          <w:kern w:val="1"/>
          <w:highlight w:val="none"/>
        </w:rPr>
      </w:pPr>
      <w:r>
        <w:rPr>
          <w:rFonts w:ascii="宋体" w:hAnsi="宋体" w:cs="宋体"/>
          <w:b/>
          <w:color w:val="auto"/>
          <w:kern w:val="1"/>
          <w:highlight w:val="none"/>
        </w:rPr>
        <w:t>1、</w:t>
      </w:r>
      <w:r>
        <w:rPr>
          <w:rFonts w:hint="eastAsia" w:ascii="宋体" w:hAnsi="宋体" w:cs="宋体"/>
          <w:b/>
          <w:color w:val="auto"/>
          <w:kern w:val="1"/>
          <w:highlight w:val="none"/>
        </w:rPr>
        <w:t>招标文件“用户需求书”中带“★”的条款是关键技术参数或要求，投标人必须逐条响应，并填入此表，如投标文件未响应或不满足招标文件用户需求书中标星号（“★”）的关键性技术要求将被判为符合性审查不通过。对于上述要求有“★”的地方均为须实质响应条款，投标人若有一项带“★”的指标未响应或不满足，将无法通过符合性审查而不进入后续评议。</w:t>
      </w:r>
    </w:p>
    <w:p>
      <w:pPr>
        <w:spacing w:after="120" w:line="400" w:lineRule="exact"/>
        <w:ind w:left="316" w:hanging="316"/>
        <w:rPr>
          <w:rFonts w:ascii="宋体" w:hAnsi="宋体" w:cs="宋体"/>
          <w:b/>
          <w:color w:val="auto"/>
          <w:kern w:val="1"/>
          <w:highlight w:val="none"/>
        </w:rPr>
      </w:pPr>
      <w:r>
        <w:rPr>
          <w:rFonts w:hint="eastAsia" w:ascii="宋体" w:hAnsi="宋体" w:cs="宋体"/>
          <w:b/>
          <w:color w:val="auto"/>
          <w:kern w:val="1"/>
          <w:highlight w:val="none"/>
        </w:rPr>
        <w:t>2、</w:t>
      </w:r>
      <w:r>
        <w:rPr>
          <w:rFonts w:ascii="宋体" w:hAnsi="宋体" w:cs="宋体"/>
          <w:b/>
          <w:color w:val="auto"/>
          <w:kern w:val="1"/>
          <w:highlight w:val="none"/>
        </w:rPr>
        <w:t>招标文件“</w:t>
      </w:r>
      <w:r>
        <w:rPr>
          <w:rFonts w:hint="eastAsia" w:ascii="宋体" w:hAnsi="宋体" w:cs="宋体"/>
          <w:b/>
          <w:color w:val="auto"/>
          <w:kern w:val="1"/>
          <w:highlight w:val="none"/>
        </w:rPr>
        <w:t>用户需求书</w:t>
      </w:r>
      <w:r>
        <w:rPr>
          <w:rFonts w:ascii="宋体" w:hAnsi="宋体" w:cs="宋体"/>
          <w:b/>
          <w:color w:val="auto"/>
          <w:kern w:val="1"/>
          <w:highlight w:val="none"/>
        </w:rPr>
        <w:t>”中带“</w:t>
      </w:r>
      <w:r>
        <w:rPr>
          <w:rFonts w:hint="eastAsia" w:ascii="宋体" w:hAnsi="宋体" w:eastAsia="宋体" w:cs="宋体"/>
          <w:b/>
          <w:bCs/>
          <w:color w:val="auto"/>
          <w:sz w:val="24"/>
          <w:highlight w:val="none"/>
        </w:rPr>
        <w:t>▲</w:t>
      </w:r>
      <w:r>
        <w:rPr>
          <w:rFonts w:ascii="宋体" w:hAnsi="宋体" w:cs="宋体"/>
          <w:b/>
          <w:color w:val="auto"/>
          <w:kern w:val="1"/>
          <w:highlight w:val="none"/>
        </w:rPr>
        <w:t>”的条款是</w:t>
      </w:r>
      <w:r>
        <w:rPr>
          <w:rFonts w:hint="eastAsia" w:ascii="宋体" w:hAnsi="宋体" w:cs="宋体"/>
          <w:b/>
          <w:color w:val="auto"/>
          <w:kern w:val="1"/>
          <w:highlight w:val="none"/>
        </w:rPr>
        <w:t>重要</w:t>
      </w:r>
      <w:r>
        <w:rPr>
          <w:rFonts w:ascii="宋体" w:hAnsi="宋体" w:cs="宋体"/>
          <w:b/>
          <w:color w:val="auto"/>
          <w:kern w:val="1"/>
          <w:highlight w:val="none"/>
        </w:rPr>
        <w:t>技术参数或要求，投标人必须逐条填入此表</w:t>
      </w:r>
      <w:r>
        <w:rPr>
          <w:rFonts w:hint="eastAsia" w:ascii="宋体" w:hAnsi="宋体" w:cs="宋体"/>
          <w:b/>
          <w:color w:val="auto"/>
          <w:kern w:val="1"/>
          <w:highlight w:val="none"/>
        </w:rPr>
        <w:t>并明确响应情况</w:t>
      </w:r>
      <w:r>
        <w:rPr>
          <w:rFonts w:ascii="宋体" w:hAnsi="宋体" w:cs="宋体"/>
          <w:b/>
          <w:color w:val="auto"/>
          <w:kern w:val="1"/>
          <w:highlight w:val="none"/>
        </w:rPr>
        <w:t>，否则，招标人可能认为投标人对</w:t>
      </w:r>
      <w:r>
        <w:rPr>
          <w:rFonts w:hint="eastAsia" w:ascii="宋体" w:hAnsi="宋体" w:cs="宋体"/>
          <w:b/>
          <w:color w:val="auto"/>
          <w:kern w:val="1"/>
          <w:highlight w:val="none"/>
        </w:rPr>
        <w:t>上表表述不完整或缺漏项</w:t>
      </w:r>
      <w:r>
        <w:rPr>
          <w:rFonts w:ascii="宋体" w:hAnsi="宋体" w:cs="宋体"/>
          <w:b/>
          <w:color w:val="auto"/>
          <w:kern w:val="1"/>
          <w:highlight w:val="none"/>
        </w:rPr>
        <w:t>没有响应，</w:t>
      </w:r>
      <w:r>
        <w:rPr>
          <w:rFonts w:hint="eastAsia" w:ascii="宋体" w:hAnsi="宋体" w:cs="宋体"/>
          <w:b/>
          <w:color w:val="auto"/>
          <w:kern w:val="1"/>
          <w:highlight w:val="none"/>
        </w:rPr>
        <w:t>将可能影响投标人在</w:t>
      </w:r>
      <w:r>
        <w:rPr>
          <w:rFonts w:ascii="宋体" w:hAnsi="宋体" w:cs="宋体"/>
          <w:b/>
          <w:color w:val="auto"/>
          <w:kern w:val="1"/>
          <w:highlight w:val="none"/>
        </w:rPr>
        <w:t>后续评议</w:t>
      </w:r>
      <w:r>
        <w:rPr>
          <w:rFonts w:hint="eastAsia" w:ascii="宋体" w:hAnsi="宋体" w:cs="宋体"/>
          <w:b/>
          <w:color w:val="auto"/>
          <w:kern w:val="1"/>
          <w:highlight w:val="none"/>
        </w:rPr>
        <w:t>中的评分</w:t>
      </w:r>
      <w:r>
        <w:rPr>
          <w:rFonts w:ascii="宋体" w:hAnsi="宋体" w:cs="宋体"/>
          <w:b/>
          <w:color w:val="auto"/>
          <w:kern w:val="1"/>
          <w:highlight w:val="none"/>
        </w:rPr>
        <w:t>。</w:t>
      </w:r>
    </w:p>
    <w:p>
      <w:pPr>
        <w:spacing w:after="120" w:line="400" w:lineRule="exact"/>
        <w:ind w:left="316" w:hanging="316"/>
        <w:rPr>
          <w:rFonts w:ascii="宋体" w:hAnsi="宋体" w:cs="宋体"/>
          <w:b/>
          <w:color w:val="auto"/>
          <w:kern w:val="1"/>
          <w:highlight w:val="none"/>
        </w:rPr>
      </w:pPr>
      <w:r>
        <w:rPr>
          <w:rFonts w:hint="eastAsia" w:ascii="宋体" w:hAnsi="宋体" w:cs="宋体"/>
          <w:b/>
          <w:color w:val="auto"/>
          <w:kern w:val="1"/>
          <w:highlight w:val="none"/>
        </w:rPr>
        <w:t>3</w:t>
      </w:r>
      <w:r>
        <w:rPr>
          <w:rFonts w:ascii="宋体" w:hAnsi="宋体" w:cs="宋体"/>
          <w:b/>
          <w:color w:val="auto"/>
          <w:kern w:val="1"/>
          <w:highlight w:val="none"/>
        </w:rPr>
        <w:t>、招标文件“</w:t>
      </w:r>
      <w:r>
        <w:rPr>
          <w:rFonts w:hint="eastAsia" w:ascii="宋体" w:hAnsi="宋体" w:cs="宋体"/>
          <w:b/>
          <w:color w:val="auto"/>
          <w:kern w:val="1"/>
          <w:highlight w:val="none"/>
        </w:rPr>
        <w:t>用户需求书</w:t>
      </w:r>
      <w:r>
        <w:rPr>
          <w:rFonts w:ascii="宋体" w:hAnsi="宋体" w:cs="宋体"/>
          <w:b/>
          <w:color w:val="auto"/>
          <w:kern w:val="1"/>
          <w:highlight w:val="none"/>
        </w:rPr>
        <w:t>”中的</w:t>
      </w:r>
      <w:r>
        <w:rPr>
          <w:rFonts w:hint="eastAsia" w:ascii="宋体" w:hAnsi="宋体" w:cs="宋体"/>
          <w:b/>
          <w:color w:val="auto"/>
          <w:kern w:val="1"/>
          <w:highlight w:val="none"/>
        </w:rPr>
        <w:t>一般技术条款</w:t>
      </w:r>
      <w:r>
        <w:rPr>
          <w:rFonts w:ascii="宋体" w:hAnsi="宋体" w:cs="宋体"/>
          <w:b/>
          <w:color w:val="auto"/>
          <w:kern w:val="1"/>
          <w:highlight w:val="none"/>
        </w:rPr>
        <w:t>，</w:t>
      </w:r>
      <w:r>
        <w:rPr>
          <w:rFonts w:hint="eastAsia" w:ascii="宋体" w:hAnsi="宋体" w:cs="宋体"/>
          <w:b/>
          <w:color w:val="auto"/>
          <w:kern w:val="1"/>
          <w:highlight w:val="none"/>
        </w:rPr>
        <w:t>如</w:t>
      </w:r>
      <w:r>
        <w:rPr>
          <w:rFonts w:ascii="宋体" w:hAnsi="宋体" w:cs="宋体"/>
          <w:b/>
          <w:color w:val="auto"/>
          <w:kern w:val="1"/>
          <w:highlight w:val="none"/>
        </w:rPr>
        <w:t>投标人</w:t>
      </w:r>
      <w:r>
        <w:rPr>
          <w:rFonts w:hint="eastAsia" w:ascii="宋体" w:hAnsi="宋体" w:cs="宋体"/>
          <w:b/>
          <w:color w:val="auto"/>
          <w:kern w:val="1"/>
          <w:highlight w:val="none"/>
        </w:rPr>
        <w:t>存在响应偏差</w:t>
      </w:r>
      <w:r>
        <w:rPr>
          <w:rFonts w:ascii="宋体" w:hAnsi="宋体" w:cs="宋体"/>
          <w:b/>
          <w:color w:val="auto"/>
          <w:kern w:val="1"/>
          <w:highlight w:val="none"/>
        </w:rPr>
        <w:t>，</w:t>
      </w:r>
      <w:r>
        <w:rPr>
          <w:rFonts w:hint="eastAsia" w:ascii="宋体" w:hAnsi="宋体" w:cs="宋体"/>
          <w:b/>
          <w:color w:val="auto"/>
          <w:kern w:val="1"/>
          <w:highlight w:val="none"/>
        </w:rPr>
        <w:t>须将偏差条款逐条</w:t>
      </w:r>
      <w:r>
        <w:rPr>
          <w:rFonts w:ascii="宋体" w:hAnsi="宋体" w:cs="宋体"/>
          <w:b/>
          <w:color w:val="auto"/>
          <w:kern w:val="1"/>
          <w:highlight w:val="none"/>
        </w:rPr>
        <w:t>填入此表，否则，</w:t>
      </w:r>
      <w:r>
        <w:rPr>
          <w:rFonts w:hint="eastAsia" w:ascii="宋体" w:hAnsi="宋体" w:cs="宋体"/>
          <w:b/>
          <w:color w:val="auto"/>
          <w:kern w:val="1"/>
          <w:highlight w:val="none"/>
        </w:rPr>
        <w:t>未填入此表的</w:t>
      </w:r>
      <w:r>
        <w:rPr>
          <w:rFonts w:ascii="宋体" w:hAnsi="宋体" w:cs="宋体"/>
          <w:b/>
          <w:color w:val="auto"/>
          <w:kern w:val="1"/>
          <w:highlight w:val="none"/>
        </w:rPr>
        <w:t>“</w:t>
      </w:r>
      <w:r>
        <w:rPr>
          <w:rFonts w:hint="eastAsia" w:ascii="宋体" w:hAnsi="宋体" w:cs="宋体"/>
          <w:b/>
          <w:color w:val="auto"/>
          <w:kern w:val="1"/>
          <w:highlight w:val="none"/>
        </w:rPr>
        <w:t>用户需求书</w:t>
      </w:r>
      <w:r>
        <w:rPr>
          <w:rFonts w:ascii="宋体" w:hAnsi="宋体" w:cs="宋体"/>
          <w:b/>
          <w:color w:val="auto"/>
          <w:kern w:val="1"/>
          <w:highlight w:val="none"/>
        </w:rPr>
        <w:t>”</w:t>
      </w:r>
      <w:r>
        <w:rPr>
          <w:rFonts w:hint="eastAsia" w:ascii="宋体" w:hAnsi="宋体" w:cs="宋体"/>
          <w:b/>
          <w:color w:val="auto"/>
          <w:kern w:val="1"/>
          <w:highlight w:val="none"/>
        </w:rPr>
        <w:t>各项条款将被视为投标人完全响应招标人要求</w:t>
      </w:r>
      <w:r>
        <w:rPr>
          <w:rFonts w:ascii="宋体" w:hAnsi="宋体" w:cs="宋体"/>
          <w:b/>
          <w:color w:val="auto"/>
          <w:kern w:val="1"/>
          <w:highlight w:val="none"/>
        </w:rPr>
        <w:t>。</w:t>
      </w:r>
    </w:p>
    <w:p>
      <w:pPr>
        <w:spacing w:after="120" w:line="400" w:lineRule="exact"/>
        <w:ind w:left="316" w:hanging="316"/>
        <w:rPr>
          <w:rFonts w:ascii="宋体" w:hAnsi="宋体" w:cs="宋体"/>
          <w:b/>
          <w:color w:val="auto"/>
          <w:kern w:val="1"/>
          <w:highlight w:val="none"/>
        </w:rPr>
      </w:pPr>
      <w:r>
        <w:rPr>
          <w:rFonts w:hint="eastAsia" w:ascii="宋体" w:hAnsi="宋体" w:cs="宋体"/>
          <w:b/>
          <w:color w:val="auto"/>
          <w:kern w:val="1"/>
          <w:highlight w:val="none"/>
        </w:rPr>
        <w:t>4、</w:t>
      </w:r>
      <w:r>
        <w:rPr>
          <w:rFonts w:ascii="宋体" w:hAnsi="宋体" w:cs="宋体"/>
          <w:b/>
          <w:color w:val="auto"/>
          <w:kern w:val="1"/>
          <w:highlight w:val="none"/>
        </w:rPr>
        <w:t>投标文件中存在与本表表述不一致的情况，以本表表述为准。</w:t>
      </w:r>
    </w:p>
    <w:p>
      <w:pPr>
        <w:spacing w:after="120" w:line="400" w:lineRule="exact"/>
        <w:ind w:left="211" w:hanging="211"/>
        <w:rPr>
          <w:rFonts w:ascii="宋体" w:hAnsi="宋体" w:cs="宋体"/>
          <w:b/>
          <w:color w:val="auto"/>
          <w:kern w:val="1"/>
          <w:highlight w:val="none"/>
        </w:rPr>
      </w:pPr>
    </w:p>
    <w:p>
      <w:pPr>
        <w:adjustRightInd w:val="0"/>
        <w:snapToGrid w:val="0"/>
        <w:spacing w:before="72" w:after="72" w:line="480" w:lineRule="auto"/>
        <w:ind w:firstLine="3578" w:firstLineChars="1491"/>
        <w:rPr>
          <w:rFonts w:ascii="Times New Roman" w:hAnsi="Times New Roman"/>
          <w:color w:val="auto"/>
          <w:sz w:val="24"/>
          <w:highlight w:val="none"/>
          <w:u w:val="single"/>
        </w:rPr>
      </w:pPr>
      <w:r>
        <w:rPr>
          <w:rFonts w:ascii="Times New Roman" w:hAnsi="Times New Roman"/>
          <w:color w:val="auto"/>
          <w:sz w:val="24"/>
          <w:highlight w:val="none"/>
        </w:rPr>
        <w:t>投标人名称（加盖公章）：</w:t>
      </w:r>
    </w:p>
    <w:p>
      <w:pPr>
        <w:spacing w:before="72" w:after="72" w:line="400" w:lineRule="exact"/>
        <w:ind w:firstLine="3578" w:firstLineChars="1491"/>
        <w:rPr>
          <w:rFonts w:ascii="Times New Roman" w:hAnsi="Times New Roman"/>
          <w:color w:val="auto"/>
          <w:sz w:val="24"/>
          <w:highlight w:val="none"/>
        </w:rPr>
      </w:pPr>
      <w:r>
        <w:rPr>
          <w:rFonts w:ascii="Times New Roman" w:hAnsi="Times New Roman"/>
          <w:color w:val="auto"/>
          <w:sz w:val="24"/>
          <w:highlight w:val="none"/>
        </w:rPr>
        <w:t>日期：   年   月   日</w:t>
      </w:r>
    </w:p>
    <w:p>
      <w:pPr>
        <w:rPr>
          <w:rFonts w:ascii="Times New Roman" w:hAnsi="Times New Roman"/>
          <w:b/>
          <w:bCs/>
          <w:color w:val="auto"/>
          <w:sz w:val="28"/>
          <w:szCs w:val="28"/>
          <w:highlight w:val="none"/>
        </w:rPr>
      </w:pPr>
      <w:r>
        <w:rPr>
          <w:rFonts w:ascii="Times New Roman" w:hAnsi="Times New Roman"/>
          <w:b/>
          <w:bCs/>
          <w:color w:val="auto"/>
          <w:sz w:val="28"/>
          <w:szCs w:val="28"/>
          <w:highlight w:val="none"/>
        </w:rPr>
        <w:br w:type="page"/>
      </w: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r>
        <w:rPr>
          <w:rFonts w:ascii="Times New Roman" w:hAnsi="Times New Roman" w:eastAsia="宋体" w:cs="Times New Roman"/>
          <w:b/>
          <w:bCs/>
          <w:color w:val="auto"/>
          <w:sz w:val="28"/>
          <w:szCs w:val="28"/>
          <w:highlight w:val="none"/>
        </w:rPr>
        <w:t>1.</w:t>
      </w:r>
      <w:r>
        <w:rPr>
          <w:rFonts w:hint="eastAsia" w:ascii="Times New Roman" w:hAnsi="Times New Roman" w:eastAsia="宋体" w:cs="Times New Roman"/>
          <w:b/>
          <w:bCs/>
          <w:color w:val="auto"/>
          <w:sz w:val="28"/>
          <w:szCs w:val="28"/>
          <w:highlight w:val="none"/>
          <w:lang w:val="en-US" w:eastAsia="zh-CN"/>
        </w:rPr>
        <w:t>3</w:t>
      </w:r>
      <w:r>
        <w:rPr>
          <w:rFonts w:ascii="Times New Roman" w:hAnsi="Times New Roman" w:eastAsia="宋体" w:cs="Times New Roman"/>
          <w:b/>
          <w:bCs/>
          <w:color w:val="auto"/>
          <w:sz w:val="28"/>
          <w:szCs w:val="28"/>
          <w:highlight w:val="none"/>
        </w:rPr>
        <w:t>近年完成的类似项目情况表</w:t>
      </w:r>
      <w:bookmarkEnd w:id="196"/>
      <w:bookmarkEnd w:id="197"/>
      <w:bookmarkEnd w:id="198"/>
      <w:bookmarkEnd w:id="199"/>
      <w:bookmarkEnd w:id="200"/>
      <w:bookmarkEnd w:id="201"/>
      <w:bookmarkEnd w:id="202"/>
      <w:bookmarkEnd w:id="203"/>
      <w:bookmarkEnd w:id="204"/>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项目名称</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项目所在地</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发包人名称</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发包人地址</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发包人电话</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合同价格</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开工日期</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竣工日期</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承担的工作</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工程质量</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项目经理</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技术负责人</w:t>
            </w:r>
          </w:p>
        </w:tc>
        <w:tc>
          <w:tcPr>
            <w:tcW w:w="6253" w:type="dxa"/>
          </w:tcPr>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0"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项目描述</w:t>
            </w:r>
          </w:p>
        </w:tc>
        <w:tc>
          <w:tcPr>
            <w:tcW w:w="6253" w:type="dxa"/>
          </w:tcPr>
          <w:p>
            <w:pPr>
              <w:topLinePunct/>
              <w:spacing w:line="440" w:lineRule="exact"/>
              <w:rPr>
                <w:rFonts w:ascii="Times New Roman" w:hAnsi="Times New Roman" w:eastAsia="宋体" w:cs="Times New Roman"/>
                <w:color w:val="auto"/>
                <w:sz w:val="24"/>
                <w:szCs w:val="24"/>
                <w:highlight w:val="none"/>
              </w:rPr>
            </w:pPr>
          </w:p>
          <w:p>
            <w:pPr>
              <w:topLinePunct/>
              <w:spacing w:line="440" w:lineRule="exact"/>
              <w:rPr>
                <w:rFonts w:ascii="Times New Roman" w:hAnsi="Times New Roman" w:eastAsia="宋体" w:cs="Times New Roman"/>
                <w:color w:val="auto"/>
                <w:sz w:val="24"/>
                <w:szCs w:val="24"/>
                <w:highlight w:val="none"/>
              </w:rPr>
            </w:pPr>
          </w:p>
          <w:p>
            <w:pPr>
              <w:topLinePunct/>
              <w:spacing w:line="440" w:lineRule="exact"/>
              <w:rPr>
                <w:rFonts w:ascii="Times New Roman" w:hAnsi="Times New Roman" w:eastAsia="宋体" w:cs="Times New Roman"/>
                <w:color w:val="auto"/>
                <w:sz w:val="24"/>
                <w:szCs w:val="24"/>
                <w:highlight w:val="none"/>
              </w:rPr>
            </w:pPr>
          </w:p>
          <w:p>
            <w:pPr>
              <w:topLinePunct/>
              <w:spacing w:line="440" w:lineRule="exact"/>
              <w:rPr>
                <w:rFonts w:ascii="Times New Roman" w:hAnsi="Times New Roman" w:eastAsia="宋体" w:cs="Times New Roman"/>
                <w:color w:val="auto"/>
                <w:sz w:val="24"/>
                <w:szCs w:val="24"/>
                <w:highlight w:val="none"/>
              </w:rPr>
            </w:pPr>
          </w:p>
          <w:p>
            <w:pPr>
              <w:topLinePunct/>
              <w:spacing w:line="440" w:lineRule="exact"/>
              <w:rPr>
                <w:rFonts w:ascii="Times New Roman" w:hAnsi="Times New Roman" w:eastAsia="宋体" w:cs="Times New Roman"/>
                <w:color w:val="auto"/>
                <w:sz w:val="24"/>
                <w:szCs w:val="24"/>
                <w:highlight w:val="none"/>
              </w:rPr>
            </w:pPr>
          </w:p>
          <w:p>
            <w:pPr>
              <w:topLinePunct/>
              <w:spacing w:line="440" w:lineRule="exact"/>
              <w:rPr>
                <w:rFonts w:ascii="Times New Roman" w:hAnsi="Times New Roman" w:eastAsia="宋体" w:cs="Times New Roman"/>
                <w:color w:val="auto"/>
                <w:sz w:val="24"/>
                <w:szCs w:val="24"/>
                <w:highlight w:val="none"/>
              </w:rPr>
            </w:pPr>
          </w:p>
          <w:p>
            <w:pPr>
              <w:topLinePunct/>
              <w:spacing w:line="440" w:lineRule="exact"/>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备注</w:t>
            </w:r>
          </w:p>
        </w:tc>
        <w:tc>
          <w:tcPr>
            <w:tcW w:w="6253" w:type="dxa"/>
          </w:tcPr>
          <w:p>
            <w:pPr>
              <w:topLinePunct/>
              <w:spacing w:line="440" w:lineRule="exact"/>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按评审表要求提供证明材料。</w:t>
            </w:r>
          </w:p>
        </w:tc>
      </w:tr>
    </w:tbl>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205" w:name="_Toc247527851"/>
      <w:bookmarkStart w:id="206" w:name="_Toc247514303"/>
      <w:bookmarkStart w:id="207" w:name="_Toc144974879"/>
      <w:bookmarkStart w:id="208" w:name="_Toc300835227"/>
      <w:bookmarkStart w:id="209" w:name="_Toc152042600"/>
      <w:bookmarkStart w:id="210" w:name="_Toc152045811"/>
      <w:bookmarkStart w:id="211" w:name="_Toc27818"/>
      <w:r>
        <w:rPr>
          <w:rFonts w:ascii="Times New Roman" w:hAnsi="Times New Roman" w:eastAsia="宋体" w:cs="Times New Roman"/>
          <w:b/>
          <w:bCs/>
          <w:color w:val="auto"/>
          <w:sz w:val="28"/>
          <w:szCs w:val="28"/>
          <w:highlight w:val="none"/>
        </w:rPr>
        <w:br w:type="page"/>
      </w:r>
      <w:bookmarkStart w:id="212" w:name="_Toc15716"/>
      <w:bookmarkStart w:id="213" w:name="_Toc12338"/>
      <w:r>
        <w:rPr>
          <w:rFonts w:ascii="Times New Roman" w:hAnsi="Times New Roman" w:eastAsia="宋体" w:cs="Times New Roman"/>
          <w:b/>
          <w:bCs/>
          <w:color w:val="auto"/>
          <w:sz w:val="28"/>
          <w:szCs w:val="28"/>
          <w:highlight w:val="none"/>
        </w:rPr>
        <w:t>1.</w:t>
      </w:r>
      <w:bookmarkEnd w:id="205"/>
      <w:bookmarkEnd w:id="206"/>
      <w:bookmarkEnd w:id="207"/>
      <w:bookmarkEnd w:id="208"/>
      <w:bookmarkEnd w:id="209"/>
      <w:bookmarkEnd w:id="210"/>
      <w:r>
        <w:rPr>
          <w:rFonts w:hint="eastAsia" w:ascii="Times New Roman" w:hAnsi="Times New Roman" w:eastAsia="宋体" w:cs="Times New Roman"/>
          <w:b/>
          <w:bCs/>
          <w:color w:val="auto"/>
          <w:sz w:val="28"/>
          <w:szCs w:val="28"/>
          <w:highlight w:val="none"/>
          <w:lang w:val="en-US" w:eastAsia="zh-CN"/>
        </w:rPr>
        <w:t>4</w:t>
      </w:r>
      <w:r>
        <w:rPr>
          <w:rFonts w:ascii="Times New Roman" w:hAnsi="Times New Roman" w:eastAsia="宋体" w:cs="Times New Roman"/>
          <w:b/>
          <w:bCs/>
          <w:color w:val="auto"/>
          <w:sz w:val="28"/>
          <w:szCs w:val="28"/>
          <w:highlight w:val="none"/>
        </w:rPr>
        <w:t xml:space="preserve"> 企业管理体系认证情况</w:t>
      </w:r>
      <w:bookmarkEnd w:id="211"/>
      <w:bookmarkEnd w:id="212"/>
      <w:bookmarkEnd w:id="213"/>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214" w:name="_Toc300835231"/>
      <w:bookmarkStart w:id="215" w:name="_Toc11072"/>
      <w:bookmarkStart w:id="216" w:name="_Toc6074"/>
      <w:bookmarkStart w:id="217" w:name="_Toc17714"/>
      <w:bookmarkStart w:id="218" w:name="_Toc179632824"/>
      <w:bookmarkStart w:id="219" w:name="_Toc152045804"/>
      <w:bookmarkStart w:id="220" w:name="_Toc152042593"/>
      <w:bookmarkStart w:id="221" w:name="_Toc144974872"/>
      <w:bookmarkStart w:id="222" w:name="_Toc144974881"/>
      <w:bookmarkStart w:id="223" w:name="_Toc152045813"/>
      <w:bookmarkStart w:id="224" w:name="_Toc247530162"/>
      <w:bookmarkStart w:id="225" w:name="_Toc247514305"/>
      <w:bookmarkStart w:id="226" w:name="_Toc247527853"/>
      <w:bookmarkStart w:id="227" w:name="_Toc152042602"/>
      <w:r>
        <w:rPr>
          <w:rFonts w:ascii="Times New Roman" w:hAnsi="Times New Roman" w:eastAsia="宋体" w:cs="Times New Roman"/>
          <w:b/>
          <w:bCs/>
          <w:color w:val="auto"/>
          <w:sz w:val="28"/>
          <w:szCs w:val="28"/>
          <w:highlight w:val="none"/>
        </w:rPr>
        <w:t>1.</w:t>
      </w:r>
      <w:r>
        <w:rPr>
          <w:rFonts w:hint="eastAsia" w:ascii="Times New Roman" w:hAnsi="Times New Roman" w:eastAsia="宋体" w:cs="Times New Roman"/>
          <w:b/>
          <w:bCs/>
          <w:color w:val="auto"/>
          <w:sz w:val="28"/>
          <w:szCs w:val="28"/>
          <w:highlight w:val="none"/>
          <w:lang w:val="en-US" w:eastAsia="zh-CN"/>
        </w:rPr>
        <w:t>5</w:t>
      </w:r>
      <w:r>
        <w:rPr>
          <w:rFonts w:ascii="Times New Roman" w:hAnsi="Times New Roman" w:eastAsia="宋体" w:cs="Times New Roman"/>
          <w:b/>
          <w:bCs/>
          <w:color w:val="auto"/>
          <w:sz w:val="28"/>
          <w:szCs w:val="28"/>
          <w:highlight w:val="none"/>
        </w:rPr>
        <w:t>项目管理机构组成表</w:t>
      </w:r>
      <w:bookmarkEnd w:id="214"/>
      <w:bookmarkEnd w:id="215"/>
      <w:bookmarkEnd w:id="216"/>
      <w:bookmarkEnd w:id="217"/>
      <w:bookmarkEnd w:id="218"/>
      <w:bookmarkEnd w:id="219"/>
      <w:bookmarkEnd w:id="220"/>
      <w:bookmarkEnd w:id="221"/>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vMerge w:val="restart"/>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职务</w:t>
            </w:r>
          </w:p>
        </w:tc>
        <w:tc>
          <w:tcPr>
            <w:tcW w:w="721" w:type="dxa"/>
            <w:vMerge w:val="restart"/>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姓名</w:t>
            </w:r>
          </w:p>
        </w:tc>
        <w:tc>
          <w:tcPr>
            <w:tcW w:w="719" w:type="dxa"/>
            <w:vMerge w:val="restart"/>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职称</w:t>
            </w:r>
          </w:p>
        </w:tc>
        <w:tc>
          <w:tcPr>
            <w:tcW w:w="5763" w:type="dxa"/>
            <w:gridSpan w:val="5"/>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执业或职业资格证明</w:t>
            </w:r>
          </w:p>
        </w:tc>
        <w:tc>
          <w:tcPr>
            <w:tcW w:w="672" w:type="dxa"/>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vMerge w:val="continue"/>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p>
        </w:tc>
        <w:tc>
          <w:tcPr>
            <w:tcW w:w="721" w:type="dxa"/>
            <w:vMerge w:val="continue"/>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p>
        </w:tc>
        <w:tc>
          <w:tcPr>
            <w:tcW w:w="719" w:type="dxa"/>
            <w:vMerge w:val="continue"/>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p>
        </w:tc>
        <w:tc>
          <w:tcPr>
            <w:tcW w:w="1081" w:type="dxa"/>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证书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名称</w:t>
            </w:r>
          </w:p>
        </w:tc>
        <w:tc>
          <w:tcPr>
            <w:tcW w:w="719" w:type="dxa"/>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级别</w:t>
            </w:r>
          </w:p>
        </w:tc>
        <w:tc>
          <w:tcPr>
            <w:tcW w:w="721" w:type="dxa"/>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证号</w:t>
            </w:r>
          </w:p>
        </w:tc>
        <w:tc>
          <w:tcPr>
            <w:tcW w:w="719" w:type="dxa"/>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专业</w:t>
            </w:r>
          </w:p>
        </w:tc>
        <w:tc>
          <w:tcPr>
            <w:tcW w:w="2523" w:type="dxa"/>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养老保险</w:t>
            </w:r>
          </w:p>
        </w:tc>
        <w:tc>
          <w:tcPr>
            <w:tcW w:w="672" w:type="dxa"/>
            <w:shd w:val="clear" w:color="auto" w:fill="EAEAE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108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71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25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c>
          <w:tcPr>
            <w:tcW w:w="6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4"/>
                <w:szCs w:val="24"/>
                <w:highlight w:val="none"/>
              </w:rPr>
            </w:pPr>
          </w:p>
        </w:tc>
      </w:tr>
    </w:tbl>
    <w:p>
      <w:pPr>
        <w:rPr>
          <w:rFonts w:ascii="Times New Roman" w:hAnsi="Times New Roman" w:eastAsia="宋体" w:cs="Times New Roman"/>
          <w:color w:val="auto"/>
          <w:highlight w:val="none"/>
        </w:rPr>
      </w:pPr>
      <w:bookmarkStart w:id="228" w:name="_Toc144974873"/>
      <w:bookmarkStart w:id="229" w:name="_Toc152042594"/>
      <w:bookmarkStart w:id="230" w:name="_Toc152045805"/>
      <w:bookmarkStart w:id="231" w:name="_Toc179632825"/>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sectPr>
          <w:pgSz w:w="11905" w:h="16838"/>
          <w:pgMar w:top="1440" w:right="1800" w:bottom="1440" w:left="1800" w:header="850" w:footer="822" w:gutter="0"/>
          <w:cols w:space="720" w:num="1"/>
          <w:docGrid w:linePitch="318" w:charSpace="0"/>
        </w:sectPr>
      </w:pPr>
      <w:bookmarkStart w:id="232" w:name="_Toc15384"/>
      <w:bookmarkStart w:id="233" w:name="_Toc300835232"/>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234" w:name="_Toc667"/>
      <w:bookmarkStart w:id="235" w:name="_Toc8827"/>
      <w:r>
        <w:rPr>
          <w:rFonts w:ascii="Times New Roman" w:hAnsi="Times New Roman" w:eastAsia="宋体" w:cs="Times New Roman"/>
          <w:b/>
          <w:bCs/>
          <w:color w:val="auto"/>
          <w:sz w:val="28"/>
          <w:szCs w:val="28"/>
          <w:highlight w:val="none"/>
        </w:rPr>
        <w:t>1.</w:t>
      </w:r>
      <w:r>
        <w:rPr>
          <w:rFonts w:hint="eastAsia" w:ascii="Times New Roman" w:hAnsi="Times New Roman" w:eastAsia="宋体" w:cs="Times New Roman"/>
          <w:b/>
          <w:bCs/>
          <w:color w:val="auto"/>
          <w:sz w:val="28"/>
          <w:szCs w:val="28"/>
          <w:highlight w:val="none"/>
          <w:lang w:val="en-US" w:eastAsia="zh-CN"/>
        </w:rPr>
        <w:t>6</w:t>
      </w:r>
      <w:r>
        <w:rPr>
          <w:rFonts w:ascii="Times New Roman" w:hAnsi="Times New Roman" w:eastAsia="宋体" w:cs="Times New Roman"/>
          <w:b/>
          <w:bCs/>
          <w:color w:val="auto"/>
          <w:sz w:val="28"/>
          <w:szCs w:val="28"/>
          <w:highlight w:val="none"/>
        </w:rPr>
        <w:t>主要人员简历表</w:t>
      </w:r>
      <w:bookmarkEnd w:id="228"/>
      <w:bookmarkEnd w:id="229"/>
      <w:bookmarkEnd w:id="230"/>
      <w:bookmarkEnd w:id="231"/>
      <w:bookmarkEnd w:id="232"/>
      <w:bookmarkEnd w:id="233"/>
      <w:bookmarkEnd w:id="234"/>
      <w:bookmarkEnd w:id="235"/>
    </w:p>
    <w:tbl>
      <w:tblPr>
        <w:tblStyle w:val="38"/>
        <w:tblW w:w="8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722"/>
        <w:gridCol w:w="927"/>
        <w:gridCol w:w="1065"/>
        <w:gridCol w:w="415"/>
        <w:gridCol w:w="1418"/>
        <w:gridCol w:w="163"/>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姓  名</w:t>
            </w:r>
          </w:p>
        </w:tc>
        <w:tc>
          <w:tcPr>
            <w:tcW w:w="1079" w:type="dxa"/>
            <w:gridSpan w:val="2"/>
            <w:vAlign w:val="center"/>
          </w:tcPr>
          <w:p>
            <w:pPr>
              <w:spacing w:line="440" w:lineRule="exact"/>
              <w:jc w:val="left"/>
              <w:rPr>
                <w:rFonts w:ascii="Times New Roman" w:hAnsi="Times New Roman" w:eastAsia="宋体" w:cs="Times New Roman"/>
                <w:b/>
                <w:bCs/>
                <w:color w:val="auto"/>
                <w:sz w:val="24"/>
                <w:szCs w:val="24"/>
                <w:highlight w:val="none"/>
              </w:rPr>
            </w:pPr>
          </w:p>
        </w:tc>
        <w:tc>
          <w:tcPr>
            <w:tcW w:w="927" w:type="dxa"/>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年 龄</w:t>
            </w:r>
          </w:p>
        </w:tc>
        <w:tc>
          <w:tcPr>
            <w:tcW w:w="1065" w:type="dxa"/>
            <w:vAlign w:val="center"/>
          </w:tcPr>
          <w:p>
            <w:pPr>
              <w:spacing w:line="440" w:lineRule="exact"/>
              <w:jc w:val="left"/>
              <w:rPr>
                <w:rFonts w:ascii="Times New Roman" w:hAnsi="Times New Roman" w:eastAsia="宋体" w:cs="Times New Roman"/>
                <w:b/>
                <w:bCs/>
                <w:color w:val="auto"/>
                <w:sz w:val="24"/>
                <w:szCs w:val="24"/>
                <w:highlight w:val="none"/>
              </w:rPr>
            </w:pPr>
          </w:p>
        </w:tc>
        <w:tc>
          <w:tcPr>
            <w:tcW w:w="1996" w:type="dxa"/>
            <w:gridSpan w:val="3"/>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学历</w:t>
            </w:r>
          </w:p>
        </w:tc>
        <w:tc>
          <w:tcPr>
            <w:tcW w:w="2675" w:type="dxa"/>
            <w:vAlign w:val="center"/>
          </w:tcPr>
          <w:p>
            <w:pPr>
              <w:spacing w:line="440" w:lineRule="exact"/>
              <w:jc w:val="left"/>
              <w:rPr>
                <w:rFonts w:ascii="Times New Roman" w:hAnsi="Times New Roman" w:eastAsia="宋体"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职  称</w:t>
            </w:r>
          </w:p>
        </w:tc>
        <w:tc>
          <w:tcPr>
            <w:tcW w:w="1079" w:type="dxa"/>
            <w:gridSpan w:val="2"/>
            <w:vAlign w:val="center"/>
          </w:tcPr>
          <w:p>
            <w:pPr>
              <w:spacing w:line="440" w:lineRule="exact"/>
              <w:jc w:val="left"/>
              <w:rPr>
                <w:rFonts w:ascii="Times New Roman" w:hAnsi="Times New Roman" w:eastAsia="宋体" w:cs="Times New Roman"/>
                <w:b/>
                <w:bCs/>
                <w:color w:val="auto"/>
                <w:sz w:val="24"/>
                <w:szCs w:val="24"/>
                <w:highlight w:val="none"/>
              </w:rPr>
            </w:pPr>
          </w:p>
        </w:tc>
        <w:tc>
          <w:tcPr>
            <w:tcW w:w="927" w:type="dxa"/>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职 务</w:t>
            </w:r>
          </w:p>
        </w:tc>
        <w:tc>
          <w:tcPr>
            <w:tcW w:w="1065" w:type="dxa"/>
            <w:vAlign w:val="center"/>
          </w:tcPr>
          <w:p>
            <w:pPr>
              <w:spacing w:line="440" w:lineRule="exact"/>
              <w:jc w:val="left"/>
              <w:rPr>
                <w:rFonts w:ascii="Times New Roman" w:hAnsi="Times New Roman" w:eastAsia="宋体" w:cs="Times New Roman"/>
                <w:b/>
                <w:bCs/>
                <w:color w:val="auto"/>
                <w:sz w:val="24"/>
                <w:szCs w:val="24"/>
                <w:highlight w:val="none"/>
              </w:rPr>
            </w:pPr>
          </w:p>
        </w:tc>
        <w:tc>
          <w:tcPr>
            <w:tcW w:w="1996" w:type="dxa"/>
            <w:gridSpan w:val="3"/>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拟在本合同任职</w:t>
            </w:r>
          </w:p>
        </w:tc>
        <w:tc>
          <w:tcPr>
            <w:tcW w:w="2675" w:type="dxa"/>
            <w:vAlign w:val="center"/>
          </w:tcPr>
          <w:p>
            <w:pPr>
              <w:spacing w:line="440" w:lineRule="exact"/>
              <w:jc w:val="left"/>
              <w:rPr>
                <w:rFonts w:ascii="Times New Roman" w:hAnsi="Times New Roman" w:eastAsia="宋体"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毕业学校</w:t>
            </w:r>
          </w:p>
        </w:tc>
        <w:tc>
          <w:tcPr>
            <w:tcW w:w="7742" w:type="dxa"/>
            <w:gridSpan w:val="8"/>
            <w:vAlign w:val="center"/>
          </w:tcPr>
          <w:p>
            <w:pPr>
              <w:spacing w:line="440" w:lineRule="exact"/>
              <w:ind w:firstLine="1084" w:firstLineChars="450"/>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9" w:type="dxa"/>
            <w:gridSpan w:val="9"/>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44" w:type="dxa"/>
            <w:gridSpan w:val="2"/>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时  间</w:t>
            </w:r>
          </w:p>
        </w:tc>
        <w:tc>
          <w:tcPr>
            <w:tcW w:w="3129" w:type="dxa"/>
            <w:gridSpan w:val="4"/>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参加过的类似项目</w:t>
            </w:r>
          </w:p>
        </w:tc>
        <w:tc>
          <w:tcPr>
            <w:tcW w:w="1418" w:type="dxa"/>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担任职务</w:t>
            </w:r>
          </w:p>
        </w:tc>
        <w:tc>
          <w:tcPr>
            <w:tcW w:w="2838" w:type="dxa"/>
            <w:gridSpan w:val="2"/>
            <w:vAlign w:val="center"/>
          </w:tcPr>
          <w:p>
            <w:pPr>
              <w:spacing w:line="440" w:lineRule="exact"/>
              <w:jc w:val="left"/>
              <w:rPr>
                <w:rFonts w:ascii="Times New Roman" w:hAnsi="Times New Roman" w:eastAsia="宋体" w:cs="Times New Roman"/>
                <w:b/>
                <w:bCs/>
                <w:color w:val="auto"/>
                <w:sz w:val="24"/>
                <w:szCs w:val="24"/>
                <w:highlight w:val="none"/>
              </w:rPr>
            </w:pPr>
            <w:r>
              <w:rPr>
                <w:rFonts w:ascii="Times New Roman" w:hAnsi="Times New Roman" w:eastAsia="宋体" w:cs="Times New Roman"/>
                <w:b/>
                <w:bCs/>
                <w:color w:val="auto"/>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tcPr>
          <w:p>
            <w:pPr>
              <w:spacing w:line="440" w:lineRule="exact"/>
              <w:rPr>
                <w:rFonts w:ascii="Times New Roman" w:hAnsi="Times New Roman" w:eastAsia="黑体" w:cs="Times New Roman"/>
                <w:color w:val="auto"/>
                <w:sz w:val="24"/>
                <w:szCs w:val="24"/>
                <w:highlight w:val="none"/>
              </w:rPr>
            </w:pPr>
          </w:p>
        </w:tc>
        <w:tc>
          <w:tcPr>
            <w:tcW w:w="3129" w:type="dxa"/>
            <w:gridSpan w:val="4"/>
          </w:tcPr>
          <w:p>
            <w:pPr>
              <w:spacing w:line="440" w:lineRule="exact"/>
              <w:rPr>
                <w:rFonts w:ascii="Times New Roman" w:hAnsi="Times New Roman" w:eastAsia="黑体" w:cs="Times New Roman"/>
                <w:color w:val="auto"/>
                <w:sz w:val="24"/>
                <w:szCs w:val="24"/>
                <w:highlight w:val="none"/>
              </w:rPr>
            </w:pPr>
          </w:p>
        </w:tc>
        <w:tc>
          <w:tcPr>
            <w:tcW w:w="1418" w:type="dxa"/>
          </w:tcPr>
          <w:p>
            <w:pPr>
              <w:spacing w:line="440" w:lineRule="exact"/>
              <w:rPr>
                <w:rFonts w:ascii="Times New Roman" w:hAnsi="Times New Roman" w:eastAsia="黑体" w:cs="Times New Roman"/>
                <w:color w:val="auto"/>
                <w:sz w:val="24"/>
                <w:szCs w:val="24"/>
                <w:highlight w:val="none"/>
              </w:rPr>
            </w:pPr>
          </w:p>
        </w:tc>
        <w:tc>
          <w:tcPr>
            <w:tcW w:w="2838" w:type="dxa"/>
            <w:gridSpan w:val="2"/>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tcPr>
          <w:p>
            <w:pPr>
              <w:spacing w:line="440" w:lineRule="exact"/>
              <w:rPr>
                <w:rFonts w:ascii="Times New Roman" w:hAnsi="Times New Roman" w:eastAsia="黑体" w:cs="Times New Roman"/>
                <w:color w:val="auto"/>
                <w:sz w:val="24"/>
                <w:szCs w:val="24"/>
                <w:highlight w:val="none"/>
              </w:rPr>
            </w:pPr>
          </w:p>
        </w:tc>
        <w:tc>
          <w:tcPr>
            <w:tcW w:w="3129" w:type="dxa"/>
            <w:gridSpan w:val="4"/>
          </w:tcPr>
          <w:p>
            <w:pPr>
              <w:spacing w:line="440" w:lineRule="exact"/>
              <w:rPr>
                <w:rFonts w:ascii="Times New Roman" w:hAnsi="Times New Roman" w:eastAsia="黑体" w:cs="Times New Roman"/>
                <w:color w:val="auto"/>
                <w:sz w:val="24"/>
                <w:szCs w:val="24"/>
                <w:highlight w:val="none"/>
              </w:rPr>
            </w:pPr>
          </w:p>
        </w:tc>
        <w:tc>
          <w:tcPr>
            <w:tcW w:w="1418" w:type="dxa"/>
          </w:tcPr>
          <w:p>
            <w:pPr>
              <w:spacing w:line="440" w:lineRule="exact"/>
              <w:rPr>
                <w:rFonts w:ascii="Times New Roman" w:hAnsi="Times New Roman" w:eastAsia="黑体" w:cs="Times New Roman"/>
                <w:color w:val="auto"/>
                <w:sz w:val="24"/>
                <w:szCs w:val="24"/>
                <w:highlight w:val="none"/>
              </w:rPr>
            </w:pPr>
          </w:p>
        </w:tc>
        <w:tc>
          <w:tcPr>
            <w:tcW w:w="2838" w:type="dxa"/>
            <w:gridSpan w:val="2"/>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tcPr>
          <w:p>
            <w:pPr>
              <w:spacing w:line="440" w:lineRule="exact"/>
              <w:rPr>
                <w:rFonts w:ascii="Times New Roman" w:hAnsi="Times New Roman" w:eastAsia="黑体" w:cs="Times New Roman"/>
                <w:color w:val="auto"/>
                <w:sz w:val="24"/>
                <w:szCs w:val="24"/>
                <w:highlight w:val="none"/>
              </w:rPr>
            </w:pPr>
          </w:p>
        </w:tc>
        <w:tc>
          <w:tcPr>
            <w:tcW w:w="3129" w:type="dxa"/>
            <w:gridSpan w:val="4"/>
          </w:tcPr>
          <w:p>
            <w:pPr>
              <w:spacing w:line="440" w:lineRule="exact"/>
              <w:rPr>
                <w:rFonts w:ascii="Times New Roman" w:hAnsi="Times New Roman" w:eastAsia="黑体" w:cs="Times New Roman"/>
                <w:color w:val="auto"/>
                <w:sz w:val="24"/>
                <w:szCs w:val="24"/>
                <w:highlight w:val="none"/>
              </w:rPr>
            </w:pPr>
          </w:p>
        </w:tc>
        <w:tc>
          <w:tcPr>
            <w:tcW w:w="1418" w:type="dxa"/>
          </w:tcPr>
          <w:p>
            <w:pPr>
              <w:spacing w:line="440" w:lineRule="exact"/>
              <w:rPr>
                <w:rFonts w:ascii="Times New Roman" w:hAnsi="Times New Roman" w:eastAsia="黑体" w:cs="Times New Roman"/>
                <w:color w:val="auto"/>
                <w:sz w:val="24"/>
                <w:szCs w:val="24"/>
                <w:highlight w:val="none"/>
              </w:rPr>
            </w:pPr>
          </w:p>
        </w:tc>
        <w:tc>
          <w:tcPr>
            <w:tcW w:w="2838" w:type="dxa"/>
            <w:gridSpan w:val="2"/>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1544" w:type="dxa"/>
            <w:gridSpan w:val="2"/>
            <w:vAlign w:val="center"/>
          </w:tcPr>
          <w:p>
            <w:pPr>
              <w:spacing w:line="440" w:lineRule="exact"/>
              <w:rPr>
                <w:rFonts w:ascii="Times New Roman" w:hAnsi="Times New Roman" w:eastAsia="黑体" w:cs="Times New Roman"/>
                <w:color w:val="auto"/>
                <w:sz w:val="24"/>
                <w:szCs w:val="24"/>
                <w:highlight w:val="none"/>
              </w:rPr>
            </w:pPr>
          </w:p>
        </w:tc>
        <w:tc>
          <w:tcPr>
            <w:tcW w:w="3129" w:type="dxa"/>
            <w:gridSpan w:val="4"/>
            <w:vAlign w:val="center"/>
          </w:tcPr>
          <w:p>
            <w:pPr>
              <w:spacing w:line="440" w:lineRule="exact"/>
              <w:rPr>
                <w:rFonts w:ascii="Times New Roman" w:hAnsi="Times New Roman" w:eastAsia="黑体" w:cs="Times New Roman"/>
                <w:color w:val="auto"/>
                <w:sz w:val="24"/>
                <w:szCs w:val="24"/>
                <w:highlight w:val="none"/>
              </w:rPr>
            </w:pPr>
          </w:p>
        </w:tc>
        <w:tc>
          <w:tcPr>
            <w:tcW w:w="1418" w:type="dxa"/>
            <w:vAlign w:val="center"/>
          </w:tcPr>
          <w:p>
            <w:pPr>
              <w:spacing w:line="440" w:lineRule="exact"/>
              <w:rPr>
                <w:rFonts w:ascii="Times New Roman" w:hAnsi="Times New Roman" w:eastAsia="黑体" w:cs="Times New Roman"/>
                <w:color w:val="auto"/>
                <w:sz w:val="24"/>
                <w:szCs w:val="24"/>
                <w:highlight w:val="none"/>
              </w:rPr>
            </w:pPr>
          </w:p>
        </w:tc>
        <w:tc>
          <w:tcPr>
            <w:tcW w:w="2838" w:type="dxa"/>
            <w:gridSpan w:val="2"/>
            <w:vAlign w:val="center"/>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vAlign w:val="center"/>
          </w:tcPr>
          <w:p>
            <w:pPr>
              <w:spacing w:line="440" w:lineRule="exact"/>
              <w:rPr>
                <w:rFonts w:ascii="Times New Roman" w:hAnsi="Times New Roman" w:eastAsia="黑体" w:cs="Times New Roman"/>
                <w:color w:val="auto"/>
                <w:sz w:val="24"/>
                <w:szCs w:val="24"/>
                <w:highlight w:val="none"/>
              </w:rPr>
            </w:pPr>
          </w:p>
        </w:tc>
        <w:tc>
          <w:tcPr>
            <w:tcW w:w="3129" w:type="dxa"/>
            <w:gridSpan w:val="4"/>
            <w:vAlign w:val="center"/>
          </w:tcPr>
          <w:p>
            <w:pPr>
              <w:spacing w:line="440" w:lineRule="exact"/>
              <w:rPr>
                <w:rFonts w:ascii="Times New Roman" w:hAnsi="Times New Roman" w:eastAsia="黑体" w:cs="Times New Roman"/>
                <w:color w:val="auto"/>
                <w:sz w:val="24"/>
                <w:szCs w:val="24"/>
                <w:highlight w:val="none"/>
              </w:rPr>
            </w:pPr>
          </w:p>
        </w:tc>
        <w:tc>
          <w:tcPr>
            <w:tcW w:w="1418" w:type="dxa"/>
            <w:vAlign w:val="center"/>
          </w:tcPr>
          <w:p>
            <w:pPr>
              <w:spacing w:line="440" w:lineRule="exact"/>
              <w:rPr>
                <w:rFonts w:ascii="Times New Roman" w:hAnsi="Times New Roman" w:eastAsia="黑体" w:cs="Times New Roman"/>
                <w:color w:val="auto"/>
                <w:sz w:val="24"/>
                <w:szCs w:val="24"/>
                <w:highlight w:val="none"/>
              </w:rPr>
            </w:pPr>
          </w:p>
        </w:tc>
        <w:tc>
          <w:tcPr>
            <w:tcW w:w="2838" w:type="dxa"/>
            <w:gridSpan w:val="2"/>
            <w:vAlign w:val="center"/>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vAlign w:val="center"/>
          </w:tcPr>
          <w:p>
            <w:pPr>
              <w:spacing w:line="440" w:lineRule="exact"/>
              <w:rPr>
                <w:rFonts w:ascii="Times New Roman" w:hAnsi="Times New Roman" w:eastAsia="黑体" w:cs="Times New Roman"/>
                <w:color w:val="auto"/>
                <w:sz w:val="24"/>
                <w:szCs w:val="24"/>
                <w:highlight w:val="none"/>
              </w:rPr>
            </w:pPr>
          </w:p>
        </w:tc>
        <w:tc>
          <w:tcPr>
            <w:tcW w:w="3129" w:type="dxa"/>
            <w:gridSpan w:val="4"/>
            <w:vAlign w:val="center"/>
          </w:tcPr>
          <w:p>
            <w:pPr>
              <w:spacing w:line="440" w:lineRule="exact"/>
              <w:rPr>
                <w:rFonts w:ascii="Times New Roman" w:hAnsi="Times New Roman" w:eastAsia="黑体" w:cs="Times New Roman"/>
                <w:color w:val="auto"/>
                <w:sz w:val="24"/>
                <w:szCs w:val="24"/>
                <w:highlight w:val="none"/>
              </w:rPr>
            </w:pPr>
          </w:p>
        </w:tc>
        <w:tc>
          <w:tcPr>
            <w:tcW w:w="1418" w:type="dxa"/>
            <w:vAlign w:val="center"/>
          </w:tcPr>
          <w:p>
            <w:pPr>
              <w:spacing w:line="440" w:lineRule="exact"/>
              <w:rPr>
                <w:rFonts w:ascii="Times New Roman" w:hAnsi="Times New Roman" w:eastAsia="黑体" w:cs="Times New Roman"/>
                <w:color w:val="auto"/>
                <w:sz w:val="24"/>
                <w:szCs w:val="24"/>
                <w:highlight w:val="none"/>
              </w:rPr>
            </w:pPr>
          </w:p>
        </w:tc>
        <w:tc>
          <w:tcPr>
            <w:tcW w:w="2838" w:type="dxa"/>
            <w:gridSpan w:val="2"/>
            <w:vAlign w:val="center"/>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vAlign w:val="center"/>
          </w:tcPr>
          <w:p>
            <w:pPr>
              <w:spacing w:line="440" w:lineRule="exact"/>
              <w:rPr>
                <w:rFonts w:ascii="Times New Roman" w:hAnsi="Times New Roman" w:eastAsia="黑体" w:cs="Times New Roman"/>
                <w:color w:val="auto"/>
                <w:sz w:val="24"/>
                <w:szCs w:val="24"/>
                <w:highlight w:val="none"/>
              </w:rPr>
            </w:pPr>
          </w:p>
        </w:tc>
        <w:tc>
          <w:tcPr>
            <w:tcW w:w="3129" w:type="dxa"/>
            <w:gridSpan w:val="4"/>
            <w:vAlign w:val="center"/>
          </w:tcPr>
          <w:p>
            <w:pPr>
              <w:spacing w:line="440" w:lineRule="exact"/>
              <w:rPr>
                <w:rFonts w:ascii="Times New Roman" w:hAnsi="Times New Roman" w:eastAsia="黑体" w:cs="Times New Roman"/>
                <w:color w:val="auto"/>
                <w:sz w:val="24"/>
                <w:szCs w:val="24"/>
                <w:highlight w:val="none"/>
              </w:rPr>
            </w:pPr>
          </w:p>
        </w:tc>
        <w:tc>
          <w:tcPr>
            <w:tcW w:w="1418" w:type="dxa"/>
            <w:vAlign w:val="center"/>
          </w:tcPr>
          <w:p>
            <w:pPr>
              <w:spacing w:line="440" w:lineRule="exact"/>
              <w:rPr>
                <w:rFonts w:ascii="Times New Roman" w:hAnsi="Times New Roman" w:eastAsia="黑体" w:cs="Times New Roman"/>
                <w:color w:val="auto"/>
                <w:sz w:val="24"/>
                <w:szCs w:val="24"/>
                <w:highlight w:val="none"/>
              </w:rPr>
            </w:pPr>
          </w:p>
        </w:tc>
        <w:tc>
          <w:tcPr>
            <w:tcW w:w="2838" w:type="dxa"/>
            <w:gridSpan w:val="2"/>
            <w:vAlign w:val="center"/>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vAlign w:val="center"/>
          </w:tcPr>
          <w:p>
            <w:pPr>
              <w:spacing w:line="440" w:lineRule="exact"/>
              <w:rPr>
                <w:rFonts w:ascii="Times New Roman" w:hAnsi="Times New Roman" w:eastAsia="黑体" w:cs="Times New Roman"/>
                <w:color w:val="auto"/>
                <w:sz w:val="24"/>
                <w:szCs w:val="24"/>
                <w:highlight w:val="none"/>
              </w:rPr>
            </w:pPr>
          </w:p>
        </w:tc>
        <w:tc>
          <w:tcPr>
            <w:tcW w:w="3129" w:type="dxa"/>
            <w:gridSpan w:val="4"/>
            <w:vAlign w:val="center"/>
          </w:tcPr>
          <w:p>
            <w:pPr>
              <w:spacing w:line="440" w:lineRule="exact"/>
              <w:rPr>
                <w:rFonts w:ascii="Times New Roman" w:hAnsi="Times New Roman" w:eastAsia="黑体" w:cs="Times New Roman"/>
                <w:color w:val="auto"/>
                <w:sz w:val="24"/>
                <w:szCs w:val="24"/>
                <w:highlight w:val="none"/>
              </w:rPr>
            </w:pPr>
          </w:p>
        </w:tc>
        <w:tc>
          <w:tcPr>
            <w:tcW w:w="1418" w:type="dxa"/>
            <w:vAlign w:val="center"/>
          </w:tcPr>
          <w:p>
            <w:pPr>
              <w:spacing w:line="440" w:lineRule="exact"/>
              <w:rPr>
                <w:rFonts w:ascii="Times New Roman" w:hAnsi="Times New Roman" w:eastAsia="黑体" w:cs="Times New Roman"/>
                <w:color w:val="auto"/>
                <w:sz w:val="24"/>
                <w:szCs w:val="24"/>
                <w:highlight w:val="none"/>
              </w:rPr>
            </w:pPr>
          </w:p>
        </w:tc>
        <w:tc>
          <w:tcPr>
            <w:tcW w:w="2838" w:type="dxa"/>
            <w:gridSpan w:val="2"/>
            <w:vAlign w:val="center"/>
          </w:tcPr>
          <w:p>
            <w:pPr>
              <w:spacing w:line="440" w:lineRule="exact"/>
              <w:rPr>
                <w:rFonts w:ascii="Times New Roman" w:hAnsi="Times New Roman" w:eastAsia="黑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44" w:type="dxa"/>
            <w:gridSpan w:val="2"/>
            <w:vAlign w:val="center"/>
          </w:tcPr>
          <w:p>
            <w:pPr>
              <w:spacing w:line="440" w:lineRule="exact"/>
              <w:rPr>
                <w:rFonts w:ascii="Times New Roman" w:hAnsi="Times New Roman" w:eastAsia="黑体" w:cs="Times New Roman"/>
                <w:color w:val="auto"/>
                <w:sz w:val="24"/>
                <w:szCs w:val="24"/>
                <w:highlight w:val="none"/>
              </w:rPr>
            </w:pPr>
          </w:p>
        </w:tc>
        <w:tc>
          <w:tcPr>
            <w:tcW w:w="3129" w:type="dxa"/>
            <w:gridSpan w:val="4"/>
            <w:vAlign w:val="center"/>
          </w:tcPr>
          <w:p>
            <w:pPr>
              <w:spacing w:line="440" w:lineRule="exact"/>
              <w:rPr>
                <w:rFonts w:ascii="Times New Roman" w:hAnsi="Times New Roman" w:eastAsia="黑体" w:cs="Times New Roman"/>
                <w:color w:val="auto"/>
                <w:sz w:val="24"/>
                <w:szCs w:val="24"/>
                <w:highlight w:val="none"/>
              </w:rPr>
            </w:pPr>
          </w:p>
        </w:tc>
        <w:tc>
          <w:tcPr>
            <w:tcW w:w="1418" w:type="dxa"/>
            <w:vAlign w:val="center"/>
          </w:tcPr>
          <w:p>
            <w:pPr>
              <w:spacing w:line="440" w:lineRule="exact"/>
              <w:rPr>
                <w:rFonts w:ascii="Times New Roman" w:hAnsi="Times New Roman" w:eastAsia="黑体" w:cs="Times New Roman"/>
                <w:color w:val="auto"/>
                <w:sz w:val="24"/>
                <w:szCs w:val="24"/>
                <w:highlight w:val="none"/>
              </w:rPr>
            </w:pPr>
          </w:p>
          <w:bookmarkEnd w:id="222"/>
          <w:bookmarkEnd w:id="223"/>
          <w:bookmarkEnd w:id="224"/>
          <w:bookmarkEnd w:id="225"/>
          <w:bookmarkEnd w:id="226"/>
          <w:bookmarkEnd w:id="227"/>
        </w:tc>
        <w:tc>
          <w:tcPr>
            <w:tcW w:w="2838" w:type="dxa"/>
            <w:gridSpan w:val="2"/>
            <w:vAlign w:val="center"/>
          </w:tcPr>
          <w:p>
            <w:pPr>
              <w:spacing w:line="440" w:lineRule="exact"/>
              <w:rPr>
                <w:rFonts w:ascii="Times New Roman" w:hAnsi="Times New Roman" w:eastAsia="黑体" w:cs="Times New Roman"/>
                <w:color w:val="auto"/>
                <w:sz w:val="24"/>
                <w:szCs w:val="24"/>
                <w:highlight w:val="none"/>
              </w:rPr>
            </w:pPr>
          </w:p>
        </w:tc>
      </w:tr>
    </w:tbl>
    <w:p>
      <w:pPr>
        <w:numPr>
          <w:ilvl w:val="0"/>
          <w:numId w:val="23"/>
        </w:numPr>
        <w:spacing w:before="72" w:after="72" w:line="360" w:lineRule="auto"/>
        <w:jc w:val="center"/>
        <w:rPr>
          <w:rFonts w:ascii="Times New Roman" w:hAnsi="Times New Roman" w:eastAsia="宋体" w:cs="Times New Roman"/>
          <w:b/>
          <w:color w:val="auto"/>
          <w:kern w:val="44"/>
          <w:sz w:val="24"/>
          <w:szCs w:val="24"/>
          <w:highlight w:val="none"/>
        </w:rPr>
        <w:sectPr>
          <w:pgSz w:w="11905" w:h="16838"/>
          <w:pgMar w:top="1440" w:right="1800" w:bottom="1440" w:left="1800" w:header="850" w:footer="822" w:gutter="0"/>
          <w:cols w:space="720" w:num="1"/>
          <w:docGrid w:linePitch="318" w:charSpace="0"/>
        </w:sectPr>
      </w:pPr>
    </w:p>
    <w:p>
      <w:pPr>
        <w:keepNext/>
        <w:keepLines/>
        <w:numPr>
          <w:ilvl w:val="3"/>
          <w:numId w:val="0"/>
        </w:numPr>
        <w:spacing w:before="120" w:beforeLines="50" w:after="120" w:afterLines="50" w:line="360" w:lineRule="auto"/>
        <w:jc w:val="center"/>
        <w:outlineLvl w:val="3"/>
        <w:rPr>
          <w:rFonts w:ascii="Times New Roman" w:hAnsi="Times New Roman" w:eastAsia="宋体" w:cs="Times New Roman"/>
          <w:b/>
          <w:bCs/>
          <w:color w:val="auto"/>
          <w:sz w:val="28"/>
          <w:szCs w:val="28"/>
          <w:highlight w:val="none"/>
        </w:rPr>
      </w:pPr>
      <w:bookmarkStart w:id="236" w:name="_Toc27115"/>
      <w:bookmarkStart w:id="237" w:name="_Toc27848"/>
      <w:bookmarkStart w:id="238" w:name="_Toc27190"/>
      <w:bookmarkStart w:id="239" w:name="_Toc27477"/>
      <w:bookmarkStart w:id="240" w:name="_Toc19115"/>
      <w:bookmarkStart w:id="241" w:name="_Toc10785"/>
      <w:bookmarkStart w:id="242" w:name="_Toc381489446"/>
      <w:bookmarkStart w:id="243" w:name="_Toc196294636"/>
      <w:r>
        <w:rPr>
          <w:rFonts w:ascii="Times New Roman" w:hAnsi="Times New Roman" w:eastAsia="宋体" w:cs="Times New Roman"/>
          <w:b/>
          <w:bCs/>
          <w:color w:val="auto"/>
          <w:sz w:val="28"/>
          <w:szCs w:val="28"/>
          <w:highlight w:val="none"/>
        </w:rPr>
        <w:t>1.</w:t>
      </w:r>
      <w:r>
        <w:rPr>
          <w:rFonts w:hint="eastAsia" w:ascii="Times New Roman" w:hAnsi="Times New Roman" w:eastAsia="宋体" w:cs="Times New Roman"/>
          <w:b/>
          <w:bCs/>
          <w:color w:val="auto"/>
          <w:sz w:val="28"/>
          <w:szCs w:val="28"/>
          <w:highlight w:val="none"/>
          <w:lang w:val="en-US" w:eastAsia="zh-CN"/>
        </w:rPr>
        <w:t>7</w:t>
      </w:r>
      <w:r>
        <w:rPr>
          <w:rFonts w:ascii="Times New Roman" w:hAnsi="Times New Roman" w:eastAsia="宋体" w:cs="Times New Roman"/>
          <w:b/>
          <w:bCs/>
          <w:color w:val="auto"/>
          <w:sz w:val="28"/>
          <w:szCs w:val="28"/>
          <w:highlight w:val="none"/>
        </w:rPr>
        <w:t xml:space="preserve"> 施工组织设计</w:t>
      </w:r>
      <w:bookmarkEnd w:id="236"/>
      <w:bookmarkEnd w:id="237"/>
      <w:bookmarkEnd w:id="238"/>
      <w:bookmarkEnd w:id="239"/>
      <w:bookmarkEnd w:id="240"/>
      <w:bookmarkEnd w:id="241"/>
    </w:p>
    <w:p>
      <w:pPr>
        <w:tabs>
          <w:tab w:val="left" w:pos="1322"/>
        </w:tabs>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val="en-GB"/>
        </w:rPr>
        <w:t>施工组织设计必须科学合理、真实可行，能充分体现出自身技术和专业优势。其</w:t>
      </w:r>
      <w:r>
        <w:rPr>
          <w:rFonts w:ascii="Times New Roman" w:hAnsi="Times New Roman" w:eastAsia="宋体" w:cs="Times New Roman"/>
          <w:color w:val="auto"/>
          <w:sz w:val="24"/>
          <w:highlight w:val="none"/>
        </w:rPr>
        <w:t>要点和</w:t>
      </w:r>
      <w:r>
        <w:rPr>
          <w:rFonts w:ascii="Times New Roman" w:hAnsi="Times New Roman" w:eastAsia="宋体" w:cs="Times New Roman"/>
          <w:color w:val="auto"/>
          <w:sz w:val="24"/>
          <w:highlight w:val="none"/>
          <w:lang w:val="en-GB"/>
        </w:rPr>
        <w:t>主要内容为：</w:t>
      </w:r>
    </w:p>
    <w:p>
      <w:pPr>
        <w:numPr>
          <w:ilvl w:val="0"/>
          <w:numId w:val="24"/>
        </w:numPr>
        <w:tabs>
          <w:tab w:val="left" w:pos="1322"/>
        </w:tabs>
        <w:spacing w:line="360" w:lineRule="auto"/>
        <w:rPr>
          <w:rFonts w:ascii="Times New Roman" w:hAnsi="Times New Roman" w:eastAsia="宋体" w:cs="Times New Roman"/>
          <w:color w:val="auto"/>
          <w:sz w:val="24"/>
          <w:highlight w:val="none"/>
          <w:lang w:val="en-GB"/>
        </w:rPr>
      </w:pPr>
      <w:r>
        <w:rPr>
          <w:rFonts w:hint="eastAsia" w:ascii="Times New Roman" w:hAnsi="Times New Roman" w:eastAsia="宋体" w:cs="Times New Roman"/>
          <w:color w:val="auto"/>
          <w:sz w:val="24"/>
          <w:highlight w:val="none"/>
          <w:lang w:val="en-GB"/>
        </w:rPr>
        <w:t>对工程重点、难点的分析及对策</w:t>
      </w:r>
      <w:r>
        <w:rPr>
          <w:rFonts w:ascii="Times New Roman" w:hAnsi="Times New Roman" w:eastAsia="宋体" w:cs="Times New Roman"/>
          <w:color w:val="auto"/>
          <w:sz w:val="24"/>
          <w:highlight w:val="none"/>
          <w:lang w:val="en-GB"/>
        </w:rPr>
        <w:t>；</w:t>
      </w:r>
    </w:p>
    <w:p>
      <w:pPr>
        <w:numPr>
          <w:ilvl w:val="0"/>
          <w:numId w:val="24"/>
        </w:numPr>
        <w:tabs>
          <w:tab w:val="left" w:pos="1322"/>
        </w:tabs>
        <w:spacing w:line="360" w:lineRule="auto"/>
        <w:rPr>
          <w:rFonts w:ascii="Times New Roman" w:hAnsi="Times New Roman" w:eastAsia="宋体" w:cs="Times New Roman"/>
          <w:color w:val="auto"/>
          <w:sz w:val="24"/>
          <w:highlight w:val="none"/>
          <w:lang w:val="en-GB"/>
        </w:rPr>
      </w:pPr>
      <w:r>
        <w:rPr>
          <w:rFonts w:ascii="Times New Roman" w:hAnsi="Times New Roman" w:eastAsia="宋体" w:cs="Times New Roman"/>
          <w:color w:val="auto"/>
          <w:sz w:val="24"/>
          <w:highlight w:val="none"/>
          <w:lang w:val="en-GB"/>
        </w:rPr>
        <w:t>施工进度计划；</w:t>
      </w:r>
    </w:p>
    <w:p>
      <w:pPr>
        <w:numPr>
          <w:ilvl w:val="0"/>
          <w:numId w:val="24"/>
        </w:numPr>
        <w:tabs>
          <w:tab w:val="left" w:pos="1322"/>
        </w:tabs>
        <w:spacing w:line="360" w:lineRule="auto"/>
        <w:rPr>
          <w:rFonts w:ascii="Times New Roman" w:hAnsi="Times New Roman" w:eastAsia="宋体" w:cs="Times New Roman"/>
          <w:color w:val="auto"/>
          <w:sz w:val="24"/>
          <w:highlight w:val="none"/>
          <w:lang w:val="en-GB"/>
        </w:rPr>
      </w:pPr>
      <w:r>
        <w:rPr>
          <w:rFonts w:ascii="Times New Roman" w:hAnsi="Times New Roman" w:eastAsia="宋体" w:cs="Times New Roman"/>
          <w:color w:val="auto"/>
          <w:sz w:val="24"/>
          <w:highlight w:val="none"/>
          <w:lang w:val="en-GB"/>
        </w:rPr>
        <w:t>所选用的主要材料及设备；</w:t>
      </w:r>
    </w:p>
    <w:p>
      <w:pPr>
        <w:topLinePunct/>
        <w:adjustRightInd w:val="0"/>
        <w:snapToGrid w:val="0"/>
        <w:spacing w:line="360" w:lineRule="auto"/>
        <w:jc w:val="center"/>
        <w:rPr>
          <w:rFonts w:ascii="Times New Roman" w:hAnsi="Times New Roman" w:eastAsia="Times New Roman" w:cs="Times New Roman"/>
          <w:color w:val="auto"/>
          <w:spacing w:val="4"/>
          <w:kern w:val="0"/>
          <w:sz w:val="36"/>
          <w:szCs w:val="20"/>
          <w:highlight w:val="none"/>
        </w:rPr>
      </w:pPr>
      <w:r>
        <w:rPr>
          <w:rFonts w:ascii="Times New Roman" w:hAnsi="Times New Roman" w:eastAsia="黑体" w:cs="Times New Roman"/>
          <w:color w:val="auto"/>
          <w:spacing w:val="4"/>
          <w:kern w:val="0"/>
          <w:sz w:val="36"/>
          <w:szCs w:val="20"/>
          <w:highlight w:val="none"/>
        </w:rPr>
        <w:t>主要材料品牌厂家明细表</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2233"/>
        <w:gridCol w:w="1319"/>
        <w:gridCol w:w="240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Times New Roman" w:hAnsi="Times New Roman" w:eastAsia="宋体" w:cs="Times New Roman"/>
                <w:snapToGrid w:val="0"/>
                <w:color w:val="auto"/>
                <w:kern w:val="0"/>
                <w:sz w:val="24"/>
                <w:szCs w:val="24"/>
                <w:highlight w:val="none"/>
              </w:rPr>
            </w:pPr>
            <w:r>
              <w:rPr>
                <w:rFonts w:ascii="Times New Roman" w:hAnsi="Times New Roman" w:eastAsia="宋体" w:cs="Times New Roman"/>
                <w:snapToGrid w:val="0"/>
                <w:color w:val="auto"/>
                <w:kern w:val="0"/>
                <w:sz w:val="24"/>
                <w:szCs w:val="24"/>
                <w:highlight w:val="none"/>
              </w:rPr>
              <w:t>序号</w:t>
            </w:r>
          </w:p>
        </w:tc>
        <w:tc>
          <w:tcPr>
            <w:tcW w:w="131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Times New Roman" w:hAnsi="Times New Roman" w:eastAsia="宋体" w:cs="Times New Roman"/>
                <w:snapToGrid w:val="0"/>
                <w:color w:val="auto"/>
                <w:kern w:val="0"/>
                <w:sz w:val="24"/>
                <w:szCs w:val="24"/>
                <w:highlight w:val="none"/>
              </w:rPr>
            </w:pPr>
            <w:r>
              <w:rPr>
                <w:rFonts w:ascii="Times New Roman" w:hAnsi="Times New Roman" w:eastAsia="宋体" w:cs="Times New Roman"/>
                <w:snapToGrid w:val="0"/>
                <w:color w:val="auto"/>
                <w:kern w:val="0"/>
                <w:sz w:val="24"/>
                <w:szCs w:val="24"/>
                <w:highlight w:val="none"/>
              </w:rPr>
              <w:t>材料、设备名称</w:t>
            </w:r>
          </w:p>
        </w:tc>
        <w:tc>
          <w:tcPr>
            <w:tcW w:w="77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Times New Roman" w:hAnsi="Times New Roman" w:eastAsia="宋体" w:cs="Times New Roman"/>
                <w:snapToGrid w:val="0"/>
                <w:color w:val="auto"/>
                <w:kern w:val="0"/>
                <w:sz w:val="24"/>
                <w:szCs w:val="24"/>
                <w:highlight w:val="none"/>
              </w:rPr>
            </w:pPr>
            <w:r>
              <w:rPr>
                <w:rFonts w:hint="eastAsia" w:ascii="Times New Roman" w:hAnsi="Times New Roman" w:eastAsia="宋体" w:cs="Times New Roman"/>
                <w:snapToGrid w:val="0"/>
                <w:color w:val="auto"/>
                <w:kern w:val="0"/>
                <w:sz w:val="24"/>
                <w:szCs w:val="24"/>
                <w:highlight w:val="none"/>
              </w:rPr>
              <w:t>规格型号</w:t>
            </w:r>
          </w:p>
        </w:tc>
        <w:tc>
          <w:tcPr>
            <w:tcW w:w="14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Times New Roman" w:hAnsi="Times New Roman" w:eastAsia="宋体" w:cs="Times New Roman"/>
                <w:snapToGrid w:val="0"/>
                <w:color w:val="auto"/>
                <w:kern w:val="0"/>
                <w:sz w:val="24"/>
                <w:szCs w:val="24"/>
                <w:highlight w:val="none"/>
              </w:rPr>
            </w:pPr>
            <w:r>
              <w:rPr>
                <w:rFonts w:ascii="Times New Roman" w:hAnsi="Times New Roman" w:eastAsia="宋体" w:cs="Times New Roman"/>
                <w:snapToGrid w:val="0"/>
                <w:color w:val="auto"/>
                <w:kern w:val="0"/>
                <w:sz w:val="24"/>
                <w:szCs w:val="24"/>
                <w:highlight w:val="none"/>
              </w:rPr>
              <w:t>品牌</w:t>
            </w:r>
          </w:p>
        </w:tc>
        <w:tc>
          <w:tcPr>
            <w:tcW w:w="8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1"/>
              <w:jc w:val="center"/>
              <w:rPr>
                <w:rFonts w:ascii="Times New Roman" w:hAnsi="Times New Roman" w:eastAsia="宋体" w:cs="Times New Roman"/>
                <w:snapToGrid w:val="0"/>
                <w:color w:val="auto"/>
                <w:kern w:val="0"/>
                <w:sz w:val="24"/>
                <w:szCs w:val="24"/>
                <w:highlight w:val="none"/>
              </w:rPr>
            </w:pPr>
            <w:r>
              <w:rPr>
                <w:rFonts w:ascii="Times New Roman" w:hAnsi="Times New Roman" w:eastAsia="宋体" w:cs="Times New Roman"/>
                <w:snapToGrid w:val="0"/>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310"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77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408"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896"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310"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77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408"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896"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310"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77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408"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896"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310"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77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408"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896"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310"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77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408"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896"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310"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77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1408"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c>
          <w:tcPr>
            <w:tcW w:w="896"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11"/>
              <w:rPr>
                <w:rFonts w:ascii="Times New Roman" w:hAnsi="Times New Roman" w:eastAsia="宋体" w:cs="Times New Roman"/>
                <w:snapToGrid w:val="0"/>
                <w:color w:val="auto"/>
                <w:kern w:val="0"/>
                <w:sz w:val="24"/>
                <w:szCs w:val="24"/>
                <w:highlight w:val="none"/>
              </w:rPr>
            </w:pPr>
          </w:p>
        </w:tc>
      </w:tr>
    </w:tbl>
    <w:p>
      <w:pPr>
        <w:numPr>
          <w:ilvl w:val="0"/>
          <w:numId w:val="24"/>
        </w:numPr>
        <w:tabs>
          <w:tab w:val="left" w:pos="1322"/>
        </w:tabs>
        <w:spacing w:line="360" w:lineRule="auto"/>
        <w:rPr>
          <w:rFonts w:ascii="Times New Roman" w:hAnsi="Times New Roman" w:eastAsia="宋体" w:cs="Times New Roman"/>
          <w:color w:val="auto"/>
          <w:sz w:val="24"/>
          <w:highlight w:val="none"/>
          <w:lang w:val="en-GB"/>
        </w:rPr>
      </w:pPr>
      <w:r>
        <w:rPr>
          <w:rFonts w:ascii="Times New Roman" w:hAnsi="Times New Roman" w:eastAsia="宋体" w:cs="Times New Roman"/>
          <w:color w:val="auto"/>
          <w:sz w:val="24"/>
          <w:highlight w:val="none"/>
          <w:lang w:val="en-GB"/>
        </w:rPr>
        <w:t>…</w:t>
      </w:r>
    </w:p>
    <w:p>
      <w:pPr>
        <w:tabs>
          <w:tab w:val="left" w:pos="851"/>
        </w:tabs>
        <w:spacing w:before="72" w:after="72" w:line="360" w:lineRule="auto"/>
        <w:ind w:left="840"/>
        <w:rPr>
          <w:rFonts w:ascii="Times New Roman" w:hAnsi="Times New Roman" w:eastAsia="宋体" w:cs="Times New Roman"/>
          <w:b/>
          <w:color w:val="auto"/>
          <w:kern w:val="44"/>
          <w:szCs w:val="32"/>
          <w:highlight w:val="none"/>
        </w:rPr>
      </w:pPr>
    </w:p>
    <w:bookmarkEnd w:id="242"/>
    <w:bookmarkEnd w:id="243"/>
    <w:p>
      <w:pPr>
        <w:spacing w:before="72" w:after="72" w:line="360" w:lineRule="auto"/>
        <w:rPr>
          <w:rFonts w:ascii="Times New Roman" w:hAnsi="Times New Roman" w:eastAsia="宋体" w:cs="Times New Roman"/>
          <w:color w:val="auto"/>
          <w:sz w:val="24"/>
          <w:highlight w:val="none"/>
        </w:rPr>
      </w:pPr>
    </w:p>
    <w:p>
      <w:pPr>
        <w:spacing w:before="72" w:after="72" w:line="360" w:lineRule="auto"/>
        <w:rPr>
          <w:rFonts w:ascii="Times New Roman" w:hAnsi="Times New Roman" w:eastAsia="宋体" w:cs="Times New Roman"/>
          <w:color w:val="auto"/>
          <w:sz w:val="24"/>
          <w:highlight w:val="none"/>
        </w:rPr>
      </w:pPr>
    </w:p>
    <w:p>
      <w:pPr>
        <w:adjustRightInd w:val="0"/>
        <w:snapToGrid w:val="0"/>
        <w:spacing w:before="72" w:after="72" w:line="480" w:lineRule="auto"/>
        <w:ind w:firstLine="3578" w:firstLineChars="1491"/>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投标人名称（加盖公章）：</w:t>
      </w:r>
    </w:p>
    <w:p>
      <w:pPr>
        <w:spacing w:before="72" w:after="72" w:line="400" w:lineRule="exact"/>
        <w:ind w:firstLine="3578" w:firstLineChars="1491"/>
        <w:rPr>
          <w:rFonts w:ascii="Times New Roman" w:hAnsi="Times New Roman" w:eastAsia="宋体" w:cs="Times New Roman"/>
          <w:color w:val="auto"/>
          <w:sz w:val="24"/>
          <w:highlight w:val="none"/>
        </w:rPr>
        <w:sectPr>
          <w:pgSz w:w="11905" w:h="16838"/>
          <w:pgMar w:top="1440" w:right="1800" w:bottom="1440" w:left="1800" w:header="850" w:footer="822" w:gutter="0"/>
          <w:cols w:space="720" w:num="1"/>
          <w:docGrid w:linePitch="318" w:charSpace="0"/>
        </w:sectPr>
      </w:pPr>
      <w:r>
        <w:rPr>
          <w:rFonts w:ascii="Times New Roman" w:hAnsi="Times New Roman" w:eastAsia="宋体" w:cs="Times New Roman"/>
          <w:color w:val="auto"/>
          <w:sz w:val="24"/>
          <w:highlight w:val="none"/>
        </w:rPr>
        <w:t>日期：   年   月   日</w:t>
      </w:r>
    </w:p>
    <w:p>
      <w:pPr>
        <w:widowControl/>
        <w:numPr>
          <w:ilvl w:val="0"/>
          <w:numId w:val="21"/>
        </w:numPr>
        <w:spacing w:line="360" w:lineRule="auto"/>
        <w:jc w:val="center"/>
        <w:outlineLvl w:val="2"/>
        <w:rPr>
          <w:rFonts w:ascii="Times New Roman" w:hAnsi="Times New Roman" w:eastAsia="宋体" w:cs="Times New Roman"/>
          <w:b/>
          <w:bCs/>
          <w:color w:val="auto"/>
          <w:kern w:val="0"/>
          <w:sz w:val="24"/>
          <w:szCs w:val="24"/>
          <w:highlight w:val="none"/>
        </w:rPr>
      </w:pPr>
      <w:bookmarkStart w:id="244" w:name="_Toc423021980"/>
      <w:bookmarkStart w:id="245" w:name="_Toc381489454"/>
      <w:bookmarkStart w:id="246" w:name="_Toc16891"/>
      <w:bookmarkStart w:id="247" w:name="_Toc16304"/>
      <w:bookmarkStart w:id="248" w:name="_Toc11275"/>
      <w:bookmarkStart w:id="249" w:name="_Toc21472"/>
      <w:bookmarkStart w:id="250" w:name="_Toc50691030"/>
      <w:bookmarkStart w:id="251" w:name="_Toc168288376"/>
      <w:bookmarkStart w:id="252" w:name="_Toc183316730"/>
      <w:bookmarkStart w:id="253" w:name="_Toc50737326"/>
      <w:bookmarkStart w:id="254" w:name="_Toc52165078"/>
      <w:bookmarkStart w:id="255" w:name="_Toc169318448"/>
      <w:bookmarkStart w:id="256" w:name="_Toc168730818"/>
      <w:bookmarkStart w:id="257" w:name="_Toc50737294"/>
      <w:bookmarkStart w:id="258" w:name="_Toc182886670"/>
      <w:bookmarkStart w:id="259" w:name="_Toc50736474"/>
      <w:r>
        <w:rPr>
          <w:rFonts w:ascii="Times New Roman" w:hAnsi="Times New Roman" w:eastAsia="宋体" w:cs="Times New Roman"/>
          <w:b/>
          <w:bCs/>
          <w:color w:val="auto"/>
          <w:kern w:val="0"/>
          <w:sz w:val="24"/>
          <w:szCs w:val="24"/>
          <w:highlight w:val="none"/>
        </w:rPr>
        <w:t xml:space="preserve"> </w:t>
      </w:r>
      <w:bookmarkStart w:id="260" w:name="_Toc21517"/>
      <w:bookmarkStart w:id="261" w:name="_Toc31541"/>
      <w:bookmarkStart w:id="262" w:name="_Toc22279"/>
      <w:r>
        <w:rPr>
          <w:rFonts w:ascii="Times New Roman" w:hAnsi="Times New Roman" w:eastAsia="宋体" w:cs="Times New Roman"/>
          <w:b/>
          <w:bCs/>
          <w:color w:val="auto"/>
          <w:kern w:val="0"/>
          <w:sz w:val="24"/>
          <w:szCs w:val="24"/>
          <w:highlight w:val="none"/>
        </w:rPr>
        <w:t>经济标文件</w:t>
      </w:r>
      <w:bookmarkEnd w:id="244"/>
      <w:bookmarkEnd w:id="245"/>
      <w:bookmarkEnd w:id="246"/>
      <w:bookmarkEnd w:id="247"/>
      <w:bookmarkEnd w:id="248"/>
      <w:bookmarkEnd w:id="249"/>
      <w:bookmarkEnd w:id="260"/>
      <w:bookmarkEnd w:id="261"/>
      <w:bookmarkEnd w:id="262"/>
    </w:p>
    <w:p>
      <w:pPr>
        <w:keepNext/>
        <w:keepLines/>
        <w:numPr>
          <w:ilvl w:val="3"/>
          <w:numId w:val="0"/>
        </w:numPr>
        <w:spacing w:line="360" w:lineRule="auto"/>
        <w:jc w:val="center"/>
        <w:outlineLvl w:val="3"/>
        <w:rPr>
          <w:rFonts w:ascii="Times New Roman" w:hAnsi="Times New Roman" w:eastAsia="宋体" w:cs="Times New Roman"/>
          <w:b/>
          <w:bCs/>
          <w:color w:val="auto"/>
          <w:sz w:val="28"/>
          <w:szCs w:val="28"/>
          <w:highlight w:val="none"/>
        </w:rPr>
      </w:pPr>
      <w:bookmarkStart w:id="263" w:name="_Toc25184"/>
      <w:bookmarkStart w:id="264" w:name="_Toc7953"/>
      <w:bookmarkStart w:id="265" w:name="_Toc25987"/>
      <w:bookmarkStart w:id="266" w:name="_Toc10719"/>
      <w:bookmarkStart w:id="267" w:name="_Toc15061"/>
      <w:bookmarkStart w:id="268" w:name="_Toc9468"/>
      <w:bookmarkStart w:id="269" w:name="_Toc196294653"/>
      <w:bookmarkStart w:id="270" w:name="_Toc196109464"/>
      <w:r>
        <w:rPr>
          <w:rFonts w:ascii="Times New Roman" w:hAnsi="Times New Roman" w:eastAsia="宋体" w:cs="Times New Roman"/>
          <w:b/>
          <w:bCs/>
          <w:color w:val="auto"/>
          <w:sz w:val="28"/>
          <w:szCs w:val="28"/>
          <w:highlight w:val="none"/>
        </w:rPr>
        <w:t>1.1</w:t>
      </w:r>
      <w:bookmarkEnd w:id="263"/>
      <w:bookmarkEnd w:id="264"/>
      <w:bookmarkEnd w:id="265"/>
      <w:r>
        <w:rPr>
          <w:rFonts w:ascii="Times New Roman" w:hAnsi="Times New Roman" w:eastAsia="宋体" w:cs="Times New Roman"/>
          <w:b/>
          <w:bCs/>
          <w:color w:val="auto"/>
          <w:sz w:val="28"/>
          <w:szCs w:val="28"/>
          <w:highlight w:val="none"/>
        </w:rPr>
        <w:t>报价表</w:t>
      </w:r>
      <w:bookmarkEnd w:id="266"/>
      <w:bookmarkEnd w:id="267"/>
      <w:bookmarkEnd w:id="268"/>
    </w:p>
    <w:tbl>
      <w:tblPr>
        <w:tblStyle w:val="38"/>
        <w:tblW w:w="52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6"/>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b/>
                <w:color w:val="auto"/>
                <w:sz w:val="24"/>
                <w:szCs w:val="24"/>
                <w:highlight w:val="none"/>
                <w:lang w:val="zh-CN"/>
              </w:rPr>
            </w:pPr>
            <w:r>
              <w:rPr>
                <w:rFonts w:ascii="Times New Roman" w:hAnsi="Times New Roman" w:eastAsia="宋体" w:cs="Times New Roman"/>
                <w:b/>
                <w:color w:val="auto"/>
                <w:sz w:val="24"/>
                <w:szCs w:val="24"/>
                <w:highlight w:val="none"/>
                <w:lang w:val="zh-CN"/>
              </w:rPr>
              <w:t>工程名称</w:t>
            </w:r>
          </w:p>
        </w:tc>
        <w:tc>
          <w:tcPr>
            <w:tcW w:w="30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b/>
                <w:bCs/>
                <w:color w:val="auto"/>
                <w:sz w:val="24"/>
                <w:szCs w:val="24"/>
                <w:highlight w:val="none"/>
                <w:lang w:val="zh-CN"/>
              </w:rPr>
            </w:pPr>
            <w:r>
              <w:rPr>
                <w:rFonts w:hint="eastAsia" w:ascii="Times New Roman" w:hAnsi="Times New Roman" w:eastAsia="宋体" w:cs="Times New Roman"/>
                <w:color w:val="auto"/>
                <w:sz w:val="24"/>
                <w:szCs w:val="24"/>
                <w:highlight w:val="none"/>
                <w:lang w:val="zh-CN"/>
              </w:rPr>
              <w:t>传媒大厦中央空调供暖及精密空调改造项目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b/>
                <w:bCs/>
                <w:color w:val="auto"/>
                <w:sz w:val="24"/>
                <w:szCs w:val="24"/>
                <w:highlight w:val="none"/>
                <w:lang w:val="zh-CN"/>
              </w:rPr>
            </w:pPr>
            <w:r>
              <w:rPr>
                <w:rFonts w:ascii="Times New Roman" w:hAnsi="Times New Roman" w:eastAsia="宋体" w:cs="Times New Roman"/>
                <w:b/>
                <w:color w:val="auto"/>
                <w:sz w:val="24"/>
                <w:szCs w:val="24"/>
                <w:highlight w:val="none"/>
                <w:lang w:val="zh-CN"/>
              </w:rPr>
              <w:t>投标总报价（元）</w:t>
            </w:r>
          </w:p>
        </w:tc>
        <w:tc>
          <w:tcPr>
            <w:tcW w:w="30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36"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cs="Times New Roman" w:eastAsiaTheme="minorEastAsia"/>
                <w:b/>
                <w:bCs/>
                <w:color w:val="auto"/>
                <w:sz w:val="24"/>
                <w:szCs w:val="24"/>
                <w:highlight w:val="none"/>
                <w:lang w:val="zh-CN" w:eastAsia="zh-CN"/>
              </w:rPr>
            </w:pPr>
            <w:r>
              <w:rPr>
                <w:rFonts w:hint="eastAsia" w:ascii="宋体" w:hAnsi="宋体" w:cs="宋体"/>
                <w:color w:val="auto"/>
                <w:szCs w:val="21"/>
                <w:highlight w:val="none"/>
                <w:lang w:eastAsia="zh-CN"/>
              </w:rPr>
              <w:t>其中</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设计费投标报价</w:t>
            </w:r>
            <w:r>
              <w:rPr>
                <w:rFonts w:hint="eastAsia" w:ascii="宋体" w:hAnsi="宋体" w:cs="宋体"/>
                <w:color w:val="auto"/>
                <w:szCs w:val="21"/>
                <w:highlight w:val="none"/>
                <w:lang w:eastAsia="zh-CN"/>
              </w:rPr>
              <w:t>（元）</w:t>
            </w:r>
          </w:p>
        </w:tc>
        <w:tc>
          <w:tcPr>
            <w:tcW w:w="30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3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color w:val="auto"/>
                <w:sz w:val="24"/>
                <w:szCs w:val="24"/>
                <w:highlight w:val="none"/>
                <w:lang w:val="zh-CN"/>
              </w:rPr>
            </w:pPr>
            <w:r>
              <w:rPr>
                <w:rFonts w:hint="eastAsia" w:ascii="宋体" w:hAnsi="宋体" w:cs="宋体"/>
                <w:color w:val="auto"/>
                <w:szCs w:val="21"/>
                <w:highlight w:val="none"/>
                <w:lang w:eastAsia="zh-CN"/>
              </w:rPr>
              <w:t>其中</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highlight w:val="none"/>
              </w:rPr>
              <w:t>建安工程费投标报价</w:t>
            </w:r>
            <w:r>
              <w:rPr>
                <w:rFonts w:hint="eastAsia" w:ascii="宋体" w:hAnsi="宋体" w:cs="宋体"/>
                <w:color w:val="auto"/>
                <w:szCs w:val="21"/>
                <w:highlight w:val="none"/>
                <w:lang w:eastAsia="zh-CN"/>
              </w:rPr>
              <w:t>（元）</w:t>
            </w:r>
          </w:p>
        </w:tc>
        <w:tc>
          <w:tcPr>
            <w:tcW w:w="30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3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auto"/>
                <w:sz w:val="24"/>
                <w:szCs w:val="24"/>
                <w:highlight w:val="none"/>
                <w:lang w:val="zh-CN"/>
              </w:rPr>
            </w:pPr>
            <w:r>
              <w:rPr>
                <w:rFonts w:ascii="Times New Roman" w:hAnsi="Times New Roman" w:eastAsia="宋体" w:cs="Times New Roman"/>
                <w:b/>
                <w:color w:val="auto"/>
                <w:sz w:val="24"/>
                <w:szCs w:val="24"/>
                <w:highlight w:val="none"/>
                <w:lang w:val="zh-CN"/>
              </w:rPr>
              <w:t>投标总工期</w:t>
            </w:r>
          </w:p>
        </w:tc>
        <w:tc>
          <w:tcPr>
            <w:tcW w:w="306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eastAsia="宋体" w:cs="Times New Roman"/>
                <w:b/>
                <w:bCs/>
                <w:color w:val="auto"/>
                <w:sz w:val="24"/>
                <w:szCs w:val="24"/>
                <w:highlight w:val="none"/>
                <w:lang w:val="zh-CN"/>
              </w:rPr>
            </w:pPr>
          </w:p>
        </w:tc>
      </w:tr>
    </w:tbl>
    <w:p>
      <w:pPr>
        <w:spacing w:before="72" w:after="72" w:line="360" w:lineRule="auto"/>
        <w:ind w:left="720" w:hanging="720"/>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rPr>
        <w:t>注：</w:t>
      </w:r>
    </w:p>
    <w:p>
      <w:pPr>
        <w:numPr>
          <w:ilvl w:val="0"/>
          <w:numId w:val="25"/>
        </w:numPr>
        <w:adjustRightInd w:val="0"/>
        <w:snapToGrid w:val="0"/>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投标人须按要求填写所有信息，不得随意更改本表格式。</w:t>
      </w:r>
    </w:p>
    <w:p>
      <w:pPr>
        <w:numPr>
          <w:ilvl w:val="0"/>
          <w:numId w:val="25"/>
        </w:numPr>
        <w:adjustRightInd w:val="0"/>
        <w:snapToGrid w:val="0"/>
        <w:spacing w:line="360"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此表是投标文件的必要文件，是投标文件的组成部分，还应另</w:t>
      </w:r>
      <w:r>
        <w:rPr>
          <w:rFonts w:hint="eastAsia" w:ascii="Times New Roman" w:hAnsi="Times New Roman" w:eastAsia="宋体" w:cs="Times New Roman"/>
          <w:color w:val="auto"/>
          <w:sz w:val="24"/>
          <w:highlight w:val="none"/>
        </w:rPr>
        <w:t>复印一份并加盖投标人公章，若有优惠声明将其一起封装在唱标信封中</w:t>
      </w:r>
      <w:r>
        <w:rPr>
          <w:rFonts w:ascii="Times New Roman" w:hAnsi="Times New Roman" w:eastAsia="宋体" w:cs="Times New Roman"/>
          <w:color w:val="auto"/>
          <w:sz w:val="24"/>
          <w:highlight w:val="none"/>
        </w:rPr>
        <w:t>，作为唱标之用。</w:t>
      </w:r>
    </w:p>
    <w:p>
      <w:pPr>
        <w:adjustRightInd w:val="0"/>
        <w:snapToGrid w:val="0"/>
        <w:spacing w:line="520" w:lineRule="exact"/>
        <w:ind w:firstLine="3578" w:firstLineChars="1491"/>
        <w:rPr>
          <w:rFonts w:ascii="Times New Roman" w:hAnsi="Times New Roman" w:eastAsia="宋体" w:cs="Times New Roman"/>
          <w:color w:val="auto"/>
          <w:sz w:val="24"/>
          <w:highlight w:val="none"/>
        </w:rPr>
      </w:pPr>
      <w:bookmarkStart w:id="271" w:name="_Toc381489457"/>
    </w:p>
    <w:p>
      <w:pPr>
        <w:adjustRightInd w:val="0"/>
        <w:snapToGrid w:val="0"/>
        <w:spacing w:line="520" w:lineRule="exact"/>
        <w:ind w:firstLine="3578" w:firstLineChars="1491"/>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投标人名称（加盖公章）：</w:t>
      </w:r>
    </w:p>
    <w:p>
      <w:pPr>
        <w:adjustRightInd w:val="0"/>
        <w:snapToGrid w:val="0"/>
        <w:spacing w:line="520" w:lineRule="exact"/>
        <w:ind w:firstLine="3578" w:firstLineChars="1491"/>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法定代表人或其委托代理人（签字或盖章）：</w:t>
      </w:r>
    </w:p>
    <w:p>
      <w:pPr>
        <w:adjustRightInd w:val="0"/>
        <w:snapToGrid w:val="0"/>
        <w:spacing w:line="520" w:lineRule="exact"/>
        <w:ind w:firstLine="3578" w:firstLineChars="1491"/>
        <w:rPr>
          <w:color w:val="auto"/>
          <w:highlight w:val="none"/>
        </w:rPr>
      </w:pPr>
      <w:r>
        <w:rPr>
          <w:rFonts w:ascii="Times New Roman" w:hAnsi="Times New Roman" w:eastAsia="宋体" w:cs="Times New Roman"/>
          <w:color w:val="auto"/>
          <w:sz w:val="24"/>
          <w:highlight w:val="none"/>
        </w:rPr>
        <w:t xml:space="preserve">日期：   年   月   </w:t>
      </w:r>
      <w:bookmarkEnd w:id="0"/>
      <w:bookmarkEnd w:id="250"/>
      <w:bookmarkEnd w:id="251"/>
      <w:bookmarkEnd w:id="252"/>
      <w:bookmarkEnd w:id="253"/>
      <w:bookmarkEnd w:id="254"/>
      <w:bookmarkEnd w:id="255"/>
      <w:bookmarkEnd w:id="256"/>
      <w:bookmarkEnd w:id="257"/>
      <w:bookmarkEnd w:id="258"/>
      <w:bookmarkEnd w:id="259"/>
      <w:bookmarkEnd w:id="269"/>
      <w:bookmarkEnd w:id="270"/>
      <w:bookmarkEnd w:id="271"/>
    </w:p>
    <w:sectPr>
      <w:headerReference r:id="rId14" w:type="first"/>
      <w:footerReference r:id="rId15" w:type="first"/>
      <w:pgSz w:w="11905" w:h="16838"/>
      <w:pgMar w:top="1440" w:right="1800" w:bottom="1440" w:left="1800" w:header="850" w:footer="822" w:gutter="0"/>
      <w:cols w:space="720" w:num="1"/>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rPr>
        <w:rStyle w:val="43"/>
      </w:rPr>
    </w:pPr>
    <w:r>
      <w:fldChar w:fldCharType="begin"/>
    </w:r>
    <w:r>
      <w:rPr>
        <w:rStyle w:val="43"/>
      </w:rPr>
      <w:instrText xml:space="preserve">PAGE  </w:instrText>
    </w:r>
    <w:r>
      <w:fldChar w:fldCharType="separate"/>
    </w:r>
    <w:r>
      <w:rPr>
        <w:rStyle w:val="43"/>
        <w:rFonts w:hint="eastAsia"/>
      </w:rPr>
      <w:t>一</w:t>
    </w:r>
    <w:r>
      <w:rPr>
        <w:rStyle w:val="43"/>
      </w:rPr>
      <w:t>–2</w:t>
    </w:r>
    <w:r>
      <w:fldChar w:fldCharType="end"/>
    </w:r>
  </w:p>
  <w:p>
    <w:pPr>
      <w:pStyle w:val="25"/>
      <w:ind w:firstLine="392"/>
    </w:pPr>
    <w:r>
      <w:rPr>
        <w:kern w:val="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rPr>
        <w:rStyle w:val="4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1270" b="254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JxmCBgsCAAAEBAAADgAAAAAAAAABACAAAAAfAQAA&#10;ZHJzL2Uyb0RvYy54bWxQSwUGAAAAAAYABgBZAQAAnA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r>
      <w:rPr>
        <w:rFonts w:hint="eastAsia"/>
        <w:lang w:eastAsia="zh-CN"/>
      </w:rPr>
      <w:t>1210-2340YDZB6746</w:t>
    </w:r>
    <w:r>
      <w:rPr>
        <w:rFonts w:hint="eastAsia"/>
        <w:szCs w:val="21"/>
      </w:rPr>
      <w:t xml:space="preserve">                                广东有德招标采购有限公司 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pPr>
    <w:r>
      <mc:AlternateContent>
        <mc:Choice Requires="wps">
          <w:drawing>
            <wp:anchor distT="0" distB="0" distL="114300" distR="114300" simplePos="0" relativeHeight="251663360" behindDoc="0" locked="0" layoutInCell="1" allowOverlap="1">
              <wp:simplePos x="0" y="0"/>
              <wp:positionH relativeFrom="margin">
                <wp:posOffset>2851150</wp:posOffset>
              </wp:positionH>
              <wp:positionV relativeFrom="paragraph">
                <wp:posOffset>0</wp:posOffset>
              </wp:positionV>
              <wp:extent cx="1828800" cy="1828800"/>
              <wp:effectExtent l="3175"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224.5pt;margin-top:0pt;height:144pt;width:144pt;mso-position-horizontal-relative:margin;mso-wrap-style:none;z-index:251663360;mso-width-relative:page;mso-height-relative:page;" filled="f" stroked="f" coordsize="21600,21600" o:gfxdata="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VXedzVAAAACAEAAA8AAAAAAAAAAQAgAAAAIgAAAGRycy9k&#10;b3ducmV2LnhtbFBLAQIUABQAAAAIAIdO4kCGLlBtBQIAAAYEAAAOAAAAAAAAAAEAIAAAACQBAABk&#10;cnMvZTJvRG9jLnhtbFBLBQYAAAAABgAGAFkBAACbBQ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rFonts w:hint="eastAsia"/>
        <w:lang w:eastAsia="zh-CN"/>
      </w:rPr>
      <w:t>1210-2340YDZB6746</w:t>
    </w:r>
    <w:r>
      <w:rPr>
        <w:rFonts w:hint="eastAsia"/>
        <w:szCs w:val="21"/>
      </w:rPr>
      <w:t xml:space="preserve">                                        广东有德招标采购有限公司 编制</w: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5"/>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LOZEG0EAgAABgQAAA4AAAAAAAAAAQAgAAAAHgEAAGRycy9lMm9E&#10;b2MueG1sUEsFBgAAAAAGAAYAWQEAAJQFAAAAAA==&#10;">
              <v:fill on="f" focussize="0,0"/>
              <v:stroke on="f"/>
              <v:imagedata o:title=""/>
              <o:lock v:ext="edit" aspectratio="f"/>
              <v:textbox inset="0mm,0mm,0mm,0mm" style="mso-fit-shape-to-text:t;">
                <w:txbxContent>
                  <w:p>
                    <w:pPr>
                      <w:pStyle w:val="25"/>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127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2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32</w:t>
                          </w:r>
                          <w:r>
                            <w:rPr>
                              <w:rFonts w:hint="eastAsia"/>
                              <w:sz w:val="21"/>
                              <w:szCs w:val="21"/>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e10z0AAAAAMBAAAPAAAAAAAAAAEAIAAAACIAAABkcnMv&#10;ZG93bnJldi54bWxQSwECFAAUAAAACACHTuJAmEtTAAsCAAAEBAAADgAAAAAAAAABACAAAAAfAQAA&#10;ZHJzL2Uyb0RvYy54bWxQSwUGAAAAAAYABgBZAQAAnAUAAAAA&#10;">
              <v:fill on="f" focussize="0,0"/>
              <v:stroke on="f"/>
              <v:imagedata o:title=""/>
              <o:lock v:ext="edit" aspectratio="f"/>
              <v:textbox inset="0mm,0mm,0mm,0mm" style="mso-fit-shape-to-text:t;">
                <w:txbxContent>
                  <w:p>
                    <w:pPr>
                      <w:pStyle w:val="2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32</w:t>
                    </w:r>
                    <w:r>
                      <w:rPr>
                        <w:rFonts w:hint="eastAsia"/>
                        <w:sz w:val="21"/>
                        <w:szCs w:val="21"/>
                      </w:rPr>
                      <w:fldChar w:fldCharType="end"/>
                    </w:r>
                  </w:p>
                </w:txbxContent>
              </v:textbox>
            </v:shape>
          </w:pict>
        </mc:Fallback>
      </mc:AlternateContent>
    </w:r>
    <w:r>
      <w:rPr>
        <w:rFonts w:hint="eastAsia"/>
        <w:lang w:eastAsia="zh-CN"/>
      </w:rPr>
      <w:t>1210-2340YDZB6746</w:t>
    </w:r>
    <w:r>
      <w:rPr>
        <w:rFonts w:hint="eastAsia"/>
        <w:szCs w:val="21"/>
      </w:rPr>
      <w:t xml:space="preserve">                                 广东有德招标采购有限公司 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uto" w:sz="4" w:space="0"/>
      </w:pBdr>
      <w:jc w:val="right"/>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r>
      <w:rPr>
        <w:rFonts w:hint="eastAsia"/>
        <w:sz w:val="21"/>
        <w:szCs w:val="21"/>
        <w:lang w:eastAsia="zh-CN"/>
      </w:rPr>
      <w:t>1210-2340YDZB6746</w:t>
    </w:r>
    <w:r>
      <w:rPr>
        <w:rFonts w:hint="eastAsia"/>
        <w:sz w:val="21"/>
        <w:szCs w:val="21"/>
      </w:rPr>
      <w:t xml:space="preserve">                               广东有德招标采购有限公司 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96</w:t>
                          </w:r>
                          <w:r>
                            <w:rPr>
                              <w:rFonts w:hint="eastAsia"/>
                              <w:sz w:val="21"/>
                              <w:szCs w:val="21"/>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ClkpZuBQIAAAYEAAAOAAAAAAAAAAEAIAAAAB4BAABkcnMvZTJv&#10;RG9jLnhtbFBLBQYAAAAABgAGAFkBAACVBQAAAAA=&#10;">
              <v:fill on="f" focussize="0,0"/>
              <v:stroke on="f"/>
              <v:imagedata o:title=""/>
              <o:lock v:ext="edit" aspectratio="f"/>
              <v:textbox inset="0mm,0mm,0mm,0mm" style="mso-fit-shape-to-text:t;">
                <w:txbxContent>
                  <w:p>
                    <w:pPr>
                      <w:pStyle w:val="2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rFonts w:hint="eastAsia"/>
                        <w:sz w:val="21"/>
                        <w:szCs w:val="21"/>
                      </w:rPr>
                      <w:t>96</w:t>
                    </w:r>
                    <w:r>
                      <w:rPr>
                        <w:rFonts w:hint="eastAsia"/>
                        <w:sz w:val="21"/>
                        <w:szCs w:val="21"/>
                      </w:rPr>
                      <w:fldChar w:fldCharType="end"/>
                    </w:r>
                  </w:p>
                </w:txbxContent>
              </v:textbox>
            </v:shape>
          </w:pict>
        </mc:Fallback>
      </mc:AlternateContent>
    </w:r>
    <w:r>
      <w:rPr>
        <w:rFonts w:hint="eastAsia"/>
        <w:lang w:eastAsia="zh-CN"/>
      </w:rPr>
      <w:t>1210-2340YDZB6746</w:t>
    </w:r>
    <w:r>
      <w:rPr>
        <w:rFonts w:hint="eastAsia"/>
        <w:szCs w:val="21"/>
      </w:rPr>
      <w:t xml:space="preserve">                                        广东有德招标采购有限公司 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spacing w:before="72" w:after="72"/>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spacing w:before="72" w:after="72"/>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spacing w:before="72" w:after="72"/>
      <w:jc w:val="both"/>
      <w:rPr>
        <w:rFonts w:hint="eastAsia" w:eastAsia="宋体"/>
        <w:sz w:val="21"/>
        <w:szCs w:val="21"/>
        <w:lang w:eastAsia="zh-CN"/>
      </w:rPr>
    </w:pPr>
    <w:r>
      <w:rPr>
        <w:szCs w:val="13"/>
      </w:rPr>
      <w:drawing>
        <wp:inline distT="0" distB="0" distL="0" distR="0">
          <wp:extent cx="800100" cy="238125"/>
          <wp:effectExtent l="0" t="0" r="0" b="9525"/>
          <wp:docPr id="15" name="图片 15" descr="有德招标logo横式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有德招标logo横式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238125"/>
                  </a:xfrm>
                  <a:prstGeom prst="rect">
                    <a:avLst/>
                  </a:prstGeom>
                  <a:noFill/>
                  <a:ln>
                    <a:noFill/>
                  </a:ln>
                </pic:spPr>
              </pic:pic>
            </a:graphicData>
          </a:graphic>
        </wp:inline>
      </w:drawing>
    </w:r>
    <w:r>
      <w:rPr>
        <w:rFonts w:hint="eastAsia"/>
        <w:sz w:val="21"/>
        <w:szCs w:val="21"/>
        <w:lang w:eastAsia="zh-CN"/>
      </w:rPr>
      <w:t>传媒大厦中央空调供暖及精密空调改造项目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spacing w:before="72" w:after="72"/>
      <w:jc w:val="right"/>
      <w:rPr>
        <w:sz w:val="21"/>
        <w:szCs w:val="21"/>
      </w:rPr>
    </w:pPr>
    <w:r>
      <w:rPr>
        <w:szCs w:val="13"/>
      </w:rPr>
      <w:drawing>
        <wp:inline distT="0" distB="0" distL="0" distR="0">
          <wp:extent cx="800100" cy="238125"/>
          <wp:effectExtent l="0" t="0" r="0" b="9525"/>
          <wp:docPr id="14" name="图片 14" descr="有德招标logo横式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有德招标logo横式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238125"/>
                  </a:xfrm>
                  <a:prstGeom prst="rect">
                    <a:avLst/>
                  </a:prstGeom>
                  <a:noFill/>
                  <a:ln>
                    <a:noFill/>
                  </a:ln>
                </pic:spPr>
              </pic:pic>
            </a:graphicData>
          </a:graphic>
        </wp:inline>
      </w:drawing>
    </w:r>
    <w:r>
      <w:rPr>
        <w:rFonts w:hint="eastAsia"/>
        <w:szCs w:val="13"/>
      </w:rPr>
      <w:t xml:space="preserve">                                  </w:t>
    </w:r>
    <w:r>
      <w:rPr>
        <w:rFonts w:hint="eastAsia"/>
        <w:sz w:val="21"/>
        <w:szCs w:val="21"/>
      </w:rPr>
      <w:t xml:space="preserve"> </w:t>
    </w:r>
    <w:r>
      <w:rPr>
        <w:rFonts w:hint="eastAsia"/>
        <w:sz w:val="21"/>
        <w:szCs w:val="21"/>
        <w:lang w:eastAsia="zh-CN"/>
      </w:rPr>
      <w:t>广东南方报业传媒集团物业管理有限公司</w:t>
    </w:r>
    <w:r>
      <w:rPr>
        <w:rFonts w:hint="eastAsia"/>
        <w:sz w:val="21"/>
        <w:szCs w:val="21"/>
      </w:rPr>
      <w:t>跑道改造工程</w:t>
    </w:r>
  </w:p>
  <w:p>
    <w:pPr>
      <w:pStyle w:val="26"/>
      <w:pBdr>
        <w:bottom w:val="none" w:color="auto" w:sz="0" w:space="1"/>
      </w:pBdr>
      <w:spacing w:before="72" w:after="72"/>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spacing w:before="72" w:after="72"/>
      <w:jc w:val="left"/>
      <w:rPr>
        <w:rFonts w:hint="eastAsia" w:eastAsia="宋体"/>
        <w:lang w:eastAsia="zh-CN"/>
      </w:rPr>
    </w:pPr>
    <w:r>
      <w:rPr>
        <w:szCs w:val="13"/>
      </w:rPr>
      <w:drawing>
        <wp:inline distT="0" distB="0" distL="0" distR="0">
          <wp:extent cx="800100" cy="238125"/>
          <wp:effectExtent l="0" t="0" r="0" b="9525"/>
          <wp:docPr id="13" name="图片 13" descr="有德招标logo横式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有德招标logo横式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238125"/>
                  </a:xfrm>
                  <a:prstGeom prst="rect">
                    <a:avLst/>
                  </a:prstGeom>
                  <a:noFill/>
                  <a:ln>
                    <a:noFill/>
                  </a:ln>
                </pic:spPr>
              </pic:pic>
            </a:graphicData>
          </a:graphic>
        </wp:inline>
      </w:drawing>
    </w:r>
    <w:r>
      <w:rPr>
        <w:rFonts w:hint="eastAsia"/>
        <w:sz w:val="21"/>
        <w:szCs w:val="21"/>
        <w:lang w:eastAsia="zh-CN"/>
      </w:rPr>
      <w:t>传媒大厦中央空调供暖及精密空调改造项目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spacing w:before="72" w:after="72"/>
      <w:jc w:val="right"/>
      <w:rPr>
        <w:i/>
        <w:iCs/>
      </w:rPr>
    </w:pPr>
    <w:r>
      <w:rPr>
        <w:szCs w:val="13"/>
      </w:rPr>
      <w:drawing>
        <wp:inline distT="0" distB="0" distL="0" distR="0">
          <wp:extent cx="800100" cy="238125"/>
          <wp:effectExtent l="0" t="0" r="0" b="9525"/>
          <wp:docPr id="12" name="图片 12" descr="有德招标logo横式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有德招标logo横式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238125"/>
                  </a:xfrm>
                  <a:prstGeom prst="rect">
                    <a:avLst/>
                  </a:prstGeom>
                  <a:noFill/>
                  <a:ln>
                    <a:noFill/>
                  </a:ln>
                </pic:spPr>
              </pic:pic>
            </a:graphicData>
          </a:graphic>
        </wp:inline>
      </w:drawing>
    </w:r>
    <w:r>
      <w:rPr>
        <w:rFonts w:hint="eastAsia"/>
        <w:szCs w:val="13"/>
      </w:rPr>
      <w:t xml:space="preserve">                                   </w:t>
    </w:r>
    <w:r>
      <w:rPr>
        <w:rFonts w:hint="eastAsia"/>
        <w:sz w:val="21"/>
        <w:szCs w:val="21"/>
        <w:lang w:eastAsia="zh-CN"/>
      </w:rPr>
      <w:t>广东南方报业传媒集团物业管理有限公司</w:t>
    </w:r>
    <w:r>
      <w:rPr>
        <w:rFonts w:hint="eastAsia"/>
        <w:sz w:val="21"/>
        <w:szCs w:val="21"/>
      </w:rPr>
      <w:t>跑道改造工程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97320"/>
    <w:multiLevelType w:val="singleLevel"/>
    <w:tmpl w:val="84497320"/>
    <w:lvl w:ilvl="0" w:tentative="0">
      <w:start w:val="1"/>
      <w:numFmt w:val="decimal"/>
      <w:lvlText w:val="%1."/>
      <w:lvlJc w:val="left"/>
      <w:pPr>
        <w:tabs>
          <w:tab w:val="left" w:pos="312"/>
        </w:tabs>
      </w:pPr>
    </w:lvl>
  </w:abstractNum>
  <w:abstractNum w:abstractNumId="1">
    <w:nsid w:val="A721E4A5"/>
    <w:multiLevelType w:val="singleLevel"/>
    <w:tmpl w:val="A721E4A5"/>
    <w:lvl w:ilvl="0" w:tentative="0">
      <w:start w:val="1"/>
      <w:numFmt w:val="decimal"/>
      <w:lvlText w:val="%1."/>
      <w:lvlJc w:val="left"/>
      <w:pPr>
        <w:tabs>
          <w:tab w:val="left" w:pos="312"/>
        </w:tabs>
      </w:pPr>
    </w:lvl>
  </w:abstractNum>
  <w:abstractNum w:abstractNumId="2">
    <w:nsid w:val="B1427654"/>
    <w:multiLevelType w:val="singleLevel"/>
    <w:tmpl w:val="B1427654"/>
    <w:lvl w:ilvl="0" w:tentative="0">
      <w:start w:val="31"/>
      <w:numFmt w:val="decimal"/>
      <w:suff w:val="nothing"/>
      <w:lvlText w:val="%1．"/>
      <w:lvlJc w:val="left"/>
    </w:lvl>
  </w:abstractNum>
  <w:abstractNum w:abstractNumId="3">
    <w:nsid w:val="B8A5746E"/>
    <w:multiLevelType w:val="singleLevel"/>
    <w:tmpl w:val="B8A5746E"/>
    <w:lvl w:ilvl="0" w:tentative="0">
      <w:start w:val="1"/>
      <w:numFmt w:val="decimal"/>
      <w:suff w:val="nothing"/>
      <w:lvlText w:val="%1"/>
      <w:lvlJc w:val="left"/>
      <w:pPr>
        <w:ind w:left="0" w:firstLine="0"/>
      </w:pPr>
      <w:rPr>
        <w:rFonts w:hint="default"/>
      </w:rPr>
    </w:lvl>
  </w:abstractNum>
  <w:abstractNum w:abstractNumId="4">
    <w:nsid w:val="BFA14CCB"/>
    <w:multiLevelType w:val="singleLevel"/>
    <w:tmpl w:val="BFA14CCB"/>
    <w:lvl w:ilvl="0" w:tentative="0">
      <w:start w:val="1"/>
      <w:numFmt w:val="decimal"/>
      <w:suff w:val="nothing"/>
      <w:lvlText w:val="%1、"/>
      <w:lvlJc w:val="left"/>
      <w:pPr>
        <w:ind w:left="0" w:firstLine="420"/>
      </w:pPr>
      <w:rPr>
        <w:rFonts w:hint="default"/>
        <w:b w:val="0"/>
      </w:rPr>
    </w:lvl>
  </w:abstractNum>
  <w:abstractNum w:abstractNumId="5">
    <w:nsid w:val="E4153D27"/>
    <w:multiLevelType w:val="singleLevel"/>
    <w:tmpl w:val="E4153D27"/>
    <w:lvl w:ilvl="0" w:tentative="0">
      <w:start w:val="1"/>
      <w:numFmt w:val="decimal"/>
      <w:suff w:val="nothing"/>
      <w:lvlText w:val="%1"/>
      <w:lvlJc w:val="left"/>
      <w:pPr>
        <w:ind w:left="0" w:firstLine="0"/>
      </w:pPr>
      <w:rPr>
        <w:rFonts w:hint="default"/>
      </w:rPr>
    </w:lvl>
  </w:abstractNum>
  <w:abstractNum w:abstractNumId="6">
    <w:nsid w:val="EFAC930F"/>
    <w:multiLevelType w:val="singleLevel"/>
    <w:tmpl w:val="EFAC930F"/>
    <w:lvl w:ilvl="0" w:tentative="0">
      <w:start w:val="1"/>
      <w:numFmt w:val="decimal"/>
      <w:suff w:val="nothing"/>
      <w:lvlText w:val="%1、"/>
      <w:lvlJc w:val="left"/>
      <w:pPr>
        <w:ind w:left="0" w:firstLine="420"/>
      </w:pPr>
      <w:rPr>
        <w:rFonts w:hint="default"/>
      </w:rPr>
    </w:lvl>
  </w:abstractNum>
  <w:abstractNum w:abstractNumId="7">
    <w:nsid w:val="00000005"/>
    <w:multiLevelType w:val="singleLevel"/>
    <w:tmpl w:val="00000005"/>
    <w:lvl w:ilvl="0" w:tentative="0">
      <w:start w:val="5"/>
      <w:numFmt w:val="chineseCounting"/>
      <w:suff w:val="space"/>
      <w:lvlText w:val="第%1条"/>
      <w:lvlJc w:val="left"/>
    </w:lvl>
  </w:abstractNum>
  <w:abstractNum w:abstractNumId="8">
    <w:nsid w:val="01CDF916"/>
    <w:multiLevelType w:val="singleLevel"/>
    <w:tmpl w:val="01CDF916"/>
    <w:lvl w:ilvl="0" w:tentative="0">
      <w:start w:val="1"/>
      <w:numFmt w:val="decimal"/>
      <w:suff w:val="nothing"/>
      <w:lvlText w:val="%1、"/>
      <w:lvlJc w:val="left"/>
      <w:pPr>
        <w:ind w:left="0" w:firstLine="420"/>
      </w:pPr>
      <w:rPr>
        <w:rFonts w:hint="default"/>
      </w:rPr>
    </w:lvl>
  </w:abstractNum>
  <w:abstractNum w:abstractNumId="9">
    <w:nsid w:val="2BC9CA8D"/>
    <w:multiLevelType w:val="singleLevel"/>
    <w:tmpl w:val="2BC9CA8D"/>
    <w:lvl w:ilvl="0" w:tentative="0">
      <w:start w:val="1"/>
      <w:numFmt w:val="chineseCounting"/>
      <w:suff w:val="nothing"/>
      <w:lvlText w:val="%1、"/>
      <w:lvlJc w:val="left"/>
      <w:rPr>
        <w:rFonts w:hint="eastAsia"/>
        <w:lang w:val="en-US"/>
      </w:rPr>
    </w:lvl>
  </w:abstractNum>
  <w:abstractNum w:abstractNumId="10">
    <w:nsid w:val="33CF5BA0"/>
    <w:multiLevelType w:val="multilevel"/>
    <w:tmpl w:val="33CF5BA0"/>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4500D48"/>
    <w:multiLevelType w:val="singleLevel"/>
    <w:tmpl w:val="34500D48"/>
    <w:lvl w:ilvl="0" w:tentative="0">
      <w:start w:val="1"/>
      <w:numFmt w:val="chineseCounting"/>
      <w:suff w:val="space"/>
      <w:lvlText w:val="（%1）"/>
      <w:lvlJc w:val="left"/>
      <w:rPr>
        <w:rFonts w:hint="eastAsia"/>
      </w:rPr>
    </w:lvl>
  </w:abstractNum>
  <w:abstractNum w:abstractNumId="12">
    <w:nsid w:val="4F955B49"/>
    <w:multiLevelType w:val="singleLevel"/>
    <w:tmpl w:val="4F955B49"/>
    <w:lvl w:ilvl="0" w:tentative="0">
      <w:start w:val="1"/>
      <w:numFmt w:val="decimal"/>
      <w:lvlText w:val="%1."/>
      <w:lvlJc w:val="left"/>
      <w:pPr>
        <w:ind w:left="425" w:hanging="425"/>
      </w:pPr>
      <w:rPr>
        <w:rFonts w:hint="default"/>
      </w:rPr>
    </w:lvl>
  </w:abstractNum>
  <w:abstractNum w:abstractNumId="13">
    <w:nsid w:val="4FC16286"/>
    <w:multiLevelType w:val="singleLevel"/>
    <w:tmpl w:val="4FC16286"/>
    <w:lvl w:ilvl="0" w:tentative="0">
      <w:start w:val="1"/>
      <w:numFmt w:val="decimal"/>
      <w:suff w:val="nothing"/>
      <w:lvlText w:val="%1、"/>
      <w:lvlJc w:val="left"/>
      <w:pPr>
        <w:ind w:left="0" w:firstLine="420"/>
      </w:pPr>
      <w:rPr>
        <w:rFonts w:hint="default"/>
      </w:rPr>
    </w:lvl>
  </w:abstractNum>
  <w:abstractNum w:abstractNumId="14">
    <w:nsid w:val="5617398D"/>
    <w:multiLevelType w:val="singleLevel"/>
    <w:tmpl w:val="5617398D"/>
    <w:lvl w:ilvl="0" w:tentative="0">
      <w:start w:val="1"/>
      <w:numFmt w:val="decimal"/>
      <w:lvlText w:val="（%1）"/>
      <w:lvlJc w:val="left"/>
      <w:pPr>
        <w:tabs>
          <w:tab w:val="left" w:pos="0"/>
        </w:tabs>
        <w:ind w:left="425" w:hanging="425"/>
      </w:pPr>
      <w:rPr>
        <w:rFonts w:hint="default"/>
      </w:rPr>
    </w:lvl>
  </w:abstractNum>
  <w:abstractNum w:abstractNumId="15">
    <w:nsid w:val="58B6B721"/>
    <w:multiLevelType w:val="singleLevel"/>
    <w:tmpl w:val="58B6B721"/>
    <w:lvl w:ilvl="0" w:tentative="0">
      <w:start w:val="1"/>
      <w:numFmt w:val="decimal"/>
      <w:suff w:val="nothing"/>
      <w:lvlText w:val="%1、"/>
      <w:lvlJc w:val="left"/>
      <w:pPr>
        <w:tabs>
          <w:tab w:val="left" w:pos="0"/>
        </w:tabs>
        <w:ind w:left="0" w:firstLine="420"/>
      </w:pPr>
      <w:rPr>
        <w:rFonts w:hint="default"/>
      </w:rPr>
    </w:lvl>
  </w:abstractNum>
  <w:abstractNum w:abstractNumId="16">
    <w:nsid w:val="58BAC2E9"/>
    <w:multiLevelType w:val="singleLevel"/>
    <w:tmpl w:val="58BAC2E9"/>
    <w:lvl w:ilvl="0" w:tentative="0">
      <w:start w:val="1"/>
      <w:numFmt w:val="decimal"/>
      <w:lvlText w:val="%1."/>
      <w:lvlJc w:val="left"/>
      <w:pPr>
        <w:tabs>
          <w:tab w:val="left" w:pos="0"/>
        </w:tabs>
        <w:ind w:left="425" w:hanging="425"/>
      </w:pPr>
      <w:rPr>
        <w:rFonts w:hint="default"/>
      </w:rPr>
    </w:lvl>
  </w:abstractNum>
  <w:abstractNum w:abstractNumId="17">
    <w:nsid w:val="58BAC30E"/>
    <w:multiLevelType w:val="singleLevel"/>
    <w:tmpl w:val="58BAC30E"/>
    <w:lvl w:ilvl="0" w:tentative="0">
      <w:start w:val="1"/>
      <w:numFmt w:val="decimal"/>
      <w:lvlText w:val="%1."/>
      <w:lvlJc w:val="left"/>
      <w:pPr>
        <w:tabs>
          <w:tab w:val="left" w:pos="0"/>
        </w:tabs>
        <w:ind w:left="425" w:hanging="425"/>
      </w:pPr>
      <w:rPr>
        <w:rFonts w:hint="default"/>
      </w:rPr>
    </w:lvl>
  </w:abstractNum>
  <w:abstractNum w:abstractNumId="18">
    <w:nsid w:val="58BAC34E"/>
    <w:multiLevelType w:val="singleLevel"/>
    <w:tmpl w:val="58BAC34E"/>
    <w:lvl w:ilvl="0" w:tentative="0">
      <w:start w:val="1"/>
      <w:numFmt w:val="decimal"/>
      <w:lvlText w:val="（%1）"/>
      <w:lvlJc w:val="left"/>
      <w:pPr>
        <w:tabs>
          <w:tab w:val="left" w:pos="0"/>
        </w:tabs>
        <w:ind w:left="425" w:hanging="425"/>
      </w:pPr>
      <w:rPr>
        <w:rFonts w:hint="default"/>
      </w:rPr>
    </w:lvl>
  </w:abstractNum>
  <w:abstractNum w:abstractNumId="19">
    <w:nsid w:val="58C7ABA9"/>
    <w:multiLevelType w:val="singleLevel"/>
    <w:tmpl w:val="58C7ABA9"/>
    <w:lvl w:ilvl="0" w:tentative="0">
      <w:start w:val="1"/>
      <w:numFmt w:val="decimal"/>
      <w:suff w:val="nothing"/>
      <w:lvlText w:val="（%1）"/>
      <w:lvlJc w:val="left"/>
      <w:pPr>
        <w:tabs>
          <w:tab w:val="left" w:pos="0"/>
        </w:tabs>
        <w:ind w:left="0" w:firstLine="420"/>
      </w:pPr>
      <w:rPr>
        <w:rFonts w:hint="default"/>
        <w:b/>
      </w:rPr>
    </w:lvl>
  </w:abstractNum>
  <w:abstractNum w:abstractNumId="20">
    <w:nsid w:val="58C7BCBD"/>
    <w:multiLevelType w:val="singleLevel"/>
    <w:tmpl w:val="58C7BCBD"/>
    <w:lvl w:ilvl="0" w:tentative="0">
      <w:start w:val="1"/>
      <w:numFmt w:val="decimal"/>
      <w:suff w:val="nothing"/>
      <w:lvlText w:val="%1、"/>
      <w:lvlJc w:val="left"/>
      <w:pPr>
        <w:tabs>
          <w:tab w:val="left" w:pos="0"/>
        </w:tabs>
        <w:ind w:left="0" w:firstLine="420"/>
      </w:pPr>
      <w:rPr>
        <w:rFonts w:hint="default"/>
      </w:rPr>
    </w:lvl>
  </w:abstractNum>
  <w:abstractNum w:abstractNumId="21">
    <w:nsid w:val="59FAA673"/>
    <w:multiLevelType w:val="singleLevel"/>
    <w:tmpl w:val="59FAA673"/>
    <w:lvl w:ilvl="0" w:tentative="0">
      <w:start w:val="2"/>
      <w:numFmt w:val="decimal"/>
      <w:lvlText w:val="%1."/>
      <w:lvlJc w:val="left"/>
      <w:pPr>
        <w:tabs>
          <w:tab w:val="left" w:pos="0"/>
        </w:tabs>
        <w:ind w:left="425" w:hanging="425"/>
      </w:pPr>
      <w:rPr>
        <w:rFonts w:hint="default"/>
      </w:rPr>
    </w:lvl>
  </w:abstractNum>
  <w:abstractNum w:abstractNumId="22">
    <w:nsid w:val="59FAAD77"/>
    <w:multiLevelType w:val="singleLevel"/>
    <w:tmpl w:val="59FAAD77"/>
    <w:lvl w:ilvl="0" w:tentative="0">
      <w:start w:val="1"/>
      <w:numFmt w:val="decimal"/>
      <w:suff w:val="nothing"/>
      <w:lvlText w:val="（%1）"/>
      <w:lvlJc w:val="left"/>
      <w:pPr>
        <w:tabs>
          <w:tab w:val="left" w:pos="0"/>
        </w:tabs>
        <w:ind w:left="0" w:firstLine="420"/>
      </w:pPr>
      <w:rPr>
        <w:rFonts w:hint="default"/>
      </w:rPr>
    </w:lvl>
  </w:abstractNum>
  <w:abstractNum w:abstractNumId="23">
    <w:nsid w:val="623FA5C3"/>
    <w:multiLevelType w:val="singleLevel"/>
    <w:tmpl w:val="623FA5C3"/>
    <w:lvl w:ilvl="0" w:tentative="0">
      <w:start w:val="1"/>
      <w:numFmt w:val="decimal"/>
      <w:suff w:val="space"/>
      <w:lvlText w:val="%1."/>
      <w:lvlJc w:val="left"/>
    </w:lvl>
  </w:abstractNum>
  <w:abstractNum w:abstractNumId="24">
    <w:nsid w:val="7DD0642A"/>
    <w:multiLevelType w:val="singleLevel"/>
    <w:tmpl w:val="7DD0642A"/>
    <w:lvl w:ilvl="0" w:tentative="0">
      <w:start w:val="1"/>
      <w:numFmt w:val="decimal"/>
      <w:suff w:val="space"/>
      <w:lvlText w:val="%1."/>
      <w:lvlJc w:val="left"/>
    </w:lvl>
  </w:abstractNum>
  <w:num w:numId="1">
    <w:abstractNumId w:val="9"/>
  </w:num>
  <w:num w:numId="2">
    <w:abstractNumId w:val="13"/>
  </w:num>
  <w:num w:numId="3">
    <w:abstractNumId w:val="6"/>
  </w:num>
  <w:num w:numId="4">
    <w:abstractNumId w:val="4"/>
  </w:num>
  <w:num w:numId="5">
    <w:abstractNumId w:val="14"/>
  </w:num>
  <w:num w:numId="6">
    <w:abstractNumId w:val="8"/>
  </w:num>
  <w:num w:numId="7">
    <w:abstractNumId w:val="16"/>
  </w:num>
  <w:num w:numId="8">
    <w:abstractNumId w:val="17"/>
  </w:num>
  <w:num w:numId="9">
    <w:abstractNumId w:val="18"/>
  </w:num>
  <w:num w:numId="10">
    <w:abstractNumId w:val="21"/>
  </w:num>
  <w:num w:numId="11">
    <w:abstractNumId w:val="2"/>
  </w:num>
  <w:num w:numId="12">
    <w:abstractNumId w:val="3"/>
  </w:num>
  <w:num w:numId="13">
    <w:abstractNumId w:val="12"/>
  </w:num>
  <w:num w:numId="14">
    <w:abstractNumId w:val="22"/>
  </w:num>
  <w:num w:numId="15">
    <w:abstractNumId w:val="7"/>
  </w:num>
  <w:num w:numId="16">
    <w:abstractNumId w:val="10"/>
  </w:num>
  <w:num w:numId="17">
    <w:abstractNumId w:val="24"/>
  </w:num>
  <w:num w:numId="18">
    <w:abstractNumId w:val="1"/>
  </w:num>
  <w:num w:numId="19">
    <w:abstractNumId w:val="23"/>
  </w:num>
  <w:num w:numId="20">
    <w:abstractNumId w:val="0"/>
  </w:num>
  <w:num w:numId="21">
    <w:abstractNumId w:val="11"/>
  </w:num>
  <w:num w:numId="22">
    <w:abstractNumId w:val="5"/>
  </w:num>
  <w:num w:numId="23">
    <w:abstractNumId w:val="19"/>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0ZGUwZjViYTg4NTNkMzk0MmNiNTI2Zjk0MGViNzIifQ=="/>
  </w:docVars>
  <w:rsids>
    <w:rsidRoot w:val="00DC40A3"/>
    <w:rsid w:val="0000056C"/>
    <w:rsid w:val="00006929"/>
    <w:rsid w:val="0002605E"/>
    <w:rsid w:val="0005381B"/>
    <w:rsid w:val="0007292B"/>
    <w:rsid w:val="0007356D"/>
    <w:rsid w:val="00084FD5"/>
    <w:rsid w:val="00087591"/>
    <w:rsid w:val="000B20EC"/>
    <w:rsid w:val="000F67EA"/>
    <w:rsid w:val="00117234"/>
    <w:rsid w:val="00125313"/>
    <w:rsid w:val="0012548C"/>
    <w:rsid w:val="00130483"/>
    <w:rsid w:val="00140281"/>
    <w:rsid w:val="00144729"/>
    <w:rsid w:val="00180298"/>
    <w:rsid w:val="001B2A9A"/>
    <w:rsid w:val="001C677A"/>
    <w:rsid w:val="001D72CF"/>
    <w:rsid w:val="00231E3F"/>
    <w:rsid w:val="00237A6E"/>
    <w:rsid w:val="002437DE"/>
    <w:rsid w:val="002572DE"/>
    <w:rsid w:val="002673EC"/>
    <w:rsid w:val="00271227"/>
    <w:rsid w:val="002C47AE"/>
    <w:rsid w:val="002E317B"/>
    <w:rsid w:val="002F2389"/>
    <w:rsid w:val="002F3FF7"/>
    <w:rsid w:val="002F433C"/>
    <w:rsid w:val="003343EE"/>
    <w:rsid w:val="003475CF"/>
    <w:rsid w:val="003B5AAA"/>
    <w:rsid w:val="003B5E8A"/>
    <w:rsid w:val="003D5B62"/>
    <w:rsid w:val="00421A87"/>
    <w:rsid w:val="00443EAD"/>
    <w:rsid w:val="00446A48"/>
    <w:rsid w:val="00474582"/>
    <w:rsid w:val="004C60BF"/>
    <w:rsid w:val="004D2D34"/>
    <w:rsid w:val="004D7624"/>
    <w:rsid w:val="004E0573"/>
    <w:rsid w:val="004E774D"/>
    <w:rsid w:val="004E77E1"/>
    <w:rsid w:val="004F6A2A"/>
    <w:rsid w:val="005128B9"/>
    <w:rsid w:val="00527666"/>
    <w:rsid w:val="00530AF4"/>
    <w:rsid w:val="005376AA"/>
    <w:rsid w:val="005410E9"/>
    <w:rsid w:val="00571D4E"/>
    <w:rsid w:val="00585E94"/>
    <w:rsid w:val="00596BFE"/>
    <w:rsid w:val="00596FF3"/>
    <w:rsid w:val="005A11D2"/>
    <w:rsid w:val="005F0533"/>
    <w:rsid w:val="00626520"/>
    <w:rsid w:val="00630D4C"/>
    <w:rsid w:val="00695980"/>
    <w:rsid w:val="006A2B70"/>
    <w:rsid w:val="006B4408"/>
    <w:rsid w:val="006C284C"/>
    <w:rsid w:val="006C681E"/>
    <w:rsid w:val="006D6D07"/>
    <w:rsid w:val="00725CAC"/>
    <w:rsid w:val="00752711"/>
    <w:rsid w:val="00756F80"/>
    <w:rsid w:val="0079243F"/>
    <w:rsid w:val="007A06F6"/>
    <w:rsid w:val="007D0437"/>
    <w:rsid w:val="007D4897"/>
    <w:rsid w:val="007E2EEE"/>
    <w:rsid w:val="007F1B20"/>
    <w:rsid w:val="008167F3"/>
    <w:rsid w:val="008320B4"/>
    <w:rsid w:val="00837007"/>
    <w:rsid w:val="0085048D"/>
    <w:rsid w:val="00873D17"/>
    <w:rsid w:val="008A21CF"/>
    <w:rsid w:val="008E2270"/>
    <w:rsid w:val="008F350C"/>
    <w:rsid w:val="00907E57"/>
    <w:rsid w:val="00920C7C"/>
    <w:rsid w:val="0095711F"/>
    <w:rsid w:val="0099185F"/>
    <w:rsid w:val="009D5E86"/>
    <w:rsid w:val="00A11AE4"/>
    <w:rsid w:val="00A13AF4"/>
    <w:rsid w:val="00A239E6"/>
    <w:rsid w:val="00A30742"/>
    <w:rsid w:val="00A33CDD"/>
    <w:rsid w:val="00A66A5C"/>
    <w:rsid w:val="00A84BF4"/>
    <w:rsid w:val="00A8571F"/>
    <w:rsid w:val="00AB39EC"/>
    <w:rsid w:val="00AD321C"/>
    <w:rsid w:val="00AD3801"/>
    <w:rsid w:val="00AE2B51"/>
    <w:rsid w:val="00AF4289"/>
    <w:rsid w:val="00B16FAA"/>
    <w:rsid w:val="00B47025"/>
    <w:rsid w:val="00B57361"/>
    <w:rsid w:val="00B64E56"/>
    <w:rsid w:val="00BB77BF"/>
    <w:rsid w:val="00C029B5"/>
    <w:rsid w:val="00C0796F"/>
    <w:rsid w:val="00C32869"/>
    <w:rsid w:val="00C5134B"/>
    <w:rsid w:val="00C52457"/>
    <w:rsid w:val="00C53459"/>
    <w:rsid w:val="00C66431"/>
    <w:rsid w:val="00D034C6"/>
    <w:rsid w:val="00D6019B"/>
    <w:rsid w:val="00D878E6"/>
    <w:rsid w:val="00DC40A3"/>
    <w:rsid w:val="00DE745D"/>
    <w:rsid w:val="00E0180F"/>
    <w:rsid w:val="00E37D62"/>
    <w:rsid w:val="00E45DBB"/>
    <w:rsid w:val="00E56EB6"/>
    <w:rsid w:val="00E65599"/>
    <w:rsid w:val="00E95941"/>
    <w:rsid w:val="00EA2D37"/>
    <w:rsid w:val="00EA3030"/>
    <w:rsid w:val="00EA6070"/>
    <w:rsid w:val="00F020B8"/>
    <w:rsid w:val="00F13D61"/>
    <w:rsid w:val="00F23F9A"/>
    <w:rsid w:val="00F57B2F"/>
    <w:rsid w:val="00F74099"/>
    <w:rsid w:val="00F91AB1"/>
    <w:rsid w:val="00FA58C9"/>
    <w:rsid w:val="00FB6F98"/>
    <w:rsid w:val="00FC3E1B"/>
    <w:rsid w:val="00FC6693"/>
    <w:rsid w:val="00FE2020"/>
    <w:rsid w:val="00FE74A5"/>
    <w:rsid w:val="010333FC"/>
    <w:rsid w:val="010F3B4F"/>
    <w:rsid w:val="01176EA7"/>
    <w:rsid w:val="01227D26"/>
    <w:rsid w:val="013A4168"/>
    <w:rsid w:val="013B2B96"/>
    <w:rsid w:val="01521C8D"/>
    <w:rsid w:val="01541EA9"/>
    <w:rsid w:val="01671CF5"/>
    <w:rsid w:val="016C0FA1"/>
    <w:rsid w:val="016E2F6B"/>
    <w:rsid w:val="01AD4A8C"/>
    <w:rsid w:val="01CC1A40"/>
    <w:rsid w:val="01D13E53"/>
    <w:rsid w:val="01D152A8"/>
    <w:rsid w:val="01D31020"/>
    <w:rsid w:val="01D612B0"/>
    <w:rsid w:val="01DF4AAD"/>
    <w:rsid w:val="02054F52"/>
    <w:rsid w:val="020E02AA"/>
    <w:rsid w:val="02493090"/>
    <w:rsid w:val="024C0DD3"/>
    <w:rsid w:val="026223A4"/>
    <w:rsid w:val="026B1802"/>
    <w:rsid w:val="02B74E2E"/>
    <w:rsid w:val="02C941D1"/>
    <w:rsid w:val="02CD1F13"/>
    <w:rsid w:val="02CF76A0"/>
    <w:rsid w:val="02D212D8"/>
    <w:rsid w:val="02E4100B"/>
    <w:rsid w:val="02E809FA"/>
    <w:rsid w:val="02F2197A"/>
    <w:rsid w:val="02FB2871"/>
    <w:rsid w:val="02FE3F2A"/>
    <w:rsid w:val="03011BBD"/>
    <w:rsid w:val="03547DD9"/>
    <w:rsid w:val="035717DD"/>
    <w:rsid w:val="035A307B"/>
    <w:rsid w:val="03633E0A"/>
    <w:rsid w:val="03A909E3"/>
    <w:rsid w:val="03F45851"/>
    <w:rsid w:val="03F60FF6"/>
    <w:rsid w:val="040556DD"/>
    <w:rsid w:val="04614AB8"/>
    <w:rsid w:val="04714B20"/>
    <w:rsid w:val="047640DD"/>
    <w:rsid w:val="047F0FEB"/>
    <w:rsid w:val="04A93602"/>
    <w:rsid w:val="04AB3B8E"/>
    <w:rsid w:val="04D161FA"/>
    <w:rsid w:val="04EB042F"/>
    <w:rsid w:val="05031C1C"/>
    <w:rsid w:val="05172A4B"/>
    <w:rsid w:val="052B2F21"/>
    <w:rsid w:val="055E1657"/>
    <w:rsid w:val="0574050E"/>
    <w:rsid w:val="057C377D"/>
    <w:rsid w:val="05887005"/>
    <w:rsid w:val="059E7B97"/>
    <w:rsid w:val="05A86320"/>
    <w:rsid w:val="05B5305B"/>
    <w:rsid w:val="05BF3371"/>
    <w:rsid w:val="05C173E2"/>
    <w:rsid w:val="05C76240"/>
    <w:rsid w:val="05CD5D86"/>
    <w:rsid w:val="05D30820"/>
    <w:rsid w:val="05DC4B7A"/>
    <w:rsid w:val="0607573C"/>
    <w:rsid w:val="060774EA"/>
    <w:rsid w:val="061E65E2"/>
    <w:rsid w:val="0626656B"/>
    <w:rsid w:val="067077F1"/>
    <w:rsid w:val="06810B31"/>
    <w:rsid w:val="06936FD0"/>
    <w:rsid w:val="06A82D0D"/>
    <w:rsid w:val="06C170D6"/>
    <w:rsid w:val="06CE625A"/>
    <w:rsid w:val="06D118A6"/>
    <w:rsid w:val="06D91C1A"/>
    <w:rsid w:val="06DA075B"/>
    <w:rsid w:val="06E93094"/>
    <w:rsid w:val="06FD08ED"/>
    <w:rsid w:val="0708351A"/>
    <w:rsid w:val="070E48A8"/>
    <w:rsid w:val="071C0D73"/>
    <w:rsid w:val="072D11D3"/>
    <w:rsid w:val="0732071C"/>
    <w:rsid w:val="075A189C"/>
    <w:rsid w:val="076F5347"/>
    <w:rsid w:val="077D5D05"/>
    <w:rsid w:val="07967398"/>
    <w:rsid w:val="07A45B5F"/>
    <w:rsid w:val="07AF7E3A"/>
    <w:rsid w:val="07B35551"/>
    <w:rsid w:val="07B36AFB"/>
    <w:rsid w:val="07C75183"/>
    <w:rsid w:val="08043FB2"/>
    <w:rsid w:val="083810FF"/>
    <w:rsid w:val="08467996"/>
    <w:rsid w:val="084A1910"/>
    <w:rsid w:val="084C38DA"/>
    <w:rsid w:val="08514A4D"/>
    <w:rsid w:val="08531A68"/>
    <w:rsid w:val="08640C24"/>
    <w:rsid w:val="086E1592"/>
    <w:rsid w:val="086E4EAC"/>
    <w:rsid w:val="087D467C"/>
    <w:rsid w:val="08836BD0"/>
    <w:rsid w:val="089963F4"/>
    <w:rsid w:val="08C3151F"/>
    <w:rsid w:val="08D31906"/>
    <w:rsid w:val="08E04023"/>
    <w:rsid w:val="08E7715F"/>
    <w:rsid w:val="08EF09C2"/>
    <w:rsid w:val="08FC762C"/>
    <w:rsid w:val="08FD2E27"/>
    <w:rsid w:val="09061CDB"/>
    <w:rsid w:val="091320FE"/>
    <w:rsid w:val="091343F8"/>
    <w:rsid w:val="092A3C3E"/>
    <w:rsid w:val="097A7FD3"/>
    <w:rsid w:val="09910496"/>
    <w:rsid w:val="09CB16BA"/>
    <w:rsid w:val="09CB5382"/>
    <w:rsid w:val="09CD0A4B"/>
    <w:rsid w:val="09D771D4"/>
    <w:rsid w:val="09DE547F"/>
    <w:rsid w:val="09E3201C"/>
    <w:rsid w:val="0A033CD7"/>
    <w:rsid w:val="0A1A4BAB"/>
    <w:rsid w:val="0A37733B"/>
    <w:rsid w:val="0A3D6BD0"/>
    <w:rsid w:val="0A622F41"/>
    <w:rsid w:val="0A8C7778"/>
    <w:rsid w:val="0AA23C86"/>
    <w:rsid w:val="0AAF0151"/>
    <w:rsid w:val="0AC17420"/>
    <w:rsid w:val="0AD41965"/>
    <w:rsid w:val="0B0C55A3"/>
    <w:rsid w:val="0B247CE0"/>
    <w:rsid w:val="0B5E23F3"/>
    <w:rsid w:val="0B6B0CBD"/>
    <w:rsid w:val="0B8209D8"/>
    <w:rsid w:val="0BA01023"/>
    <w:rsid w:val="0BF95B27"/>
    <w:rsid w:val="0C044C87"/>
    <w:rsid w:val="0C076962"/>
    <w:rsid w:val="0C42266C"/>
    <w:rsid w:val="0C435C81"/>
    <w:rsid w:val="0C4843B9"/>
    <w:rsid w:val="0C50166C"/>
    <w:rsid w:val="0C874EE1"/>
    <w:rsid w:val="0C904F32"/>
    <w:rsid w:val="0C994C14"/>
    <w:rsid w:val="0CA05D40"/>
    <w:rsid w:val="0CA05FA3"/>
    <w:rsid w:val="0CA80194"/>
    <w:rsid w:val="0CB437FC"/>
    <w:rsid w:val="0CC42114"/>
    <w:rsid w:val="0CDB6FDB"/>
    <w:rsid w:val="0CDF5CB6"/>
    <w:rsid w:val="0CF30165"/>
    <w:rsid w:val="0D1F336B"/>
    <w:rsid w:val="0D6B5889"/>
    <w:rsid w:val="0D704E80"/>
    <w:rsid w:val="0DA815B3"/>
    <w:rsid w:val="0DAA28D1"/>
    <w:rsid w:val="0DAA346F"/>
    <w:rsid w:val="0DAF3BFB"/>
    <w:rsid w:val="0DFD515E"/>
    <w:rsid w:val="0E0A030F"/>
    <w:rsid w:val="0E0B1EBB"/>
    <w:rsid w:val="0E1E1875"/>
    <w:rsid w:val="0E213113"/>
    <w:rsid w:val="0E370B89"/>
    <w:rsid w:val="0E43308A"/>
    <w:rsid w:val="0E4A0A8E"/>
    <w:rsid w:val="0E5634A5"/>
    <w:rsid w:val="0E772D33"/>
    <w:rsid w:val="0E8448BD"/>
    <w:rsid w:val="0E9057B8"/>
    <w:rsid w:val="0EA025EA"/>
    <w:rsid w:val="0EB421D9"/>
    <w:rsid w:val="0ED939EE"/>
    <w:rsid w:val="0F1113DA"/>
    <w:rsid w:val="0F2904D1"/>
    <w:rsid w:val="0F380715"/>
    <w:rsid w:val="0F467336"/>
    <w:rsid w:val="0F672DA8"/>
    <w:rsid w:val="0F895414"/>
    <w:rsid w:val="0F9D4A1B"/>
    <w:rsid w:val="0FA062BA"/>
    <w:rsid w:val="0FD348E1"/>
    <w:rsid w:val="0FDB238D"/>
    <w:rsid w:val="0FF36FBB"/>
    <w:rsid w:val="100E1475"/>
    <w:rsid w:val="1029043F"/>
    <w:rsid w:val="104F3F68"/>
    <w:rsid w:val="105929AB"/>
    <w:rsid w:val="107514F4"/>
    <w:rsid w:val="10771A3D"/>
    <w:rsid w:val="108005C5"/>
    <w:rsid w:val="10861954"/>
    <w:rsid w:val="109B01BB"/>
    <w:rsid w:val="10A51DDA"/>
    <w:rsid w:val="10BD6575"/>
    <w:rsid w:val="10C1532A"/>
    <w:rsid w:val="10CA4A67"/>
    <w:rsid w:val="10DD5A17"/>
    <w:rsid w:val="10E87F18"/>
    <w:rsid w:val="10F93ED3"/>
    <w:rsid w:val="111C4EB4"/>
    <w:rsid w:val="11617323"/>
    <w:rsid w:val="118916FB"/>
    <w:rsid w:val="118B5473"/>
    <w:rsid w:val="118B7221"/>
    <w:rsid w:val="119C2276"/>
    <w:rsid w:val="11DA29D8"/>
    <w:rsid w:val="11DA4319"/>
    <w:rsid w:val="11DA5AB3"/>
    <w:rsid w:val="11F8062F"/>
    <w:rsid w:val="120E13E9"/>
    <w:rsid w:val="121645D8"/>
    <w:rsid w:val="121E1156"/>
    <w:rsid w:val="12291BED"/>
    <w:rsid w:val="12306196"/>
    <w:rsid w:val="126637EB"/>
    <w:rsid w:val="12840729"/>
    <w:rsid w:val="128A74D9"/>
    <w:rsid w:val="129F3BA3"/>
    <w:rsid w:val="12B4185D"/>
    <w:rsid w:val="12B91160"/>
    <w:rsid w:val="12CF0159"/>
    <w:rsid w:val="12CF75E2"/>
    <w:rsid w:val="12DC3AAD"/>
    <w:rsid w:val="12E52961"/>
    <w:rsid w:val="12E60488"/>
    <w:rsid w:val="12E817B6"/>
    <w:rsid w:val="12EB67E8"/>
    <w:rsid w:val="12F47048"/>
    <w:rsid w:val="130B2DAA"/>
    <w:rsid w:val="130D1EB8"/>
    <w:rsid w:val="13315BA7"/>
    <w:rsid w:val="13394A5B"/>
    <w:rsid w:val="13581385"/>
    <w:rsid w:val="135F0966"/>
    <w:rsid w:val="13625FD6"/>
    <w:rsid w:val="13813FAC"/>
    <w:rsid w:val="13892454"/>
    <w:rsid w:val="138E124B"/>
    <w:rsid w:val="13A863A8"/>
    <w:rsid w:val="13AE71F7"/>
    <w:rsid w:val="13B642FE"/>
    <w:rsid w:val="13DD5162"/>
    <w:rsid w:val="13E71085"/>
    <w:rsid w:val="13FF738B"/>
    <w:rsid w:val="14103A0E"/>
    <w:rsid w:val="141A5AA2"/>
    <w:rsid w:val="145413EA"/>
    <w:rsid w:val="145865DE"/>
    <w:rsid w:val="145C6C53"/>
    <w:rsid w:val="147954B1"/>
    <w:rsid w:val="148F7029"/>
    <w:rsid w:val="14977C8B"/>
    <w:rsid w:val="14A07A50"/>
    <w:rsid w:val="14EC71A7"/>
    <w:rsid w:val="156D7A55"/>
    <w:rsid w:val="156F530F"/>
    <w:rsid w:val="15703BD3"/>
    <w:rsid w:val="15747FCD"/>
    <w:rsid w:val="157B59CB"/>
    <w:rsid w:val="15BA52B3"/>
    <w:rsid w:val="15CD2B5C"/>
    <w:rsid w:val="15E476A1"/>
    <w:rsid w:val="15E56F1F"/>
    <w:rsid w:val="15E6711C"/>
    <w:rsid w:val="15FA2BC8"/>
    <w:rsid w:val="16014658"/>
    <w:rsid w:val="160B6B83"/>
    <w:rsid w:val="162347B7"/>
    <w:rsid w:val="162B5C2A"/>
    <w:rsid w:val="162D4D4B"/>
    <w:rsid w:val="163048F5"/>
    <w:rsid w:val="163340A9"/>
    <w:rsid w:val="16387D22"/>
    <w:rsid w:val="16501F3B"/>
    <w:rsid w:val="16535259"/>
    <w:rsid w:val="1659380B"/>
    <w:rsid w:val="16612FB3"/>
    <w:rsid w:val="16777D74"/>
    <w:rsid w:val="167C538B"/>
    <w:rsid w:val="16844EB4"/>
    <w:rsid w:val="16881F81"/>
    <w:rsid w:val="16A2619A"/>
    <w:rsid w:val="16CC0580"/>
    <w:rsid w:val="16DC1E25"/>
    <w:rsid w:val="16E23578"/>
    <w:rsid w:val="16E8315C"/>
    <w:rsid w:val="16F40246"/>
    <w:rsid w:val="16FF3FC3"/>
    <w:rsid w:val="174F484D"/>
    <w:rsid w:val="1755297E"/>
    <w:rsid w:val="178D5376"/>
    <w:rsid w:val="17A74930"/>
    <w:rsid w:val="17E72CD8"/>
    <w:rsid w:val="17ED63CD"/>
    <w:rsid w:val="17F665A1"/>
    <w:rsid w:val="18045F74"/>
    <w:rsid w:val="181B0BD3"/>
    <w:rsid w:val="18307DB5"/>
    <w:rsid w:val="1844637C"/>
    <w:rsid w:val="18626802"/>
    <w:rsid w:val="187D7A2F"/>
    <w:rsid w:val="189310B2"/>
    <w:rsid w:val="18980476"/>
    <w:rsid w:val="18D86AC4"/>
    <w:rsid w:val="190A3122"/>
    <w:rsid w:val="19297320"/>
    <w:rsid w:val="193E2DCB"/>
    <w:rsid w:val="194638A0"/>
    <w:rsid w:val="194D5683"/>
    <w:rsid w:val="197D220D"/>
    <w:rsid w:val="197E766C"/>
    <w:rsid w:val="199D7A86"/>
    <w:rsid w:val="19AC1CD7"/>
    <w:rsid w:val="19AC5F87"/>
    <w:rsid w:val="19B61701"/>
    <w:rsid w:val="1A1D09B9"/>
    <w:rsid w:val="1A2268FB"/>
    <w:rsid w:val="1A252301"/>
    <w:rsid w:val="1A4E2E07"/>
    <w:rsid w:val="1A4F2DB6"/>
    <w:rsid w:val="1A6D0BD8"/>
    <w:rsid w:val="1AA255DC"/>
    <w:rsid w:val="1AB8095B"/>
    <w:rsid w:val="1AD67034"/>
    <w:rsid w:val="1AFD5957"/>
    <w:rsid w:val="1B06310A"/>
    <w:rsid w:val="1B124510"/>
    <w:rsid w:val="1B4D19EC"/>
    <w:rsid w:val="1B520DB0"/>
    <w:rsid w:val="1B6D1746"/>
    <w:rsid w:val="1B970EB9"/>
    <w:rsid w:val="1B9B2757"/>
    <w:rsid w:val="1BA3139C"/>
    <w:rsid w:val="1BAC0A44"/>
    <w:rsid w:val="1BB21A86"/>
    <w:rsid w:val="1BE834C2"/>
    <w:rsid w:val="1BF63E31"/>
    <w:rsid w:val="1BFC478D"/>
    <w:rsid w:val="1C054074"/>
    <w:rsid w:val="1C2C63DC"/>
    <w:rsid w:val="1C302DFA"/>
    <w:rsid w:val="1C633F8E"/>
    <w:rsid w:val="1C771F9A"/>
    <w:rsid w:val="1C7B4336"/>
    <w:rsid w:val="1C9B75DB"/>
    <w:rsid w:val="1C9D749B"/>
    <w:rsid w:val="1CC7757C"/>
    <w:rsid w:val="1CFE2569"/>
    <w:rsid w:val="1CFF2872"/>
    <w:rsid w:val="1D0C4F8F"/>
    <w:rsid w:val="1D386C4A"/>
    <w:rsid w:val="1D5726AE"/>
    <w:rsid w:val="1D5F1562"/>
    <w:rsid w:val="1D6E79F7"/>
    <w:rsid w:val="1D733134"/>
    <w:rsid w:val="1D9751A0"/>
    <w:rsid w:val="1DCB5658"/>
    <w:rsid w:val="1DE928A0"/>
    <w:rsid w:val="1DFB572F"/>
    <w:rsid w:val="1E026ABD"/>
    <w:rsid w:val="1E262C77"/>
    <w:rsid w:val="1E390005"/>
    <w:rsid w:val="1E43073E"/>
    <w:rsid w:val="1E4E469D"/>
    <w:rsid w:val="1E5A31BE"/>
    <w:rsid w:val="1E5D5342"/>
    <w:rsid w:val="1E5F6569"/>
    <w:rsid w:val="1E7828DC"/>
    <w:rsid w:val="1E8F3BD2"/>
    <w:rsid w:val="1E930AF8"/>
    <w:rsid w:val="1EBC6803"/>
    <w:rsid w:val="1EC75611"/>
    <w:rsid w:val="1EE7180F"/>
    <w:rsid w:val="1EFF124F"/>
    <w:rsid w:val="1EFF4DAB"/>
    <w:rsid w:val="1F016D75"/>
    <w:rsid w:val="1F1451A1"/>
    <w:rsid w:val="1F2159C4"/>
    <w:rsid w:val="1F3F789D"/>
    <w:rsid w:val="1F503858"/>
    <w:rsid w:val="1F505606"/>
    <w:rsid w:val="1F6A2B6C"/>
    <w:rsid w:val="1F7A6B27"/>
    <w:rsid w:val="1F8359DC"/>
    <w:rsid w:val="1FB060A0"/>
    <w:rsid w:val="1FBA6F24"/>
    <w:rsid w:val="1FD20711"/>
    <w:rsid w:val="1FD47FE6"/>
    <w:rsid w:val="1FD560AD"/>
    <w:rsid w:val="1FE10954"/>
    <w:rsid w:val="1FE67686"/>
    <w:rsid w:val="1FE83A91"/>
    <w:rsid w:val="1FEA5A5B"/>
    <w:rsid w:val="20050FB8"/>
    <w:rsid w:val="20083A02"/>
    <w:rsid w:val="20174376"/>
    <w:rsid w:val="201F14D6"/>
    <w:rsid w:val="20337402"/>
    <w:rsid w:val="203C5B8B"/>
    <w:rsid w:val="20517769"/>
    <w:rsid w:val="20520081"/>
    <w:rsid w:val="207B4272"/>
    <w:rsid w:val="20827A42"/>
    <w:rsid w:val="20831A0C"/>
    <w:rsid w:val="20A47342"/>
    <w:rsid w:val="20B322F1"/>
    <w:rsid w:val="20C75D9C"/>
    <w:rsid w:val="20D83B05"/>
    <w:rsid w:val="20E6053F"/>
    <w:rsid w:val="20EA45D9"/>
    <w:rsid w:val="2121098A"/>
    <w:rsid w:val="21234927"/>
    <w:rsid w:val="21771570"/>
    <w:rsid w:val="218054BA"/>
    <w:rsid w:val="219A700D"/>
    <w:rsid w:val="21BA76AF"/>
    <w:rsid w:val="21E238C4"/>
    <w:rsid w:val="220F79FB"/>
    <w:rsid w:val="22120560"/>
    <w:rsid w:val="221E19EC"/>
    <w:rsid w:val="221E4CC8"/>
    <w:rsid w:val="22304278"/>
    <w:rsid w:val="225B679C"/>
    <w:rsid w:val="22732DDD"/>
    <w:rsid w:val="2285767F"/>
    <w:rsid w:val="229121BE"/>
    <w:rsid w:val="22925F36"/>
    <w:rsid w:val="22A53EBB"/>
    <w:rsid w:val="22D8603F"/>
    <w:rsid w:val="22D87DED"/>
    <w:rsid w:val="22FD64A8"/>
    <w:rsid w:val="23027955"/>
    <w:rsid w:val="231040A2"/>
    <w:rsid w:val="23241284"/>
    <w:rsid w:val="232A4C45"/>
    <w:rsid w:val="23333275"/>
    <w:rsid w:val="23421EAD"/>
    <w:rsid w:val="23425BAE"/>
    <w:rsid w:val="23474F72"/>
    <w:rsid w:val="235B27CC"/>
    <w:rsid w:val="235B56A9"/>
    <w:rsid w:val="236179A8"/>
    <w:rsid w:val="23841D23"/>
    <w:rsid w:val="23911EA0"/>
    <w:rsid w:val="23BB74CF"/>
    <w:rsid w:val="23BD0FAE"/>
    <w:rsid w:val="23C229DF"/>
    <w:rsid w:val="23C30A9D"/>
    <w:rsid w:val="23FE3883"/>
    <w:rsid w:val="24003F9A"/>
    <w:rsid w:val="241C5449"/>
    <w:rsid w:val="241C63FF"/>
    <w:rsid w:val="246758CC"/>
    <w:rsid w:val="2479115B"/>
    <w:rsid w:val="24894712"/>
    <w:rsid w:val="24C234A3"/>
    <w:rsid w:val="24C76A4C"/>
    <w:rsid w:val="24CF3471"/>
    <w:rsid w:val="24DB5972"/>
    <w:rsid w:val="250A4358"/>
    <w:rsid w:val="250F7D12"/>
    <w:rsid w:val="251D0194"/>
    <w:rsid w:val="253C24B5"/>
    <w:rsid w:val="25401C79"/>
    <w:rsid w:val="25515C6D"/>
    <w:rsid w:val="256657DE"/>
    <w:rsid w:val="256E7686"/>
    <w:rsid w:val="25965D3D"/>
    <w:rsid w:val="259721E1"/>
    <w:rsid w:val="25A81ECB"/>
    <w:rsid w:val="25A8619C"/>
    <w:rsid w:val="25AA0F61"/>
    <w:rsid w:val="25C44658"/>
    <w:rsid w:val="25D42DFE"/>
    <w:rsid w:val="25E953ED"/>
    <w:rsid w:val="25F74A2E"/>
    <w:rsid w:val="26381D7B"/>
    <w:rsid w:val="2646237C"/>
    <w:rsid w:val="265142B9"/>
    <w:rsid w:val="266100F9"/>
    <w:rsid w:val="26967EB4"/>
    <w:rsid w:val="269B7D7A"/>
    <w:rsid w:val="269D6AE5"/>
    <w:rsid w:val="26B02E2F"/>
    <w:rsid w:val="26BE36E4"/>
    <w:rsid w:val="26D47839"/>
    <w:rsid w:val="26EA00EF"/>
    <w:rsid w:val="26EB3E67"/>
    <w:rsid w:val="26F15921"/>
    <w:rsid w:val="2727745C"/>
    <w:rsid w:val="27286E69"/>
    <w:rsid w:val="27316143"/>
    <w:rsid w:val="27377E1D"/>
    <w:rsid w:val="274963E0"/>
    <w:rsid w:val="274A5031"/>
    <w:rsid w:val="27934193"/>
    <w:rsid w:val="27CC1EEA"/>
    <w:rsid w:val="27DA4FB6"/>
    <w:rsid w:val="27FD1D81"/>
    <w:rsid w:val="28325771"/>
    <w:rsid w:val="28327F9F"/>
    <w:rsid w:val="283D1BA2"/>
    <w:rsid w:val="285A2DA2"/>
    <w:rsid w:val="28734952"/>
    <w:rsid w:val="28793E20"/>
    <w:rsid w:val="287C4933"/>
    <w:rsid w:val="2888490F"/>
    <w:rsid w:val="28B72697"/>
    <w:rsid w:val="28C332ED"/>
    <w:rsid w:val="28C73537"/>
    <w:rsid w:val="28CF4308"/>
    <w:rsid w:val="28DA0F6A"/>
    <w:rsid w:val="290336EA"/>
    <w:rsid w:val="29064F88"/>
    <w:rsid w:val="291B7DB9"/>
    <w:rsid w:val="292942DD"/>
    <w:rsid w:val="292B06BD"/>
    <w:rsid w:val="29310257"/>
    <w:rsid w:val="294E705B"/>
    <w:rsid w:val="29723BE5"/>
    <w:rsid w:val="297B20C2"/>
    <w:rsid w:val="2985538B"/>
    <w:rsid w:val="29FC3439"/>
    <w:rsid w:val="2A047719"/>
    <w:rsid w:val="2A247DBB"/>
    <w:rsid w:val="2A385615"/>
    <w:rsid w:val="2A39354B"/>
    <w:rsid w:val="2A423AFA"/>
    <w:rsid w:val="2A490C82"/>
    <w:rsid w:val="2A4D25AA"/>
    <w:rsid w:val="2A4F553B"/>
    <w:rsid w:val="2A566386"/>
    <w:rsid w:val="2A823D46"/>
    <w:rsid w:val="2AAB5DE7"/>
    <w:rsid w:val="2AF43C32"/>
    <w:rsid w:val="2AFF4821"/>
    <w:rsid w:val="2B031C30"/>
    <w:rsid w:val="2B035552"/>
    <w:rsid w:val="2B65243A"/>
    <w:rsid w:val="2B724B56"/>
    <w:rsid w:val="2B807273"/>
    <w:rsid w:val="2B895618"/>
    <w:rsid w:val="2BB774C0"/>
    <w:rsid w:val="2BB807BB"/>
    <w:rsid w:val="2BD1187D"/>
    <w:rsid w:val="2BDE61D2"/>
    <w:rsid w:val="2C537301"/>
    <w:rsid w:val="2C5B3022"/>
    <w:rsid w:val="2C81383C"/>
    <w:rsid w:val="2C8E1F88"/>
    <w:rsid w:val="2C956D4E"/>
    <w:rsid w:val="2CA70AD9"/>
    <w:rsid w:val="2CCB0D67"/>
    <w:rsid w:val="2CE83322"/>
    <w:rsid w:val="2D344CBA"/>
    <w:rsid w:val="2D391DD0"/>
    <w:rsid w:val="2D6D1A79"/>
    <w:rsid w:val="2D85152B"/>
    <w:rsid w:val="2D856DC3"/>
    <w:rsid w:val="2D974507"/>
    <w:rsid w:val="2DB41456"/>
    <w:rsid w:val="2DD37B2E"/>
    <w:rsid w:val="2DDD275B"/>
    <w:rsid w:val="2DE31109"/>
    <w:rsid w:val="2E241154"/>
    <w:rsid w:val="2E3D3009"/>
    <w:rsid w:val="2E474078"/>
    <w:rsid w:val="2E8E614B"/>
    <w:rsid w:val="2ED0406E"/>
    <w:rsid w:val="2ED31DB0"/>
    <w:rsid w:val="2EE63891"/>
    <w:rsid w:val="2EF75A9F"/>
    <w:rsid w:val="2F2C47F5"/>
    <w:rsid w:val="2F415A45"/>
    <w:rsid w:val="2F811C0C"/>
    <w:rsid w:val="2FAC0788"/>
    <w:rsid w:val="2FBF6E64"/>
    <w:rsid w:val="300E39FE"/>
    <w:rsid w:val="30202DD3"/>
    <w:rsid w:val="305108B6"/>
    <w:rsid w:val="30A6421B"/>
    <w:rsid w:val="30B33C47"/>
    <w:rsid w:val="30BA6D84"/>
    <w:rsid w:val="30CB2D3F"/>
    <w:rsid w:val="30DB6CFA"/>
    <w:rsid w:val="30F5600E"/>
    <w:rsid w:val="310B7C31"/>
    <w:rsid w:val="31140B8A"/>
    <w:rsid w:val="31147DCF"/>
    <w:rsid w:val="311F12DD"/>
    <w:rsid w:val="31321010"/>
    <w:rsid w:val="315C42DF"/>
    <w:rsid w:val="31674283"/>
    <w:rsid w:val="31750EFD"/>
    <w:rsid w:val="3175714F"/>
    <w:rsid w:val="318178A1"/>
    <w:rsid w:val="31936BF7"/>
    <w:rsid w:val="31AD4B3A"/>
    <w:rsid w:val="31C95F0D"/>
    <w:rsid w:val="31FF0BD0"/>
    <w:rsid w:val="320504D2"/>
    <w:rsid w:val="322E3A89"/>
    <w:rsid w:val="32650F71"/>
    <w:rsid w:val="327A3E07"/>
    <w:rsid w:val="328361F2"/>
    <w:rsid w:val="32987598"/>
    <w:rsid w:val="32A9519D"/>
    <w:rsid w:val="32B55A55"/>
    <w:rsid w:val="32BF657F"/>
    <w:rsid w:val="32C53A97"/>
    <w:rsid w:val="32CD4A2C"/>
    <w:rsid w:val="32F56799"/>
    <w:rsid w:val="33004414"/>
    <w:rsid w:val="33025375"/>
    <w:rsid w:val="3304054E"/>
    <w:rsid w:val="33095DA0"/>
    <w:rsid w:val="33195511"/>
    <w:rsid w:val="332E5807"/>
    <w:rsid w:val="333554DB"/>
    <w:rsid w:val="334F46D5"/>
    <w:rsid w:val="336D632F"/>
    <w:rsid w:val="338D077F"/>
    <w:rsid w:val="33975FB9"/>
    <w:rsid w:val="33A361F5"/>
    <w:rsid w:val="33BE6B8B"/>
    <w:rsid w:val="33D939C5"/>
    <w:rsid w:val="34014CC9"/>
    <w:rsid w:val="340A1DD0"/>
    <w:rsid w:val="342804A8"/>
    <w:rsid w:val="343668E0"/>
    <w:rsid w:val="34411CF2"/>
    <w:rsid w:val="34476B80"/>
    <w:rsid w:val="345656C7"/>
    <w:rsid w:val="346566C4"/>
    <w:rsid w:val="34684E59"/>
    <w:rsid w:val="34757B91"/>
    <w:rsid w:val="348A4CBF"/>
    <w:rsid w:val="34A22009"/>
    <w:rsid w:val="34C06933"/>
    <w:rsid w:val="34D85012"/>
    <w:rsid w:val="34E70363"/>
    <w:rsid w:val="34E940DB"/>
    <w:rsid w:val="34F67558"/>
    <w:rsid w:val="351F18AB"/>
    <w:rsid w:val="35220A2A"/>
    <w:rsid w:val="35221DED"/>
    <w:rsid w:val="35262C3A"/>
    <w:rsid w:val="358838F4"/>
    <w:rsid w:val="35887450"/>
    <w:rsid w:val="358D4A67"/>
    <w:rsid w:val="35944234"/>
    <w:rsid w:val="35976322"/>
    <w:rsid w:val="35A3072E"/>
    <w:rsid w:val="35C13564"/>
    <w:rsid w:val="35CC1B28"/>
    <w:rsid w:val="35DC24C8"/>
    <w:rsid w:val="35EE4665"/>
    <w:rsid w:val="35EF5721"/>
    <w:rsid w:val="360F3524"/>
    <w:rsid w:val="3627310D"/>
    <w:rsid w:val="36743E79"/>
    <w:rsid w:val="36893B13"/>
    <w:rsid w:val="369479CD"/>
    <w:rsid w:val="369938DF"/>
    <w:rsid w:val="36AC1CD0"/>
    <w:rsid w:val="36C4095C"/>
    <w:rsid w:val="36C726DC"/>
    <w:rsid w:val="36DA7167"/>
    <w:rsid w:val="36E92171"/>
    <w:rsid w:val="36F86858"/>
    <w:rsid w:val="36FD79CA"/>
    <w:rsid w:val="37184804"/>
    <w:rsid w:val="3735270F"/>
    <w:rsid w:val="374951C3"/>
    <w:rsid w:val="374E46CA"/>
    <w:rsid w:val="37764687"/>
    <w:rsid w:val="37772EB5"/>
    <w:rsid w:val="377977A9"/>
    <w:rsid w:val="37BF0C34"/>
    <w:rsid w:val="37C03535"/>
    <w:rsid w:val="37C67FFB"/>
    <w:rsid w:val="37C87FD8"/>
    <w:rsid w:val="37D17936"/>
    <w:rsid w:val="37F715D3"/>
    <w:rsid w:val="37F94635"/>
    <w:rsid w:val="38107BD1"/>
    <w:rsid w:val="3814321D"/>
    <w:rsid w:val="38365098"/>
    <w:rsid w:val="384F4255"/>
    <w:rsid w:val="38507FCD"/>
    <w:rsid w:val="385E6B8E"/>
    <w:rsid w:val="385F4FE0"/>
    <w:rsid w:val="38653A79"/>
    <w:rsid w:val="38657F1D"/>
    <w:rsid w:val="386F66A6"/>
    <w:rsid w:val="389820A0"/>
    <w:rsid w:val="38A2140D"/>
    <w:rsid w:val="38CC1D4A"/>
    <w:rsid w:val="38D429A8"/>
    <w:rsid w:val="38D83635"/>
    <w:rsid w:val="38E0462A"/>
    <w:rsid w:val="38E2156D"/>
    <w:rsid w:val="38E41F7A"/>
    <w:rsid w:val="38E87369"/>
    <w:rsid w:val="38F117B0"/>
    <w:rsid w:val="38F566EC"/>
    <w:rsid w:val="38F73ABA"/>
    <w:rsid w:val="38FA1486"/>
    <w:rsid w:val="392C6E49"/>
    <w:rsid w:val="393A3157"/>
    <w:rsid w:val="394629D8"/>
    <w:rsid w:val="397D3044"/>
    <w:rsid w:val="39914D36"/>
    <w:rsid w:val="39917A5F"/>
    <w:rsid w:val="399576D7"/>
    <w:rsid w:val="39B20619"/>
    <w:rsid w:val="39BC3B6C"/>
    <w:rsid w:val="39D32C64"/>
    <w:rsid w:val="39EC0792"/>
    <w:rsid w:val="3A190FBF"/>
    <w:rsid w:val="3A2D6818"/>
    <w:rsid w:val="3A304D85"/>
    <w:rsid w:val="3A3F79CC"/>
    <w:rsid w:val="3A4A0FBD"/>
    <w:rsid w:val="3A4F789D"/>
    <w:rsid w:val="3A60428A"/>
    <w:rsid w:val="3A6F5083"/>
    <w:rsid w:val="3A8D72B7"/>
    <w:rsid w:val="3AA30FC0"/>
    <w:rsid w:val="3AA54601"/>
    <w:rsid w:val="3AB71C38"/>
    <w:rsid w:val="3ACA20F9"/>
    <w:rsid w:val="3ADA4923"/>
    <w:rsid w:val="3AE61644"/>
    <w:rsid w:val="3AF70BD4"/>
    <w:rsid w:val="3AFB0F10"/>
    <w:rsid w:val="3B037579"/>
    <w:rsid w:val="3B077069"/>
    <w:rsid w:val="3B1654FE"/>
    <w:rsid w:val="3B1B48C3"/>
    <w:rsid w:val="3B1E43B3"/>
    <w:rsid w:val="3B2109C6"/>
    <w:rsid w:val="3B3A743F"/>
    <w:rsid w:val="3B454A53"/>
    <w:rsid w:val="3B5878C5"/>
    <w:rsid w:val="3B670AF2"/>
    <w:rsid w:val="3B694BE1"/>
    <w:rsid w:val="3B9C1EA7"/>
    <w:rsid w:val="3B9D352A"/>
    <w:rsid w:val="3B9E563A"/>
    <w:rsid w:val="3BB13B55"/>
    <w:rsid w:val="3BBF144C"/>
    <w:rsid w:val="3BC86AD9"/>
    <w:rsid w:val="3BCD0D23"/>
    <w:rsid w:val="3BD74C8E"/>
    <w:rsid w:val="3BE135DD"/>
    <w:rsid w:val="3C1274D6"/>
    <w:rsid w:val="3C163377"/>
    <w:rsid w:val="3C22591E"/>
    <w:rsid w:val="3C292635"/>
    <w:rsid w:val="3C357F95"/>
    <w:rsid w:val="3C366730"/>
    <w:rsid w:val="3C3C2D43"/>
    <w:rsid w:val="3C4816E7"/>
    <w:rsid w:val="3C4A1471"/>
    <w:rsid w:val="3C590C1E"/>
    <w:rsid w:val="3C5B6911"/>
    <w:rsid w:val="3C63515A"/>
    <w:rsid w:val="3C7765F8"/>
    <w:rsid w:val="3C920BB5"/>
    <w:rsid w:val="3CC01BC6"/>
    <w:rsid w:val="3CCD27FD"/>
    <w:rsid w:val="3CD13DD3"/>
    <w:rsid w:val="3CD94A35"/>
    <w:rsid w:val="3D1B6DFC"/>
    <w:rsid w:val="3D3E2AEA"/>
    <w:rsid w:val="3D4A04E3"/>
    <w:rsid w:val="3D510A70"/>
    <w:rsid w:val="3D6F7F64"/>
    <w:rsid w:val="3D8928C8"/>
    <w:rsid w:val="3DA94408"/>
    <w:rsid w:val="3DAF6FA3"/>
    <w:rsid w:val="3DCC459A"/>
    <w:rsid w:val="3DE73182"/>
    <w:rsid w:val="3DE955BD"/>
    <w:rsid w:val="3DF53AF1"/>
    <w:rsid w:val="3E013FBF"/>
    <w:rsid w:val="3E0934EC"/>
    <w:rsid w:val="3E1D0952"/>
    <w:rsid w:val="3E1D1701"/>
    <w:rsid w:val="3E3F4D6C"/>
    <w:rsid w:val="3E5C75C5"/>
    <w:rsid w:val="3E622809"/>
    <w:rsid w:val="3E740EBA"/>
    <w:rsid w:val="3E8D5AD7"/>
    <w:rsid w:val="3EA66B99"/>
    <w:rsid w:val="3ED2798E"/>
    <w:rsid w:val="3F036928"/>
    <w:rsid w:val="3F1F465F"/>
    <w:rsid w:val="3F1F5199"/>
    <w:rsid w:val="3F3D74FE"/>
    <w:rsid w:val="3F3E1132"/>
    <w:rsid w:val="3F4168C2"/>
    <w:rsid w:val="3F4E1E62"/>
    <w:rsid w:val="3F4E3DFE"/>
    <w:rsid w:val="3F6B20CC"/>
    <w:rsid w:val="3F7A1B1A"/>
    <w:rsid w:val="3F7F1139"/>
    <w:rsid w:val="3F823162"/>
    <w:rsid w:val="3FB6711F"/>
    <w:rsid w:val="3FC03C8B"/>
    <w:rsid w:val="3FC10BDC"/>
    <w:rsid w:val="3FC13A60"/>
    <w:rsid w:val="3FC21B5F"/>
    <w:rsid w:val="3FFB0A26"/>
    <w:rsid w:val="3FFB2F15"/>
    <w:rsid w:val="3FFF5C80"/>
    <w:rsid w:val="400D78C2"/>
    <w:rsid w:val="40295CD4"/>
    <w:rsid w:val="403C0DD2"/>
    <w:rsid w:val="40410109"/>
    <w:rsid w:val="406644AF"/>
    <w:rsid w:val="408B1CF9"/>
    <w:rsid w:val="40901DB6"/>
    <w:rsid w:val="40B76E3C"/>
    <w:rsid w:val="40E1210B"/>
    <w:rsid w:val="41160006"/>
    <w:rsid w:val="41214BFD"/>
    <w:rsid w:val="41287D39"/>
    <w:rsid w:val="412A5860"/>
    <w:rsid w:val="413138AC"/>
    <w:rsid w:val="414A1B98"/>
    <w:rsid w:val="414E4314"/>
    <w:rsid w:val="41571C4A"/>
    <w:rsid w:val="41576644"/>
    <w:rsid w:val="417411D1"/>
    <w:rsid w:val="41814411"/>
    <w:rsid w:val="418A27A2"/>
    <w:rsid w:val="419D24D5"/>
    <w:rsid w:val="41C537DA"/>
    <w:rsid w:val="41E63744"/>
    <w:rsid w:val="420B38E3"/>
    <w:rsid w:val="42157641"/>
    <w:rsid w:val="42266472"/>
    <w:rsid w:val="425D6E2C"/>
    <w:rsid w:val="42605908"/>
    <w:rsid w:val="42611755"/>
    <w:rsid w:val="42642FF3"/>
    <w:rsid w:val="42784CF1"/>
    <w:rsid w:val="429F5DD9"/>
    <w:rsid w:val="42A866F4"/>
    <w:rsid w:val="42BC301B"/>
    <w:rsid w:val="42BD411A"/>
    <w:rsid w:val="42C429E8"/>
    <w:rsid w:val="42C60FBA"/>
    <w:rsid w:val="42D31981"/>
    <w:rsid w:val="42E47C90"/>
    <w:rsid w:val="42EB101F"/>
    <w:rsid w:val="42EB7271"/>
    <w:rsid w:val="42ED2FE9"/>
    <w:rsid w:val="43440175"/>
    <w:rsid w:val="436037BB"/>
    <w:rsid w:val="438B2A61"/>
    <w:rsid w:val="43AA2C88"/>
    <w:rsid w:val="43B458B4"/>
    <w:rsid w:val="43B957E1"/>
    <w:rsid w:val="43BB7C60"/>
    <w:rsid w:val="43C57AC2"/>
    <w:rsid w:val="43CC70A2"/>
    <w:rsid w:val="4416656F"/>
    <w:rsid w:val="442333DA"/>
    <w:rsid w:val="444B7FA4"/>
    <w:rsid w:val="445552E9"/>
    <w:rsid w:val="44625310"/>
    <w:rsid w:val="44670B79"/>
    <w:rsid w:val="44760DBC"/>
    <w:rsid w:val="448636F5"/>
    <w:rsid w:val="448B2AB9"/>
    <w:rsid w:val="448B4867"/>
    <w:rsid w:val="448F3D60"/>
    <w:rsid w:val="44907625"/>
    <w:rsid w:val="44BA05A2"/>
    <w:rsid w:val="44C36473"/>
    <w:rsid w:val="44E34A30"/>
    <w:rsid w:val="45120AE5"/>
    <w:rsid w:val="451231DA"/>
    <w:rsid w:val="45230F44"/>
    <w:rsid w:val="456F3965"/>
    <w:rsid w:val="457479F1"/>
    <w:rsid w:val="45754F59"/>
    <w:rsid w:val="458419F0"/>
    <w:rsid w:val="45A318F9"/>
    <w:rsid w:val="45AD105A"/>
    <w:rsid w:val="45C45163"/>
    <w:rsid w:val="45C85647"/>
    <w:rsid w:val="45E5444B"/>
    <w:rsid w:val="46132D66"/>
    <w:rsid w:val="464473C4"/>
    <w:rsid w:val="46456C98"/>
    <w:rsid w:val="464644A3"/>
    <w:rsid w:val="465670F7"/>
    <w:rsid w:val="465869CB"/>
    <w:rsid w:val="466003D0"/>
    <w:rsid w:val="466B16B2"/>
    <w:rsid w:val="467852BF"/>
    <w:rsid w:val="46971EF4"/>
    <w:rsid w:val="46A6528A"/>
    <w:rsid w:val="46BC1A74"/>
    <w:rsid w:val="46C24890"/>
    <w:rsid w:val="46F963F2"/>
    <w:rsid w:val="46FF32EA"/>
    <w:rsid w:val="470152B5"/>
    <w:rsid w:val="47217705"/>
    <w:rsid w:val="4734568A"/>
    <w:rsid w:val="47376F28"/>
    <w:rsid w:val="477C0DDF"/>
    <w:rsid w:val="479368CF"/>
    <w:rsid w:val="47A520E4"/>
    <w:rsid w:val="47CF0F0F"/>
    <w:rsid w:val="47FB61A8"/>
    <w:rsid w:val="480E5EDB"/>
    <w:rsid w:val="48183C56"/>
    <w:rsid w:val="483A5C59"/>
    <w:rsid w:val="483D056E"/>
    <w:rsid w:val="484A2C8B"/>
    <w:rsid w:val="487424BD"/>
    <w:rsid w:val="48745BFB"/>
    <w:rsid w:val="48AB372A"/>
    <w:rsid w:val="48B12D0A"/>
    <w:rsid w:val="48E7673D"/>
    <w:rsid w:val="48FE0DE1"/>
    <w:rsid w:val="48FF3FE4"/>
    <w:rsid w:val="49036DC3"/>
    <w:rsid w:val="491A265E"/>
    <w:rsid w:val="49303C2F"/>
    <w:rsid w:val="49520049"/>
    <w:rsid w:val="495518E8"/>
    <w:rsid w:val="49584238"/>
    <w:rsid w:val="4972062B"/>
    <w:rsid w:val="498507B5"/>
    <w:rsid w:val="498C4055"/>
    <w:rsid w:val="49AB1508"/>
    <w:rsid w:val="49B961EB"/>
    <w:rsid w:val="49C66341"/>
    <w:rsid w:val="49E515DF"/>
    <w:rsid w:val="4A2C2648"/>
    <w:rsid w:val="4A314B3B"/>
    <w:rsid w:val="4A5E3D98"/>
    <w:rsid w:val="4A970CDC"/>
    <w:rsid w:val="4A975859"/>
    <w:rsid w:val="4AC76815"/>
    <w:rsid w:val="4ADF3B5F"/>
    <w:rsid w:val="4B0C247A"/>
    <w:rsid w:val="4B0D2600"/>
    <w:rsid w:val="4B133808"/>
    <w:rsid w:val="4B307F16"/>
    <w:rsid w:val="4B3119CC"/>
    <w:rsid w:val="4B3A6FE7"/>
    <w:rsid w:val="4B634A6C"/>
    <w:rsid w:val="4B63653E"/>
    <w:rsid w:val="4B7B561F"/>
    <w:rsid w:val="4BA95F1B"/>
    <w:rsid w:val="4BB33A7C"/>
    <w:rsid w:val="4BE34F89"/>
    <w:rsid w:val="4BFA2D30"/>
    <w:rsid w:val="4C096053"/>
    <w:rsid w:val="4C140938"/>
    <w:rsid w:val="4C466F33"/>
    <w:rsid w:val="4C4B20A5"/>
    <w:rsid w:val="4C786019"/>
    <w:rsid w:val="4CA60963"/>
    <w:rsid w:val="4CB174D1"/>
    <w:rsid w:val="4CBF1BCC"/>
    <w:rsid w:val="4CCF11E6"/>
    <w:rsid w:val="4CDE0192"/>
    <w:rsid w:val="4D01600E"/>
    <w:rsid w:val="4D253E6C"/>
    <w:rsid w:val="4D3637DE"/>
    <w:rsid w:val="4D447CA9"/>
    <w:rsid w:val="4D46134F"/>
    <w:rsid w:val="4D573E80"/>
    <w:rsid w:val="4D604C76"/>
    <w:rsid w:val="4D635245"/>
    <w:rsid w:val="4DAE15C6"/>
    <w:rsid w:val="4DAE377E"/>
    <w:rsid w:val="4DF74D1B"/>
    <w:rsid w:val="4E214614"/>
    <w:rsid w:val="4E2B70BB"/>
    <w:rsid w:val="4E50267E"/>
    <w:rsid w:val="4E5C54C6"/>
    <w:rsid w:val="4E600060"/>
    <w:rsid w:val="4E640DE5"/>
    <w:rsid w:val="4E6D1482"/>
    <w:rsid w:val="4E8F764A"/>
    <w:rsid w:val="4E975A56"/>
    <w:rsid w:val="4E984750"/>
    <w:rsid w:val="4E9F7C91"/>
    <w:rsid w:val="4EB45DB7"/>
    <w:rsid w:val="4EC76DE4"/>
    <w:rsid w:val="4ED67027"/>
    <w:rsid w:val="4ED844D2"/>
    <w:rsid w:val="4EEA44EC"/>
    <w:rsid w:val="4EED611E"/>
    <w:rsid w:val="4F195165"/>
    <w:rsid w:val="4F4941F2"/>
    <w:rsid w:val="4F4E0840"/>
    <w:rsid w:val="4F5434AE"/>
    <w:rsid w:val="4F5D5A10"/>
    <w:rsid w:val="4F9842DC"/>
    <w:rsid w:val="4FAF16BB"/>
    <w:rsid w:val="4FB8497E"/>
    <w:rsid w:val="4FC71BA0"/>
    <w:rsid w:val="4FD44B11"/>
    <w:rsid w:val="4FD80B7D"/>
    <w:rsid w:val="4FE61D11"/>
    <w:rsid w:val="4FFA6D45"/>
    <w:rsid w:val="501047BA"/>
    <w:rsid w:val="502142D2"/>
    <w:rsid w:val="5039516E"/>
    <w:rsid w:val="50681F00"/>
    <w:rsid w:val="507232D7"/>
    <w:rsid w:val="50B55994"/>
    <w:rsid w:val="50CC6E56"/>
    <w:rsid w:val="50DE6667"/>
    <w:rsid w:val="50E772C9"/>
    <w:rsid w:val="50F6750C"/>
    <w:rsid w:val="51171524"/>
    <w:rsid w:val="51330760"/>
    <w:rsid w:val="5192579B"/>
    <w:rsid w:val="51B3364F"/>
    <w:rsid w:val="51CE2237"/>
    <w:rsid w:val="51EE02EF"/>
    <w:rsid w:val="51FD18CF"/>
    <w:rsid w:val="520531AA"/>
    <w:rsid w:val="520B5239"/>
    <w:rsid w:val="5221680B"/>
    <w:rsid w:val="52263E21"/>
    <w:rsid w:val="524644C3"/>
    <w:rsid w:val="524F1749"/>
    <w:rsid w:val="52A116FA"/>
    <w:rsid w:val="52AE3E89"/>
    <w:rsid w:val="52CD6993"/>
    <w:rsid w:val="52DE294E"/>
    <w:rsid w:val="52F263F9"/>
    <w:rsid w:val="52F529C2"/>
    <w:rsid w:val="530074E4"/>
    <w:rsid w:val="53283F8F"/>
    <w:rsid w:val="532A7941"/>
    <w:rsid w:val="532D11DF"/>
    <w:rsid w:val="5345477B"/>
    <w:rsid w:val="534704F3"/>
    <w:rsid w:val="536410A5"/>
    <w:rsid w:val="536C61AC"/>
    <w:rsid w:val="53A939D4"/>
    <w:rsid w:val="53CB371C"/>
    <w:rsid w:val="53CF2AB7"/>
    <w:rsid w:val="53D61877"/>
    <w:rsid w:val="53EE096F"/>
    <w:rsid w:val="540D1D71"/>
    <w:rsid w:val="542B09E1"/>
    <w:rsid w:val="546D3F89"/>
    <w:rsid w:val="54A47DB3"/>
    <w:rsid w:val="54B27BEE"/>
    <w:rsid w:val="54C8216A"/>
    <w:rsid w:val="54CF07A0"/>
    <w:rsid w:val="54D20290"/>
    <w:rsid w:val="54D45DB6"/>
    <w:rsid w:val="54E16725"/>
    <w:rsid w:val="54E94CA1"/>
    <w:rsid w:val="54EB209C"/>
    <w:rsid w:val="54F77CF7"/>
    <w:rsid w:val="54FA3343"/>
    <w:rsid w:val="55157E55"/>
    <w:rsid w:val="551B39E5"/>
    <w:rsid w:val="551C150B"/>
    <w:rsid w:val="55214D74"/>
    <w:rsid w:val="55314FB7"/>
    <w:rsid w:val="553E5926"/>
    <w:rsid w:val="555C7B5A"/>
    <w:rsid w:val="556F5ADF"/>
    <w:rsid w:val="55713605"/>
    <w:rsid w:val="55A76017"/>
    <w:rsid w:val="55A97E6D"/>
    <w:rsid w:val="55D91A4A"/>
    <w:rsid w:val="55EB017F"/>
    <w:rsid w:val="55F358E5"/>
    <w:rsid w:val="55F57487"/>
    <w:rsid w:val="55F66200"/>
    <w:rsid w:val="55FA5DFE"/>
    <w:rsid w:val="562E3A5B"/>
    <w:rsid w:val="563B3BA0"/>
    <w:rsid w:val="566C01A4"/>
    <w:rsid w:val="567D5FDA"/>
    <w:rsid w:val="568461BA"/>
    <w:rsid w:val="56861DB7"/>
    <w:rsid w:val="569B6BD5"/>
    <w:rsid w:val="569C7CA0"/>
    <w:rsid w:val="56AF7E21"/>
    <w:rsid w:val="56D40166"/>
    <w:rsid w:val="56DD3113"/>
    <w:rsid w:val="56E95231"/>
    <w:rsid w:val="56EB5639"/>
    <w:rsid w:val="56ED782C"/>
    <w:rsid w:val="56FE5C72"/>
    <w:rsid w:val="570C5CDB"/>
    <w:rsid w:val="572D1F36"/>
    <w:rsid w:val="575B0482"/>
    <w:rsid w:val="575C2093"/>
    <w:rsid w:val="575E56A4"/>
    <w:rsid w:val="577259FA"/>
    <w:rsid w:val="577E46FF"/>
    <w:rsid w:val="57A23F4A"/>
    <w:rsid w:val="57AD28EF"/>
    <w:rsid w:val="57AE24E0"/>
    <w:rsid w:val="57B21375"/>
    <w:rsid w:val="57B63E99"/>
    <w:rsid w:val="57D32355"/>
    <w:rsid w:val="57FA1FD8"/>
    <w:rsid w:val="581110D0"/>
    <w:rsid w:val="5818420C"/>
    <w:rsid w:val="583F79EB"/>
    <w:rsid w:val="585D2567"/>
    <w:rsid w:val="58634DC4"/>
    <w:rsid w:val="58825B29"/>
    <w:rsid w:val="58861D6C"/>
    <w:rsid w:val="58B11F8B"/>
    <w:rsid w:val="58B74397"/>
    <w:rsid w:val="58BC0710"/>
    <w:rsid w:val="58C779E0"/>
    <w:rsid w:val="58EB36CF"/>
    <w:rsid w:val="58F5454D"/>
    <w:rsid w:val="58FA40FD"/>
    <w:rsid w:val="592E22B3"/>
    <w:rsid w:val="593D4BEC"/>
    <w:rsid w:val="5943350B"/>
    <w:rsid w:val="59527937"/>
    <w:rsid w:val="59597337"/>
    <w:rsid w:val="59747B68"/>
    <w:rsid w:val="597731B4"/>
    <w:rsid w:val="598D0C2A"/>
    <w:rsid w:val="59AA5338"/>
    <w:rsid w:val="59BB1895"/>
    <w:rsid w:val="59BB5797"/>
    <w:rsid w:val="59C06909"/>
    <w:rsid w:val="59F26E37"/>
    <w:rsid w:val="59F3198C"/>
    <w:rsid w:val="5A1B3170"/>
    <w:rsid w:val="5A225816"/>
    <w:rsid w:val="5A24333C"/>
    <w:rsid w:val="5A2570B4"/>
    <w:rsid w:val="5A2A0227"/>
    <w:rsid w:val="5A343383"/>
    <w:rsid w:val="5A6220B6"/>
    <w:rsid w:val="5A757F1C"/>
    <w:rsid w:val="5A983AE7"/>
    <w:rsid w:val="5AB24EC3"/>
    <w:rsid w:val="5AB26B9A"/>
    <w:rsid w:val="5ACB7C5C"/>
    <w:rsid w:val="5B09351B"/>
    <w:rsid w:val="5B10566E"/>
    <w:rsid w:val="5B44356A"/>
    <w:rsid w:val="5B4B6A98"/>
    <w:rsid w:val="5B871DD5"/>
    <w:rsid w:val="5B9F398F"/>
    <w:rsid w:val="5BD963A8"/>
    <w:rsid w:val="5BDB6196"/>
    <w:rsid w:val="5BF268AB"/>
    <w:rsid w:val="5BF671C1"/>
    <w:rsid w:val="5C001B87"/>
    <w:rsid w:val="5C067879"/>
    <w:rsid w:val="5C125416"/>
    <w:rsid w:val="5C29387B"/>
    <w:rsid w:val="5C33128D"/>
    <w:rsid w:val="5C344BD1"/>
    <w:rsid w:val="5C3B496D"/>
    <w:rsid w:val="5C4850FD"/>
    <w:rsid w:val="5C7E07A2"/>
    <w:rsid w:val="5C8C0E5F"/>
    <w:rsid w:val="5C950521"/>
    <w:rsid w:val="5CBA3AE4"/>
    <w:rsid w:val="5CCE4098"/>
    <w:rsid w:val="5CD03307"/>
    <w:rsid w:val="5CDA384F"/>
    <w:rsid w:val="5D3A60A5"/>
    <w:rsid w:val="5D3C4B72"/>
    <w:rsid w:val="5D6879E4"/>
    <w:rsid w:val="5D804D2D"/>
    <w:rsid w:val="5D861C18"/>
    <w:rsid w:val="5DB501CC"/>
    <w:rsid w:val="5DB942E1"/>
    <w:rsid w:val="5DBD4472"/>
    <w:rsid w:val="5DBE5856"/>
    <w:rsid w:val="5DC34C1A"/>
    <w:rsid w:val="5DFB43B4"/>
    <w:rsid w:val="5E367FE6"/>
    <w:rsid w:val="5E40312C"/>
    <w:rsid w:val="5E5D6E1D"/>
    <w:rsid w:val="5E87050B"/>
    <w:rsid w:val="5E923D8E"/>
    <w:rsid w:val="5EA70098"/>
    <w:rsid w:val="5F4408E8"/>
    <w:rsid w:val="5F4955F3"/>
    <w:rsid w:val="5F4C1B71"/>
    <w:rsid w:val="5F74364D"/>
    <w:rsid w:val="5F7C1524"/>
    <w:rsid w:val="5F8C6033"/>
    <w:rsid w:val="5F9340F2"/>
    <w:rsid w:val="5F9B7E51"/>
    <w:rsid w:val="5FA2420E"/>
    <w:rsid w:val="5FA647F3"/>
    <w:rsid w:val="5FBF7663"/>
    <w:rsid w:val="5FBF7F07"/>
    <w:rsid w:val="5FCD3B2E"/>
    <w:rsid w:val="5FF4730D"/>
    <w:rsid w:val="5FFC23DD"/>
    <w:rsid w:val="60011A2A"/>
    <w:rsid w:val="602D109E"/>
    <w:rsid w:val="602D6CC3"/>
    <w:rsid w:val="60421EA5"/>
    <w:rsid w:val="60644901"/>
    <w:rsid w:val="608368E3"/>
    <w:rsid w:val="608A5EC3"/>
    <w:rsid w:val="608C190D"/>
    <w:rsid w:val="60A725D1"/>
    <w:rsid w:val="60B847DE"/>
    <w:rsid w:val="60C969EB"/>
    <w:rsid w:val="60E03D35"/>
    <w:rsid w:val="6109328C"/>
    <w:rsid w:val="61371BA7"/>
    <w:rsid w:val="613D2AB4"/>
    <w:rsid w:val="613D6240"/>
    <w:rsid w:val="613F280A"/>
    <w:rsid w:val="61447E20"/>
    <w:rsid w:val="61477910"/>
    <w:rsid w:val="616965EC"/>
    <w:rsid w:val="618E3791"/>
    <w:rsid w:val="61997061"/>
    <w:rsid w:val="61B6058E"/>
    <w:rsid w:val="61C93292"/>
    <w:rsid w:val="61F824F8"/>
    <w:rsid w:val="62045801"/>
    <w:rsid w:val="62116135"/>
    <w:rsid w:val="62173786"/>
    <w:rsid w:val="62535B2B"/>
    <w:rsid w:val="62554F34"/>
    <w:rsid w:val="629923ED"/>
    <w:rsid w:val="629D3C8C"/>
    <w:rsid w:val="62A2184C"/>
    <w:rsid w:val="62BE3C02"/>
    <w:rsid w:val="63100901"/>
    <w:rsid w:val="631C57E4"/>
    <w:rsid w:val="633B34A5"/>
    <w:rsid w:val="635051A2"/>
    <w:rsid w:val="63743970"/>
    <w:rsid w:val="63B4281C"/>
    <w:rsid w:val="63E063D1"/>
    <w:rsid w:val="63E80317"/>
    <w:rsid w:val="63EE6769"/>
    <w:rsid w:val="63EE73DF"/>
    <w:rsid w:val="64185E13"/>
    <w:rsid w:val="646215BF"/>
    <w:rsid w:val="646677C2"/>
    <w:rsid w:val="646709F5"/>
    <w:rsid w:val="64841BFD"/>
    <w:rsid w:val="64D1062F"/>
    <w:rsid w:val="64DE3087"/>
    <w:rsid w:val="65006754"/>
    <w:rsid w:val="65073979"/>
    <w:rsid w:val="6509385A"/>
    <w:rsid w:val="650B4E2B"/>
    <w:rsid w:val="650E70C3"/>
    <w:rsid w:val="652D6B79"/>
    <w:rsid w:val="65391840"/>
    <w:rsid w:val="657C1C0D"/>
    <w:rsid w:val="65856959"/>
    <w:rsid w:val="65932DE0"/>
    <w:rsid w:val="65A473A6"/>
    <w:rsid w:val="65BC08CD"/>
    <w:rsid w:val="65C275E4"/>
    <w:rsid w:val="65F75DA9"/>
    <w:rsid w:val="660109D5"/>
    <w:rsid w:val="661A55F3"/>
    <w:rsid w:val="66240220"/>
    <w:rsid w:val="662B7E84"/>
    <w:rsid w:val="66527633"/>
    <w:rsid w:val="668A2779"/>
    <w:rsid w:val="66B617C0"/>
    <w:rsid w:val="66F116FF"/>
    <w:rsid w:val="66FE4F15"/>
    <w:rsid w:val="67136C12"/>
    <w:rsid w:val="67191D4F"/>
    <w:rsid w:val="67340937"/>
    <w:rsid w:val="674F5770"/>
    <w:rsid w:val="6780592A"/>
    <w:rsid w:val="679F04A6"/>
    <w:rsid w:val="679F30DA"/>
    <w:rsid w:val="67AB0BF9"/>
    <w:rsid w:val="67B66256"/>
    <w:rsid w:val="67C24194"/>
    <w:rsid w:val="67CB5558"/>
    <w:rsid w:val="67CE48E7"/>
    <w:rsid w:val="67EC3F14"/>
    <w:rsid w:val="67EE0368"/>
    <w:rsid w:val="68264723"/>
    <w:rsid w:val="683A1F7D"/>
    <w:rsid w:val="684A65BE"/>
    <w:rsid w:val="687C07E7"/>
    <w:rsid w:val="68880F3A"/>
    <w:rsid w:val="68952E84"/>
    <w:rsid w:val="68A37B22"/>
    <w:rsid w:val="68BB30BE"/>
    <w:rsid w:val="68CD2E07"/>
    <w:rsid w:val="68D40057"/>
    <w:rsid w:val="68D645F4"/>
    <w:rsid w:val="68EE304C"/>
    <w:rsid w:val="68F71C1C"/>
    <w:rsid w:val="68FD36D6"/>
    <w:rsid w:val="68FE3E64"/>
    <w:rsid w:val="6902504E"/>
    <w:rsid w:val="69171655"/>
    <w:rsid w:val="692844CB"/>
    <w:rsid w:val="69587E56"/>
    <w:rsid w:val="69813EAB"/>
    <w:rsid w:val="699D6C67"/>
    <w:rsid w:val="69A422AA"/>
    <w:rsid w:val="69C750A6"/>
    <w:rsid w:val="69CE5517"/>
    <w:rsid w:val="6A166485"/>
    <w:rsid w:val="6A313C26"/>
    <w:rsid w:val="6A366774"/>
    <w:rsid w:val="6A503CD9"/>
    <w:rsid w:val="6A527A52"/>
    <w:rsid w:val="6A73464E"/>
    <w:rsid w:val="6A7B2E18"/>
    <w:rsid w:val="6A813E93"/>
    <w:rsid w:val="6ACA3A8C"/>
    <w:rsid w:val="6AD37EE9"/>
    <w:rsid w:val="6AFC176B"/>
    <w:rsid w:val="6B0241B7"/>
    <w:rsid w:val="6B0612AC"/>
    <w:rsid w:val="6B150577"/>
    <w:rsid w:val="6B2B487C"/>
    <w:rsid w:val="6B3233DF"/>
    <w:rsid w:val="6B454EC0"/>
    <w:rsid w:val="6B460C38"/>
    <w:rsid w:val="6B8044C1"/>
    <w:rsid w:val="6B822ED8"/>
    <w:rsid w:val="6B917038"/>
    <w:rsid w:val="6BC77FCB"/>
    <w:rsid w:val="6BC93D43"/>
    <w:rsid w:val="6BDA27FB"/>
    <w:rsid w:val="6BE709D1"/>
    <w:rsid w:val="6BF33773"/>
    <w:rsid w:val="6BF40694"/>
    <w:rsid w:val="6BF90704"/>
    <w:rsid w:val="6C1F1BB5"/>
    <w:rsid w:val="6C34020F"/>
    <w:rsid w:val="6C4977BE"/>
    <w:rsid w:val="6C5F1FB2"/>
    <w:rsid w:val="6C8E13C7"/>
    <w:rsid w:val="6CAD65E6"/>
    <w:rsid w:val="6CBB6F39"/>
    <w:rsid w:val="6CC57153"/>
    <w:rsid w:val="6CF564A3"/>
    <w:rsid w:val="6CFE479A"/>
    <w:rsid w:val="6D142D9C"/>
    <w:rsid w:val="6D1B2073"/>
    <w:rsid w:val="6D2C384B"/>
    <w:rsid w:val="6D2C6D98"/>
    <w:rsid w:val="6D3005C9"/>
    <w:rsid w:val="6D3542BD"/>
    <w:rsid w:val="6D5A3980"/>
    <w:rsid w:val="6D8C327A"/>
    <w:rsid w:val="6D8D2A82"/>
    <w:rsid w:val="6DD8201C"/>
    <w:rsid w:val="6DD95D94"/>
    <w:rsid w:val="6DDF784E"/>
    <w:rsid w:val="6E2468F8"/>
    <w:rsid w:val="6E4E4F20"/>
    <w:rsid w:val="6E69536A"/>
    <w:rsid w:val="6E6E472E"/>
    <w:rsid w:val="6E8D72AA"/>
    <w:rsid w:val="6E900B48"/>
    <w:rsid w:val="6E95615F"/>
    <w:rsid w:val="6E986C71"/>
    <w:rsid w:val="6ED1087C"/>
    <w:rsid w:val="6EEE56CD"/>
    <w:rsid w:val="6EF2710D"/>
    <w:rsid w:val="6F2179F2"/>
    <w:rsid w:val="6F2678A4"/>
    <w:rsid w:val="6F2E0BF5"/>
    <w:rsid w:val="6F5124AE"/>
    <w:rsid w:val="6F5222A2"/>
    <w:rsid w:val="6F835F56"/>
    <w:rsid w:val="6F8E2E2E"/>
    <w:rsid w:val="6FB62831"/>
    <w:rsid w:val="6FC7059A"/>
    <w:rsid w:val="6FED6605"/>
    <w:rsid w:val="6FF14A55"/>
    <w:rsid w:val="70291255"/>
    <w:rsid w:val="702C664F"/>
    <w:rsid w:val="702D4E7B"/>
    <w:rsid w:val="705067E1"/>
    <w:rsid w:val="705D4A5A"/>
    <w:rsid w:val="707149AA"/>
    <w:rsid w:val="709D12FB"/>
    <w:rsid w:val="70B825D8"/>
    <w:rsid w:val="70DE247E"/>
    <w:rsid w:val="70F13108"/>
    <w:rsid w:val="70F40F7A"/>
    <w:rsid w:val="711205DD"/>
    <w:rsid w:val="711D51D2"/>
    <w:rsid w:val="71265794"/>
    <w:rsid w:val="71286CFB"/>
    <w:rsid w:val="712D491D"/>
    <w:rsid w:val="71306613"/>
    <w:rsid w:val="713A123F"/>
    <w:rsid w:val="714208B2"/>
    <w:rsid w:val="714C10CE"/>
    <w:rsid w:val="714C7FF0"/>
    <w:rsid w:val="714F6A99"/>
    <w:rsid w:val="71593474"/>
    <w:rsid w:val="7161057A"/>
    <w:rsid w:val="71657C36"/>
    <w:rsid w:val="717B788E"/>
    <w:rsid w:val="719D5B0A"/>
    <w:rsid w:val="71AF7537"/>
    <w:rsid w:val="71C37B6F"/>
    <w:rsid w:val="71D32236"/>
    <w:rsid w:val="71DD2F93"/>
    <w:rsid w:val="71E931C4"/>
    <w:rsid w:val="721D44A4"/>
    <w:rsid w:val="722069BE"/>
    <w:rsid w:val="723637B5"/>
    <w:rsid w:val="72433943"/>
    <w:rsid w:val="724A740F"/>
    <w:rsid w:val="72506D9C"/>
    <w:rsid w:val="72540483"/>
    <w:rsid w:val="72895FDA"/>
    <w:rsid w:val="72A526E9"/>
    <w:rsid w:val="730E4732"/>
    <w:rsid w:val="7327134F"/>
    <w:rsid w:val="73335F32"/>
    <w:rsid w:val="733D0B73"/>
    <w:rsid w:val="73410663"/>
    <w:rsid w:val="7349131D"/>
    <w:rsid w:val="73781BAB"/>
    <w:rsid w:val="737E3665"/>
    <w:rsid w:val="73972979"/>
    <w:rsid w:val="73A47E25"/>
    <w:rsid w:val="73AC75FB"/>
    <w:rsid w:val="73BD4394"/>
    <w:rsid w:val="73C80D84"/>
    <w:rsid w:val="73DC213A"/>
    <w:rsid w:val="73E00383"/>
    <w:rsid w:val="740A4EF9"/>
    <w:rsid w:val="741C4C2C"/>
    <w:rsid w:val="741E2752"/>
    <w:rsid w:val="744E5AB7"/>
    <w:rsid w:val="745F1E4B"/>
    <w:rsid w:val="74634609"/>
    <w:rsid w:val="746740F9"/>
    <w:rsid w:val="74795BDB"/>
    <w:rsid w:val="748F53FE"/>
    <w:rsid w:val="74A97F50"/>
    <w:rsid w:val="74D07EF1"/>
    <w:rsid w:val="74E15E70"/>
    <w:rsid w:val="74F02341"/>
    <w:rsid w:val="74F905B1"/>
    <w:rsid w:val="74FB5A2B"/>
    <w:rsid w:val="751B7222"/>
    <w:rsid w:val="7530098F"/>
    <w:rsid w:val="753C7334"/>
    <w:rsid w:val="75410DEE"/>
    <w:rsid w:val="75526B58"/>
    <w:rsid w:val="75644ADD"/>
    <w:rsid w:val="756643B1"/>
    <w:rsid w:val="75AD1FE0"/>
    <w:rsid w:val="75D05CCE"/>
    <w:rsid w:val="75D831EF"/>
    <w:rsid w:val="75DA7C0D"/>
    <w:rsid w:val="75E61C85"/>
    <w:rsid w:val="75E65FB4"/>
    <w:rsid w:val="760E4F86"/>
    <w:rsid w:val="76123CE0"/>
    <w:rsid w:val="762373BD"/>
    <w:rsid w:val="763B75EC"/>
    <w:rsid w:val="768947FB"/>
    <w:rsid w:val="76C10813"/>
    <w:rsid w:val="77130569"/>
    <w:rsid w:val="77363AF2"/>
    <w:rsid w:val="773A78A3"/>
    <w:rsid w:val="773D3BE0"/>
    <w:rsid w:val="775007C6"/>
    <w:rsid w:val="7783749C"/>
    <w:rsid w:val="77884E32"/>
    <w:rsid w:val="77935205"/>
    <w:rsid w:val="779C40BA"/>
    <w:rsid w:val="77A13DC6"/>
    <w:rsid w:val="77A47413"/>
    <w:rsid w:val="77B2124F"/>
    <w:rsid w:val="77BF73B3"/>
    <w:rsid w:val="77C27899"/>
    <w:rsid w:val="77CA22DF"/>
    <w:rsid w:val="77DC095A"/>
    <w:rsid w:val="77ED2B68"/>
    <w:rsid w:val="77F02C87"/>
    <w:rsid w:val="77FD4D9B"/>
    <w:rsid w:val="77FE6B23"/>
    <w:rsid w:val="782B3690"/>
    <w:rsid w:val="78394E53"/>
    <w:rsid w:val="784263EB"/>
    <w:rsid w:val="784D7AAA"/>
    <w:rsid w:val="785E75C1"/>
    <w:rsid w:val="78B6564F"/>
    <w:rsid w:val="78D0113A"/>
    <w:rsid w:val="78E6162C"/>
    <w:rsid w:val="790C1713"/>
    <w:rsid w:val="7923202E"/>
    <w:rsid w:val="79665461"/>
    <w:rsid w:val="79696B98"/>
    <w:rsid w:val="796B643A"/>
    <w:rsid w:val="79833D74"/>
    <w:rsid w:val="79871BB9"/>
    <w:rsid w:val="79A50AA4"/>
    <w:rsid w:val="79BE3826"/>
    <w:rsid w:val="79D852C1"/>
    <w:rsid w:val="79F06E8E"/>
    <w:rsid w:val="7A0D233D"/>
    <w:rsid w:val="7A251E31"/>
    <w:rsid w:val="7A2E2EA2"/>
    <w:rsid w:val="7A3F3423"/>
    <w:rsid w:val="7A594430"/>
    <w:rsid w:val="7A61783D"/>
    <w:rsid w:val="7A813A3B"/>
    <w:rsid w:val="7A82009A"/>
    <w:rsid w:val="7AB4796D"/>
    <w:rsid w:val="7AC53928"/>
    <w:rsid w:val="7ACA53E2"/>
    <w:rsid w:val="7AD941A7"/>
    <w:rsid w:val="7AE91D0C"/>
    <w:rsid w:val="7AFB1A3F"/>
    <w:rsid w:val="7AFD57B8"/>
    <w:rsid w:val="7AFE57A6"/>
    <w:rsid w:val="7B476A33"/>
    <w:rsid w:val="7B7613A5"/>
    <w:rsid w:val="7B7664D6"/>
    <w:rsid w:val="7B845591"/>
    <w:rsid w:val="7BA7411D"/>
    <w:rsid w:val="7BBC2F7D"/>
    <w:rsid w:val="7BD81D81"/>
    <w:rsid w:val="7BE3278D"/>
    <w:rsid w:val="7C0A27CB"/>
    <w:rsid w:val="7C0B180E"/>
    <w:rsid w:val="7C43544C"/>
    <w:rsid w:val="7C7A54D9"/>
    <w:rsid w:val="7C7E237D"/>
    <w:rsid w:val="7C804C27"/>
    <w:rsid w:val="7C951510"/>
    <w:rsid w:val="7C9C2DAE"/>
    <w:rsid w:val="7CAC03E3"/>
    <w:rsid w:val="7CB05FF7"/>
    <w:rsid w:val="7CBA4FE2"/>
    <w:rsid w:val="7CD9006D"/>
    <w:rsid w:val="7CF16C56"/>
    <w:rsid w:val="7CF46BED"/>
    <w:rsid w:val="7CF621F6"/>
    <w:rsid w:val="7D0753DD"/>
    <w:rsid w:val="7D0B1D41"/>
    <w:rsid w:val="7D191D36"/>
    <w:rsid w:val="7D1D0EF5"/>
    <w:rsid w:val="7D24527D"/>
    <w:rsid w:val="7D376633"/>
    <w:rsid w:val="7D3B3B39"/>
    <w:rsid w:val="7D506401"/>
    <w:rsid w:val="7D6507AA"/>
    <w:rsid w:val="7D6D67EE"/>
    <w:rsid w:val="7D7F0706"/>
    <w:rsid w:val="7D8201F6"/>
    <w:rsid w:val="7DC40580"/>
    <w:rsid w:val="7DC95924"/>
    <w:rsid w:val="7DDB3462"/>
    <w:rsid w:val="7DE53484"/>
    <w:rsid w:val="7DE844FD"/>
    <w:rsid w:val="7E135544"/>
    <w:rsid w:val="7E1626EC"/>
    <w:rsid w:val="7E265CC0"/>
    <w:rsid w:val="7E544C99"/>
    <w:rsid w:val="7E6B6EDC"/>
    <w:rsid w:val="7E6E2FBA"/>
    <w:rsid w:val="7E751792"/>
    <w:rsid w:val="7E857F9E"/>
    <w:rsid w:val="7E8D77F7"/>
    <w:rsid w:val="7E9B156F"/>
    <w:rsid w:val="7EAD5FB9"/>
    <w:rsid w:val="7EC91D78"/>
    <w:rsid w:val="7ED00580"/>
    <w:rsid w:val="7ED2256C"/>
    <w:rsid w:val="7ED30E3D"/>
    <w:rsid w:val="7F070F8A"/>
    <w:rsid w:val="7F233313"/>
    <w:rsid w:val="7F2552DD"/>
    <w:rsid w:val="7F405C73"/>
    <w:rsid w:val="7F6A648E"/>
    <w:rsid w:val="7F6B254A"/>
    <w:rsid w:val="7F8F589D"/>
    <w:rsid w:val="7F96077B"/>
    <w:rsid w:val="7F9B559F"/>
    <w:rsid w:val="7FA722B7"/>
    <w:rsid w:val="7FB22291"/>
    <w:rsid w:val="7FBC5C32"/>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50"/>
    <w:qFormat/>
    <w:uiPriority w:val="0"/>
    <w:pPr>
      <w:keepNext/>
      <w:keepLines/>
      <w:spacing w:after="120" w:line="360" w:lineRule="auto"/>
      <w:jc w:val="left"/>
      <w:outlineLvl w:val="0"/>
    </w:pPr>
    <w:rPr>
      <w:rFonts w:ascii="Times New Roman" w:hAnsi="Times New Roman" w:eastAsia="宋体" w:cs="Times New Roman"/>
      <w:kern w:val="44"/>
      <w:sz w:val="28"/>
      <w:szCs w:val="28"/>
    </w:rPr>
  </w:style>
  <w:style w:type="paragraph" w:styleId="5">
    <w:name w:val="heading 2"/>
    <w:basedOn w:val="1"/>
    <w:next w:val="1"/>
    <w:link w:val="51"/>
    <w:qFormat/>
    <w:uiPriority w:val="0"/>
    <w:pPr>
      <w:keepNext/>
      <w:keepLines/>
      <w:spacing w:before="120" w:after="120" w:line="415" w:lineRule="auto"/>
      <w:ind w:left="454"/>
      <w:jc w:val="center"/>
      <w:outlineLvl w:val="1"/>
    </w:pPr>
    <w:rPr>
      <w:rFonts w:ascii="Arial" w:hAnsi="Arial" w:eastAsia="宋体" w:cs="Times New Roman"/>
      <w:b/>
      <w:color w:val="000000"/>
      <w:sz w:val="24"/>
      <w:szCs w:val="24"/>
    </w:rPr>
  </w:style>
  <w:style w:type="paragraph" w:styleId="6">
    <w:name w:val="heading 3"/>
    <w:basedOn w:val="1"/>
    <w:next w:val="1"/>
    <w:link w:val="52"/>
    <w:qFormat/>
    <w:uiPriority w:val="0"/>
    <w:pPr>
      <w:widowControl/>
      <w:spacing w:before="100" w:beforeAutospacing="1" w:after="100" w:afterAutospacing="1"/>
      <w:jc w:val="left"/>
      <w:outlineLvl w:val="2"/>
    </w:pPr>
    <w:rPr>
      <w:rFonts w:ascii="宋体" w:hAnsi="宋体" w:eastAsia="宋体" w:cs="宋体"/>
      <w:kern w:val="0"/>
      <w:sz w:val="27"/>
      <w:szCs w:val="27"/>
    </w:rPr>
  </w:style>
  <w:style w:type="paragraph" w:styleId="7">
    <w:name w:val="heading 4"/>
    <w:basedOn w:val="6"/>
    <w:next w:val="8"/>
    <w:link w:val="53"/>
    <w:qFormat/>
    <w:uiPriority w:val="0"/>
    <w:pPr>
      <w:keepNext/>
      <w:keepLines/>
      <w:widowControl w:val="0"/>
      <w:spacing w:before="0" w:beforeLines="50" w:beforeAutospacing="0" w:after="0" w:afterLines="50" w:afterAutospacing="0" w:line="360" w:lineRule="auto"/>
      <w:ind w:left="284" w:hanging="284"/>
      <w:outlineLvl w:val="3"/>
    </w:pPr>
    <w:rPr>
      <w:rFonts w:ascii="Arial" w:hAnsi="Arial" w:cs="Times New Roman"/>
      <w:color w:val="000000"/>
      <w:kern w:val="2"/>
      <w:sz w:val="21"/>
      <w:szCs w:val="21"/>
    </w:rPr>
  </w:style>
  <w:style w:type="paragraph" w:styleId="9">
    <w:name w:val="heading 5"/>
    <w:basedOn w:val="7"/>
    <w:next w:val="8"/>
    <w:link w:val="54"/>
    <w:qFormat/>
    <w:uiPriority w:val="0"/>
    <w:pPr>
      <w:spacing w:line="240" w:lineRule="exact"/>
      <w:outlineLvl w:val="4"/>
    </w:pPr>
  </w:style>
  <w:style w:type="paragraph" w:styleId="10">
    <w:name w:val="heading 6"/>
    <w:basedOn w:val="1"/>
    <w:next w:val="1"/>
    <w:link w:val="55"/>
    <w:qFormat/>
    <w:uiPriority w:val="0"/>
    <w:pPr>
      <w:keepNext/>
      <w:keepLines/>
      <w:spacing w:before="240" w:after="64" w:line="320" w:lineRule="auto"/>
      <w:outlineLvl w:val="5"/>
    </w:pPr>
    <w:rPr>
      <w:rFonts w:ascii="Arial" w:hAnsi="Arial" w:eastAsia="黑体" w:cs="Times New Roman"/>
      <w:b/>
      <w:bCs/>
      <w:sz w:val="24"/>
      <w:szCs w:val="24"/>
    </w:rPr>
  </w:style>
  <w:style w:type="paragraph" w:styleId="11">
    <w:name w:val="heading 7"/>
    <w:basedOn w:val="1"/>
    <w:next w:val="8"/>
    <w:link w:val="56"/>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2">
    <w:name w:val="heading 8"/>
    <w:basedOn w:val="1"/>
    <w:next w:val="8"/>
    <w:link w:val="57"/>
    <w:qFormat/>
    <w:uiPriority w:val="0"/>
    <w:pPr>
      <w:keepNext/>
      <w:keepLines/>
      <w:spacing w:before="240" w:after="64" w:line="320" w:lineRule="auto"/>
      <w:outlineLvl w:val="7"/>
    </w:pPr>
    <w:rPr>
      <w:rFonts w:ascii="Arial" w:hAnsi="Arial" w:eastAsia="黑体" w:cs="Times New Roman"/>
      <w:sz w:val="24"/>
      <w:szCs w:val="20"/>
    </w:rPr>
  </w:style>
  <w:style w:type="paragraph" w:styleId="13">
    <w:name w:val="heading 9"/>
    <w:basedOn w:val="1"/>
    <w:next w:val="8"/>
    <w:link w:val="58"/>
    <w:qFormat/>
    <w:uiPriority w:val="0"/>
    <w:pPr>
      <w:keepNext/>
      <w:keepLines/>
      <w:spacing w:before="240" w:after="64" w:line="320" w:lineRule="auto"/>
      <w:outlineLvl w:val="8"/>
    </w:pPr>
    <w:rPr>
      <w:rFonts w:ascii="Arial" w:hAnsi="Arial" w:eastAsia="黑体" w:cs="Times New Roman"/>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ind w:left="420" w:leftChars="200" w:firstLine="420" w:firstLineChars="200"/>
    </w:pPr>
    <w:rPr>
      <w:sz w:val="21"/>
      <w:szCs w:val="24"/>
    </w:rPr>
  </w:style>
  <w:style w:type="paragraph" w:styleId="3">
    <w:name w:val="Body Text Indent"/>
    <w:basedOn w:val="1"/>
    <w:next w:val="2"/>
    <w:link w:val="62"/>
    <w:qFormat/>
    <w:uiPriority w:val="0"/>
    <w:pPr>
      <w:ind w:firstLine="570"/>
    </w:pPr>
    <w:rPr>
      <w:rFonts w:ascii="Times New Roman" w:hAnsi="Times New Roman" w:eastAsia="宋体" w:cs="Times New Roman"/>
      <w:sz w:val="28"/>
      <w:szCs w:val="20"/>
    </w:rPr>
  </w:style>
  <w:style w:type="paragraph" w:styleId="8">
    <w:name w:val="Normal Indent"/>
    <w:basedOn w:val="1"/>
    <w:qFormat/>
    <w:uiPriority w:val="0"/>
    <w:pPr>
      <w:ind w:firstLine="420"/>
    </w:pPr>
    <w:rPr>
      <w:rFonts w:ascii="Times New Roman" w:hAnsi="Times New Roman" w:eastAsia="宋体" w:cs="Times New Roman"/>
      <w:szCs w:val="20"/>
    </w:rPr>
  </w:style>
  <w:style w:type="paragraph" w:styleId="14">
    <w:name w:val="caption"/>
    <w:basedOn w:val="1"/>
    <w:next w:val="1"/>
    <w:qFormat/>
    <w:uiPriority w:val="0"/>
    <w:rPr>
      <w:rFonts w:ascii="Cambria" w:hAnsi="Cambria" w:eastAsia="黑体" w:cs="Times New Roman"/>
      <w:sz w:val="20"/>
      <w:szCs w:val="20"/>
    </w:rPr>
  </w:style>
  <w:style w:type="paragraph" w:styleId="15">
    <w:name w:val="Document Map"/>
    <w:basedOn w:val="1"/>
    <w:link w:val="59"/>
    <w:qFormat/>
    <w:uiPriority w:val="0"/>
    <w:pPr>
      <w:shd w:val="clear" w:color="auto" w:fill="000080"/>
    </w:pPr>
    <w:rPr>
      <w:rFonts w:ascii="Times New Roman" w:hAnsi="Times New Roman" w:eastAsia="宋体" w:cs="Times New Roman"/>
      <w:szCs w:val="20"/>
    </w:rPr>
  </w:style>
  <w:style w:type="paragraph" w:styleId="16">
    <w:name w:val="annotation text"/>
    <w:basedOn w:val="1"/>
    <w:next w:val="17"/>
    <w:link w:val="60"/>
    <w:qFormat/>
    <w:uiPriority w:val="0"/>
    <w:pPr>
      <w:spacing w:line="360" w:lineRule="auto"/>
      <w:ind w:firstLine="523" w:firstLineChars="218"/>
      <w:jc w:val="left"/>
    </w:pPr>
    <w:rPr>
      <w:rFonts w:ascii="宋体" w:hAnsi="宋体" w:eastAsia="宋体" w:cs="Times New Roman"/>
      <w:sz w:val="24"/>
      <w:szCs w:val="24"/>
    </w:rPr>
  </w:style>
  <w:style w:type="paragraph" w:styleId="17">
    <w:name w:val="Balloon Text"/>
    <w:basedOn w:val="1"/>
    <w:link w:val="67"/>
    <w:qFormat/>
    <w:uiPriority w:val="0"/>
    <w:rPr>
      <w:rFonts w:ascii="Times New Roman" w:hAnsi="Times New Roman" w:eastAsia="宋体" w:cs="Times New Roman"/>
      <w:sz w:val="18"/>
      <w:szCs w:val="18"/>
    </w:rPr>
  </w:style>
  <w:style w:type="paragraph" w:styleId="18">
    <w:name w:val="Body Text"/>
    <w:basedOn w:val="1"/>
    <w:next w:val="19"/>
    <w:link w:val="61"/>
    <w:qFormat/>
    <w:uiPriority w:val="0"/>
    <w:pPr>
      <w:spacing w:after="120"/>
    </w:pPr>
    <w:rPr>
      <w:rFonts w:ascii="Times New Roman" w:hAnsi="Times New Roman" w:eastAsia="宋体" w:cs="Times New Roman"/>
      <w:szCs w:val="20"/>
    </w:rPr>
  </w:style>
  <w:style w:type="paragraph" w:styleId="19">
    <w:name w:val="Body Text First Indent"/>
    <w:basedOn w:val="18"/>
    <w:link w:val="75"/>
    <w:qFormat/>
    <w:uiPriority w:val="0"/>
    <w:pPr>
      <w:ind w:firstLine="420"/>
    </w:pPr>
  </w:style>
  <w:style w:type="paragraph" w:styleId="20">
    <w:name w:val="toc 3"/>
    <w:basedOn w:val="1"/>
    <w:next w:val="1"/>
    <w:qFormat/>
    <w:uiPriority w:val="39"/>
    <w:pPr>
      <w:snapToGrid w:val="0"/>
      <w:spacing w:line="360" w:lineRule="auto"/>
      <w:ind w:left="400" w:leftChars="400"/>
      <w:jc w:val="left"/>
    </w:pPr>
    <w:rPr>
      <w:rFonts w:ascii="Times New Roman" w:hAnsi="Times New Roman" w:eastAsia="宋体" w:cs="Times New Roman"/>
      <w:sz w:val="24"/>
      <w:szCs w:val="20"/>
    </w:rPr>
  </w:style>
  <w:style w:type="paragraph" w:styleId="21">
    <w:name w:val="Plain Text"/>
    <w:basedOn w:val="1"/>
    <w:link w:val="63"/>
    <w:qFormat/>
    <w:uiPriority w:val="0"/>
    <w:rPr>
      <w:rFonts w:ascii="宋体" w:hAnsi="Courier New" w:eastAsia="宋体" w:cs="Times New Roman"/>
      <w:szCs w:val="20"/>
    </w:rPr>
  </w:style>
  <w:style w:type="paragraph" w:styleId="22">
    <w:name w:val="Date"/>
    <w:basedOn w:val="1"/>
    <w:next w:val="1"/>
    <w:link w:val="64"/>
    <w:qFormat/>
    <w:uiPriority w:val="0"/>
    <w:rPr>
      <w:rFonts w:ascii="Times New Roman" w:hAnsi="Times New Roman" w:eastAsia="宋体" w:cs="Times New Roman"/>
      <w:szCs w:val="20"/>
    </w:rPr>
  </w:style>
  <w:style w:type="paragraph" w:styleId="23">
    <w:name w:val="Body Text Indent 2"/>
    <w:basedOn w:val="1"/>
    <w:link w:val="65"/>
    <w:qFormat/>
    <w:uiPriority w:val="0"/>
    <w:pPr>
      <w:spacing w:line="400" w:lineRule="exact"/>
      <w:ind w:left="425"/>
    </w:pPr>
    <w:rPr>
      <w:rFonts w:ascii="Times New Roman" w:hAnsi="Times New Roman" w:eastAsia="宋体" w:cs="Times New Roman"/>
      <w:color w:val="000000"/>
      <w:sz w:val="24"/>
      <w:szCs w:val="20"/>
    </w:rPr>
  </w:style>
  <w:style w:type="paragraph" w:styleId="24">
    <w:name w:val="endnote text"/>
    <w:basedOn w:val="1"/>
    <w:link w:val="66"/>
    <w:qFormat/>
    <w:uiPriority w:val="0"/>
    <w:pPr>
      <w:snapToGrid w:val="0"/>
      <w:jc w:val="left"/>
    </w:pPr>
    <w:rPr>
      <w:rFonts w:ascii="Times New Roman" w:hAnsi="Times New Roman" w:eastAsia="宋体" w:cs="Times New Roman"/>
      <w:szCs w:val="20"/>
    </w:rPr>
  </w:style>
  <w:style w:type="paragraph" w:styleId="25">
    <w:name w:val="footer"/>
    <w:basedOn w:val="1"/>
    <w:link w:val="68"/>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6">
    <w:name w:val="header"/>
    <w:basedOn w:val="1"/>
    <w:link w:val="69"/>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7">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eastAsia="宋体" w:cs="Times New Roman"/>
      <w:caps/>
      <w:kern w:val="0"/>
      <w:sz w:val="24"/>
      <w:szCs w:val="32"/>
    </w:rPr>
  </w:style>
  <w:style w:type="paragraph" w:styleId="28">
    <w:name w:val="toc 4"/>
    <w:basedOn w:val="1"/>
    <w:next w:val="1"/>
    <w:unhideWhenUsed/>
    <w:qFormat/>
    <w:uiPriority w:val="39"/>
    <w:pPr>
      <w:ind w:left="1260" w:leftChars="600"/>
    </w:pPr>
    <w:rPr>
      <w:rFonts w:ascii="Times New Roman" w:hAnsi="Times New Roman" w:eastAsia="宋体" w:cs="Times New Roman"/>
    </w:rPr>
  </w:style>
  <w:style w:type="paragraph" w:styleId="29">
    <w:name w:val="index heading"/>
    <w:basedOn w:val="1"/>
    <w:next w:val="30"/>
    <w:qFormat/>
    <w:uiPriority w:val="0"/>
    <w:rPr>
      <w:rFonts w:ascii="Times New Roman" w:hAnsi="Times New Roman" w:eastAsia="宋体" w:cs="Times New Roman"/>
      <w:szCs w:val="20"/>
    </w:rPr>
  </w:style>
  <w:style w:type="paragraph" w:styleId="30">
    <w:name w:val="index 1"/>
    <w:basedOn w:val="1"/>
    <w:next w:val="1"/>
    <w:unhideWhenUsed/>
    <w:qFormat/>
    <w:uiPriority w:val="0"/>
  </w:style>
  <w:style w:type="paragraph" w:styleId="31">
    <w:name w:val="footnote text"/>
    <w:basedOn w:val="1"/>
    <w:link w:val="70"/>
    <w:qFormat/>
    <w:uiPriority w:val="0"/>
    <w:pPr>
      <w:snapToGrid w:val="0"/>
      <w:spacing w:line="360" w:lineRule="auto"/>
      <w:ind w:firstLine="523" w:firstLineChars="218"/>
      <w:jc w:val="left"/>
    </w:pPr>
    <w:rPr>
      <w:rFonts w:ascii="宋体" w:hAnsi="宋体" w:eastAsia="宋体" w:cs="Times New Roman"/>
      <w:sz w:val="18"/>
      <w:szCs w:val="18"/>
    </w:rPr>
  </w:style>
  <w:style w:type="paragraph" w:styleId="32">
    <w:name w:val="Body Text Indent 3"/>
    <w:basedOn w:val="1"/>
    <w:link w:val="71"/>
    <w:qFormat/>
    <w:uiPriority w:val="0"/>
    <w:pPr>
      <w:tabs>
        <w:tab w:val="left" w:pos="0"/>
      </w:tabs>
      <w:spacing w:line="400" w:lineRule="exact"/>
      <w:ind w:left="563" w:leftChars="228" w:hanging="84" w:hangingChars="35"/>
    </w:pPr>
    <w:rPr>
      <w:rFonts w:ascii="Times New Roman" w:hAnsi="Times New Roman" w:eastAsia="宋体" w:cs="Times New Roman"/>
      <w:color w:val="000000"/>
      <w:sz w:val="24"/>
      <w:szCs w:val="20"/>
    </w:rPr>
  </w:style>
  <w:style w:type="paragraph" w:styleId="33">
    <w:name w:val="toc 2"/>
    <w:basedOn w:val="1"/>
    <w:next w:val="1"/>
    <w:qFormat/>
    <w:uiPriority w:val="39"/>
    <w:pPr>
      <w:tabs>
        <w:tab w:val="right" w:leader="dot" w:pos="9060"/>
      </w:tabs>
      <w:snapToGrid w:val="0"/>
      <w:spacing w:line="360" w:lineRule="auto"/>
      <w:ind w:left="420" w:leftChars="200"/>
      <w:jc w:val="left"/>
    </w:pPr>
    <w:rPr>
      <w:rFonts w:ascii="Times New Roman" w:hAnsi="Times New Roman" w:eastAsia="宋体" w:cs="Times New Roman"/>
      <w:sz w:val="24"/>
      <w:szCs w:val="24"/>
    </w:rPr>
  </w:style>
  <w:style w:type="paragraph" w:styleId="34">
    <w:name w:val="Body Text 2"/>
    <w:basedOn w:val="1"/>
    <w:link w:val="72"/>
    <w:qFormat/>
    <w:uiPriority w:val="0"/>
    <w:rPr>
      <w:rFonts w:ascii="宋体" w:hAnsi="宋体" w:eastAsia="宋体" w:cs="Times New Roman"/>
      <w:szCs w:val="24"/>
      <w:u w:val="single"/>
    </w:rPr>
  </w:style>
  <w:style w:type="paragraph" w:styleId="35">
    <w:name w:val="Normal (Web)"/>
    <w:basedOn w:val="1"/>
    <w:qFormat/>
    <w:uiPriority w:val="0"/>
    <w:pPr>
      <w:jc w:val="left"/>
    </w:pPr>
    <w:rPr>
      <w:rFonts w:ascii="Times New Roman" w:hAnsi="Times New Roman" w:eastAsia="宋体" w:cs="Times New Roman"/>
      <w:kern w:val="0"/>
      <w:sz w:val="24"/>
    </w:rPr>
  </w:style>
  <w:style w:type="paragraph" w:styleId="36">
    <w:name w:val="Title"/>
    <w:basedOn w:val="1"/>
    <w:next w:val="1"/>
    <w:link w:val="73"/>
    <w:qFormat/>
    <w:uiPriority w:val="0"/>
    <w:pPr>
      <w:spacing w:before="120" w:after="60"/>
      <w:jc w:val="center"/>
    </w:pPr>
    <w:rPr>
      <w:rFonts w:ascii="Arial" w:hAnsi="Arial" w:eastAsia="宋体" w:cs="Times New Roman"/>
      <w:b/>
      <w:sz w:val="44"/>
      <w:szCs w:val="20"/>
    </w:rPr>
  </w:style>
  <w:style w:type="paragraph" w:styleId="37">
    <w:name w:val="annotation subject"/>
    <w:basedOn w:val="16"/>
    <w:next w:val="16"/>
    <w:link w:val="74"/>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rPr>
  </w:style>
  <w:style w:type="character" w:styleId="42">
    <w:name w:val="endnote reference"/>
    <w:qFormat/>
    <w:uiPriority w:val="0"/>
    <w:rPr>
      <w:vertAlign w:val="superscript"/>
    </w:rPr>
  </w:style>
  <w:style w:type="character" w:styleId="43">
    <w:name w:val="page number"/>
    <w:qFormat/>
    <w:uiPriority w:val="0"/>
    <w:rPr>
      <w:rFonts w:cs="Times New Roman"/>
    </w:rPr>
  </w:style>
  <w:style w:type="character" w:styleId="44">
    <w:name w:val="FollowedHyperlink"/>
    <w:unhideWhenUsed/>
    <w:qFormat/>
    <w:uiPriority w:val="99"/>
    <w:rPr>
      <w:color w:val="954F72"/>
      <w:u w:val="single"/>
    </w:rPr>
  </w:style>
  <w:style w:type="character" w:styleId="45">
    <w:name w:val="Hyperlink"/>
    <w:qFormat/>
    <w:uiPriority w:val="99"/>
    <w:rPr>
      <w:color w:val="0000FF"/>
      <w:u w:val="single"/>
    </w:rPr>
  </w:style>
  <w:style w:type="character" w:styleId="46">
    <w:name w:val="annotation reference"/>
    <w:qFormat/>
    <w:uiPriority w:val="99"/>
    <w:rPr>
      <w:sz w:val="21"/>
      <w:szCs w:val="21"/>
    </w:rPr>
  </w:style>
  <w:style w:type="character" w:styleId="47">
    <w:name w:val="footnote reference"/>
    <w:qFormat/>
    <w:uiPriority w:val="0"/>
    <w:rPr>
      <w:vertAlign w:val="superscript"/>
    </w:rPr>
  </w:style>
  <w:style w:type="paragraph" w:customStyle="1" w:styleId="48">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49">
    <w:name w:val="_Style 3"/>
    <w:basedOn w:val="1"/>
    <w:next w:val="32"/>
    <w:qFormat/>
    <w:uiPriority w:val="0"/>
    <w:pPr>
      <w:ind w:firstLine="420" w:firstLineChars="200"/>
    </w:pPr>
    <w:rPr>
      <w:rFonts w:ascii="Times New Roman" w:hAnsi="Times New Roman" w:cs="Arial"/>
      <w:sz w:val="24"/>
    </w:rPr>
  </w:style>
  <w:style w:type="character" w:customStyle="1" w:styleId="50">
    <w:name w:val="标题 1 字符1"/>
    <w:basedOn w:val="40"/>
    <w:link w:val="4"/>
    <w:qFormat/>
    <w:uiPriority w:val="0"/>
    <w:rPr>
      <w:rFonts w:ascii="Times New Roman" w:hAnsi="Times New Roman" w:eastAsia="宋体" w:cs="Times New Roman"/>
      <w:kern w:val="44"/>
      <w:sz w:val="28"/>
      <w:szCs w:val="28"/>
    </w:rPr>
  </w:style>
  <w:style w:type="character" w:customStyle="1" w:styleId="51">
    <w:name w:val="标题 2 字符1"/>
    <w:basedOn w:val="40"/>
    <w:link w:val="5"/>
    <w:qFormat/>
    <w:uiPriority w:val="0"/>
    <w:rPr>
      <w:rFonts w:ascii="Arial" w:hAnsi="Arial" w:eastAsia="宋体" w:cs="Times New Roman"/>
      <w:b/>
      <w:color w:val="000000"/>
      <w:sz w:val="24"/>
      <w:szCs w:val="24"/>
    </w:rPr>
  </w:style>
  <w:style w:type="character" w:customStyle="1" w:styleId="52">
    <w:name w:val="标题 3 字符1"/>
    <w:basedOn w:val="40"/>
    <w:link w:val="6"/>
    <w:qFormat/>
    <w:uiPriority w:val="0"/>
    <w:rPr>
      <w:rFonts w:ascii="宋体" w:hAnsi="宋体" w:eastAsia="宋体" w:cs="宋体"/>
      <w:kern w:val="0"/>
      <w:sz w:val="27"/>
      <w:szCs w:val="27"/>
    </w:rPr>
  </w:style>
  <w:style w:type="character" w:customStyle="1" w:styleId="53">
    <w:name w:val="标题 4 字符1"/>
    <w:basedOn w:val="40"/>
    <w:link w:val="7"/>
    <w:qFormat/>
    <w:uiPriority w:val="0"/>
    <w:rPr>
      <w:rFonts w:ascii="Arial" w:hAnsi="Arial" w:eastAsia="宋体" w:cs="Times New Roman"/>
      <w:color w:val="000000"/>
      <w:szCs w:val="21"/>
    </w:rPr>
  </w:style>
  <w:style w:type="character" w:customStyle="1" w:styleId="54">
    <w:name w:val="标题 5 字符1"/>
    <w:basedOn w:val="40"/>
    <w:link w:val="9"/>
    <w:qFormat/>
    <w:uiPriority w:val="0"/>
    <w:rPr>
      <w:rFonts w:ascii="Arial" w:hAnsi="Arial" w:eastAsia="宋体" w:cs="Times New Roman"/>
      <w:color w:val="000000"/>
      <w:szCs w:val="21"/>
    </w:rPr>
  </w:style>
  <w:style w:type="character" w:customStyle="1" w:styleId="55">
    <w:name w:val="标题 6 字符1"/>
    <w:basedOn w:val="40"/>
    <w:link w:val="10"/>
    <w:qFormat/>
    <w:uiPriority w:val="0"/>
    <w:rPr>
      <w:rFonts w:ascii="Arial" w:hAnsi="Arial" w:eastAsia="黑体" w:cs="Times New Roman"/>
      <w:b/>
      <w:bCs/>
      <w:sz w:val="24"/>
      <w:szCs w:val="24"/>
    </w:rPr>
  </w:style>
  <w:style w:type="character" w:customStyle="1" w:styleId="56">
    <w:name w:val="标题 7 字符1"/>
    <w:basedOn w:val="40"/>
    <w:link w:val="11"/>
    <w:qFormat/>
    <w:uiPriority w:val="0"/>
    <w:rPr>
      <w:rFonts w:ascii="Times New Roman" w:hAnsi="Times New Roman" w:eastAsia="宋体" w:cs="Times New Roman"/>
      <w:b/>
      <w:sz w:val="24"/>
      <w:szCs w:val="20"/>
    </w:rPr>
  </w:style>
  <w:style w:type="character" w:customStyle="1" w:styleId="57">
    <w:name w:val="标题 8 字符1"/>
    <w:basedOn w:val="40"/>
    <w:link w:val="12"/>
    <w:qFormat/>
    <w:uiPriority w:val="0"/>
    <w:rPr>
      <w:rFonts w:ascii="Arial" w:hAnsi="Arial" w:eastAsia="黑体" w:cs="Times New Roman"/>
      <w:sz w:val="24"/>
      <w:szCs w:val="20"/>
    </w:rPr>
  </w:style>
  <w:style w:type="character" w:customStyle="1" w:styleId="58">
    <w:name w:val="标题 9 字符1"/>
    <w:basedOn w:val="40"/>
    <w:link w:val="13"/>
    <w:qFormat/>
    <w:uiPriority w:val="0"/>
    <w:rPr>
      <w:rFonts w:ascii="Arial" w:hAnsi="Arial" w:eastAsia="黑体" w:cs="Times New Roman"/>
      <w:szCs w:val="20"/>
    </w:rPr>
  </w:style>
  <w:style w:type="character" w:customStyle="1" w:styleId="59">
    <w:name w:val="文档结构图 字符1"/>
    <w:basedOn w:val="40"/>
    <w:link w:val="15"/>
    <w:qFormat/>
    <w:uiPriority w:val="0"/>
    <w:rPr>
      <w:rFonts w:ascii="Times New Roman" w:hAnsi="Times New Roman" w:eastAsia="宋体" w:cs="Times New Roman"/>
      <w:szCs w:val="20"/>
      <w:shd w:val="clear" w:color="auto" w:fill="000080"/>
    </w:rPr>
  </w:style>
  <w:style w:type="character" w:customStyle="1" w:styleId="60">
    <w:name w:val="批注文字 字符1"/>
    <w:basedOn w:val="40"/>
    <w:link w:val="16"/>
    <w:qFormat/>
    <w:uiPriority w:val="0"/>
    <w:rPr>
      <w:rFonts w:ascii="宋体" w:hAnsi="宋体" w:eastAsia="宋体" w:cs="Times New Roman"/>
      <w:sz w:val="24"/>
      <w:szCs w:val="24"/>
    </w:rPr>
  </w:style>
  <w:style w:type="character" w:customStyle="1" w:styleId="61">
    <w:name w:val="正文文本 字符1"/>
    <w:basedOn w:val="40"/>
    <w:link w:val="18"/>
    <w:qFormat/>
    <w:uiPriority w:val="0"/>
    <w:rPr>
      <w:rFonts w:ascii="Times New Roman" w:hAnsi="Times New Roman" w:eastAsia="宋体" w:cs="Times New Roman"/>
      <w:szCs w:val="20"/>
    </w:rPr>
  </w:style>
  <w:style w:type="character" w:customStyle="1" w:styleId="62">
    <w:name w:val="正文文本缩进 字符1"/>
    <w:basedOn w:val="40"/>
    <w:link w:val="3"/>
    <w:qFormat/>
    <w:uiPriority w:val="0"/>
    <w:rPr>
      <w:rFonts w:ascii="Times New Roman" w:hAnsi="Times New Roman" w:eastAsia="宋体" w:cs="Times New Roman"/>
      <w:sz w:val="28"/>
      <w:szCs w:val="20"/>
    </w:rPr>
  </w:style>
  <w:style w:type="character" w:customStyle="1" w:styleId="63">
    <w:name w:val="纯文本 字符1"/>
    <w:basedOn w:val="40"/>
    <w:link w:val="21"/>
    <w:qFormat/>
    <w:uiPriority w:val="0"/>
    <w:rPr>
      <w:rFonts w:ascii="宋体" w:hAnsi="Courier New" w:eastAsia="宋体" w:cs="Times New Roman"/>
      <w:szCs w:val="20"/>
    </w:rPr>
  </w:style>
  <w:style w:type="character" w:customStyle="1" w:styleId="64">
    <w:name w:val="日期 字符1"/>
    <w:basedOn w:val="40"/>
    <w:link w:val="22"/>
    <w:qFormat/>
    <w:uiPriority w:val="0"/>
    <w:rPr>
      <w:rFonts w:ascii="Times New Roman" w:hAnsi="Times New Roman" w:eastAsia="宋体" w:cs="Times New Roman"/>
      <w:szCs w:val="20"/>
    </w:rPr>
  </w:style>
  <w:style w:type="character" w:customStyle="1" w:styleId="65">
    <w:name w:val="正文文本缩进 2 字符1"/>
    <w:basedOn w:val="40"/>
    <w:link w:val="23"/>
    <w:qFormat/>
    <w:uiPriority w:val="0"/>
    <w:rPr>
      <w:rFonts w:ascii="Times New Roman" w:hAnsi="Times New Roman" w:eastAsia="宋体" w:cs="Times New Roman"/>
      <w:color w:val="000000"/>
      <w:sz w:val="24"/>
      <w:szCs w:val="20"/>
    </w:rPr>
  </w:style>
  <w:style w:type="character" w:customStyle="1" w:styleId="66">
    <w:name w:val="尾注文本 字符1"/>
    <w:basedOn w:val="40"/>
    <w:link w:val="24"/>
    <w:qFormat/>
    <w:uiPriority w:val="0"/>
    <w:rPr>
      <w:rFonts w:ascii="Times New Roman" w:hAnsi="Times New Roman" w:eastAsia="宋体" w:cs="Times New Roman"/>
      <w:szCs w:val="20"/>
    </w:rPr>
  </w:style>
  <w:style w:type="character" w:customStyle="1" w:styleId="67">
    <w:name w:val="批注框文本 字符1"/>
    <w:basedOn w:val="40"/>
    <w:link w:val="17"/>
    <w:qFormat/>
    <w:uiPriority w:val="0"/>
    <w:rPr>
      <w:rFonts w:ascii="Times New Roman" w:hAnsi="Times New Roman" w:eastAsia="宋体" w:cs="Times New Roman"/>
      <w:sz w:val="18"/>
      <w:szCs w:val="18"/>
    </w:rPr>
  </w:style>
  <w:style w:type="character" w:customStyle="1" w:styleId="68">
    <w:name w:val="页脚 字符1"/>
    <w:basedOn w:val="40"/>
    <w:link w:val="25"/>
    <w:qFormat/>
    <w:uiPriority w:val="0"/>
    <w:rPr>
      <w:rFonts w:ascii="Times New Roman" w:hAnsi="Times New Roman" w:eastAsia="宋体" w:cs="Times New Roman"/>
      <w:sz w:val="18"/>
      <w:szCs w:val="18"/>
    </w:rPr>
  </w:style>
  <w:style w:type="character" w:customStyle="1" w:styleId="69">
    <w:name w:val="页眉 字符1"/>
    <w:basedOn w:val="40"/>
    <w:link w:val="26"/>
    <w:qFormat/>
    <w:uiPriority w:val="0"/>
    <w:rPr>
      <w:rFonts w:ascii="Times New Roman" w:hAnsi="Times New Roman" w:eastAsia="宋体" w:cs="Times New Roman"/>
      <w:sz w:val="18"/>
      <w:szCs w:val="18"/>
    </w:rPr>
  </w:style>
  <w:style w:type="character" w:customStyle="1" w:styleId="70">
    <w:name w:val="脚注文本 字符1"/>
    <w:basedOn w:val="40"/>
    <w:link w:val="31"/>
    <w:qFormat/>
    <w:uiPriority w:val="0"/>
    <w:rPr>
      <w:rFonts w:ascii="宋体" w:hAnsi="宋体" w:eastAsia="宋体" w:cs="Times New Roman"/>
      <w:sz w:val="18"/>
      <w:szCs w:val="18"/>
    </w:rPr>
  </w:style>
  <w:style w:type="character" w:customStyle="1" w:styleId="71">
    <w:name w:val="正文文本缩进 3 字符1"/>
    <w:basedOn w:val="40"/>
    <w:link w:val="32"/>
    <w:qFormat/>
    <w:uiPriority w:val="0"/>
    <w:rPr>
      <w:rFonts w:ascii="Times New Roman" w:hAnsi="Times New Roman" w:eastAsia="宋体" w:cs="Times New Roman"/>
      <w:color w:val="000000"/>
      <w:sz w:val="24"/>
      <w:szCs w:val="20"/>
    </w:rPr>
  </w:style>
  <w:style w:type="character" w:customStyle="1" w:styleId="72">
    <w:name w:val="正文文本 2 字符1"/>
    <w:basedOn w:val="40"/>
    <w:link w:val="34"/>
    <w:qFormat/>
    <w:uiPriority w:val="0"/>
    <w:rPr>
      <w:rFonts w:ascii="宋体" w:hAnsi="宋体" w:eastAsia="宋体" w:cs="Times New Roman"/>
      <w:szCs w:val="24"/>
      <w:u w:val="single"/>
    </w:rPr>
  </w:style>
  <w:style w:type="character" w:customStyle="1" w:styleId="73">
    <w:name w:val="标题 字符1"/>
    <w:basedOn w:val="40"/>
    <w:link w:val="36"/>
    <w:qFormat/>
    <w:uiPriority w:val="0"/>
    <w:rPr>
      <w:rFonts w:ascii="Arial" w:hAnsi="Arial" w:eastAsia="宋体" w:cs="Times New Roman"/>
      <w:b/>
      <w:sz w:val="44"/>
      <w:szCs w:val="20"/>
    </w:rPr>
  </w:style>
  <w:style w:type="character" w:customStyle="1" w:styleId="74">
    <w:name w:val="批注主题 字符1"/>
    <w:basedOn w:val="60"/>
    <w:link w:val="37"/>
    <w:qFormat/>
    <w:uiPriority w:val="0"/>
    <w:rPr>
      <w:rFonts w:ascii="宋体" w:hAnsi="宋体" w:eastAsia="宋体" w:cs="Times New Roman"/>
      <w:b/>
      <w:bCs/>
      <w:sz w:val="24"/>
      <w:szCs w:val="24"/>
    </w:rPr>
  </w:style>
  <w:style w:type="character" w:customStyle="1" w:styleId="75">
    <w:name w:val="正文首行缩进 字符1"/>
    <w:basedOn w:val="61"/>
    <w:link w:val="19"/>
    <w:qFormat/>
    <w:uiPriority w:val="0"/>
    <w:rPr>
      <w:rFonts w:ascii="Times New Roman" w:hAnsi="Times New Roman" w:eastAsia="宋体" w:cs="Times New Roman"/>
      <w:szCs w:val="20"/>
    </w:rPr>
  </w:style>
  <w:style w:type="character" w:customStyle="1" w:styleId="76">
    <w:name w:val="批注文字 字符"/>
    <w:semiHidden/>
    <w:qFormat/>
    <w:uiPriority w:val="99"/>
    <w:rPr>
      <w:rFonts w:ascii="Calibri" w:hAnsi="Calibri" w:eastAsia="宋体" w:cs="Times New Roman"/>
    </w:rPr>
  </w:style>
  <w:style w:type="character" w:customStyle="1" w:styleId="77">
    <w:name w:val="页脚 字符"/>
    <w:semiHidden/>
    <w:qFormat/>
    <w:uiPriority w:val="99"/>
    <w:rPr>
      <w:rFonts w:ascii="Calibri" w:hAnsi="Calibri" w:eastAsia="宋体" w:cs="Times New Roman"/>
      <w:sz w:val="18"/>
      <w:szCs w:val="18"/>
    </w:rPr>
  </w:style>
  <w:style w:type="character" w:customStyle="1" w:styleId="78">
    <w:name w:val="正文文本 2 字符"/>
    <w:semiHidden/>
    <w:qFormat/>
    <w:uiPriority w:val="99"/>
    <w:rPr>
      <w:rFonts w:ascii="Calibri" w:hAnsi="Calibri" w:eastAsia="宋体" w:cs="Times New Roman"/>
    </w:rPr>
  </w:style>
  <w:style w:type="character" w:customStyle="1" w:styleId="79">
    <w:name w:val="标题 8 字符"/>
    <w:semiHidden/>
    <w:qFormat/>
    <w:uiPriority w:val="9"/>
    <w:rPr>
      <w:rFonts w:ascii="等线 Light" w:hAnsi="等线 Light" w:eastAsia="等线 Light" w:cs="Times New Roman"/>
      <w:sz w:val="24"/>
      <w:szCs w:val="24"/>
    </w:rPr>
  </w:style>
  <w:style w:type="character" w:customStyle="1" w:styleId="80">
    <w:name w:val="标题 6 字符"/>
    <w:semiHidden/>
    <w:qFormat/>
    <w:uiPriority w:val="9"/>
    <w:rPr>
      <w:rFonts w:ascii="等线 Light" w:hAnsi="等线 Light" w:eastAsia="等线 Light" w:cs="Times New Roman"/>
      <w:b/>
      <w:bCs/>
      <w:sz w:val="24"/>
      <w:szCs w:val="24"/>
    </w:rPr>
  </w:style>
  <w:style w:type="character" w:customStyle="1" w:styleId="81">
    <w:name w:val="标题 2 字符"/>
    <w:semiHidden/>
    <w:qFormat/>
    <w:uiPriority w:val="9"/>
    <w:rPr>
      <w:rFonts w:ascii="等线 Light" w:hAnsi="等线 Light" w:eastAsia="等线 Light" w:cs="Times New Roman"/>
      <w:b/>
      <w:bCs/>
      <w:sz w:val="32"/>
      <w:szCs w:val="32"/>
    </w:rPr>
  </w:style>
  <w:style w:type="character" w:customStyle="1" w:styleId="82">
    <w:name w:val="批注框文本 字符"/>
    <w:semiHidden/>
    <w:qFormat/>
    <w:uiPriority w:val="99"/>
    <w:rPr>
      <w:rFonts w:ascii="Calibri" w:hAnsi="Calibri" w:eastAsia="宋体" w:cs="Times New Roman"/>
      <w:sz w:val="18"/>
      <w:szCs w:val="18"/>
    </w:rPr>
  </w:style>
  <w:style w:type="character" w:customStyle="1" w:styleId="83">
    <w:name w:val="标题 字符"/>
    <w:qFormat/>
    <w:uiPriority w:val="10"/>
    <w:rPr>
      <w:rFonts w:ascii="等线 Light" w:hAnsi="等线 Light" w:eastAsia="等线 Light" w:cs="Times New Roman"/>
      <w:b/>
      <w:bCs/>
      <w:sz w:val="32"/>
      <w:szCs w:val="32"/>
    </w:rPr>
  </w:style>
  <w:style w:type="character" w:customStyle="1" w:styleId="84">
    <w:name w:val="标题 7 字符"/>
    <w:semiHidden/>
    <w:qFormat/>
    <w:uiPriority w:val="9"/>
    <w:rPr>
      <w:rFonts w:ascii="Calibri" w:hAnsi="Calibri" w:eastAsia="宋体" w:cs="Times New Roman"/>
      <w:b/>
      <w:bCs/>
      <w:sz w:val="24"/>
      <w:szCs w:val="24"/>
    </w:rPr>
  </w:style>
  <w:style w:type="character" w:customStyle="1" w:styleId="85">
    <w:name w:val="正文文本缩进 3 字符"/>
    <w:semiHidden/>
    <w:qFormat/>
    <w:uiPriority w:val="99"/>
    <w:rPr>
      <w:rFonts w:ascii="Calibri" w:hAnsi="Calibri" w:eastAsia="宋体" w:cs="Times New Roman"/>
      <w:sz w:val="16"/>
      <w:szCs w:val="16"/>
    </w:rPr>
  </w:style>
  <w:style w:type="character" w:customStyle="1" w:styleId="86">
    <w:name w:val="纯文本 字符"/>
    <w:semiHidden/>
    <w:qFormat/>
    <w:uiPriority w:val="99"/>
    <w:rPr>
      <w:rFonts w:ascii="等线" w:hAnsi="Courier New" w:cs="Courier New"/>
    </w:rPr>
  </w:style>
  <w:style w:type="character" w:customStyle="1" w:styleId="87">
    <w:name w:val="日期 字符"/>
    <w:semiHidden/>
    <w:qFormat/>
    <w:uiPriority w:val="99"/>
    <w:rPr>
      <w:rFonts w:ascii="Calibri" w:hAnsi="Calibri" w:eastAsia="宋体" w:cs="Times New Roman"/>
    </w:rPr>
  </w:style>
  <w:style w:type="character" w:customStyle="1" w:styleId="88">
    <w:name w:val="标题 4 字符"/>
    <w:semiHidden/>
    <w:qFormat/>
    <w:uiPriority w:val="9"/>
    <w:rPr>
      <w:rFonts w:ascii="等线 Light" w:hAnsi="等线 Light" w:eastAsia="等线 Light" w:cs="Times New Roman"/>
      <w:b/>
      <w:bCs/>
      <w:sz w:val="28"/>
      <w:szCs w:val="28"/>
    </w:rPr>
  </w:style>
  <w:style w:type="character" w:customStyle="1" w:styleId="89">
    <w:name w:val="批注主题 字符"/>
    <w:semiHidden/>
    <w:qFormat/>
    <w:uiPriority w:val="99"/>
    <w:rPr>
      <w:rFonts w:ascii="Calibri" w:hAnsi="Calibri" w:eastAsia="宋体" w:cs="Times New Roman"/>
      <w:b/>
      <w:bCs/>
    </w:rPr>
  </w:style>
  <w:style w:type="character" w:customStyle="1" w:styleId="90">
    <w:name w:val="标题 1 字符"/>
    <w:qFormat/>
    <w:uiPriority w:val="9"/>
    <w:rPr>
      <w:rFonts w:ascii="Calibri" w:hAnsi="Calibri" w:eastAsia="宋体" w:cs="Times New Roman"/>
      <w:b/>
      <w:bCs/>
      <w:kern w:val="44"/>
      <w:sz w:val="44"/>
      <w:szCs w:val="44"/>
    </w:rPr>
  </w:style>
  <w:style w:type="character" w:customStyle="1" w:styleId="91">
    <w:name w:val="脚注文本 字符"/>
    <w:semiHidden/>
    <w:qFormat/>
    <w:uiPriority w:val="99"/>
    <w:rPr>
      <w:rFonts w:ascii="Calibri" w:hAnsi="Calibri" w:eastAsia="宋体" w:cs="Times New Roman"/>
      <w:sz w:val="18"/>
      <w:szCs w:val="18"/>
    </w:rPr>
  </w:style>
  <w:style w:type="character" w:customStyle="1" w:styleId="92">
    <w:name w:val="页眉 字符"/>
    <w:semiHidden/>
    <w:qFormat/>
    <w:uiPriority w:val="99"/>
    <w:rPr>
      <w:rFonts w:ascii="Calibri" w:hAnsi="Calibri" w:eastAsia="宋体" w:cs="Times New Roman"/>
      <w:sz w:val="18"/>
      <w:szCs w:val="18"/>
    </w:rPr>
  </w:style>
  <w:style w:type="character" w:customStyle="1" w:styleId="93">
    <w:name w:val="正文首行缩进 字符"/>
    <w:semiHidden/>
    <w:qFormat/>
    <w:uiPriority w:val="99"/>
  </w:style>
  <w:style w:type="character" w:customStyle="1" w:styleId="94">
    <w:name w:val="正文文本 字符"/>
    <w:semiHidden/>
    <w:qFormat/>
    <w:uiPriority w:val="99"/>
    <w:rPr>
      <w:rFonts w:ascii="Calibri" w:hAnsi="Calibri" w:eastAsia="宋体" w:cs="Times New Roman"/>
    </w:rPr>
  </w:style>
  <w:style w:type="character" w:customStyle="1" w:styleId="95">
    <w:name w:val="标题 3 字符"/>
    <w:semiHidden/>
    <w:qFormat/>
    <w:uiPriority w:val="9"/>
    <w:rPr>
      <w:rFonts w:ascii="Calibri" w:hAnsi="Calibri" w:eastAsia="宋体" w:cs="Times New Roman"/>
      <w:b/>
      <w:bCs/>
      <w:sz w:val="32"/>
      <w:szCs w:val="32"/>
    </w:rPr>
  </w:style>
  <w:style w:type="character" w:customStyle="1" w:styleId="96">
    <w:name w:val="文档结构图 字符"/>
    <w:semiHidden/>
    <w:qFormat/>
    <w:uiPriority w:val="99"/>
    <w:rPr>
      <w:rFonts w:ascii="Microsoft YaHei UI" w:hAnsi="Calibri" w:eastAsia="Microsoft YaHei UI" w:cs="Times New Roman"/>
      <w:sz w:val="18"/>
      <w:szCs w:val="18"/>
    </w:rPr>
  </w:style>
  <w:style w:type="character" w:customStyle="1" w:styleId="97">
    <w:name w:val="正文文本缩进 字符"/>
    <w:semiHidden/>
    <w:qFormat/>
    <w:uiPriority w:val="99"/>
    <w:rPr>
      <w:rFonts w:ascii="Calibri" w:hAnsi="Calibri" w:eastAsia="宋体" w:cs="Times New Roman"/>
    </w:rPr>
  </w:style>
  <w:style w:type="character" w:customStyle="1" w:styleId="98">
    <w:name w:val="正文文本缩进 2 字符"/>
    <w:semiHidden/>
    <w:qFormat/>
    <w:uiPriority w:val="99"/>
    <w:rPr>
      <w:rFonts w:ascii="Calibri" w:hAnsi="Calibri" w:eastAsia="宋体" w:cs="Times New Roman"/>
    </w:rPr>
  </w:style>
  <w:style w:type="character" w:customStyle="1" w:styleId="99">
    <w:name w:val="尾注文本 字符"/>
    <w:semiHidden/>
    <w:qFormat/>
    <w:uiPriority w:val="99"/>
    <w:rPr>
      <w:rFonts w:ascii="Calibri" w:hAnsi="Calibri" w:eastAsia="宋体" w:cs="Times New Roman"/>
    </w:rPr>
  </w:style>
  <w:style w:type="character" w:customStyle="1" w:styleId="100">
    <w:name w:val="标题 5 字符"/>
    <w:semiHidden/>
    <w:qFormat/>
    <w:uiPriority w:val="9"/>
    <w:rPr>
      <w:rFonts w:ascii="Calibri" w:hAnsi="Calibri" w:eastAsia="宋体" w:cs="Times New Roman"/>
      <w:b/>
      <w:bCs/>
      <w:sz w:val="28"/>
      <w:szCs w:val="28"/>
    </w:rPr>
  </w:style>
  <w:style w:type="character" w:customStyle="1" w:styleId="101">
    <w:name w:val="标题 9 字符"/>
    <w:semiHidden/>
    <w:qFormat/>
    <w:uiPriority w:val="9"/>
    <w:rPr>
      <w:rFonts w:ascii="等线 Light" w:hAnsi="等线 Light" w:eastAsia="等线 Light" w:cs="Times New Roman"/>
      <w:szCs w:val="21"/>
    </w:rPr>
  </w:style>
  <w:style w:type="paragraph" w:customStyle="1" w:styleId="102">
    <w:name w:val="表头"/>
    <w:basedOn w:val="1"/>
    <w:qFormat/>
    <w:uiPriority w:val="0"/>
    <w:pPr>
      <w:spacing w:line="360" w:lineRule="auto"/>
      <w:jc w:val="center"/>
    </w:pPr>
    <w:rPr>
      <w:rFonts w:ascii="黑体" w:hAnsi="Times New Roman" w:eastAsia="黑体" w:cs="Times New Roman"/>
      <w:kern w:val="0"/>
      <w:sz w:val="24"/>
      <w:szCs w:val="20"/>
    </w:rPr>
  </w:style>
  <w:style w:type="paragraph" w:customStyle="1" w:styleId="103">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04">
    <w:name w:val="题注5"/>
    <w:basedOn w:val="1"/>
    <w:next w:val="14"/>
    <w:qFormat/>
    <w:uiPriority w:val="0"/>
    <w:pPr>
      <w:jc w:val="center"/>
    </w:pPr>
    <w:rPr>
      <w:rFonts w:ascii="Times New Roman" w:hAnsi="Times New Roman" w:eastAsia="宋体" w:cs="Times New Roman"/>
      <w:b/>
      <w:color w:val="000000"/>
      <w:sz w:val="24"/>
      <w:szCs w:val="21"/>
    </w:rPr>
  </w:style>
  <w:style w:type="paragraph" w:styleId="105">
    <w:name w:val="List Paragraph"/>
    <w:basedOn w:val="1"/>
    <w:qFormat/>
    <w:uiPriority w:val="34"/>
    <w:pPr>
      <w:ind w:firstLine="420" w:firstLineChars="200"/>
    </w:pPr>
    <w:rPr>
      <w:rFonts w:ascii="Times New Roman" w:hAnsi="Times New Roman" w:eastAsia="宋体" w:cs="Times New Roman"/>
      <w:szCs w:val="20"/>
    </w:rPr>
  </w:style>
  <w:style w:type="paragraph" w:customStyle="1" w:styleId="106">
    <w:name w:val="公文标题"/>
    <w:basedOn w:val="6"/>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107">
    <w:name w:val="公文抬头"/>
    <w:basedOn w:val="8"/>
    <w:qFormat/>
    <w:uiPriority w:val="0"/>
    <w:pPr>
      <w:ind w:firstLine="0"/>
    </w:pPr>
    <w:rPr>
      <w:rFonts w:ascii="仿宋_GB2312" w:eastAsia="仿宋_GB2312"/>
      <w:sz w:val="30"/>
      <w:szCs w:val="24"/>
    </w:rPr>
  </w:style>
  <w:style w:type="paragraph" w:customStyle="1" w:styleId="108">
    <w:name w:val="题注4"/>
    <w:basedOn w:val="1"/>
    <w:next w:val="14"/>
    <w:qFormat/>
    <w:uiPriority w:val="0"/>
    <w:pPr>
      <w:ind w:left="-62" w:leftChars="-64" w:right="-50" w:rightChars="-50" w:hanging="2"/>
      <w:jc w:val="center"/>
    </w:pPr>
    <w:rPr>
      <w:rFonts w:ascii="Times New Roman" w:hAnsi="Times New Roman" w:eastAsia="宋体" w:cs="Times New Roman"/>
      <w:b/>
      <w:color w:val="FF0000"/>
      <w:szCs w:val="21"/>
      <w:lang w:val="en-GB"/>
    </w:rPr>
  </w:style>
  <w:style w:type="paragraph" w:customStyle="1" w:styleId="109">
    <w:name w:val="Char Char Char Char"/>
    <w:basedOn w:val="1"/>
    <w:qFormat/>
    <w:uiPriority w:val="0"/>
    <w:rPr>
      <w:rFonts w:ascii="Times New Roman" w:hAnsi="Times New Roman" w:eastAsia="宋体" w:cs="Times New Roman"/>
      <w:sz w:val="30"/>
      <w:szCs w:val="24"/>
    </w:rPr>
  </w:style>
  <w:style w:type="paragraph" w:customStyle="1" w:styleId="110">
    <w:name w:val="_Style 25"/>
    <w:basedOn w:val="1"/>
    <w:next w:val="1"/>
    <w:qFormat/>
    <w:uiPriority w:val="0"/>
    <w:rPr>
      <w:rFonts w:ascii="Times New Roman" w:hAnsi="Times New Roman" w:eastAsia="宋体" w:cs="Times New Roman"/>
    </w:rPr>
  </w:style>
  <w:style w:type="paragraph" w:customStyle="1" w:styleId="111">
    <w:name w:val="正题"/>
    <w:basedOn w:val="112"/>
    <w:next w:val="112"/>
    <w:unhideWhenUsed/>
    <w:qFormat/>
    <w:uiPriority w:val="99"/>
    <w:pPr>
      <w:ind w:firstLine="0" w:firstLineChars="0"/>
      <w:jc w:val="center"/>
    </w:pPr>
    <w:rPr>
      <w:rFonts w:hAnsi="Calibri" w:eastAsia="黑体"/>
      <w:b/>
      <w:sz w:val="36"/>
    </w:rPr>
  </w:style>
  <w:style w:type="paragraph" w:customStyle="1" w:styleId="112">
    <w:name w:val="文一"/>
    <w:basedOn w:val="1"/>
    <w:unhideWhenUsed/>
    <w:qFormat/>
    <w:uiPriority w:val="0"/>
    <w:pPr>
      <w:topLinePunct/>
      <w:adjustRightInd w:val="0"/>
      <w:snapToGrid w:val="0"/>
      <w:spacing w:line="360" w:lineRule="auto"/>
      <w:ind w:firstLine="200" w:firstLineChars="200"/>
    </w:pPr>
    <w:rPr>
      <w:rFonts w:ascii="Times New Roman" w:hAnsi="Times New Roman" w:eastAsia="宋体" w:cs="Times New Roman"/>
      <w:spacing w:val="4"/>
      <w:kern w:val="0"/>
      <w:sz w:val="24"/>
      <w:szCs w:val="20"/>
    </w:rPr>
  </w:style>
  <w:style w:type="paragraph" w:customStyle="1" w:styleId="113">
    <w:name w:val="Char"/>
    <w:basedOn w:val="1"/>
    <w:qFormat/>
    <w:uiPriority w:val="0"/>
    <w:rPr>
      <w:rFonts w:ascii="Tahoma" w:hAnsi="Tahoma" w:eastAsia="宋体" w:cs="Times New Roman"/>
      <w:sz w:val="24"/>
      <w:szCs w:val="20"/>
    </w:rPr>
  </w:style>
  <w:style w:type="paragraph" w:customStyle="1" w:styleId="114">
    <w:name w:val="Table Paragraph"/>
    <w:basedOn w:val="1"/>
    <w:qFormat/>
    <w:uiPriority w:val="1"/>
    <w:rPr>
      <w:rFonts w:ascii="宋体" w:hAnsi="宋体" w:eastAsia="宋体" w:cs="宋体"/>
      <w:lang w:val="zh-CN" w:bidi="zh-CN"/>
    </w:rPr>
  </w:style>
  <w:style w:type="paragraph" w:customStyle="1" w:styleId="115">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16">
    <w:name w:val="发文落款"/>
    <w:basedOn w:val="115"/>
    <w:qFormat/>
    <w:uiPriority w:val="0"/>
    <w:pPr>
      <w:ind w:left="4094" w:right="607" w:firstLine="0"/>
      <w:jc w:val="center"/>
    </w:pPr>
  </w:style>
  <w:style w:type="paragraph" w:customStyle="1" w:styleId="117">
    <w:name w:val="1册标题2"/>
    <w:basedOn w:val="1"/>
    <w:next w:val="1"/>
    <w:qFormat/>
    <w:uiPriority w:val="0"/>
    <w:pPr>
      <w:adjustRightInd w:val="0"/>
      <w:spacing w:before="50" w:beforeLines="50" w:after="50" w:afterLines="50" w:line="300" w:lineRule="auto"/>
      <w:jc w:val="center"/>
      <w:textAlignment w:val="baseline"/>
      <w:outlineLvl w:val="1"/>
    </w:pPr>
    <w:rPr>
      <w:rFonts w:ascii="Arial" w:hAnsi="Arial" w:eastAsia="黑体" w:cs="Times New Roman"/>
      <w:bCs/>
      <w:kern w:val="0"/>
      <w:sz w:val="32"/>
    </w:rPr>
  </w:style>
  <w:style w:type="paragraph" w:customStyle="1" w:styleId="118">
    <w:name w:val="修订1"/>
    <w:semiHidden/>
    <w:qFormat/>
    <w:uiPriority w:val="99"/>
    <w:rPr>
      <w:rFonts w:ascii="Times New Roman" w:hAnsi="Times New Roman" w:eastAsia="宋体" w:cs="Times New Roman"/>
      <w:kern w:val="2"/>
      <w:sz w:val="21"/>
      <w:lang w:val="en-US" w:eastAsia="zh-CN" w:bidi="ar-SA"/>
    </w:rPr>
  </w:style>
  <w:style w:type="paragraph" w:customStyle="1" w:styleId="119">
    <w:name w:val="Char Char Char1 Char"/>
    <w:basedOn w:val="15"/>
    <w:qFormat/>
    <w:uiPriority w:val="0"/>
    <w:rPr>
      <w:rFonts w:ascii="Tahoma" w:hAnsi="Tahoma"/>
      <w:sz w:val="24"/>
      <w:szCs w:val="24"/>
    </w:rPr>
  </w:style>
  <w:style w:type="paragraph" w:customStyle="1" w:styleId="120">
    <w:name w:val="Char1"/>
    <w:basedOn w:val="1"/>
    <w:qFormat/>
    <w:uiPriority w:val="0"/>
    <w:pPr>
      <w:ind w:left="567" w:hanging="279"/>
    </w:pPr>
    <w:rPr>
      <w:rFonts w:ascii="Times New Roman" w:hAnsi="Times New Roman" w:eastAsia="宋体" w:cs="Times New Roman"/>
      <w:sz w:val="24"/>
      <w:szCs w:val="24"/>
    </w:rPr>
  </w:style>
  <w:style w:type="paragraph" w:customStyle="1" w:styleId="121">
    <w:name w:val="图"/>
    <w:basedOn w:val="1"/>
    <w:qFormat/>
    <w:uiPriority w:val="0"/>
    <w:pPr>
      <w:keepNext/>
      <w:adjustRightInd w:val="0"/>
      <w:spacing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122">
    <w:name w:val="TOC 标题1"/>
    <w:basedOn w:val="4"/>
    <w:next w:val="1"/>
    <w:qFormat/>
    <w:uiPriority w:val="39"/>
    <w:pPr>
      <w:widowControl/>
      <w:spacing w:before="480" w:after="0" w:line="276" w:lineRule="auto"/>
      <w:outlineLvl w:val="9"/>
    </w:pPr>
    <w:rPr>
      <w:rFonts w:ascii="Cambria" w:hAnsi="Cambria"/>
      <w:color w:val="365F91"/>
      <w:kern w:val="0"/>
    </w:rPr>
  </w:style>
  <w:style w:type="paragraph" w:customStyle="1" w:styleId="12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6">
    <w:name w:val="列表段落1"/>
    <w:basedOn w:val="1"/>
    <w:qFormat/>
    <w:uiPriority w:val="34"/>
    <w:pPr>
      <w:ind w:firstLine="420" w:firstLineChars="200"/>
    </w:pPr>
    <w:rPr>
      <w:rFonts w:eastAsia="黑体"/>
      <w:bCs/>
      <w:sz w:val="30"/>
      <w:szCs w:val="30"/>
    </w:rPr>
  </w:style>
  <w:style w:type="paragraph" w:customStyle="1" w:styleId="127">
    <w:name w:val="pa-1"/>
    <w:basedOn w:val="1"/>
    <w:qFormat/>
    <w:uiPriority w:val="0"/>
    <w:pPr>
      <w:widowControl/>
      <w:spacing w:before="100" w:beforeAutospacing="1" w:after="100" w:afterAutospacing="1"/>
      <w:jc w:val="left"/>
    </w:pPr>
    <w:rPr>
      <w:rFonts w:ascii="宋体" w:hAnsi="宋体"/>
      <w:kern w:val="0"/>
      <w:sz w:val="24"/>
    </w:rPr>
  </w:style>
  <w:style w:type="character" w:customStyle="1" w:styleId="128">
    <w:name w:val="ca-2"/>
    <w:basedOn w:val="40"/>
    <w:qFormat/>
    <w:uiPriority w:val="0"/>
  </w:style>
  <w:style w:type="character" w:customStyle="1" w:styleId="129">
    <w:name w:val="1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59AEA-1D8E-410D-A1E6-8400898D7AA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69</Pages>
  <Words>29934</Words>
  <Characters>32087</Characters>
  <Lines>284</Lines>
  <Paragraphs>80</Paragraphs>
  <TotalTime>22</TotalTime>
  <ScaleCrop>false</ScaleCrop>
  <LinksUpToDate>false</LinksUpToDate>
  <CharactersWithSpaces>34456</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2022-12-20T06:37:00Z</dcterms:created>
  <dc:creator>Administrator</dc:creator>
  <cp:lastModifiedBy>tanjh</cp:lastModifiedBy>
  <cp:lastPrinted>2023-01-10T07:47:00Z</cp:lastPrinted>
  <dcterms:modified xsi:type="dcterms:W3CDTF">2023-09-27T09:09:42Z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54EE3F258E1F486AA759293522E78200</vt:lpwstr>
  </property>
</Properties>
</file>