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附件4：南方报业传媒集团手摇密集档案架定制采购项目报价函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4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（项目编号：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val="en-US" w:eastAsia="zh-CN"/>
        </w:rPr>
        <w:t>NC202308018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南方报业传媒集团：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经认真阅读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采购公告，我司符合资格条件，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已完全了解相关内容，承诺按照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要求提供产品和服务，现按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报价如下：</w:t>
      </w:r>
    </w:p>
    <w:tbl>
      <w:tblPr>
        <w:tblStyle w:val="6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3630"/>
        <w:gridCol w:w="1005"/>
        <w:gridCol w:w="930"/>
        <w:gridCol w:w="1080"/>
        <w:gridCol w:w="1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参数规格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A5规格密集架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共10列。每列长6500 cm*宽700cm*高2800cm，分7组14节/面；每节按12层配置，拟用于存放A5规格档案盒。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127.4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m³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A4规格密集架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共9列。每列长6500 cm*宽700cm*高2800cm，分7组14节/面；每节按9层配置，拟用于存放A4规格档案盒。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114.7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m³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项目总报价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元（含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%增值税率）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/>
              </w:rPr>
              <w:t>实施工期：自合同签订起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/>
              </w:rPr>
              <w:t xml:space="preserve">日历天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报价单位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及项目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3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2" w:beforeLines="100" w:after="156" w:afterLines="50"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报价单位名称：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（填写并加盖公章）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 xml:space="preserve">联系方式 ：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7" w:afterLines="50"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报价日期：202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p>
      <w:pPr>
        <w:pStyle w:val="2"/>
      </w:pPr>
    </w:p>
    <w:p>
      <w:pPr>
        <w:pStyle w:val="2"/>
        <w:rPr>
          <w:color w:val="auto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技术参数响应偏离表</w:t>
      </w:r>
    </w:p>
    <w:tbl>
      <w:tblPr>
        <w:tblStyle w:val="6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3975"/>
        <w:gridCol w:w="3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7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7" w:beforeLines="0" w:after="22" w:after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3" w:beforeLines="0" w:afterLines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是否“满足”或“正”“负”偏离</w:t>
            </w: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3" w:beforeLines="0" w:afterLines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具体情况说明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  <w:t>轨道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82"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82"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  <w:t>底盘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  <w:t>架体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5"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5"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40"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  <w:t>面板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34"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  <w:t>侧板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  <w:t>传动机构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59"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  <w:t>制动装置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67" w:beforeLines="0" w:afterLines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  <w:t>防护装置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</w:rPr>
              <w:t>表面处理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</w:rPr>
              <w:t>紧固件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加工制造要求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tabs>
                <w:tab w:val="left" w:pos="87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10" w:beforeLines="0" w:afterLines="0" w:line="520" w:lineRule="exact"/>
              <w:ind w:left="0" w:leftChars="0" w:right="0" w:firstLine="482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安装要求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pageBreakBefore w:val="0"/>
              <w:numPr>
                <w:ilvl w:val="0"/>
                <w:numId w:val="0"/>
              </w:numPr>
              <w:tabs>
                <w:tab w:val="left" w:pos="87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20" w:lineRule="exact"/>
              <w:ind w:left="0" w:leftChars="0" w:right="0" w:firstLine="482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载重性能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除油、去锈处理工艺要求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其他.....</w:t>
            </w:r>
          </w:p>
        </w:tc>
        <w:tc>
          <w:tcPr>
            <w:tcW w:w="20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0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注：此表可延伸。</w:t>
      </w:r>
    </w:p>
    <w:sectPr>
      <w:footerReference r:id="rId3" w:type="default"/>
      <w:pgSz w:w="11906" w:h="16838"/>
      <w:pgMar w:top="1361" w:right="1134" w:bottom="1134" w:left="1134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6E0C"/>
    <w:rsid w:val="19B43583"/>
    <w:rsid w:val="20576988"/>
    <w:rsid w:val="344669C6"/>
    <w:rsid w:val="53C56B0C"/>
    <w:rsid w:val="5C12270C"/>
    <w:rsid w:val="5F6C0006"/>
    <w:rsid w:val="6009436B"/>
    <w:rsid w:val="63532587"/>
    <w:rsid w:val="73D1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1"/>
    <w:pPr>
      <w:spacing w:beforeLines="0" w:afterLines="0"/>
      <w:ind w:left="656"/>
      <w:outlineLvl w:val="3"/>
    </w:pPr>
    <w:rPr>
      <w:rFonts w:hint="eastAsia"/>
      <w:b/>
      <w:sz w:val="21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  <w:style w:type="paragraph" w:styleId="9">
    <w:name w:val="List Paragraph"/>
    <w:basedOn w:val="1"/>
    <w:unhideWhenUsed/>
    <w:qFormat/>
    <w:uiPriority w:val="1"/>
    <w:pPr>
      <w:spacing w:beforeLines="0" w:afterLines="0"/>
      <w:ind w:left="236" w:firstLine="42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2023-08-28T07:01:00Z</dcterms:created>
  <dc:creator>huangzying</dc:creator>
  <cp:lastModifiedBy>huangzying</cp:lastModifiedBy>
  <cp:lastPrinted>2023-09-22T02:18:00Z</cp:lastPrinted>
  <dcterms:modified xsi:type="dcterms:W3CDTF">2023-09-27T01:37:23Z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A05AE70C45A74F818E3FBF7C80F6B5A1</vt:lpwstr>
  </property>
</Properties>
</file>