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240" w:lineRule="auto"/>
        <w:jc w:val="center"/>
        <w:textAlignment w:val="auto"/>
        <w:rPr>
          <w:rFonts w:hint="eastAsia" w:ascii="方正小标宋简体" w:hAnsi="方正小标宋简体" w:eastAsia="方正小标宋简体" w:cs="方正小标宋简体"/>
          <w:b w:val="0"/>
          <w:bCs/>
          <w:color w:val="000000"/>
          <w:sz w:val="44"/>
          <w:szCs w:val="44"/>
        </w:rPr>
      </w:pPr>
      <w:bookmarkStart w:id="0" w:name="_GoBack"/>
      <w:bookmarkEnd w:id="0"/>
      <w:r>
        <w:rPr>
          <w:rFonts w:hint="eastAsia" w:ascii="方正小标宋简体" w:hAnsi="方正小标宋简体" w:eastAsia="方正小标宋简体" w:cs="方正小标宋简体"/>
          <w:b w:val="0"/>
          <w:bCs/>
          <w:color w:val="000000"/>
          <w:sz w:val="44"/>
          <w:szCs w:val="44"/>
        </w:rPr>
        <w:t>卫生用纸采购合同</w:t>
      </w:r>
    </w:p>
    <w:p>
      <w:pPr>
        <w:keepNext w:val="0"/>
        <w:keepLines w:val="0"/>
        <w:pageBreakBefore w:val="0"/>
        <w:widowControl w:val="0"/>
        <w:kinsoku/>
        <w:wordWrap/>
        <w:overflowPunct/>
        <w:topLinePunct w:val="0"/>
        <w:bidi w:val="0"/>
        <w:snapToGrid/>
        <w:spacing w:line="240" w:lineRule="auto"/>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甲 方：广东南方报业传媒集团有限公司  </w:t>
      </w:r>
    </w:p>
    <w:p>
      <w:pPr>
        <w:pStyle w:val="2"/>
        <w:keepNext w:val="0"/>
        <w:keepLines w:val="0"/>
        <w:pageBreakBefore w:val="0"/>
        <w:widowControl w:val="0"/>
        <w:kinsoku/>
        <w:wordWrap/>
        <w:overflowPunct/>
        <w:topLinePunct w:val="0"/>
        <w:autoSpaceDE w:val="0"/>
        <w:autoSpaceDN w:val="0"/>
        <w:bidi w:val="0"/>
        <w:adjustRightInd w:val="0"/>
        <w:snapToGrid/>
        <w:spacing w:after="157" w:afterLines="50" w:line="240" w:lineRule="auto"/>
        <w:ind w:left="0" w:leftChars="0" w:firstLine="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乙 方：</w:t>
      </w:r>
      <w:r>
        <w:rPr>
          <w:rFonts w:hint="eastAsia" w:ascii="仿宋_GB2312" w:hAnsi="仿宋_GB2312" w:eastAsia="仿宋_GB2312" w:cs="仿宋_GB2312"/>
          <w:b/>
          <w:bCs/>
          <w:color w:val="000000"/>
          <w:sz w:val="28"/>
          <w:szCs w:val="28"/>
        </w:rPr>
        <w:t xml:space="preserve"> </w:t>
      </w:r>
    </w:p>
    <w:p>
      <w:pPr>
        <w:pStyle w:val="2"/>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根据&lt;&lt;中华人民共和国</w:t>
      </w:r>
      <w:r>
        <w:rPr>
          <w:rFonts w:hint="eastAsia" w:ascii="仿宋_GB2312" w:hAnsi="仿宋_GB2312" w:eastAsia="仿宋_GB2312" w:cs="仿宋_GB2312"/>
          <w:color w:val="000000"/>
          <w:sz w:val="28"/>
          <w:szCs w:val="28"/>
          <w:lang w:val="en-US" w:eastAsia="zh-CN"/>
        </w:rPr>
        <w:t>民法典</w:t>
      </w:r>
      <w:r>
        <w:rPr>
          <w:rFonts w:hint="eastAsia" w:ascii="仿宋_GB2312" w:hAnsi="仿宋_GB2312" w:eastAsia="仿宋_GB2312" w:cs="仿宋_GB2312"/>
          <w:color w:val="000000"/>
          <w:sz w:val="28"/>
          <w:szCs w:val="28"/>
        </w:rPr>
        <w:t>&gt;&gt;及有关法律，经双方友好协商，现甲乙双方就购销卫生用纸一事，达成如下协议：</w:t>
      </w:r>
    </w:p>
    <w:p>
      <w:pPr>
        <w:keepNext w:val="0"/>
        <w:keepLines w:val="0"/>
        <w:pageBreakBefore w:val="0"/>
        <w:widowControl w:val="0"/>
        <w:numPr>
          <w:ilvl w:val="0"/>
          <w:numId w:val="0"/>
        </w:numPr>
        <w:kinsoku/>
        <w:wordWrap/>
        <w:overflowPunct/>
        <w:topLinePunct w:val="0"/>
        <w:bidi w:val="0"/>
        <w:snapToGrid/>
        <w:spacing w:line="240" w:lineRule="auto"/>
        <w:ind w:left="540" w:leftChars="0"/>
        <w:textAlignment w:val="auto"/>
        <w:rPr>
          <w:rFonts w:hint="default" w:ascii="仿宋_GB2312" w:hAnsi="仿宋_GB2312" w:eastAsia="仿宋_GB2312" w:cs="仿宋_GB2312"/>
          <w:b/>
          <w:bCs/>
          <w:color w:val="000000"/>
          <w:sz w:val="28"/>
          <w:szCs w:val="28"/>
          <w:lang w:val="en-US"/>
        </w:rPr>
      </w:pPr>
      <w:r>
        <w:rPr>
          <w:rFonts w:hint="eastAsia" w:ascii="仿宋_GB2312" w:hAnsi="仿宋_GB2312" w:eastAsia="仿宋_GB2312" w:cs="仿宋_GB2312"/>
          <w:b/>
          <w:bCs/>
          <w:color w:val="000000"/>
          <w:sz w:val="28"/>
          <w:szCs w:val="28"/>
          <w:lang w:val="en-US" w:eastAsia="zh-CN"/>
        </w:rPr>
        <w:t>一、项目要求</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甲方向乙方采购</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sz w:val="28"/>
          <w:szCs w:val="28"/>
        </w:rPr>
        <w:t>品牌的</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u w:val="single"/>
        </w:rPr>
        <w:t>大盘卷纸、小卷纸、卷式擦手纸、盒装纸巾、盒装擦手纸等</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产品名称、规格、数量及质量要求见附件(产品价格含运输、装卸搬运及税等费用)。</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附件中产品的数量为暂定，实际以甲方所下订货单为准。</w:t>
      </w:r>
    </w:p>
    <w:p>
      <w:pPr>
        <w:keepNext w:val="0"/>
        <w:keepLines w:val="0"/>
        <w:pageBreakBefore w:val="0"/>
        <w:widowControl w:val="0"/>
        <w:kinsoku/>
        <w:wordWrap/>
        <w:overflowPunct/>
        <w:topLinePunct w:val="0"/>
        <w:bidi w:val="0"/>
        <w:snapToGrid/>
        <w:spacing w:line="240" w:lineRule="auto"/>
        <w:ind w:firstLine="540"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333333"/>
          <w:sz w:val="28"/>
          <w:szCs w:val="28"/>
        </w:rPr>
        <w:t>二、</w:t>
      </w:r>
      <w:r>
        <w:rPr>
          <w:rFonts w:hint="eastAsia" w:ascii="仿宋_GB2312" w:hAnsi="仿宋_GB2312" w:eastAsia="仿宋_GB2312" w:cs="仿宋_GB2312"/>
          <w:b/>
          <w:bCs/>
          <w:color w:val="333333"/>
          <w:sz w:val="28"/>
          <w:szCs w:val="28"/>
          <w:lang w:val="en-US" w:eastAsia="zh-CN"/>
        </w:rPr>
        <w:t>产品质量</w:t>
      </w:r>
      <w:r>
        <w:rPr>
          <w:rFonts w:hint="eastAsia" w:ascii="仿宋_GB2312" w:hAnsi="仿宋_GB2312" w:eastAsia="仿宋_GB2312" w:cs="仿宋_GB2312"/>
          <w:color w:val="333333"/>
          <w:sz w:val="28"/>
          <w:szCs w:val="28"/>
        </w:rPr>
        <w:br w:type="textWrapping"/>
      </w:r>
      <w:r>
        <w:rPr>
          <w:rFonts w:hint="eastAsia" w:ascii="仿宋_GB2312" w:hAnsi="仿宋_GB2312" w:eastAsia="仿宋_GB2312" w:cs="仿宋_GB2312"/>
          <w:color w:val="000000"/>
          <w:sz w:val="28"/>
          <w:szCs w:val="28"/>
        </w:rPr>
        <w:t xml:space="preserve">    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乙方供应的产品质量必须符合国家标准及技术要求。</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乙方需按照双方约定的质量标准供应产品，乙方在供应产品的同时必须提交所供应产品的合格证或质量保证书。</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乙方供应的产品的包装应当按照国家规定的通用方式将产品安全、卫生地运抵甲方。包装上的警示语、产品名称、规格、生产厂家等必须有清晰的标示。</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若因使用乙方产品引起任何人身安全问题，由乙方承担全部法律和经济赔偿责任。</w:t>
      </w:r>
    </w:p>
    <w:p>
      <w:pPr>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三、</w:t>
      </w:r>
      <w:r>
        <w:rPr>
          <w:rFonts w:hint="eastAsia" w:ascii="仿宋_GB2312" w:hAnsi="仿宋_GB2312" w:eastAsia="仿宋_GB2312" w:cs="仿宋_GB2312"/>
          <w:b/>
          <w:bCs/>
          <w:color w:val="000000"/>
          <w:sz w:val="28"/>
          <w:szCs w:val="28"/>
          <w:lang w:val="en-US" w:eastAsia="zh-CN"/>
        </w:rPr>
        <w:t>合同期限</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合同期</w:t>
      </w:r>
      <w:r>
        <w:rPr>
          <w:rFonts w:hint="eastAsia" w:ascii="仿宋_GB2312" w:hAnsi="仿宋_GB2312" w:eastAsia="仿宋_GB2312" w:cs="仿宋_GB2312"/>
          <w:color w:val="000000"/>
          <w:sz w:val="28"/>
          <w:szCs w:val="28"/>
          <w:lang w:val="en-US" w:eastAsia="zh-CN"/>
        </w:rPr>
        <w:t>为</w:t>
      </w:r>
      <w:r>
        <w:rPr>
          <w:rFonts w:hint="eastAsia" w:ascii="仿宋_GB2312" w:hAnsi="仿宋_GB2312" w:eastAsia="仿宋_GB2312" w:cs="仿宋_GB2312"/>
          <w:color w:val="000000"/>
          <w:sz w:val="28"/>
          <w:szCs w:val="28"/>
          <w:u w:val="single"/>
          <w:lang w:val="en-US" w:eastAsia="zh-CN"/>
        </w:rPr>
        <w:t>1</w:t>
      </w:r>
      <w:r>
        <w:rPr>
          <w:rFonts w:hint="eastAsia" w:ascii="仿宋_GB2312" w:hAnsi="仿宋_GB2312" w:eastAsia="仿宋_GB2312" w:cs="仿宋_GB2312"/>
          <w:color w:val="000000"/>
          <w:sz w:val="28"/>
          <w:szCs w:val="28"/>
        </w:rPr>
        <w:t>年，从</w:t>
      </w:r>
      <w:r>
        <w:rPr>
          <w:rFonts w:hint="eastAsia" w:ascii="仿宋_GB2312" w:hAnsi="仿宋_GB2312" w:eastAsia="仿宋_GB2312" w:cs="仿宋_GB2312"/>
          <w:color w:val="000000"/>
          <w:sz w:val="28"/>
          <w:szCs w:val="28"/>
          <w:lang w:val="en-US" w:eastAsia="zh-CN"/>
        </w:rPr>
        <w:t>2023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日至</w:t>
      </w:r>
      <w:r>
        <w:rPr>
          <w:rFonts w:hint="eastAsia" w:ascii="仿宋_GB2312" w:hAnsi="仿宋_GB2312" w:eastAsia="仿宋_GB2312" w:cs="仿宋_GB2312"/>
          <w:color w:val="000000"/>
          <w:sz w:val="28"/>
          <w:szCs w:val="28"/>
          <w:lang w:val="en-US" w:eastAsia="zh-CN"/>
        </w:rPr>
        <w:t>2024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31</w:t>
      </w:r>
      <w:r>
        <w:rPr>
          <w:rFonts w:hint="eastAsia" w:ascii="仿宋_GB2312" w:hAnsi="仿宋_GB2312" w:eastAsia="仿宋_GB2312" w:cs="仿宋_GB2312"/>
          <w:color w:val="000000"/>
          <w:sz w:val="28"/>
          <w:szCs w:val="28"/>
        </w:rPr>
        <w:t>日。</w:t>
      </w:r>
    </w:p>
    <w:p>
      <w:pPr>
        <w:keepNext w:val="0"/>
        <w:keepLines w:val="0"/>
        <w:pageBreakBefore w:val="0"/>
        <w:widowControl w:val="0"/>
        <w:numPr>
          <w:ilvl w:val="0"/>
          <w:numId w:val="0"/>
        </w:numPr>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val="en-US" w:eastAsia="zh-CN"/>
        </w:rPr>
        <w:t>四、</w:t>
      </w:r>
      <w:r>
        <w:rPr>
          <w:rFonts w:hint="eastAsia" w:ascii="仿宋_GB2312" w:hAnsi="仿宋_GB2312" w:eastAsia="仿宋_GB2312" w:cs="仿宋_GB2312"/>
          <w:b/>
          <w:bCs/>
          <w:color w:val="000000"/>
          <w:sz w:val="28"/>
          <w:szCs w:val="28"/>
        </w:rPr>
        <w:t>合同金额</w:t>
      </w:r>
    </w:p>
    <w:p>
      <w:pPr>
        <w:keepNext w:val="0"/>
        <w:keepLines w:val="0"/>
        <w:pageBreakBefore w:val="0"/>
        <w:widowControl w:val="0"/>
        <w:numPr>
          <w:ilvl w:val="0"/>
          <w:numId w:val="0"/>
        </w:numPr>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合同金额为</w:t>
      </w:r>
      <w:r>
        <w:rPr>
          <w:rFonts w:hint="eastAsia" w:ascii="仿宋_GB2312" w:hAnsi="仿宋_GB2312" w:eastAsia="仿宋_GB2312" w:cs="仿宋_GB2312"/>
          <w:color w:val="000000"/>
          <w:sz w:val="28"/>
          <w:szCs w:val="28"/>
        </w:rPr>
        <w:t>人民币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按实结算</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bidi w:val="0"/>
        <w:snapToGrid/>
        <w:spacing w:line="240" w:lineRule="auto"/>
        <w:ind w:firstLine="540" w:firstLineChars="192"/>
        <w:textAlignment w:val="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000000"/>
          <w:sz w:val="28"/>
          <w:szCs w:val="28"/>
        </w:rPr>
        <w:t>五、产品供应及服务</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甲方采购产品订单要注明产品的名称、数量、规格、到货地点及到货期限。</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须保证在收到甲方订单后，严格按照甲方指定的时段内将产品如数送抵甲方指定位置。如特殊原因不能按时送抵的，应提前48小时通知甲方，但延时送货时间最多不得超过三天，否则当属违约，甲方有权终止合同，并保留追究乙方的经济赔偿责任。</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xml:space="preserve">    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若甲方需要更改订单或送货时间，甲方需在送货时间前48小时通知乙方，乙方在收到更改通知后8小时内未提出异议，则视乙方为同意。</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乙方交货时，须提供与甲方该批次一致的订单作为交货和签、验收的凭证。</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乙方交货时，人员和车辆的进出、停放必须服从甲方管理人员的指挥，遵守甲方的管理规定。</w:t>
      </w:r>
    </w:p>
    <w:p>
      <w:pPr>
        <w:keepNext w:val="0"/>
        <w:keepLines w:val="0"/>
        <w:pageBreakBefore w:val="0"/>
        <w:widowControl w:val="0"/>
        <w:kinsoku/>
        <w:wordWrap/>
        <w:overflowPunct/>
        <w:topLinePunct w:val="0"/>
        <w:bidi w:val="0"/>
        <w:snapToGrid/>
        <w:spacing w:line="240" w:lineRule="auto"/>
        <w:ind w:firstLine="540" w:firstLineChars="19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六、检验的标准与方式</w:t>
      </w:r>
      <w:r>
        <w:rPr>
          <w:rFonts w:hint="eastAsia" w:ascii="仿宋_GB2312" w:hAnsi="仿宋_GB2312" w:eastAsia="仿宋_GB2312" w:cs="仿宋_GB2312"/>
          <w:b/>
          <w:bCs/>
          <w:color w:val="000000"/>
          <w:sz w:val="28"/>
          <w:szCs w:val="28"/>
        </w:rPr>
        <w:br w:type="textWrapping"/>
      </w:r>
      <w:r>
        <w:rPr>
          <w:rFonts w:hint="eastAsia" w:ascii="仿宋_GB2312" w:hAnsi="仿宋_GB2312" w:eastAsia="仿宋_GB2312" w:cs="仿宋_GB2312"/>
          <w:color w:val="000000"/>
          <w:sz w:val="28"/>
          <w:szCs w:val="28"/>
        </w:rPr>
        <w:t xml:space="preserve">    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对于乙方供应的货物，甲方在验收时采用本协议第二条作为质量初步验收标准。</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xml:space="preserve">    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甲方在收货时仅对乙方所供应货物的数量进行核对或只对货物进行抽检。</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b/>
          <w:bCs/>
          <w:color w:val="000000"/>
          <w:sz w:val="28"/>
          <w:szCs w:val="28"/>
        </w:rPr>
        <w:t>七、产品的退换</w:t>
      </w:r>
      <w:r>
        <w:rPr>
          <w:rFonts w:hint="eastAsia" w:ascii="仿宋_GB2312" w:hAnsi="仿宋_GB2312" w:eastAsia="仿宋_GB2312" w:cs="仿宋_GB2312"/>
          <w:b/>
          <w:bCs/>
          <w:color w:val="000000"/>
          <w:sz w:val="28"/>
          <w:szCs w:val="28"/>
        </w:rPr>
        <w:br w:type="textWrapping"/>
      </w:r>
      <w:r>
        <w:rPr>
          <w:rFonts w:hint="eastAsia" w:ascii="仿宋_GB2312" w:hAnsi="仿宋_GB2312" w:eastAsia="仿宋_GB2312" w:cs="仿宋_GB2312"/>
          <w:color w:val="000000"/>
          <w:sz w:val="28"/>
          <w:szCs w:val="28"/>
        </w:rPr>
        <w:t xml:space="preserve">    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乙方须无条件退换</w:t>
      </w:r>
      <w:r>
        <w:rPr>
          <w:rFonts w:hint="eastAsia" w:ascii="仿宋_GB2312" w:hAnsi="仿宋_GB2312" w:eastAsia="仿宋_GB2312" w:cs="仿宋_GB2312"/>
          <w:color w:val="000000"/>
          <w:sz w:val="28"/>
          <w:szCs w:val="28"/>
          <w:lang w:val="en-US" w:eastAsia="zh-CN"/>
        </w:rPr>
        <w:t>甲方认为</w:t>
      </w:r>
      <w:r>
        <w:rPr>
          <w:rFonts w:hint="eastAsia" w:ascii="仿宋_GB2312" w:hAnsi="仿宋_GB2312" w:eastAsia="仿宋_GB2312" w:cs="仿宋_GB2312"/>
          <w:color w:val="000000"/>
          <w:sz w:val="28"/>
          <w:szCs w:val="28"/>
        </w:rPr>
        <w:t>有质量问题或货物质量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规格与</w:t>
      </w:r>
      <w:r>
        <w:rPr>
          <w:rFonts w:hint="eastAsia" w:ascii="仿宋_GB2312" w:hAnsi="仿宋_GB2312" w:eastAsia="仿宋_GB2312" w:cs="仿宋_GB2312"/>
          <w:color w:val="000000"/>
          <w:sz w:val="28"/>
          <w:szCs w:val="28"/>
          <w:lang w:val="en-US" w:eastAsia="zh-CN"/>
        </w:rPr>
        <w:t>合同要求及</w:t>
      </w:r>
      <w:r>
        <w:rPr>
          <w:rFonts w:hint="eastAsia" w:ascii="仿宋_GB2312" w:hAnsi="仿宋_GB2312" w:eastAsia="仿宋_GB2312" w:cs="仿宋_GB2312"/>
          <w:color w:val="000000"/>
          <w:sz w:val="28"/>
          <w:szCs w:val="28"/>
        </w:rPr>
        <w:t>提供样品不一致的货品，并负责退换所产生的一切费用。</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xml:space="preserve">    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乙方须在接到甲方退货通知</w:t>
      </w:r>
      <w:r>
        <w:rPr>
          <w:rFonts w:hint="eastAsia" w:ascii="仿宋_GB2312" w:hAnsi="仿宋_GB2312" w:eastAsia="仿宋_GB2312" w:cs="仿宋_GB2312"/>
          <w:color w:val="000000"/>
          <w:sz w:val="28"/>
          <w:szCs w:val="28"/>
          <w:lang w:val="en-US" w:eastAsia="zh-CN"/>
        </w:rPr>
        <w:t>的5</w:t>
      </w:r>
      <w:r>
        <w:rPr>
          <w:rFonts w:hint="eastAsia" w:ascii="仿宋_GB2312" w:hAnsi="仿宋_GB2312" w:eastAsia="仿宋_GB2312" w:cs="仿宋_GB2312"/>
          <w:color w:val="000000"/>
          <w:sz w:val="28"/>
          <w:szCs w:val="28"/>
        </w:rPr>
        <w:t>天内更换不合格的产品，</w:t>
      </w:r>
      <w:r>
        <w:rPr>
          <w:rFonts w:hint="eastAsia" w:ascii="仿宋_GB2312" w:hAnsi="仿宋_GB2312" w:eastAsia="仿宋_GB2312" w:cs="仿宋_GB2312"/>
          <w:color w:val="000000"/>
          <w:sz w:val="28"/>
          <w:szCs w:val="28"/>
          <w:lang w:val="en-US" w:eastAsia="zh-CN"/>
        </w:rPr>
        <w:t>如</w:t>
      </w:r>
      <w:r>
        <w:rPr>
          <w:rFonts w:hint="eastAsia" w:ascii="仿宋_GB2312" w:hAnsi="仿宋_GB2312" w:eastAsia="仿宋_GB2312" w:cs="仿宋_GB2312"/>
          <w:color w:val="000000"/>
          <w:sz w:val="28"/>
          <w:szCs w:val="28"/>
        </w:rPr>
        <w:t>乙方超过期限仍不处理的，甲方有权终止合同，并自行处理该批产品和拒付该批货款，乙方还须支付不合格产品价格的200％的赔偿金。</w:t>
      </w:r>
    </w:p>
    <w:p>
      <w:pPr>
        <w:keepNext w:val="0"/>
        <w:keepLines w:val="0"/>
        <w:pageBreakBefore w:val="0"/>
        <w:widowControl w:val="0"/>
        <w:kinsoku/>
        <w:wordWrap/>
        <w:overflowPunct/>
        <w:topLinePunct w:val="0"/>
        <w:bidi w:val="0"/>
        <w:snapToGrid/>
        <w:spacing w:line="240" w:lineRule="auto"/>
        <w:ind w:firstLine="540" w:firstLineChars="192"/>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八、付款方式</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合同签订后</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乙方按甲方下单日期</w:t>
      </w:r>
      <w:r>
        <w:rPr>
          <w:rFonts w:hint="eastAsia" w:ascii="仿宋_GB2312" w:hAnsi="仿宋_GB2312" w:eastAsia="仿宋_GB2312" w:cs="仿宋_GB2312"/>
          <w:color w:val="000000"/>
          <w:sz w:val="28"/>
          <w:szCs w:val="28"/>
          <w:lang w:val="en-US" w:eastAsia="zh-CN"/>
        </w:rPr>
        <w:t>进行</w:t>
      </w:r>
      <w:r>
        <w:rPr>
          <w:rFonts w:hint="eastAsia" w:ascii="仿宋_GB2312" w:hAnsi="仿宋_GB2312" w:eastAsia="仿宋_GB2312" w:cs="仿宋_GB2312"/>
          <w:color w:val="000000"/>
          <w:sz w:val="28"/>
          <w:szCs w:val="28"/>
        </w:rPr>
        <w:t>供货</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乙方按甲方订货单要求将货品送抵目的地，经验收合格后，甲方</w:t>
      </w:r>
      <w:r>
        <w:rPr>
          <w:rFonts w:hint="eastAsia" w:ascii="仿宋_GB2312" w:hAnsi="仿宋_GB2312" w:eastAsia="仿宋_GB2312" w:cs="仿宋_GB2312"/>
          <w:color w:val="000000"/>
          <w:sz w:val="28"/>
          <w:szCs w:val="28"/>
          <w:lang w:val="en-US" w:eastAsia="zh-CN"/>
        </w:rPr>
        <w:t>在</w:t>
      </w:r>
      <w:r>
        <w:rPr>
          <w:rFonts w:hint="eastAsia" w:ascii="仿宋_GB2312" w:hAnsi="仿宋_GB2312" w:eastAsia="仿宋_GB2312" w:cs="仿宋_GB2312"/>
          <w:color w:val="000000"/>
          <w:sz w:val="28"/>
          <w:szCs w:val="28"/>
        </w:rPr>
        <w:t>收到由乙方开具</w:t>
      </w:r>
      <w:r>
        <w:rPr>
          <w:rFonts w:hint="eastAsia" w:ascii="仿宋_GB2312" w:hAnsi="仿宋_GB2312" w:eastAsia="仿宋_GB2312" w:cs="仿宋_GB2312"/>
          <w:color w:val="000000"/>
          <w:sz w:val="28"/>
          <w:szCs w:val="28"/>
          <w:lang w:val="en-US" w:eastAsia="zh-CN"/>
        </w:rPr>
        <w:t>国家正规的增值税专用</w:t>
      </w:r>
      <w:r>
        <w:rPr>
          <w:rFonts w:hint="eastAsia" w:ascii="仿宋_GB2312" w:hAnsi="仿宋_GB2312" w:eastAsia="仿宋_GB2312" w:cs="仿宋_GB2312"/>
          <w:color w:val="000000"/>
          <w:sz w:val="28"/>
          <w:szCs w:val="28"/>
        </w:rPr>
        <w:t>发票</w:t>
      </w:r>
      <w:r>
        <w:rPr>
          <w:rFonts w:hint="eastAsia" w:ascii="仿宋_GB2312" w:hAnsi="仿宋_GB2312" w:eastAsia="仿宋_GB2312" w:cs="仿宋_GB2312"/>
          <w:color w:val="000000"/>
          <w:sz w:val="28"/>
          <w:szCs w:val="28"/>
          <w:lang w:val="en-US" w:eastAsia="zh-CN"/>
        </w:rPr>
        <w:t>后的</w:t>
      </w:r>
      <w:r>
        <w:rPr>
          <w:rFonts w:hint="eastAsia" w:ascii="仿宋_GB2312" w:hAnsi="仿宋_GB2312" w:eastAsia="仿宋_GB2312" w:cs="仿宋_GB2312"/>
          <w:color w:val="000000"/>
          <w:sz w:val="28"/>
          <w:szCs w:val="28"/>
          <w:u w:val="single"/>
        </w:rPr>
        <w:t xml:space="preserve"> 7</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none"/>
        </w:rPr>
        <w:t>个</w:t>
      </w:r>
      <w:r>
        <w:rPr>
          <w:rFonts w:hint="eastAsia" w:ascii="仿宋_GB2312" w:hAnsi="仿宋_GB2312" w:eastAsia="仿宋_GB2312" w:cs="仿宋_GB2312"/>
          <w:color w:val="000000"/>
          <w:sz w:val="28"/>
          <w:szCs w:val="28"/>
        </w:rPr>
        <w:t>工作日内按乙方提供的开户银行：</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，账号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支付款项。 </w:t>
      </w:r>
    </w:p>
    <w:p>
      <w:pPr>
        <w:keepNext w:val="0"/>
        <w:keepLines w:val="0"/>
        <w:pageBreakBefore w:val="0"/>
        <w:widowControl w:val="0"/>
        <w:kinsoku/>
        <w:wordWrap/>
        <w:overflowPunct/>
        <w:topLinePunct w:val="0"/>
        <w:bidi w:val="0"/>
        <w:snapToGrid/>
        <w:spacing w:line="240" w:lineRule="auto"/>
        <w:ind w:firstLine="540" w:firstLineChars="192"/>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九、其他</w:t>
      </w:r>
      <w:r>
        <w:rPr>
          <w:rFonts w:hint="eastAsia" w:ascii="仿宋_GB2312" w:hAnsi="仿宋_GB2312" w:eastAsia="仿宋_GB2312" w:cs="仿宋_GB2312"/>
          <w:b/>
          <w:bCs/>
          <w:color w:val="000000"/>
          <w:sz w:val="28"/>
          <w:szCs w:val="28"/>
          <w:lang w:val="en-US" w:eastAsia="zh-CN"/>
        </w:rPr>
        <w:t>条款</w:t>
      </w:r>
    </w:p>
    <w:p>
      <w:pPr>
        <w:keepNext w:val="0"/>
        <w:keepLines w:val="0"/>
        <w:pageBreakBefore w:val="0"/>
        <w:widowControl w:val="0"/>
        <w:kinsoku/>
        <w:wordWrap/>
        <w:overflowPunct/>
        <w:topLinePunct w:val="0"/>
        <w:bidi w:val="0"/>
        <w:snapToGrid/>
        <w:spacing w:line="240" w:lineRule="auto"/>
        <w:ind w:firstLine="52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kern w:val="0"/>
          <w:sz w:val="28"/>
          <w:szCs w:val="28"/>
          <w:lang w:val="zh-CN"/>
        </w:rPr>
        <w:t>未经对方许可，任何一方不得向第三方泄露本合同的内容、签订和履行情况，以及通过签订和履行本合同而获知的对方企业状况、政策、动向、商业秘密等。</w:t>
      </w:r>
      <w:r>
        <w:rPr>
          <w:rFonts w:hint="eastAsia" w:ascii="仿宋_GB2312" w:hAnsi="仿宋_GB2312" w:eastAsia="仿宋_GB2312" w:cs="仿宋_GB2312"/>
          <w:color w:val="000000"/>
          <w:sz w:val="28"/>
          <w:szCs w:val="28"/>
        </w:rPr>
        <w:t>泄密的一方将对另一方因此而受的损失承担全部责任。</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lang w:val="zh-CN"/>
        </w:rPr>
        <w:t>任何一方在没有合理和充分理由的情况下单方面解除合同的，应向对方支付违约金30000元。</w:t>
      </w:r>
    </w:p>
    <w:p>
      <w:pPr>
        <w:keepNext w:val="0"/>
        <w:keepLines w:val="0"/>
        <w:pageBreakBefore w:val="0"/>
        <w:widowControl w:val="0"/>
        <w:kinsoku/>
        <w:wordWrap/>
        <w:overflowPunct/>
        <w:topLinePunct w:val="0"/>
        <w:autoSpaceDE w:val="0"/>
        <w:autoSpaceDN w:val="0"/>
        <w:bidi w:val="0"/>
        <w:adjustRightInd w:val="0"/>
        <w:snapToGrid/>
        <w:spacing w:line="240" w:lineRule="auto"/>
        <w:ind w:firstLine="570"/>
        <w:jc w:val="left"/>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lang w:val="zh-CN"/>
        </w:rPr>
        <w:t>就本合同或其执行发生任何争议，双方应友好协商解决。协商不成，可向甲方所在地人民法院提起诉讼。</w:t>
      </w:r>
    </w:p>
    <w:p>
      <w:pPr>
        <w:keepNext w:val="0"/>
        <w:keepLines w:val="0"/>
        <w:pageBreakBefore w:val="0"/>
        <w:widowControl w:val="0"/>
        <w:kinsoku/>
        <w:wordWrap/>
        <w:overflowPunct/>
        <w:topLinePunct w:val="0"/>
        <w:autoSpaceDE w:val="0"/>
        <w:autoSpaceDN w:val="0"/>
        <w:bidi w:val="0"/>
        <w:adjustRightInd w:val="0"/>
        <w:snapToGrid/>
        <w:spacing w:line="240" w:lineRule="auto"/>
        <w:ind w:firstLine="570"/>
        <w:jc w:val="left"/>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lang w:val="zh-CN"/>
        </w:rPr>
        <w:t>如发生不可抗力事件，不能履行本合同，完成本合同的时间可根据事件发生的时间长短延期进行</w:t>
      </w:r>
    </w:p>
    <w:p>
      <w:pPr>
        <w:keepNext w:val="0"/>
        <w:keepLines w:val="0"/>
        <w:pageBreakBefore w:val="0"/>
        <w:widowControl w:val="0"/>
        <w:kinsoku/>
        <w:wordWrap/>
        <w:overflowPunct/>
        <w:topLinePunct w:val="0"/>
        <w:autoSpaceDE w:val="0"/>
        <w:autoSpaceDN w:val="0"/>
        <w:bidi w:val="0"/>
        <w:adjustRightInd w:val="0"/>
        <w:snapToGrid/>
        <w:spacing w:line="240" w:lineRule="auto"/>
        <w:ind w:firstLine="537" w:firstLineChars="192"/>
        <w:jc w:val="left"/>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5</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lang w:val="zh-CN"/>
        </w:rPr>
        <w:t>本合同的附件、补充协议为本合同的组成部分，与本合同具有同等法律效力。</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xml:space="preserve">    6、本合同一式四份，双方各执两份，具有同等法律效力。</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7、本合同自双方签订（盖章）之日起生效。</w:t>
      </w:r>
    </w:p>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甲方：（盖章）广东</w:t>
      </w:r>
      <w:r>
        <w:rPr>
          <w:rFonts w:hint="eastAsia" w:ascii="仿宋_GB2312" w:hAnsi="仿宋_GB2312" w:eastAsia="仿宋_GB2312" w:cs="仿宋_GB2312"/>
          <w:sz w:val="28"/>
          <w:szCs w:val="28"/>
        </w:rPr>
        <w:t>南方报业传媒</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rPr>
        <w:t>乙方：（盖章）</w:t>
      </w:r>
    </w:p>
    <w:p>
      <w:pPr>
        <w:keepNext w:val="0"/>
        <w:keepLines w:val="0"/>
        <w:pageBreakBefore w:val="0"/>
        <w:widowControl w:val="0"/>
        <w:kinsoku/>
        <w:wordWrap/>
        <w:overflowPunct/>
        <w:topLinePunct w:val="0"/>
        <w:bidi w:val="0"/>
        <w:snapToGrid/>
        <w:spacing w:line="240" w:lineRule="auto"/>
        <w:ind w:left="0" w:leftChars="0" w:firstLine="1680" w:firstLineChars="6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集团有限公司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代表签字：</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代表签字：</w:t>
      </w:r>
    </w:p>
    <w:p>
      <w:pPr>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 xml:space="preserve">签订日期：    年   月   日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签订日期：    年   月   日</w:t>
      </w:r>
    </w:p>
    <w:p>
      <w:pPr>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bidi w:val="0"/>
        <w:snapToGrid/>
        <w:spacing w:line="240" w:lineRule="auto"/>
        <w:ind w:left="200"/>
        <w:textAlignment w:val="auto"/>
        <w:rPr>
          <w:rFonts w:hint="eastAsia" w:ascii="仿宋_GB2312" w:hAnsi="仿宋_GB2312" w:eastAsia="仿宋_GB2312" w:cs="仿宋_GB2312"/>
          <w:color w:val="000000"/>
          <w:sz w:val="28"/>
          <w:szCs w:val="28"/>
        </w:rPr>
      </w:pPr>
    </w:p>
    <w:p>
      <w:pPr>
        <w:spacing w:line="520" w:lineRule="exact"/>
        <w:ind w:firstLine="204" w:firstLineChars="64"/>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p>
    <w:p>
      <w:pPr>
        <w:spacing w:line="520" w:lineRule="exact"/>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采购方案</w:t>
      </w:r>
    </w:p>
    <w:p>
      <w:pPr>
        <w:spacing w:line="520" w:lineRule="exact"/>
        <w:jc w:val="center"/>
        <w:rPr>
          <w:rFonts w:hint="eastAsia" w:ascii="方正小标宋简体" w:hAnsi="方正小标宋简体" w:eastAsia="方正小标宋简体" w:cs="方正小标宋简体"/>
          <w:b w:val="0"/>
          <w:bCs/>
          <w:sz w:val="40"/>
          <w:szCs w:val="40"/>
        </w:rPr>
      </w:pPr>
    </w:p>
    <w:tbl>
      <w:tblPr>
        <w:tblStyle w:val="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92"/>
        <w:gridCol w:w="2115"/>
        <w:gridCol w:w="1590"/>
        <w:gridCol w:w="161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792"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产品名称</w:t>
            </w:r>
          </w:p>
        </w:tc>
        <w:tc>
          <w:tcPr>
            <w:tcW w:w="2115"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样式</w:t>
            </w:r>
          </w:p>
        </w:tc>
        <w:tc>
          <w:tcPr>
            <w:tcW w:w="1590" w:type="dxa"/>
            <w:noWrap w:val="0"/>
            <w:vAlign w:val="top"/>
          </w:tcPr>
          <w:p>
            <w:pPr>
              <w:spacing w:line="520" w:lineRule="exact"/>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数量</w:t>
            </w:r>
          </w:p>
        </w:tc>
        <w:tc>
          <w:tcPr>
            <w:tcW w:w="1613" w:type="dxa"/>
            <w:noWrap w:val="0"/>
            <w:vAlign w:val="top"/>
          </w:tcPr>
          <w:p>
            <w:pPr>
              <w:spacing w:line="520" w:lineRule="exact"/>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单价</w:t>
            </w:r>
          </w:p>
        </w:tc>
        <w:tc>
          <w:tcPr>
            <w:tcW w:w="1470" w:type="dxa"/>
            <w:noWrap w:val="0"/>
            <w:vAlign w:val="top"/>
          </w:tcPr>
          <w:p>
            <w:pPr>
              <w:spacing w:line="520" w:lineRule="exact"/>
              <w:jc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97"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92"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大盘卷式</w:t>
            </w:r>
          </w:p>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厕纸</w:t>
            </w:r>
          </w:p>
        </w:tc>
        <w:tc>
          <w:tcPr>
            <w:tcW w:w="2115"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134745" cy="775970"/>
                  <wp:effectExtent l="0" t="0" r="8255" b="5080"/>
                  <wp:docPr id="14" name="图片 6" descr="20170411_16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20170411_163213"/>
                          <pic:cNvPicPr>
                            <a:picLocks noChangeAspect="1"/>
                          </pic:cNvPicPr>
                        </pic:nvPicPr>
                        <pic:blipFill>
                          <a:blip r:embed="rId6"/>
                          <a:stretch>
                            <a:fillRect/>
                          </a:stretch>
                        </pic:blipFill>
                        <pic:spPr>
                          <a:xfrm>
                            <a:off x="0" y="0"/>
                            <a:ext cx="1134745" cy="775970"/>
                          </a:xfrm>
                          <a:prstGeom prst="rect">
                            <a:avLst/>
                          </a:prstGeom>
                          <a:noFill/>
                          <a:ln>
                            <a:noFill/>
                          </a:ln>
                        </pic:spPr>
                      </pic:pic>
                    </a:graphicData>
                  </a:graphic>
                </wp:inline>
              </w:drawing>
            </w:r>
          </w:p>
        </w:tc>
        <w:tc>
          <w:tcPr>
            <w:tcW w:w="1590" w:type="dxa"/>
            <w:noWrap w:val="0"/>
            <w:vAlign w:val="center"/>
          </w:tcPr>
          <w:p>
            <w:pPr>
              <w:spacing w:line="460" w:lineRule="exact"/>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7800</w:t>
            </w:r>
            <w:r>
              <w:rPr>
                <w:rFonts w:hint="eastAsia" w:ascii="仿宋_GB2312" w:hAnsi="仿宋_GB2312" w:eastAsia="仿宋_GB2312" w:cs="仿宋_GB2312"/>
                <w:color w:val="auto"/>
                <w:sz w:val="24"/>
                <w:szCs w:val="24"/>
                <w:highlight w:val="none"/>
                <w:shd w:val="clear" w:color="auto" w:fill="auto"/>
              </w:rPr>
              <w:t>卷</w:t>
            </w:r>
          </w:p>
        </w:tc>
        <w:tc>
          <w:tcPr>
            <w:tcW w:w="1613" w:type="dxa"/>
            <w:noWrap w:val="0"/>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元/卷</w:t>
            </w:r>
          </w:p>
        </w:tc>
        <w:tc>
          <w:tcPr>
            <w:tcW w:w="1470"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97"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92" w:type="dxa"/>
            <w:noWrap w:val="0"/>
            <w:vAlign w:val="center"/>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小卷厕纸</w:t>
            </w:r>
          </w:p>
        </w:tc>
        <w:tc>
          <w:tcPr>
            <w:tcW w:w="2115"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157605" cy="878205"/>
                  <wp:effectExtent l="0" t="0" r="4445" b="17145"/>
                  <wp:docPr id="13" name="图片 7" descr="20140825_10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20140825_101722"/>
                          <pic:cNvPicPr>
                            <a:picLocks noChangeAspect="1"/>
                          </pic:cNvPicPr>
                        </pic:nvPicPr>
                        <pic:blipFill>
                          <a:blip r:embed="rId7"/>
                          <a:stretch>
                            <a:fillRect/>
                          </a:stretch>
                        </pic:blipFill>
                        <pic:spPr>
                          <a:xfrm>
                            <a:off x="0" y="0"/>
                            <a:ext cx="1157605" cy="878205"/>
                          </a:xfrm>
                          <a:prstGeom prst="rect">
                            <a:avLst/>
                          </a:prstGeom>
                          <a:noFill/>
                          <a:ln>
                            <a:noFill/>
                          </a:ln>
                        </pic:spPr>
                      </pic:pic>
                    </a:graphicData>
                  </a:graphic>
                </wp:inline>
              </w:drawing>
            </w:r>
          </w:p>
        </w:tc>
        <w:tc>
          <w:tcPr>
            <w:tcW w:w="1590" w:type="dxa"/>
            <w:noWrap w:val="0"/>
            <w:vAlign w:val="center"/>
          </w:tcPr>
          <w:p>
            <w:pPr>
              <w:spacing w:line="460" w:lineRule="exact"/>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300</w:t>
            </w:r>
            <w:r>
              <w:rPr>
                <w:rFonts w:hint="eastAsia" w:ascii="仿宋_GB2312" w:hAnsi="仿宋_GB2312" w:eastAsia="仿宋_GB2312" w:cs="仿宋_GB2312"/>
                <w:color w:val="auto"/>
                <w:sz w:val="24"/>
                <w:szCs w:val="24"/>
                <w:highlight w:val="none"/>
                <w:shd w:val="clear" w:color="auto" w:fill="auto"/>
              </w:rPr>
              <w:t>卷</w:t>
            </w:r>
          </w:p>
        </w:tc>
        <w:tc>
          <w:tcPr>
            <w:tcW w:w="1613" w:type="dxa"/>
            <w:noWrap w:val="0"/>
            <w:vAlign w:val="center"/>
          </w:tcPr>
          <w:p>
            <w:pPr>
              <w:spacing w:line="4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元/卷</w:t>
            </w:r>
          </w:p>
        </w:tc>
        <w:tc>
          <w:tcPr>
            <w:tcW w:w="1470"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97"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92" w:type="dxa"/>
            <w:noWrap w:val="0"/>
            <w:vAlign w:val="center"/>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卷式擦手纸</w:t>
            </w:r>
          </w:p>
        </w:tc>
        <w:tc>
          <w:tcPr>
            <w:tcW w:w="2115"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177925" cy="1007745"/>
                  <wp:effectExtent l="0" t="0" r="3175" b="1905"/>
                  <wp:docPr id="15" name="图片 8" descr="20170412_10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20170412_105358"/>
                          <pic:cNvPicPr>
                            <a:picLocks noChangeAspect="1"/>
                          </pic:cNvPicPr>
                        </pic:nvPicPr>
                        <pic:blipFill>
                          <a:blip r:embed="rId8"/>
                          <a:stretch>
                            <a:fillRect/>
                          </a:stretch>
                        </pic:blipFill>
                        <pic:spPr>
                          <a:xfrm>
                            <a:off x="0" y="0"/>
                            <a:ext cx="1177925" cy="1007745"/>
                          </a:xfrm>
                          <a:prstGeom prst="rect">
                            <a:avLst/>
                          </a:prstGeom>
                          <a:noFill/>
                          <a:ln>
                            <a:noFill/>
                          </a:ln>
                        </pic:spPr>
                      </pic:pic>
                    </a:graphicData>
                  </a:graphic>
                </wp:inline>
              </w:drawing>
            </w:r>
          </w:p>
        </w:tc>
        <w:tc>
          <w:tcPr>
            <w:tcW w:w="1590" w:type="dxa"/>
            <w:noWrap w:val="0"/>
            <w:vAlign w:val="center"/>
          </w:tcPr>
          <w:p>
            <w:pPr>
              <w:spacing w:line="460" w:lineRule="exact"/>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7200</w:t>
            </w:r>
            <w:r>
              <w:rPr>
                <w:rFonts w:hint="eastAsia" w:ascii="仿宋_GB2312" w:hAnsi="仿宋_GB2312" w:eastAsia="仿宋_GB2312" w:cs="仿宋_GB2312"/>
                <w:color w:val="auto"/>
                <w:sz w:val="24"/>
                <w:szCs w:val="24"/>
                <w:highlight w:val="none"/>
                <w:shd w:val="clear" w:color="auto" w:fill="auto"/>
              </w:rPr>
              <w:t>卷</w:t>
            </w:r>
          </w:p>
        </w:tc>
        <w:tc>
          <w:tcPr>
            <w:tcW w:w="1613" w:type="dxa"/>
            <w:noWrap w:val="0"/>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元/卷</w:t>
            </w:r>
          </w:p>
        </w:tc>
        <w:tc>
          <w:tcPr>
            <w:tcW w:w="1470"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97"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92"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盒装擦手纸</w:t>
            </w:r>
          </w:p>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（抽纸）</w:t>
            </w:r>
          </w:p>
        </w:tc>
        <w:tc>
          <w:tcPr>
            <w:tcW w:w="2115"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151255" cy="749935"/>
                  <wp:effectExtent l="0" t="0" r="10795" b="12065"/>
                  <wp:docPr id="16" name="图片 9" descr="20170412_10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20170412_100807"/>
                          <pic:cNvPicPr>
                            <a:picLocks noChangeAspect="1"/>
                          </pic:cNvPicPr>
                        </pic:nvPicPr>
                        <pic:blipFill>
                          <a:blip r:embed="rId9"/>
                          <a:srcRect l="11675" r="8128" b="14359"/>
                          <a:stretch>
                            <a:fillRect/>
                          </a:stretch>
                        </pic:blipFill>
                        <pic:spPr>
                          <a:xfrm>
                            <a:off x="0" y="0"/>
                            <a:ext cx="1151255" cy="749935"/>
                          </a:xfrm>
                          <a:prstGeom prst="rect">
                            <a:avLst/>
                          </a:prstGeom>
                          <a:noFill/>
                          <a:ln>
                            <a:noFill/>
                          </a:ln>
                        </pic:spPr>
                      </pic:pic>
                    </a:graphicData>
                  </a:graphic>
                </wp:inline>
              </w:drawing>
            </w:r>
          </w:p>
        </w:tc>
        <w:tc>
          <w:tcPr>
            <w:tcW w:w="1590" w:type="dxa"/>
            <w:noWrap w:val="0"/>
            <w:vAlign w:val="center"/>
          </w:tcPr>
          <w:p>
            <w:pPr>
              <w:spacing w:line="460" w:lineRule="exact"/>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600</w:t>
            </w:r>
            <w:r>
              <w:rPr>
                <w:rFonts w:hint="eastAsia" w:ascii="仿宋_GB2312" w:hAnsi="仿宋_GB2312" w:eastAsia="仿宋_GB2312" w:cs="仿宋_GB2312"/>
                <w:color w:val="auto"/>
                <w:sz w:val="24"/>
                <w:szCs w:val="24"/>
                <w:highlight w:val="none"/>
                <w:shd w:val="clear" w:color="auto" w:fill="auto"/>
              </w:rPr>
              <w:t>盒</w:t>
            </w:r>
          </w:p>
        </w:tc>
        <w:tc>
          <w:tcPr>
            <w:tcW w:w="1613" w:type="dxa"/>
            <w:noWrap w:val="0"/>
            <w:vAlign w:val="center"/>
          </w:tcPr>
          <w:p>
            <w:pPr>
              <w:spacing w:line="4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r>
              <w:rPr>
                <w:rFonts w:hint="eastAsia" w:ascii="仿宋_GB2312" w:hAnsi="仿宋_GB2312" w:eastAsia="仿宋_GB2312" w:cs="仿宋_GB2312"/>
                <w:sz w:val="24"/>
                <w:szCs w:val="24"/>
                <w:lang w:val="en-US" w:eastAsia="zh-CN"/>
              </w:rPr>
              <w:t>盒</w:t>
            </w:r>
          </w:p>
        </w:tc>
        <w:tc>
          <w:tcPr>
            <w:tcW w:w="1470"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97"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92" w:type="dxa"/>
            <w:noWrap w:val="0"/>
            <w:vAlign w:val="center"/>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盒装纸巾</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148080" cy="670560"/>
                  <wp:effectExtent l="0" t="0" r="13970" b="15240"/>
                  <wp:docPr id="17" name="图片 10" descr="20170411_16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20170411_163116"/>
                          <pic:cNvPicPr>
                            <a:picLocks noChangeAspect="1"/>
                          </pic:cNvPicPr>
                        </pic:nvPicPr>
                        <pic:blipFill>
                          <a:blip r:embed="rId10"/>
                          <a:stretch>
                            <a:fillRect/>
                          </a:stretch>
                        </pic:blipFill>
                        <pic:spPr>
                          <a:xfrm>
                            <a:off x="0" y="0"/>
                            <a:ext cx="1148080" cy="670560"/>
                          </a:xfrm>
                          <a:prstGeom prst="rect">
                            <a:avLst/>
                          </a:prstGeom>
                          <a:noFill/>
                          <a:ln>
                            <a:noFill/>
                          </a:ln>
                        </pic:spPr>
                      </pic:pic>
                    </a:graphicData>
                  </a:graphic>
                </wp:inline>
              </w:drawing>
            </w:r>
          </w:p>
        </w:tc>
        <w:tc>
          <w:tcPr>
            <w:tcW w:w="1590" w:type="dxa"/>
            <w:noWrap w:val="0"/>
            <w:vAlign w:val="center"/>
          </w:tcPr>
          <w:p>
            <w:pPr>
              <w:spacing w:line="460" w:lineRule="exact"/>
              <w:jc w:val="center"/>
              <w:rPr>
                <w:rFonts w:hint="eastAsia" w:ascii="仿宋_GB2312" w:hAnsi="仿宋_GB2312" w:eastAsia="仿宋_GB2312" w:cs="仿宋_GB2312"/>
                <w:b/>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t>200</w:t>
            </w:r>
            <w:r>
              <w:rPr>
                <w:rFonts w:hint="eastAsia" w:ascii="仿宋_GB2312" w:hAnsi="仿宋_GB2312" w:eastAsia="仿宋_GB2312" w:cs="仿宋_GB2312"/>
                <w:color w:val="auto"/>
                <w:sz w:val="24"/>
                <w:szCs w:val="24"/>
                <w:highlight w:val="none"/>
                <w:shd w:val="clear" w:color="auto" w:fill="auto"/>
              </w:rPr>
              <w:t>盒</w:t>
            </w:r>
          </w:p>
        </w:tc>
        <w:tc>
          <w:tcPr>
            <w:tcW w:w="1613" w:type="dxa"/>
            <w:noWrap w:val="0"/>
            <w:vAlign w:val="center"/>
          </w:tcPr>
          <w:p>
            <w:pPr>
              <w:spacing w:line="4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r>
              <w:rPr>
                <w:rFonts w:hint="eastAsia" w:ascii="仿宋_GB2312" w:hAnsi="仿宋_GB2312" w:eastAsia="仿宋_GB2312" w:cs="仿宋_GB2312"/>
                <w:sz w:val="24"/>
                <w:szCs w:val="24"/>
                <w:lang w:val="en-US" w:eastAsia="zh-CN"/>
              </w:rPr>
              <w:t>盒</w:t>
            </w:r>
          </w:p>
        </w:tc>
        <w:tc>
          <w:tcPr>
            <w:tcW w:w="1470" w:type="dxa"/>
            <w:noWrap w:val="0"/>
            <w:vAlign w:val="center"/>
          </w:tcPr>
          <w:p>
            <w:pPr>
              <w:spacing w:line="460" w:lineRule="exact"/>
              <w:jc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377" w:type="dxa"/>
            <w:gridSpan w:val="6"/>
            <w:noWrap w:val="0"/>
            <w:vAlign w:val="center"/>
          </w:tcPr>
          <w:p>
            <w:pPr>
              <w:jc w:val="center"/>
              <w:rPr>
                <w:rFonts w:hint="eastAsia" w:ascii="仿宋_GB2312" w:hAnsi="仿宋_GB2312" w:eastAsia="仿宋_GB2312" w:cs="仿宋_GB2312"/>
                <w:b w:val="0"/>
                <w:bCs w:val="0"/>
                <w:i w:val="0"/>
                <w:color w:val="000000"/>
                <w:kern w:val="0"/>
                <w:sz w:val="24"/>
                <w:szCs w:val="24"/>
                <w:u w:val="none"/>
                <w:vertAlign w:val="baseline"/>
                <w:lang w:val="en-US" w:eastAsia="zh-CN" w:bidi="ar"/>
              </w:rPr>
            </w:pPr>
            <w:r>
              <w:rPr>
                <w:rFonts w:hint="eastAsia" w:ascii="仿宋_GB2312" w:hAnsi="仿宋_GB2312" w:eastAsia="仿宋_GB2312" w:cs="仿宋_GB2312"/>
                <w:b w:val="0"/>
                <w:bCs w:val="0"/>
                <w:i w:val="0"/>
                <w:color w:val="000000"/>
                <w:kern w:val="0"/>
                <w:sz w:val="24"/>
                <w:szCs w:val="24"/>
                <w:u w:val="none"/>
                <w:vertAlign w:val="baseline"/>
                <w:lang w:val="en-US" w:eastAsia="zh-CN" w:bidi="ar"/>
              </w:rPr>
              <w:t>该项目总报价</w:t>
            </w:r>
            <w:r>
              <w:rPr>
                <w:rFonts w:hint="eastAsia" w:ascii="仿宋_GB2312" w:hAnsi="仿宋_GB2312" w:eastAsia="仿宋_GB2312" w:cs="仿宋_GB2312"/>
                <w:b w:val="0"/>
                <w:bCs w:val="0"/>
                <w:i w:val="0"/>
                <w:color w:val="000000"/>
                <w:kern w:val="0"/>
                <w:sz w:val="24"/>
                <w:szCs w:val="24"/>
                <w:u w:val="single"/>
                <w:vertAlign w:val="baseline"/>
                <w:lang w:val="en-US" w:eastAsia="zh-CN" w:bidi="ar"/>
              </w:rPr>
              <w:t xml:space="preserve">                 </w:t>
            </w:r>
            <w:r>
              <w:rPr>
                <w:rFonts w:hint="eastAsia" w:ascii="仿宋_GB2312" w:hAnsi="仿宋_GB2312" w:eastAsia="仿宋_GB2312" w:cs="仿宋_GB2312"/>
                <w:b w:val="0"/>
                <w:bCs w:val="0"/>
                <w:i w:val="0"/>
                <w:color w:val="000000"/>
                <w:kern w:val="0"/>
                <w:sz w:val="24"/>
                <w:szCs w:val="24"/>
                <w:u w:val="none"/>
                <w:vertAlign w:val="baseline"/>
                <w:lang w:val="en-US" w:eastAsia="zh-CN" w:bidi="ar"/>
              </w:rPr>
              <w:t>元</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i w:val="0"/>
                <w:color w:val="000000"/>
                <w:kern w:val="0"/>
                <w:sz w:val="24"/>
                <w:szCs w:val="24"/>
                <w:u w:val="none"/>
                <w:vertAlign w:val="baseline"/>
                <w:lang w:val="en-US" w:eastAsia="zh-CN" w:bidi="ar"/>
              </w:rPr>
              <w:t>大写：                        ）</w:t>
            </w:r>
          </w:p>
          <w:p>
            <w:pPr>
              <w:jc w:val="center"/>
              <w:rPr>
                <w:rFonts w:hint="eastAsia" w:ascii="仿宋_GB2312" w:hAnsi="仿宋_GB2312" w:eastAsia="仿宋_GB2312" w:cs="仿宋_GB2312"/>
                <w:b/>
                <w:bCs/>
                <w:i w:val="0"/>
                <w:color w:val="000000"/>
                <w:kern w:val="0"/>
                <w:sz w:val="24"/>
                <w:szCs w:val="24"/>
                <w:u w:val="none"/>
                <w:vertAlign w:val="baseline"/>
                <w:lang w:val="en-US" w:eastAsia="zh-CN" w:bidi="ar"/>
              </w:rPr>
            </w:pPr>
            <w:r>
              <w:rPr>
                <w:rFonts w:hint="eastAsia" w:ascii="仿宋_GB2312" w:hAnsi="仿宋_GB2312" w:eastAsia="仿宋_GB2312" w:cs="仿宋_GB2312"/>
                <w:b w:val="0"/>
                <w:bCs w:val="0"/>
                <w:i w:val="0"/>
                <w:color w:val="000000"/>
                <w:kern w:val="0"/>
                <w:sz w:val="24"/>
                <w:szCs w:val="24"/>
                <w:u w:val="none"/>
                <w:vertAlign w:val="baseline"/>
                <w:lang w:val="en-US" w:eastAsia="zh-CN" w:bidi="ar"/>
              </w:rPr>
              <w:t>（含</w:t>
            </w:r>
            <w:r>
              <w:rPr>
                <w:rFonts w:hint="eastAsia" w:ascii="仿宋_GB2312" w:hAnsi="仿宋_GB2312" w:eastAsia="仿宋_GB2312" w:cs="仿宋_GB2312"/>
                <w:b w:val="0"/>
                <w:bCs w:val="0"/>
                <w:i w:val="0"/>
                <w:color w:val="000000"/>
                <w:kern w:val="0"/>
                <w:sz w:val="24"/>
                <w:szCs w:val="24"/>
                <w:u w:val="single"/>
                <w:vertAlign w:val="baseline"/>
                <w:lang w:val="en-US" w:eastAsia="zh-CN" w:bidi="ar"/>
              </w:rPr>
              <w:t xml:space="preserve">    </w:t>
            </w:r>
            <w:r>
              <w:rPr>
                <w:rFonts w:hint="eastAsia" w:ascii="仿宋_GB2312" w:hAnsi="仿宋_GB2312" w:eastAsia="仿宋_GB2312" w:cs="仿宋_GB2312"/>
                <w:b w:val="0"/>
                <w:bCs w:val="0"/>
                <w:i w:val="0"/>
                <w:color w:val="000000"/>
                <w:kern w:val="0"/>
                <w:sz w:val="24"/>
                <w:szCs w:val="24"/>
                <w:u w:val="none"/>
                <w:vertAlign w:val="baseline"/>
                <w:lang w:val="en-US" w:eastAsia="zh-CN" w:bidi="ar"/>
              </w:rPr>
              <w:t>%增值税）</w:t>
            </w:r>
          </w:p>
        </w:tc>
      </w:tr>
    </w:tbl>
    <w:p>
      <w:pPr>
        <w:spacing w:line="520" w:lineRule="exact"/>
        <w:jc w:val="center"/>
        <w:rPr>
          <w:rFonts w:hint="eastAsia" w:ascii="仿宋_GB2312" w:hAnsi="仿宋_GB2312" w:eastAsia="仿宋_GB2312" w:cs="仿宋_GB2312"/>
          <w:b/>
          <w:sz w:val="24"/>
          <w:szCs w:val="24"/>
        </w:rPr>
      </w:pPr>
    </w:p>
    <w:p>
      <w:pPr>
        <w:spacing w:line="520" w:lineRule="exact"/>
        <w:jc w:val="both"/>
        <w:rPr>
          <w:rFonts w:hint="eastAsia" w:ascii="仿宋_GB2312" w:hAnsi="仿宋_GB2312" w:eastAsia="仿宋_GB2312" w:cs="仿宋_GB2312"/>
          <w:b/>
          <w:sz w:val="24"/>
          <w:szCs w:val="24"/>
        </w:rPr>
      </w:pPr>
    </w:p>
    <w:p>
      <w:pPr>
        <w:rPr>
          <w:rFonts w:hint="eastAsia"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br w:type="page"/>
      </w:r>
    </w:p>
    <w:p>
      <w:pPr>
        <w:spacing w:line="520" w:lineRule="exact"/>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lang w:val="en-US" w:eastAsia="zh-CN"/>
        </w:rPr>
        <w:t>产品</w:t>
      </w:r>
      <w:r>
        <w:rPr>
          <w:rFonts w:hint="eastAsia" w:ascii="方正小标宋简体" w:hAnsi="方正小标宋简体" w:eastAsia="方正小标宋简体" w:cs="方正小标宋简体"/>
          <w:b w:val="0"/>
          <w:bCs/>
          <w:sz w:val="40"/>
          <w:szCs w:val="40"/>
        </w:rPr>
        <w:t>要求</w:t>
      </w:r>
    </w:p>
    <w:p>
      <w:pPr>
        <w:spacing w:line="520" w:lineRule="exact"/>
        <w:jc w:val="center"/>
        <w:rPr>
          <w:rFonts w:hint="eastAsia" w:ascii="方正小标宋简体" w:hAnsi="方正小标宋简体" w:eastAsia="方正小标宋简体" w:cs="方正小标宋简体"/>
          <w:b/>
          <w:sz w:val="40"/>
          <w:szCs w:val="40"/>
        </w:rPr>
      </w:pPr>
    </w:p>
    <w:tbl>
      <w:tblPr>
        <w:tblStyle w:val="7"/>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05"/>
        <w:gridCol w:w="2025"/>
        <w:gridCol w:w="2790"/>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305"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产品名称</w:t>
            </w:r>
          </w:p>
        </w:tc>
        <w:tc>
          <w:tcPr>
            <w:tcW w:w="2025"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样式</w:t>
            </w:r>
          </w:p>
        </w:tc>
        <w:tc>
          <w:tcPr>
            <w:tcW w:w="2790"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质量要求</w:t>
            </w:r>
          </w:p>
        </w:tc>
        <w:tc>
          <w:tcPr>
            <w:tcW w:w="3698" w:type="dxa"/>
            <w:noWrap w:val="0"/>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02"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05"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大盘卷式</w:t>
            </w:r>
          </w:p>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厕纸</w:t>
            </w:r>
          </w:p>
        </w:tc>
        <w:tc>
          <w:tcPr>
            <w:tcW w:w="2025" w:type="dxa"/>
            <w:noWrap w:val="0"/>
            <w:vAlign w:val="bottom"/>
          </w:tcPr>
          <w:p>
            <w:pPr>
              <w:spacing w:line="1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073150" cy="971550"/>
                  <wp:effectExtent l="0" t="0" r="12700" b="0"/>
                  <wp:docPr id="1" name="图片 1" descr="20170411_16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0411_163213"/>
                          <pic:cNvPicPr>
                            <a:picLocks noChangeAspect="1"/>
                          </pic:cNvPicPr>
                        </pic:nvPicPr>
                        <pic:blipFill>
                          <a:blip r:embed="rId11"/>
                          <a:stretch>
                            <a:fillRect/>
                          </a:stretch>
                        </pic:blipFill>
                        <pic:spPr>
                          <a:xfrm>
                            <a:off x="0" y="0"/>
                            <a:ext cx="1073150" cy="971550"/>
                          </a:xfrm>
                          <a:prstGeom prst="rect">
                            <a:avLst/>
                          </a:prstGeom>
                          <a:noFill/>
                          <a:ln>
                            <a:noFill/>
                          </a:ln>
                        </pic:spPr>
                      </pic:pic>
                    </a:graphicData>
                  </a:graphic>
                </wp:inline>
              </w:drawing>
            </w:r>
          </w:p>
        </w:tc>
        <w:tc>
          <w:tcPr>
            <w:tcW w:w="2790" w:type="dxa"/>
            <w:noWrap w:val="0"/>
            <w:vAlign w:val="center"/>
          </w:tcPr>
          <w:p>
            <w:pPr>
              <w:spacing w:line="460" w:lineRule="exact"/>
              <w:jc w:val="both"/>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直径</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纸芯直径：</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cm</w:t>
            </w:r>
          </w:p>
          <w:p>
            <w:pPr>
              <w:spacing w:line="460" w:lineRule="exact"/>
              <w:jc w:val="both"/>
              <w:rPr>
                <w:rFonts w:hint="eastAsia" w:ascii="仿宋_GB2312" w:hAnsi="仿宋_GB2312" w:eastAsia="仿宋_GB2312" w:cs="仿宋_GB2312"/>
                <w:b/>
                <w:sz w:val="24"/>
                <w:szCs w:val="24"/>
              </w:rPr>
            </w:pPr>
            <w:r>
              <w:rPr>
                <w:rFonts w:hint="eastAsia" w:ascii="仿宋_GB2312" w:hAnsi="仿宋_GB2312" w:eastAsia="仿宋_GB2312" w:cs="仿宋_GB2312"/>
                <w:b w:val="0"/>
                <w:bCs w:val="0"/>
                <w:sz w:val="24"/>
                <w:szCs w:val="24"/>
                <w:lang w:val="en-US" w:eastAsia="zh-CN"/>
              </w:rPr>
              <w:t>重量：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kg</w:t>
            </w:r>
          </w:p>
        </w:tc>
        <w:tc>
          <w:tcPr>
            <w:tcW w:w="3698" w:type="dxa"/>
            <w:vMerge w:val="restart"/>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主要原料： 100%原生木浆；执行标准：GB20810优等品；保质期三年。亮度（白度）≥75%；横向吸液高度≥mm/30;扩张指数（纵横）≥x.m/3g;柔软度≤m180N；交货水分≤%10。微生物细菌菌落总数≤CFU/500g,大肠菌群、含黄色葡萄球菌、溶血性链球菌等不应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02"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05" w:type="dxa"/>
            <w:noWrap w:val="0"/>
            <w:vAlign w:val="center"/>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小卷厕纸</w:t>
            </w:r>
          </w:p>
        </w:tc>
        <w:tc>
          <w:tcPr>
            <w:tcW w:w="2025" w:type="dxa"/>
            <w:noWrap w:val="0"/>
            <w:vAlign w:val="bottom"/>
          </w:tcPr>
          <w:p>
            <w:pPr>
              <w:spacing w:line="1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073150" cy="869950"/>
                  <wp:effectExtent l="0" t="0" r="12700" b="6350"/>
                  <wp:docPr id="2" name="图片 2" descr="20140825_10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40825_101722"/>
                          <pic:cNvPicPr>
                            <a:picLocks noChangeAspect="1"/>
                          </pic:cNvPicPr>
                        </pic:nvPicPr>
                        <pic:blipFill>
                          <a:blip r:embed="rId12"/>
                          <a:stretch>
                            <a:fillRect/>
                          </a:stretch>
                        </pic:blipFill>
                        <pic:spPr>
                          <a:xfrm>
                            <a:off x="0" y="0"/>
                            <a:ext cx="1073150" cy="869950"/>
                          </a:xfrm>
                          <a:prstGeom prst="rect">
                            <a:avLst/>
                          </a:prstGeom>
                          <a:noFill/>
                          <a:ln>
                            <a:noFill/>
                          </a:ln>
                        </pic:spPr>
                      </pic:pic>
                    </a:graphicData>
                  </a:graphic>
                </wp:inline>
              </w:drawing>
            </w:r>
          </w:p>
        </w:tc>
        <w:tc>
          <w:tcPr>
            <w:tcW w:w="2790" w:type="dxa"/>
            <w:noWrap w:val="0"/>
            <w:vAlign w:val="center"/>
          </w:tcPr>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直径</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纸芯直径：</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cm</w:t>
            </w:r>
          </w:p>
          <w:p>
            <w:pPr>
              <w:spacing w:line="460" w:lineRule="exact"/>
              <w:jc w:val="both"/>
              <w:rPr>
                <w:rFonts w:hint="eastAsia" w:ascii="仿宋_GB2312" w:hAnsi="仿宋_GB2312" w:eastAsia="仿宋_GB2312" w:cs="仿宋_GB2312"/>
                <w:b/>
                <w:sz w:val="24"/>
                <w:szCs w:val="24"/>
              </w:rPr>
            </w:pPr>
            <w:r>
              <w:rPr>
                <w:rFonts w:hint="eastAsia" w:ascii="仿宋_GB2312" w:hAnsi="仿宋_GB2312" w:eastAsia="仿宋_GB2312" w:cs="仿宋_GB2312"/>
                <w:b w:val="0"/>
                <w:bCs w:val="0"/>
                <w:sz w:val="24"/>
                <w:szCs w:val="24"/>
                <w:lang w:val="en-US" w:eastAsia="zh-CN"/>
              </w:rPr>
              <w:t>重量：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kg</w:t>
            </w:r>
          </w:p>
        </w:tc>
        <w:tc>
          <w:tcPr>
            <w:tcW w:w="3698" w:type="dxa"/>
            <w:vMerge w:val="continue"/>
            <w:noWrap w:val="0"/>
            <w:vAlign w:val="center"/>
          </w:tcPr>
          <w:p>
            <w:pPr>
              <w:spacing w:line="42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2"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05"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卷式</w:t>
            </w:r>
          </w:p>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擦手纸</w:t>
            </w:r>
          </w:p>
        </w:tc>
        <w:tc>
          <w:tcPr>
            <w:tcW w:w="2025" w:type="dxa"/>
            <w:noWrap w:val="0"/>
            <w:vAlign w:val="bottom"/>
          </w:tcPr>
          <w:p>
            <w:pPr>
              <w:spacing w:line="1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958850" cy="795020"/>
                  <wp:effectExtent l="0" t="0" r="12700" b="5080"/>
                  <wp:docPr id="3" name="图片 3" descr="20170412_10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70412_105358"/>
                          <pic:cNvPicPr>
                            <a:picLocks noChangeAspect="1"/>
                          </pic:cNvPicPr>
                        </pic:nvPicPr>
                        <pic:blipFill>
                          <a:blip r:embed="rId13"/>
                          <a:stretch>
                            <a:fillRect/>
                          </a:stretch>
                        </pic:blipFill>
                        <pic:spPr>
                          <a:xfrm>
                            <a:off x="0" y="0"/>
                            <a:ext cx="958850" cy="795020"/>
                          </a:xfrm>
                          <a:prstGeom prst="rect">
                            <a:avLst/>
                          </a:prstGeom>
                          <a:noFill/>
                          <a:ln>
                            <a:noFill/>
                          </a:ln>
                        </pic:spPr>
                      </pic:pic>
                    </a:graphicData>
                  </a:graphic>
                </wp:inline>
              </w:drawing>
            </w:r>
          </w:p>
        </w:tc>
        <w:tc>
          <w:tcPr>
            <w:tcW w:w="2790" w:type="dxa"/>
            <w:noWrap w:val="0"/>
            <w:vAlign w:val="center"/>
          </w:tcPr>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直径</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/卷</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纸芯直径：</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cm</w:t>
            </w:r>
          </w:p>
          <w:p>
            <w:pPr>
              <w:spacing w:line="460" w:lineRule="exact"/>
              <w:jc w:val="both"/>
              <w:rPr>
                <w:rFonts w:hint="eastAsia" w:ascii="仿宋_GB2312" w:hAnsi="仿宋_GB2312" w:eastAsia="仿宋_GB2312" w:cs="仿宋_GB2312"/>
                <w:b/>
                <w:sz w:val="24"/>
                <w:szCs w:val="24"/>
              </w:rPr>
            </w:pPr>
            <w:r>
              <w:rPr>
                <w:rFonts w:hint="eastAsia" w:ascii="仿宋_GB2312" w:hAnsi="仿宋_GB2312" w:eastAsia="仿宋_GB2312" w:cs="仿宋_GB2312"/>
                <w:b w:val="0"/>
                <w:bCs w:val="0"/>
                <w:sz w:val="24"/>
                <w:szCs w:val="24"/>
                <w:lang w:val="en-US" w:eastAsia="zh-CN"/>
              </w:rPr>
              <w:t>重量：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kg</w:t>
            </w:r>
          </w:p>
        </w:tc>
        <w:tc>
          <w:tcPr>
            <w:tcW w:w="3698" w:type="dxa"/>
            <w:vMerge w:val="restart"/>
            <w:noWrap w:val="0"/>
            <w:vAlign w:val="center"/>
          </w:tcPr>
          <w:p>
            <w:pPr>
              <w:spacing w:line="340" w:lineRule="exac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主要原料： 100%原生木浆；执行标准：GB15979；保质期三年。亮度（白度）GB∕T 7974；横向吸液高度GB∕T 461.1；横向抗张指数GB∕T12914；纵向湿抗张强度GB∕T 12914；交货水分GB∕T 462。微生物细菌菌落总数≤CFU/600g,大肠菌群、含黄色葡萄球菌、溶血性链球菌等不应检出。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802"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05"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盒装</w:t>
            </w:r>
          </w:p>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擦手纸</w:t>
            </w:r>
          </w:p>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（抽纸）</w:t>
            </w:r>
          </w:p>
        </w:tc>
        <w:tc>
          <w:tcPr>
            <w:tcW w:w="2025" w:type="dxa"/>
            <w:noWrap w:val="0"/>
            <w:vAlign w:val="bottom"/>
          </w:tcPr>
          <w:p>
            <w:pPr>
              <w:spacing w:line="1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071245" cy="797560"/>
                  <wp:effectExtent l="0" t="0" r="14605" b="2540"/>
                  <wp:docPr id="4" name="图片 4" descr="20170412_10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70412_100807"/>
                          <pic:cNvPicPr>
                            <a:picLocks noChangeAspect="1"/>
                          </pic:cNvPicPr>
                        </pic:nvPicPr>
                        <pic:blipFill>
                          <a:blip r:embed="rId14"/>
                          <a:stretch>
                            <a:fillRect/>
                          </a:stretch>
                        </pic:blipFill>
                        <pic:spPr>
                          <a:xfrm>
                            <a:off x="0" y="0"/>
                            <a:ext cx="1071245" cy="797560"/>
                          </a:xfrm>
                          <a:prstGeom prst="rect">
                            <a:avLst/>
                          </a:prstGeom>
                          <a:noFill/>
                          <a:ln>
                            <a:noFill/>
                          </a:ln>
                        </pic:spPr>
                      </pic:pic>
                    </a:graphicData>
                  </a:graphic>
                </wp:inline>
              </w:drawing>
            </w:r>
          </w:p>
        </w:tc>
        <w:tc>
          <w:tcPr>
            <w:tcW w:w="2790" w:type="dxa"/>
            <w:noWrap w:val="0"/>
            <w:vAlign w:val="center"/>
          </w:tcPr>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宽度</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张</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张</w:t>
            </w:r>
          </w:p>
          <w:p>
            <w:pPr>
              <w:spacing w:line="460" w:lineRule="exact"/>
              <w:jc w:val="both"/>
              <w:rPr>
                <w:rFonts w:hint="eastAsia" w:ascii="仿宋_GB2312" w:hAnsi="仿宋_GB2312" w:eastAsia="仿宋_GB2312" w:cs="仿宋_GB2312"/>
                <w:b/>
                <w:sz w:val="24"/>
                <w:szCs w:val="24"/>
              </w:rPr>
            </w:pPr>
            <w:r>
              <w:rPr>
                <w:rFonts w:hint="eastAsia" w:ascii="仿宋_GB2312" w:hAnsi="仿宋_GB2312" w:eastAsia="仿宋_GB2312" w:cs="仿宋_GB2312"/>
                <w:b w:val="0"/>
                <w:bCs w:val="0"/>
                <w:sz w:val="24"/>
                <w:szCs w:val="24"/>
                <w:lang w:val="en-US" w:eastAsia="zh-CN"/>
              </w:rPr>
              <w:t>数量：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抽/盒</w:t>
            </w:r>
          </w:p>
        </w:tc>
        <w:tc>
          <w:tcPr>
            <w:tcW w:w="3698" w:type="dxa"/>
            <w:vMerge w:val="continue"/>
            <w:noWrap w:val="0"/>
            <w:vAlign w:val="center"/>
          </w:tcPr>
          <w:p>
            <w:pPr>
              <w:spacing w:line="42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802"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05" w:type="dxa"/>
            <w:noWrap w:val="0"/>
            <w:vAlign w:val="center"/>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盒装纸巾</w:t>
            </w:r>
          </w:p>
        </w:tc>
        <w:tc>
          <w:tcPr>
            <w:tcW w:w="2025" w:type="dxa"/>
            <w:noWrap w:val="0"/>
            <w:vAlign w:val="center"/>
          </w:tcPr>
          <w:p>
            <w:pPr>
              <w:spacing w:line="1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drawing>
                <wp:inline distT="0" distB="0" distL="114300" distR="114300">
                  <wp:extent cx="1073150" cy="889000"/>
                  <wp:effectExtent l="0" t="0" r="12700" b="6350"/>
                  <wp:docPr id="5" name="图片 5" descr="20170411_16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70411_163116"/>
                          <pic:cNvPicPr>
                            <a:picLocks noChangeAspect="1"/>
                          </pic:cNvPicPr>
                        </pic:nvPicPr>
                        <pic:blipFill>
                          <a:blip r:embed="rId15"/>
                          <a:stretch>
                            <a:fillRect/>
                          </a:stretch>
                        </pic:blipFill>
                        <pic:spPr>
                          <a:xfrm>
                            <a:off x="0" y="0"/>
                            <a:ext cx="1073150" cy="889000"/>
                          </a:xfrm>
                          <a:prstGeom prst="rect">
                            <a:avLst/>
                          </a:prstGeom>
                          <a:noFill/>
                          <a:ln>
                            <a:noFill/>
                          </a:ln>
                        </pic:spPr>
                      </pic:pic>
                    </a:graphicData>
                  </a:graphic>
                </wp:inline>
              </w:drawing>
            </w:r>
          </w:p>
        </w:tc>
        <w:tc>
          <w:tcPr>
            <w:tcW w:w="2790" w:type="dxa"/>
            <w:noWrap w:val="0"/>
            <w:vAlign w:val="center"/>
          </w:tcPr>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品牌：</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color w:val="FFFFFF" w:themeColor="background1"/>
                <w:sz w:val="24"/>
                <w:szCs w:val="24"/>
                <w:u w:val="none"/>
                <w:lang w:val="en-US" w:eastAsia="zh-CN"/>
                <w14:textFill>
                  <w14:solidFill>
                    <w14:schemeClr w14:val="bg1"/>
                  </w14:solidFill>
                </w14:textFill>
              </w:rPr>
              <w:t>。</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层</w:t>
            </w:r>
          </w:p>
          <w:p>
            <w:pPr>
              <w:spacing w:line="460" w:lineRule="exact"/>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宽度</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张</w:t>
            </w:r>
          </w:p>
          <w:p>
            <w:pPr>
              <w:spacing w:line="460" w:lineRule="exact"/>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高度：</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cm</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张</w:t>
            </w:r>
          </w:p>
          <w:p>
            <w:pPr>
              <w:spacing w:line="460" w:lineRule="exact"/>
              <w:jc w:val="both"/>
              <w:rPr>
                <w:rFonts w:hint="eastAsia" w:ascii="仿宋_GB2312" w:hAnsi="仿宋_GB2312" w:eastAsia="仿宋_GB2312" w:cs="仿宋_GB2312"/>
                <w:b/>
                <w:sz w:val="24"/>
                <w:szCs w:val="24"/>
              </w:rPr>
            </w:pPr>
            <w:r>
              <w:rPr>
                <w:rFonts w:hint="eastAsia" w:ascii="仿宋_GB2312" w:hAnsi="仿宋_GB2312" w:eastAsia="仿宋_GB2312" w:cs="仿宋_GB2312"/>
                <w:b w:val="0"/>
                <w:bCs w:val="0"/>
                <w:sz w:val="24"/>
                <w:szCs w:val="24"/>
                <w:lang w:val="en-US" w:eastAsia="zh-CN"/>
              </w:rPr>
              <w:t>数量：</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抽/盒</w:t>
            </w:r>
          </w:p>
        </w:tc>
        <w:tc>
          <w:tcPr>
            <w:tcW w:w="3698" w:type="dxa"/>
            <w:noWrap w:val="0"/>
            <w:vAlign w:val="center"/>
          </w:tcPr>
          <w:p>
            <w:pPr>
              <w:spacing w:line="340" w:lineRule="exac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主要原料： 100%原生木浆；执行标准：GB/T20808;保质期三年。亮度（白度）≥85%；横向吸液高度≥mm/40;扩张指数≥x.m/1.5g;纵向湿扩张强度≥x.m/14m;柔软度≤Mn40双层；交货水分≤%10；微生物细菌菌落总数≤CFU/200g,大肠菌群、含黄色葡萄球菌、溶血性链球菌等不应检出。</w:t>
            </w:r>
          </w:p>
        </w:tc>
      </w:tr>
    </w:tbl>
    <w:p>
      <w:pPr>
        <w:spacing w:line="520" w:lineRule="exact"/>
        <w:jc w:val="both"/>
        <w:rPr>
          <w:rFonts w:hint="eastAsia" w:ascii="仿宋_GB2312" w:hAnsi="仿宋_GB2312" w:eastAsia="仿宋_GB2312" w:cs="仿宋_GB2312"/>
          <w:color w:val="000000"/>
          <w:sz w:val="28"/>
          <w:szCs w:val="28"/>
        </w:rPr>
      </w:pPr>
    </w:p>
    <w:sectPr>
      <w:footerReference r:id="rId3" w:type="default"/>
      <w:footerReference r:id="rId4" w:type="even"/>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Style w:val="9"/>
        <w:rFonts w:hint="eastAsia"/>
      </w:rPr>
      <w:t>第</w:t>
    </w: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r>
      <w:rPr>
        <w:rStyle w:val="9"/>
        <w:rFonts w:hint="eastAsia"/>
      </w:rPr>
      <w:t>页 共</w:t>
    </w:r>
    <w:r>
      <w:rPr>
        <w:rStyle w:val="9"/>
      </w:rPr>
      <w:fldChar w:fldCharType="begin"/>
    </w:r>
    <w:r>
      <w:rPr>
        <w:rStyle w:val="9"/>
      </w:rPr>
      <w:instrText xml:space="preserve"> NUMPAGES </w:instrText>
    </w:r>
    <w:r>
      <w:rPr>
        <w:rStyle w:val="9"/>
      </w:rPr>
      <w:fldChar w:fldCharType="separate"/>
    </w:r>
    <w:r>
      <w:rPr>
        <w:rStyle w:val="9"/>
      </w:rPr>
      <w:t>5</w:t>
    </w:r>
    <w:r>
      <w:rPr>
        <w:rStyle w:val="9"/>
      </w:rPr>
      <w:fldChar w:fldCharType="end"/>
    </w:r>
    <w:r>
      <w:rPr>
        <w:rStyle w:val="9"/>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69"/>
    <w:rsid w:val="00010E0D"/>
    <w:rsid w:val="000162D9"/>
    <w:rsid w:val="00021087"/>
    <w:rsid w:val="00030E82"/>
    <w:rsid w:val="00043FEF"/>
    <w:rsid w:val="00046CE3"/>
    <w:rsid w:val="00080D09"/>
    <w:rsid w:val="000847C7"/>
    <w:rsid w:val="00091D74"/>
    <w:rsid w:val="000A0CF4"/>
    <w:rsid w:val="000E3B3E"/>
    <w:rsid w:val="000F5BAC"/>
    <w:rsid w:val="0011738C"/>
    <w:rsid w:val="00137C30"/>
    <w:rsid w:val="001A5F3B"/>
    <w:rsid w:val="001A700D"/>
    <w:rsid w:val="002023F2"/>
    <w:rsid w:val="002132D9"/>
    <w:rsid w:val="00216576"/>
    <w:rsid w:val="00230AC5"/>
    <w:rsid w:val="00283652"/>
    <w:rsid w:val="002B74CC"/>
    <w:rsid w:val="002B7BB5"/>
    <w:rsid w:val="002F0808"/>
    <w:rsid w:val="00300565"/>
    <w:rsid w:val="00311A76"/>
    <w:rsid w:val="00396B8C"/>
    <w:rsid w:val="003B6194"/>
    <w:rsid w:val="003E703E"/>
    <w:rsid w:val="0042206F"/>
    <w:rsid w:val="00480F39"/>
    <w:rsid w:val="004C1E42"/>
    <w:rsid w:val="004E3487"/>
    <w:rsid w:val="004F4413"/>
    <w:rsid w:val="0055550E"/>
    <w:rsid w:val="005570BE"/>
    <w:rsid w:val="00557ED3"/>
    <w:rsid w:val="005721D3"/>
    <w:rsid w:val="00590C83"/>
    <w:rsid w:val="005975EF"/>
    <w:rsid w:val="005B54D2"/>
    <w:rsid w:val="005D216B"/>
    <w:rsid w:val="005E22EF"/>
    <w:rsid w:val="005F1A1A"/>
    <w:rsid w:val="00653E27"/>
    <w:rsid w:val="006905EA"/>
    <w:rsid w:val="0070010C"/>
    <w:rsid w:val="00725517"/>
    <w:rsid w:val="00773A6A"/>
    <w:rsid w:val="00775070"/>
    <w:rsid w:val="00792250"/>
    <w:rsid w:val="007F7A16"/>
    <w:rsid w:val="00820EF9"/>
    <w:rsid w:val="00864AC2"/>
    <w:rsid w:val="00893FAF"/>
    <w:rsid w:val="00894E23"/>
    <w:rsid w:val="008C2F3F"/>
    <w:rsid w:val="00903499"/>
    <w:rsid w:val="0090361F"/>
    <w:rsid w:val="00910433"/>
    <w:rsid w:val="009A5728"/>
    <w:rsid w:val="009B7414"/>
    <w:rsid w:val="009E1096"/>
    <w:rsid w:val="009E13FD"/>
    <w:rsid w:val="009E62B3"/>
    <w:rsid w:val="009F05B8"/>
    <w:rsid w:val="00A0771D"/>
    <w:rsid w:val="00A16962"/>
    <w:rsid w:val="00A20CD6"/>
    <w:rsid w:val="00A25A62"/>
    <w:rsid w:val="00A31F7B"/>
    <w:rsid w:val="00A759AA"/>
    <w:rsid w:val="00AC6BF9"/>
    <w:rsid w:val="00AE5F1A"/>
    <w:rsid w:val="00B004F1"/>
    <w:rsid w:val="00B15058"/>
    <w:rsid w:val="00B72137"/>
    <w:rsid w:val="00B84B36"/>
    <w:rsid w:val="00B87D69"/>
    <w:rsid w:val="00BB1252"/>
    <w:rsid w:val="00BF1139"/>
    <w:rsid w:val="00C2752B"/>
    <w:rsid w:val="00C95172"/>
    <w:rsid w:val="00CA64C6"/>
    <w:rsid w:val="00CF4F23"/>
    <w:rsid w:val="00CF5C0C"/>
    <w:rsid w:val="00D27038"/>
    <w:rsid w:val="00D429C9"/>
    <w:rsid w:val="00D679EA"/>
    <w:rsid w:val="00DB5E3D"/>
    <w:rsid w:val="00DC0CA1"/>
    <w:rsid w:val="00DF1CA7"/>
    <w:rsid w:val="00DF400C"/>
    <w:rsid w:val="00DF4CE1"/>
    <w:rsid w:val="00DF73E6"/>
    <w:rsid w:val="00E605E1"/>
    <w:rsid w:val="00E6704F"/>
    <w:rsid w:val="00E754CD"/>
    <w:rsid w:val="00E755B8"/>
    <w:rsid w:val="00E82C16"/>
    <w:rsid w:val="00E93FC3"/>
    <w:rsid w:val="00EA6FCC"/>
    <w:rsid w:val="00F23773"/>
    <w:rsid w:val="00F31A57"/>
    <w:rsid w:val="00F42269"/>
    <w:rsid w:val="00FA6479"/>
    <w:rsid w:val="00FC359B"/>
    <w:rsid w:val="00FD0291"/>
    <w:rsid w:val="00FE5643"/>
    <w:rsid w:val="00FE5A7E"/>
    <w:rsid w:val="03877D3D"/>
    <w:rsid w:val="08651A0E"/>
    <w:rsid w:val="09AE5323"/>
    <w:rsid w:val="12524136"/>
    <w:rsid w:val="170D6C8F"/>
    <w:rsid w:val="186D7961"/>
    <w:rsid w:val="20074C03"/>
    <w:rsid w:val="21734BE4"/>
    <w:rsid w:val="2C7176D2"/>
    <w:rsid w:val="31BA27AF"/>
    <w:rsid w:val="336B31B9"/>
    <w:rsid w:val="3842035A"/>
    <w:rsid w:val="3BD51296"/>
    <w:rsid w:val="3DB778E4"/>
    <w:rsid w:val="405A4643"/>
    <w:rsid w:val="4989741F"/>
    <w:rsid w:val="4D1D0220"/>
    <w:rsid w:val="53221E76"/>
    <w:rsid w:val="592E2EFE"/>
    <w:rsid w:val="5F1A0D12"/>
    <w:rsid w:val="60673E3D"/>
    <w:rsid w:val="62061A59"/>
    <w:rsid w:val="63B828C8"/>
    <w:rsid w:val="68240ECA"/>
    <w:rsid w:val="693B38FF"/>
    <w:rsid w:val="6AAB7688"/>
    <w:rsid w:val="6C9379A3"/>
    <w:rsid w:val="7D1E5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560" w:firstLineChars="200"/>
      <w:jc w:val="left"/>
    </w:pPr>
    <w:rPr>
      <w:rFonts w:ascii="宋体"/>
      <w:kern w:val="0"/>
      <w:sz w:val="28"/>
      <w:szCs w:val="20"/>
      <w:lang w:val="zh-CN"/>
    </w:rPr>
  </w:style>
  <w:style w:type="paragraph" w:styleId="3">
    <w:name w:val="Date"/>
    <w:basedOn w:val="1"/>
    <w:next w:val="1"/>
    <w:qFormat/>
    <w:uiPriority w:val="0"/>
    <w:pPr>
      <w:ind w:left="100" w:leftChars="2500"/>
    </w:pPr>
    <w:rPr>
      <w:rFonts w:ascii="宋体"/>
      <w:kern w:val="0"/>
      <w:sz w:val="28"/>
      <w:szCs w:val="20"/>
      <w:lang w:val="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421</Words>
  <Characters>2404</Characters>
  <Lines>20</Lines>
  <Paragraphs>5</Paragraphs>
  <TotalTime>2</TotalTime>
  <ScaleCrop>false</ScaleCrop>
  <LinksUpToDate>false</LinksUpToDate>
  <CharactersWithSpaces>2820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2017-05-09T03:10:00Z</dcterms:created>
  <dc:creator>李威</dc:creator>
  <cp:lastModifiedBy>huangyqi</cp:lastModifiedBy>
  <cp:lastPrinted>2023-09-27T02:37:04Z</cp:lastPrinted>
  <dcterms:modified xsi:type="dcterms:W3CDTF">2023-09-27T02:37:08Z</dcterms:modified>
  <dc:title>关于南方报业传媒集团东莞办事处</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CFC4FCEFFC3145BBA86EF791EBE603DF</vt:lpwstr>
  </property>
</Properties>
</file>