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bookmarkStart w:id="0" w:name="_Hlk46473036"/>
      <w:bookmarkEnd w:id="0"/>
    </w:p>
    <w:p>
      <w:pPr>
        <w:jc w:val="center"/>
        <w:rPr>
          <w:rFonts w:ascii="宋体" w:hAnsi="宋体"/>
          <w:b/>
          <w:color w:val="auto"/>
          <w:u w:val="single"/>
        </w:rPr>
      </w:pPr>
    </w:p>
    <w:p>
      <w:pPr>
        <w:jc w:val="center"/>
        <w:rPr>
          <w:rFonts w:ascii="宋体" w:hAnsi="宋体"/>
          <w:b/>
          <w:color w:val="auto"/>
          <w:u w:val="single"/>
        </w:rPr>
      </w:pPr>
    </w:p>
    <w:p>
      <w:pPr>
        <w:jc w:val="center"/>
        <w:rPr>
          <w:rFonts w:hint="eastAsia" w:ascii="黑体" w:hAnsi="黑体" w:eastAsia="黑体"/>
          <w:color w:val="auto"/>
          <w:spacing w:val="40"/>
          <w:sz w:val="36"/>
          <w:lang w:eastAsia="zh-CN"/>
        </w:rPr>
      </w:pPr>
      <w:r>
        <w:rPr>
          <w:rFonts w:hint="eastAsia" w:ascii="黑体" w:hAnsi="黑体" w:eastAsia="黑体"/>
          <w:color w:val="auto"/>
          <w:spacing w:val="40"/>
          <w:sz w:val="44"/>
          <w:szCs w:val="32"/>
          <w:lang w:eastAsia="zh-CN"/>
        </w:rPr>
        <w:t>广东南都娱乐企业文化综合服务项目</w:t>
      </w:r>
    </w:p>
    <w:p>
      <w:pPr>
        <w:jc w:val="center"/>
        <w:rPr>
          <w:rFonts w:ascii="黑体" w:hAnsi="黑体" w:eastAsia="黑体"/>
          <w:color w:val="auto"/>
          <w:spacing w:val="40"/>
          <w:sz w:val="52"/>
        </w:rPr>
      </w:pPr>
      <w:r>
        <w:rPr>
          <w:rFonts w:hint="eastAsia" w:ascii="黑体" w:hAnsi="黑体" w:eastAsia="黑体"/>
          <w:color w:val="auto"/>
          <w:spacing w:val="40"/>
          <w:sz w:val="52"/>
        </w:rPr>
        <w:t>招标文件</w:t>
      </w: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line="400" w:lineRule="exact"/>
        <w:jc w:val="center"/>
        <w:rPr>
          <w:rFonts w:hint="eastAsia" w:ascii="黑体" w:hAnsi="黑体" w:eastAsia="黑体"/>
          <w:color w:val="auto"/>
          <w:sz w:val="32"/>
          <w:lang w:eastAsia="zh-CN"/>
        </w:rPr>
      </w:pPr>
      <w:r>
        <w:rPr>
          <w:rFonts w:hint="eastAsia" w:ascii="黑体" w:hAnsi="黑体" w:eastAsia="黑体"/>
          <w:color w:val="auto"/>
          <w:sz w:val="32"/>
        </w:rPr>
        <w:t>招标代理编号：</w:t>
      </w:r>
      <w:r>
        <w:rPr>
          <w:rFonts w:hint="eastAsia" w:ascii="黑体" w:hAnsi="黑体" w:eastAsia="黑体"/>
          <w:color w:val="auto"/>
          <w:sz w:val="32"/>
          <w:lang w:eastAsia="zh-CN"/>
        </w:rPr>
        <w:t>WJS-202301130002</w:t>
      </w: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rPr>
          <w:rFonts w:ascii="宋体" w:hAnsi="宋体"/>
          <w:b/>
          <w:color w:val="auto"/>
          <w:sz w:val="24"/>
        </w:rPr>
      </w:pPr>
    </w:p>
    <w:p>
      <w:pPr>
        <w:spacing w:after="120" w:line="400" w:lineRule="exact"/>
        <w:jc w:val="center"/>
        <w:rPr>
          <w:rFonts w:hint="eastAsia" w:ascii="黑体" w:hAnsi="黑体" w:eastAsia="黑体"/>
          <w:color w:val="auto"/>
          <w:sz w:val="24"/>
          <w:lang w:eastAsia="zh-CN"/>
        </w:rPr>
      </w:pPr>
      <w:r>
        <w:rPr>
          <w:rFonts w:hint="eastAsia" w:ascii="黑体" w:hAnsi="黑体" w:eastAsia="黑体"/>
          <w:color w:val="auto"/>
          <w:sz w:val="24"/>
        </w:rPr>
        <w:t>招标人：</w:t>
      </w:r>
      <w:r>
        <w:rPr>
          <w:rFonts w:hint="eastAsia" w:ascii="黑体" w:hAnsi="黑体" w:eastAsia="黑体"/>
          <w:color w:val="auto"/>
          <w:sz w:val="24"/>
          <w:lang w:eastAsia="zh-CN"/>
        </w:rPr>
        <w:t>广东南都娱乐传媒股份有限公司</w:t>
      </w:r>
    </w:p>
    <w:p>
      <w:pPr>
        <w:spacing w:after="120" w:line="400" w:lineRule="exact"/>
        <w:rPr>
          <w:rFonts w:ascii="黑体" w:hAnsi="黑体" w:eastAsia="黑体"/>
          <w:color w:val="auto"/>
          <w:sz w:val="24"/>
        </w:rPr>
      </w:pPr>
      <w:r>
        <w:rPr>
          <w:rFonts w:ascii="黑体" w:hAnsi="黑体" w:eastAsia="黑体"/>
          <w:color w:val="auto"/>
          <w:sz w:val="24"/>
        </w:rPr>
        <w:t xml:space="preserve">           招标代理机构：广东省南方文化产权交易所股份有限公司</w:t>
      </w:r>
    </w:p>
    <w:p>
      <w:pPr>
        <w:spacing w:after="120" w:line="400" w:lineRule="exact"/>
        <w:jc w:val="center"/>
        <w:rPr>
          <w:rFonts w:ascii="黑体" w:hAnsi="黑体" w:eastAsia="黑体"/>
          <w:color w:val="auto"/>
          <w:sz w:val="24"/>
        </w:rPr>
      </w:pPr>
      <w:r>
        <w:rPr>
          <w:rFonts w:hint="eastAsia" w:ascii="黑体" w:hAnsi="黑体" w:eastAsia="黑体"/>
          <w:color w:val="auto"/>
          <w:sz w:val="24"/>
        </w:rPr>
        <w:t>日期：</w:t>
      </w:r>
      <w:r>
        <w:rPr>
          <w:rFonts w:ascii="黑体" w:hAnsi="黑体" w:eastAsia="黑体"/>
          <w:color w:val="auto"/>
          <w:sz w:val="24"/>
        </w:rPr>
        <w:t>202</w:t>
      </w:r>
      <w:r>
        <w:rPr>
          <w:rFonts w:hint="eastAsia" w:ascii="黑体" w:hAnsi="黑体" w:eastAsia="黑体"/>
          <w:color w:val="auto"/>
          <w:sz w:val="24"/>
          <w:lang w:val="en-US" w:eastAsia="zh-CN"/>
        </w:rPr>
        <w:t>3</w:t>
      </w:r>
      <w:r>
        <w:rPr>
          <w:rFonts w:ascii="黑体" w:hAnsi="黑体" w:eastAsia="黑体"/>
          <w:color w:val="auto"/>
          <w:sz w:val="24"/>
        </w:rPr>
        <w:t>年</w:t>
      </w:r>
      <w:r>
        <w:rPr>
          <w:rFonts w:hint="eastAsia" w:ascii="黑体" w:hAnsi="黑体" w:eastAsia="黑体"/>
          <w:color w:val="auto"/>
          <w:sz w:val="24"/>
          <w:lang w:val="en-US" w:eastAsia="zh-CN"/>
        </w:rPr>
        <w:t>1</w:t>
      </w:r>
      <w:r>
        <w:rPr>
          <w:rFonts w:ascii="黑体" w:hAnsi="黑体" w:eastAsia="黑体"/>
          <w:color w:val="auto"/>
          <w:sz w:val="24"/>
        </w:rPr>
        <w:t>月</w:t>
      </w:r>
    </w:p>
    <w:p>
      <w:pPr>
        <w:widowControl/>
        <w:jc w:val="left"/>
        <w:rPr>
          <w:rFonts w:ascii="黑体" w:hAnsi="黑体" w:eastAsia="黑体"/>
          <w:color w:val="auto"/>
          <w:sz w:val="24"/>
        </w:rPr>
      </w:pPr>
      <w:r>
        <w:rPr>
          <w:rFonts w:ascii="黑体" w:hAnsi="黑体" w:eastAsia="黑体"/>
          <w:color w:val="auto"/>
          <w:sz w:val="24"/>
        </w:rPr>
        <w:br w:type="page"/>
      </w:r>
    </w:p>
    <w:p>
      <w:pPr>
        <w:spacing w:after="120" w:line="400" w:lineRule="exact"/>
        <w:jc w:val="center"/>
        <w:rPr>
          <w:rFonts w:ascii="黑体" w:hAnsi="黑体" w:eastAsia="黑体"/>
          <w:color w:val="auto"/>
          <w:sz w:val="24"/>
        </w:rPr>
      </w:pPr>
    </w:p>
    <w:p>
      <w:pPr>
        <w:spacing w:after="120" w:line="360" w:lineRule="atLeast"/>
        <w:jc w:val="center"/>
        <w:rPr>
          <w:rFonts w:ascii="宋体" w:hAnsi="宋体" w:cs="宋体"/>
          <w:b/>
          <w:color w:val="auto"/>
          <w:sz w:val="32"/>
          <w:szCs w:val="32"/>
        </w:rPr>
      </w:pPr>
      <w:r>
        <w:rPr>
          <w:rFonts w:hint="eastAsia" w:ascii="宋体" w:hAnsi="宋体" w:cs="宋体"/>
          <w:b/>
          <w:color w:val="auto"/>
          <w:sz w:val="32"/>
          <w:szCs w:val="32"/>
        </w:rPr>
        <w:t>目</w:t>
      </w:r>
      <w:r>
        <w:rPr>
          <w:rFonts w:ascii="宋体" w:hAnsi="宋体" w:cs="宋体"/>
          <w:b/>
          <w:color w:val="auto"/>
          <w:sz w:val="32"/>
          <w:szCs w:val="32"/>
        </w:rPr>
        <w:t xml:space="preserve">  </w:t>
      </w:r>
      <w:r>
        <w:rPr>
          <w:rFonts w:hint="eastAsia" w:ascii="宋体" w:hAnsi="宋体" w:cs="宋体"/>
          <w:b/>
          <w:color w:val="auto"/>
          <w:sz w:val="32"/>
          <w:szCs w:val="32"/>
        </w:rPr>
        <w:t>录</w:t>
      </w:r>
    </w:p>
    <w:p>
      <w:pPr>
        <w:pStyle w:val="29"/>
        <w:tabs>
          <w:tab w:val="right" w:leader="hyphen" w:pos="8504"/>
          <w:tab w:val="clear" w:pos="567"/>
          <w:tab w:val="clear" w:pos="709"/>
          <w:tab w:val="clear" w:pos="8505"/>
        </w:tabs>
      </w:pPr>
      <w:r>
        <w:rPr>
          <w:bCs/>
          <w:color w:val="auto"/>
          <w:sz w:val="20"/>
          <w:szCs w:val="22"/>
        </w:rPr>
        <w:fldChar w:fldCharType="begin"/>
      </w:r>
      <w:r>
        <w:rPr>
          <w:bCs/>
          <w:color w:val="auto"/>
          <w:sz w:val="20"/>
          <w:szCs w:val="22"/>
        </w:rPr>
        <w:instrText xml:space="preserve"> TOC \o "1-3" \h \z \u </w:instrText>
      </w:r>
      <w:r>
        <w:rPr>
          <w:bCs/>
          <w:color w:val="auto"/>
          <w:sz w:val="20"/>
          <w:szCs w:val="22"/>
        </w:rPr>
        <w:fldChar w:fldCharType="separate"/>
      </w:r>
      <w:r>
        <w:rPr>
          <w:bCs/>
          <w:color w:val="auto"/>
          <w:szCs w:val="22"/>
        </w:rPr>
        <w:fldChar w:fldCharType="begin"/>
      </w:r>
      <w:r>
        <w:rPr>
          <w:bCs/>
          <w:szCs w:val="22"/>
        </w:rPr>
        <w:instrText xml:space="preserve"> HYPERLINK \l _Toc27916 </w:instrText>
      </w:r>
      <w:r>
        <w:rPr>
          <w:bCs/>
          <w:szCs w:val="22"/>
        </w:rPr>
        <w:fldChar w:fldCharType="separate"/>
      </w:r>
      <w:r>
        <w:rPr>
          <w:rFonts w:hint="eastAsia" w:ascii="宋体" w:hAnsi="宋体" w:eastAsia="宋体" w:cs="宋体"/>
          <w:bCs w:val="0"/>
          <w:kern w:val="0"/>
          <w:szCs w:val="28"/>
        </w:rPr>
        <w:t>第一章</w:t>
      </w:r>
      <w:r>
        <w:rPr>
          <w:rFonts w:ascii="宋体" w:hAnsi="宋体" w:eastAsia="宋体" w:cs="宋体"/>
          <w:bCs w:val="0"/>
          <w:kern w:val="0"/>
          <w:szCs w:val="28"/>
        </w:rPr>
        <w:t xml:space="preserve">  招标公告</w:t>
      </w:r>
      <w:r>
        <w:tab/>
      </w:r>
      <w:r>
        <w:fldChar w:fldCharType="begin"/>
      </w:r>
      <w:r>
        <w:instrText xml:space="preserve"> PAGEREF _Toc27916 \h </w:instrText>
      </w:r>
      <w:r>
        <w:fldChar w:fldCharType="separate"/>
      </w:r>
      <w:r>
        <w:t>1</w:t>
      </w:r>
      <w:r>
        <w:fldChar w:fldCharType="end"/>
      </w:r>
      <w:r>
        <w:rPr>
          <w:bCs/>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_Toc10059 </w:instrText>
      </w:r>
      <w:r>
        <w:rPr>
          <w:rFonts w:ascii="宋体" w:hAnsi="宋体"/>
          <w:szCs w:val="22"/>
        </w:rPr>
        <w:fldChar w:fldCharType="separate"/>
      </w:r>
      <w:r>
        <w:rPr>
          <w:rFonts w:hint="eastAsia" w:ascii="宋体" w:hAnsi="宋体" w:eastAsia="宋体" w:cs="宋体"/>
          <w:bCs w:val="0"/>
          <w:kern w:val="0"/>
          <w:szCs w:val="28"/>
        </w:rPr>
        <w:t>第二章</w:t>
      </w:r>
      <w:r>
        <w:rPr>
          <w:rFonts w:ascii="宋体" w:hAnsi="宋体" w:eastAsia="宋体" w:cs="宋体"/>
          <w:bCs w:val="0"/>
          <w:kern w:val="0"/>
          <w:szCs w:val="28"/>
        </w:rPr>
        <w:t xml:space="preserve">  </w:t>
      </w:r>
      <w:r>
        <w:rPr>
          <w:rFonts w:hint="eastAsia" w:ascii="宋体" w:hAnsi="宋体" w:eastAsia="宋体" w:cs="宋体"/>
          <w:bCs w:val="0"/>
          <w:kern w:val="0"/>
          <w:szCs w:val="28"/>
        </w:rPr>
        <w:t>投标人须知</w:t>
      </w:r>
      <w:r>
        <w:tab/>
      </w:r>
      <w:r>
        <w:fldChar w:fldCharType="begin"/>
      </w:r>
      <w:r>
        <w:instrText xml:space="preserve"> PAGEREF _Toc10059 \h </w:instrText>
      </w:r>
      <w:r>
        <w:fldChar w:fldCharType="separate"/>
      </w:r>
      <w:r>
        <w:t>4</w:t>
      </w:r>
      <w: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_Toc21549 </w:instrText>
      </w:r>
      <w:r>
        <w:rPr>
          <w:rFonts w:ascii="宋体" w:hAnsi="宋体"/>
          <w:szCs w:val="22"/>
        </w:rPr>
        <w:fldChar w:fldCharType="separate"/>
      </w:r>
      <w:r>
        <w:rPr>
          <w:rFonts w:hint="eastAsia" w:ascii="宋体" w:hAnsi="宋体" w:eastAsia="宋体" w:cs="宋体"/>
          <w:bCs w:val="0"/>
          <w:szCs w:val="24"/>
        </w:rPr>
        <w:t>投标人须知前附表</w:t>
      </w:r>
      <w:r>
        <w:tab/>
      </w:r>
      <w:r>
        <w:fldChar w:fldCharType="begin"/>
      </w:r>
      <w:r>
        <w:instrText xml:space="preserve"> PAGEREF _Toc21549 \h </w:instrText>
      </w:r>
      <w:r>
        <w:fldChar w:fldCharType="separate"/>
      </w:r>
      <w:r>
        <w:t>4</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_Toc2968 </w:instrText>
      </w:r>
      <w:r>
        <w:rPr>
          <w:rFonts w:ascii="宋体" w:hAnsi="宋体"/>
          <w:szCs w:val="22"/>
        </w:rPr>
        <w:fldChar w:fldCharType="separate"/>
      </w:r>
      <w:r>
        <w:rPr>
          <w:rFonts w:hint="eastAsia" w:ascii="宋体" w:hAnsi="宋体" w:eastAsia="宋体" w:cs="宋体"/>
          <w:bCs w:val="0"/>
          <w:kern w:val="0"/>
          <w:szCs w:val="28"/>
        </w:rPr>
        <w:t>第三章</w:t>
      </w:r>
      <w:r>
        <w:rPr>
          <w:rFonts w:ascii="宋体" w:hAnsi="宋体" w:eastAsia="宋体" w:cs="宋体"/>
          <w:bCs w:val="0"/>
          <w:kern w:val="0"/>
          <w:szCs w:val="28"/>
        </w:rPr>
        <w:t xml:space="preserve"> </w:t>
      </w:r>
      <w:r>
        <w:rPr>
          <w:rFonts w:hint="eastAsia" w:ascii="宋体" w:hAnsi="宋体" w:eastAsia="宋体" w:cs="宋体"/>
          <w:bCs w:val="0"/>
          <w:kern w:val="0"/>
          <w:szCs w:val="28"/>
        </w:rPr>
        <w:t>评审办法（综合评估法）</w:t>
      </w:r>
      <w:r>
        <w:tab/>
      </w:r>
      <w:r>
        <w:fldChar w:fldCharType="begin"/>
      </w:r>
      <w:r>
        <w:instrText xml:space="preserve"> PAGEREF _Toc2968 \h </w:instrText>
      </w:r>
      <w:r>
        <w:fldChar w:fldCharType="separate"/>
      </w:r>
      <w:r>
        <w:t>19</w:t>
      </w:r>
      <w: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_Toc30804 </w:instrText>
      </w:r>
      <w:r>
        <w:rPr>
          <w:rFonts w:ascii="宋体" w:hAnsi="宋体"/>
          <w:szCs w:val="22"/>
        </w:rPr>
        <w:fldChar w:fldCharType="separate"/>
      </w:r>
      <w:r>
        <w:rPr>
          <w:rFonts w:hint="eastAsia" w:ascii="宋体" w:hAnsi="宋体" w:eastAsia="宋体" w:cs="宋体"/>
          <w:bCs w:val="0"/>
          <w:szCs w:val="24"/>
        </w:rPr>
        <w:t>评审办法前附表</w:t>
      </w:r>
      <w:r>
        <w:tab/>
      </w:r>
      <w:r>
        <w:fldChar w:fldCharType="begin"/>
      </w:r>
      <w:r>
        <w:instrText xml:space="preserve"> PAGEREF _Toc30804 \h </w:instrText>
      </w:r>
      <w:r>
        <w:fldChar w:fldCharType="separate"/>
      </w:r>
      <w:r>
        <w:t>19</w:t>
      </w:r>
      <w: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_Toc20893 </w:instrText>
      </w:r>
      <w:r>
        <w:rPr>
          <w:rFonts w:ascii="宋体" w:hAnsi="宋体"/>
          <w:szCs w:val="22"/>
        </w:rPr>
        <w:fldChar w:fldCharType="separate"/>
      </w:r>
      <w:r>
        <w:rPr>
          <w:rFonts w:asciiTheme="minorEastAsia" w:hAnsiTheme="minorEastAsia" w:eastAsiaTheme="minorEastAsia"/>
        </w:rPr>
        <w:t>1、初步评审表</w:t>
      </w:r>
      <w:r>
        <w:tab/>
      </w:r>
      <w:r>
        <w:fldChar w:fldCharType="begin"/>
      </w:r>
      <w:r>
        <w:instrText xml:space="preserve"> PAGEREF _Toc20893 \h </w:instrText>
      </w:r>
      <w:r>
        <w:fldChar w:fldCharType="separate"/>
      </w:r>
      <w:r>
        <w:t>19</w:t>
      </w:r>
      <w: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_Toc7670 </w:instrText>
      </w:r>
      <w:r>
        <w:rPr>
          <w:rFonts w:ascii="宋体" w:hAnsi="宋体"/>
          <w:szCs w:val="22"/>
        </w:rPr>
        <w:fldChar w:fldCharType="separate"/>
      </w:r>
      <w:r>
        <w:rPr>
          <w:rFonts w:asciiTheme="minorEastAsia" w:hAnsiTheme="minorEastAsia" w:eastAsiaTheme="minorEastAsia"/>
        </w:rPr>
        <w:t>2、技术评分表</w:t>
      </w:r>
      <w:r>
        <w:tab/>
      </w:r>
      <w:r>
        <w:fldChar w:fldCharType="begin"/>
      </w:r>
      <w:r>
        <w:instrText xml:space="preserve"> PAGEREF _Toc7670 \h </w:instrText>
      </w:r>
      <w:r>
        <w:fldChar w:fldCharType="separate"/>
      </w:r>
      <w:r>
        <w:t>21</w:t>
      </w:r>
      <w: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_Toc19513 </w:instrText>
      </w:r>
      <w:r>
        <w:rPr>
          <w:rFonts w:ascii="宋体" w:hAnsi="宋体"/>
          <w:szCs w:val="22"/>
        </w:rPr>
        <w:fldChar w:fldCharType="separate"/>
      </w:r>
      <w:r>
        <w:rPr>
          <w:rFonts w:asciiTheme="minorEastAsia" w:hAnsiTheme="minorEastAsia" w:eastAsiaTheme="minorEastAsia"/>
        </w:rPr>
        <w:t>3、</w:t>
      </w:r>
      <w:r>
        <w:rPr>
          <w:rFonts w:hint="eastAsia" w:asciiTheme="minorEastAsia" w:hAnsiTheme="minorEastAsia" w:eastAsiaTheme="minorEastAsia"/>
        </w:rPr>
        <w:t>商务评分表</w:t>
      </w:r>
      <w:r>
        <w:tab/>
      </w:r>
      <w:r>
        <w:fldChar w:fldCharType="begin"/>
      </w:r>
      <w:r>
        <w:instrText xml:space="preserve"> PAGEREF _Toc19513 \h </w:instrText>
      </w:r>
      <w:r>
        <w:fldChar w:fldCharType="separate"/>
      </w:r>
      <w:r>
        <w:t>22</w:t>
      </w:r>
      <w: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_Toc29626 </w:instrText>
      </w:r>
      <w:r>
        <w:rPr>
          <w:rFonts w:ascii="宋体" w:hAnsi="宋体"/>
          <w:szCs w:val="22"/>
        </w:rPr>
        <w:fldChar w:fldCharType="separate"/>
      </w:r>
      <w:r>
        <w:rPr>
          <w:rFonts w:asciiTheme="minorEastAsia" w:hAnsiTheme="minorEastAsia" w:eastAsiaTheme="minorEastAsia"/>
        </w:rPr>
        <w:t>4、价格评分表</w:t>
      </w:r>
      <w:r>
        <w:tab/>
      </w:r>
      <w:r>
        <w:fldChar w:fldCharType="begin"/>
      </w:r>
      <w:r>
        <w:instrText xml:space="preserve"> PAGEREF _Toc29626 \h </w:instrText>
      </w:r>
      <w:r>
        <w:fldChar w:fldCharType="separate"/>
      </w:r>
      <w:r>
        <w:t>23</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_Toc25038 </w:instrText>
      </w:r>
      <w:r>
        <w:rPr>
          <w:rFonts w:ascii="宋体" w:hAnsi="宋体"/>
          <w:szCs w:val="22"/>
        </w:rPr>
        <w:fldChar w:fldCharType="separate"/>
      </w:r>
      <w:r>
        <w:rPr>
          <w:rFonts w:hint="eastAsia" w:ascii="宋体" w:hAnsi="宋体" w:eastAsia="宋体" w:cs="宋体"/>
          <w:bCs w:val="0"/>
          <w:kern w:val="0"/>
          <w:szCs w:val="28"/>
        </w:rPr>
        <w:t>第四章</w:t>
      </w:r>
      <w:r>
        <w:rPr>
          <w:rFonts w:ascii="宋体" w:hAnsi="宋体" w:eastAsia="宋体" w:cs="宋体"/>
          <w:bCs w:val="0"/>
          <w:kern w:val="0"/>
          <w:szCs w:val="28"/>
        </w:rPr>
        <w:t xml:space="preserve">  </w:t>
      </w:r>
      <w:r>
        <w:rPr>
          <w:rFonts w:hint="eastAsia" w:ascii="宋体" w:hAnsi="宋体" w:eastAsia="宋体" w:cs="宋体"/>
          <w:bCs w:val="0"/>
          <w:kern w:val="0"/>
          <w:szCs w:val="28"/>
        </w:rPr>
        <w:t>商务合同</w:t>
      </w:r>
      <w:r>
        <w:tab/>
      </w:r>
      <w:r>
        <w:fldChar w:fldCharType="begin"/>
      </w:r>
      <w:r>
        <w:instrText xml:space="preserve"> PAGEREF _Toc25038 \h </w:instrText>
      </w:r>
      <w:r>
        <w:fldChar w:fldCharType="separate"/>
      </w:r>
      <w:r>
        <w:t>26</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_Toc14202 </w:instrText>
      </w:r>
      <w:r>
        <w:rPr>
          <w:rFonts w:ascii="宋体" w:hAnsi="宋体"/>
          <w:szCs w:val="22"/>
        </w:rPr>
        <w:fldChar w:fldCharType="separate"/>
      </w:r>
      <w:r>
        <w:rPr>
          <w:rFonts w:hint="eastAsia" w:ascii="宋体" w:hAnsi="宋体" w:eastAsia="宋体" w:cs="宋体"/>
          <w:bCs w:val="0"/>
          <w:kern w:val="0"/>
          <w:szCs w:val="28"/>
        </w:rPr>
        <w:t>第五章</w:t>
      </w:r>
      <w:r>
        <w:rPr>
          <w:rFonts w:ascii="宋体" w:hAnsi="宋体" w:eastAsia="宋体" w:cs="宋体"/>
          <w:bCs w:val="0"/>
          <w:kern w:val="0"/>
          <w:szCs w:val="28"/>
        </w:rPr>
        <w:t xml:space="preserve">  </w:t>
      </w:r>
      <w:r>
        <w:rPr>
          <w:rFonts w:hint="eastAsia" w:ascii="宋体" w:hAnsi="宋体" w:eastAsia="宋体" w:cs="宋体"/>
          <w:bCs w:val="0"/>
          <w:kern w:val="0"/>
          <w:szCs w:val="28"/>
        </w:rPr>
        <w:t>采购需求书</w:t>
      </w:r>
      <w:r>
        <w:tab/>
      </w:r>
      <w:r>
        <w:fldChar w:fldCharType="begin"/>
      </w:r>
      <w:r>
        <w:instrText xml:space="preserve"> PAGEREF _Toc14202 \h </w:instrText>
      </w:r>
      <w:r>
        <w:fldChar w:fldCharType="separate"/>
      </w:r>
      <w:r>
        <w:t>34</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_Toc11693 </w:instrText>
      </w:r>
      <w:r>
        <w:rPr>
          <w:rFonts w:ascii="宋体" w:hAnsi="宋体"/>
          <w:szCs w:val="22"/>
        </w:rPr>
        <w:fldChar w:fldCharType="separate"/>
      </w:r>
      <w:r>
        <w:rPr>
          <w:rFonts w:hint="eastAsia" w:ascii="宋体" w:hAnsi="宋体" w:eastAsia="宋体" w:cs="宋体"/>
          <w:bCs w:val="0"/>
          <w:kern w:val="0"/>
          <w:szCs w:val="28"/>
        </w:rPr>
        <w:t>第六章</w:t>
      </w:r>
      <w:r>
        <w:rPr>
          <w:rFonts w:ascii="宋体" w:hAnsi="宋体" w:eastAsia="宋体" w:cs="宋体"/>
          <w:bCs w:val="0"/>
          <w:kern w:val="0"/>
          <w:szCs w:val="28"/>
        </w:rPr>
        <w:t xml:space="preserve">  </w:t>
      </w:r>
      <w:r>
        <w:rPr>
          <w:rFonts w:hint="eastAsia" w:ascii="宋体" w:hAnsi="宋体" w:eastAsia="宋体" w:cs="宋体"/>
          <w:bCs w:val="0"/>
          <w:kern w:val="0"/>
          <w:szCs w:val="28"/>
        </w:rPr>
        <w:t>投标文件格式</w:t>
      </w:r>
      <w:r>
        <w:tab/>
      </w:r>
      <w:r>
        <w:fldChar w:fldCharType="begin"/>
      </w:r>
      <w:r>
        <w:instrText xml:space="preserve"> PAGEREF _Toc11693 \h </w:instrText>
      </w:r>
      <w:r>
        <w:fldChar w:fldCharType="separate"/>
      </w:r>
      <w:r>
        <w:t>38</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_Toc8356 </w:instrText>
      </w:r>
      <w:r>
        <w:rPr>
          <w:rFonts w:ascii="宋体" w:hAnsi="宋体"/>
          <w:szCs w:val="22"/>
        </w:rPr>
        <w:fldChar w:fldCharType="separate"/>
      </w:r>
      <w:r>
        <w:rPr>
          <w:rFonts w:hint="eastAsia" w:ascii="宋体" w:hAnsi="宋体"/>
          <w:szCs w:val="24"/>
        </w:rPr>
        <w:t>第一分册</w:t>
      </w:r>
      <w:r>
        <w:tab/>
      </w:r>
      <w:r>
        <w:fldChar w:fldCharType="begin"/>
      </w:r>
      <w:r>
        <w:instrText xml:space="preserve"> PAGEREF _Toc8356 \h </w:instrText>
      </w:r>
      <w:r>
        <w:fldChar w:fldCharType="separate"/>
      </w:r>
      <w:r>
        <w:t>39</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_Toc21883 </w:instrText>
      </w:r>
      <w:r>
        <w:rPr>
          <w:rFonts w:ascii="宋体" w:hAnsi="宋体"/>
          <w:szCs w:val="22"/>
        </w:rPr>
        <w:fldChar w:fldCharType="separate"/>
      </w:r>
      <w:r>
        <w:rPr>
          <w:rFonts w:hint="eastAsia" w:ascii="宋体" w:hAnsi="宋体"/>
          <w:szCs w:val="24"/>
        </w:rPr>
        <w:t>1. 商务、技术投标文件封面</w:t>
      </w:r>
      <w:r>
        <w:tab/>
      </w:r>
      <w:r>
        <w:fldChar w:fldCharType="begin"/>
      </w:r>
      <w:r>
        <w:instrText xml:space="preserve"> PAGEREF _Toc21883 \h </w:instrText>
      </w:r>
      <w:r>
        <w:fldChar w:fldCharType="separate"/>
      </w:r>
      <w:r>
        <w:t>39</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_Toc8815 </w:instrText>
      </w:r>
      <w:r>
        <w:rPr>
          <w:rFonts w:ascii="宋体" w:hAnsi="宋体"/>
          <w:szCs w:val="22"/>
        </w:rPr>
        <w:fldChar w:fldCharType="separate"/>
      </w:r>
      <w:r>
        <w:rPr>
          <w:rFonts w:hint="eastAsia" w:ascii="宋体" w:hAnsi="宋体"/>
          <w:szCs w:val="24"/>
        </w:rPr>
        <w:t>2. 评审索引表</w:t>
      </w:r>
      <w:r>
        <w:tab/>
      </w:r>
      <w:r>
        <w:fldChar w:fldCharType="begin"/>
      </w:r>
      <w:r>
        <w:instrText xml:space="preserve"> PAGEREF _Toc8815 \h </w:instrText>
      </w:r>
      <w:r>
        <w:fldChar w:fldCharType="separate"/>
      </w:r>
      <w:r>
        <w:t>40</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_Toc31516 </w:instrText>
      </w:r>
      <w:r>
        <w:rPr>
          <w:rFonts w:ascii="宋体" w:hAnsi="宋体"/>
          <w:szCs w:val="22"/>
        </w:rPr>
        <w:fldChar w:fldCharType="separate"/>
      </w:r>
      <w:r>
        <w:rPr>
          <w:rFonts w:hint="eastAsia" w:ascii="宋体" w:hAnsi="宋体"/>
          <w:szCs w:val="24"/>
        </w:rPr>
        <w:t>3. 投标函</w:t>
      </w:r>
      <w:r>
        <w:tab/>
      </w:r>
      <w:r>
        <w:fldChar w:fldCharType="begin"/>
      </w:r>
      <w:r>
        <w:instrText xml:space="preserve"> PAGEREF _Toc31516 \h </w:instrText>
      </w:r>
      <w:r>
        <w:fldChar w:fldCharType="separate"/>
      </w:r>
      <w:r>
        <w:t>42</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_Toc27818 </w:instrText>
      </w:r>
      <w:r>
        <w:rPr>
          <w:rFonts w:ascii="宋体" w:hAnsi="宋体"/>
          <w:szCs w:val="22"/>
        </w:rPr>
        <w:fldChar w:fldCharType="separate"/>
      </w:r>
      <w:r>
        <w:rPr>
          <w:rFonts w:hint="eastAsia" w:ascii="宋体" w:hAnsi="宋体"/>
          <w:szCs w:val="24"/>
        </w:rPr>
        <w:t xml:space="preserve">4. </w:t>
      </w:r>
      <w:r>
        <w:rPr>
          <w:rFonts w:ascii="宋体" w:hAnsi="宋体"/>
          <w:szCs w:val="24"/>
        </w:rPr>
        <w:t>法定代表人</w:t>
      </w:r>
      <w:r>
        <w:rPr>
          <w:rFonts w:hint="eastAsia" w:ascii="宋体" w:hAnsi="宋体"/>
          <w:szCs w:val="24"/>
        </w:rPr>
        <w:t>（负责人）</w:t>
      </w:r>
      <w:r>
        <w:rPr>
          <w:rFonts w:ascii="宋体" w:hAnsi="宋体"/>
          <w:szCs w:val="24"/>
        </w:rPr>
        <w:t>身份证明</w:t>
      </w:r>
      <w:r>
        <w:tab/>
      </w:r>
      <w:r>
        <w:fldChar w:fldCharType="begin"/>
      </w:r>
      <w:r>
        <w:instrText xml:space="preserve"> PAGEREF _Toc27818 \h </w:instrText>
      </w:r>
      <w:r>
        <w:fldChar w:fldCharType="separate"/>
      </w:r>
      <w:r>
        <w:t>44</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_Toc14000 </w:instrText>
      </w:r>
      <w:r>
        <w:rPr>
          <w:rFonts w:ascii="宋体" w:hAnsi="宋体"/>
          <w:szCs w:val="22"/>
        </w:rPr>
        <w:fldChar w:fldCharType="separate"/>
      </w:r>
      <w:r>
        <w:rPr>
          <w:rFonts w:hint="eastAsia" w:ascii="宋体" w:hAnsi="宋体"/>
          <w:szCs w:val="24"/>
        </w:rPr>
        <w:t xml:space="preserve">5. </w:t>
      </w:r>
      <w:r>
        <w:rPr>
          <w:rFonts w:ascii="宋体" w:hAnsi="宋体"/>
          <w:szCs w:val="24"/>
        </w:rPr>
        <w:t>法定代表人</w:t>
      </w:r>
      <w:r>
        <w:rPr>
          <w:rFonts w:hint="eastAsia" w:ascii="宋体" w:hAnsi="宋体"/>
          <w:szCs w:val="24"/>
        </w:rPr>
        <w:t>（负责人）</w:t>
      </w:r>
      <w:r>
        <w:rPr>
          <w:rFonts w:ascii="宋体" w:hAnsi="宋体"/>
          <w:szCs w:val="24"/>
        </w:rPr>
        <w:t>授权委托书</w:t>
      </w:r>
      <w:r>
        <w:tab/>
      </w:r>
      <w:r>
        <w:fldChar w:fldCharType="begin"/>
      </w:r>
      <w:r>
        <w:instrText xml:space="preserve"> PAGEREF _Toc14000 \h </w:instrText>
      </w:r>
      <w:r>
        <w:fldChar w:fldCharType="separate"/>
      </w:r>
      <w:r>
        <w:t>45</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_Toc2112 </w:instrText>
      </w:r>
      <w:r>
        <w:rPr>
          <w:rFonts w:ascii="宋体" w:hAnsi="宋体"/>
          <w:szCs w:val="22"/>
        </w:rPr>
        <w:fldChar w:fldCharType="separate"/>
      </w:r>
      <w:r>
        <w:rPr>
          <w:rFonts w:hint="eastAsia" w:ascii="宋体" w:hAnsi="宋体"/>
          <w:szCs w:val="24"/>
        </w:rPr>
        <w:t>6. 资格审查资料</w:t>
      </w:r>
      <w:r>
        <w:tab/>
      </w:r>
      <w:r>
        <w:fldChar w:fldCharType="begin"/>
      </w:r>
      <w:r>
        <w:instrText xml:space="preserve"> PAGEREF _Toc2112 \h </w:instrText>
      </w:r>
      <w:r>
        <w:fldChar w:fldCharType="separate"/>
      </w:r>
      <w:r>
        <w:t>46</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_Toc8601 </w:instrText>
      </w:r>
      <w:r>
        <w:rPr>
          <w:rFonts w:ascii="宋体" w:hAnsi="宋体"/>
          <w:szCs w:val="22"/>
        </w:rPr>
        <w:fldChar w:fldCharType="separate"/>
      </w:r>
      <w:r>
        <w:rPr>
          <w:rFonts w:hint="eastAsia" w:ascii="宋体" w:hAnsi="宋体"/>
          <w:szCs w:val="24"/>
        </w:rPr>
        <w:t>6.1 投标人</w:t>
      </w:r>
      <w:r>
        <w:rPr>
          <w:rFonts w:ascii="宋体" w:hAnsi="宋体"/>
          <w:szCs w:val="24"/>
        </w:rPr>
        <w:t>基本情况表</w:t>
      </w:r>
      <w:r>
        <w:tab/>
      </w:r>
      <w:r>
        <w:fldChar w:fldCharType="begin"/>
      </w:r>
      <w:r>
        <w:instrText xml:space="preserve"> PAGEREF _Toc8601 \h </w:instrText>
      </w:r>
      <w:r>
        <w:fldChar w:fldCharType="separate"/>
      </w:r>
      <w:r>
        <w:t>46</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_Toc5285 </w:instrText>
      </w:r>
      <w:r>
        <w:rPr>
          <w:rFonts w:ascii="宋体" w:hAnsi="宋体"/>
          <w:szCs w:val="22"/>
        </w:rPr>
        <w:fldChar w:fldCharType="separate"/>
      </w:r>
      <w:r>
        <w:rPr>
          <w:rFonts w:hint="eastAsia" w:ascii="宋体" w:hAnsi="宋体"/>
          <w:szCs w:val="24"/>
        </w:rPr>
        <w:t>6.2 资格要求材料</w:t>
      </w:r>
      <w:r>
        <w:tab/>
      </w:r>
      <w:r>
        <w:fldChar w:fldCharType="begin"/>
      </w:r>
      <w:r>
        <w:instrText xml:space="preserve"> PAGEREF _Toc5285 \h </w:instrText>
      </w:r>
      <w:r>
        <w:fldChar w:fldCharType="separate"/>
      </w:r>
      <w:r>
        <w:t>47</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_Toc685 </w:instrText>
      </w:r>
      <w:r>
        <w:rPr>
          <w:rFonts w:ascii="宋体" w:hAnsi="宋体"/>
          <w:szCs w:val="22"/>
        </w:rPr>
        <w:fldChar w:fldCharType="separate"/>
      </w:r>
      <w:r>
        <w:rPr>
          <w:rFonts w:hint="eastAsia" w:ascii="宋体" w:hAnsi="宋体"/>
          <w:szCs w:val="24"/>
        </w:rPr>
        <w:t>6.3 关于资格的声明函</w:t>
      </w:r>
      <w:r>
        <w:tab/>
      </w:r>
      <w:r>
        <w:fldChar w:fldCharType="begin"/>
      </w:r>
      <w:r>
        <w:instrText xml:space="preserve"> PAGEREF _Toc685 \h </w:instrText>
      </w:r>
      <w:r>
        <w:fldChar w:fldCharType="separate"/>
      </w:r>
      <w:r>
        <w:t>48</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_Toc5565 </w:instrText>
      </w:r>
      <w:r>
        <w:rPr>
          <w:rFonts w:ascii="宋体" w:hAnsi="宋体"/>
          <w:szCs w:val="22"/>
        </w:rPr>
        <w:fldChar w:fldCharType="separate"/>
      </w:r>
      <w:r>
        <w:rPr>
          <w:rFonts w:hint="eastAsia" w:ascii="宋体" w:hAnsi="宋体"/>
          <w:szCs w:val="24"/>
        </w:rPr>
        <w:t>6.4 投标人控股及管理关系情况申报表</w:t>
      </w:r>
      <w:r>
        <w:tab/>
      </w:r>
      <w:r>
        <w:fldChar w:fldCharType="begin"/>
      </w:r>
      <w:r>
        <w:instrText xml:space="preserve"> PAGEREF _Toc5565 \h </w:instrText>
      </w:r>
      <w:r>
        <w:fldChar w:fldCharType="separate"/>
      </w:r>
      <w:r>
        <w:t>49</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_Toc27905 </w:instrText>
      </w:r>
      <w:r>
        <w:rPr>
          <w:rFonts w:ascii="宋体" w:hAnsi="宋体"/>
          <w:szCs w:val="22"/>
        </w:rPr>
        <w:fldChar w:fldCharType="separate"/>
      </w:r>
      <w:r>
        <w:rPr>
          <w:rFonts w:hint="eastAsia" w:ascii="宋体" w:hAnsi="宋体"/>
          <w:szCs w:val="24"/>
        </w:rPr>
        <w:t>7. 商务合同条款偏离表</w:t>
      </w:r>
      <w:r>
        <w:tab/>
      </w:r>
      <w:r>
        <w:fldChar w:fldCharType="begin"/>
      </w:r>
      <w:r>
        <w:instrText xml:space="preserve"> PAGEREF _Toc27905 \h </w:instrText>
      </w:r>
      <w:r>
        <w:fldChar w:fldCharType="separate"/>
      </w:r>
      <w:r>
        <w:t>50</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_Toc32264 </w:instrText>
      </w:r>
      <w:r>
        <w:rPr>
          <w:rFonts w:ascii="宋体" w:hAnsi="宋体"/>
          <w:szCs w:val="22"/>
        </w:rPr>
        <w:fldChar w:fldCharType="separate"/>
      </w:r>
      <w:r>
        <w:rPr>
          <w:rFonts w:hint="eastAsia" w:ascii="宋体" w:hAnsi="宋体"/>
          <w:szCs w:val="24"/>
        </w:rPr>
        <w:t>8. 实质性条款偏离表</w:t>
      </w:r>
      <w:r>
        <w:tab/>
      </w:r>
      <w:r>
        <w:fldChar w:fldCharType="begin"/>
      </w:r>
      <w:r>
        <w:instrText xml:space="preserve"> PAGEREF _Toc32264 \h </w:instrText>
      </w:r>
      <w:r>
        <w:fldChar w:fldCharType="separate"/>
      </w:r>
      <w:r>
        <w:t>51</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_Toc28138 </w:instrText>
      </w:r>
      <w:r>
        <w:rPr>
          <w:rFonts w:ascii="宋体" w:hAnsi="宋体"/>
          <w:szCs w:val="22"/>
        </w:rPr>
        <w:fldChar w:fldCharType="separate"/>
      </w:r>
      <w:r>
        <w:rPr>
          <w:rFonts w:hint="eastAsia" w:ascii="宋体" w:hAnsi="宋体"/>
          <w:szCs w:val="24"/>
        </w:rPr>
        <w:t>9. 采购需求条款偏离表</w:t>
      </w:r>
      <w:r>
        <w:tab/>
      </w:r>
      <w:r>
        <w:fldChar w:fldCharType="begin"/>
      </w:r>
      <w:r>
        <w:instrText xml:space="preserve"> PAGEREF _Toc28138 \h </w:instrText>
      </w:r>
      <w:r>
        <w:fldChar w:fldCharType="separate"/>
      </w:r>
      <w:r>
        <w:t>52</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_Toc16146 </w:instrText>
      </w:r>
      <w:r>
        <w:rPr>
          <w:rFonts w:ascii="宋体" w:hAnsi="宋体"/>
          <w:szCs w:val="22"/>
        </w:rPr>
        <w:fldChar w:fldCharType="separate"/>
      </w:r>
      <w:r>
        <w:rPr>
          <w:rFonts w:hint="eastAsia" w:ascii="宋体" w:hAnsi="宋体"/>
        </w:rPr>
        <w:t>10. 公章对投标专用章授权说明（如有）</w:t>
      </w:r>
      <w:r>
        <w:tab/>
      </w:r>
      <w:r>
        <w:fldChar w:fldCharType="begin"/>
      </w:r>
      <w:r>
        <w:instrText xml:space="preserve"> PAGEREF _Toc16146 \h </w:instrText>
      </w:r>
      <w:r>
        <w:fldChar w:fldCharType="separate"/>
      </w:r>
      <w:r>
        <w:t>53</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_Toc3110 </w:instrText>
      </w:r>
      <w:r>
        <w:rPr>
          <w:rFonts w:ascii="宋体" w:hAnsi="宋体"/>
          <w:szCs w:val="22"/>
        </w:rPr>
        <w:fldChar w:fldCharType="separate"/>
      </w:r>
      <w:r>
        <w:rPr>
          <w:rFonts w:hint="eastAsia" w:ascii="宋体" w:hAnsi="宋体"/>
          <w:szCs w:val="24"/>
        </w:rPr>
        <w:t>11.同类业绩表</w:t>
      </w:r>
      <w:r>
        <w:tab/>
      </w:r>
      <w:r>
        <w:fldChar w:fldCharType="begin"/>
      </w:r>
      <w:r>
        <w:instrText xml:space="preserve"> PAGEREF _Toc3110 \h </w:instrText>
      </w:r>
      <w:r>
        <w:fldChar w:fldCharType="separate"/>
      </w:r>
      <w:r>
        <w:t>54</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_Toc14964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2</w:t>
      </w:r>
      <w:r>
        <w:rPr>
          <w:rFonts w:hint="eastAsia" w:ascii="宋体" w:hAnsi="宋体"/>
          <w:szCs w:val="24"/>
        </w:rPr>
        <w:t>.拟投入本项目服务人员明细表</w:t>
      </w:r>
      <w:r>
        <w:tab/>
      </w:r>
      <w:r>
        <w:fldChar w:fldCharType="begin"/>
      </w:r>
      <w:r>
        <w:instrText xml:space="preserve"> PAGEREF _Toc14964 \h </w:instrText>
      </w:r>
      <w:r>
        <w:fldChar w:fldCharType="separate"/>
      </w:r>
      <w:r>
        <w:t>55</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_Toc10584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3</w:t>
      </w:r>
      <w:r>
        <w:rPr>
          <w:rFonts w:hint="eastAsia" w:ascii="宋体" w:hAnsi="宋体"/>
          <w:szCs w:val="24"/>
        </w:rPr>
        <w:t>.其他资料（若有）</w:t>
      </w:r>
      <w:r>
        <w:tab/>
      </w:r>
      <w:r>
        <w:fldChar w:fldCharType="begin"/>
      </w:r>
      <w:r>
        <w:instrText xml:space="preserve"> PAGEREF _Toc10584 \h </w:instrText>
      </w:r>
      <w:r>
        <w:fldChar w:fldCharType="separate"/>
      </w:r>
      <w:r>
        <w:t>57</w:t>
      </w:r>
      <w: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_Toc32757 </w:instrText>
      </w:r>
      <w:r>
        <w:rPr>
          <w:rFonts w:ascii="宋体" w:hAnsi="宋体"/>
          <w:szCs w:val="22"/>
        </w:rPr>
        <w:fldChar w:fldCharType="separate"/>
      </w:r>
      <w:r>
        <w:t>1</w:t>
      </w:r>
      <w:r>
        <w:rPr>
          <w:rFonts w:hint="eastAsia"/>
          <w:lang w:val="en-US" w:eastAsia="zh-CN"/>
        </w:rPr>
        <w:t>3</w:t>
      </w:r>
      <w:r>
        <w:t>.1</w:t>
      </w:r>
      <w:r>
        <w:rPr>
          <w:rFonts w:hint="eastAsia"/>
        </w:rPr>
        <w:t>企业综合实力</w:t>
      </w:r>
      <w:r>
        <w:tab/>
      </w:r>
      <w:r>
        <w:fldChar w:fldCharType="begin"/>
      </w:r>
      <w:r>
        <w:instrText xml:space="preserve"> PAGEREF _Toc32757 \h </w:instrText>
      </w:r>
      <w:r>
        <w:fldChar w:fldCharType="separate"/>
      </w:r>
      <w:r>
        <w:t>57</w:t>
      </w:r>
      <w: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_Toc8237 </w:instrText>
      </w:r>
      <w:r>
        <w:rPr>
          <w:rFonts w:ascii="宋体" w:hAnsi="宋体"/>
          <w:szCs w:val="22"/>
        </w:rPr>
        <w:fldChar w:fldCharType="separate"/>
      </w:r>
      <w:r>
        <w:t>1</w:t>
      </w:r>
      <w:r>
        <w:rPr>
          <w:rFonts w:hint="eastAsia"/>
          <w:lang w:val="en-US" w:eastAsia="zh-CN"/>
        </w:rPr>
        <w:t>3</w:t>
      </w:r>
      <w:r>
        <w:t>.</w:t>
      </w:r>
      <w:r>
        <w:rPr>
          <w:rFonts w:hint="eastAsia"/>
        </w:rPr>
        <w:t>2企业行业荣誉证书</w:t>
      </w:r>
      <w:r>
        <w:tab/>
      </w:r>
      <w:r>
        <w:fldChar w:fldCharType="begin"/>
      </w:r>
      <w:r>
        <w:instrText xml:space="preserve"> PAGEREF _Toc8237 \h </w:instrText>
      </w:r>
      <w:r>
        <w:fldChar w:fldCharType="separate"/>
      </w:r>
      <w:r>
        <w:t>57</w:t>
      </w:r>
      <w: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_Toc27014 </w:instrText>
      </w:r>
      <w:r>
        <w:rPr>
          <w:rFonts w:ascii="宋体" w:hAnsi="宋体"/>
          <w:szCs w:val="22"/>
        </w:rPr>
        <w:fldChar w:fldCharType="separate"/>
      </w:r>
      <w:r>
        <w:rPr>
          <w:rFonts w:hint="eastAsia"/>
        </w:rPr>
        <w:t>1</w:t>
      </w:r>
      <w:r>
        <w:rPr>
          <w:rFonts w:hint="eastAsia"/>
          <w:lang w:val="en-US" w:eastAsia="zh-CN"/>
        </w:rPr>
        <w:t>3</w:t>
      </w:r>
      <w:r>
        <w:rPr>
          <w:rFonts w:hint="eastAsia"/>
        </w:rPr>
        <w:t>.</w:t>
      </w:r>
      <w:r>
        <w:rPr>
          <w:rFonts w:hint="eastAsia"/>
          <w:lang w:val="en-US" w:eastAsia="zh-CN"/>
        </w:rPr>
        <w:t>3</w:t>
      </w:r>
      <w:r>
        <w:rPr>
          <w:rFonts w:hint="eastAsia"/>
        </w:rPr>
        <w:t>服务团队无犯罪记录承诺函</w:t>
      </w:r>
      <w:r>
        <w:tab/>
      </w:r>
      <w:r>
        <w:fldChar w:fldCharType="begin"/>
      </w:r>
      <w:r>
        <w:instrText xml:space="preserve"> PAGEREF _Toc27014 \h </w:instrText>
      </w:r>
      <w:r>
        <w:fldChar w:fldCharType="separate"/>
      </w:r>
      <w:r>
        <w:t>57</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_Toc3306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4</w:t>
      </w:r>
      <w:r>
        <w:rPr>
          <w:rFonts w:hint="eastAsia" w:ascii="宋体" w:hAnsi="宋体"/>
          <w:szCs w:val="24"/>
        </w:rPr>
        <w:t>.</w:t>
      </w:r>
      <w:r>
        <w:rPr>
          <w:rFonts w:ascii="宋体" w:hAnsi="宋体"/>
          <w:szCs w:val="24"/>
        </w:rPr>
        <w:t>服务方案</w:t>
      </w:r>
      <w:r>
        <w:rPr>
          <w:rFonts w:hint="eastAsia" w:ascii="宋体" w:hAnsi="宋体"/>
          <w:szCs w:val="24"/>
        </w:rPr>
        <w:t>（格式自拟）</w:t>
      </w:r>
      <w:r>
        <w:tab/>
      </w:r>
      <w:r>
        <w:fldChar w:fldCharType="begin"/>
      </w:r>
      <w:r>
        <w:instrText xml:space="preserve"> PAGEREF _Toc3306 \h </w:instrText>
      </w:r>
      <w:r>
        <w:fldChar w:fldCharType="separate"/>
      </w:r>
      <w:r>
        <w:t>58</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_Toc27684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5</w:t>
      </w:r>
      <w:r>
        <w:rPr>
          <w:rFonts w:hint="eastAsia" w:ascii="宋体" w:hAnsi="宋体"/>
          <w:szCs w:val="24"/>
        </w:rPr>
        <w:t>.投标人认为需要提供的其他资料</w:t>
      </w:r>
      <w:r>
        <w:tab/>
      </w:r>
      <w:r>
        <w:fldChar w:fldCharType="begin"/>
      </w:r>
      <w:r>
        <w:instrText xml:space="preserve"> PAGEREF _Toc27684 \h </w:instrText>
      </w:r>
      <w:r>
        <w:fldChar w:fldCharType="separate"/>
      </w:r>
      <w:r>
        <w:t>58</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_Toc23349 </w:instrText>
      </w:r>
      <w:r>
        <w:rPr>
          <w:rFonts w:ascii="宋体" w:hAnsi="宋体"/>
          <w:szCs w:val="22"/>
        </w:rPr>
        <w:fldChar w:fldCharType="separate"/>
      </w:r>
      <w:r>
        <w:rPr>
          <w:rFonts w:hint="eastAsia" w:ascii="宋体" w:hAnsi="宋体"/>
          <w:szCs w:val="24"/>
        </w:rPr>
        <w:t>第二分册</w:t>
      </w:r>
      <w:r>
        <w:tab/>
      </w:r>
      <w:r>
        <w:fldChar w:fldCharType="begin"/>
      </w:r>
      <w:r>
        <w:instrText xml:space="preserve"> PAGEREF _Toc23349 \h </w:instrText>
      </w:r>
      <w:r>
        <w:fldChar w:fldCharType="separate"/>
      </w:r>
      <w:r>
        <w:t>59</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_Toc27892 </w:instrText>
      </w:r>
      <w:r>
        <w:rPr>
          <w:rFonts w:ascii="宋体" w:hAnsi="宋体"/>
          <w:szCs w:val="22"/>
        </w:rPr>
        <w:fldChar w:fldCharType="separate"/>
      </w:r>
      <w:r>
        <w:rPr>
          <w:rFonts w:hint="eastAsia" w:ascii="宋体" w:hAnsi="宋体"/>
          <w:szCs w:val="24"/>
        </w:rPr>
        <w:t xml:space="preserve">1. </w:t>
      </w:r>
      <w:r>
        <w:rPr>
          <w:rFonts w:hint="eastAsia" w:ascii="宋体" w:hAnsi="宋体"/>
          <w:szCs w:val="24"/>
          <w:lang w:val="en-US" w:eastAsia="zh-CN"/>
        </w:rPr>
        <w:t>经济</w:t>
      </w:r>
      <w:r>
        <w:rPr>
          <w:rFonts w:hint="eastAsia" w:ascii="宋体" w:hAnsi="宋体"/>
          <w:szCs w:val="24"/>
        </w:rPr>
        <w:t>文件封面</w:t>
      </w:r>
      <w:r>
        <w:tab/>
      </w:r>
      <w:r>
        <w:fldChar w:fldCharType="begin"/>
      </w:r>
      <w:r>
        <w:instrText xml:space="preserve"> PAGEREF _Toc27892 \h </w:instrText>
      </w:r>
      <w:r>
        <w:fldChar w:fldCharType="separate"/>
      </w:r>
      <w:r>
        <w:t>59</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_Toc19284 </w:instrText>
      </w:r>
      <w:r>
        <w:rPr>
          <w:rFonts w:ascii="宋体" w:hAnsi="宋体"/>
          <w:szCs w:val="22"/>
        </w:rPr>
        <w:fldChar w:fldCharType="separate"/>
      </w:r>
      <w:r>
        <w:rPr>
          <w:rFonts w:hint="eastAsia" w:ascii="宋体" w:hAnsi="宋体"/>
          <w:szCs w:val="24"/>
        </w:rPr>
        <w:t>2. 报价一览表</w:t>
      </w:r>
      <w:r>
        <w:tab/>
      </w:r>
      <w:r>
        <w:fldChar w:fldCharType="begin"/>
      </w:r>
      <w:r>
        <w:instrText xml:space="preserve"> PAGEREF _Toc19284 \h </w:instrText>
      </w:r>
      <w:r>
        <w:fldChar w:fldCharType="separate"/>
      </w:r>
      <w:r>
        <w:t>60</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_Toc9231 </w:instrText>
      </w:r>
      <w:r>
        <w:rPr>
          <w:rFonts w:ascii="宋体" w:hAnsi="宋体"/>
          <w:szCs w:val="22"/>
        </w:rPr>
        <w:fldChar w:fldCharType="separate"/>
      </w:r>
      <w:r>
        <w:rPr>
          <w:rFonts w:hint="eastAsia" w:ascii="宋体" w:hAnsi="宋体"/>
          <w:szCs w:val="24"/>
        </w:rPr>
        <w:t>3. 分项一览表（格式自拟）</w:t>
      </w:r>
      <w:r>
        <w:tab/>
      </w:r>
      <w:r>
        <w:fldChar w:fldCharType="begin"/>
      </w:r>
      <w:r>
        <w:instrText xml:space="preserve"> PAGEREF _Toc9231 \h </w:instrText>
      </w:r>
      <w:r>
        <w:fldChar w:fldCharType="separate"/>
      </w:r>
      <w:r>
        <w:t>61</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_Toc29242 </w:instrText>
      </w:r>
      <w:r>
        <w:rPr>
          <w:rFonts w:ascii="宋体" w:hAnsi="宋体"/>
          <w:szCs w:val="22"/>
        </w:rPr>
        <w:fldChar w:fldCharType="separate"/>
      </w:r>
      <w:r>
        <w:rPr>
          <w:rFonts w:hint="eastAsia" w:ascii="宋体" w:hAnsi="宋体"/>
          <w:szCs w:val="24"/>
        </w:rPr>
        <w:t>4. 招标代理服务费承诺书</w:t>
      </w:r>
      <w:r>
        <w:tab/>
      </w:r>
      <w:r>
        <w:fldChar w:fldCharType="begin"/>
      </w:r>
      <w:r>
        <w:instrText xml:space="preserve"> PAGEREF _Toc29242 \h </w:instrText>
      </w:r>
      <w:r>
        <w:fldChar w:fldCharType="separate"/>
      </w:r>
      <w:r>
        <w:t>62</w:t>
      </w:r>
      <w:r>
        <w:fldChar w:fldCharType="end"/>
      </w:r>
      <w:r>
        <w:rPr>
          <w:rFonts w:ascii="宋体" w:hAnsi="宋体"/>
          <w:color w:val="auto"/>
          <w:szCs w:val="22"/>
        </w:rPr>
        <w:fldChar w:fldCharType="end"/>
      </w:r>
    </w:p>
    <w:p>
      <w:pPr>
        <w:pStyle w:val="29"/>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_Toc8920 </w:instrText>
      </w:r>
      <w:r>
        <w:rPr>
          <w:rFonts w:ascii="宋体" w:hAnsi="宋体"/>
          <w:szCs w:val="22"/>
        </w:rPr>
        <w:fldChar w:fldCharType="separate"/>
      </w:r>
      <w:r>
        <w:rPr>
          <w:rFonts w:hint="eastAsia" w:ascii="宋体" w:hAnsi="宋体"/>
          <w:szCs w:val="24"/>
        </w:rPr>
        <w:t>5. 投标保证金汇款凭证</w:t>
      </w:r>
      <w:r>
        <w:tab/>
      </w:r>
      <w:r>
        <w:fldChar w:fldCharType="begin"/>
      </w:r>
      <w:r>
        <w:instrText xml:space="preserve"> PAGEREF _Toc8920 \h </w:instrText>
      </w:r>
      <w:r>
        <w:fldChar w:fldCharType="separate"/>
      </w:r>
      <w:r>
        <w:t>63</w:t>
      </w:r>
      <w:r>
        <w:fldChar w:fldCharType="end"/>
      </w:r>
      <w:r>
        <w:rPr>
          <w:rFonts w:ascii="宋体" w:hAnsi="宋体"/>
          <w:color w:val="auto"/>
          <w:szCs w:val="22"/>
        </w:rPr>
        <w:fldChar w:fldCharType="end"/>
      </w:r>
    </w:p>
    <w:p>
      <w:pPr>
        <w:spacing w:after="120" w:line="360" w:lineRule="auto"/>
        <w:rPr>
          <w:rFonts w:ascii="宋体" w:hAnsi="宋体" w:cs="宋体"/>
          <w:color w:val="auto"/>
          <w:sz w:val="24"/>
        </w:rPr>
        <w:sectPr>
          <w:footerReference r:id="rId3" w:type="default"/>
          <w:pgSz w:w="11906" w:h="16838"/>
          <w:pgMar w:top="1440" w:right="1701" w:bottom="1440" w:left="1701" w:header="851" w:footer="992" w:gutter="0"/>
          <w:pgNumType w:start="1"/>
          <w:cols w:space="720" w:num="1"/>
          <w:docGrid w:type="linesAndChars" w:linePitch="380" w:charSpace="0"/>
        </w:sectPr>
      </w:pPr>
      <w:r>
        <w:rPr>
          <w:rFonts w:ascii="宋体" w:hAnsi="宋体"/>
          <w:color w:val="auto"/>
          <w:szCs w:val="22"/>
        </w:rPr>
        <w:fldChar w:fldCharType="end"/>
      </w:r>
    </w:p>
    <w:p>
      <w:pPr>
        <w:pStyle w:val="75"/>
        <w:spacing w:before="240" w:after="120"/>
        <w:rPr>
          <w:rFonts w:ascii="宋体" w:hAnsi="宋体" w:eastAsia="宋体" w:cs="宋体"/>
          <w:b/>
          <w:bCs w:val="0"/>
          <w:color w:val="auto"/>
          <w:kern w:val="0"/>
          <w:sz w:val="28"/>
          <w:szCs w:val="28"/>
        </w:rPr>
      </w:pPr>
      <w:bookmarkStart w:id="1" w:name="_Toc56432210"/>
      <w:bookmarkStart w:id="2" w:name="_Toc27916"/>
      <w:bookmarkStart w:id="3" w:name="_Toc447265797"/>
      <w:bookmarkStart w:id="4" w:name="_Toc2882"/>
      <w:bookmarkStart w:id="5" w:name="_Toc447188662"/>
      <w:bookmarkStart w:id="6" w:name="_Toc447265497"/>
      <w:bookmarkStart w:id="7" w:name="_Toc7924"/>
      <w:bookmarkStart w:id="8" w:name="_Toc447265211"/>
      <w:r>
        <w:rPr>
          <w:rFonts w:hint="eastAsia" w:ascii="宋体" w:hAnsi="宋体" w:eastAsia="宋体" w:cs="宋体"/>
          <w:b/>
          <w:bCs w:val="0"/>
          <w:color w:val="auto"/>
          <w:kern w:val="0"/>
          <w:sz w:val="28"/>
          <w:szCs w:val="28"/>
        </w:rPr>
        <w:t>第一章</w:t>
      </w:r>
      <w:r>
        <w:rPr>
          <w:rFonts w:ascii="宋体" w:hAnsi="宋体" w:eastAsia="宋体" w:cs="宋体"/>
          <w:b/>
          <w:bCs w:val="0"/>
          <w:color w:val="auto"/>
          <w:kern w:val="0"/>
          <w:sz w:val="28"/>
          <w:szCs w:val="28"/>
        </w:rPr>
        <w:t xml:space="preserve">  招标公告</w:t>
      </w:r>
      <w:bookmarkEnd w:id="1"/>
      <w:bookmarkEnd w:id="2"/>
      <w:bookmarkEnd w:id="3"/>
      <w:bookmarkEnd w:id="4"/>
      <w:bookmarkEnd w:id="5"/>
      <w:bookmarkEnd w:id="6"/>
      <w:bookmarkEnd w:id="7"/>
      <w:bookmarkEnd w:id="8"/>
    </w:p>
    <w:p>
      <w:pPr>
        <w:adjustRightInd w:val="0"/>
        <w:snapToGrid w:val="0"/>
        <w:spacing w:line="440" w:lineRule="exact"/>
        <w:ind w:firstLine="482" w:firstLineChars="200"/>
        <w:jc w:val="center"/>
        <w:rPr>
          <w:rFonts w:ascii="宋体" w:hAnsi="宋体"/>
          <w:b/>
          <w:bCs/>
          <w:color w:val="auto"/>
          <w:sz w:val="24"/>
        </w:rPr>
      </w:pPr>
      <w:r>
        <w:rPr>
          <w:rFonts w:hint="eastAsia" w:ascii="宋体" w:hAnsi="宋体"/>
          <w:b/>
          <w:bCs/>
          <w:color w:val="auto"/>
          <w:sz w:val="24"/>
          <w:szCs w:val="32"/>
          <w:u w:val="single"/>
          <w:lang w:eastAsia="zh-CN"/>
        </w:rPr>
        <w:t>广东南都娱乐企业文化综合服务项目</w:t>
      </w:r>
      <w:r>
        <w:rPr>
          <w:rFonts w:hint="eastAsia" w:ascii="宋体" w:hAnsi="宋体"/>
          <w:b/>
          <w:bCs/>
          <w:color w:val="auto"/>
          <w:sz w:val="24"/>
          <w:szCs w:val="32"/>
          <w:u w:val="single"/>
        </w:rPr>
        <w:t>招标公告</w:t>
      </w:r>
    </w:p>
    <w:p>
      <w:pPr>
        <w:adjustRightInd w:val="0"/>
        <w:snapToGrid w:val="0"/>
        <w:spacing w:line="440" w:lineRule="exact"/>
        <w:ind w:firstLine="420" w:firstLineChars="200"/>
        <w:rPr>
          <w:rFonts w:ascii="宋体" w:hAnsi="宋体"/>
          <w:color w:val="auto"/>
          <w:szCs w:val="21"/>
        </w:rPr>
      </w:pPr>
      <w:r>
        <w:rPr>
          <w:rFonts w:hint="eastAsia" w:ascii="宋体" w:hAnsi="宋体"/>
          <w:color w:val="auto"/>
          <w:szCs w:val="21"/>
        </w:rPr>
        <w:t>本招标项目为</w:t>
      </w:r>
      <w:r>
        <w:rPr>
          <w:rFonts w:hint="eastAsia" w:ascii="宋体" w:hAnsi="宋体"/>
          <w:color w:val="auto"/>
          <w:szCs w:val="21"/>
          <w:u w:val="single"/>
          <w:lang w:eastAsia="zh-CN"/>
        </w:rPr>
        <w:t>广东南都娱乐企业文化综合服务项目</w:t>
      </w:r>
      <w:r>
        <w:rPr>
          <w:rFonts w:hint="eastAsia" w:ascii="宋体" w:hAnsi="宋体"/>
          <w:color w:val="auto"/>
          <w:szCs w:val="21"/>
        </w:rPr>
        <w:t>，</w:t>
      </w:r>
      <w:r>
        <w:rPr>
          <w:rFonts w:hint="eastAsia" w:ascii="宋体" w:hAnsi="宋体"/>
          <w:color w:val="auto"/>
          <w:szCs w:val="21"/>
          <w:u w:val="single"/>
        </w:rPr>
        <w:t>（招标代理编号：</w:t>
      </w:r>
      <w:r>
        <w:rPr>
          <w:rFonts w:hint="eastAsia" w:ascii="宋体" w:hAnsi="宋体"/>
          <w:color w:val="auto"/>
          <w:szCs w:val="21"/>
          <w:u w:val="single"/>
          <w:lang w:eastAsia="zh-CN"/>
        </w:rPr>
        <w:t>WJS-202301130002</w:t>
      </w:r>
      <w:r>
        <w:rPr>
          <w:rFonts w:ascii="宋体" w:hAnsi="宋体"/>
          <w:color w:val="auto"/>
          <w:szCs w:val="21"/>
          <w:u w:val="single"/>
        </w:rPr>
        <w:t>）</w:t>
      </w:r>
      <w:r>
        <w:rPr>
          <w:rFonts w:hint="eastAsia" w:ascii="宋体" w:hAnsi="宋体"/>
          <w:color w:val="auto"/>
          <w:szCs w:val="21"/>
        </w:rPr>
        <w:t>，招标人为</w:t>
      </w:r>
      <w:r>
        <w:rPr>
          <w:rFonts w:hint="eastAsia" w:ascii="宋体" w:hAnsi="宋体"/>
          <w:color w:val="auto"/>
          <w:szCs w:val="21"/>
          <w:u w:val="single"/>
          <w:lang w:eastAsia="zh-CN"/>
        </w:rPr>
        <w:t>广东南都娱乐传媒股份有限公司</w:t>
      </w:r>
      <w:r>
        <w:rPr>
          <w:rFonts w:hint="eastAsia" w:ascii="宋体" w:hAnsi="宋体"/>
          <w:color w:val="auto"/>
          <w:szCs w:val="21"/>
        </w:rPr>
        <w:t>，招标代理机构为</w:t>
      </w:r>
      <w:r>
        <w:rPr>
          <w:rFonts w:hint="eastAsia" w:ascii="宋体" w:hAnsi="宋体"/>
          <w:color w:val="auto"/>
          <w:u w:val="single"/>
        </w:rPr>
        <w:t>广东省南方文化产权交易所股份有限公司</w:t>
      </w:r>
      <w:r>
        <w:rPr>
          <w:rFonts w:hint="eastAsia" w:ascii="宋体" w:hAnsi="宋体"/>
          <w:color w:val="auto"/>
          <w:szCs w:val="21"/>
        </w:rPr>
        <w:t>。项目资金已落实，具备招标条件，现进行公开招标，特邀请有意向的且具有提供标的物能力的潜在投标人（以下简称投标人）投标。</w:t>
      </w:r>
    </w:p>
    <w:p>
      <w:pPr>
        <w:pStyle w:val="76"/>
        <w:numPr>
          <w:ilvl w:val="0"/>
          <w:numId w:val="2"/>
        </w:numPr>
        <w:adjustRightInd w:val="0"/>
        <w:snapToGrid w:val="0"/>
        <w:spacing w:line="440" w:lineRule="exact"/>
        <w:ind w:firstLineChars="0"/>
        <w:rPr>
          <w:rFonts w:ascii="宋体" w:hAnsi="宋体"/>
          <w:b/>
          <w:color w:val="auto"/>
          <w:szCs w:val="21"/>
        </w:rPr>
      </w:pPr>
      <w:r>
        <w:rPr>
          <w:rFonts w:hint="eastAsia" w:ascii="宋体" w:hAnsi="宋体"/>
          <w:b/>
          <w:color w:val="auto"/>
          <w:szCs w:val="21"/>
        </w:rPr>
        <w:t>项目概况与采购内容</w:t>
      </w:r>
    </w:p>
    <w:p>
      <w:pPr>
        <w:pStyle w:val="76"/>
        <w:adjustRightInd w:val="0"/>
        <w:snapToGrid w:val="0"/>
        <w:spacing w:line="440" w:lineRule="exact"/>
        <w:rPr>
          <w:rFonts w:ascii="宋体" w:hAnsi="宋体"/>
          <w:color w:val="auto"/>
          <w:szCs w:val="21"/>
        </w:rPr>
      </w:pPr>
      <w:r>
        <w:rPr>
          <w:rFonts w:ascii="宋体" w:hAnsi="宋体"/>
          <w:color w:val="auto"/>
          <w:szCs w:val="21"/>
        </w:rPr>
        <w:t>1.1</w:t>
      </w:r>
      <w:r>
        <w:rPr>
          <w:rFonts w:hint="eastAsia" w:ascii="宋体" w:hAnsi="宋体"/>
          <w:color w:val="auto"/>
          <w:szCs w:val="21"/>
        </w:rPr>
        <w:t>预计标的额：</w:t>
      </w:r>
      <w:r>
        <w:rPr>
          <w:rFonts w:hint="eastAsia" w:ascii="宋体" w:hAnsi="宋体"/>
          <w:color w:val="auto"/>
          <w:szCs w:val="21"/>
          <w:lang w:eastAsia="zh-CN"/>
        </w:rPr>
        <w:t>1447000.00</w:t>
      </w:r>
      <w:r>
        <w:rPr>
          <w:rFonts w:hint="eastAsia" w:ascii="宋体" w:hAnsi="宋体"/>
          <w:color w:val="auto"/>
          <w:szCs w:val="21"/>
        </w:rPr>
        <w:t>元人民币（含税）。</w:t>
      </w:r>
    </w:p>
    <w:p>
      <w:pPr>
        <w:pStyle w:val="76"/>
        <w:adjustRightInd w:val="0"/>
        <w:snapToGrid w:val="0"/>
        <w:spacing w:line="440" w:lineRule="exact"/>
        <w:rPr>
          <w:rFonts w:ascii="宋体" w:hAnsi="宋体"/>
          <w:color w:val="auto"/>
          <w:szCs w:val="21"/>
        </w:rPr>
      </w:pPr>
      <w:r>
        <w:rPr>
          <w:rFonts w:ascii="宋体" w:hAnsi="宋体"/>
          <w:color w:val="auto"/>
          <w:szCs w:val="21"/>
        </w:rPr>
        <w:t xml:space="preserve">1.2项目概况: </w:t>
      </w:r>
      <w:r>
        <w:rPr>
          <w:rFonts w:hint="eastAsia" w:ascii="宋体" w:hAnsi="宋体"/>
          <w:color w:val="auto"/>
          <w:szCs w:val="21"/>
        </w:rPr>
        <w:t>本项目拟通过公开招标的方式选取一名中标人，中标人根据招标人要求提供企业文化综合服务</w:t>
      </w:r>
      <w:r>
        <w:rPr>
          <w:rFonts w:hint="eastAsia" w:ascii="宋体" w:hAnsi="宋体"/>
          <w:bCs/>
          <w:color w:val="auto"/>
        </w:rPr>
        <w:t>，</w:t>
      </w:r>
      <w:r>
        <w:rPr>
          <w:rFonts w:hint="eastAsia" w:ascii="宋体" w:hAnsi="宋体"/>
          <w:bCs/>
          <w:color w:val="auto"/>
          <w:lang w:val="en-US" w:eastAsia="zh-CN"/>
        </w:rPr>
        <w:t>包括企业文化活动策划执行、线上文化品牌内容运营、企业文化宣传视频拍摄、企业文创产品及礼品定制等。</w:t>
      </w:r>
      <w:r>
        <w:rPr>
          <w:rFonts w:hint="eastAsia" w:ascii="宋体" w:hAnsi="宋体"/>
          <w:bCs/>
          <w:color w:val="auto"/>
        </w:rPr>
        <w:t>具体详见《第五章 采购需求书》</w:t>
      </w:r>
      <w:r>
        <w:rPr>
          <w:rFonts w:hint="eastAsia" w:ascii="宋体" w:hAnsi="宋体"/>
          <w:color w:val="auto"/>
          <w:szCs w:val="21"/>
        </w:rPr>
        <w:t>。</w:t>
      </w:r>
    </w:p>
    <w:p>
      <w:pPr>
        <w:pStyle w:val="76"/>
        <w:adjustRightInd w:val="0"/>
        <w:snapToGrid w:val="0"/>
        <w:spacing w:line="440" w:lineRule="exact"/>
        <w:rPr>
          <w:rFonts w:ascii="宋体" w:hAnsi="宋体"/>
          <w:color w:val="auto"/>
          <w:szCs w:val="21"/>
        </w:rPr>
      </w:pPr>
      <w:r>
        <w:rPr>
          <w:rFonts w:ascii="宋体" w:hAnsi="宋体"/>
          <w:color w:val="auto"/>
          <w:szCs w:val="21"/>
        </w:rPr>
        <w:t xml:space="preserve">1.3 </w:t>
      </w:r>
      <w:r>
        <w:rPr>
          <w:rFonts w:hint="eastAsia" w:ascii="宋体" w:hAnsi="宋体"/>
          <w:color w:val="auto"/>
          <w:szCs w:val="21"/>
        </w:rPr>
        <w:t>服务期限：</w:t>
      </w:r>
      <w:r>
        <w:rPr>
          <w:rFonts w:hint="eastAsia" w:ascii="宋体" w:hAnsi="宋体" w:cs="宋体"/>
          <w:color w:val="auto"/>
          <w:szCs w:val="21"/>
        </w:rPr>
        <w:t>合同签订之日起至2023年</w:t>
      </w:r>
      <w:r>
        <w:rPr>
          <w:rFonts w:hint="eastAsia" w:ascii="宋体" w:hAnsi="宋体" w:cs="宋体"/>
          <w:color w:val="auto"/>
          <w:szCs w:val="21"/>
          <w:lang w:val="en-US" w:eastAsia="zh-CN"/>
        </w:rPr>
        <w:t>10</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w:t>
      </w:r>
      <w:r>
        <w:rPr>
          <w:rFonts w:hint="eastAsia" w:ascii="宋体" w:hAnsi="宋体"/>
          <w:color w:val="auto"/>
          <w:szCs w:val="21"/>
        </w:rPr>
        <w:t>。</w:t>
      </w:r>
    </w:p>
    <w:p>
      <w:pPr>
        <w:pStyle w:val="76"/>
        <w:numPr>
          <w:ilvl w:val="0"/>
          <w:numId w:val="2"/>
        </w:numPr>
        <w:adjustRightInd w:val="0"/>
        <w:snapToGrid w:val="0"/>
        <w:spacing w:line="440" w:lineRule="exact"/>
        <w:ind w:firstLineChars="0"/>
        <w:rPr>
          <w:rFonts w:ascii="宋体" w:hAnsi="宋体"/>
          <w:b/>
          <w:color w:val="auto"/>
          <w:szCs w:val="21"/>
        </w:rPr>
      </w:pPr>
      <w:bookmarkStart w:id="9" w:name="_Toc319769473"/>
      <w:bookmarkStart w:id="10" w:name="_Toc184704555"/>
      <w:bookmarkStart w:id="11" w:name="_Toc319394714"/>
      <w:r>
        <w:rPr>
          <w:rFonts w:hint="eastAsia" w:ascii="宋体" w:hAnsi="宋体"/>
          <w:b/>
          <w:color w:val="auto"/>
          <w:szCs w:val="21"/>
        </w:rPr>
        <w:t>投标人资格要求</w:t>
      </w:r>
      <w:bookmarkEnd w:id="9"/>
      <w:bookmarkEnd w:id="10"/>
      <w:bookmarkEnd w:id="11"/>
      <w:r>
        <w:rPr>
          <w:rFonts w:ascii="宋体" w:hAnsi="宋体"/>
          <w:b/>
          <w:color w:val="auto"/>
          <w:szCs w:val="21"/>
        </w:rPr>
        <w:t xml:space="preserve"> </w:t>
      </w:r>
    </w:p>
    <w:p>
      <w:pPr>
        <w:pStyle w:val="76"/>
        <w:adjustRightInd w:val="0"/>
        <w:snapToGrid w:val="0"/>
        <w:spacing w:line="440" w:lineRule="exact"/>
        <w:rPr>
          <w:rFonts w:ascii="宋体" w:hAnsi="宋体"/>
          <w:color w:val="auto"/>
          <w:szCs w:val="21"/>
        </w:rPr>
      </w:pPr>
      <w:bookmarkStart w:id="12" w:name="_Toc319769474"/>
      <w:bookmarkStart w:id="13" w:name="_Toc319394715"/>
      <w:bookmarkStart w:id="14" w:name="_Toc184704556"/>
      <w:r>
        <w:rPr>
          <w:rFonts w:ascii="宋体" w:hAnsi="宋体"/>
          <w:color w:val="auto"/>
          <w:szCs w:val="21"/>
        </w:rPr>
        <w:t>2.1投标人须在中华人民共和国境内注册的具有独立承担民事责任能力的法人或其他组织，提供营业执照或事业法人证书（分公司投标须得到总公司授权，同时提供总公司营业执照及盖章授权函）；</w:t>
      </w:r>
    </w:p>
    <w:p>
      <w:pPr>
        <w:pStyle w:val="76"/>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rPr>
        <w:t>2</w:t>
      </w:r>
      <w:r>
        <w:rPr>
          <w:rFonts w:ascii="宋体" w:hAnsi="宋体"/>
          <w:color w:val="auto"/>
          <w:szCs w:val="21"/>
        </w:rPr>
        <w:t>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pPr>
        <w:pStyle w:val="76"/>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rPr>
        <w:t>3</w:t>
      </w:r>
      <w:r>
        <w:rPr>
          <w:rFonts w:ascii="宋体" w:hAnsi="宋体"/>
          <w:color w:val="auto"/>
          <w:szCs w:val="21"/>
        </w:rPr>
        <w:t>单位负责人为同一人或者存在直接控股、管理关系的不同供应商，不得参加同一合同项下的招标活动，以《</w:t>
      </w:r>
      <w:r>
        <w:rPr>
          <w:rFonts w:hint="eastAsia" w:ascii="宋体" w:hAnsi="宋体"/>
          <w:color w:val="auto"/>
          <w:szCs w:val="21"/>
        </w:rPr>
        <w:t>投标人控股及管理关系情况申报表</w:t>
      </w:r>
      <w:r>
        <w:rPr>
          <w:rFonts w:ascii="宋体" w:hAnsi="宋体"/>
          <w:color w:val="auto"/>
          <w:szCs w:val="21"/>
        </w:rPr>
        <w:t>》填报的内容进行评审；</w:t>
      </w:r>
    </w:p>
    <w:p>
      <w:pPr>
        <w:pStyle w:val="76"/>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rPr>
        <w:t>4</w:t>
      </w:r>
      <w:r>
        <w:rPr>
          <w:rFonts w:ascii="宋体" w:hAnsi="宋体"/>
          <w:color w:val="auto"/>
          <w:szCs w:val="21"/>
        </w:rPr>
        <w:t>本项目不接受联合体投标，不允许转包、违法分包。</w:t>
      </w:r>
    </w:p>
    <w:p>
      <w:pPr>
        <w:pStyle w:val="76"/>
        <w:numPr>
          <w:ilvl w:val="0"/>
          <w:numId w:val="2"/>
        </w:numPr>
        <w:adjustRightInd w:val="0"/>
        <w:snapToGrid w:val="0"/>
        <w:spacing w:line="440" w:lineRule="exact"/>
        <w:ind w:firstLineChars="0"/>
        <w:rPr>
          <w:rFonts w:ascii="宋体" w:hAnsi="宋体"/>
          <w:b/>
          <w:color w:val="auto"/>
          <w:szCs w:val="21"/>
        </w:rPr>
      </w:pPr>
      <w:r>
        <w:rPr>
          <w:rFonts w:hint="eastAsia" w:ascii="宋体" w:hAnsi="宋体"/>
          <w:b/>
          <w:color w:val="auto"/>
          <w:szCs w:val="21"/>
        </w:rPr>
        <w:t>资格审查方法</w:t>
      </w:r>
      <w:bookmarkEnd w:id="12"/>
      <w:bookmarkEnd w:id="13"/>
      <w:bookmarkEnd w:id="14"/>
    </w:p>
    <w:p>
      <w:pPr>
        <w:pStyle w:val="76"/>
        <w:adjustRightInd w:val="0"/>
        <w:snapToGrid w:val="0"/>
        <w:spacing w:line="440" w:lineRule="exact"/>
        <w:rPr>
          <w:rFonts w:ascii="宋体" w:hAnsi="宋体"/>
          <w:color w:val="auto"/>
          <w:szCs w:val="21"/>
        </w:rPr>
      </w:pPr>
      <w:r>
        <w:rPr>
          <w:rFonts w:hint="eastAsia" w:ascii="宋体" w:hAnsi="宋体"/>
          <w:color w:val="auto"/>
          <w:szCs w:val="21"/>
        </w:rPr>
        <w:t>本项目将进行资格后审，资格审查标准和内容见招标文件第三章“评审办法”，凡未通过资格后审的投标人，其投标文件将被否决。</w:t>
      </w:r>
    </w:p>
    <w:p>
      <w:pPr>
        <w:pStyle w:val="76"/>
        <w:numPr>
          <w:ilvl w:val="0"/>
          <w:numId w:val="2"/>
        </w:numPr>
        <w:adjustRightInd w:val="0"/>
        <w:snapToGrid w:val="0"/>
        <w:spacing w:line="440" w:lineRule="exact"/>
        <w:ind w:firstLineChars="0"/>
        <w:rPr>
          <w:rFonts w:ascii="宋体" w:hAnsi="宋体"/>
          <w:b/>
          <w:color w:val="auto"/>
          <w:szCs w:val="21"/>
        </w:rPr>
      </w:pPr>
      <w:r>
        <w:rPr>
          <w:rFonts w:hint="eastAsia" w:ascii="宋体" w:hAnsi="宋体"/>
          <w:b/>
          <w:color w:val="auto"/>
          <w:szCs w:val="21"/>
        </w:rPr>
        <w:t>招标文件获取</w:t>
      </w:r>
    </w:p>
    <w:p>
      <w:pPr>
        <w:pStyle w:val="76"/>
        <w:tabs>
          <w:tab w:val="left" w:pos="1440"/>
        </w:tabs>
        <w:adjustRightInd w:val="0"/>
        <w:snapToGrid w:val="0"/>
        <w:spacing w:line="440" w:lineRule="exact"/>
        <w:rPr>
          <w:rFonts w:ascii="宋体" w:hAnsi="宋体"/>
          <w:color w:val="auto"/>
          <w:szCs w:val="21"/>
        </w:rPr>
      </w:pPr>
      <w:r>
        <w:rPr>
          <w:rFonts w:ascii="宋体" w:hAnsi="宋体"/>
          <w:color w:val="auto"/>
          <w:szCs w:val="21"/>
        </w:rPr>
        <w:t>4.1获取时间：</w:t>
      </w:r>
      <w:r>
        <w:rPr>
          <w:rFonts w:hint="eastAsia" w:ascii="宋体" w:hAnsi="宋体"/>
          <w:color w:val="auto"/>
          <w:szCs w:val="21"/>
        </w:rPr>
        <w:t>凡有意参加投标人，从</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1</w:t>
      </w:r>
      <w:r>
        <w:rPr>
          <w:rFonts w:ascii="宋体" w:hAnsi="宋体"/>
          <w:color w:val="auto"/>
          <w:szCs w:val="21"/>
        </w:rPr>
        <w:t>月</w:t>
      </w:r>
      <w:r>
        <w:rPr>
          <w:rFonts w:hint="eastAsia" w:ascii="宋体" w:hAnsi="宋体"/>
          <w:color w:val="auto"/>
          <w:szCs w:val="21"/>
          <w:lang w:val="en-US" w:eastAsia="zh-CN"/>
        </w:rPr>
        <w:t>31</w:t>
      </w:r>
      <w:r>
        <w:rPr>
          <w:rFonts w:ascii="宋体" w:hAnsi="宋体"/>
          <w:color w:val="auto"/>
          <w:szCs w:val="21"/>
        </w:rPr>
        <w:t>日8时30分到202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7</w:t>
      </w:r>
      <w:r>
        <w:rPr>
          <w:rFonts w:ascii="宋体" w:hAnsi="宋体"/>
          <w:color w:val="auto"/>
          <w:szCs w:val="21"/>
        </w:rPr>
        <w:t>日17时30分</w:t>
      </w:r>
      <w:r>
        <w:rPr>
          <w:rFonts w:hint="eastAsia" w:ascii="宋体" w:hAnsi="宋体"/>
          <w:color w:val="auto"/>
          <w:szCs w:val="21"/>
        </w:rPr>
        <w:t>，通过“广东省文化公共资源服务平台</w:t>
      </w:r>
      <w:r>
        <w:rPr>
          <w:rFonts w:ascii="宋体" w:hAnsi="宋体"/>
          <w:color w:val="auto"/>
          <w:szCs w:val="21"/>
        </w:rPr>
        <w:t>-电子采购交易平台”（网址：https://whggzy.cnscee.com/）获取招标文件。</w:t>
      </w:r>
    </w:p>
    <w:p>
      <w:pPr>
        <w:pStyle w:val="76"/>
        <w:tabs>
          <w:tab w:val="left" w:pos="1440"/>
        </w:tabs>
        <w:adjustRightInd w:val="0"/>
        <w:snapToGrid w:val="0"/>
        <w:spacing w:line="440" w:lineRule="exact"/>
        <w:rPr>
          <w:rFonts w:ascii="宋体" w:hAnsi="宋体"/>
          <w:color w:val="auto"/>
          <w:szCs w:val="21"/>
        </w:rPr>
      </w:pPr>
      <w:r>
        <w:rPr>
          <w:rFonts w:ascii="宋体" w:hAnsi="宋体"/>
          <w:color w:val="auto"/>
          <w:szCs w:val="21"/>
        </w:rPr>
        <w:t>4.2</w:t>
      </w:r>
      <w:r>
        <w:rPr>
          <w:rFonts w:hint="eastAsia" w:ascii="宋体" w:hAnsi="宋体"/>
          <w:color w:val="auto"/>
          <w:szCs w:val="21"/>
        </w:rPr>
        <w:t>注册：输入网址，点击【新用户注册】。登陆账号后点击【常用文件】，下载《供应商</w:t>
      </w:r>
      <w:r>
        <w:rPr>
          <w:rFonts w:ascii="宋体" w:hAnsi="宋体"/>
          <w:color w:val="auto"/>
          <w:szCs w:val="21"/>
        </w:rPr>
        <w:t>&amp;供应商操作手册》。</w:t>
      </w:r>
    </w:p>
    <w:p>
      <w:pPr>
        <w:pStyle w:val="76"/>
        <w:tabs>
          <w:tab w:val="left" w:pos="1440"/>
        </w:tabs>
        <w:adjustRightInd w:val="0"/>
        <w:snapToGrid w:val="0"/>
        <w:spacing w:line="440" w:lineRule="exact"/>
        <w:rPr>
          <w:rFonts w:ascii="宋体" w:hAnsi="宋体"/>
          <w:color w:val="auto"/>
          <w:szCs w:val="21"/>
        </w:rPr>
      </w:pPr>
      <w:r>
        <w:rPr>
          <w:rFonts w:ascii="宋体" w:hAnsi="宋体"/>
          <w:color w:val="auto"/>
          <w:szCs w:val="21"/>
        </w:rPr>
        <w:t>4.3</w:t>
      </w:r>
      <w:r>
        <w:rPr>
          <w:rFonts w:hint="eastAsia" w:ascii="宋体" w:hAnsi="宋体"/>
          <w:color w:val="auto"/>
          <w:szCs w:val="21"/>
        </w:rPr>
        <w:t>招标文件费支付与下载：</w:t>
      </w:r>
      <w:r>
        <w:rPr>
          <w:rFonts w:ascii="宋体" w:hAnsi="宋体"/>
          <w:color w:val="auto"/>
          <w:szCs w:val="21"/>
        </w:rPr>
        <w:t xml:space="preserve"> </w:t>
      </w:r>
      <w:r>
        <w:rPr>
          <w:rFonts w:hint="eastAsia" w:ascii="宋体" w:hAnsi="宋体"/>
          <w:color w:val="auto"/>
          <w:szCs w:val="21"/>
        </w:rPr>
        <w:t>注册成功后登录平台，点击【商机发现】，检索本项目；</w:t>
      </w:r>
    </w:p>
    <w:p>
      <w:pPr>
        <w:pStyle w:val="76"/>
        <w:adjustRightInd w:val="0"/>
        <w:snapToGrid w:val="0"/>
        <w:spacing w:line="440" w:lineRule="exact"/>
        <w:ind w:left="424" w:leftChars="202" w:firstLine="0" w:firstLineChars="0"/>
        <w:rPr>
          <w:rFonts w:ascii="宋体" w:hAnsi="宋体"/>
          <w:color w:val="auto"/>
          <w:szCs w:val="21"/>
        </w:rPr>
      </w:pPr>
      <w:r>
        <w:rPr>
          <w:rFonts w:ascii="宋体" w:hAnsi="宋体"/>
          <w:color w:val="auto"/>
          <w:szCs w:val="21"/>
        </w:rPr>
        <w:t>4.4</w:t>
      </w:r>
      <w:r>
        <w:rPr>
          <w:rFonts w:hint="eastAsia" w:ascii="宋体" w:hAnsi="宋体"/>
          <w:color w:val="auto"/>
          <w:szCs w:val="21"/>
        </w:rPr>
        <w:t>招标文件费：</w:t>
      </w:r>
      <w:r>
        <w:rPr>
          <w:rFonts w:ascii="宋体" w:hAnsi="宋体"/>
          <w:color w:val="auto"/>
          <w:szCs w:val="21"/>
        </w:rPr>
        <w:t>150元人民币，支付不退。</w:t>
      </w:r>
    </w:p>
    <w:p>
      <w:pPr>
        <w:pStyle w:val="76"/>
        <w:adjustRightInd w:val="0"/>
        <w:snapToGrid w:val="0"/>
        <w:spacing w:line="440" w:lineRule="exact"/>
        <w:rPr>
          <w:rFonts w:ascii="宋体" w:hAnsi="宋体"/>
          <w:color w:val="auto"/>
          <w:szCs w:val="21"/>
        </w:rPr>
      </w:pPr>
      <w:r>
        <w:rPr>
          <w:rFonts w:hint="eastAsia" w:ascii="宋体" w:hAnsi="宋体"/>
          <w:color w:val="auto"/>
          <w:szCs w:val="21"/>
        </w:rPr>
        <w:t>支付方式：银行转账，转账完成后将汇款凭证及时上传平台，通过审核后可下载招标文件。转账账号信息如下：</w:t>
      </w:r>
    </w:p>
    <w:p>
      <w:pPr>
        <w:pStyle w:val="76"/>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公司名称：广东省南方文化产权交易所股份有限公司</w:t>
      </w:r>
    </w:p>
    <w:p>
      <w:pPr>
        <w:pStyle w:val="76"/>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银行名称：民生银行广州环市支行</w:t>
      </w:r>
    </w:p>
    <w:p>
      <w:pPr>
        <w:pStyle w:val="76"/>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银行账号：</w:t>
      </w:r>
      <w:r>
        <w:rPr>
          <w:rFonts w:ascii="宋体" w:hAnsi="宋体"/>
          <w:color w:val="auto"/>
          <w:szCs w:val="21"/>
        </w:rPr>
        <w:t>683001288</w:t>
      </w:r>
    </w:p>
    <w:p>
      <w:pPr>
        <w:pStyle w:val="76"/>
        <w:tabs>
          <w:tab w:val="left" w:pos="1440"/>
        </w:tabs>
        <w:adjustRightInd w:val="0"/>
        <w:snapToGrid w:val="0"/>
        <w:spacing w:line="440" w:lineRule="exact"/>
        <w:rPr>
          <w:rFonts w:ascii="宋体" w:hAnsi="宋体"/>
          <w:color w:val="auto"/>
          <w:szCs w:val="21"/>
        </w:rPr>
      </w:pPr>
      <w:r>
        <w:rPr>
          <w:rFonts w:ascii="宋体" w:hAnsi="宋体"/>
          <w:color w:val="auto"/>
          <w:szCs w:val="21"/>
        </w:rPr>
        <w:t>4.5疑问反馈：具体操作若有疑问，可致电客服热线：020-89524219。服务时间8:30-17:30（工作日）。</w:t>
      </w:r>
    </w:p>
    <w:p>
      <w:pPr>
        <w:pStyle w:val="76"/>
        <w:tabs>
          <w:tab w:val="left" w:pos="1440"/>
        </w:tabs>
        <w:adjustRightInd w:val="0"/>
        <w:snapToGrid w:val="0"/>
        <w:spacing w:line="440" w:lineRule="exact"/>
        <w:rPr>
          <w:rFonts w:ascii="宋体" w:hAnsi="宋体"/>
          <w:color w:val="auto"/>
          <w:szCs w:val="21"/>
        </w:rPr>
      </w:pPr>
      <w:r>
        <w:rPr>
          <w:rFonts w:ascii="宋体" w:hAnsi="宋体"/>
          <w:color w:val="auto"/>
          <w:szCs w:val="21"/>
        </w:rPr>
        <w:t>4.6免责声明：“广东省文化公共资源服务平台-电子采购交易平台”（网址：</w:t>
      </w:r>
      <w:r>
        <w:rPr>
          <w:color w:val="auto"/>
        </w:rPr>
        <w:fldChar w:fldCharType="begin"/>
      </w:r>
      <w:r>
        <w:rPr>
          <w:color w:val="auto"/>
        </w:rPr>
        <w:instrText xml:space="preserve"> HYPERLINK "https://whggzy.cnscee.com/））为本项目获取文件的唯一渠道，其他平台的获取及支付均属无效。" </w:instrText>
      </w:r>
      <w:r>
        <w:rPr>
          <w:color w:val="auto"/>
        </w:rPr>
        <w:fldChar w:fldCharType="separate"/>
      </w:r>
      <w:r>
        <w:rPr>
          <w:rFonts w:ascii="宋体" w:hAnsi="宋体"/>
          <w:color w:val="auto"/>
          <w:szCs w:val="21"/>
        </w:rPr>
        <w:t>https://whggzy.cnscee.com/））为本项目获取文件的唯一渠道，其他平台的获取及支付均属无效。</w:t>
      </w:r>
      <w:r>
        <w:rPr>
          <w:rFonts w:ascii="宋体" w:hAnsi="宋体"/>
          <w:color w:val="auto"/>
          <w:szCs w:val="21"/>
        </w:rPr>
        <w:fldChar w:fldCharType="end"/>
      </w:r>
    </w:p>
    <w:p>
      <w:pPr>
        <w:pStyle w:val="76"/>
        <w:adjustRightInd w:val="0"/>
        <w:snapToGrid w:val="0"/>
        <w:spacing w:line="440" w:lineRule="exact"/>
        <w:ind w:left="424" w:leftChars="202" w:firstLine="0" w:firstLineChars="0"/>
        <w:rPr>
          <w:rFonts w:ascii="宋体" w:hAnsi="宋体"/>
          <w:color w:val="auto"/>
          <w:szCs w:val="21"/>
        </w:rPr>
      </w:pPr>
      <w:r>
        <w:rPr>
          <w:rFonts w:ascii="宋体" w:hAnsi="宋体"/>
          <w:color w:val="auto"/>
          <w:szCs w:val="21"/>
        </w:rPr>
        <w:t>4.7审核联系人：陈女士，电话：18102224947</w:t>
      </w:r>
    </w:p>
    <w:p>
      <w:pPr>
        <w:numPr>
          <w:ilvl w:val="0"/>
          <w:numId w:val="2"/>
        </w:numPr>
        <w:spacing w:line="440" w:lineRule="exact"/>
        <w:ind w:left="0" w:firstLine="424" w:firstLineChars="201"/>
        <w:rPr>
          <w:rFonts w:ascii="宋体" w:hAnsi="宋体"/>
          <w:b/>
          <w:color w:val="auto"/>
          <w:szCs w:val="21"/>
        </w:rPr>
      </w:pPr>
      <w:r>
        <w:rPr>
          <w:rFonts w:hint="eastAsia" w:ascii="宋体" w:hAnsi="宋体"/>
          <w:b/>
          <w:color w:val="auto"/>
          <w:szCs w:val="21"/>
        </w:rPr>
        <w:t>投标文件的递交</w:t>
      </w:r>
    </w:p>
    <w:p>
      <w:pPr>
        <w:pStyle w:val="76"/>
        <w:numPr>
          <w:ilvl w:val="1"/>
          <w:numId w:val="2"/>
        </w:numPr>
        <w:adjustRightInd w:val="0"/>
        <w:snapToGrid w:val="0"/>
        <w:spacing w:line="440" w:lineRule="exact"/>
        <w:ind w:left="0" w:firstLine="424" w:firstLineChars="202"/>
        <w:rPr>
          <w:rFonts w:ascii="宋体" w:hAnsi="宋体"/>
          <w:color w:val="auto"/>
          <w:szCs w:val="21"/>
        </w:rPr>
      </w:pPr>
      <w:r>
        <w:rPr>
          <w:rFonts w:hint="eastAsia" w:ascii="宋体" w:hAnsi="宋体"/>
          <w:color w:val="auto"/>
          <w:szCs w:val="21"/>
        </w:rPr>
        <w:t>投标文件</w:t>
      </w:r>
      <w:r>
        <w:rPr>
          <w:rFonts w:hint="eastAsia" w:ascii="宋体" w:hAnsi="宋体"/>
          <w:color w:val="auto"/>
        </w:rPr>
        <w:t>递交截止时间</w:t>
      </w:r>
      <w:r>
        <w:rPr>
          <w:rFonts w:hint="eastAsia" w:ascii="宋体" w:hAnsi="宋体"/>
          <w:color w:val="auto"/>
          <w:szCs w:val="21"/>
        </w:rPr>
        <w:t>（即投标截止时间）：</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13</w:t>
      </w:r>
      <w:r>
        <w:rPr>
          <w:rFonts w:ascii="宋体" w:hAnsi="宋体"/>
          <w:color w:val="auto"/>
          <w:szCs w:val="21"/>
        </w:rPr>
        <w:t>日</w:t>
      </w:r>
      <w:r>
        <w:rPr>
          <w:rFonts w:hint="eastAsia" w:ascii="宋体" w:hAnsi="宋体"/>
          <w:color w:val="auto"/>
          <w:szCs w:val="21"/>
        </w:rPr>
        <w:t>09时</w:t>
      </w:r>
      <w:r>
        <w:rPr>
          <w:rFonts w:ascii="宋体" w:hAnsi="宋体"/>
          <w:color w:val="auto"/>
          <w:szCs w:val="21"/>
        </w:rPr>
        <w:t>30分</w:t>
      </w:r>
    </w:p>
    <w:p>
      <w:pPr>
        <w:pStyle w:val="76"/>
        <w:numPr>
          <w:ilvl w:val="1"/>
          <w:numId w:val="2"/>
        </w:numPr>
        <w:adjustRightInd w:val="0"/>
        <w:snapToGrid w:val="0"/>
        <w:spacing w:line="440" w:lineRule="exact"/>
        <w:ind w:left="0" w:firstLine="424" w:firstLineChars="202"/>
        <w:rPr>
          <w:color w:val="auto"/>
          <w:szCs w:val="21"/>
        </w:rPr>
      </w:pPr>
      <w:r>
        <w:rPr>
          <w:rFonts w:hint="eastAsia" w:ascii="宋体" w:hAnsi="宋体"/>
          <w:color w:val="auto"/>
          <w:szCs w:val="21"/>
        </w:rPr>
        <w:t>地点：广州市越秀区广州大道中</w:t>
      </w:r>
      <w:r>
        <w:rPr>
          <w:rFonts w:ascii="宋体" w:hAnsi="宋体"/>
          <w:color w:val="auto"/>
          <w:szCs w:val="21"/>
        </w:rPr>
        <w:t>289号南方报业传媒集团艺术园区生活综合楼三楼</w:t>
      </w:r>
      <w:r>
        <w:rPr>
          <w:color w:val="auto"/>
          <w:szCs w:val="21"/>
        </w:rPr>
        <w:t xml:space="preserve"> </w:t>
      </w:r>
    </w:p>
    <w:p>
      <w:pPr>
        <w:pStyle w:val="76"/>
        <w:adjustRightInd w:val="0"/>
        <w:snapToGrid w:val="0"/>
        <w:spacing w:line="440" w:lineRule="exact"/>
        <w:ind w:firstLine="426" w:firstLineChars="0"/>
        <w:jc w:val="left"/>
        <w:rPr>
          <w:color w:val="auto"/>
          <w:szCs w:val="21"/>
        </w:rPr>
      </w:pPr>
      <w:r>
        <w:rPr>
          <w:color w:val="auto"/>
          <w:szCs w:val="21"/>
        </w:rPr>
        <w:t>5.3</w:t>
      </w:r>
      <w:r>
        <w:rPr>
          <w:rFonts w:hint="eastAsia"/>
          <w:color w:val="auto"/>
          <w:szCs w:val="21"/>
        </w:rPr>
        <w:t>递交方式：</w:t>
      </w:r>
      <w:r>
        <w:rPr>
          <w:rFonts w:hint="eastAsia"/>
          <w:b/>
          <w:color w:val="auto"/>
          <w:szCs w:val="21"/>
        </w:rPr>
        <w:t>线下投标文件</w:t>
      </w:r>
    </w:p>
    <w:p>
      <w:pPr>
        <w:pStyle w:val="76"/>
        <w:adjustRightInd w:val="0"/>
        <w:snapToGrid w:val="0"/>
        <w:spacing w:line="440" w:lineRule="exact"/>
        <w:ind w:firstLine="426" w:firstLineChars="0"/>
        <w:jc w:val="left"/>
        <w:rPr>
          <w:color w:val="auto"/>
          <w:szCs w:val="21"/>
        </w:rPr>
      </w:pPr>
      <w:r>
        <w:rPr>
          <w:color w:val="auto"/>
          <w:szCs w:val="21"/>
        </w:rPr>
        <w:t>5.4</w:t>
      </w:r>
      <w:r>
        <w:rPr>
          <w:rFonts w:hint="eastAsia"/>
          <w:color w:val="auto"/>
          <w:szCs w:val="21"/>
        </w:rPr>
        <w:t>本项目将于上述同一时间、地点进行开标，逾期送达的或者未送达指定地点的投标文件，招标人不予受理。</w:t>
      </w:r>
    </w:p>
    <w:p>
      <w:pPr>
        <w:numPr>
          <w:ilvl w:val="0"/>
          <w:numId w:val="2"/>
        </w:numPr>
        <w:spacing w:line="440" w:lineRule="exact"/>
        <w:ind w:left="0" w:firstLine="424" w:firstLineChars="201"/>
        <w:rPr>
          <w:rFonts w:ascii="宋体" w:hAnsi="宋体"/>
          <w:b/>
          <w:color w:val="auto"/>
          <w:szCs w:val="21"/>
        </w:rPr>
      </w:pPr>
      <w:r>
        <w:rPr>
          <w:rFonts w:hint="eastAsia" w:ascii="宋体" w:hAnsi="宋体"/>
          <w:b/>
          <w:color w:val="auto"/>
          <w:szCs w:val="21"/>
        </w:rPr>
        <w:t>发布公告的媒介</w:t>
      </w:r>
    </w:p>
    <w:p>
      <w:pPr>
        <w:pStyle w:val="76"/>
        <w:adjustRightInd w:val="0"/>
        <w:snapToGrid w:val="0"/>
        <w:spacing w:line="440" w:lineRule="exact"/>
        <w:jc w:val="left"/>
        <w:rPr>
          <w:rFonts w:ascii="宋体" w:hAnsi="宋体"/>
          <w:color w:val="auto"/>
          <w:szCs w:val="21"/>
        </w:rPr>
      </w:pPr>
      <w:r>
        <w:rPr>
          <w:rFonts w:hint="eastAsia"/>
          <w:color w:val="auto"/>
        </w:rPr>
        <w:t>本次招标公告同时在南方日报、招标人网站（</w:t>
      </w:r>
      <w:r>
        <w:rPr>
          <w:color w:val="auto"/>
        </w:rPr>
        <w:t>http://www.southcn.com/zbtb/zbgg/node_374095.htm</w:t>
      </w:r>
      <w:r>
        <w:rPr>
          <w:rFonts w:hint="eastAsia"/>
          <w:color w:val="auto"/>
        </w:rPr>
        <w:t>）、南方文交所官网（</w:t>
      </w:r>
      <w:r>
        <w:rPr>
          <w:color w:val="auto"/>
        </w:rPr>
        <w:t>http://www.cnscee.com/</w:t>
      </w:r>
      <w:r>
        <w:rPr>
          <w:rFonts w:hint="eastAsia"/>
          <w:color w:val="auto"/>
        </w:rPr>
        <w:t>）、广东省文化公共资源服务平台（</w:t>
      </w:r>
      <w:r>
        <w:rPr>
          <w:color w:val="auto"/>
        </w:rPr>
        <w:t>https://zb.cnscee.com/</w:t>
      </w:r>
      <w:r>
        <w:rPr>
          <w:rFonts w:hint="eastAsia"/>
          <w:color w:val="auto"/>
        </w:rPr>
        <w:t>）、中国招投标公共服务平台（</w:t>
      </w:r>
      <w:r>
        <w:rPr>
          <w:color w:val="auto"/>
        </w:rPr>
        <w:t>http://www.cebpubservice.com/</w:t>
      </w:r>
      <w:r>
        <w:rPr>
          <w:rFonts w:hint="eastAsia"/>
          <w:color w:val="auto"/>
        </w:rPr>
        <w:t>）发布，其他媒体转载无效。</w:t>
      </w:r>
    </w:p>
    <w:p>
      <w:pPr>
        <w:numPr>
          <w:ilvl w:val="0"/>
          <w:numId w:val="2"/>
        </w:numPr>
        <w:spacing w:line="440" w:lineRule="exact"/>
        <w:ind w:left="0" w:firstLine="424" w:firstLineChars="201"/>
        <w:rPr>
          <w:rFonts w:ascii="宋体" w:hAnsi="宋体"/>
          <w:b/>
          <w:color w:val="auto"/>
          <w:szCs w:val="21"/>
        </w:rPr>
      </w:pPr>
      <w:r>
        <w:rPr>
          <w:rFonts w:hint="eastAsia" w:ascii="宋体" w:hAnsi="宋体"/>
          <w:b/>
          <w:color w:val="auto"/>
          <w:szCs w:val="21"/>
        </w:rPr>
        <w:t>联系方式</w:t>
      </w:r>
    </w:p>
    <w:p>
      <w:pPr>
        <w:tabs>
          <w:tab w:val="left" w:pos="360"/>
        </w:tabs>
        <w:spacing w:line="440" w:lineRule="exact"/>
        <w:ind w:firstLine="420" w:firstLineChars="200"/>
        <w:rPr>
          <w:rFonts w:ascii="宋体" w:hAnsi="宋体"/>
          <w:color w:val="auto"/>
          <w:szCs w:val="21"/>
        </w:rPr>
      </w:pPr>
      <w:r>
        <w:rPr>
          <w:rFonts w:ascii="宋体" w:hAnsi="宋体"/>
          <w:color w:val="auto"/>
          <w:szCs w:val="21"/>
        </w:rPr>
        <w:t>7.1</w:t>
      </w:r>
      <w:r>
        <w:rPr>
          <w:rFonts w:hint="eastAsia" w:ascii="宋体" w:hAnsi="宋体"/>
          <w:color w:val="auto"/>
          <w:szCs w:val="21"/>
        </w:rPr>
        <w:t>招标代理机构</w:t>
      </w:r>
      <w:r>
        <w:rPr>
          <w:rFonts w:ascii="宋体" w:hAnsi="宋体"/>
          <w:color w:val="auto"/>
          <w:szCs w:val="21"/>
        </w:rPr>
        <w:t xml:space="preserve"> </w:t>
      </w:r>
      <w:r>
        <w:rPr>
          <w:rFonts w:hint="eastAsia" w:ascii="宋体" w:hAnsi="宋体"/>
          <w:color w:val="auto"/>
          <w:szCs w:val="21"/>
        </w:rPr>
        <w:t>：广东省南方文化产权交易所股份有限公司</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地址：广州越秀区广州大道中</w:t>
      </w:r>
      <w:r>
        <w:rPr>
          <w:rFonts w:ascii="宋体" w:hAnsi="宋体"/>
          <w:color w:val="auto"/>
          <w:szCs w:val="21"/>
        </w:rPr>
        <w:t>289号南方报业传媒集团艺术园区生活综合楼三楼</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邮编：</w:t>
      </w:r>
      <w:r>
        <w:rPr>
          <w:rFonts w:ascii="宋体" w:hAnsi="宋体"/>
          <w:color w:val="auto"/>
          <w:szCs w:val="21"/>
        </w:rPr>
        <w:t>510601</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联系人：张先生、陈女士</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电话：</w:t>
      </w:r>
      <w:r>
        <w:rPr>
          <w:rFonts w:ascii="宋体" w:hAnsi="宋体"/>
          <w:color w:val="auto"/>
          <w:szCs w:val="21"/>
        </w:rPr>
        <w:t>13500226498、18102224947（审核电话）</w:t>
      </w:r>
    </w:p>
    <w:p>
      <w:pPr>
        <w:tabs>
          <w:tab w:val="left" w:pos="360"/>
        </w:tabs>
        <w:spacing w:line="440" w:lineRule="exact"/>
        <w:ind w:firstLine="420" w:firstLineChars="200"/>
        <w:rPr>
          <w:rFonts w:ascii="宋体" w:hAnsi="宋体"/>
          <w:color w:val="auto"/>
          <w:szCs w:val="21"/>
        </w:rPr>
      </w:pPr>
      <w:r>
        <w:rPr>
          <w:rFonts w:ascii="宋体" w:hAnsi="宋体"/>
          <w:color w:val="auto"/>
          <w:szCs w:val="21"/>
        </w:rPr>
        <w:t>电子邮箱：13500226498@139.com</w:t>
      </w:r>
    </w:p>
    <w:p>
      <w:pPr>
        <w:spacing w:line="420" w:lineRule="exact"/>
        <w:ind w:firstLine="411" w:firstLineChars="196"/>
        <w:rPr>
          <w:rFonts w:hint="eastAsia" w:ascii="宋体" w:hAnsi="宋体" w:eastAsia="宋体"/>
          <w:color w:val="auto"/>
          <w:szCs w:val="21"/>
          <w:lang w:eastAsia="zh-CN"/>
        </w:rPr>
      </w:pPr>
      <w:r>
        <w:rPr>
          <w:rFonts w:ascii="宋体" w:hAnsi="宋体"/>
          <w:color w:val="auto"/>
          <w:szCs w:val="21"/>
        </w:rPr>
        <w:t>7.2</w:t>
      </w:r>
      <w:r>
        <w:rPr>
          <w:rFonts w:hint="eastAsia" w:ascii="宋体" w:hAnsi="宋体"/>
          <w:color w:val="auto"/>
          <w:szCs w:val="21"/>
        </w:rPr>
        <w:t>招标人：</w:t>
      </w:r>
      <w:r>
        <w:rPr>
          <w:rFonts w:hint="eastAsia" w:ascii="宋体" w:hAnsi="宋体"/>
          <w:color w:val="auto"/>
          <w:szCs w:val="21"/>
          <w:lang w:eastAsia="zh-CN"/>
        </w:rPr>
        <w:t>广东南都娱乐传媒股份有限公司</w:t>
      </w:r>
    </w:p>
    <w:p>
      <w:pPr>
        <w:spacing w:line="420" w:lineRule="exact"/>
        <w:ind w:firstLine="420" w:firstLineChars="200"/>
        <w:rPr>
          <w:rFonts w:ascii="宋体" w:hAnsi="宋体"/>
          <w:color w:val="auto"/>
          <w:szCs w:val="21"/>
        </w:rPr>
      </w:pPr>
      <w:r>
        <w:rPr>
          <w:rFonts w:hint="eastAsia" w:ascii="宋体" w:hAnsi="宋体"/>
          <w:color w:val="auto"/>
          <w:szCs w:val="21"/>
        </w:rPr>
        <w:t>招标人地址：广州市越秀区广州大道中289号</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联系人：梁小姐</w:t>
      </w:r>
    </w:p>
    <w:p>
      <w:pPr>
        <w:tabs>
          <w:tab w:val="left" w:pos="360"/>
        </w:tabs>
        <w:spacing w:line="44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联系电话：</w:t>
      </w:r>
      <w:r>
        <w:rPr>
          <w:rFonts w:hint="eastAsia"/>
          <w:lang w:val="en-US" w:eastAsia="zh-CN"/>
        </w:rPr>
        <w:t>020-87366575</w:t>
      </w:r>
    </w:p>
    <w:p>
      <w:pPr>
        <w:tabs>
          <w:tab w:val="left" w:pos="360"/>
        </w:tabs>
        <w:spacing w:line="440" w:lineRule="exact"/>
        <w:ind w:firstLine="420" w:firstLineChars="200"/>
        <w:rPr>
          <w:rFonts w:ascii="宋体" w:hAnsi="宋体"/>
          <w:color w:val="auto"/>
          <w:szCs w:val="21"/>
        </w:rPr>
      </w:pPr>
    </w:p>
    <w:p>
      <w:pPr>
        <w:pStyle w:val="76"/>
        <w:spacing w:line="400" w:lineRule="exact"/>
        <w:ind w:left="425" w:right="84" w:firstLine="2692" w:firstLineChars="1282"/>
        <w:jc w:val="right"/>
        <w:rPr>
          <w:rFonts w:hint="eastAsia" w:ascii="宋体" w:hAnsi="宋体" w:eastAsia="宋体"/>
          <w:color w:val="auto"/>
          <w:lang w:eastAsia="zh-CN"/>
        </w:rPr>
      </w:pPr>
      <w:r>
        <w:rPr>
          <w:rFonts w:hint="eastAsia" w:ascii="宋体" w:hAnsi="宋体"/>
          <w:color w:val="auto"/>
        </w:rPr>
        <w:t>招标人：</w:t>
      </w:r>
      <w:r>
        <w:rPr>
          <w:rFonts w:hint="eastAsia" w:ascii="宋体" w:hAnsi="宋体"/>
          <w:color w:val="auto"/>
          <w:szCs w:val="21"/>
          <w:u w:val="single"/>
          <w:lang w:eastAsia="zh-CN"/>
        </w:rPr>
        <w:t>广东南都娱乐传媒股份有限公司</w:t>
      </w:r>
    </w:p>
    <w:p>
      <w:pPr>
        <w:pStyle w:val="76"/>
        <w:spacing w:line="360" w:lineRule="auto"/>
        <w:ind w:left="425" w:right="84" w:firstLine="0" w:firstLineChars="0"/>
        <w:jc w:val="right"/>
        <w:rPr>
          <w:rFonts w:ascii="宋体" w:hAnsi="宋体"/>
          <w:color w:val="auto"/>
          <w:szCs w:val="21"/>
        </w:rPr>
      </w:pPr>
      <w:r>
        <w:rPr>
          <w:rFonts w:hint="eastAsia" w:ascii="宋体" w:hAnsi="宋体"/>
          <w:color w:val="auto"/>
          <w:szCs w:val="21"/>
        </w:rPr>
        <w:t>招标代理机构：</w:t>
      </w:r>
      <w:r>
        <w:rPr>
          <w:rFonts w:hint="eastAsia" w:ascii="宋体" w:hAnsi="宋体"/>
          <w:color w:val="auto"/>
          <w:szCs w:val="21"/>
          <w:u w:val="single"/>
        </w:rPr>
        <w:t>广东省南方文化产权交易所股份有限公司</w:t>
      </w:r>
    </w:p>
    <w:p>
      <w:pPr>
        <w:pStyle w:val="76"/>
        <w:spacing w:line="400" w:lineRule="exact"/>
        <w:ind w:firstLine="3920" w:firstLineChars="1867"/>
        <w:jc w:val="right"/>
        <w:rPr>
          <w:rFonts w:ascii="宋体" w:hAnsi="宋体"/>
          <w:color w:val="auto"/>
          <w:szCs w:val="21"/>
        </w:rPr>
      </w:pP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1</w:t>
      </w:r>
      <w:r>
        <w:rPr>
          <w:rFonts w:ascii="宋体" w:hAnsi="宋体"/>
          <w:color w:val="auto"/>
          <w:szCs w:val="21"/>
        </w:rPr>
        <w:t>月</w:t>
      </w:r>
      <w:r>
        <w:rPr>
          <w:rFonts w:hint="eastAsia" w:ascii="宋体" w:hAnsi="宋体"/>
          <w:color w:val="auto"/>
          <w:szCs w:val="21"/>
          <w:lang w:val="en-US" w:eastAsia="zh-CN"/>
        </w:rPr>
        <w:t>31</w:t>
      </w:r>
      <w:r>
        <w:rPr>
          <w:rFonts w:ascii="宋体" w:hAnsi="宋体"/>
          <w:color w:val="auto"/>
          <w:szCs w:val="21"/>
        </w:rPr>
        <w:t>日</w:t>
      </w:r>
    </w:p>
    <w:p>
      <w:pPr>
        <w:pStyle w:val="76"/>
        <w:spacing w:line="400" w:lineRule="exact"/>
        <w:ind w:left="425" w:firstLine="5040" w:firstLineChars="2400"/>
        <w:rPr>
          <w:rFonts w:ascii="宋体" w:hAnsi="宋体"/>
          <w:color w:val="auto"/>
          <w:szCs w:val="21"/>
        </w:rPr>
        <w:sectPr>
          <w:footerReference r:id="rId4" w:type="default"/>
          <w:pgSz w:w="11906" w:h="16838"/>
          <w:pgMar w:top="1440" w:right="1800" w:bottom="1440" w:left="1800" w:header="851" w:footer="992" w:gutter="0"/>
          <w:pgNumType w:start="1"/>
          <w:cols w:space="425" w:num="1"/>
          <w:docGrid w:type="lines" w:linePitch="312" w:charSpace="0"/>
        </w:sectPr>
      </w:pPr>
      <w:bookmarkStart w:id="15" w:name="_Toc447265214"/>
      <w:bookmarkStart w:id="16" w:name="_Toc447265500"/>
      <w:bookmarkStart w:id="17" w:name="_Toc447188665"/>
    </w:p>
    <w:p>
      <w:pPr>
        <w:pStyle w:val="75"/>
        <w:spacing w:before="240" w:after="120"/>
        <w:rPr>
          <w:rFonts w:ascii="宋体" w:hAnsi="宋体" w:eastAsia="宋体" w:cs="宋体"/>
          <w:b/>
          <w:color w:val="auto"/>
          <w:sz w:val="28"/>
          <w:szCs w:val="28"/>
        </w:rPr>
      </w:pPr>
      <w:bookmarkStart w:id="18" w:name="_Toc10059"/>
      <w:bookmarkStart w:id="19" w:name="_Toc56432211"/>
      <w:bookmarkStart w:id="20" w:name="_Toc31813"/>
      <w:bookmarkStart w:id="21" w:name="_Toc3672"/>
      <w:r>
        <w:rPr>
          <w:rFonts w:hint="eastAsia" w:ascii="宋体" w:hAnsi="宋体" w:eastAsia="宋体" w:cs="宋体"/>
          <w:b/>
          <w:bCs w:val="0"/>
          <w:color w:val="auto"/>
          <w:kern w:val="0"/>
          <w:sz w:val="28"/>
          <w:szCs w:val="28"/>
        </w:rPr>
        <w:t>第二章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投标人须知</w:t>
      </w:r>
      <w:bookmarkEnd w:id="15"/>
      <w:bookmarkEnd w:id="16"/>
      <w:bookmarkEnd w:id="17"/>
      <w:bookmarkEnd w:id="18"/>
      <w:bookmarkEnd w:id="19"/>
      <w:bookmarkEnd w:id="20"/>
      <w:bookmarkEnd w:id="21"/>
    </w:p>
    <w:p>
      <w:pPr>
        <w:pStyle w:val="5"/>
        <w:snapToGrid w:val="0"/>
        <w:spacing w:before="240" w:after="120" w:line="240" w:lineRule="auto"/>
        <w:jc w:val="center"/>
        <w:rPr>
          <w:rFonts w:ascii="宋体" w:hAnsi="宋体" w:eastAsia="宋体" w:cs="宋体"/>
          <w:color w:val="auto"/>
          <w:sz w:val="24"/>
          <w:szCs w:val="24"/>
        </w:rPr>
      </w:pPr>
      <w:bookmarkStart w:id="22" w:name="_Toc56432212"/>
      <w:bookmarkStart w:id="23" w:name="_Toc226969277"/>
      <w:bookmarkStart w:id="24" w:name="_Toc447188666"/>
      <w:bookmarkStart w:id="25" w:name="_Toc227057884"/>
      <w:bookmarkStart w:id="26" w:name="_Toc15274"/>
      <w:bookmarkStart w:id="27" w:name="_Toc447265215"/>
      <w:bookmarkStart w:id="28" w:name="_Toc447265501"/>
      <w:bookmarkStart w:id="29" w:name="_Toc21549"/>
      <w:bookmarkStart w:id="30" w:name="_Toc28624"/>
      <w:r>
        <w:rPr>
          <w:rFonts w:hint="eastAsia" w:ascii="宋体" w:hAnsi="宋体" w:eastAsia="宋体" w:cs="宋体"/>
          <w:bCs w:val="0"/>
          <w:color w:val="auto"/>
          <w:sz w:val="24"/>
          <w:szCs w:val="24"/>
        </w:rPr>
        <w:t>投标人须知前附表</w:t>
      </w:r>
      <w:bookmarkEnd w:id="22"/>
      <w:bookmarkEnd w:id="23"/>
      <w:bookmarkEnd w:id="24"/>
      <w:bookmarkEnd w:id="25"/>
      <w:bookmarkEnd w:id="26"/>
      <w:bookmarkEnd w:id="27"/>
      <w:bookmarkEnd w:id="28"/>
      <w:bookmarkEnd w:id="29"/>
      <w:bookmarkEnd w:id="30"/>
    </w:p>
    <w:p>
      <w:pPr>
        <w:autoSpaceDE w:val="0"/>
        <w:autoSpaceDN w:val="0"/>
        <w:ind w:firstLine="420" w:firstLineChars="200"/>
        <w:rPr>
          <w:rFonts w:ascii="宋体" w:hAnsi="宋体" w:cs="宋体"/>
          <w:color w:val="auto"/>
        </w:rPr>
      </w:pPr>
      <w:r>
        <w:rPr>
          <w:rFonts w:hint="eastAsia" w:ascii="宋体" w:hAnsi="宋体" w:cs="宋体"/>
          <w:color w:val="auto"/>
          <w:szCs w:val="21"/>
        </w:rPr>
        <w:t>本投标人须知前附表是对投标人须知正文的具体补充和修改，如有矛盾，以本前附表为准。</w:t>
      </w:r>
    </w:p>
    <w:tbl>
      <w:tblPr>
        <w:tblStyle w:val="40"/>
        <w:tblW w:w="830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0"/>
        <w:gridCol w:w="1666"/>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blHeader/>
        </w:trPr>
        <w:tc>
          <w:tcPr>
            <w:tcW w:w="840"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条款号</w:t>
            </w:r>
          </w:p>
        </w:tc>
        <w:tc>
          <w:tcPr>
            <w:tcW w:w="1666"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条款名称</w:t>
            </w:r>
          </w:p>
        </w:tc>
        <w:tc>
          <w:tcPr>
            <w:tcW w:w="5795"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招标人</w:t>
            </w:r>
          </w:p>
        </w:tc>
        <w:tc>
          <w:tcPr>
            <w:tcW w:w="5795" w:type="dxa"/>
            <w:shd w:val="clear" w:color="auto" w:fill="auto"/>
            <w:vAlign w:val="center"/>
          </w:tcPr>
          <w:p>
            <w:pPr>
              <w:autoSpaceDE w:val="0"/>
              <w:autoSpaceDN w:val="0"/>
              <w:rPr>
                <w:rFonts w:hint="eastAsia" w:ascii="宋体" w:hAnsi="宋体" w:eastAsia="宋体" w:cs="宋体"/>
                <w:color w:val="auto"/>
                <w:szCs w:val="21"/>
                <w:lang w:eastAsia="zh-CN"/>
              </w:rPr>
            </w:pPr>
            <w:r>
              <w:rPr>
                <w:rFonts w:hint="eastAsia" w:ascii="宋体" w:hAnsi="宋体" w:cs="宋体"/>
                <w:color w:val="auto"/>
                <w:szCs w:val="21"/>
              </w:rPr>
              <w:t>招标人名称：</w:t>
            </w:r>
            <w:r>
              <w:rPr>
                <w:rFonts w:hint="eastAsia" w:ascii="宋体" w:hAnsi="宋体"/>
                <w:color w:val="auto"/>
                <w:szCs w:val="21"/>
                <w:lang w:eastAsia="zh-CN"/>
              </w:rPr>
              <w:t>广东南都娱乐传媒股份有限公司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招标项目名称</w:t>
            </w:r>
          </w:p>
        </w:tc>
        <w:tc>
          <w:tcPr>
            <w:tcW w:w="5795" w:type="dxa"/>
            <w:shd w:val="clear" w:color="auto" w:fill="auto"/>
            <w:vAlign w:val="center"/>
          </w:tcPr>
          <w:p>
            <w:pPr>
              <w:autoSpaceDE w:val="0"/>
              <w:autoSpaceDN w:val="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广东南都娱乐企业文化综合服务项目</w:t>
            </w:r>
          </w:p>
          <w:p>
            <w:pPr>
              <w:autoSpaceDE w:val="0"/>
              <w:autoSpaceDN w:val="0"/>
              <w:rPr>
                <w:rFonts w:ascii="宋体" w:hAnsi="宋体" w:cs="宋体"/>
                <w:color w:val="auto"/>
                <w:szCs w:val="21"/>
              </w:rPr>
            </w:pPr>
            <w:r>
              <w:rPr>
                <w:rFonts w:hint="eastAsia" w:ascii="宋体" w:hAnsi="宋体" w:cs="宋体"/>
                <w:color w:val="auto"/>
                <w:szCs w:val="21"/>
              </w:rPr>
              <w:t>招标代理编号：</w:t>
            </w:r>
            <w:r>
              <w:rPr>
                <w:rFonts w:hint="eastAsia" w:ascii="宋体" w:hAnsi="宋体" w:cs="宋体"/>
                <w:color w:val="auto"/>
                <w:szCs w:val="21"/>
                <w:lang w:eastAsia="zh-CN"/>
              </w:rPr>
              <w:t>WJS-202301130002</w:t>
            </w:r>
            <w:r>
              <w:rPr>
                <w:rFonts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资金来源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■招标人自筹</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使用财政资金</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银行贷款</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国家融资</w:t>
            </w:r>
          </w:p>
          <w:p>
            <w:pPr>
              <w:autoSpaceDE w:val="0"/>
              <w:autoSpaceDN w:val="0"/>
              <w:rPr>
                <w:rFonts w:ascii="宋体" w:hAnsi="宋体" w:cs="宋体"/>
                <w:color w:val="auto"/>
                <w:szCs w:val="21"/>
                <w:u w:val="single"/>
              </w:rPr>
            </w:pPr>
            <w:r>
              <w:rPr>
                <w:rFonts w:hint="eastAsia" w:ascii="宋体" w:hAnsi="宋体" w:cs="宋体"/>
                <w:color w:val="auto"/>
                <w:szCs w:val="21"/>
              </w:rPr>
              <w:t>□其他：</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采购范围</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olor w:val="auto"/>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采购包划分</w:t>
            </w:r>
          </w:p>
        </w:tc>
        <w:tc>
          <w:tcPr>
            <w:tcW w:w="5795"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■不划分采购包</w:t>
            </w:r>
          </w:p>
          <w:p>
            <w:pPr>
              <w:autoSpaceDE w:val="0"/>
              <w:autoSpaceDN w:val="0"/>
              <w:rPr>
                <w:rFonts w:ascii="宋体" w:hAnsi="宋体" w:cs="宋体"/>
                <w:color w:val="auto"/>
                <w:szCs w:val="21"/>
              </w:rPr>
            </w:pPr>
            <w:r>
              <w:rPr>
                <w:rFonts w:hint="eastAsia" w:ascii="宋体" w:hAnsi="宋体" w:cs="宋体"/>
                <w:color w:val="auto"/>
                <w:szCs w:val="21"/>
              </w:rPr>
              <w:t>□划分</w:t>
            </w:r>
            <w:r>
              <w:rPr>
                <w:rFonts w:hint="eastAsia" w:ascii="宋体" w:hAnsi="宋体"/>
                <w:color w:val="auto"/>
              </w:rPr>
              <w:t>采购包（采购包划分情况详见</w:t>
            </w:r>
            <w:r>
              <w:rPr>
                <w:rFonts w:hint="eastAsia" w:ascii="宋体" w:hAnsi="宋体"/>
                <w:color w:val="auto"/>
                <w:szCs w:val="21"/>
              </w:rPr>
              <w:t>第一章招标公告</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■公开招标</w:t>
            </w:r>
          </w:p>
          <w:p>
            <w:pPr>
              <w:autoSpaceDE w:val="0"/>
              <w:autoSpaceDN w:val="0"/>
              <w:rPr>
                <w:rFonts w:ascii="宋体" w:hAnsi="宋体" w:cs="宋体"/>
                <w:color w:val="auto"/>
                <w:szCs w:val="21"/>
              </w:rPr>
            </w:pPr>
            <w:r>
              <w:rPr>
                <w:rFonts w:hint="eastAsia" w:ascii="宋体" w:hAnsi="宋体" w:cs="宋体"/>
                <w:color w:val="auto"/>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招标组织形式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□自行招标采购</w:t>
            </w:r>
          </w:p>
          <w:p>
            <w:pPr>
              <w:autoSpaceDE w:val="0"/>
              <w:autoSpaceDN w:val="0"/>
              <w:rPr>
                <w:rFonts w:ascii="宋体" w:hAnsi="宋体" w:cs="宋体"/>
                <w:color w:val="auto"/>
                <w:szCs w:val="21"/>
              </w:rPr>
            </w:pPr>
            <w:r>
              <w:rPr>
                <w:rFonts w:hint="eastAsia" w:ascii="宋体" w:hAnsi="宋体" w:cs="宋体"/>
                <w:color w:val="auto"/>
                <w:szCs w:val="21"/>
              </w:rPr>
              <w:t>■委托招标代理机构代理</w:t>
            </w:r>
          </w:p>
          <w:p>
            <w:pPr>
              <w:autoSpaceDE w:val="0"/>
              <w:autoSpaceDN w:val="0"/>
              <w:rPr>
                <w:rFonts w:ascii="宋体" w:hAnsi="宋体" w:cs="宋体"/>
                <w:color w:val="auto"/>
                <w:szCs w:val="21"/>
              </w:rPr>
            </w:pPr>
            <w:r>
              <w:rPr>
                <w:rFonts w:hint="eastAsia" w:ascii="宋体" w:hAnsi="宋体" w:cs="宋体"/>
                <w:color w:val="auto"/>
                <w:szCs w:val="21"/>
              </w:rPr>
              <w:t>招标代理机构名称：</w:t>
            </w:r>
            <w:r>
              <w:rPr>
                <w:rFonts w:hint="eastAsia" w:ascii="宋体" w:hAnsi="宋体"/>
                <w:color w:val="auto"/>
                <w:szCs w:val="21"/>
              </w:rPr>
              <w:t>广东省南方文化产权交易所股份有限公司</w:t>
            </w:r>
          </w:p>
          <w:p>
            <w:pPr>
              <w:autoSpaceDE w:val="0"/>
              <w:autoSpaceDN w:val="0"/>
              <w:rPr>
                <w:rFonts w:ascii="宋体" w:hAnsi="宋体" w:cs="宋体"/>
                <w:color w:val="auto"/>
                <w:szCs w:val="21"/>
              </w:rPr>
            </w:pPr>
            <w:r>
              <w:rPr>
                <w:rFonts w:hint="eastAsia" w:ascii="宋体" w:hAnsi="宋体" w:cs="宋体"/>
                <w:color w:val="auto"/>
                <w:szCs w:val="21"/>
              </w:rPr>
              <w:t>联系人：张先生</w:t>
            </w:r>
          </w:p>
          <w:p>
            <w:pPr>
              <w:autoSpaceDE w:val="0"/>
              <w:autoSpaceDN w:val="0"/>
              <w:rPr>
                <w:rFonts w:ascii="宋体" w:hAnsi="宋体" w:cs="宋体"/>
                <w:color w:val="auto"/>
                <w:szCs w:val="21"/>
              </w:rPr>
            </w:pPr>
            <w:r>
              <w:rPr>
                <w:rFonts w:hint="eastAsia" w:ascii="宋体" w:hAnsi="宋体" w:cs="宋体"/>
                <w:color w:val="auto"/>
                <w:szCs w:val="21"/>
              </w:rPr>
              <w:t>电话：</w:t>
            </w:r>
            <w:r>
              <w:rPr>
                <w:rFonts w:ascii="宋体" w:hAnsi="宋体" w:cs="宋体"/>
                <w:color w:val="auto"/>
                <w:szCs w:val="21"/>
              </w:rPr>
              <w:t>13500226498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1.7</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资格审查方式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□资格预审，本项目已完成资格预审。</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资格后审</w:t>
            </w:r>
            <w:r>
              <w:rPr>
                <w:rFonts w:hint="eastAsia" w:ascii="宋体" w:hAnsi="宋体" w:cs="宋体"/>
                <w:color w:val="auto"/>
                <w:szCs w:val="21"/>
              </w:rPr>
              <w:t>，资格条件详见第一章招标公告“</w:t>
            </w:r>
            <w:r>
              <w:rPr>
                <w:rFonts w:ascii="宋体" w:hAnsi="宋体" w:cs="宋体"/>
                <w:color w:val="auto"/>
                <w:szCs w:val="21"/>
              </w:rPr>
              <w:t>2.投标人资格要求”。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1.8.1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投标人不得存在的情形</w:t>
            </w:r>
          </w:p>
        </w:tc>
        <w:tc>
          <w:tcPr>
            <w:tcW w:w="5795" w:type="dxa"/>
            <w:shd w:val="clear" w:color="auto" w:fill="auto"/>
            <w:vAlign w:val="center"/>
          </w:tcPr>
          <w:p>
            <w:pPr>
              <w:tabs>
                <w:tab w:val="left" w:pos="585"/>
              </w:tabs>
              <w:spacing w:line="440" w:lineRule="exact"/>
              <w:ind w:left="18"/>
              <w:rPr>
                <w:rFonts w:ascii="宋体" w:hAnsi="宋体"/>
                <w:color w:val="auto"/>
                <w:szCs w:val="21"/>
              </w:rPr>
            </w:pPr>
            <w:r>
              <w:rPr>
                <w:rFonts w:hint="eastAsia" w:ascii="宋体" w:hAnsi="宋体" w:cs="宋体"/>
                <w:color w:val="auto"/>
                <w:szCs w:val="21"/>
              </w:rPr>
              <w:t>本条款增加以下规定：</w:t>
            </w:r>
            <w:r>
              <w:rPr>
                <w:rFonts w:ascii="宋体" w:hAnsi="宋体" w:cs="宋体"/>
                <w:color w:val="auto"/>
                <w:szCs w:val="21"/>
              </w:rPr>
              <w:t>/</w:t>
            </w:r>
          </w:p>
          <w:p>
            <w:pPr>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招标文件的组成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本条款替换为：</w:t>
            </w:r>
          </w:p>
          <w:p>
            <w:pPr>
              <w:autoSpaceDE w:val="0"/>
              <w:autoSpaceDN w:val="0"/>
              <w:rPr>
                <w:rFonts w:ascii="宋体" w:hAnsi="宋体" w:cs="宋体"/>
                <w:color w:val="auto"/>
                <w:szCs w:val="21"/>
              </w:rPr>
            </w:pPr>
            <w:r>
              <w:rPr>
                <w:rFonts w:hint="eastAsia" w:ascii="宋体" w:hAnsi="宋体" w:cs="宋体"/>
                <w:color w:val="auto"/>
                <w:szCs w:val="21"/>
              </w:rPr>
              <w:t>第一章</w:t>
            </w:r>
            <w:r>
              <w:rPr>
                <w:rFonts w:ascii="宋体" w:hAnsi="宋体" w:cs="宋体"/>
                <w:color w:val="auto"/>
                <w:szCs w:val="21"/>
              </w:rPr>
              <w:t xml:space="preserve"> </w:t>
            </w:r>
            <w:r>
              <w:rPr>
                <w:rFonts w:hint="eastAsia" w:ascii="宋体" w:hAnsi="宋体" w:cs="宋体"/>
                <w:color w:val="auto"/>
                <w:szCs w:val="21"/>
              </w:rPr>
              <w:t>招标公告</w:t>
            </w:r>
          </w:p>
          <w:p>
            <w:pPr>
              <w:autoSpaceDE w:val="0"/>
              <w:autoSpaceDN w:val="0"/>
              <w:rPr>
                <w:rFonts w:ascii="宋体" w:hAnsi="宋体" w:cs="宋体"/>
                <w:color w:val="auto"/>
                <w:szCs w:val="21"/>
              </w:rPr>
            </w:pPr>
            <w:r>
              <w:rPr>
                <w:rFonts w:hint="eastAsia" w:ascii="宋体" w:hAnsi="宋体" w:cs="宋体"/>
                <w:color w:val="auto"/>
                <w:szCs w:val="21"/>
              </w:rPr>
              <w:t>第二章</w:t>
            </w:r>
            <w:r>
              <w:rPr>
                <w:rFonts w:ascii="宋体" w:hAnsi="宋体" w:cs="宋体"/>
                <w:color w:val="auto"/>
                <w:szCs w:val="21"/>
              </w:rPr>
              <w:t xml:space="preserve"> </w:t>
            </w:r>
            <w:r>
              <w:rPr>
                <w:rFonts w:hint="eastAsia" w:ascii="宋体" w:hAnsi="宋体" w:cs="宋体"/>
                <w:color w:val="auto"/>
                <w:szCs w:val="21"/>
              </w:rPr>
              <w:t>投标人须知</w:t>
            </w:r>
          </w:p>
          <w:p>
            <w:pPr>
              <w:autoSpaceDE w:val="0"/>
              <w:autoSpaceDN w:val="0"/>
              <w:rPr>
                <w:rFonts w:ascii="宋体" w:hAnsi="宋体" w:cs="宋体"/>
                <w:color w:val="auto"/>
                <w:szCs w:val="21"/>
              </w:rPr>
            </w:pPr>
            <w:r>
              <w:rPr>
                <w:rFonts w:hint="eastAsia" w:ascii="宋体" w:hAnsi="宋体" w:cs="宋体"/>
                <w:color w:val="auto"/>
                <w:szCs w:val="21"/>
              </w:rPr>
              <w:t>第三章</w:t>
            </w:r>
            <w:r>
              <w:rPr>
                <w:rFonts w:ascii="宋体" w:hAnsi="宋体" w:cs="宋体"/>
                <w:color w:val="auto"/>
                <w:szCs w:val="21"/>
              </w:rPr>
              <w:t xml:space="preserve"> </w:t>
            </w:r>
            <w:r>
              <w:rPr>
                <w:rFonts w:hint="eastAsia" w:ascii="宋体" w:hAnsi="宋体" w:cs="宋体"/>
                <w:color w:val="auto"/>
                <w:szCs w:val="21"/>
              </w:rPr>
              <w:t>评审办法</w:t>
            </w:r>
          </w:p>
          <w:p>
            <w:pPr>
              <w:autoSpaceDE w:val="0"/>
              <w:autoSpaceDN w:val="0"/>
              <w:rPr>
                <w:rFonts w:ascii="宋体" w:hAnsi="宋体" w:cs="宋体"/>
                <w:color w:val="auto"/>
                <w:szCs w:val="21"/>
              </w:rPr>
            </w:pPr>
            <w:r>
              <w:rPr>
                <w:rFonts w:hint="eastAsia" w:ascii="宋体" w:hAnsi="宋体" w:cs="宋体"/>
                <w:color w:val="auto"/>
                <w:szCs w:val="21"/>
              </w:rPr>
              <w:t>第四章</w:t>
            </w:r>
            <w:r>
              <w:rPr>
                <w:rFonts w:ascii="宋体" w:hAnsi="宋体" w:cs="宋体"/>
                <w:color w:val="auto"/>
                <w:szCs w:val="21"/>
              </w:rPr>
              <w:t xml:space="preserve"> </w:t>
            </w:r>
            <w:r>
              <w:rPr>
                <w:rFonts w:hint="eastAsia" w:ascii="宋体" w:hAnsi="宋体" w:cs="宋体"/>
                <w:color w:val="auto"/>
                <w:szCs w:val="21"/>
              </w:rPr>
              <w:t>商务合同</w:t>
            </w:r>
          </w:p>
          <w:p>
            <w:pPr>
              <w:autoSpaceDE w:val="0"/>
              <w:autoSpaceDN w:val="0"/>
              <w:rPr>
                <w:rFonts w:ascii="宋体" w:hAnsi="宋体" w:cs="宋体"/>
                <w:color w:val="auto"/>
                <w:szCs w:val="21"/>
              </w:rPr>
            </w:pPr>
            <w:r>
              <w:rPr>
                <w:rFonts w:hint="eastAsia" w:ascii="宋体" w:hAnsi="宋体" w:cs="宋体"/>
                <w:color w:val="auto"/>
                <w:szCs w:val="21"/>
              </w:rPr>
              <w:t>第五章</w:t>
            </w:r>
            <w:r>
              <w:rPr>
                <w:rFonts w:ascii="宋体" w:hAnsi="宋体" w:cs="宋体"/>
                <w:color w:val="auto"/>
                <w:szCs w:val="21"/>
              </w:rPr>
              <w:t xml:space="preserve"> </w:t>
            </w:r>
            <w:r>
              <w:rPr>
                <w:rFonts w:hint="eastAsia" w:ascii="宋体" w:hAnsi="宋体" w:cs="宋体"/>
                <w:color w:val="auto"/>
                <w:szCs w:val="21"/>
              </w:rPr>
              <w:t>采购需求书</w:t>
            </w:r>
          </w:p>
          <w:p>
            <w:pPr>
              <w:autoSpaceDE w:val="0"/>
              <w:autoSpaceDN w:val="0"/>
              <w:rPr>
                <w:rFonts w:ascii="宋体" w:hAnsi="宋体" w:cs="宋体"/>
                <w:color w:val="auto"/>
                <w:szCs w:val="21"/>
              </w:rPr>
            </w:pPr>
            <w:r>
              <w:rPr>
                <w:rFonts w:hint="eastAsia" w:ascii="宋体" w:hAnsi="宋体" w:cs="宋体"/>
                <w:color w:val="auto"/>
                <w:szCs w:val="21"/>
              </w:rPr>
              <w:t>第六章</w:t>
            </w:r>
            <w:r>
              <w:rPr>
                <w:rFonts w:ascii="宋体" w:hAnsi="宋体" w:cs="宋体"/>
                <w:color w:val="auto"/>
                <w:szCs w:val="21"/>
              </w:rPr>
              <w:t xml:space="preserve"> </w:t>
            </w:r>
            <w:r>
              <w:rPr>
                <w:rFonts w:hint="eastAsia" w:ascii="宋体" w:hAnsi="宋体" w:cs="宋体"/>
                <w:color w:val="auto"/>
                <w:szCs w:val="21"/>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招标文件实质性要求的标识及非实质性要求的偏离要求</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1）招标文件中标识“</w:t>
            </w:r>
            <w:r>
              <w:rPr>
                <w:rFonts w:hint="eastAsia" w:ascii="宋体" w:hAnsi="宋体"/>
                <w:color w:val="auto"/>
                <w:szCs w:val="21"/>
              </w:rPr>
              <w:t>★</w:t>
            </w:r>
            <w:r>
              <w:rPr>
                <w:rFonts w:hint="eastAsia" w:ascii="宋体" w:hAnsi="宋体" w:cs="宋体"/>
                <w:color w:val="auto"/>
                <w:szCs w:val="21"/>
              </w:rPr>
              <w:t>”的条款，均为实质性条款，投标人任何不满足实质性条款的投标或负偏离均将被否决。</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2）非实质性要求的偏离要求：</w:t>
            </w:r>
            <w:r>
              <w:rPr>
                <w:rFonts w:hint="eastAsia" w:ascii="宋体" w:hAnsi="宋体"/>
                <w:color w:val="auto"/>
              </w:rPr>
              <w:t>允许偏差的最大范围</w:t>
            </w:r>
            <w:r>
              <w:rPr>
                <w:rFonts w:ascii="宋体" w:hAnsi="宋体"/>
                <w:color w:val="auto"/>
                <w:u w:val="single"/>
              </w:rPr>
              <w:t>/</w:t>
            </w:r>
            <w:r>
              <w:rPr>
                <w:rFonts w:hint="eastAsia" w:ascii="宋体" w:hAnsi="宋体"/>
                <w:color w:val="auto"/>
              </w:rPr>
              <w:t>、最高项数</w:t>
            </w:r>
            <w:r>
              <w:rPr>
                <w:rFonts w:ascii="宋体" w:hAnsi="宋体"/>
                <w:color w:val="auto"/>
                <w:u w:val="single"/>
              </w:rPr>
              <w:t>/</w:t>
            </w:r>
            <w:r>
              <w:rPr>
                <w:rFonts w:hint="eastAsia" w:ascii="宋体" w:hAnsi="宋体"/>
                <w:color w:val="auto"/>
              </w:rPr>
              <w:t>，超出最大范围、最高项数视为重大偏离，</w:t>
            </w:r>
            <w:r>
              <w:rPr>
                <w:rFonts w:hint="eastAsia" w:ascii="宋体" w:hAnsi="宋体" w:cs="宋体"/>
                <w:color w:val="auto"/>
                <w:szCs w:val="21"/>
              </w:rPr>
              <w:t>将被否决投标</w:t>
            </w:r>
            <w:r>
              <w:rPr>
                <w:rFonts w:hint="eastAsia" w:ascii="宋体" w:hAnsi="宋体"/>
                <w:color w:val="auto"/>
              </w:rPr>
              <w:t>。调整偏差的方法</w:t>
            </w:r>
            <w:r>
              <w:rPr>
                <w:rFonts w:ascii="宋体" w:hAnsi="宋体"/>
                <w:color w:val="auto"/>
                <w:u w:val="single"/>
              </w:rPr>
              <w:t>/</w:t>
            </w:r>
            <w:r>
              <w:rPr>
                <w:rFonts w:ascii="宋体" w:hAnsi="宋体"/>
                <w:color w:val="auto"/>
              </w:rPr>
              <w:t xml:space="preserve"> [如无要求标“/”]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是否以单项报价核定低于成本</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■不要求</w:t>
            </w:r>
          </w:p>
          <w:p>
            <w:pPr>
              <w:autoSpaceDE w:val="0"/>
              <w:autoSpaceDN w:val="0"/>
              <w:rPr>
                <w:rFonts w:ascii="宋体" w:hAnsi="宋体" w:cs="宋体"/>
                <w:color w:val="auto"/>
                <w:szCs w:val="21"/>
              </w:rPr>
            </w:pPr>
            <w:r>
              <w:rPr>
                <w:rFonts w:hint="eastAsia" w:ascii="宋体" w:hAnsi="宋体" w:cs="宋体"/>
                <w:color w:val="auto"/>
                <w:szCs w:val="21"/>
              </w:rPr>
              <w:t>□要求，具体要求如下：</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2.2.1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踏勘现场</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■不组织</w:t>
            </w:r>
          </w:p>
          <w:p>
            <w:pPr>
              <w:autoSpaceDE w:val="0"/>
              <w:autoSpaceDN w:val="0"/>
              <w:rPr>
                <w:rFonts w:ascii="宋体" w:hAnsi="宋体" w:cs="宋体"/>
                <w:color w:val="auto"/>
                <w:szCs w:val="21"/>
              </w:rPr>
            </w:pPr>
            <w:r>
              <w:rPr>
                <w:rFonts w:hint="eastAsia" w:ascii="宋体" w:hAnsi="宋体" w:cs="宋体"/>
                <w:color w:val="auto"/>
                <w:szCs w:val="21"/>
              </w:rPr>
              <w:t>□组织，踏勘现场的时间、地点：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投标预备会</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■不召开</w:t>
            </w:r>
          </w:p>
          <w:p>
            <w:pPr>
              <w:autoSpaceDE w:val="0"/>
              <w:autoSpaceDN w:val="0"/>
              <w:rPr>
                <w:rFonts w:ascii="宋体" w:hAnsi="宋体" w:cs="宋体"/>
                <w:color w:val="auto"/>
                <w:szCs w:val="21"/>
              </w:rPr>
            </w:pPr>
            <w:r>
              <w:rPr>
                <w:rFonts w:hint="eastAsia" w:ascii="宋体" w:hAnsi="宋体" w:cs="宋体"/>
                <w:color w:val="auto"/>
                <w:szCs w:val="21"/>
              </w:rPr>
              <w:t>□召开，召开投标预备会时间、地点：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2.4.1</w:t>
            </w:r>
          </w:p>
        </w:tc>
        <w:tc>
          <w:tcPr>
            <w:tcW w:w="1666" w:type="dxa"/>
            <w:shd w:val="clear" w:color="auto" w:fill="auto"/>
            <w:vAlign w:val="center"/>
          </w:tcPr>
          <w:p>
            <w:pPr>
              <w:autoSpaceDE w:val="0"/>
              <w:autoSpaceDN w:val="0"/>
              <w:rPr>
                <w:rFonts w:ascii="宋体" w:hAnsi="宋体" w:cs="宋体"/>
                <w:color w:val="auto"/>
                <w:szCs w:val="21"/>
              </w:rPr>
            </w:pPr>
            <w:r>
              <w:rPr>
                <w:rFonts w:hint="eastAsia"/>
                <w:color w:val="auto"/>
              </w:rPr>
              <w:t>投标人提出澄清问题的截止时间和方式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1）截止时间：</w:t>
            </w:r>
            <w:r>
              <w:rPr>
                <w:rFonts w:ascii="宋体" w:hAnsi="宋体" w:cs="宋体"/>
                <w:color w:val="auto"/>
                <w:szCs w:val="21"/>
                <w:u w:val="single"/>
              </w:rPr>
              <w:t xml:space="preserve"> 202</w:t>
            </w:r>
            <w:r>
              <w:rPr>
                <w:rFonts w:hint="eastAsia" w:ascii="宋体" w:hAnsi="宋体" w:cs="宋体"/>
                <w:color w:val="auto"/>
                <w:szCs w:val="21"/>
                <w:u w:val="single"/>
                <w:lang w:val="en-US" w:eastAsia="zh-CN"/>
              </w:rPr>
              <w:t>3</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u w:val="single"/>
              </w:rPr>
              <w:t>2</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u w:val="single"/>
                <w:lang w:val="en-US" w:eastAsia="zh-CN"/>
              </w:rPr>
              <w:t>8</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u w:val="single"/>
              </w:rPr>
              <w:t xml:space="preserve"> 1</w:t>
            </w:r>
            <w:r>
              <w:rPr>
                <w:rFonts w:hint="eastAsia" w:ascii="宋体" w:hAnsi="宋体" w:cs="宋体"/>
                <w:color w:val="auto"/>
                <w:szCs w:val="21"/>
                <w:u w:val="single"/>
              </w:rPr>
              <w:t>2</w:t>
            </w:r>
            <w:r>
              <w:rPr>
                <w:rFonts w:ascii="宋体" w:hAnsi="宋体" w:cs="宋体"/>
                <w:color w:val="auto"/>
                <w:szCs w:val="21"/>
                <w:u w:val="single"/>
              </w:rPr>
              <w:t xml:space="preserve"> </w:t>
            </w:r>
            <w:r>
              <w:rPr>
                <w:rFonts w:hint="eastAsia" w:ascii="宋体" w:hAnsi="宋体" w:cs="宋体"/>
                <w:color w:val="auto"/>
                <w:szCs w:val="21"/>
              </w:rPr>
              <w:t>时</w:t>
            </w:r>
            <w:r>
              <w:rPr>
                <w:rFonts w:ascii="宋体" w:hAnsi="宋体" w:cs="宋体"/>
                <w:color w:val="auto"/>
                <w:szCs w:val="21"/>
                <w:u w:val="single"/>
              </w:rPr>
              <w:t xml:space="preserve"> 00 </w:t>
            </w:r>
            <w:r>
              <w:rPr>
                <w:rFonts w:hint="eastAsia" w:ascii="宋体" w:hAnsi="宋体" w:cs="宋体"/>
                <w:color w:val="auto"/>
                <w:szCs w:val="21"/>
              </w:rPr>
              <w:t>分（北京时间）。</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2）提出澄清的方式：通过邮件方式提出澄清疑问（澄清问题接收邮箱：</w:t>
            </w:r>
            <w:r>
              <w:rPr>
                <w:rFonts w:ascii="宋体" w:hAnsi="宋体"/>
                <w:color w:val="auto"/>
                <w:szCs w:val="21"/>
                <w:u w:val="single"/>
              </w:rPr>
              <w:t>13500226498@139.com</w:t>
            </w:r>
            <w:r>
              <w:rPr>
                <w:rFonts w:hint="eastAsia" w:ascii="宋体" w:hAnsi="宋体" w:cs="宋体"/>
                <w:color w:val="auto"/>
                <w:szCs w:val="21"/>
              </w:rPr>
              <w:t>），并将纸质版疑问文件盖章，经扫描后与疑问文件电子版（须为可编辑的</w:t>
            </w:r>
            <w:r>
              <w:rPr>
                <w:rFonts w:ascii="宋体" w:hAnsi="宋体" w:cs="宋体"/>
                <w:color w:val="auto"/>
                <w:szCs w:val="21"/>
              </w:rPr>
              <w:t>WORD文档）一起以附件形式上传，如正文内容与盖章扫描件内容不一致的，以盖章扫描件内容为准。</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3）招标文件异议：潜在投标人或者其他利害关系人对招标文件有异议的，应当在提交投标文件截止时间10日前提出。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2.4.2</w:t>
            </w:r>
          </w:p>
        </w:tc>
        <w:tc>
          <w:tcPr>
            <w:tcW w:w="1666" w:type="dxa"/>
            <w:shd w:val="clear" w:color="auto" w:fill="auto"/>
            <w:vAlign w:val="center"/>
          </w:tcPr>
          <w:p>
            <w:pPr>
              <w:spacing w:line="276" w:lineRule="auto"/>
              <w:rPr>
                <w:rFonts w:ascii="宋体" w:hAnsi="宋体" w:cs="宋体"/>
                <w:color w:val="auto"/>
                <w:szCs w:val="21"/>
              </w:rPr>
            </w:pPr>
            <w:r>
              <w:rPr>
                <w:rFonts w:hint="eastAsia"/>
                <w:color w:val="auto"/>
              </w:rPr>
              <w:t>招标人发出招标文件澄清或者修改的截止时间和方式</w:t>
            </w:r>
          </w:p>
        </w:tc>
        <w:tc>
          <w:tcPr>
            <w:tcW w:w="5795" w:type="dxa"/>
            <w:shd w:val="clear" w:color="auto" w:fill="auto"/>
            <w:vAlign w:val="center"/>
          </w:tcPr>
          <w:p>
            <w:pPr>
              <w:spacing w:line="276" w:lineRule="auto"/>
              <w:rPr>
                <w:color w:val="auto"/>
              </w:rPr>
            </w:pPr>
            <w:r>
              <w:rPr>
                <w:rFonts w:hint="eastAsia"/>
                <w:color w:val="auto"/>
              </w:rPr>
              <w:t>（</w:t>
            </w:r>
            <w:r>
              <w:rPr>
                <w:color w:val="auto"/>
              </w:rPr>
              <w:t>1</w:t>
            </w:r>
            <w:r>
              <w:rPr>
                <w:rFonts w:hint="eastAsia"/>
                <w:color w:val="auto"/>
              </w:rPr>
              <w:t>）如果招标文件澄清或者修改</w:t>
            </w:r>
            <w:r>
              <w:rPr>
                <w:rFonts w:hint="eastAsia" w:ascii="宋体" w:hAnsi="宋体" w:cs="宋体"/>
                <w:color w:val="auto"/>
                <w:szCs w:val="21"/>
              </w:rPr>
              <w:t>影响投标文件编制的，应当在</w:t>
            </w:r>
            <w:r>
              <w:rPr>
                <w:rFonts w:hint="eastAsia"/>
                <w:color w:val="auto"/>
              </w:rPr>
              <w:t>招标文件要求提交投标文件截止时间至少十五日前，以书面形式通知所有投标人。</w:t>
            </w:r>
          </w:p>
          <w:p>
            <w:pPr>
              <w:spacing w:line="276" w:lineRule="auto"/>
              <w:rPr>
                <w:rFonts w:ascii="宋体" w:hAnsi="宋体" w:cs="宋体"/>
                <w:color w:val="auto"/>
                <w:szCs w:val="21"/>
              </w:rPr>
            </w:pPr>
            <w:r>
              <w:rPr>
                <w:rFonts w:hint="eastAsia"/>
                <w:color w:val="auto"/>
              </w:rPr>
              <w:t>（</w:t>
            </w:r>
            <w:r>
              <w:rPr>
                <w:color w:val="auto"/>
              </w:rPr>
              <w:t>2</w:t>
            </w:r>
            <w:r>
              <w:rPr>
                <w:rFonts w:hint="eastAsia"/>
                <w:color w:val="auto"/>
              </w:rPr>
              <w:t>）发出招标文件澄清或者修改的方式：通过</w:t>
            </w:r>
            <w:r>
              <w:rPr>
                <w:rFonts w:hint="eastAsia" w:ascii="宋体" w:hAnsi="宋体" w:cs="宋体"/>
                <w:color w:val="auto"/>
                <w:szCs w:val="21"/>
              </w:rPr>
              <w:t>邮件方式</w:t>
            </w:r>
            <w:r>
              <w:rPr>
                <w:rFonts w:hint="eastAsia"/>
                <w:color w:val="auto"/>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投标文件组成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投标文件必须按照以下顺序编制：详见</w:t>
            </w:r>
            <w:r>
              <w:rPr>
                <w:rFonts w:hint="eastAsia" w:ascii="宋体" w:hAnsi="宋体"/>
                <w:color w:val="auto"/>
                <w:szCs w:val="21"/>
              </w:rPr>
              <w:t>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3.2.2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投标文件投标和编写</w:t>
            </w:r>
          </w:p>
        </w:tc>
        <w:tc>
          <w:tcPr>
            <w:tcW w:w="5795" w:type="dxa"/>
            <w:shd w:val="clear" w:color="auto" w:fill="auto"/>
            <w:vAlign w:val="center"/>
          </w:tcPr>
          <w:p>
            <w:pPr>
              <w:autoSpaceDE w:val="0"/>
              <w:autoSpaceDN w:val="0"/>
              <w:rPr>
                <w:rFonts w:ascii="宋体" w:hAnsi="宋体"/>
                <w:color w:val="auto"/>
              </w:rPr>
            </w:pPr>
            <w:r>
              <w:rPr>
                <w:rFonts w:hint="eastAsia" w:ascii="宋体" w:hAnsi="宋体"/>
                <w:color w:val="auto"/>
              </w:rPr>
              <w:t>投标文件投标和编写的具体要求如下：</w:t>
            </w:r>
          </w:p>
          <w:p>
            <w:pPr>
              <w:autoSpaceDE w:val="0"/>
              <w:autoSpaceDN w:val="0"/>
              <w:rPr>
                <w:rFonts w:ascii="宋体" w:hAnsi="宋体" w:cs="宋体"/>
                <w:color w:val="auto"/>
                <w:szCs w:val="21"/>
              </w:rPr>
            </w:pPr>
            <w:r>
              <w:rPr>
                <w:rFonts w:hint="eastAsia" w:ascii="宋体" w:hAnsi="宋体" w:cs="宋体"/>
                <w:color w:val="auto"/>
                <w:szCs w:val="21"/>
              </w:rPr>
              <w:t>投标人应针</w:t>
            </w:r>
            <w:r>
              <w:rPr>
                <w:rFonts w:ascii="宋体" w:hAnsi="宋体" w:cs="宋体"/>
                <w:color w:val="auto"/>
                <w:szCs w:val="21"/>
              </w:rPr>
              <w:t>对</w:t>
            </w:r>
            <w:r>
              <w:rPr>
                <w:rFonts w:hint="eastAsia" w:ascii="宋体" w:hAnsi="宋体" w:cs="宋体"/>
                <w:color w:val="auto"/>
                <w:szCs w:val="21"/>
              </w:rPr>
              <w:t>招标文件</w:t>
            </w:r>
            <w:r>
              <w:rPr>
                <w:rFonts w:ascii="宋体" w:hAnsi="宋体" w:cs="宋体"/>
                <w:color w:val="auto"/>
                <w:szCs w:val="21"/>
              </w:rPr>
              <w:t>中的</w:t>
            </w:r>
            <w:r>
              <w:rPr>
                <w:rFonts w:hint="eastAsia" w:ascii="宋体" w:hAnsi="宋体" w:cs="宋体"/>
                <w:color w:val="auto"/>
                <w:szCs w:val="21"/>
              </w:rPr>
              <w:t>第四章</w:t>
            </w:r>
            <w:r>
              <w:rPr>
                <w:rFonts w:ascii="宋体" w:hAnsi="宋体" w:cs="宋体"/>
                <w:color w:val="auto"/>
                <w:szCs w:val="21"/>
              </w:rPr>
              <w:t>“</w:t>
            </w:r>
            <w:r>
              <w:rPr>
                <w:rFonts w:hint="eastAsia" w:ascii="宋体" w:hAnsi="宋体" w:cs="宋体"/>
                <w:color w:val="auto"/>
                <w:szCs w:val="21"/>
              </w:rPr>
              <w:t>商务合同</w:t>
            </w:r>
            <w:r>
              <w:rPr>
                <w:rFonts w:ascii="宋体" w:hAnsi="宋体" w:cs="宋体"/>
                <w:color w:val="auto"/>
                <w:szCs w:val="21"/>
              </w:rPr>
              <w:t>”</w:t>
            </w:r>
            <w:r>
              <w:rPr>
                <w:rFonts w:hint="eastAsia" w:ascii="宋体" w:hAnsi="宋体" w:cs="宋体"/>
                <w:color w:val="auto"/>
                <w:szCs w:val="21"/>
              </w:rPr>
              <w:t>和第五章“采购需求书”填写偏离表。无偏离表的将</w:t>
            </w:r>
            <w:r>
              <w:rPr>
                <w:rFonts w:ascii="宋体" w:hAnsi="宋体" w:cs="宋体"/>
                <w:color w:val="auto"/>
                <w:szCs w:val="21"/>
              </w:rPr>
              <w:t>导致其</w:t>
            </w:r>
            <w:r>
              <w:rPr>
                <w:rFonts w:hint="eastAsia" w:ascii="宋体" w:hAnsi="宋体" w:cs="宋体"/>
                <w:color w:val="auto"/>
                <w:szCs w:val="21"/>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3.2.4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投标文件的盖章或者签字</w:t>
            </w:r>
          </w:p>
        </w:tc>
        <w:tc>
          <w:tcPr>
            <w:tcW w:w="5795" w:type="dxa"/>
            <w:shd w:val="clear" w:color="auto" w:fill="auto"/>
            <w:vAlign w:val="center"/>
          </w:tcPr>
          <w:p>
            <w:pPr>
              <w:rPr>
                <w:rFonts w:ascii="宋体" w:hAnsi="宋体"/>
                <w:color w:val="auto"/>
                <w:szCs w:val="21"/>
              </w:rPr>
            </w:pPr>
            <w:r>
              <w:rPr>
                <w:rFonts w:hint="eastAsia" w:ascii="宋体" w:hAnsi="宋体"/>
                <w:color w:val="auto"/>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rPr>
                <w:rFonts w:ascii="宋体" w:hAnsi="宋体"/>
                <w:color w:val="auto"/>
                <w:szCs w:val="21"/>
              </w:rPr>
            </w:pPr>
            <w:r>
              <w:rPr>
                <w:rFonts w:ascii="宋体" w:hAnsi="宋体"/>
                <w:color w:val="auto"/>
                <w:szCs w:val="21"/>
              </w:rPr>
              <w:t>1)</w:t>
            </w:r>
            <w:r>
              <w:rPr>
                <w:rFonts w:ascii="宋体" w:hAnsi="宋体"/>
                <w:color w:val="auto"/>
                <w:szCs w:val="21"/>
              </w:rPr>
              <w:tab/>
            </w:r>
            <w:r>
              <w:rPr>
                <w:rFonts w:hint="eastAsia" w:ascii="宋体" w:hAnsi="宋体"/>
                <w:color w:val="auto"/>
                <w:szCs w:val="21"/>
              </w:rPr>
              <w:t>投标人的法定代表人（负责人）或其授权的代理人逐页签字或加盖签字章；</w:t>
            </w:r>
          </w:p>
          <w:p>
            <w:pPr>
              <w:rPr>
                <w:rFonts w:ascii="宋体" w:hAnsi="宋体"/>
                <w:color w:val="auto"/>
                <w:szCs w:val="21"/>
              </w:rPr>
            </w:pPr>
            <w:r>
              <w:rPr>
                <w:rFonts w:ascii="宋体" w:hAnsi="宋体"/>
                <w:color w:val="auto"/>
                <w:szCs w:val="21"/>
              </w:rPr>
              <w:t>2)</w:t>
            </w:r>
            <w:r>
              <w:rPr>
                <w:rFonts w:ascii="宋体" w:hAnsi="宋体"/>
                <w:color w:val="auto"/>
                <w:szCs w:val="21"/>
              </w:rPr>
              <w:tab/>
            </w:r>
            <w:r>
              <w:rPr>
                <w:rFonts w:hint="eastAsia" w:ascii="宋体" w:hAnsi="宋体"/>
                <w:color w:val="auto"/>
                <w:szCs w:val="21"/>
              </w:rPr>
              <w:t>加盖投标人单位骑缝章；</w:t>
            </w:r>
          </w:p>
          <w:p>
            <w:pPr>
              <w:autoSpaceDE w:val="0"/>
              <w:autoSpaceDN w:val="0"/>
              <w:rPr>
                <w:rFonts w:ascii="宋体" w:hAnsi="宋体" w:cs="宋体"/>
                <w:color w:val="auto"/>
                <w:szCs w:val="21"/>
              </w:rPr>
            </w:pPr>
            <w:r>
              <w:rPr>
                <w:rFonts w:ascii="宋体" w:hAnsi="宋体"/>
                <w:color w:val="auto"/>
                <w:szCs w:val="21"/>
              </w:rPr>
              <w:t>3)</w:t>
            </w:r>
            <w:r>
              <w:rPr>
                <w:rFonts w:ascii="宋体" w:hAnsi="宋体"/>
                <w:color w:val="auto"/>
                <w:szCs w:val="21"/>
              </w:rPr>
              <w:tab/>
            </w:r>
            <w:r>
              <w:rPr>
                <w:rFonts w:hint="eastAsia" w:ascii="宋体" w:hAnsi="宋体"/>
                <w:color w:val="auto"/>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olor w:val="auto"/>
              </w:rPr>
              <w:t>最高投标限价或者其计算方法</w:t>
            </w:r>
          </w:p>
        </w:tc>
        <w:tc>
          <w:tcPr>
            <w:tcW w:w="5795" w:type="dxa"/>
            <w:shd w:val="clear" w:color="auto" w:fill="auto"/>
            <w:vAlign w:val="center"/>
          </w:tcPr>
          <w:p>
            <w:pPr>
              <w:autoSpaceDE w:val="0"/>
              <w:autoSpaceDN w:val="0"/>
              <w:jc w:val="left"/>
              <w:rPr>
                <w:rFonts w:ascii="宋体" w:hAnsi="宋体" w:cs="宋体"/>
                <w:color w:val="auto"/>
                <w:szCs w:val="21"/>
              </w:rPr>
            </w:pPr>
            <w:r>
              <w:rPr>
                <w:rFonts w:hint="eastAsia" w:ascii="宋体" w:hAnsi="宋体" w:cs="宋体"/>
                <w:color w:val="auto"/>
                <w:szCs w:val="21"/>
              </w:rPr>
              <w:t>□不设置最高投标限价</w:t>
            </w:r>
          </w:p>
          <w:p>
            <w:pPr>
              <w:autoSpaceDE w:val="0"/>
              <w:autoSpaceDN w:val="0"/>
              <w:jc w:val="left"/>
              <w:rPr>
                <w:rFonts w:ascii="宋体" w:hAnsi="宋体"/>
                <w:color w:val="auto"/>
                <w:szCs w:val="21"/>
              </w:rPr>
            </w:pPr>
            <w:r>
              <w:rPr>
                <w:rFonts w:hint="eastAsia" w:ascii="宋体" w:hAnsi="宋体" w:cs="宋体"/>
                <w:color w:val="auto"/>
                <w:sz w:val="24"/>
              </w:rPr>
              <w:t>★</w:t>
            </w:r>
            <w:r>
              <w:rPr>
                <w:rFonts w:hint="eastAsia" w:ascii="宋体" w:hAnsi="宋体" w:cs="宋体"/>
                <w:color w:val="auto"/>
                <w:szCs w:val="21"/>
              </w:rPr>
              <w:t>■设置最高投标限价，</w:t>
            </w:r>
            <w:r>
              <w:rPr>
                <w:rFonts w:hint="eastAsia" w:ascii="宋体" w:hAnsi="宋体" w:cs="宋体"/>
                <w:b/>
                <w:bCs/>
                <w:color w:val="auto"/>
                <w:szCs w:val="21"/>
              </w:rPr>
              <w:t>本项目含税最高限价</w:t>
            </w:r>
            <w:r>
              <w:rPr>
                <w:rFonts w:hint="eastAsia" w:ascii="宋体" w:hAnsi="宋体" w:cs="宋体"/>
                <w:b/>
                <w:bCs/>
                <w:color w:val="auto"/>
                <w:szCs w:val="21"/>
                <w:lang w:eastAsia="zh-CN"/>
              </w:rPr>
              <w:t>1447000.00</w:t>
            </w:r>
            <w:r>
              <w:rPr>
                <w:rFonts w:hint="eastAsia" w:ascii="宋体" w:hAnsi="宋体" w:cs="宋体"/>
                <w:b/>
                <w:bCs/>
                <w:color w:val="auto"/>
                <w:szCs w:val="21"/>
              </w:rPr>
              <w:t>元，</w:t>
            </w:r>
            <w:r>
              <w:rPr>
                <w:rFonts w:hint="eastAsia" w:ascii="宋体" w:hAnsi="宋体"/>
                <w:b/>
                <w:bCs/>
                <w:color w:val="auto"/>
                <w:szCs w:val="21"/>
              </w:rPr>
              <w:t>若投标人</w:t>
            </w:r>
            <w:r>
              <w:rPr>
                <w:rFonts w:hint="eastAsia" w:ascii="宋体" w:hAnsi="宋体" w:cs="宋体"/>
                <w:b/>
                <w:bCs/>
                <w:color w:val="auto"/>
                <w:szCs w:val="21"/>
              </w:rPr>
              <w:t>报价超过限价的报价无效，将被否决投标</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3.3.5</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投标报价</w:t>
            </w:r>
            <w:r>
              <w:rPr>
                <w:rFonts w:hint="eastAsia" w:ascii="宋体" w:hAnsi="宋体"/>
                <w:color w:val="auto"/>
              </w:rPr>
              <w:t>优惠条件</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□报优惠价</w:t>
            </w:r>
          </w:p>
          <w:p>
            <w:pPr>
              <w:autoSpaceDE w:val="0"/>
              <w:autoSpaceDN w:val="0"/>
              <w:rPr>
                <w:rFonts w:ascii="宋体" w:hAnsi="宋体" w:cs="宋体"/>
                <w:color w:val="auto"/>
                <w:szCs w:val="21"/>
              </w:rPr>
            </w:pPr>
            <w:r>
              <w:rPr>
                <w:rFonts w:hint="eastAsia" w:ascii="宋体" w:hAnsi="宋体" w:cs="宋体"/>
                <w:color w:val="auto"/>
                <w:szCs w:val="21"/>
              </w:rPr>
              <w:t>■不接受报优惠价</w:t>
            </w:r>
          </w:p>
          <w:p>
            <w:pPr>
              <w:autoSpaceDE w:val="0"/>
              <w:autoSpaceDN w:val="0"/>
              <w:rPr>
                <w:rFonts w:ascii="宋体" w:hAnsi="宋体" w:cs="宋体"/>
                <w:color w:val="auto"/>
                <w:szCs w:val="21"/>
                <w:u w:val="single"/>
              </w:rPr>
            </w:pPr>
            <w:r>
              <w:rPr>
                <w:rFonts w:hint="eastAsia" w:ascii="宋体" w:hAnsi="宋体" w:cs="宋体"/>
                <w:color w:val="auto"/>
                <w:szCs w:val="21"/>
              </w:rPr>
              <w:t>□报优惠价的其他方式：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投标报价具体要求</w:t>
            </w:r>
          </w:p>
        </w:tc>
        <w:tc>
          <w:tcPr>
            <w:tcW w:w="5795" w:type="dxa"/>
            <w:shd w:val="clear" w:color="auto" w:fill="auto"/>
            <w:vAlign w:val="center"/>
          </w:tcPr>
          <w:p>
            <w:pPr>
              <w:jc w:val="left"/>
              <w:rPr>
                <w:rFonts w:ascii="宋体" w:hAnsi="宋体"/>
                <w:color w:val="auto"/>
                <w:szCs w:val="21"/>
              </w:rPr>
            </w:pPr>
            <w:r>
              <w:rPr>
                <w:rFonts w:ascii="宋体" w:hAnsi="宋体"/>
                <w:color w:val="auto"/>
                <w:szCs w:val="21"/>
              </w:rPr>
              <w:t>1.</w:t>
            </w:r>
            <w:r>
              <w:rPr>
                <w:rFonts w:hint="eastAsia" w:ascii="宋体" w:hAnsi="宋体"/>
                <w:color w:val="auto"/>
                <w:szCs w:val="21"/>
              </w:rPr>
              <w:t>本项目</w:t>
            </w:r>
            <w:r>
              <w:rPr>
                <w:rFonts w:ascii="宋体" w:hAnsi="宋体"/>
                <w:color w:val="auto"/>
                <w:szCs w:val="21"/>
              </w:rPr>
              <w:t>按照国家和行业现行规定</w:t>
            </w:r>
            <w:r>
              <w:rPr>
                <w:rFonts w:hint="eastAsia" w:ascii="宋体" w:hAnsi="宋体"/>
                <w:color w:val="auto"/>
                <w:szCs w:val="21"/>
              </w:rPr>
              <w:t>及第四章合同条款的规定</w:t>
            </w:r>
            <w:r>
              <w:rPr>
                <w:rFonts w:ascii="宋体" w:hAnsi="宋体"/>
                <w:color w:val="auto"/>
                <w:szCs w:val="21"/>
              </w:rPr>
              <w:t>进行报价。</w:t>
            </w:r>
          </w:p>
          <w:p>
            <w:pPr>
              <w:jc w:val="left"/>
              <w:rPr>
                <w:rFonts w:ascii="宋体" w:hAnsi="宋体"/>
                <w:bCs/>
                <w:color w:val="auto"/>
                <w:szCs w:val="21"/>
              </w:rPr>
            </w:pPr>
            <w:r>
              <w:rPr>
                <w:rFonts w:ascii="宋体" w:hAnsi="宋体"/>
                <w:color w:val="auto"/>
                <w:szCs w:val="21"/>
              </w:rPr>
              <w:t>2.</w:t>
            </w:r>
            <w:r>
              <w:rPr>
                <w:rFonts w:hint="eastAsia" w:ascii="宋体" w:hAnsi="宋体"/>
                <w:bCs/>
                <w:color w:val="auto"/>
                <w:szCs w:val="21"/>
              </w:rPr>
              <w:t>投标报价应包括所有材料、人工、服务、利润及相关税费等完成项目所需的全部费用。</w:t>
            </w:r>
          </w:p>
          <w:p>
            <w:pPr>
              <w:jc w:val="left"/>
              <w:rPr>
                <w:rFonts w:ascii="宋体" w:hAnsi="宋体"/>
                <w:bCs/>
                <w:color w:val="auto"/>
                <w:szCs w:val="21"/>
              </w:rPr>
            </w:pPr>
            <w:r>
              <w:rPr>
                <w:rFonts w:ascii="宋体" w:hAnsi="宋体"/>
                <w:bCs/>
                <w:color w:val="auto"/>
                <w:szCs w:val="21"/>
              </w:rPr>
              <w:t>3.对应采购需求书的每一条款，供应商在投标文件中所作的所有承诺包含部分承诺，以及供应商在投标文件中所做的建议和列出的附加条件，除非供应商在经济分册中特别注明其价值不包含在基本报价中，招标人将认为其价值已全部包含在基本报价中。</w:t>
            </w:r>
          </w:p>
          <w:p>
            <w:pPr>
              <w:jc w:val="left"/>
              <w:rPr>
                <w:rFonts w:ascii="宋体" w:hAnsi="宋体"/>
                <w:bCs/>
                <w:color w:val="auto"/>
                <w:szCs w:val="21"/>
              </w:rPr>
            </w:pPr>
            <w:r>
              <w:rPr>
                <w:rFonts w:ascii="宋体" w:hAnsi="宋体"/>
                <w:bCs/>
                <w:color w:val="auto"/>
                <w:szCs w:val="21"/>
              </w:rPr>
              <w:t>4.</w:t>
            </w:r>
            <w:r>
              <w:rPr>
                <w:rFonts w:hint="eastAsia" w:ascii="宋体" w:hAnsi="宋体"/>
                <w:bCs/>
                <w:color w:val="auto"/>
                <w:szCs w:val="21"/>
              </w:rPr>
              <w:t>投标人应开具符合国家税率规定的增值税专用发票。</w:t>
            </w:r>
          </w:p>
          <w:p>
            <w:pPr>
              <w:autoSpaceDE w:val="0"/>
              <w:autoSpaceDN w:val="0"/>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报价表见第六章格式部分，不得更改报价表格式。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3.4.1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投标有效期</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投标保证金金额</w:t>
            </w:r>
          </w:p>
        </w:tc>
        <w:tc>
          <w:tcPr>
            <w:tcW w:w="5795" w:type="dxa"/>
            <w:shd w:val="clear" w:color="auto" w:fill="auto"/>
            <w:vAlign w:val="center"/>
          </w:tcPr>
          <w:p>
            <w:pPr>
              <w:numPr>
                <w:ilvl w:val="0"/>
                <w:numId w:val="3"/>
              </w:numPr>
              <w:ind w:left="0" w:firstLine="0"/>
              <w:rPr>
                <w:rFonts w:ascii="宋体" w:hAnsi="宋体"/>
                <w:color w:val="auto"/>
                <w:szCs w:val="21"/>
                <w:u w:val="single"/>
              </w:rPr>
            </w:pPr>
            <w:r>
              <w:rPr>
                <w:rFonts w:hint="eastAsia" w:ascii="宋体" w:hAnsi="宋体"/>
                <w:color w:val="auto"/>
                <w:szCs w:val="21"/>
              </w:rPr>
              <w:t>要求递交投标保证金，投标保证金的</w:t>
            </w:r>
            <w:r>
              <w:rPr>
                <w:rFonts w:ascii="宋体" w:hAnsi="宋体"/>
                <w:color w:val="auto"/>
                <w:szCs w:val="21"/>
              </w:rPr>
              <w:t>金额：</w:t>
            </w:r>
            <w:r>
              <w:rPr>
                <w:rFonts w:hint="eastAsia" w:ascii="宋体" w:hAnsi="宋体"/>
                <w:color w:val="auto"/>
                <w:szCs w:val="21"/>
              </w:rPr>
              <w:t>人民币</w:t>
            </w:r>
            <w:r>
              <w:rPr>
                <w:rFonts w:hint="eastAsia" w:ascii="宋体" w:hAnsi="宋体"/>
                <w:b/>
                <w:bCs/>
                <w:color w:val="auto"/>
                <w:szCs w:val="21"/>
                <w:u w:val="single"/>
              </w:rPr>
              <w:t>15</w:t>
            </w:r>
            <w:r>
              <w:rPr>
                <w:rFonts w:ascii="宋体" w:hAnsi="宋体"/>
                <w:b/>
                <w:color w:val="auto"/>
                <w:szCs w:val="21"/>
                <w:u w:val="single"/>
              </w:rPr>
              <w:t>000.00元</w:t>
            </w:r>
            <w:r>
              <w:rPr>
                <w:rFonts w:hint="eastAsia" w:ascii="宋体" w:hAnsi="宋体"/>
                <w:color w:val="auto"/>
                <w:szCs w:val="21"/>
              </w:rPr>
              <w:t>。</w:t>
            </w:r>
          </w:p>
          <w:p>
            <w:pPr>
              <w:numPr>
                <w:ilvl w:val="0"/>
                <w:numId w:val="3"/>
              </w:numPr>
              <w:rPr>
                <w:rFonts w:ascii="宋体" w:hAnsi="宋体"/>
                <w:color w:val="auto"/>
                <w:szCs w:val="21"/>
                <w:u w:val="single"/>
              </w:rPr>
            </w:pPr>
            <w:r>
              <w:rPr>
                <w:rFonts w:hint="eastAsia" w:ascii="宋体" w:hAnsi="宋体"/>
                <w:color w:val="auto"/>
                <w:szCs w:val="21"/>
              </w:rPr>
              <w:t>投标保证金的</w:t>
            </w:r>
            <w:r>
              <w:rPr>
                <w:rFonts w:ascii="宋体" w:hAnsi="宋体"/>
                <w:color w:val="auto"/>
                <w:szCs w:val="21"/>
              </w:rPr>
              <w:t>形式：</w:t>
            </w:r>
            <w:r>
              <w:rPr>
                <w:rFonts w:hint="eastAsia" w:ascii="宋体" w:hAnsi="宋体"/>
                <w:color w:val="auto"/>
                <w:szCs w:val="21"/>
              </w:rPr>
              <w:t>银行电汇（凭证的备注栏须注明招标代理编号后</w:t>
            </w:r>
            <w:r>
              <w:rPr>
                <w:rFonts w:ascii="宋体" w:hAnsi="宋体"/>
                <w:color w:val="auto"/>
                <w:szCs w:val="21"/>
              </w:rPr>
              <w:t>6</w:t>
            </w:r>
            <w:r>
              <w:rPr>
                <w:rFonts w:hint="eastAsia" w:ascii="宋体" w:hAnsi="宋体"/>
                <w:color w:val="auto"/>
                <w:szCs w:val="21"/>
              </w:rPr>
              <w:t>位</w:t>
            </w:r>
            <w:r>
              <w:rPr>
                <w:rFonts w:ascii="宋体" w:hAnsi="宋体"/>
                <w:color w:val="auto"/>
                <w:szCs w:val="21"/>
              </w:rPr>
              <w:t>+公司名称简写+投标保证金）</w:t>
            </w:r>
          </w:p>
          <w:p>
            <w:pPr>
              <w:rPr>
                <w:rFonts w:ascii="宋体" w:hAnsi="宋体"/>
                <w:color w:val="auto"/>
                <w:szCs w:val="21"/>
              </w:rPr>
            </w:pPr>
            <w:r>
              <w:rPr>
                <w:rFonts w:hint="eastAsia" w:ascii="宋体" w:hAnsi="宋体"/>
                <w:color w:val="auto"/>
                <w:szCs w:val="21"/>
              </w:rPr>
              <w:t>以电汇形式提交的，提交的投标保证金应当从投标人公司账户转出。</w:t>
            </w:r>
          </w:p>
          <w:p>
            <w:pPr>
              <w:numPr>
                <w:ilvl w:val="0"/>
                <w:numId w:val="3"/>
              </w:numPr>
              <w:rPr>
                <w:rFonts w:ascii="宋体" w:hAnsi="宋体"/>
                <w:color w:val="auto"/>
                <w:szCs w:val="21"/>
              </w:rPr>
            </w:pPr>
            <w:r>
              <w:rPr>
                <w:rFonts w:ascii="宋体" w:hAnsi="宋体"/>
                <w:color w:val="auto"/>
                <w:szCs w:val="21"/>
              </w:rPr>
              <w:t>投标保证金有效期与投标有效期一致。</w:t>
            </w:r>
          </w:p>
          <w:p>
            <w:pPr>
              <w:numPr>
                <w:ilvl w:val="0"/>
                <w:numId w:val="3"/>
              </w:numPr>
              <w:rPr>
                <w:rFonts w:ascii="宋体" w:hAnsi="宋体"/>
                <w:color w:val="auto"/>
                <w:szCs w:val="21"/>
              </w:rPr>
            </w:pPr>
            <w:r>
              <w:rPr>
                <w:rFonts w:hint="eastAsia" w:ascii="宋体" w:hAnsi="宋体"/>
                <w:color w:val="auto"/>
                <w:szCs w:val="21"/>
              </w:rPr>
              <w:t>提交投标保证金帐户信息：</w:t>
            </w:r>
          </w:p>
          <w:p>
            <w:pPr>
              <w:autoSpaceDE w:val="0"/>
              <w:autoSpaceDN w:val="0"/>
              <w:jc w:val="left"/>
              <w:rPr>
                <w:rFonts w:ascii="宋体" w:hAnsi="宋体" w:cs="宋体"/>
                <w:color w:val="auto"/>
                <w:szCs w:val="21"/>
              </w:rPr>
            </w:pPr>
            <w:r>
              <w:rPr>
                <w:rFonts w:hint="eastAsia" w:ascii="宋体" w:hAnsi="宋体" w:cs="宋体"/>
                <w:color w:val="auto"/>
                <w:szCs w:val="21"/>
              </w:rPr>
              <w:t>公司名称：广东省南方文化产权交易所股份有限公司</w:t>
            </w:r>
          </w:p>
          <w:p>
            <w:pPr>
              <w:autoSpaceDE w:val="0"/>
              <w:autoSpaceDN w:val="0"/>
              <w:jc w:val="left"/>
              <w:rPr>
                <w:rFonts w:ascii="宋体" w:hAnsi="宋体" w:cs="宋体"/>
                <w:color w:val="auto"/>
                <w:szCs w:val="21"/>
              </w:rPr>
            </w:pPr>
            <w:r>
              <w:rPr>
                <w:rFonts w:hint="eastAsia" w:ascii="宋体" w:hAnsi="宋体" w:cs="宋体"/>
                <w:color w:val="auto"/>
                <w:szCs w:val="21"/>
              </w:rPr>
              <w:t>银行名称：民生银行广州环市支行</w:t>
            </w:r>
          </w:p>
          <w:p>
            <w:pPr>
              <w:autoSpaceDE w:val="0"/>
              <w:autoSpaceDN w:val="0"/>
              <w:jc w:val="left"/>
              <w:rPr>
                <w:rFonts w:ascii="宋体" w:hAnsi="宋体" w:cs="宋体"/>
                <w:color w:val="auto"/>
                <w:szCs w:val="21"/>
              </w:rPr>
            </w:pPr>
            <w:r>
              <w:rPr>
                <w:rFonts w:hint="eastAsia" w:ascii="宋体" w:hAnsi="宋体" w:cs="宋体"/>
                <w:color w:val="auto"/>
                <w:szCs w:val="21"/>
              </w:rPr>
              <w:t>银行账号：</w:t>
            </w:r>
            <w:r>
              <w:rPr>
                <w:rFonts w:ascii="宋体" w:hAnsi="宋体" w:cs="宋体"/>
                <w:color w:val="auto"/>
                <w:szCs w:val="21"/>
              </w:rPr>
              <w:t>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投标保证金形式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投标保证金形式：银行电汇</w:t>
            </w:r>
          </w:p>
          <w:p>
            <w:pPr>
              <w:autoSpaceDE w:val="0"/>
              <w:autoSpaceDN w:val="0"/>
              <w:rPr>
                <w:rFonts w:ascii="宋体" w:hAnsi="宋体" w:cs="宋体"/>
                <w:color w:val="auto"/>
                <w:szCs w:val="21"/>
              </w:rPr>
            </w:pPr>
            <w:r>
              <w:rPr>
                <w:rFonts w:hint="eastAsia" w:ascii="宋体" w:hAnsi="宋体" w:cs="宋体"/>
                <w:color w:val="auto"/>
                <w:szCs w:val="21"/>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投标保证金不予退还的其他规定</w:t>
            </w:r>
          </w:p>
        </w:tc>
        <w:tc>
          <w:tcPr>
            <w:tcW w:w="5795" w:type="dxa"/>
            <w:shd w:val="clear" w:color="auto" w:fill="auto"/>
            <w:vAlign w:val="center"/>
          </w:tcPr>
          <w:p>
            <w:pPr>
              <w:autoSpaceDE w:val="0"/>
              <w:autoSpaceDN w:val="0"/>
              <w:jc w:val="left"/>
              <w:rPr>
                <w:rFonts w:ascii="宋体" w:hAnsi="宋体" w:cs="宋体"/>
                <w:color w:val="auto"/>
                <w:szCs w:val="21"/>
              </w:rPr>
            </w:pPr>
            <w:r>
              <w:rPr>
                <w:rFonts w:hint="eastAsia" w:ascii="宋体" w:hAnsi="宋体" w:cs="宋体"/>
                <w:color w:val="auto"/>
                <w:szCs w:val="21"/>
              </w:rPr>
              <w:t>有下列情形之一的，投标保证金将不予退还：</w:t>
            </w:r>
            <w:r>
              <w:rPr>
                <w:rFonts w:ascii="宋体" w:hAnsi="宋体" w:cs="宋体"/>
                <w:color w:val="auto"/>
                <w:szCs w:val="21"/>
              </w:rPr>
              <w:t xml:space="preserve"> </w:t>
            </w:r>
          </w:p>
          <w:p>
            <w:pPr>
              <w:autoSpaceDE w:val="0"/>
              <w:autoSpaceDN w:val="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 xml:space="preserve">1）投标人在招标文件中规定的投标有效期内撤销投标的； </w:t>
            </w:r>
          </w:p>
          <w:p>
            <w:pPr>
              <w:autoSpaceDE w:val="0"/>
              <w:autoSpaceDN w:val="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 xml:space="preserve">2）中标人无正当理由不与招标人订立合同，或在签订合同时向招标人提出附加条件，或者不按照招标文件要求递交履约保证金的； </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3）投标人有围标、串通投标、弄虚作假、向招标人或者评标委员会成员行贿谋取中标等行为的；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3.6.1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备选投标方案</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■不允许</w:t>
            </w:r>
          </w:p>
          <w:p>
            <w:pPr>
              <w:autoSpaceDE w:val="0"/>
              <w:autoSpaceDN w:val="0"/>
              <w:rPr>
                <w:rFonts w:ascii="宋体" w:hAnsi="宋体" w:cs="宋体"/>
                <w:color w:val="auto"/>
                <w:szCs w:val="21"/>
              </w:rPr>
            </w:pP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投标文件份数</w:t>
            </w:r>
          </w:p>
        </w:tc>
        <w:tc>
          <w:tcPr>
            <w:tcW w:w="5795" w:type="dxa"/>
            <w:shd w:val="clear" w:color="auto" w:fill="auto"/>
            <w:vAlign w:val="center"/>
          </w:tcPr>
          <w:p>
            <w:pPr>
              <w:jc w:val="left"/>
              <w:rPr>
                <w:rFonts w:ascii="宋体" w:hAnsi="宋体" w:cs="宋体"/>
                <w:color w:val="auto"/>
                <w:szCs w:val="21"/>
              </w:rPr>
            </w:pPr>
            <w:r>
              <w:rPr>
                <w:rFonts w:ascii="宋体" w:hAnsi="宋体" w:cs="宋体"/>
                <w:color w:val="auto"/>
                <w:szCs w:val="21"/>
              </w:rPr>
              <w:t xml:space="preserve">1． </w:t>
            </w:r>
            <w:r>
              <w:rPr>
                <w:rFonts w:hint="eastAsia" w:ascii="宋体" w:hAnsi="宋体" w:cs="宋体"/>
                <w:color w:val="auto"/>
                <w:szCs w:val="21"/>
              </w:rPr>
              <w:t>投标文件（含商务技术投标文件及经济投标文件）</w:t>
            </w:r>
            <w:r>
              <w:rPr>
                <w:rFonts w:ascii="宋体" w:hAnsi="宋体" w:cs="宋体"/>
                <w:color w:val="auto"/>
                <w:szCs w:val="21"/>
              </w:rPr>
              <w:t>1式2份，1份正本和1份副本。</w:t>
            </w:r>
          </w:p>
          <w:p>
            <w:pPr>
              <w:jc w:val="left"/>
              <w:rPr>
                <w:rFonts w:ascii="宋体" w:hAnsi="宋体" w:cs="宋体"/>
                <w:color w:val="auto"/>
                <w:szCs w:val="21"/>
              </w:rPr>
            </w:pPr>
            <w:r>
              <w:rPr>
                <w:rFonts w:ascii="宋体" w:hAnsi="宋体" w:cs="宋体"/>
                <w:color w:val="auto"/>
                <w:szCs w:val="21"/>
              </w:rPr>
              <w:t xml:space="preserve">2． </w:t>
            </w:r>
            <w:r>
              <w:rPr>
                <w:rFonts w:hint="eastAsia" w:ascii="宋体" w:hAnsi="宋体" w:cs="宋体"/>
                <w:color w:val="auto"/>
                <w:szCs w:val="21"/>
              </w:rPr>
              <w:t>按项目制作投标文件成册，建议双面打印，并提供</w:t>
            </w:r>
            <w:r>
              <w:rPr>
                <w:rFonts w:ascii="宋体" w:hAnsi="宋体" w:cs="宋体"/>
                <w:color w:val="auto"/>
                <w:szCs w:val="21"/>
              </w:rPr>
              <w:t>1套电子版（要求同时提供必须包含开标一览表(报价表）、投标分项报价表（报价明细表）（如有）、商务技术标、经济标可编辑电子版本，经济标盖章扫描版），投标文件电子版可同刻在一个U盘里，电子版内容需与投标文件纸质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投标文件的外层包封</w:t>
            </w:r>
          </w:p>
        </w:tc>
        <w:tc>
          <w:tcPr>
            <w:tcW w:w="5795" w:type="dxa"/>
            <w:shd w:val="clear" w:color="auto" w:fill="auto"/>
            <w:vAlign w:val="center"/>
          </w:tcPr>
          <w:p>
            <w:pPr>
              <w:autoSpaceDE w:val="0"/>
              <w:autoSpaceDN w:val="0"/>
              <w:rPr>
                <w:rFonts w:ascii="宋体" w:hAnsi="宋体" w:cs="宋体"/>
                <w:color w:val="auto"/>
                <w:szCs w:val="21"/>
              </w:rPr>
            </w:pPr>
            <w:r>
              <w:rPr>
                <w:rFonts w:ascii="宋体" w:hAnsi="宋体" w:cs="宋体"/>
                <w:color w:val="auto"/>
                <w:szCs w:val="21"/>
              </w:rPr>
              <w:t>1．</w:t>
            </w:r>
            <w:r>
              <w:rPr>
                <w:rFonts w:ascii="宋体" w:hAnsi="宋体" w:cs="宋体"/>
                <w:color w:val="auto"/>
                <w:szCs w:val="21"/>
              </w:rPr>
              <w:tab/>
            </w:r>
            <w:r>
              <w:rPr>
                <w:rFonts w:hint="eastAsia" w:ascii="宋体" w:hAnsi="宋体" w:cs="宋体"/>
                <w:b/>
                <w:bCs/>
                <w:color w:val="auto"/>
                <w:szCs w:val="21"/>
              </w:rPr>
              <w:t>商务技术投标文件及经济投标文件应分别装订并单独密封并在封口加盖骑缝章。</w:t>
            </w:r>
          </w:p>
          <w:p>
            <w:pPr>
              <w:autoSpaceDE w:val="0"/>
              <w:autoSpaceDN w:val="0"/>
              <w:rPr>
                <w:rFonts w:ascii="宋体" w:hAnsi="宋体" w:cs="宋体"/>
                <w:color w:val="auto"/>
                <w:szCs w:val="21"/>
              </w:rPr>
            </w:pPr>
            <w:r>
              <w:rPr>
                <w:rFonts w:ascii="宋体" w:hAnsi="宋体" w:cs="宋体"/>
                <w:color w:val="auto"/>
                <w:szCs w:val="21"/>
              </w:rPr>
              <w:t>2．</w:t>
            </w:r>
            <w:r>
              <w:rPr>
                <w:rFonts w:ascii="宋体" w:hAnsi="宋体" w:cs="宋体"/>
                <w:color w:val="auto"/>
                <w:szCs w:val="21"/>
              </w:rPr>
              <w:tab/>
            </w:r>
            <w:r>
              <w:rPr>
                <w:rFonts w:hint="eastAsia" w:ascii="宋体" w:hAnsi="宋体" w:cs="宋体"/>
                <w:color w:val="auto"/>
                <w:szCs w:val="21"/>
              </w:rPr>
              <w:t>商务技术标书里不能含有任何有关投标报价信息。</w:t>
            </w:r>
          </w:p>
          <w:p>
            <w:pPr>
              <w:autoSpaceDE w:val="0"/>
              <w:autoSpaceDN w:val="0"/>
              <w:rPr>
                <w:rFonts w:ascii="宋体" w:hAnsi="宋体" w:cs="宋体"/>
                <w:color w:val="auto"/>
                <w:szCs w:val="21"/>
              </w:rPr>
            </w:pPr>
            <w:r>
              <w:rPr>
                <w:rFonts w:ascii="宋体" w:hAnsi="宋体" w:cs="宋体"/>
                <w:color w:val="auto"/>
                <w:szCs w:val="21"/>
              </w:rPr>
              <w:t>3．</w:t>
            </w:r>
            <w:r>
              <w:rPr>
                <w:rFonts w:ascii="宋体" w:hAnsi="宋体" w:cs="宋体"/>
                <w:color w:val="auto"/>
                <w:szCs w:val="21"/>
              </w:rPr>
              <w:tab/>
            </w:r>
            <w:r>
              <w:rPr>
                <w:rFonts w:hint="eastAsia" w:ascii="宋体" w:hAnsi="宋体" w:cs="宋体"/>
                <w:color w:val="auto"/>
                <w:szCs w:val="21"/>
              </w:rPr>
              <w:t>投标人应在每份投标文件的正本、副本和电子文件封面上明确标明“正本”、“副本”或“电子文件”。包封的所有粘接缝隙必须加盖单位章或由投标人的法定代表人或其授权的代表人签字。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投标文件的密封和标记要求</w:t>
            </w:r>
          </w:p>
        </w:tc>
        <w:tc>
          <w:tcPr>
            <w:tcW w:w="5795" w:type="dxa"/>
            <w:shd w:val="clear" w:color="auto" w:fill="auto"/>
            <w:vAlign w:val="center"/>
          </w:tcPr>
          <w:p>
            <w:pPr>
              <w:autoSpaceDE w:val="0"/>
              <w:autoSpaceDN w:val="0"/>
              <w:rPr>
                <w:rFonts w:ascii="宋体" w:hAnsi="宋体"/>
                <w:color w:val="auto"/>
                <w:szCs w:val="21"/>
              </w:rPr>
            </w:pPr>
            <w:r>
              <w:rPr>
                <w:rFonts w:hint="eastAsia" w:ascii="宋体" w:hAnsi="宋体"/>
                <w:color w:val="auto"/>
                <w:szCs w:val="21"/>
              </w:rPr>
              <w:t>本条款增加如下规定：</w:t>
            </w:r>
          </w:p>
          <w:p>
            <w:pPr>
              <w:tabs>
                <w:tab w:val="left" w:pos="318"/>
              </w:tabs>
              <w:jc w:val="left"/>
              <w:rPr>
                <w:rFonts w:ascii="宋体" w:hAnsi="宋体" w:cs="宋体"/>
                <w:color w:val="auto"/>
                <w:szCs w:val="21"/>
              </w:rPr>
            </w:pPr>
            <w:r>
              <w:rPr>
                <w:rFonts w:hint="eastAsia" w:ascii="宋体" w:hAnsi="宋体" w:cs="宋体"/>
                <w:color w:val="auto"/>
                <w:szCs w:val="21"/>
              </w:rPr>
              <w:t>密封的所有黏接缝隙必须加盖单位公章或者由投标人的法定代表人（负责人）或者其委托代理人签字。外层包封应当写明招标人名称、投标人名称和地址、项目名称、招标代理编号、并注明开标时间以前不得开封。</w:t>
            </w:r>
          </w:p>
          <w:p>
            <w:pPr>
              <w:tabs>
                <w:tab w:val="left" w:pos="318"/>
              </w:tabs>
              <w:jc w:val="left"/>
              <w:rPr>
                <w:rFonts w:ascii="宋体" w:hAnsi="宋体" w:cs="宋体"/>
                <w:color w:val="auto"/>
                <w:szCs w:val="21"/>
              </w:rPr>
            </w:pPr>
            <w:r>
              <w:rPr>
                <w:rFonts w:hint="eastAsia" w:ascii="宋体" w:hAnsi="宋体" w:cs="宋体"/>
                <w:color w:val="auto"/>
                <w:szCs w:val="21"/>
              </w:rPr>
              <w:t>封套上应载明的信息：</w:t>
            </w:r>
          </w:p>
          <w:p>
            <w:pPr>
              <w:tabs>
                <w:tab w:val="left" w:pos="318"/>
              </w:tabs>
              <w:jc w:val="left"/>
              <w:rPr>
                <w:rFonts w:hint="eastAsia" w:ascii="宋体" w:hAnsi="宋体" w:eastAsia="宋体" w:cs="宋体"/>
                <w:color w:val="auto"/>
                <w:szCs w:val="21"/>
                <w:lang w:eastAsia="zh-CN"/>
              </w:rPr>
            </w:pPr>
            <w:r>
              <w:rPr>
                <w:rFonts w:hint="eastAsia" w:ascii="宋体" w:hAnsi="宋体" w:cs="宋体"/>
                <w:color w:val="auto"/>
                <w:szCs w:val="21"/>
              </w:rPr>
              <w:t>招标人名称：</w:t>
            </w:r>
            <w:r>
              <w:rPr>
                <w:rFonts w:hint="eastAsia" w:ascii="宋体" w:hAnsi="宋体" w:cs="宋体"/>
                <w:color w:val="auto"/>
                <w:szCs w:val="21"/>
                <w:lang w:eastAsia="zh-CN"/>
              </w:rPr>
              <w:t>广东南都娱乐传媒股份有限公司</w:t>
            </w:r>
          </w:p>
          <w:p>
            <w:pPr>
              <w:tabs>
                <w:tab w:val="left" w:pos="318"/>
              </w:tabs>
              <w:jc w:val="left"/>
              <w:rPr>
                <w:rFonts w:ascii="宋体" w:hAnsi="宋体" w:cs="宋体"/>
                <w:color w:val="auto"/>
                <w:szCs w:val="21"/>
              </w:rPr>
            </w:pPr>
            <w:r>
              <w:rPr>
                <w:rFonts w:hint="eastAsia" w:ascii="宋体" w:hAnsi="宋体" w:cs="宋体"/>
                <w:color w:val="auto"/>
                <w:szCs w:val="21"/>
              </w:rPr>
              <w:t>投标人名称：</w:t>
            </w:r>
          </w:p>
          <w:p>
            <w:pPr>
              <w:tabs>
                <w:tab w:val="left" w:pos="318"/>
              </w:tabs>
              <w:jc w:val="left"/>
              <w:rPr>
                <w:rFonts w:ascii="宋体" w:hAnsi="宋体" w:cs="宋体"/>
                <w:color w:val="auto"/>
                <w:szCs w:val="21"/>
              </w:rPr>
            </w:pPr>
            <w:r>
              <w:rPr>
                <w:rFonts w:hint="eastAsia" w:ascii="宋体" w:hAnsi="宋体" w:cs="宋体"/>
                <w:color w:val="auto"/>
                <w:szCs w:val="21"/>
              </w:rPr>
              <w:t>投标人地址：</w:t>
            </w:r>
          </w:p>
          <w:p>
            <w:pPr>
              <w:tabs>
                <w:tab w:val="left" w:pos="318"/>
              </w:tabs>
              <w:jc w:val="left"/>
              <w:rPr>
                <w:rFonts w:ascii="宋体" w:hAnsi="宋体" w:cs="宋体"/>
                <w:color w:val="auto"/>
                <w:szCs w:val="21"/>
              </w:rPr>
            </w:pPr>
            <w:r>
              <w:rPr>
                <w:rFonts w:hint="eastAsia" w:ascii="宋体" w:hAnsi="宋体" w:cs="宋体"/>
                <w:color w:val="auto"/>
                <w:szCs w:val="21"/>
              </w:rPr>
              <w:t>项目名称：</w:t>
            </w:r>
            <w:r>
              <w:rPr>
                <w:rFonts w:ascii="宋体" w:hAnsi="宋体" w:cs="宋体"/>
                <w:color w:val="auto"/>
                <w:szCs w:val="21"/>
              </w:rPr>
              <w:t xml:space="preserve"> </w:t>
            </w:r>
          </w:p>
          <w:p>
            <w:pPr>
              <w:tabs>
                <w:tab w:val="left" w:pos="318"/>
              </w:tabs>
              <w:jc w:val="left"/>
              <w:rPr>
                <w:rFonts w:ascii="宋体" w:hAnsi="宋体" w:cs="宋体"/>
                <w:color w:val="auto"/>
                <w:szCs w:val="21"/>
              </w:rPr>
            </w:pPr>
            <w:r>
              <w:rPr>
                <w:rFonts w:hint="eastAsia" w:ascii="宋体" w:hAnsi="宋体" w:cs="宋体"/>
                <w:color w:val="auto"/>
                <w:szCs w:val="21"/>
              </w:rPr>
              <w:t>招标代理编号：</w:t>
            </w:r>
          </w:p>
          <w:p>
            <w:pPr>
              <w:tabs>
                <w:tab w:val="left" w:pos="318"/>
              </w:tabs>
              <w:jc w:val="left"/>
              <w:rPr>
                <w:rFonts w:ascii="宋体" w:hAnsi="宋体" w:cs="宋体"/>
                <w:color w:val="auto"/>
                <w:szCs w:val="21"/>
              </w:rPr>
            </w:pPr>
            <w:r>
              <w:rPr>
                <w:rFonts w:hint="eastAsia" w:ascii="宋体" w:hAnsi="宋体" w:cs="宋体"/>
                <w:color w:val="auto"/>
                <w:szCs w:val="21"/>
              </w:rPr>
              <w:t>在</w:t>
            </w:r>
            <w:r>
              <w:rPr>
                <w:rFonts w:ascii="宋体" w:hAnsi="宋体" w:cs="宋体"/>
                <w:color w:val="auto"/>
                <w:szCs w:val="21"/>
              </w:rPr>
              <w:tab/>
            </w:r>
            <w:r>
              <w:rPr>
                <w:rFonts w:hint="eastAsia" w:ascii="宋体" w:hAnsi="宋体" w:cs="宋体"/>
                <w:color w:val="auto"/>
                <w:szCs w:val="21"/>
              </w:rPr>
              <w:t>年</w:t>
            </w:r>
            <w:r>
              <w:rPr>
                <w:rFonts w:ascii="宋体" w:hAnsi="宋体" w:cs="宋体"/>
                <w:color w:val="auto"/>
                <w:szCs w:val="21"/>
              </w:rPr>
              <w:tab/>
            </w:r>
            <w:r>
              <w:rPr>
                <w:rFonts w:hint="eastAsia" w:ascii="宋体" w:hAnsi="宋体" w:cs="宋体"/>
                <w:color w:val="auto"/>
                <w:szCs w:val="21"/>
              </w:rPr>
              <w:t>月</w:t>
            </w:r>
            <w:r>
              <w:rPr>
                <w:rFonts w:ascii="宋体" w:hAnsi="宋体" w:cs="宋体"/>
                <w:color w:val="auto"/>
                <w:szCs w:val="21"/>
              </w:rPr>
              <w:tab/>
            </w:r>
            <w:r>
              <w:rPr>
                <w:rFonts w:hint="eastAsia" w:ascii="宋体" w:hAnsi="宋体" w:cs="宋体"/>
                <w:color w:val="auto"/>
                <w:szCs w:val="21"/>
              </w:rPr>
              <w:t>日</w:t>
            </w:r>
            <w:r>
              <w:rPr>
                <w:rFonts w:ascii="宋体" w:hAnsi="宋体" w:cs="宋体"/>
                <w:color w:val="auto"/>
                <w:szCs w:val="21"/>
              </w:rPr>
              <w:tab/>
            </w:r>
            <w:r>
              <w:rPr>
                <w:rFonts w:hint="eastAsia" w:ascii="宋体" w:hAnsi="宋体" w:cs="宋体"/>
                <w:color w:val="auto"/>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w:t>
            </w:r>
            <w:r>
              <w:rPr>
                <w:rFonts w:hint="eastAsia" w:ascii="宋体" w:hAnsi="宋体"/>
                <w:color w:val="auto"/>
              </w:rPr>
              <w:t>文件递交截止时间</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详见第一章</w:t>
            </w:r>
            <w:r>
              <w:rPr>
                <w:rFonts w:ascii="宋体" w:hAnsi="宋体" w:cs="宋体"/>
                <w:color w:val="auto"/>
                <w:szCs w:val="21"/>
              </w:rPr>
              <w:t xml:space="preserve"> </w:t>
            </w:r>
            <w:r>
              <w:rPr>
                <w:rFonts w:hint="eastAsia" w:ascii="宋体" w:hAnsi="宋体" w:cs="宋体"/>
                <w:color w:val="auto"/>
                <w:szCs w:val="21"/>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4.1.2</w:t>
            </w:r>
          </w:p>
        </w:tc>
        <w:tc>
          <w:tcPr>
            <w:tcW w:w="1666"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投标</w:t>
            </w:r>
            <w:r>
              <w:rPr>
                <w:rFonts w:hint="eastAsia" w:ascii="宋体" w:hAnsi="宋体"/>
                <w:color w:val="auto"/>
              </w:rPr>
              <w:t>文件递交地点</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详见第一章</w:t>
            </w:r>
            <w:r>
              <w:rPr>
                <w:rFonts w:ascii="宋体" w:hAnsi="宋体" w:cs="宋体"/>
                <w:color w:val="auto"/>
                <w:szCs w:val="21"/>
              </w:rPr>
              <w:t xml:space="preserve"> </w:t>
            </w:r>
            <w:r>
              <w:rPr>
                <w:rFonts w:hint="eastAsia" w:ascii="宋体" w:hAnsi="宋体" w:cs="宋体"/>
                <w:color w:val="auto"/>
                <w:szCs w:val="21"/>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4.1.4</w:t>
            </w:r>
          </w:p>
        </w:tc>
        <w:tc>
          <w:tcPr>
            <w:tcW w:w="1666"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投标</w:t>
            </w:r>
            <w:r>
              <w:rPr>
                <w:rFonts w:hint="eastAsia" w:ascii="宋体" w:hAnsi="宋体"/>
                <w:color w:val="auto"/>
              </w:rPr>
              <w:t>文件退还</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■不退还</w:t>
            </w:r>
          </w:p>
          <w:p>
            <w:pPr>
              <w:autoSpaceDE w:val="0"/>
              <w:autoSpaceDN w:val="0"/>
              <w:rPr>
                <w:rFonts w:ascii="宋体" w:hAnsi="宋体" w:cs="宋体"/>
                <w:color w:val="auto"/>
                <w:szCs w:val="21"/>
              </w:rPr>
            </w:pPr>
            <w:r>
              <w:rPr>
                <w:rFonts w:hint="eastAsia" w:ascii="宋体" w:hAnsi="宋体" w:cs="宋体"/>
                <w:color w:val="auto"/>
                <w:szCs w:val="21"/>
              </w:rPr>
              <w:t>□退还，</w:t>
            </w:r>
            <w:r>
              <w:rPr>
                <w:rFonts w:hint="eastAsia" w:ascii="宋体" w:hAnsi="宋体"/>
                <w:color w:val="auto"/>
                <w:szCs w:val="21"/>
              </w:rPr>
              <w:t>投标</w:t>
            </w:r>
            <w:r>
              <w:rPr>
                <w:rFonts w:hint="eastAsia" w:ascii="宋体" w:hAnsi="宋体"/>
                <w:color w:val="auto"/>
                <w:szCs w:val="21"/>
                <w:u w:val="single"/>
              </w:rPr>
              <w:t>文件退还的具体要求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唱价时间和地点</w:t>
            </w:r>
          </w:p>
        </w:tc>
        <w:tc>
          <w:tcPr>
            <w:tcW w:w="5795" w:type="dxa"/>
            <w:shd w:val="clear" w:color="auto" w:fill="auto"/>
            <w:vAlign w:val="center"/>
          </w:tcPr>
          <w:p>
            <w:pPr>
              <w:ind w:left="15" w:leftChars="7"/>
              <w:jc w:val="left"/>
              <w:rPr>
                <w:rFonts w:ascii="宋体" w:hAnsi="宋体"/>
                <w:color w:val="auto"/>
                <w:szCs w:val="21"/>
              </w:rPr>
            </w:pPr>
            <w:r>
              <w:rPr>
                <w:rFonts w:hint="eastAsia" w:ascii="宋体" w:hAnsi="宋体" w:cs="宋体"/>
                <w:color w:val="auto"/>
                <w:szCs w:val="21"/>
              </w:rPr>
              <w:t>同投标文件递交截止时间和地点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6.1.1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评标委员会组成人数</w:t>
            </w:r>
          </w:p>
        </w:tc>
        <w:tc>
          <w:tcPr>
            <w:tcW w:w="5795" w:type="dxa"/>
            <w:shd w:val="clear" w:color="auto" w:fill="auto"/>
            <w:vAlign w:val="center"/>
          </w:tcPr>
          <w:p>
            <w:pPr>
              <w:autoSpaceDE w:val="0"/>
              <w:autoSpaceDN w:val="0"/>
              <w:rPr>
                <w:rFonts w:ascii="宋体" w:hAnsi="宋体" w:cs="宋体"/>
                <w:color w:val="auto"/>
                <w:szCs w:val="21"/>
              </w:rPr>
            </w:pPr>
            <w:r>
              <w:rPr>
                <w:rFonts w:ascii="宋体" w:hAnsi="宋体"/>
                <w:color w:val="auto"/>
                <w:szCs w:val="21"/>
                <w:u w:val="single"/>
              </w:rPr>
              <w:t>5</w:t>
            </w:r>
            <w:r>
              <w:rPr>
                <w:rFonts w:hint="eastAsia" w:ascii="宋体" w:hAnsi="宋体" w:cs="宋体"/>
                <w:color w:val="auto"/>
                <w:szCs w:val="21"/>
              </w:rPr>
              <w:t>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6.3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评审方法</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□经评审的最低价法</w:t>
            </w:r>
          </w:p>
          <w:p>
            <w:pPr>
              <w:autoSpaceDE w:val="0"/>
              <w:autoSpaceDN w:val="0"/>
              <w:rPr>
                <w:rFonts w:ascii="宋体" w:hAnsi="宋体" w:cs="宋体"/>
                <w:color w:val="auto"/>
                <w:szCs w:val="21"/>
              </w:rPr>
            </w:pPr>
            <w:r>
              <w:rPr>
                <w:rFonts w:hint="eastAsia" w:ascii="宋体" w:hAnsi="宋体" w:cs="宋体"/>
                <w:color w:val="auto"/>
                <w:szCs w:val="21"/>
              </w:rPr>
              <w:t>■综合评估法</w:t>
            </w:r>
          </w:p>
          <w:p>
            <w:pPr>
              <w:autoSpaceDE w:val="0"/>
              <w:autoSpaceDN w:val="0"/>
              <w:rPr>
                <w:rFonts w:ascii="宋体" w:hAnsi="宋体" w:cs="宋体"/>
                <w:color w:val="auto"/>
                <w:szCs w:val="21"/>
                <w:u w:val="single"/>
              </w:rPr>
            </w:pPr>
            <w:r>
              <w:rPr>
                <w:rFonts w:hint="eastAsia" w:ascii="宋体" w:hAnsi="宋体" w:cs="宋体"/>
                <w:color w:val="auto"/>
                <w:szCs w:val="21"/>
              </w:rPr>
              <w:t>□其他：</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 xml:space="preserve">6.4 </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中标候选人推荐原则</w:t>
            </w:r>
          </w:p>
        </w:tc>
        <w:tc>
          <w:tcPr>
            <w:tcW w:w="5795" w:type="dxa"/>
            <w:shd w:val="clear" w:color="auto" w:fill="auto"/>
            <w:vAlign w:val="center"/>
          </w:tcPr>
          <w:p>
            <w:pPr>
              <w:autoSpaceDE w:val="0"/>
              <w:autoSpaceDN w:val="0"/>
              <w:rPr>
                <w:rFonts w:ascii="宋体" w:hAnsi="宋体"/>
                <w:color w:val="auto"/>
                <w:szCs w:val="21"/>
              </w:rPr>
            </w:pPr>
            <w:bookmarkStart w:id="31" w:name="_Toc346159396"/>
            <w:r>
              <w:rPr>
                <w:rFonts w:hint="eastAsia" w:ascii="宋体" w:hAnsi="宋体"/>
                <w:color w:val="auto"/>
                <w:szCs w:val="21"/>
              </w:rPr>
              <w:t>推荐原则如下：</w:t>
            </w:r>
            <w:bookmarkEnd w:id="31"/>
            <w:r>
              <w:rPr>
                <w:rFonts w:hint="eastAsia" w:ascii="宋体" w:hAnsi="宋体"/>
                <w:color w:val="auto"/>
                <w:szCs w:val="21"/>
              </w:rPr>
              <w:t>选择一名中标人。推荐两名中标候选人（如仅为一家则推荐一名），根据综合得分由高到低排名，第一名为第一中标候选人，第二名为第二中标候选人。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中标人数量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olor w:val="auto"/>
              </w:rPr>
              <w:t>中标人数量：</w:t>
            </w:r>
            <w:r>
              <w:rPr>
                <w:rFonts w:ascii="宋体" w:hAnsi="宋体"/>
                <w:color w:val="auto"/>
                <w:szCs w:val="21"/>
                <w:u w:val="single"/>
              </w:rPr>
              <w:t>1</w:t>
            </w:r>
            <w:r>
              <w:rPr>
                <w:rFonts w:hint="eastAsia" w:ascii="宋体" w:hAnsi="宋体" w:cs="宋体"/>
                <w:color w:val="auto"/>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中标原则</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olor w:val="auto"/>
                <w:szCs w:val="21"/>
              </w:rPr>
              <w:t>中标原则如下：根据综合得分排名第一名为中标人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7.2.2</w:t>
            </w:r>
          </w:p>
        </w:tc>
        <w:tc>
          <w:tcPr>
            <w:tcW w:w="1666" w:type="dxa"/>
            <w:tcBorders>
              <w:bottom w:val="single" w:color="auto" w:sz="4" w:space="0"/>
            </w:tcBorders>
            <w:shd w:val="clear" w:color="auto" w:fill="auto"/>
            <w:vAlign w:val="center"/>
          </w:tcPr>
          <w:p>
            <w:pPr>
              <w:autoSpaceDE w:val="0"/>
              <w:autoSpaceDN w:val="0"/>
              <w:rPr>
                <w:rFonts w:ascii="宋体" w:hAnsi="宋体" w:cs="宋体"/>
                <w:color w:val="auto"/>
                <w:szCs w:val="21"/>
              </w:rPr>
            </w:pPr>
            <w:r>
              <w:rPr>
                <w:rFonts w:hint="eastAsia" w:ascii="宋体" w:hAnsi="宋体"/>
                <w:color w:val="auto"/>
              </w:rPr>
              <w:t>异议受理</w:t>
            </w:r>
          </w:p>
        </w:tc>
        <w:tc>
          <w:tcPr>
            <w:tcW w:w="5795" w:type="dxa"/>
            <w:shd w:val="clear" w:color="auto" w:fill="auto"/>
            <w:vAlign w:val="center"/>
          </w:tcPr>
          <w:p>
            <w:pPr>
              <w:autoSpaceDE w:val="0"/>
              <w:autoSpaceDN w:val="0"/>
              <w:rPr>
                <w:rFonts w:ascii="宋体" w:hAnsi="宋体"/>
                <w:color w:val="auto"/>
                <w:szCs w:val="21"/>
              </w:rPr>
            </w:pPr>
            <w:r>
              <w:rPr>
                <w:rFonts w:hint="eastAsia" w:ascii="宋体" w:hAnsi="宋体"/>
                <w:color w:val="auto"/>
                <w:szCs w:val="21"/>
              </w:rPr>
              <w:t>投标人如对本次招标持有异议的，可以在相应期限内向招标人或招标代理人提出实名书面质疑，对质疑回复不满意的，可提出实名书面投诉，质疑为投诉的前置程序。</w:t>
            </w:r>
          </w:p>
          <w:p>
            <w:pPr>
              <w:autoSpaceDE w:val="0"/>
              <w:autoSpaceDN w:val="0"/>
              <w:rPr>
                <w:color w:val="auto"/>
              </w:rPr>
            </w:pPr>
            <w:r>
              <w:rPr>
                <w:rFonts w:hint="eastAsia" w:ascii="宋体" w:hAnsi="宋体"/>
                <w:color w:val="auto"/>
                <w:szCs w:val="21"/>
              </w:rPr>
              <w:t>招标人或招标代理人联系方式详见第一章 招标公告“7.联系方式”。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8.1</w:t>
            </w:r>
          </w:p>
        </w:tc>
        <w:tc>
          <w:tcPr>
            <w:tcW w:w="1666" w:type="dxa"/>
            <w:tcBorders>
              <w:bottom w:val="single" w:color="auto" w:sz="4" w:space="0"/>
            </w:tcBorders>
            <w:shd w:val="clear" w:color="auto" w:fill="auto"/>
            <w:vAlign w:val="center"/>
          </w:tcPr>
          <w:p>
            <w:pPr>
              <w:autoSpaceDE w:val="0"/>
              <w:autoSpaceDN w:val="0"/>
              <w:rPr>
                <w:rFonts w:ascii="宋体" w:hAnsi="宋体"/>
                <w:color w:val="auto"/>
              </w:rPr>
            </w:pPr>
            <w:r>
              <w:rPr>
                <w:rFonts w:hint="eastAsia" w:ascii="宋体" w:hAnsi="宋体"/>
                <w:color w:val="auto"/>
              </w:rPr>
              <w:t>履约担保</w:t>
            </w:r>
          </w:p>
        </w:tc>
        <w:tc>
          <w:tcPr>
            <w:tcW w:w="5795" w:type="dxa"/>
            <w:shd w:val="clear" w:color="auto" w:fill="auto"/>
            <w:vAlign w:val="center"/>
          </w:tcPr>
          <w:p>
            <w:pPr>
              <w:autoSpaceDE w:val="0"/>
              <w:autoSpaceDN w:val="0"/>
              <w:rPr>
                <w:color w:val="auto"/>
              </w:rPr>
            </w:pPr>
            <w:r>
              <w:rPr>
                <w:rFonts w:hint="eastAsia"/>
                <w:color w:val="auto"/>
              </w:rPr>
              <w:t>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9（1）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招标代理服务费金额、交纳方式和时限</w:t>
            </w:r>
          </w:p>
        </w:tc>
        <w:tc>
          <w:tcPr>
            <w:tcW w:w="5795" w:type="dxa"/>
            <w:shd w:val="clear" w:color="auto" w:fill="auto"/>
            <w:vAlign w:val="center"/>
          </w:tcPr>
          <w:p>
            <w:pPr>
              <w:adjustRightInd w:val="0"/>
              <w:rPr>
                <w:rFonts w:ascii="宋体" w:hAnsi="宋体"/>
                <w:color w:val="auto"/>
                <w:szCs w:val="21"/>
              </w:rPr>
            </w:pPr>
            <w:r>
              <w:rPr>
                <w:rFonts w:hint="eastAsia" w:ascii="宋体" w:hAnsi="宋体"/>
                <w:color w:val="auto"/>
                <w:szCs w:val="21"/>
              </w:rPr>
              <w:t>招标代理服务费约定由中标人支付，代理服务费金额不超过15</w:t>
            </w:r>
            <w:r>
              <w:rPr>
                <w:rFonts w:ascii="宋体" w:hAnsi="宋体"/>
                <w:color w:val="auto"/>
                <w:szCs w:val="21"/>
              </w:rPr>
              <w:t>000.00元，以中标金额为基准进行计算，参照国家计委《招</w:t>
            </w:r>
            <w:r>
              <w:rPr>
                <w:rFonts w:hint="eastAsia" w:ascii="宋体" w:hAnsi="宋体"/>
                <w:color w:val="auto"/>
                <w:szCs w:val="21"/>
              </w:rPr>
              <w:t>标代理服务收费管理暂行办法》（计价格</w:t>
            </w:r>
            <w:r>
              <w:rPr>
                <w:rFonts w:ascii="宋体" w:hAnsi="宋体"/>
                <w:color w:val="auto"/>
                <w:szCs w:val="21"/>
              </w:rPr>
              <w:t xml:space="preserve">[2002]1980号）规定的收费标准下浮 45% </w:t>
            </w:r>
            <w:r>
              <w:rPr>
                <w:rFonts w:hint="eastAsia" w:ascii="宋体" w:hAnsi="宋体"/>
                <w:color w:val="auto"/>
                <w:szCs w:val="21"/>
              </w:rPr>
              <w:t>，采用差额定率累进计费。</w:t>
            </w:r>
          </w:p>
          <w:p>
            <w:pPr>
              <w:adjustRightInd w:val="0"/>
              <w:rPr>
                <w:rFonts w:ascii="宋体" w:hAnsi="宋体"/>
                <w:color w:val="auto"/>
                <w:szCs w:val="21"/>
              </w:rPr>
            </w:pPr>
            <w:r>
              <w:rPr>
                <w:rFonts w:hint="eastAsia" w:ascii="宋体" w:hAnsi="宋体"/>
                <w:color w:val="auto"/>
                <w:szCs w:val="21"/>
              </w:rPr>
              <w:t>公司名称：广东省南方文化产权交易所股份有限公司</w:t>
            </w:r>
          </w:p>
          <w:p>
            <w:pPr>
              <w:adjustRightInd w:val="0"/>
              <w:rPr>
                <w:rFonts w:ascii="宋体" w:hAnsi="宋体"/>
                <w:color w:val="auto"/>
                <w:szCs w:val="21"/>
              </w:rPr>
            </w:pPr>
            <w:r>
              <w:rPr>
                <w:rFonts w:hint="eastAsia" w:ascii="宋体" w:hAnsi="宋体"/>
                <w:color w:val="auto"/>
                <w:szCs w:val="21"/>
              </w:rPr>
              <w:t>银行名称：民生银行广州环市支行</w:t>
            </w:r>
          </w:p>
          <w:p>
            <w:pPr>
              <w:adjustRightInd w:val="0"/>
              <w:rPr>
                <w:rFonts w:ascii="宋体" w:hAnsi="宋体"/>
                <w:color w:val="auto"/>
                <w:szCs w:val="21"/>
              </w:rPr>
            </w:pPr>
            <w:r>
              <w:rPr>
                <w:rFonts w:hint="eastAsia" w:ascii="宋体" w:hAnsi="宋体"/>
                <w:color w:val="auto"/>
                <w:szCs w:val="21"/>
              </w:rPr>
              <w:t>银行账号：</w:t>
            </w:r>
            <w:r>
              <w:rPr>
                <w:rFonts w:ascii="宋体" w:hAnsi="宋体"/>
                <w:color w:val="auto"/>
                <w:szCs w:val="21"/>
              </w:rPr>
              <w:t>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color w:val="auto"/>
                <w:szCs w:val="21"/>
              </w:rPr>
            </w:pPr>
            <w:r>
              <w:rPr>
                <w:rFonts w:ascii="宋体" w:hAnsi="宋体" w:cs="宋体"/>
                <w:color w:val="auto"/>
                <w:szCs w:val="21"/>
              </w:rPr>
              <w:t>11.1</w:t>
            </w:r>
          </w:p>
        </w:tc>
        <w:tc>
          <w:tcPr>
            <w:tcW w:w="1666" w:type="dxa"/>
            <w:shd w:val="clear" w:color="auto" w:fill="auto"/>
            <w:vAlign w:val="center"/>
          </w:tcPr>
          <w:p>
            <w:pPr>
              <w:autoSpaceDE w:val="0"/>
              <w:autoSpaceDN w:val="0"/>
              <w:rPr>
                <w:color w:val="auto"/>
              </w:rPr>
            </w:pPr>
            <w:r>
              <w:rPr>
                <w:rFonts w:hint="eastAsia"/>
                <w:color w:val="auto"/>
                <w:szCs w:val="21"/>
              </w:rPr>
              <w:t>中标人放弃中标或者不能履行合同的处理</w:t>
            </w:r>
          </w:p>
        </w:tc>
        <w:tc>
          <w:tcPr>
            <w:tcW w:w="5795" w:type="dxa"/>
            <w:shd w:val="clear" w:color="auto" w:fill="auto"/>
            <w:vAlign w:val="center"/>
          </w:tcPr>
          <w:p>
            <w:pPr>
              <w:jc w:val="left"/>
              <w:rPr>
                <w:color w:val="auto"/>
                <w:szCs w:val="21"/>
              </w:rPr>
            </w:pPr>
            <w:r>
              <w:rPr>
                <w:rFonts w:hint="eastAsia"/>
                <w:color w:val="auto"/>
                <w:szCs w:val="21"/>
              </w:rPr>
              <w:t>二种方式可选：</w:t>
            </w:r>
          </w:p>
          <w:p>
            <w:pPr>
              <w:pStyle w:val="76"/>
              <w:numPr>
                <w:ilvl w:val="0"/>
                <w:numId w:val="4"/>
              </w:numPr>
              <w:ind w:firstLineChars="0"/>
              <w:rPr>
                <w:color w:val="auto"/>
                <w:szCs w:val="21"/>
              </w:rPr>
            </w:pPr>
            <w:r>
              <w:rPr>
                <w:rFonts w:hint="eastAsia"/>
                <w:color w:val="auto"/>
                <w:szCs w:val="21"/>
              </w:rPr>
              <w:t>按照评审委员会提出的中标候选人名单排序依次确定其他中标候选人为中标人；</w:t>
            </w:r>
          </w:p>
          <w:p>
            <w:pPr>
              <w:jc w:val="left"/>
              <w:rPr>
                <w:color w:val="auto"/>
                <w:szCs w:val="21"/>
              </w:rPr>
            </w:pPr>
            <w:r>
              <w:rPr>
                <w:color w:val="auto"/>
                <w:szCs w:val="21"/>
              </w:rPr>
              <w:t>2</w:t>
            </w:r>
            <w:r>
              <w:rPr>
                <w:rFonts w:hint="eastAsia"/>
                <w:color w:val="auto"/>
                <w:szCs w:val="21"/>
              </w:rPr>
              <w:t>、重新招标；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11.2</w:t>
            </w:r>
          </w:p>
        </w:tc>
        <w:tc>
          <w:tcPr>
            <w:tcW w:w="1666" w:type="dxa"/>
            <w:shd w:val="clear" w:color="auto" w:fill="auto"/>
            <w:vAlign w:val="center"/>
          </w:tcPr>
          <w:p>
            <w:pPr>
              <w:autoSpaceDE w:val="0"/>
              <w:autoSpaceDN w:val="0"/>
              <w:rPr>
                <w:color w:val="auto"/>
                <w:szCs w:val="21"/>
              </w:rPr>
            </w:pPr>
            <w:r>
              <w:rPr>
                <w:rFonts w:hint="eastAsia" w:ascii="宋体" w:hAnsi="宋体"/>
                <w:color w:val="auto"/>
                <w:szCs w:val="21"/>
              </w:rPr>
              <w:t>投标货币</w:t>
            </w:r>
          </w:p>
        </w:tc>
        <w:tc>
          <w:tcPr>
            <w:tcW w:w="5795" w:type="dxa"/>
            <w:shd w:val="clear" w:color="auto" w:fill="auto"/>
            <w:vAlign w:val="center"/>
          </w:tcPr>
          <w:p>
            <w:pPr>
              <w:rPr>
                <w:color w:val="auto"/>
                <w:szCs w:val="21"/>
              </w:rPr>
            </w:pPr>
            <w:r>
              <w:rPr>
                <w:rFonts w:hint="eastAsia" w:ascii="宋体" w:hAnsi="宋体"/>
                <w:color w:val="auto"/>
                <w:szCs w:val="21"/>
              </w:rPr>
              <w:t>招标文件和投标文件中未明确币种的，均以人民币进行核算；投标文件中如出现其他币种，</w:t>
            </w:r>
            <w:r>
              <w:rPr>
                <w:rFonts w:hint="eastAsia" w:ascii="Courier New" w:hAnsi="Courier New"/>
                <w:color w:val="auto"/>
                <w:kern w:val="0"/>
                <w:szCs w:val="21"/>
              </w:rPr>
              <w:t>按照投标文件递交截止之日中国人民银行公布的银行间外汇市场人民币汇率中间价折算为等值人民币（属于企业</w:t>
            </w:r>
            <w:r>
              <w:rPr>
                <w:rFonts w:hint="eastAsia"/>
                <w:color w:val="auto"/>
                <w:kern w:val="0"/>
                <w:szCs w:val="21"/>
              </w:rPr>
              <w:t>注册资本金范畴的，</w:t>
            </w:r>
            <w:r>
              <w:rPr>
                <w:rFonts w:hint="eastAsia" w:ascii="Courier New" w:hAnsi="Courier New"/>
                <w:color w:val="auto"/>
                <w:kern w:val="0"/>
                <w:szCs w:val="21"/>
              </w:rPr>
              <w:t>按</w:t>
            </w:r>
            <w:r>
              <w:rPr>
                <w:rFonts w:hint="eastAsia"/>
                <w:color w:val="auto"/>
                <w:kern w:val="0"/>
                <w:szCs w:val="21"/>
              </w:rPr>
              <w:t>发生（</w:t>
            </w:r>
            <w:r>
              <w:rPr>
                <w:rFonts w:hint="eastAsia" w:ascii="宋体" w:hAnsi="宋体"/>
                <w:color w:val="auto"/>
                <w:szCs w:val="21"/>
              </w:rPr>
              <w:t>营业执照标注的成立日期</w:t>
            </w:r>
            <w:r>
              <w:rPr>
                <w:rFonts w:hint="eastAsia"/>
                <w:color w:val="auto"/>
                <w:kern w:val="0"/>
                <w:szCs w:val="21"/>
              </w:rPr>
              <w:t>）当日中国人民银行公布的汇率的中间价计算</w:t>
            </w:r>
            <w:r>
              <w:rPr>
                <w:rFonts w:hint="eastAsia" w:ascii="Courier New" w:hAnsi="Courier New"/>
                <w:color w:val="auto"/>
                <w:kern w:val="0"/>
                <w:szCs w:val="21"/>
              </w:rPr>
              <w:t>为等值人民币</w:t>
            </w:r>
            <w:r>
              <w:rPr>
                <w:rFonts w:hint="eastAsia"/>
                <w:color w:val="auto"/>
                <w:kern w:val="0"/>
                <w:szCs w:val="21"/>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11.3</w:t>
            </w:r>
          </w:p>
        </w:tc>
        <w:tc>
          <w:tcPr>
            <w:tcW w:w="1666" w:type="dxa"/>
            <w:shd w:val="clear" w:color="auto" w:fill="auto"/>
            <w:vAlign w:val="center"/>
          </w:tcPr>
          <w:p>
            <w:pPr>
              <w:autoSpaceDE w:val="0"/>
              <w:autoSpaceDN w:val="0"/>
              <w:rPr>
                <w:rFonts w:ascii="宋体" w:hAnsi="宋体"/>
                <w:color w:val="auto"/>
                <w:szCs w:val="21"/>
              </w:rPr>
            </w:pPr>
            <w:r>
              <w:rPr>
                <w:rFonts w:hint="eastAsia"/>
                <w:bCs/>
                <w:color w:val="auto"/>
                <w:szCs w:val="21"/>
              </w:rPr>
              <w:t>网络与信息安全</w:t>
            </w:r>
          </w:p>
        </w:tc>
        <w:tc>
          <w:tcPr>
            <w:tcW w:w="5795" w:type="dxa"/>
            <w:shd w:val="clear" w:color="auto" w:fill="auto"/>
            <w:vAlign w:val="center"/>
          </w:tcPr>
          <w:p>
            <w:pPr>
              <w:rPr>
                <w:rFonts w:ascii="宋体" w:hAnsi="宋体"/>
                <w:color w:val="auto"/>
                <w:szCs w:val="21"/>
              </w:rPr>
            </w:pPr>
            <w:r>
              <w:rPr>
                <w:rFonts w:hint="eastAsia"/>
                <w:bCs/>
                <w:color w:val="auto"/>
                <w:szCs w:val="21"/>
              </w:rPr>
              <w:t>投标人提供的产品或服务必须符合国家对网络与信息安全的相关要求。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11.4</w:t>
            </w:r>
          </w:p>
        </w:tc>
        <w:tc>
          <w:tcPr>
            <w:tcW w:w="1666" w:type="dxa"/>
            <w:shd w:val="clear" w:color="auto" w:fill="auto"/>
            <w:vAlign w:val="center"/>
          </w:tcPr>
          <w:p>
            <w:pPr>
              <w:autoSpaceDE w:val="0"/>
              <w:autoSpaceDN w:val="0"/>
              <w:rPr>
                <w:rFonts w:ascii="宋体" w:hAnsi="宋体"/>
                <w:color w:val="auto"/>
                <w:szCs w:val="21"/>
              </w:rPr>
            </w:pPr>
            <w:r>
              <w:rPr>
                <w:rFonts w:hint="eastAsia"/>
                <w:bCs/>
                <w:color w:val="auto"/>
                <w:szCs w:val="21"/>
              </w:rPr>
              <w:t>发票要求</w:t>
            </w:r>
          </w:p>
        </w:tc>
        <w:tc>
          <w:tcPr>
            <w:tcW w:w="5795" w:type="dxa"/>
            <w:shd w:val="clear" w:color="auto" w:fill="auto"/>
            <w:vAlign w:val="center"/>
          </w:tcPr>
          <w:p>
            <w:pPr>
              <w:rPr>
                <w:rFonts w:ascii="宋体" w:hAnsi="宋体"/>
                <w:color w:val="auto"/>
                <w:szCs w:val="21"/>
              </w:rPr>
            </w:pPr>
            <w:r>
              <w:rPr>
                <w:rFonts w:hint="eastAsia"/>
                <w:bCs/>
                <w:color w:val="auto"/>
                <w:szCs w:val="21"/>
              </w:rPr>
              <w:t>投标人须提供符合国家税率规定的增值税专用发票。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11.5</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电子招标投标</w:t>
            </w:r>
          </w:p>
        </w:tc>
        <w:tc>
          <w:tcPr>
            <w:tcW w:w="5795" w:type="dxa"/>
            <w:shd w:val="clear" w:color="auto" w:fill="auto"/>
            <w:vAlign w:val="center"/>
          </w:tcPr>
          <w:p>
            <w:pPr>
              <w:rPr>
                <w:rFonts w:ascii="宋体" w:hAnsi="宋体" w:cs="宋体"/>
                <w:color w:val="auto"/>
                <w:szCs w:val="21"/>
              </w:rPr>
            </w:pPr>
            <w:r>
              <w:rPr>
                <w:rFonts w:hint="eastAsia" w:ascii="宋体" w:hAnsi="宋体" w:cs="宋体"/>
                <w:color w:val="auto"/>
                <w:szCs w:val="21"/>
              </w:rPr>
              <w:t>否</w:t>
            </w:r>
          </w:p>
        </w:tc>
      </w:tr>
    </w:tbl>
    <w:p>
      <w:pPr>
        <w:pStyle w:val="37"/>
        <w:tabs>
          <w:tab w:val="left" w:pos="602"/>
        </w:tabs>
        <w:snapToGrid w:val="0"/>
        <w:spacing w:before="120" w:after="120" w:line="440" w:lineRule="exact"/>
        <w:jc w:val="left"/>
        <w:rPr>
          <w:rFonts w:ascii="宋体" w:hAnsi="宋体"/>
          <w:color w:val="auto"/>
          <w:sz w:val="28"/>
          <w:szCs w:val="28"/>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bookmarkStart w:id="32" w:name="_Toc447188667"/>
      <w:bookmarkStart w:id="33" w:name="_Toc227057885"/>
      <w:bookmarkStart w:id="34" w:name="_Toc226969278"/>
      <w:bookmarkStart w:id="35" w:name="_Toc107822484"/>
      <w:bookmarkStart w:id="36" w:name="_Toc488655831"/>
    </w:p>
    <w:p>
      <w:pPr>
        <w:numPr>
          <w:ilvl w:val="0"/>
          <w:numId w:val="5"/>
        </w:numPr>
        <w:rPr>
          <w:b/>
          <w:bCs/>
          <w:color w:val="auto"/>
          <w:sz w:val="24"/>
          <w:szCs w:val="32"/>
        </w:rPr>
      </w:pPr>
      <w:bookmarkStart w:id="37" w:name="_Toc447265502"/>
      <w:bookmarkStart w:id="38" w:name="_Toc447265216"/>
      <w:r>
        <w:rPr>
          <w:rFonts w:hint="eastAsia"/>
          <w:b/>
          <w:bCs/>
          <w:color w:val="auto"/>
          <w:sz w:val="24"/>
          <w:szCs w:val="32"/>
        </w:rPr>
        <w:t>总则</w:t>
      </w:r>
      <w:bookmarkEnd w:id="32"/>
      <w:bookmarkEnd w:id="37"/>
      <w:bookmarkEnd w:id="38"/>
    </w:p>
    <w:p>
      <w:pPr>
        <w:rPr>
          <w:b/>
          <w:bCs/>
          <w:color w:val="auto"/>
          <w:sz w:val="24"/>
          <w:szCs w:val="32"/>
        </w:rPr>
      </w:pPr>
      <w:bookmarkStart w:id="39" w:name="_Toc246996176"/>
      <w:bookmarkStart w:id="40" w:name="_Toc296602421"/>
      <w:bookmarkStart w:id="41" w:name="_Toc179632547"/>
      <w:bookmarkStart w:id="42" w:name="_Toc447188668"/>
      <w:bookmarkStart w:id="43" w:name="_Toc447265503"/>
      <w:bookmarkStart w:id="44" w:name="_Toc247085690"/>
      <w:bookmarkStart w:id="45" w:name="_Toc246996919"/>
      <w:bookmarkStart w:id="46" w:name="_Toc447265217"/>
      <w:bookmarkStart w:id="47" w:name="_Toc152042306"/>
      <w:bookmarkStart w:id="48" w:name="_Toc144974498"/>
      <w:bookmarkStart w:id="49" w:name="_Toc46496126"/>
      <w:bookmarkStart w:id="50" w:name="_Toc152045530"/>
      <w:r>
        <w:rPr>
          <w:b/>
          <w:bCs/>
          <w:color w:val="auto"/>
          <w:sz w:val="24"/>
          <w:szCs w:val="32"/>
        </w:rPr>
        <w:t>1.1</w:t>
      </w:r>
      <w:r>
        <w:rPr>
          <w:rFonts w:hint="eastAsia"/>
          <w:b/>
          <w:bCs/>
          <w:color w:val="auto"/>
          <w:sz w:val="24"/>
          <w:szCs w:val="32"/>
        </w:rPr>
        <w:t>项目概况</w:t>
      </w:r>
      <w:bookmarkEnd w:id="33"/>
      <w:bookmarkEnd w:id="34"/>
      <w:bookmarkEnd w:id="39"/>
      <w:bookmarkEnd w:id="40"/>
      <w:bookmarkEnd w:id="41"/>
      <w:bookmarkEnd w:id="42"/>
      <w:bookmarkEnd w:id="43"/>
      <w:bookmarkEnd w:id="44"/>
      <w:bookmarkEnd w:id="45"/>
      <w:bookmarkEnd w:id="46"/>
      <w:bookmarkEnd w:id="47"/>
      <w:bookmarkEnd w:id="48"/>
      <w:bookmarkEnd w:id="49"/>
      <w:bookmarkEnd w:id="50"/>
    </w:p>
    <w:p>
      <w:pPr>
        <w:pStyle w:val="22"/>
        <w:tabs>
          <w:tab w:val="left" w:pos="630"/>
        </w:tabs>
        <w:snapToGrid w:val="0"/>
        <w:spacing w:line="440" w:lineRule="exact"/>
        <w:ind w:firstLine="424" w:firstLineChars="202"/>
        <w:rPr>
          <w:rFonts w:hAnsi="宋体" w:cs="宋体"/>
          <w:color w:val="auto"/>
        </w:rPr>
      </w:pPr>
      <w:r>
        <w:rPr>
          <w:rFonts w:hAnsi="宋体"/>
          <w:color w:val="auto"/>
        </w:rPr>
        <w:t>1.1.1</w:t>
      </w:r>
      <w:r>
        <w:rPr>
          <w:rFonts w:hint="eastAsia" w:hAnsi="宋体"/>
          <w:color w:val="auto"/>
        </w:rPr>
        <w:t>本招标项目已具备招标条件，现对本项目进行招标。</w:t>
      </w:r>
    </w:p>
    <w:p>
      <w:pPr>
        <w:pStyle w:val="22"/>
        <w:tabs>
          <w:tab w:val="left" w:pos="630"/>
        </w:tabs>
        <w:snapToGrid w:val="0"/>
        <w:spacing w:line="440" w:lineRule="exact"/>
        <w:ind w:firstLine="424" w:firstLineChars="202"/>
        <w:rPr>
          <w:rFonts w:hAnsi="宋体"/>
          <w:color w:val="auto"/>
        </w:rPr>
      </w:pPr>
      <w:r>
        <w:rPr>
          <w:rFonts w:hAnsi="宋体"/>
          <w:color w:val="auto"/>
        </w:rPr>
        <w:t>1.1.2</w:t>
      </w:r>
      <w:r>
        <w:rPr>
          <w:rFonts w:hint="eastAsia" w:hAnsi="宋体"/>
          <w:color w:val="auto"/>
        </w:rPr>
        <w:t>招标人：招标人单位名称及联系方式见投标人须知前附表。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1.1.3项目名称：项目名称及招标代理编号见投标人须知前附表。</w:t>
      </w:r>
    </w:p>
    <w:p>
      <w:pPr>
        <w:rPr>
          <w:b/>
          <w:bCs/>
          <w:color w:val="auto"/>
          <w:sz w:val="24"/>
          <w:szCs w:val="32"/>
        </w:rPr>
      </w:pPr>
      <w:bookmarkStart w:id="51" w:name="_Toc227057886"/>
      <w:bookmarkStart w:id="52" w:name="_Toc447188669"/>
      <w:bookmarkStart w:id="53" w:name="_Toc226969279"/>
      <w:bookmarkStart w:id="54" w:name="_Toc447265504"/>
      <w:bookmarkStart w:id="55" w:name="_Toc447265218"/>
      <w:bookmarkStart w:id="56" w:name="_Toc46496127"/>
      <w:r>
        <w:rPr>
          <w:b/>
          <w:bCs/>
          <w:color w:val="auto"/>
          <w:sz w:val="24"/>
          <w:szCs w:val="32"/>
        </w:rPr>
        <w:t>1.2</w:t>
      </w:r>
      <w:r>
        <w:rPr>
          <w:rFonts w:hint="eastAsia"/>
          <w:b/>
          <w:bCs/>
          <w:color w:val="auto"/>
          <w:sz w:val="24"/>
          <w:szCs w:val="32"/>
        </w:rPr>
        <w:t>资金来源</w:t>
      </w:r>
      <w:bookmarkEnd w:id="51"/>
      <w:bookmarkEnd w:id="52"/>
      <w:bookmarkEnd w:id="53"/>
      <w:r>
        <w:rPr>
          <w:rFonts w:hint="eastAsia"/>
          <w:b/>
          <w:bCs/>
          <w:color w:val="auto"/>
          <w:sz w:val="24"/>
          <w:szCs w:val="32"/>
        </w:rPr>
        <w:t>和落实情况</w:t>
      </w:r>
      <w:bookmarkEnd w:id="54"/>
      <w:bookmarkEnd w:id="55"/>
      <w:bookmarkEnd w:id="56"/>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本项目资金已落实，资金来源见投标人须知前附表。</w:t>
      </w:r>
    </w:p>
    <w:p>
      <w:pPr>
        <w:rPr>
          <w:b/>
          <w:bCs/>
          <w:color w:val="auto"/>
          <w:sz w:val="24"/>
          <w:szCs w:val="32"/>
        </w:rPr>
      </w:pPr>
      <w:bookmarkStart w:id="57" w:name="_Toc46496128"/>
      <w:bookmarkStart w:id="58" w:name="_Toc447265505"/>
      <w:bookmarkStart w:id="59" w:name="_Toc447265219"/>
      <w:bookmarkStart w:id="60" w:name="_Toc447188670"/>
      <w:r>
        <w:rPr>
          <w:b/>
          <w:bCs/>
          <w:color w:val="auto"/>
          <w:sz w:val="24"/>
          <w:szCs w:val="32"/>
        </w:rPr>
        <w:t>1.3</w:t>
      </w:r>
      <w:r>
        <w:rPr>
          <w:rFonts w:hint="eastAsia"/>
          <w:b/>
          <w:bCs/>
          <w:color w:val="auto"/>
          <w:sz w:val="24"/>
          <w:szCs w:val="32"/>
        </w:rPr>
        <w:t>采购范围</w:t>
      </w:r>
      <w:bookmarkEnd w:id="57"/>
      <w:bookmarkEnd w:id="58"/>
      <w:bookmarkEnd w:id="59"/>
      <w:bookmarkEnd w:id="6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本项目采购范围：见投标人须知前附表。</w:t>
      </w:r>
    </w:p>
    <w:p>
      <w:pPr>
        <w:rPr>
          <w:b/>
          <w:bCs/>
          <w:color w:val="auto"/>
          <w:sz w:val="24"/>
          <w:szCs w:val="32"/>
        </w:rPr>
      </w:pPr>
      <w:bookmarkStart w:id="61" w:name="_Toc46496129"/>
      <w:r>
        <w:rPr>
          <w:b/>
          <w:bCs/>
          <w:color w:val="auto"/>
          <w:sz w:val="24"/>
          <w:szCs w:val="32"/>
        </w:rPr>
        <w:t>1.4</w:t>
      </w:r>
      <w:r>
        <w:rPr>
          <w:rFonts w:hint="eastAsia"/>
          <w:b/>
          <w:bCs/>
          <w:color w:val="auto"/>
          <w:sz w:val="24"/>
          <w:szCs w:val="32"/>
        </w:rPr>
        <w:t>采购包划分</w:t>
      </w:r>
      <w:bookmarkEnd w:id="61"/>
    </w:p>
    <w:p>
      <w:pPr>
        <w:pStyle w:val="22"/>
        <w:tabs>
          <w:tab w:val="left" w:pos="630"/>
        </w:tabs>
        <w:snapToGrid w:val="0"/>
        <w:spacing w:line="440" w:lineRule="exact"/>
        <w:ind w:firstLine="420" w:firstLineChars="200"/>
        <w:rPr>
          <w:rFonts w:hAnsi="宋体"/>
          <w:color w:val="auto"/>
        </w:rPr>
      </w:pPr>
      <w:r>
        <w:rPr>
          <w:rFonts w:hint="eastAsia" w:hAnsi="宋体"/>
          <w:color w:val="auto"/>
        </w:rPr>
        <w:t>本项目采购包划分情况见投标人须知前附表。</w:t>
      </w:r>
      <w:bookmarkEnd w:id="35"/>
    </w:p>
    <w:p>
      <w:pPr>
        <w:rPr>
          <w:b/>
          <w:bCs/>
          <w:color w:val="auto"/>
          <w:sz w:val="24"/>
          <w:szCs w:val="32"/>
        </w:rPr>
      </w:pPr>
      <w:bookmarkStart w:id="62" w:name="_Toc46496130"/>
      <w:bookmarkStart w:id="63" w:name="_Toc107822486"/>
      <w:bookmarkStart w:id="64" w:name="_Toc227057888"/>
      <w:bookmarkStart w:id="65" w:name="_Toc447265221"/>
      <w:bookmarkStart w:id="66" w:name="_Toc226969281"/>
      <w:bookmarkStart w:id="67" w:name="_Toc447265507"/>
      <w:bookmarkStart w:id="68" w:name="_Toc447188672"/>
      <w:r>
        <w:rPr>
          <w:b/>
          <w:bCs/>
          <w:color w:val="auto"/>
          <w:sz w:val="24"/>
          <w:szCs w:val="32"/>
        </w:rPr>
        <w:t>1.5</w:t>
      </w:r>
      <w:r>
        <w:rPr>
          <w:rFonts w:hint="eastAsia"/>
          <w:b/>
          <w:bCs/>
          <w:color w:val="auto"/>
          <w:sz w:val="24"/>
          <w:szCs w:val="32"/>
        </w:rPr>
        <w:t>招标方式</w:t>
      </w:r>
      <w:bookmarkEnd w:id="62"/>
      <w:bookmarkEnd w:id="63"/>
      <w:bookmarkEnd w:id="64"/>
      <w:bookmarkEnd w:id="65"/>
      <w:bookmarkEnd w:id="66"/>
      <w:bookmarkEnd w:id="67"/>
      <w:bookmarkEnd w:id="68"/>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1.5.1招标方式见投标人须知前附表。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1.5.2公开招标，是指招标人以招标公告的方式邀请不特定的法人或者其他组织投标。</w:t>
      </w:r>
    </w:p>
    <w:p>
      <w:pPr>
        <w:pStyle w:val="22"/>
        <w:tabs>
          <w:tab w:val="left" w:pos="630"/>
        </w:tabs>
        <w:snapToGrid w:val="0"/>
        <w:spacing w:line="440" w:lineRule="exact"/>
        <w:ind w:firstLine="424" w:firstLineChars="202"/>
        <w:rPr>
          <w:rFonts w:hAnsi="宋体"/>
          <w:color w:val="auto"/>
        </w:rPr>
      </w:pPr>
      <w:r>
        <w:rPr>
          <w:rFonts w:hAnsi="宋体"/>
          <w:color w:val="auto"/>
        </w:rPr>
        <w:t>1.5.3</w:t>
      </w:r>
      <w:r>
        <w:rPr>
          <w:rFonts w:hint="eastAsia" w:hAnsi="宋体"/>
          <w:color w:val="auto"/>
        </w:rPr>
        <w:t>邀请招标，是指招标人以投标邀请书的方式邀请特定的法人或者其他组织投标。</w:t>
      </w:r>
    </w:p>
    <w:p>
      <w:pPr>
        <w:rPr>
          <w:b/>
          <w:bCs/>
          <w:color w:val="auto"/>
          <w:sz w:val="24"/>
          <w:szCs w:val="32"/>
        </w:rPr>
      </w:pPr>
      <w:bookmarkStart w:id="69" w:name="_Toc447265508"/>
      <w:bookmarkStart w:id="70" w:name="_Toc46496131"/>
      <w:bookmarkStart w:id="71" w:name="_Toc226969280"/>
      <w:bookmarkStart w:id="72" w:name="_Toc227057887"/>
      <w:bookmarkStart w:id="73" w:name="_Toc107822485"/>
      <w:bookmarkStart w:id="74" w:name="_Toc447265222"/>
      <w:bookmarkStart w:id="75" w:name="_Toc447188673"/>
      <w:bookmarkStart w:id="76" w:name="_Toc226969282"/>
      <w:bookmarkStart w:id="77" w:name="_Toc227057889"/>
      <w:r>
        <w:rPr>
          <w:b/>
          <w:bCs/>
          <w:color w:val="auto"/>
          <w:sz w:val="24"/>
          <w:szCs w:val="32"/>
        </w:rPr>
        <w:t>1.6</w:t>
      </w:r>
      <w:r>
        <w:rPr>
          <w:rFonts w:hint="eastAsia"/>
          <w:b/>
          <w:bCs/>
          <w:color w:val="auto"/>
          <w:sz w:val="24"/>
          <w:szCs w:val="32"/>
        </w:rPr>
        <w:t>招标组织形式</w:t>
      </w:r>
      <w:bookmarkEnd w:id="69"/>
      <w:bookmarkEnd w:id="70"/>
      <w:bookmarkEnd w:id="71"/>
      <w:bookmarkEnd w:id="72"/>
      <w:bookmarkEnd w:id="73"/>
      <w:bookmarkEnd w:id="74"/>
      <w:bookmarkEnd w:id="75"/>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本项目由招标人自行组织</w:t>
      </w:r>
      <w:r>
        <w:rPr>
          <w:rFonts w:ascii="宋体" w:hAnsi="宋体" w:cs="宋体"/>
          <w:color w:val="auto"/>
          <w:szCs w:val="21"/>
        </w:rPr>
        <w:t>/委托</w:t>
      </w:r>
      <w:r>
        <w:rPr>
          <w:rFonts w:hint="eastAsia" w:ascii="宋体" w:hAnsi="宋体" w:cs="宋体"/>
          <w:color w:val="auto"/>
          <w:szCs w:val="21"/>
        </w:rPr>
        <w:t>招标代理机构采用代理招标的方式进行，招标组织形式、招标代理机构名称及联系方式见投标人须知前附表。</w:t>
      </w:r>
    </w:p>
    <w:p>
      <w:pPr>
        <w:rPr>
          <w:b/>
          <w:bCs/>
          <w:color w:val="auto"/>
          <w:sz w:val="24"/>
          <w:szCs w:val="32"/>
        </w:rPr>
      </w:pPr>
      <w:bookmarkStart w:id="78" w:name="_Toc447265509"/>
      <w:bookmarkStart w:id="79" w:name="_Toc447188674"/>
      <w:bookmarkStart w:id="80" w:name="_Toc46496132"/>
      <w:bookmarkStart w:id="81" w:name="_Toc447265223"/>
      <w:r>
        <w:rPr>
          <w:b/>
          <w:bCs/>
          <w:color w:val="auto"/>
          <w:sz w:val="24"/>
          <w:szCs w:val="32"/>
        </w:rPr>
        <w:t>1.7</w:t>
      </w:r>
      <w:r>
        <w:rPr>
          <w:rFonts w:hint="eastAsia"/>
          <w:b/>
          <w:bCs/>
          <w:color w:val="auto"/>
          <w:sz w:val="24"/>
          <w:szCs w:val="32"/>
        </w:rPr>
        <w:t>资格审查</w:t>
      </w:r>
      <w:bookmarkEnd w:id="76"/>
      <w:bookmarkEnd w:id="77"/>
      <w:bookmarkEnd w:id="78"/>
      <w:bookmarkEnd w:id="79"/>
      <w:bookmarkEnd w:id="80"/>
      <w:bookmarkEnd w:id="81"/>
    </w:p>
    <w:p>
      <w:pPr>
        <w:adjustRightInd w:val="0"/>
        <w:snapToGrid w:val="0"/>
        <w:spacing w:line="440" w:lineRule="exact"/>
        <w:ind w:firstLine="424" w:firstLineChars="202"/>
        <w:rPr>
          <w:rFonts w:ascii="宋体" w:hAnsi="宋体" w:cs="宋体"/>
          <w:color w:val="auto"/>
          <w:szCs w:val="21"/>
        </w:rPr>
      </w:pPr>
      <w:bookmarkStart w:id="82" w:name="_Toc447265224"/>
      <w:bookmarkStart w:id="83" w:name="_Toc447188675"/>
      <w:bookmarkStart w:id="84" w:name="_Toc447265510"/>
      <w:r>
        <w:rPr>
          <w:rFonts w:ascii="宋体" w:hAnsi="宋体" w:cs="宋体"/>
          <w:color w:val="auto"/>
          <w:szCs w:val="21"/>
        </w:rPr>
        <w:t>1.7.1本招标项目资格审查方式见投标人须知前附表。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1.7.2资格预审是指在投标前对投标人进行的资格审查。采用资格预审方式的，资格条件已经在招标文件发出前的“资格预审文件”中做出规定。</w:t>
      </w:r>
    </w:p>
    <w:p>
      <w:pPr>
        <w:pStyle w:val="22"/>
        <w:tabs>
          <w:tab w:val="left" w:pos="630"/>
        </w:tabs>
        <w:snapToGrid w:val="0"/>
        <w:spacing w:line="440" w:lineRule="exact"/>
        <w:ind w:firstLine="424" w:firstLineChars="202"/>
        <w:rPr>
          <w:rFonts w:hAnsi="宋体"/>
          <w:color w:val="auto"/>
        </w:rPr>
      </w:pPr>
      <w:bookmarkStart w:id="85" w:name="_Toc226969283"/>
      <w:r>
        <w:rPr>
          <w:rFonts w:hint="eastAsia" w:hAnsi="宋体"/>
          <w:color w:val="auto"/>
        </w:rPr>
        <w:t>资格后审是指在唱价后由评标委员会根据招标文件的规定对投标人进行的资格审查。</w:t>
      </w:r>
      <w:bookmarkEnd w:id="85"/>
      <w:r>
        <w:rPr>
          <w:rFonts w:hint="eastAsia" w:hAnsi="宋体"/>
          <w:color w:val="auto"/>
        </w:rPr>
        <w:t>采用资格后审方式的，投标人应当具备的资格条件见投标人须知前附表。</w:t>
      </w:r>
    </w:p>
    <w:p>
      <w:pPr>
        <w:pStyle w:val="22"/>
        <w:tabs>
          <w:tab w:val="left" w:pos="630"/>
        </w:tabs>
        <w:snapToGrid w:val="0"/>
        <w:spacing w:line="440" w:lineRule="exact"/>
        <w:ind w:firstLine="424" w:firstLineChars="202"/>
        <w:rPr>
          <w:rFonts w:hAnsi="宋体"/>
          <w:color w:val="auto"/>
        </w:rPr>
      </w:pPr>
      <w:r>
        <w:rPr>
          <w:rFonts w:hint="eastAsia" w:hAnsi="宋体"/>
          <w:color w:val="auto"/>
        </w:rPr>
        <w:t>采用资格后审的，招标人必须在招标文件中详细规定资格审查标准和方法。</w:t>
      </w:r>
    </w:p>
    <w:p>
      <w:pPr>
        <w:pStyle w:val="22"/>
        <w:tabs>
          <w:tab w:val="left" w:pos="630"/>
        </w:tabs>
        <w:snapToGrid w:val="0"/>
        <w:spacing w:line="440" w:lineRule="exact"/>
        <w:ind w:firstLine="424" w:firstLineChars="202"/>
        <w:rPr>
          <w:rFonts w:hAnsi="宋体"/>
          <w:color w:val="auto"/>
        </w:rPr>
      </w:pPr>
      <w:r>
        <w:rPr>
          <w:rFonts w:hint="eastAsia" w:hAnsi="宋体"/>
          <w:color w:val="auto"/>
        </w:rPr>
        <w:t>资格后审一般包括下列内容：</w:t>
      </w:r>
    </w:p>
    <w:p>
      <w:pPr>
        <w:numPr>
          <w:ilvl w:val="0"/>
          <w:numId w:val="6"/>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资格要求；</w:t>
      </w:r>
    </w:p>
    <w:p>
      <w:pPr>
        <w:numPr>
          <w:ilvl w:val="0"/>
          <w:numId w:val="6"/>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其他业绩要求；</w:t>
      </w:r>
    </w:p>
    <w:p>
      <w:pPr>
        <w:numPr>
          <w:ilvl w:val="0"/>
          <w:numId w:val="6"/>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审查标准和方法。</w:t>
      </w:r>
    </w:p>
    <w:p>
      <w:pPr>
        <w:pStyle w:val="22"/>
        <w:tabs>
          <w:tab w:val="left" w:pos="630"/>
        </w:tabs>
        <w:snapToGrid w:val="0"/>
        <w:spacing w:line="440" w:lineRule="exact"/>
        <w:ind w:firstLine="424" w:firstLineChars="202"/>
        <w:rPr>
          <w:rFonts w:hAnsi="宋体"/>
          <w:color w:val="auto"/>
        </w:rPr>
      </w:pPr>
      <w:r>
        <w:rPr>
          <w:rFonts w:hint="eastAsia" w:hAnsi="宋体"/>
          <w:color w:val="auto"/>
        </w:rPr>
        <w:t>资格后审不合格的投标人，评标委员会应当否决其投标。</w:t>
      </w:r>
    </w:p>
    <w:p>
      <w:pPr>
        <w:rPr>
          <w:b/>
          <w:bCs/>
          <w:color w:val="auto"/>
          <w:sz w:val="24"/>
          <w:szCs w:val="32"/>
        </w:rPr>
      </w:pPr>
      <w:bookmarkStart w:id="86" w:name="_Toc46496133"/>
      <w:r>
        <w:rPr>
          <w:b/>
          <w:bCs/>
          <w:color w:val="auto"/>
          <w:sz w:val="24"/>
          <w:szCs w:val="32"/>
        </w:rPr>
        <w:t>1.8</w:t>
      </w:r>
      <w:r>
        <w:rPr>
          <w:rFonts w:hint="eastAsia"/>
          <w:b/>
          <w:bCs/>
          <w:color w:val="auto"/>
          <w:sz w:val="24"/>
          <w:szCs w:val="32"/>
        </w:rPr>
        <w:t>投标人不得存在的情形</w:t>
      </w:r>
      <w:bookmarkEnd w:id="82"/>
      <w:bookmarkEnd w:id="83"/>
      <w:bookmarkEnd w:id="84"/>
      <w:bookmarkEnd w:id="86"/>
    </w:p>
    <w:p>
      <w:pPr>
        <w:pStyle w:val="22"/>
        <w:tabs>
          <w:tab w:val="left" w:pos="630"/>
        </w:tabs>
        <w:snapToGrid w:val="0"/>
        <w:spacing w:line="440" w:lineRule="exact"/>
        <w:ind w:firstLine="424" w:firstLineChars="202"/>
        <w:rPr>
          <w:rFonts w:hAnsi="宋体"/>
          <w:color w:val="auto"/>
        </w:rPr>
      </w:pPr>
      <w:r>
        <w:rPr>
          <w:rFonts w:hAnsi="宋体"/>
          <w:color w:val="auto"/>
        </w:rPr>
        <w:t>1.8.1投标人不得存在下列情形之一</w:t>
      </w:r>
    </w:p>
    <w:p>
      <w:pPr>
        <w:pStyle w:val="76"/>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为招标人不具有独立法人资格的附属机构（单位）；</w:t>
      </w:r>
      <w:r>
        <w:rPr>
          <w:rFonts w:ascii="宋体" w:hAnsi="宋体"/>
          <w:color w:val="auto"/>
        </w:rPr>
        <w:t xml:space="preserve"> </w:t>
      </w:r>
    </w:p>
    <w:p>
      <w:pPr>
        <w:pStyle w:val="76"/>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被责令停业的；</w:t>
      </w:r>
      <w:r>
        <w:rPr>
          <w:rFonts w:ascii="宋体" w:hAnsi="宋体"/>
          <w:color w:val="auto"/>
        </w:rPr>
        <w:t xml:space="preserve"> </w:t>
      </w:r>
    </w:p>
    <w:p>
      <w:pPr>
        <w:pStyle w:val="76"/>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被暂停或者取消投标资格的；</w:t>
      </w:r>
      <w:r>
        <w:rPr>
          <w:rFonts w:ascii="宋体" w:hAnsi="宋体"/>
          <w:color w:val="auto"/>
        </w:rPr>
        <w:t xml:space="preserve"> </w:t>
      </w:r>
    </w:p>
    <w:p>
      <w:pPr>
        <w:pStyle w:val="76"/>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财产被接管或者冻结的；</w:t>
      </w:r>
    </w:p>
    <w:p>
      <w:pPr>
        <w:pStyle w:val="76"/>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在最近三年内有骗取中标、严重违约、重大工程质量或者安全问题的；</w:t>
      </w:r>
    </w:p>
    <w:p>
      <w:pPr>
        <w:pStyle w:val="76"/>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法律法规限定的其他情形；</w:t>
      </w:r>
    </w:p>
    <w:p>
      <w:pPr>
        <w:pStyle w:val="76"/>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招标文件规定的其他情形：见投标人须知前附表。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1.8.2单位负责人为同一人或者存在控股、管理关系的不同单位，不得同时投标本项目中同一采购包或者投标未划分采购包的同一项目。</w:t>
      </w:r>
    </w:p>
    <w:p>
      <w:pPr>
        <w:rPr>
          <w:b/>
          <w:bCs/>
          <w:color w:val="auto"/>
          <w:sz w:val="24"/>
          <w:szCs w:val="32"/>
        </w:rPr>
      </w:pPr>
      <w:bookmarkStart w:id="87" w:name="_Toc226969284"/>
      <w:bookmarkStart w:id="88" w:name="_Toc107822487"/>
      <w:bookmarkStart w:id="89" w:name="_Toc447265225"/>
      <w:bookmarkStart w:id="90" w:name="_Toc447188676"/>
      <w:bookmarkStart w:id="91" w:name="_Toc447265511"/>
      <w:bookmarkStart w:id="92" w:name="_Toc46496134"/>
      <w:bookmarkStart w:id="93" w:name="_Toc227057890"/>
      <w:r>
        <w:rPr>
          <w:b/>
          <w:bCs/>
          <w:color w:val="auto"/>
          <w:sz w:val="24"/>
          <w:szCs w:val="32"/>
        </w:rPr>
        <w:t>1.9</w:t>
      </w:r>
      <w:r>
        <w:rPr>
          <w:rFonts w:hint="eastAsia"/>
          <w:b/>
          <w:bCs/>
          <w:color w:val="auto"/>
          <w:sz w:val="24"/>
          <w:szCs w:val="32"/>
        </w:rPr>
        <w:t>合格的货物和服务</w:t>
      </w:r>
      <w:bookmarkEnd w:id="87"/>
      <w:bookmarkEnd w:id="88"/>
      <w:bookmarkEnd w:id="89"/>
      <w:bookmarkEnd w:id="90"/>
      <w:bookmarkEnd w:id="91"/>
      <w:bookmarkEnd w:id="92"/>
      <w:bookmarkEnd w:id="93"/>
    </w:p>
    <w:p>
      <w:pPr>
        <w:pStyle w:val="22"/>
        <w:tabs>
          <w:tab w:val="left" w:pos="630"/>
        </w:tabs>
        <w:snapToGrid w:val="0"/>
        <w:spacing w:line="440" w:lineRule="exact"/>
        <w:ind w:firstLine="283" w:firstLineChars="135"/>
        <w:rPr>
          <w:rFonts w:hAnsi="宋体"/>
          <w:color w:val="auto"/>
        </w:rPr>
      </w:pPr>
      <w:r>
        <w:rPr>
          <w:rFonts w:hAnsi="宋体"/>
          <w:color w:val="auto"/>
        </w:rPr>
        <w:t>1.9.1投标人提供的所有货物及其有关服务的原产地，均应当来自中国或者是与中国有正常贸易往来的国家或者地区。招标人的支付也仅限于这些货物和服务。</w:t>
      </w:r>
    </w:p>
    <w:p>
      <w:pPr>
        <w:pStyle w:val="22"/>
        <w:tabs>
          <w:tab w:val="left" w:pos="630"/>
        </w:tabs>
        <w:snapToGrid w:val="0"/>
        <w:spacing w:line="440" w:lineRule="exact"/>
        <w:ind w:firstLine="283" w:firstLineChars="135"/>
        <w:rPr>
          <w:rFonts w:hAnsi="宋体"/>
          <w:color w:val="auto"/>
        </w:rPr>
      </w:pPr>
      <w:r>
        <w:rPr>
          <w:rFonts w:hAnsi="宋体"/>
          <w:color w:val="auto"/>
        </w:rPr>
        <w:t>1.9.2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pPr>
        <w:pStyle w:val="22"/>
        <w:tabs>
          <w:tab w:val="left" w:pos="630"/>
        </w:tabs>
        <w:snapToGrid w:val="0"/>
        <w:spacing w:line="440" w:lineRule="exact"/>
        <w:ind w:firstLine="283" w:firstLineChars="135"/>
        <w:rPr>
          <w:rFonts w:hAnsi="宋体"/>
          <w:color w:val="auto"/>
        </w:rPr>
      </w:pPr>
      <w:r>
        <w:rPr>
          <w:rFonts w:hAnsi="宋体"/>
          <w:color w:val="auto"/>
        </w:rPr>
        <w:t>1.9.3投标人提供的所有货物及其有关服务应当符合国家规定的资格条件。</w:t>
      </w:r>
    </w:p>
    <w:p>
      <w:pPr>
        <w:rPr>
          <w:b/>
          <w:bCs/>
          <w:color w:val="auto"/>
          <w:sz w:val="24"/>
          <w:szCs w:val="32"/>
        </w:rPr>
      </w:pPr>
      <w:bookmarkStart w:id="94" w:name="_Toc226969285"/>
      <w:bookmarkStart w:id="95" w:name="_Toc46496135"/>
      <w:bookmarkStart w:id="96" w:name="_Toc227057891"/>
      <w:bookmarkStart w:id="97" w:name="_Toc447265512"/>
      <w:bookmarkStart w:id="98" w:name="_Toc447188677"/>
      <w:bookmarkStart w:id="99" w:name="_Toc447265226"/>
      <w:bookmarkStart w:id="100" w:name="_Toc107822488"/>
      <w:r>
        <w:rPr>
          <w:b/>
          <w:bCs/>
          <w:color w:val="auto"/>
          <w:sz w:val="24"/>
          <w:szCs w:val="32"/>
        </w:rPr>
        <w:t>1.10</w:t>
      </w:r>
      <w:r>
        <w:rPr>
          <w:rFonts w:hint="eastAsia"/>
          <w:b/>
          <w:bCs/>
          <w:color w:val="auto"/>
          <w:sz w:val="24"/>
          <w:szCs w:val="32"/>
        </w:rPr>
        <w:t>投标费用</w:t>
      </w:r>
      <w:bookmarkEnd w:id="94"/>
      <w:bookmarkEnd w:id="95"/>
      <w:bookmarkEnd w:id="96"/>
      <w:bookmarkEnd w:id="97"/>
      <w:bookmarkEnd w:id="98"/>
      <w:bookmarkEnd w:id="99"/>
      <w:bookmarkEnd w:id="10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不论结果如何，投标人自行承担所有准备和参与招标有关的费用。</w:t>
      </w:r>
      <w:bookmarkStart w:id="101" w:name="_Toc107822489"/>
      <w:bookmarkStart w:id="102" w:name="_Toc227057892"/>
      <w:bookmarkStart w:id="103" w:name="_Toc226969286"/>
    </w:p>
    <w:p>
      <w:pPr>
        <w:rPr>
          <w:b/>
          <w:bCs/>
          <w:color w:val="auto"/>
          <w:sz w:val="24"/>
          <w:szCs w:val="32"/>
        </w:rPr>
      </w:pPr>
      <w:bookmarkStart w:id="104" w:name="_Toc46496136"/>
      <w:bookmarkStart w:id="105" w:name="_Toc447265227"/>
      <w:bookmarkStart w:id="106" w:name="_Toc447265513"/>
      <w:r>
        <w:rPr>
          <w:b/>
          <w:bCs/>
          <w:color w:val="auto"/>
          <w:sz w:val="24"/>
          <w:szCs w:val="32"/>
        </w:rPr>
        <w:t>1.11</w:t>
      </w:r>
      <w:r>
        <w:rPr>
          <w:rFonts w:hint="eastAsia"/>
          <w:b/>
          <w:bCs/>
          <w:color w:val="auto"/>
          <w:sz w:val="24"/>
          <w:szCs w:val="32"/>
        </w:rPr>
        <w:t>保密</w:t>
      </w:r>
      <w:bookmarkEnd w:id="104"/>
      <w:bookmarkEnd w:id="105"/>
      <w:bookmarkEnd w:id="106"/>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参与招标活动的各方应当对招标文件和投标文件中的商业和技术等秘密保密，违者应当对由此造成的后果承担法律责任。</w:t>
      </w:r>
    </w:p>
    <w:p>
      <w:pPr>
        <w:numPr>
          <w:ilvl w:val="0"/>
          <w:numId w:val="5"/>
        </w:numPr>
        <w:rPr>
          <w:b/>
          <w:bCs/>
          <w:color w:val="auto"/>
          <w:sz w:val="24"/>
          <w:szCs w:val="32"/>
        </w:rPr>
      </w:pPr>
      <w:r>
        <w:rPr>
          <w:rFonts w:hint="eastAsia"/>
          <w:b/>
          <w:bCs/>
          <w:color w:val="auto"/>
          <w:sz w:val="24"/>
          <w:szCs w:val="32"/>
        </w:rPr>
        <w:t>招标文件</w:t>
      </w:r>
      <w:r>
        <w:rPr>
          <w:b/>
          <w:bCs/>
          <w:color w:val="auto"/>
          <w:sz w:val="24"/>
          <w:szCs w:val="32"/>
        </w:rPr>
        <w:t xml:space="preserve"> </w:t>
      </w:r>
    </w:p>
    <w:p>
      <w:pPr>
        <w:rPr>
          <w:b/>
          <w:bCs/>
          <w:color w:val="auto"/>
          <w:sz w:val="24"/>
          <w:szCs w:val="32"/>
        </w:rPr>
      </w:pPr>
      <w:bookmarkStart w:id="107" w:name="_Toc46496138"/>
      <w:bookmarkStart w:id="108" w:name="_Toc447265229"/>
      <w:bookmarkStart w:id="109" w:name="_Toc447265515"/>
      <w:bookmarkStart w:id="110" w:name="_Toc447188679"/>
      <w:r>
        <w:rPr>
          <w:b/>
          <w:bCs/>
          <w:color w:val="auto"/>
          <w:sz w:val="24"/>
          <w:szCs w:val="32"/>
        </w:rPr>
        <w:t>2.1</w:t>
      </w:r>
      <w:r>
        <w:rPr>
          <w:rFonts w:hint="eastAsia"/>
          <w:b/>
          <w:bCs/>
          <w:color w:val="auto"/>
          <w:sz w:val="24"/>
          <w:szCs w:val="32"/>
        </w:rPr>
        <w:t>招标文件</w:t>
      </w:r>
      <w:bookmarkEnd w:id="101"/>
      <w:r>
        <w:rPr>
          <w:rFonts w:hint="eastAsia"/>
          <w:b/>
          <w:bCs/>
          <w:color w:val="auto"/>
          <w:sz w:val="24"/>
          <w:szCs w:val="32"/>
        </w:rPr>
        <w:t>的组成</w:t>
      </w:r>
      <w:bookmarkEnd w:id="102"/>
      <w:bookmarkEnd w:id="103"/>
      <w:bookmarkEnd w:id="107"/>
      <w:bookmarkEnd w:id="108"/>
      <w:bookmarkEnd w:id="109"/>
      <w:bookmarkEnd w:id="110"/>
    </w:p>
    <w:p>
      <w:pPr>
        <w:pStyle w:val="22"/>
        <w:tabs>
          <w:tab w:val="left" w:pos="630"/>
        </w:tabs>
        <w:snapToGrid w:val="0"/>
        <w:spacing w:line="440" w:lineRule="exact"/>
        <w:ind w:firstLine="424" w:firstLineChars="202"/>
        <w:rPr>
          <w:rFonts w:hAnsi="宋体"/>
          <w:color w:val="auto"/>
        </w:rPr>
      </w:pPr>
      <w:r>
        <w:rPr>
          <w:rFonts w:hAnsi="宋体"/>
          <w:color w:val="auto"/>
        </w:rPr>
        <w:t>2.1.1招标文件一般由以下部分组成：</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第一章</w:t>
      </w:r>
      <w:r>
        <w:rPr>
          <w:rFonts w:ascii="宋体" w:hAnsi="宋体" w:cs="宋体"/>
          <w:color w:val="auto"/>
          <w:szCs w:val="21"/>
        </w:rPr>
        <w:t xml:space="preserve"> </w:t>
      </w:r>
      <w:r>
        <w:rPr>
          <w:rFonts w:hint="eastAsia" w:ascii="宋体" w:hAnsi="宋体" w:cs="宋体"/>
          <w:color w:val="auto"/>
          <w:szCs w:val="21"/>
        </w:rPr>
        <w:t>招标公告</w:t>
      </w:r>
      <w:r>
        <w:rPr>
          <w:rFonts w:ascii="宋体" w:hAnsi="宋体" w:cs="宋体"/>
          <w:color w:val="auto"/>
          <w:szCs w:val="21"/>
        </w:rPr>
        <w:t>/投标邀请书</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第二章</w:t>
      </w:r>
      <w:r>
        <w:rPr>
          <w:rFonts w:ascii="宋体" w:hAnsi="宋体" w:cs="宋体"/>
          <w:color w:val="auto"/>
          <w:szCs w:val="21"/>
        </w:rPr>
        <w:t xml:space="preserve"> </w:t>
      </w:r>
      <w:r>
        <w:rPr>
          <w:rFonts w:hint="eastAsia" w:ascii="宋体" w:hAnsi="宋体" w:cs="宋体"/>
          <w:color w:val="auto"/>
          <w:szCs w:val="21"/>
        </w:rPr>
        <w:t>投标人须知</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第三章</w:t>
      </w:r>
      <w:r>
        <w:rPr>
          <w:rFonts w:ascii="宋体" w:hAnsi="宋体" w:cs="宋体"/>
          <w:color w:val="auto"/>
          <w:szCs w:val="21"/>
        </w:rPr>
        <w:t xml:space="preserve"> </w:t>
      </w:r>
      <w:r>
        <w:rPr>
          <w:rFonts w:hint="eastAsia" w:ascii="宋体" w:hAnsi="宋体" w:cs="宋体"/>
          <w:color w:val="auto"/>
          <w:szCs w:val="21"/>
        </w:rPr>
        <w:t>评审办法</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第四章</w:t>
      </w:r>
      <w:r>
        <w:rPr>
          <w:rFonts w:ascii="宋体" w:hAnsi="宋体" w:cs="宋体"/>
          <w:color w:val="auto"/>
          <w:szCs w:val="21"/>
        </w:rPr>
        <w:t xml:space="preserve"> </w:t>
      </w:r>
      <w:r>
        <w:rPr>
          <w:rFonts w:hint="eastAsia" w:ascii="宋体" w:hAnsi="宋体" w:cs="宋体"/>
          <w:color w:val="auto"/>
          <w:szCs w:val="21"/>
        </w:rPr>
        <w:t>合同条款</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第五章</w:t>
      </w:r>
      <w:r>
        <w:rPr>
          <w:rFonts w:ascii="宋体" w:hAnsi="宋体" w:cs="宋体"/>
          <w:color w:val="auto"/>
          <w:szCs w:val="21"/>
        </w:rPr>
        <w:t xml:space="preserve"> </w:t>
      </w:r>
      <w:r>
        <w:rPr>
          <w:rFonts w:hint="eastAsia" w:ascii="宋体" w:hAnsi="宋体" w:cs="宋体"/>
          <w:color w:val="auto"/>
          <w:szCs w:val="21"/>
        </w:rPr>
        <w:t>采购需求书</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第六章</w:t>
      </w:r>
      <w:r>
        <w:rPr>
          <w:rFonts w:ascii="宋体" w:hAnsi="宋体" w:cs="宋体"/>
          <w:color w:val="auto"/>
          <w:szCs w:val="21"/>
        </w:rPr>
        <w:t xml:space="preserve"> </w:t>
      </w:r>
      <w:r>
        <w:rPr>
          <w:rFonts w:hint="eastAsia" w:ascii="宋体" w:hAnsi="宋体" w:cs="宋体"/>
          <w:color w:val="auto"/>
          <w:szCs w:val="21"/>
        </w:rPr>
        <w:t>投标文件格式</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第七章</w:t>
      </w:r>
      <w:r>
        <w:rPr>
          <w:rFonts w:ascii="宋体" w:hAnsi="宋体" w:cs="宋体"/>
          <w:color w:val="auto"/>
          <w:szCs w:val="21"/>
        </w:rPr>
        <w:t xml:space="preserve"> </w:t>
      </w:r>
      <w:r>
        <w:rPr>
          <w:rFonts w:hint="eastAsia" w:ascii="宋体" w:hAnsi="宋体" w:cs="宋体"/>
          <w:color w:val="auto"/>
          <w:szCs w:val="21"/>
        </w:rPr>
        <w:t>其他</w:t>
      </w:r>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招标人另有规定的</w:t>
      </w:r>
      <w:r>
        <w:rPr>
          <w:rFonts w:hint="eastAsia" w:ascii="宋体" w:hAnsi="宋体" w:cs="宋体"/>
          <w:color w:val="auto"/>
          <w:szCs w:val="21"/>
        </w:rPr>
        <w:t>，</w:t>
      </w:r>
      <w:r>
        <w:rPr>
          <w:rFonts w:ascii="宋体" w:hAnsi="宋体" w:cs="宋体"/>
          <w:color w:val="auto"/>
          <w:szCs w:val="21"/>
        </w:rPr>
        <w:t>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2.1.2招标文件对同一内容的表述应当一致。第一章“招标公告”或者“投标邀请书”与招标文件在同一内容的表述上有矛盾或者冲突时，以第一章“招标公告”或者“投标邀请</w:t>
      </w:r>
      <w:r>
        <w:rPr>
          <w:rFonts w:hint="eastAsia" w:hAnsi="宋体"/>
          <w:color w:val="auto"/>
        </w:rPr>
        <w:t>书”为准；投标人须知前附表与投标人须知正文在同一内容的表述上有矛盾或者冲突时，以投标人须知前附表为准。</w:t>
      </w:r>
    </w:p>
    <w:p>
      <w:pPr>
        <w:pStyle w:val="22"/>
        <w:tabs>
          <w:tab w:val="left" w:pos="630"/>
        </w:tabs>
        <w:snapToGrid w:val="0"/>
        <w:spacing w:line="440" w:lineRule="exact"/>
        <w:ind w:firstLine="424" w:firstLineChars="202"/>
        <w:rPr>
          <w:rFonts w:hAnsi="宋体"/>
          <w:color w:val="auto"/>
        </w:rPr>
      </w:pPr>
      <w:r>
        <w:rPr>
          <w:rFonts w:hAnsi="宋体"/>
          <w:color w:val="auto"/>
        </w:rPr>
        <w:t>2.1.3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2.1.4招标人可要求以某一单项报价核定是否低于成本，具体要求见投标人须知前附表。</w:t>
      </w:r>
    </w:p>
    <w:p>
      <w:pPr>
        <w:rPr>
          <w:b/>
          <w:bCs/>
          <w:color w:val="auto"/>
          <w:sz w:val="24"/>
          <w:szCs w:val="32"/>
        </w:rPr>
      </w:pPr>
      <w:bookmarkStart w:id="111" w:name="_Toc447188680"/>
      <w:bookmarkStart w:id="112" w:name="_Toc46496139"/>
      <w:bookmarkStart w:id="113" w:name="_Toc447265230"/>
      <w:bookmarkStart w:id="114" w:name="_Toc447265516"/>
      <w:bookmarkStart w:id="115" w:name="_Toc107822490"/>
      <w:bookmarkStart w:id="116" w:name="_Toc227057893"/>
      <w:bookmarkStart w:id="117" w:name="_Toc226969287"/>
      <w:r>
        <w:rPr>
          <w:b/>
          <w:bCs/>
          <w:color w:val="auto"/>
          <w:sz w:val="24"/>
          <w:szCs w:val="32"/>
        </w:rPr>
        <w:t>2.2</w:t>
      </w:r>
      <w:r>
        <w:rPr>
          <w:rFonts w:hint="eastAsia"/>
          <w:b/>
          <w:bCs/>
          <w:color w:val="auto"/>
          <w:sz w:val="24"/>
          <w:szCs w:val="32"/>
        </w:rPr>
        <w:t>踏勘现场</w:t>
      </w:r>
      <w:bookmarkEnd w:id="111"/>
      <w:bookmarkEnd w:id="112"/>
      <w:bookmarkEnd w:id="113"/>
      <w:bookmarkEnd w:id="114"/>
    </w:p>
    <w:p>
      <w:pPr>
        <w:pStyle w:val="22"/>
        <w:tabs>
          <w:tab w:val="left" w:pos="630"/>
        </w:tabs>
        <w:snapToGrid w:val="0"/>
        <w:spacing w:line="440" w:lineRule="exact"/>
        <w:ind w:firstLine="283" w:firstLineChars="135"/>
        <w:rPr>
          <w:rFonts w:hAnsi="宋体"/>
          <w:color w:val="auto"/>
        </w:rPr>
      </w:pPr>
      <w:r>
        <w:rPr>
          <w:rFonts w:hAnsi="宋体"/>
          <w:color w:val="auto"/>
        </w:rPr>
        <w:t xml:space="preserve">2.2.1投标人须知前附表规定组织踏勘现场的，招标人按照投标人须知前附表规定的时间、地点组织投标人踏勘项目现场。 </w:t>
      </w:r>
    </w:p>
    <w:p>
      <w:pPr>
        <w:pStyle w:val="22"/>
        <w:tabs>
          <w:tab w:val="left" w:pos="630"/>
        </w:tabs>
        <w:snapToGrid w:val="0"/>
        <w:spacing w:line="440" w:lineRule="exact"/>
        <w:ind w:firstLine="283" w:firstLineChars="135"/>
        <w:rPr>
          <w:rFonts w:hAnsi="宋体"/>
          <w:color w:val="auto"/>
        </w:rPr>
      </w:pPr>
      <w:r>
        <w:rPr>
          <w:rFonts w:hAnsi="宋体"/>
          <w:color w:val="auto"/>
        </w:rPr>
        <w:t>2.2.2</w:t>
      </w:r>
      <w:r>
        <w:rPr>
          <w:rFonts w:hint="eastAsia" w:hAnsi="宋体"/>
          <w:color w:val="auto"/>
        </w:rPr>
        <w:t>潜在投标人踏勘现场发生的费用自理。</w:t>
      </w:r>
    </w:p>
    <w:p>
      <w:pPr>
        <w:pStyle w:val="22"/>
        <w:tabs>
          <w:tab w:val="left" w:pos="630"/>
        </w:tabs>
        <w:snapToGrid w:val="0"/>
        <w:spacing w:line="440" w:lineRule="exact"/>
        <w:ind w:firstLine="283" w:firstLineChars="135"/>
        <w:rPr>
          <w:rFonts w:hAnsi="宋体"/>
          <w:color w:val="auto"/>
        </w:rPr>
      </w:pPr>
      <w:r>
        <w:rPr>
          <w:rFonts w:hAnsi="宋体"/>
          <w:color w:val="auto"/>
        </w:rPr>
        <w:t>2.2.3</w:t>
      </w:r>
      <w:r>
        <w:rPr>
          <w:rFonts w:hint="eastAsia" w:hAnsi="宋体"/>
          <w:color w:val="auto"/>
        </w:rPr>
        <w:t>除招标人的原因外，潜在投标人自行负责在踏勘现场中所发生的人员伤亡和财产损失。</w:t>
      </w:r>
    </w:p>
    <w:p>
      <w:pPr>
        <w:pStyle w:val="22"/>
        <w:tabs>
          <w:tab w:val="left" w:pos="630"/>
        </w:tabs>
        <w:snapToGrid w:val="0"/>
        <w:spacing w:line="440" w:lineRule="exact"/>
        <w:ind w:firstLine="283" w:firstLineChars="135"/>
        <w:rPr>
          <w:rFonts w:hAnsi="宋体"/>
          <w:color w:val="auto"/>
        </w:rPr>
      </w:pPr>
      <w:r>
        <w:rPr>
          <w:rFonts w:hAnsi="宋体"/>
          <w:color w:val="auto"/>
        </w:rPr>
        <w:t>2.2.4</w:t>
      </w:r>
      <w:r>
        <w:rPr>
          <w:rFonts w:hint="eastAsia" w:hAnsi="宋体"/>
          <w:color w:val="auto"/>
        </w:rPr>
        <w:t>招标人在踏勘现场中介绍的项目现场和相关的周边环境情况，供潜在投标人在编制投标文件时参考，招标人不对投标人据此作出的判断和决策负责。</w:t>
      </w:r>
    </w:p>
    <w:p>
      <w:pPr>
        <w:rPr>
          <w:b/>
          <w:bCs/>
          <w:color w:val="auto"/>
          <w:sz w:val="24"/>
          <w:szCs w:val="32"/>
        </w:rPr>
      </w:pPr>
      <w:bookmarkStart w:id="118" w:name="_Toc447265231"/>
      <w:bookmarkStart w:id="119" w:name="_Toc447265517"/>
      <w:bookmarkStart w:id="120" w:name="_Toc46496140"/>
      <w:bookmarkStart w:id="121" w:name="_Toc447188681"/>
      <w:r>
        <w:rPr>
          <w:b/>
          <w:bCs/>
          <w:color w:val="auto"/>
          <w:sz w:val="24"/>
          <w:szCs w:val="32"/>
        </w:rPr>
        <w:t>2.3</w:t>
      </w:r>
      <w:r>
        <w:rPr>
          <w:rFonts w:hint="eastAsia"/>
          <w:b/>
          <w:bCs/>
          <w:color w:val="auto"/>
          <w:sz w:val="24"/>
          <w:szCs w:val="32"/>
        </w:rPr>
        <w:t>投标预备会</w:t>
      </w:r>
      <w:bookmarkEnd w:id="118"/>
      <w:bookmarkEnd w:id="119"/>
      <w:bookmarkEnd w:id="120"/>
      <w:bookmarkEnd w:id="121"/>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投标人须知前附表规定召开投标预备会的，招标人按照投标人须知前附表规定的时间和地点召开投标预备会，澄清潜在投标人提出的问题。</w:t>
      </w:r>
    </w:p>
    <w:p>
      <w:pPr>
        <w:rPr>
          <w:b/>
          <w:bCs/>
          <w:color w:val="auto"/>
          <w:sz w:val="24"/>
          <w:szCs w:val="32"/>
        </w:rPr>
      </w:pPr>
      <w:bookmarkStart w:id="122" w:name="_Toc46496141"/>
      <w:bookmarkStart w:id="123" w:name="_Toc447188682"/>
      <w:bookmarkStart w:id="124" w:name="_Toc447265518"/>
      <w:bookmarkStart w:id="125" w:name="_Toc447265232"/>
      <w:r>
        <w:rPr>
          <w:b/>
          <w:bCs/>
          <w:color w:val="auto"/>
          <w:sz w:val="24"/>
          <w:szCs w:val="32"/>
        </w:rPr>
        <w:t>2.4</w:t>
      </w:r>
      <w:r>
        <w:rPr>
          <w:rFonts w:hint="eastAsia"/>
          <w:b/>
          <w:bCs/>
          <w:color w:val="auto"/>
          <w:sz w:val="24"/>
          <w:szCs w:val="32"/>
        </w:rPr>
        <w:t>招标文件的澄清</w:t>
      </w:r>
      <w:bookmarkEnd w:id="115"/>
      <w:bookmarkEnd w:id="116"/>
      <w:bookmarkEnd w:id="117"/>
      <w:r>
        <w:rPr>
          <w:rFonts w:hint="eastAsia"/>
          <w:b/>
          <w:bCs/>
          <w:color w:val="auto"/>
          <w:sz w:val="24"/>
          <w:szCs w:val="32"/>
        </w:rPr>
        <w:t>和修改</w:t>
      </w:r>
      <w:bookmarkEnd w:id="122"/>
      <w:bookmarkEnd w:id="123"/>
      <w:bookmarkEnd w:id="124"/>
      <w:bookmarkEnd w:id="125"/>
    </w:p>
    <w:p>
      <w:pPr>
        <w:pStyle w:val="22"/>
        <w:tabs>
          <w:tab w:val="left" w:pos="630"/>
        </w:tabs>
        <w:snapToGrid w:val="0"/>
        <w:spacing w:line="440" w:lineRule="exact"/>
        <w:ind w:firstLine="283" w:firstLineChars="135"/>
        <w:rPr>
          <w:rFonts w:hAnsi="宋体"/>
          <w:color w:val="auto"/>
        </w:rPr>
      </w:pPr>
      <w:bookmarkStart w:id="126" w:name="_Toc179632564"/>
      <w:bookmarkStart w:id="127" w:name="_Toc447265519"/>
      <w:bookmarkStart w:id="128" w:name="_Toc152042322"/>
      <w:bookmarkStart w:id="129" w:name="_Toc296602436"/>
      <w:bookmarkStart w:id="130" w:name="_Toc447188683"/>
      <w:bookmarkStart w:id="131" w:name="_Toc152045546"/>
      <w:bookmarkStart w:id="132" w:name="_Toc227057895"/>
      <w:bookmarkStart w:id="133" w:name="_Toc107822492"/>
      <w:bookmarkStart w:id="134" w:name="_Toc247085705"/>
      <w:bookmarkStart w:id="135" w:name="_Toc246996934"/>
      <w:bookmarkStart w:id="136" w:name="_Toc226969289"/>
      <w:bookmarkStart w:id="137" w:name="_Toc246996191"/>
      <w:bookmarkStart w:id="138" w:name="_Toc144974514"/>
      <w:bookmarkStart w:id="139" w:name="_Toc447265233"/>
      <w:r>
        <w:rPr>
          <w:rFonts w:hAnsi="宋体"/>
          <w:color w:val="auto"/>
        </w:rPr>
        <w:t>2.4.1投标人对招标文件有疑问的，应当按照投标人须知前附表规定的时间和方式，要求招标人对招标文件进行澄清。</w:t>
      </w:r>
    </w:p>
    <w:p>
      <w:pPr>
        <w:pStyle w:val="22"/>
        <w:tabs>
          <w:tab w:val="left" w:pos="630"/>
        </w:tabs>
        <w:snapToGrid w:val="0"/>
        <w:spacing w:line="440" w:lineRule="exact"/>
        <w:ind w:firstLine="283" w:firstLineChars="135"/>
        <w:rPr>
          <w:rFonts w:hAnsi="宋体"/>
          <w:color w:val="auto"/>
        </w:rPr>
      </w:pPr>
      <w:r>
        <w:rPr>
          <w:rFonts w:hAnsi="宋体"/>
          <w:color w:val="auto"/>
        </w:rPr>
        <w:t>2.4.2</w:t>
      </w:r>
      <w:r>
        <w:rPr>
          <w:rFonts w:hint="eastAsia" w:hAnsi="宋体"/>
          <w:color w:val="auto"/>
        </w:rPr>
        <w:t>招标人应当按照投标人须知前附表规定的时间和方式，将澄清或者修改内容发给所有购买招标文件的投标人，但不指明问题的来源。</w:t>
      </w:r>
    </w:p>
    <w:p>
      <w:pPr>
        <w:pStyle w:val="22"/>
        <w:tabs>
          <w:tab w:val="left" w:pos="630"/>
        </w:tabs>
        <w:snapToGrid w:val="0"/>
        <w:spacing w:line="440" w:lineRule="exact"/>
        <w:ind w:firstLine="283" w:firstLineChars="135"/>
        <w:rPr>
          <w:rFonts w:hAnsi="宋体"/>
          <w:color w:val="auto"/>
        </w:rPr>
      </w:pPr>
      <w:r>
        <w:rPr>
          <w:rFonts w:hAnsi="宋体"/>
          <w:color w:val="auto"/>
        </w:rPr>
        <w:t>2.4.4投标人收到澄清或者修改后，应当按照投标人须知前附表规定的时间和方式通知招标人，确认已收到该澄清或者修改。</w:t>
      </w:r>
    </w:p>
    <w:p>
      <w:pPr>
        <w:pStyle w:val="22"/>
        <w:tabs>
          <w:tab w:val="left" w:pos="630"/>
        </w:tabs>
        <w:snapToGrid w:val="0"/>
        <w:spacing w:line="440" w:lineRule="exact"/>
        <w:ind w:firstLine="283" w:firstLineChars="135"/>
        <w:rPr>
          <w:rFonts w:hAnsi="宋体"/>
          <w:color w:val="auto"/>
        </w:rPr>
      </w:pPr>
      <w:r>
        <w:rPr>
          <w:rFonts w:hAnsi="宋体"/>
          <w:color w:val="auto"/>
        </w:rPr>
        <w:t>2.4.5所有关于招标文件的澄清和修改均作为招标文件的补充部分。当招标文件、招标文件的澄清或者修改等在同一内容的表述上不一致时，以最后发出的书面文件为准。</w:t>
      </w:r>
    </w:p>
    <w:p>
      <w:pPr>
        <w:numPr>
          <w:ilvl w:val="0"/>
          <w:numId w:val="5"/>
        </w:numPr>
        <w:rPr>
          <w:b/>
          <w:bCs/>
          <w:color w:val="auto"/>
          <w:sz w:val="24"/>
          <w:szCs w:val="32"/>
        </w:rPr>
      </w:pPr>
      <w:r>
        <w:rPr>
          <w:rFonts w:hint="eastAsia"/>
          <w:b/>
          <w:bCs/>
          <w:color w:val="auto"/>
          <w:sz w:val="24"/>
          <w:szCs w:val="32"/>
        </w:rPr>
        <w:t>投标文件</w:t>
      </w:r>
      <w:bookmarkEnd w:id="3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rPr>
          <w:b/>
          <w:bCs/>
          <w:color w:val="auto"/>
          <w:sz w:val="24"/>
          <w:szCs w:val="32"/>
        </w:rPr>
      </w:pPr>
      <w:bookmarkStart w:id="140" w:name="_Toc107822493"/>
      <w:bookmarkStart w:id="141" w:name="_Toc226969290"/>
      <w:bookmarkStart w:id="142" w:name="_Toc227057896"/>
      <w:bookmarkStart w:id="143" w:name="_Toc447188684"/>
      <w:bookmarkStart w:id="144" w:name="_Toc46496143"/>
      <w:bookmarkStart w:id="145" w:name="_Toc450489293"/>
      <w:bookmarkStart w:id="146" w:name="_Toc447265520"/>
      <w:bookmarkStart w:id="147" w:name="_Toc447265234"/>
      <w:bookmarkStart w:id="148" w:name="_Toc447265528"/>
      <w:bookmarkStart w:id="149" w:name="_Toc184635074"/>
      <w:bookmarkStart w:id="150" w:name="_Toc447265242"/>
      <w:bookmarkStart w:id="151" w:name="_Toc107822503"/>
      <w:bookmarkStart w:id="152" w:name="_Toc488655848"/>
      <w:bookmarkStart w:id="153" w:name="_Toc227057906"/>
      <w:bookmarkStart w:id="154" w:name="_Toc226969300"/>
      <w:r>
        <w:rPr>
          <w:b/>
          <w:bCs/>
          <w:color w:val="auto"/>
          <w:sz w:val="24"/>
          <w:szCs w:val="32"/>
        </w:rPr>
        <w:t>3.1</w:t>
      </w:r>
      <w:r>
        <w:rPr>
          <w:rFonts w:hint="eastAsia"/>
          <w:b/>
          <w:bCs/>
          <w:color w:val="auto"/>
          <w:sz w:val="24"/>
          <w:szCs w:val="32"/>
        </w:rPr>
        <w:t>投标文件的</w:t>
      </w:r>
      <w:bookmarkEnd w:id="140"/>
      <w:bookmarkEnd w:id="141"/>
      <w:bookmarkEnd w:id="142"/>
      <w:r>
        <w:rPr>
          <w:rFonts w:hint="eastAsia"/>
          <w:b/>
          <w:bCs/>
          <w:color w:val="auto"/>
          <w:sz w:val="24"/>
          <w:szCs w:val="32"/>
        </w:rPr>
        <w:t>组成</w:t>
      </w:r>
      <w:bookmarkEnd w:id="143"/>
      <w:bookmarkEnd w:id="144"/>
      <w:bookmarkEnd w:id="145"/>
      <w:bookmarkEnd w:id="146"/>
      <w:bookmarkEnd w:id="147"/>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投标人应当按照投标人须知前附表的要求制作并递交投标文件。投标文件组成见投标人须知前附表。</w:t>
      </w:r>
    </w:p>
    <w:p>
      <w:pPr>
        <w:rPr>
          <w:b/>
          <w:bCs/>
          <w:color w:val="auto"/>
          <w:sz w:val="24"/>
          <w:szCs w:val="32"/>
        </w:rPr>
      </w:pPr>
      <w:bookmarkStart w:id="155" w:name="_Toc447188685"/>
      <w:bookmarkStart w:id="156" w:name="_Toc450489294"/>
      <w:bookmarkStart w:id="157" w:name="_Toc447265521"/>
      <w:bookmarkStart w:id="158" w:name="_Toc46496144"/>
      <w:bookmarkStart w:id="159" w:name="_Toc447265235"/>
      <w:r>
        <w:rPr>
          <w:b/>
          <w:bCs/>
          <w:color w:val="auto"/>
          <w:sz w:val="24"/>
          <w:szCs w:val="32"/>
        </w:rPr>
        <w:t>3.2</w:t>
      </w:r>
      <w:r>
        <w:rPr>
          <w:rFonts w:hint="eastAsia"/>
          <w:b/>
          <w:bCs/>
          <w:color w:val="auto"/>
          <w:sz w:val="24"/>
          <w:szCs w:val="32"/>
        </w:rPr>
        <w:t>投标文件的编制</w:t>
      </w:r>
      <w:bookmarkEnd w:id="155"/>
      <w:bookmarkEnd w:id="156"/>
      <w:bookmarkEnd w:id="157"/>
      <w:bookmarkEnd w:id="158"/>
      <w:bookmarkEnd w:id="159"/>
    </w:p>
    <w:p>
      <w:pPr>
        <w:pStyle w:val="22"/>
        <w:tabs>
          <w:tab w:val="left" w:pos="630"/>
        </w:tabs>
        <w:snapToGrid w:val="0"/>
        <w:spacing w:line="440" w:lineRule="exact"/>
        <w:ind w:firstLine="424" w:firstLineChars="202"/>
        <w:rPr>
          <w:rFonts w:hAnsi="宋体"/>
          <w:color w:val="auto"/>
        </w:rPr>
      </w:pPr>
      <w:r>
        <w:rPr>
          <w:rFonts w:hAnsi="宋体"/>
          <w:color w:val="auto"/>
        </w:rPr>
        <w:t>3.2.1投标人应当按照招标文件的要求编制</w:t>
      </w:r>
      <w:r>
        <w:rPr>
          <w:rFonts w:hint="eastAsia" w:hAnsi="宋体" w:cs="宋体"/>
          <w:color w:val="auto"/>
          <w:szCs w:val="21"/>
        </w:rPr>
        <w:t>投标</w:t>
      </w:r>
      <w:r>
        <w:rPr>
          <w:rFonts w:hint="eastAsia" w:hAnsi="宋体"/>
          <w:color w:val="auto"/>
        </w:rPr>
        <w:t>文件，</w:t>
      </w:r>
      <w:r>
        <w:rPr>
          <w:rFonts w:hint="eastAsia" w:hAnsi="宋体" w:cs="宋体"/>
          <w:color w:val="auto"/>
          <w:szCs w:val="21"/>
        </w:rPr>
        <w:t>投标</w:t>
      </w:r>
      <w:r>
        <w:rPr>
          <w:rFonts w:hint="eastAsia" w:hAnsi="宋体"/>
          <w:color w:val="auto"/>
        </w:rPr>
        <w:t>文件应当对招标文件提出的实质性要求和条件作出响应。</w:t>
      </w:r>
    </w:p>
    <w:p>
      <w:pPr>
        <w:pStyle w:val="22"/>
        <w:tabs>
          <w:tab w:val="left" w:pos="630"/>
        </w:tabs>
        <w:snapToGrid w:val="0"/>
        <w:spacing w:line="440" w:lineRule="exact"/>
        <w:ind w:firstLine="424" w:firstLineChars="202"/>
        <w:rPr>
          <w:rFonts w:hAnsi="宋体"/>
          <w:color w:val="auto"/>
        </w:rPr>
      </w:pPr>
      <w:r>
        <w:rPr>
          <w:rFonts w:hAnsi="宋体"/>
          <w:color w:val="auto"/>
        </w:rPr>
        <w:t>3.2.2</w:t>
      </w:r>
      <w:r>
        <w:rPr>
          <w:rFonts w:hint="eastAsia" w:hAnsi="宋体"/>
          <w:color w:val="auto"/>
        </w:rPr>
        <w:t>投标人应当认真阅读招标文件中所有的事项、格式、条款和技术规范等。投标人没有按照招标文件要求递交全部资料或者投标人没有对招标文件在各方面都作出实质性响应是投标人的风险，并可能导致其投标被否决。</w:t>
      </w:r>
      <w:r>
        <w:rPr>
          <w:rFonts w:hint="eastAsia" w:hAnsi="宋体" w:cs="宋体"/>
          <w:color w:val="auto"/>
          <w:szCs w:val="21"/>
        </w:rPr>
        <w:t>投标</w:t>
      </w:r>
      <w:r>
        <w:rPr>
          <w:rFonts w:hint="eastAsia" w:hAnsi="宋体"/>
          <w:color w:val="auto"/>
        </w:rPr>
        <w:t>文件投标和编写的具体要求见投标人须知前附表。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3.2.3投标人递交的</w:t>
      </w:r>
      <w:r>
        <w:rPr>
          <w:rFonts w:hint="eastAsia" w:hAnsi="宋体" w:cs="宋体"/>
          <w:color w:val="auto"/>
          <w:szCs w:val="21"/>
        </w:rPr>
        <w:t>投标</w:t>
      </w:r>
      <w:r>
        <w:rPr>
          <w:rFonts w:hint="eastAsia" w:hAnsi="宋体"/>
          <w:color w:val="auto"/>
        </w:rPr>
        <w:t>文件以及投标人与招标人就有关投标的所有往来函电均应当使用中文。投标人递交的证明文件和文献可以使用另一种语言，但相应内容应当译成中文，在解释</w:t>
      </w:r>
      <w:r>
        <w:rPr>
          <w:rFonts w:hint="eastAsia" w:hAnsi="宋体" w:cs="宋体"/>
          <w:color w:val="auto"/>
          <w:szCs w:val="21"/>
        </w:rPr>
        <w:t>投标</w:t>
      </w:r>
      <w:r>
        <w:rPr>
          <w:rFonts w:hint="eastAsia" w:hAnsi="宋体"/>
          <w:color w:val="auto"/>
        </w:rPr>
        <w:t>文件时以中文译本为准。</w:t>
      </w:r>
    </w:p>
    <w:p>
      <w:pPr>
        <w:pStyle w:val="22"/>
        <w:tabs>
          <w:tab w:val="left" w:pos="630"/>
        </w:tabs>
        <w:snapToGrid w:val="0"/>
        <w:spacing w:line="440" w:lineRule="exact"/>
        <w:ind w:firstLine="424" w:firstLineChars="202"/>
        <w:rPr>
          <w:rFonts w:hAnsi="宋体"/>
          <w:color w:val="auto"/>
        </w:rPr>
      </w:pPr>
      <w:r>
        <w:rPr>
          <w:rFonts w:hAnsi="宋体"/>
          <w:color w:val="auto"/>
        </w:rPr>
        <w:t>3.2.4</w:t>
      </w:r>
      <w:r>
        <w:rPr>
          <w:rFonts w:hint="eastAsia" w:hAnsi="宋体" w:cs="宋体"/>
          <w:color w:val="auto"/>
          <w:szCs w:val="21"/>
        </w:rPr>
        <w:t>投标</w:t>
      </w:r>
      <w:r>
        <w:rPr>
          <w:rFonts w:hint="eastAsia" w:hAnsi="宋体"/>
          <w:color w:val="auto"/>
        </w:rPr>
        <w:t>文件应当使用不褪色的材料书写或者打印，并加盖单位公章或者由投标人的法定代表人或者其委托代理人签字。委托代理人签字的，</w:t>
      </w:r>
      <w:r>
        <w:rPr>
          <w:rFonts w:hint="eastAsia" w:hAnsi="宋体" w:cs="宋体"/>
          <w:color w:val="auto"/>
          <w:szCs w:val="21"/>
        </w:rPr>
        <w:t>投标</w:t>
      </w:r>
      <w:r>
        <w:rPr>
          <w:rFonts w:hint="eastAsia" w:hAnsi="宋体"/>
          <w:color w:val="auto"/>
        </w:rPr>
        <w:t>文件应当附法定代表人签署的授权委托书。</w:t>
      </w:r>
      <w:r>
        <w:rPr>
          <w:rFonts w:hint="eastAsia" w:hAnsi="宋体" w:cs="宋体"/>
          <w:color w:val="auto"/>
          <w:szCs w:val="21"/>
        </w:rPr>
        <w:t>投标</w:t>
      </w:r>
      <w:r>
        <w:rPr>
          <w:rFonts w:hint="eastAsia" w:hAnsi="宋体"/>
          <w:color w:val="auto"/>
        </w:rPr>
        <w:t>文件应当尽量避免涂改、行间插字或者删除。如果出现上述情况，改动之处应当加盖单位公章或者由投标人的法定代表人或者其委托代理人签字确认。盖章或者签字另有要求的，见投标人须知前附表。</w:t>
      </w:r>
    </w:p>
    <w:p>
      <w:pPr>
        <w:rPr>
          <w:b/>
          <w:bCs/>
          <w:color w:val="auto"/>
          <w:sz w:val="24"/>
          <w:szCs w:val="32"/>
        </w:rPr>
      </w:pPr>
      <w:bookmarkStart w:id="160" w:name="_Toc227057898"/>
      <w:bookmarkStart w:id="161" w:name="_Toc447188686"/>
      <w:bookmarkStart w:id="162" w:name="_Toc46496145"/>
      <w:bookmarkStart w:id="163" w:name="_Toc447265236"/>
      <w:bookmarkStart w:id="164" w:name="_Toc447265522"/>
      <w:bookmarkStart w:id="165" w:name="_Toc226969292"/>
      <w:bookmarkStart w:id="166" w:name="_Toc107822495"/>
      <w:bookmarkStart w:id="167" w:name="_Toc450489295"/>
      <w:r>
        <w:rPr>
          <w:b/>
          <w:bCs/>
          <w:color w:val="auto"/>
          <w:sz w:val="24"/>
          <w:szCs w:val="32"/>
        </w:rPr>
        <w:t>3.3</w:t>
      </w:r>
      <w:r>
        <w:rPr>
          <w:rFonts w:hint="eastAsia"/>
          <w:b/>
          <w:bCs/>
          <w:color w:val="auto"/>
          <w:sz w:val="24"/>
          <w:szCs w:val="32"/>
        </w:rPr>
        <w:t>投标报价</w:t>
      </w:r>
      <w:bookmarkEnd w:id="160"/>
      <w:bookmarkEnd w:id="161"/>
      <w:bookmarkEnd w:id="162"/>
      <w:bookmarkEnd w:id="163"/>
      <w:bookmarkEnd w:id="164"/>
      <w:bookmarkEnd w:id="165"/>
      <w:bookmarkEnd w:id="166"/>
      <w:bookmarkEnd w:id="167"/>
    </w:p>
    <w:p>
      <w:pPr>
        <w:pStyle w:val="22"/>
        <w:tabs>
          <w:tab w:val="left" w:pos="630"/>
        </w:tabs>
        <w:snapToGrid w:val="0"/>
        <w:spacing w:line="440" w:lineRule="exact"/>
        <w:ind w:firstLine="424" w:firstLineChars="202"/>
        <w:rPr>
          <w:rFonts w:hAnsi="宋体"/>
          <w:color w:val="auto"/>
        </w:rPr>
      </w:pPr>
      <w:r>
        <w:rPr>
          <w:rFonts w:hAnsi="宋体"/>
          <w:color w:val="auto"/>
        </w:rPr>
        <w:t>3.3.1投标人应当根据招标文件要求进行报价，投标人应当报出符合招标文件要求的拟提供投标货物的单价（如适用）和总价。</w:t>
      </w:r>
    </w:p>
    <w:p>
      <w:pPr>
        <w:pStyle w:val="22"/>
        <w:tabs>
          <w:tab w:val="left" w:pos="630"/>
        </w:tabs>
        <w:snapToGrid w:val="0"/>
        <w:spacing w:line="440" w:lineRule="exact"/>
        <w:ind w:firstLine="424" w:firstLineChars="202"/>
        <w:rPr>
          <w:rFonts w:hAnsi="宋体"/>
          <w:color w:val="auto"/>
        </w:rPr>
      </w:pPr>
      <w:r>
        <w:rPr>
          <w:rFonts w:hAnsi="宋体"/>
          <w:color w:val="auto"/>
        </w:rPr>
        <w:t>3.3.2</w:t>
      </w:r>
      <w:r>
        <w:rPr>
          <w:rFonts w:hint="eastAsia" w:hAnsi="宋体"/>
          <w:color w:val="auto"/>
        </w:rPr>
        <w:t>投标货币：人民币。</w:t>
      </w:r>
    </w:p>
    <w:p>
      <w:pPr>
        <w:pStyle w:val="22"/>
        <w:tabs>
          <w:tab w:val="left" w:pos="630"/>
        </w:tabs>
        <w:snapToGrid w:val="0"/>
        <w:spacing w:line="440" w:lineRule="exact"/>
        <w:ind w:firstLine="424" w:firstLineChars="202"/>
        <w:rPr>
          <w:rFonts w:hAnsi="宋体"/>
          <w:color w:val="auto"/>
        </w:rPr>
      </w:pPr>
      <w:r>
        <w:rPr>
          <w:rFonts w:hAnsi="宋体"/>
          <w:color w:val="auto"/>
        </w:rPr>
        <w:t>3.3.3招标人设有最高限价的，投标人的</w:t>
      </w:r>
      <w:r>
        <w:rPr>
          <w:rFonts w:hint="eastAsia" w:hAnsi="宋体" w:cs="宋体"/>
          <w:color w:val="auto"/>
          <w:szCs w:val="21"/>
        </w:rPr>
        <w:t>投标</w:t>
      </w:r>
      <w:r>
        <w:rPr>
          <w:rFonts w:hint="eastAsia" w:hAnsi="宋体"/>
          <w:color w:val="auto"/>
        </w:rPr>
        <w:t>报价不得超过最高限价，否则其</w:t>
      </w:r>
      <w:r>
        <w:rPr>
          <w:rFonts w:hint="eastAsia" w:hAnsi="宋体" w:cs="宋体"/>
          <w:color w:val="auto"/>
          <w:szCs w:val="21"/>
        </w:rPr>
        <w:t>投标</w:t>
      </w:r>
      <w:r>
        <w:rPr>
          <w:rFonts w:hint="eastAsia" w:hAnsi="宋体"/>
          <w:color w:val="auto"/>
        </w:rPr>
        <w:t>将被否决。最高限价或者其计算方法见投标人须知前附表。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3.3.4招标人不接受投标人的任何低于成本报价的不正当竞争方式。</w:t>
      </w:r>
    </w:p>
    <w:p>
      <w:pPr>
        <w:pStyle w:val="22"/>
        <w:tabs>
          <w:tab w:val="left" w:pos="630"/>
        </w:tabs>
        <w:snapToGrid w:val="0"/>
        <w:spacing w:line="440" w:lineRule="exact"/>
        <w:ind w:firstLine="424" w:firstLineChars="202"/>
        <w:rPr>
          <w:rFonts w:hAnsi="宋体"/>
          <w:color w:val="auto"/>
        </w:rPr>
      </w:pPr>
      <w:r>
        <w:rPr>
          <w:rFonts w:hAnsi="宋体"/>
          <w:color w:val="auto"/>
        </w:rPr>
        <w:t>3.3.5只有在招标文件要求或者允许报优惠价时，投标人才可以报出。投标人优惠报价的数额，唱价时也必须当众宣读。关于优惠条件的规定见投标人须知前附表。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3.3.6</w:t>
      </w:r>
      <w:r>
        <w:rPr>
          <w:rFonts w:hint="eastAsia" w:hAnsi="宋体" w:cs="宋体"/>
          <w:color w:val="auto"/>
          <w:szCs w:val="21"/>
        </w:rPr>
        <w:t>投标</w:t>
      </w:r>
      <w:r>
        <w:rPr>
          <w:rFonts w:hint="eastAsia" w:hAnsi="宋体"/>
          <w:color w:val="auto"/>
        </w:rPr>
        <w:t>报价的具体要求见投标人须知前附表。</w:t>
      </w:r>
    </w:p>
    <w:p>
      <w:pPr>
        <w:rPr>
          <w:b/>
          <w:bCs/>
          <w:color w:val="auto"/>
          <w:sz w:val="24"/>
          <w:szCs w:val="32"/>
        </w:rPr>
      </w:pPr>
      <w:bookmarkStart w:id="168" w:name="_Toc227057902"/>
      <w:bookmarkStart w:id="169" w:name="_Toc447265237"/>
      <w:bookmarkStart w:id="170" w:name="_Toc450489296"/>
      <w:bookmarkStart w:id="171" w:name="_Toc226969296"/>
      <w:bookmarkStart w:id="172" w:name="_Toc447188687"/>
      <w:bookmarkStart w:id="173" w:name="_Toc107822500"/>
      <w:bookmarkStart w:id="174" w:name="_Toc447265523"/>
      <w:bookmarkStart w:id="175" w:name="_Toc46496146"/>
      <w:bookmarkStart w:id="176" w:name="_Toc107822499"/>
      <w:bookmarkStart w:id="177" w:name="_Toc226969295"/>
      <w:bookmarkStart w:id="178" w:name="_Toc227057901"/>
      <w:r>
        <w:rPr>
          <w:b/>
          <w:bCs/>
          <w:color w:val="auto"/>
          <w:sz w:val="24"/>
          <w:szCs w:val="32"/>
        </w:rPr>
        <w:t>3.4</w:t>
      </w:r>
      <w:r>
        <w:rPr>
          <w:rFonts w:hint="eastAsia"/>
          <w:b/>
          <w:bCs/>
          <w:color w:val="auto"/>
          <w:sz w:val="24"/>
          <w:szCs w:val="32"/>
        </w:rPr>
        <w:t>投标有效期</w:t>
      </w:r>
      <w:bookmarkEnd w:id="168"/>
      <w:bookmarkEnd w:id="169"/>
      <w:bookmarkEnd w:id="170"/>
      <w:bookmarkEnd w:id="171"/>
      <w:bookmarkEnd w:id="172"/>
      <w:bookmarkEnd w:id="173"/>
      <w:bookmarkEnd w:id="174"/>
      <w:bookmarkEnd w:id="175"/>
    </w:p>
    <w:p>
      <w:pPr>
        <w:pStyle w:val="22"/>
        <w:tabs>
          <w:tab w:val="left" w:pos="630"/>
        </w:tabs>
        <w:snapToGrid w:val="0"/>
        <w:spacing w:line="440" w:lineRule="exact"/>
        <w:ind w:firstLine="424" w:firstLineChars="202"/>
        <w:rPr>
          <w:rFonts w:hAnsi="宋体"/>
          <w:color w:val="auto"/>
        </w:rPr>
      </w:pPr>
      <w:r>
        <w:rPr>
          <w:rFonts w:hAnsi="宋体"/>
          <w:color w:val="auto"/>
        </w:rPr>
        <w:t>3.4.1</w:t>
      </w:r>
      <w:r>
        <w:rPr>
          <w:rFonts w:hint="eastAsia" w:hAnsi="宋体" w:cs="宋体"/>
          <w:color w:val="auto"/>
          <w:szCs w:val="21"/>
        </w:rPr>
        <w:t>投标</w:t>
      </w:r>
      <w:r>
        <w:rPr>
          <w:rFonts w:hint="eastAsia" w:hAnsi="宋体"/>
          <w:color w:val="auto"/>
        </w:rPr>
        <w:t>有效期从递交</w:t>
      </w:r>
      <w:r>
        <w:rPr>
          <w:rFonts w:hint="eastAsia" w:hAnsi="宋体" w:cs="宋体"/>
          <w:color w:val="auto"/>
          <w:szCs w:val="21"/>
        </w:rPr>
        <w:t>投标</w:t>
      </w:r>
      <w:r>
        <w:rPr>
          <w:rFonts w:hint="eastAsia" w:hAnsi="宋体"/>
          <w:color w:val="auto"/>
        </w:rPr>
        <w:t>文件截止日起计算。</w:t>
      </w:r>
      <w:r>
        <w:rPr>
          <w:rFonts w:hint="eastAsia" w:hAnsi="宋体" w:cs="宋体"/>
          <w:color w:val="auto"/>
          <w:szCs w:val="21"/>
        </w:rPr>
        <w:t>投标</w:t>
      </w:r>
      <w:r>
        <w:rPr>
          <w:rFonts w:hint="eastAsia" w:hAnsi="宋体"/>
          <w:color w:val="auto"/>
        </w:rPr>
        <w:t>有效期的具体时间见投标人须知前附表。在此期间，投标人不得要求撤销或者修改其</w:t>
      </w:r>
      <w:r>
        <w:rPr>
          <w:rFonts w:hint="eastAsia" w:hAnsi="宋体" w:cs="宋体"/>
          <w:color w:val="auto"/>
          <w:szCs w:val="21"/>
        </w:rPr>
        <w:t>投标</w:t>
      </w:r>
      <w:r>
        <w:rPr>
          <w:rFonts w:hint="eastAsia" w:hAnsi="宋体"/>
          <w:color w:val="auto"/>
        </w:rPr>
        <w:t>文件。</w:t>
      </w:r>
      <w:r>
        <w:rPr>
          <w:rFonts w:hint="eastAsia" w:hAnsi="宋体" w:cs="宋体"/>
          <w:color w:val="auto"/>
          <w:szCs w:val="21"/>
        </w:rPr>
        <w:t>投标</w:t>
      </w:r>
      <w:r>
        <w:rPr>
          <w:rFonts w:hint="eastAsia" w:hAnsi="宋体"/>
          <w:color w:val="auto"/>
        </w:rPr>
        <w:t>有效期不满足招标文件要求的</w:t>
      </w:r>
      <w:r>
        <w:rPr>
          <w:rFonts w:hint="eastAsia" w:hAnsi="宋体" w:cs="宋体"/>
          <w:color w:val="auto"/>
          <w:szCs w:val="21"/>
        </w:rPr>
        <w:t>投标</w:t>
      </w:r>
      <w:r>
        <w:rPr>
          <w:rFonts w:hint="eastAsia" w:hAnsi="宋体"/>
          <w:color w:val="auto"/>
        </w:rPr>
        <w:t>将被否决。</w:t>
      </w:r>
    </w:p>
    <w:p>
      <w:pPr>
        <w:pStyle w:val="22"/>
        <w:tabs>
          <w:tab w:val="left" w:pos="630"/>
        </w:tabs>
        <w:snapToGrid w:val="0"/>
        <w:spacing w:line="440" w:lineRule="exact"/>
        <w:ind w:firstLine="424" w:firstLineChars="202"/>
        <w:rPr>
          <w:rFonts w:hAnsi="宋体"/>
          <w:color w:val="auto"/>
        </w:rPr>
      </w:pPr>
      <w:r>
        <w:rPr>
          <w:rFonts w:hAnsi="宋体"/>
          <w:color w:val="auto"/>
        </w:rPr>
        <w:t>3.4.2</w:t>
      </w:r>
      <w:r>
        <w:rPr>
          <w:rFonts w:hint="eastAsia" w:hAnsi="宋体"/>
          <w:color w:val="auto"/>
        </w:rPr>
        <w:t>在原定</w:t>
      </w:r>
      <w:r>
        <w:rPr>
          <w:rFonts w:hint="eastAsia" w:hAnsi="宋体" w:cs="宋体"/>
          <w:color w:val="auto"/>
          <w:szCs w:val="21"/>
        </w:rPr>
        <w:t>投标</w:t>
      </w:r>
      <w:r>
        <w:rPr>
          <w:rFonts w:hint="eastAsia" w:hAnsi="宋体"/>
          <w:color w:val="auto"/>
        </w:rPr>
        <w:t>有效期满之前，如果出现特殊情况，招标人决定延长</w:t>
      </w:r>
      <w:r>
        <w:rPr>
          <w:rFonts w:hint="eastAsia" w:hAnsi="宋体" w:cs="宋体"/>
          <w:color w:val="auto"/>
          <w:szCs w:val="21"/>
        </w:rPr>
        <w:t>投标</w:t>
      </w:r>
      <w:r>
        <w:rPr>
          <w:rFonts w:hint="eastAsia" w:hAnsi="宋体"/>
          <w:color w:val="auto"/>
        </w:rPr>
        <w:t>有效期的，应当以书面形式向投标人提出延长</w:t>
      </w:r>
      <w:r>
        <w:rPr>
          <w:rFonts w:hint="eastAsia" w:hAnsi="宋体" w:cs="宋体"/>
          <w:color w:val="auto"/>
          <w:szCs w:val="21"/>
        </w:rPr>
        <w:t>投标</w:t>
      </w:r>
      <w:r>
        <w:rPr>
          <w:rFonts w:hint="eastAsia" w:hAnsi="宋体"/>
          <w:color w:val="auto"/>
        </w:rPr>
        <w:t>有效期的要求，投标人须以书面形式予以答复。投标人同意延长</w:t>
      </w:r>
      <w:r>
        <w:rPr>
          <w:rFonts w:hint="eastAsia" w:hAnsi="宋体" w:cs="宋体"/>
          <w:color w:val="auto"/>
          <w:szCs w:val="21"/>
        </w:rPr>
        <w:t>投标</w:t>
      </w:r>
      <w:r>
        <w:rPr>
          <w:rFonts w:hint="eastAsia" w:hAnsi="宋体"/>
          <w:color w:val="auto"/>
        </w:rPr>
        <w:t>有效期的，不得修改其</w:t>
      </w:r>
      <w:r>
        <w:rPr>
          <w:rFonts w:hint="eastAsia" w:hAnsi="宋体" w:cs="宋体"/>
          <w:color w:val="auto"/>
          <w:szCs w:val="21"/>
        </w:rPr>
        <w:t>投标</w:t>
      </w:r>
      <w:r>
        <w:rPr>
          <w:rFonts w:hint="eastAsia" w:hAnsi="宋体"/>
          <w:color w:val="auto"/>
        </w:rPr>
        <w:t>文件的实质性内容，但应当相应延长其</w:t>
      </w:r>
      <w:r>
        <w:rPr>
          <w:rFonts w:hint="eastAsia" w:hAnsi="宋体" w:cs="宋体"/>
          <w:color w:val="auto"/>
          <w:szCs w:val="21"/>
        </w:rPr>
        <w:t>投标</w:t>
      </w:r>
      <w:r>
        <w:rPr>
          <w:rFonts w:hint="eastAsia" w:hAnsi="宋体"/>
          <w:color w:val="auto"/>
        </w:rPr>
        <w:t>保证金有效期；投标人拒绝延长</w:t>
      </w:r>
      <w:r>
        <w:rPr>
          <w:rFonts w:hint="eastAsia" w:hAnsi="宋体" w:cs="宋体"/>
          <w:color w:val="auto"/>
          <w:szCs w:val="21"/>
        </w:rPr>
        <w:t>投标</w:t>
      </w:r>
      <w:r>
        <w:rPr>
          <w:rFonts w:hint="eastAsia" w:hAnsi="宋体"/>
          <w:color w:val="auto"/>
        </w:rPr>
        <w:t>有效期的，其</w:t>
      </w:r>
      <w:r>
        <w:rPr>
          <w:rFonts w:hint="eastAsia" w:hAnsi="宋体" w:cs="宋体"/>
          <w:color w:val="auto"/>
          <w:szCs w:val="21"/>
        </w:rPr>
        <w:t>投标</w:t>
      </w:r>
      <w:r>
        <w:rPr>
          <w:rFonts w:hint="eastAsia" w:hAnsi="宋体"/>
          <w:color w:val="auto"/>
        </w:rPr>
        <w:t>失效，投标人有权收回其</w:t>
      </w:r>
      <w:r>
        <w:rPr>
          <w:rFonts w:hint="eastAsia" w:hAnsi="宋体" w:cs="宋体"/>
          <w:color w:val="auto"/>
          <w:szCs w:val="21"/>
        </w:rPr>
        <w:t>投标</w:t>
      </w:r>
      <w:r>
        <w:rPr>
          <w:rFonts w:hint="eastAsia" w:hAnsi="宋体"/>
          <w:color w:val="auto"/>
        </w:rPr>
        <w:t>保证金。</w:t>
      </w:r>
    </w:p>
    <w:p>
      <w:pPr>
        <w:rPr>
          <w:b/>
          <w:bCs/>
          <w:color w:val="auto"/>
          <w:sz w:val="24"/>
          <w:szCs w:val="32"/>
        </w:rPr>
      </w:pPr>
      <w:bookmarkStart w:id="179" w:name="_Toc450489297"/>
      <w:bookmarkStart w:id="180" w:name="_Toc447188688"/>
      <w:bookmarkStart w:id="181" w:name="_Toc447265238"/>
      <w:bookmarkStart w:id="182" w:name="_Toc46496147"/>
      <w:bookmarkStart w:id="183" w:name="_Toc447265524"/>
      <w:r>
        <w:rPr>
          <w:b/>
          <w:bCs/>
          <w:color w:val="auto"/>
          <w:sz w:val="24"/>
          <w:szCs w:val="32"/>
        </w:rPr>
        <w:t>3.5</w:t>
      </w:r>
      <w:r>
        <w:rPr>
          <w:rFonts w:hint="eastAsia"/>
          <w:b/>
          <w:bCs/>
          <w:color w:val="auto"/>
          <w:sz w:val="24"/>
          <w:szCs w:val="32"/>
        </w:rPr>
        <w:t>投标保证金</w:t>
      </w:r>
      <w:bookmarkEnd w:id="176"/>
      <w:bookmarkEnd w:id="177"/>
      <w:bookmarkEnd w:id="178"/>
      <w:bookmarkEnd w:id="179"/>
      <w:bookmarkEnd w:id="180"/>
      <w:bookmarkEnd w:id="181"/>
      <w:bookmarkEnd w:id="182"/>
      <w:bookmarkEnd w:id="183"/>
    </w:p>
    <w:p>
      <w:pPr>
        <w:pStyle w:val="22"/>
        <w:tabs>
          <w:tab w:val="left" w:pos="630"/>
        </w:tabs>
        <w:snapToGrid w:val="0"/>
        <w:spacing w:line="440" w:lineRule="exact"/>
        <w:ind w:firstLine="424" w:firstLineChars="202"/>
        <w:rPr>
          <w:rFonts w:hAnsi="宋体"/>
          <w:color w:val="auto"/>
        </w:rPr>
      </w:pPr>
      <w:r>
        <w:rPr>
          <w:rFonts w:hAnsi="宋体"/>
          <w:color w:val="auto"/>
        </w:rPr>
        <w:t>3.5.1招标人要求投标人递交</w:t>
      </w:r>
      <w:r>
        <w:rPr>
          <w:rFonts w:hint="eastAsia" w:hAnsi="宋体" w:cs="宋体"/>
          <w:color w:val="auto"/>
          <w:szCs w:val="21"/>
        </w:rPr>
        <w:t>投标</w:t>
      </w:r>
      <w:r>
        <w:rPr>
          <w:rFonts w:hint="eastAsia" w:hAnsi="宋体"/>
          <w:color w:val="auto"/>
        </w:rPr>
        <w:t>保证金的，投标人必须在递交</w:t>
      </w:r>
      <w:r>
        <w:rPr>
          <w:rFonts w:hint="eastAsia" w:hAnsi="宋体" w:cs="宋体"/>
          <w:color w:val="auto"/>
          <w:szCs w:val="21"/>
        </w:rPr>
        <w:t>投标</w:t>
      </w:r>
      <w:r>
        <w:rPr>
          <w:rFonts w:hint="eastAsia" w:hAnsi="宋体"/>
          <w:color w:val="auto"/>
        </w:rPr>
        <w:t>文件的同时，按照投标人须知前附表的规定递交</w:t>
      </w:r>
      <w:r>
        <w:rPr>
          <w:rFonts w:hint="eastAsia" w:hAnsi="宋体" w:cs="宋体"/>
          <w:color w:val="auto"/>
          <w:szCs w:val="21"/>
        </w:rPr>
        <w:t>投标</w:t>
      </w:r>
      <w:r>
        <w:rPr>
          <w:rFonts w:hint="eastAsia" w:hAnsi="宋体"/>
          <w:color w:val="auto"/>
        </w:rPr>
        <w:t>保证金。</w:t>
      </w:r>
    </w:p>
    <w:p>
      <w:pPr>
        <w:pStyle w:val="22"/>
        <w:tabs>
          <w:tab w:val="left" w:pos="630"/>
        </w:tabs>
        <w:snapToGrid w:val="0"/>
        <w:spacing w:line="440" w:lineRule="exact"/>
        <w:ind w:firstLine="424" w:firstLineChars="202"/>
        <w:rPr>
          <w:rFonts w:hAnsi="宋体"/>
          <w:color w:val="auto"/>
        </w:rPr>
      </w:pPr>
      <w:r>
        <w:rPr>
          <w:rFonts w:hAnsi="宋体"/>
          <w:color w:val="auto"/>
        </w:rPr>
        <w:t>3.5.2招标人可以规定</w:t>
      </w:r>
      <w:r>
        <w:rPr>
          <w:rFonts w:hint="eastAsia" w:hAnsi="宋体" w:cs="宋体"/>
          <w:color w:val="auto"/>
          <w:szCs w:val="21"/>
        </w:rPr>
        <w:t>投标</w:t>
      </w:r>
      <w:r>
        <w:rPr>
          <w:rFonts w:hint="eastAsia" w:hAnsi="宋体"/>
          <w:color w:val="auto"/>
        </w:rPr>
        <w:t>保证金是以现金、支票、银行汇票、在中国注册的银行出具的银行保函等方式递交，以现金或者支票形式递交的</w:t>
      </w:r>
      <w:r>
        <w:rPr>
          <w:rFonts w:hint="eastAsia" w:hAnsi="宋体" w:cs="宋体"/>
          <w:color w:val="auto"/>
          <w:szCs w:val="21"/>
        </w:rPr>
        <w:t>投标</w:t>
      </w:r>
      <w:r>
        <w:rPr>
          <w:rFonts w:hint="eastAsia" w:hAnsi="宋体"/>
          <w:color w:val="auto"/>
        </w:rPr>
        <w:t>保证金应当从其基本账户转出。</w:t>
      </w:r>
      <w:r>
        <w:rPr>
          <w:rFonts w:hint="eastAsia" w:hAnsi="宋体" w:cs="宋体"/>
          <w:color w:val="auto"/>
          <w:szCs w:val="21"/>
        </w:rPr>
        <w:t>投标</w:t>
      </w:r>
      <w:r>
        <w:rPr>
          <w:rFonts w:hint="eastAsia" w:hAnsi="宋体"/>
          <w:color w:val="auto"/>
        </w:rPr>
        <w:t>保证金有效期应当与</w:t>
      </w:r>
      <w:r>
        <w:rPr>
          <w:rFonts w:hint="eastAsia" w:hAnsi="宋体" w:cs="宋体"/>
          <w:color w:val="auto"/>
          <w:szCs w:val="21"/>
        </w:rPr>
        <w:t>投标</w:t>
      </w:r>
      <w:r>
        <w:rPr>
          <w:rFonts w:hint="eastAsia" w:hAnsi="宋体"/>
          <w:color w:val="auto"/>
        </w:rPr>
        <w:t>有效期一致。</w:t>
      </w:r>
      <w:r>
        <w:rPr>
          <w:rFonts w:hint="eastAsia" w:hAnsi="宋体" w:cs="宋体"/>
          <w:color w:val="auto"/>
          <w:szCs w:val="21"/>
        </w:rPr>
        <w:t>投标</w:t>
      </w:r>
      <w:r>
        <w:rPr>
          <w:rFonts w:hint="eastAsia" w:hAnsi="宋体"/>
          <w:color w:val="auto"/>
        </w:rPr>
        <w:t>保证金的形式见投标人须知前附表。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3.5.3招标人最迟应当在书面合同签订后5日内向中标人和未中标的投标人退还</w:t>
      </w:r>
      <w:r>
        <w:rPr>
          <w:rFonts w:hint="eastAsia" w:hAnsi="宋体" w:cs="宋体"/>
          <w:color w:val="auto"/>
          <w:szCs w:val="21"/>
        </w:rPr>
        <w:t>投标</w:t>
      </w:r>
      <w:r>
        <w:rPr>
          <w:rFonts w:hint="eastAsia" w:hAnsi="宋体"/>
          <w:color w:val="auto"/>
        </w:rPr>
        <w:t>保证金及银行同期存款利息。</w:t>
      </w:r>
    </w:p>
    <w:p>
      <w:pPr>
        <w:pStyle w:val="22"/>
        <w:tabs>
          <w:tab w:val="left" w:pos="630"/>
        </w:tabs>
        <w:snapToGrid w:val="0"/>
        <w:spacing w:line="440" w:lineRule="exact"/>
        <w:ind w:firstLine="424" w:firstLineChars="202"/>
        <w:rPr>
          <w:rFonts w:hAnsi="宋体"/>
          <w:color w:val="auto"/>
        </w:rPr>
      </w:pPr>
      <w:r>
        <w:rPr>
          <w:rFonts w:hAnsi="宋体"/>
          <w:color w:val="auto"/>
        </w:rPr>
        <w:t>3.5.4</w:t>
      </w:r>
      <w:r>
        <w:rPr>
          <w:rFonts w:hint="eastAsia" w:hAnsi="宋体"/>
          <w:color w:val="auto"/>
        </w:rPr>
        <w:t>下列任何情况发生时，</w:t>
      </w:r>
      <w:r>
        <w:rPr>
          <w:rFonts w:hint="eastAsia" w:hAnsi="宋体" w:cs="宋体"/>
          <w:color w:val="auto"/>
          <w:szCs w:val="21"/>
        </w:rPr>
        <w:t>投标</w:t>
      </w:r>
      <w:r>
        <w:rPr>
          <w:rFonts w:hint="eastAsia" w:hAnsi="宋体"/>
          <w:color w:val="auto"/>
        </w:rPr>
        <w:t>保证金可不予退还：</w:t>
      </w:r>
    </w:p>
    <w:p>
      <w:pPr>
        <w:tabs>
          <w:tab w:val="left" w:pos="630"/>
        </w:tabs>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1）投标人在招标文件中规定的</w:t>
      </w:r>
      <w:r>
        <w:rPr>
          <w:rFonts w:hint="eastAsia" w:ascii="宋体" w:hAnsi="宋体" w:cs="宋体"/>
          <w:color w:val="auto"/>
          <w:szCs w:val="21"/>
        </w:rPr>
        <w:t>投标</w:t>
      </w:r>
      <w:r>
        <w:rPr>
          <w:rFonts w:ascii="宋体" w:hAnsi="宋体"/>
          <w:color w:val="auto"/>
        </w:rPr>
        <w:t>有效期内</w:t>
      </w:r>
      <w:r>
        <w:rPr>
          <w:rFonts w:hint="eastAsia" w:ascii="宋体" w:hAnsi="宋体"/>
          <w:color w:val="auto"/>
        </w:rPr>
        <w:t>撤销</w:t>
      </w:r>
      <w:r>
        <w:rPr>
          <w:rFonts w:hint="eastAsia" w:ascii="宋体" w:hAnsi="宋体" w:cs="宋体"/>
          <w:color w:val="auto"/>
          <w:szCs w:val="21"/>
        </w:rPr>
        <w:t>投标</w:t>
      </w:r>
      <w:r>
        <w:rPr>
          <w:rFonts w:hint="eastAsia" w:ascii="宋体" w:hAnsi="宋体"/>
          <w:color w:val="auto"/>
        </w:rPr>
        <w:t>的；</w:t>
      </w:r>
    </w:p>
    <w:p>
      <w:pPr>
        <w:pStyle w:val="76"/>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2）中标人无正当理由不与招标人订立合同，在签订合同时向招标人提出附加条件，或者不按照招标文件要求递交履约保证金的；</w:t>
      </w:r>
    </w:p>
    <w:p>
      <w:pPr>
        <w:pStyle w:val="76"/>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3）投标人有串通</w:t>
      </w:r>
      <w:r>
        <w:rPr>
          <w:rFonts w:hint="eastAsia" w:ascii="宋体" w:hAnsi="宋体"/>
          <w:color w:val="auto"/>
        </w:rPr>
        <w:t>投标</w:t>
      </w:r>
      <w:r>
        <w:rPr>
          <w:rFonts w:ascii="宋体" w:hAnsi="宋体"/>
          <w:color w:val="auto"/>
        </w:rPr>
        <w:t>、弄虚作假等行为的；</w:t>
      </w:r>
    </w:p>
    <w:p>
      <w:pPr>
        <w:pStyle w:val="76"/>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4）其他规定</w:t>
      </w:r>
      <w:r>
        <w:rPr>
          <w:rFonts w:hint="eastAsia" w:ascii="宋体" w:hAnsi="宋体"/>
          <w:color w:val="auto"/>
        </w:rPr>
        <w:t>见投标人须知前附表</w:t>
      </w:r>
      <w:r>
        <w:rPr>
          <w:rFonts w:ascii="宋体" w:hAnsi="宋体"/>
          <w:color w:val="auto"/>
        </w:rPr>
        <w:t>。</w:t>
      </w:r>
    </w:p>
    <w:p>
      <w:pPr>
        <w:pStyle w:val="22"/>
        <w:tabs>
          <w:tab w:val="left" w:pos="630"/>
        </w:tabs>
        <w:snapToGrid w:val="0"/>
        <w:spacing w:line="440" w:lineRule="exact"/>
        <w:ind w:firstLine="424" w:firstLineChars="202"/>
        <w:rPr>
          <w:rFonts w:hAnsi="宋体"/>
          <w:color w:val="auto"/>
        </w:rPr>
      </w:pPr>
      <w:r>
        <w:rPr>
          <w:rFonts w:hAnsi="宋体"/>
          <w:color w:val="auto"/>
        </w:rPr>
        <w:t>3.5.5未递交</w:t>
      </w:r>
      <w:r>
        <w:rPr>
          <w:rFonts w:hint="eastAsia" w:hAnsi="宋体" w:cs="宋体"/>
          <w:color w:val="auto"/>
          <w:szCs w:val="21"/>
        </w:rPr>
        <w:t>投标</w:t>
      </w:r>
      <w:r>
        <w:rPr>
          <w:rFonts w:hint="eastAsia" w:hAnsi="宋体"/>
          <w:color w:val="auto"/>
        </w:rPr>
        <w:t>保证金或者递交的</w:t>
      </w:r>
      <w:r>
        <w:rPr>
          <w:rFonts w:hint="eastAsia" w:hAnsi="宋体" w:cs="宋体"/>
          <w:color w:val="auto"/>
          <w:szCs w:val="21"/>
        </w:rPr>
        <w:t>投标</w:t>
      </w:r>
      <w:r>
        <w:rPr>
          <w:rFonts w:hint="eastAsia" w:hAnsi="宋体"/>
          <w:color w:val="auto"/>
        </w:rPr>
        <w:t>保证金有瑕疵的</w:t>
      </w:r>
      <w:r>
        <w:rPr>
          <w:rFonts w:hint="eastAsia" w:hAnsi="宋体" w:cs="宋体"/>
          <w:color w:val="auto"/>
          <w:szCs w:val="21"/>
        </w:rPr>
        <w:t>投标</w:t>
      </w:r>
      <w:r>
        <w:rPr>
          <w:rFonts w:hint="eastAsia" w:hAnsi="宋体"/>
          <w:color w:val="auto"/>
        </w:rPr>
        <w:t>将被否决。</w:t>
      </w:r>
    </w:p>
    <w:p>
      <w:pPr>
        <w:rPr>
          <w:b/>
          <w:bCs/>
          <w:color w:val="auto"/>
          <w:sz w:val="24"/>
          <w:szCs w:val="32"/>
        </w:rPr>
      </w:pPr>
      <w:bookmarkStart w:id="184" w:name="_Toc227057903"/>
      <w:bookmarkStart w:id="185" w:name="_Toc46496148"/>
      <w:bookmarkStart w:id="186" w:name="_Toc450489298"/>
      <w:bookmarkStart w:id="187" w:name="_Toc447188689"/>
      <w:bookmarkStart w:id="188" w:name="_Toc226969297"/>
      <w:bookmarkStart w:id="189" w:name="_Toc447265239"/>
      <w:bookmarkStart w:id="190" w:name="_Toc447265525"/>
      <w:bookmarkStart w:id="191" w:name="_Toc107822501"/>
      <w:r>
        <w:rPr>
          <w:b/>
          <w:bCs/>
          <w:color w:val="auto"/>
          <w:sz w:val="24"/>
          <w:szCs w:val="32"/>
        </w:rPr>
        <w:t>3.6</w:t>
      </w:r>
      <w:r>
        <w:rPr>
          <w:rFonts w:hint="eastAsia"/>
          <w:b/>
          <w:bCs/>
          <w:color w:val="auto"/>
          <w:sz w:val="24"/>
          <w:szCs w:val="32"/>
        </w:rPr>
        <w:t>备选投标人案</w:t>
      </w:r>
      <w:bookmarkEnd w:id="184"/>
      <w:bookmarkEnd w:id="185"/>
      <w:bookmarkEnd w:id="186"/>
      <w:bookmarkEnd w:id="187"/>
      <w:bookmarkEnd w:id="188"/>
      <w:bookmarkEnd w:id="189"/>
      <w:bookmarkEnd w:id="190"/>
    </w:p>
    <w:p>
      <w:pPr>
        <w:pStyle w:val="22"/>
        <w:tabs>
          <w:tab w:val="left" w:pos="630"/>
        </w:tabs>
        <w:snapToGrid w:val="0"/>
        <w:spacing w:line="440" w:lineRule="exact"/>
        <w:ind w:firstLine="424" w:firstLineChars="202"/>
        <w:rPr>
          <w:rFonts w:hAnsi="宋体"/>
          <w:color w:val="auto"/>
        </w:rPr>
      </w:pPr>
      <w:r>
        <w:rPr>
          <w:rFonts w:hAnsi="宋体"/>
          <w:color w:val="auto"/>
        </w:rPr>
        <w:t>3.6.1除投标人须知前附表另有规定外，投标人不得递交备选</w:t>
      </w:r>
      <w:r>
        <w:rPr>
          <w:rFonts w:hint="eastAsia" w:hAnsi="宋体" w:cs="宋体"/>
          <w:color w:val="auto"/>
          <w:szCs w:val="21"/>
        </w:rPr>
        <w:t>投标人</w:t>
      </w:r>
      <w:r>
        <w:rPr>
          <w:rFonts w:hint="eastAsia" w:hAnsi="宋体"/>
          <w:color w:val="auto"/>
        </w:rPr>
        <w:t>案。</w:t>
      </w:r>
    </w:p>
    <w:p>
      <w:pPr>
        <w:pStyle w:val="22"/>
        <w:tabs>
          <w:tab w:val="left" w:pos="630"/>
        </w:tabs>
        <w:snapToGrid w:val="0"/>
        <w:spacing w:line="440" w:lineRule="exact"/>
        <w:ind w:firstLine="424" w:firstLineChars="202"/>
        <w:rPr>
          <w:rFonts w:hAnsi="宋体"/>
          <w:color w:val="auto"/>
        </w:rPr>
      </w:pPr>
      <w:r>
        <w:rPr>
          <w:rFonts w:hAnsi="宋体"/>
          <w:color w:val="auto"/>
        </w:rPr>
        <w:t>3.6.2</w:t>
      </w:r>
      <w:r>
        <w:rPr>
          <w:rFonts w:hint="eastAsia" w:hAnsi="宋体"/>
          <w:color w:val="auto"/>
        </w:rPr>
        <w:t>若招标人在招标文件中邀请投标人递交备选方案时，则投标人除按照招标文件规定的基本方案编制和递交</w:t>
      </w:r>
      <w:r>
        <w:rPr>
          <w:rFonts w:hint="eastAsia" w:hAnsi="宋体" w:cs="宋体"/>
          <w:color w:val="auto"/>
          <w:szCs w:val="21"/>
        </w:rPr>
        <w:t>投标</w:t>
      </w:r>
      <w:r>
        <w:rPr>
          <w:rFonts w:hint="eastAsia" w:hAnsi="宋体"/>
          <w:color w:val="auto"/>
        </w:rPr>
        <w:t>文件外，可以附加递交备选</w:t>
      </w:r>
      <w:r>
        <w:rPr>
          <w:rFonts w:hint="eastAsia" w:hAnsi="宋体" w:cs="宋体"/>
          <w:color w:val="auto"/>
          <w:szCs w:val="21"/>
        </w:rPr>
        <w:t>投标人</w:t>
      </w:r>
      <w:r>
        <w:rPr>
          <w:rFonts w:hint="eastAsia" w:hAnsi="宋体"/>
          <w:color w:val="auto"/>
        </w:rPr>
        <w:t>案。</w:t>
      </w:r>
    </w:p>
    <w:p>
      <w:pPr>
        <w:pStyle w:val="22"/>
        <w:tabs>
          <w:tab w:val="left" w:pos="630"/>
        </w:tabs>
        <w:snapToGrid w:val="0"/>
        <w:spacing w:line="440" w:lineRule="exact"/>
        <w:ind w:firstLine="424" w:firstLineChars="202"/>
        <w:rPr>
          <w:rFonts w:hAnsi="宋体"/>
          <w:color w:val="auto"/>
        </w:rPr>
      </w:pPr>
      <w:r>
        <w:rPr>
          <w:rFonts w:hAnsi="宋体"/>
          <w:color w:val="auto"/>
        </w:rPr>
        <w:t>3.6.3</w:t>
      </w:r>
      <w:r>
        <w:rPr>
          <w:rFonts w:hint="eastAsia" w:hAnsi="宋体"/>
          <w:color w:val="auto"/>
        </w:rPr>
        <w:t>备选</w:t>
      </w:r>
      <w:r>
        <w:rPr>
          <w:rFonts w:hint="eastAsia" w:hAnsi="宋体" w:cs="宋体"/>
          <w:color w:val="auto"/>
          <w:szCs w:val="21"/>
        </w:rPr>
        <w:t>投标人</w:t>
      </w:r>
      <w:r>
        <w:rPr>
          <w:rFonts w:hint="eastAsia" w:hAnsi="宋体"/>
          <w:color w:val="auto"/>
        </w:rPr>
        <w:t>案应当说明其对基本方案的改进意见和带来的效益，并附必要的图纸、设计计算、技术要求及其它有关资料，在封面上应当注明“备选</w:t>
      </w:r>
      <w:r>
        <w:rPr>
          <w:rFonts w:hint="eastAsia" w:hAnsi="宋体" w:cs="宋体"/>
          <w:color w:val="auto"/>
          <w:szCs w:val="21"/>
        </w:rPr>
        <w:t>投标人</w:t>
      </w:r>
      <w:r>
        <w:rPr>
          <w:rFonts w:hint="eastAsia" w:hAnsi="宋体"/>
          <w:color w:val="auto"/>
        </w:rPr>
        <w:t>案”字样。</w:t>
      </w:r>
    </w:p>
    <w:p>
      <w:pPr>
        <w:pStyle w:val="22"/>
        <w:tabs>
          <w:tab w:val="left" w:pos="630"/>
        </w:tabs>
        <w:snapToGrid w:val="0"/>
        <w:spacing w:line="440" w:lineRule="exact"/>
        <w:ind w:firstLine="424" w:firstLineChars="202"/>
        <w:rPr>
          <w:rFonts w:hAnsi="宋体"/>
          <w:color w:val="auto"/>
        </w:rPr>
      </w:pPr>
      <w:r>
        <w:rPr>
          <w:rFonts w:hAnsi="宋体"/>
          <w:color w:val="auto"/>
        </w:rPr>
        <w:t>3.6.4允许投标人递交备选</w:t>
      </w:r>
      <w:r>
        <w:rPr>
          <w:rFonts w:hint="eastAsia" w:hAnsi="宋体" w:cs="宋体"/>
          <w:color w:val="auto"/>
          <w:szCs w:val="21"/>
        </w:rPr>
        <w:t>投标人</w:t>
      </w:r>
      <w:r>
        <w:rPr>
          <w:rFonts w:hint="eastAsia" w:hAnsi="宋体"/>
          <w:color w:val="auto"/>
        </w:rPr>
        <w:t>案的，只有符合招标文件要求且评审价最低或者综合评分最高而被推荐为中标候选人的投标人所递交的备选</w:t>
      </w:r>
      <w:r>
        <w:rPr>
          <w:rFonts w:hint="eastAsia" w:hAnsi="宋体" w:cs="宋体"/>
          <w:color w:val="auto"/>
          <w:szCs w:val="21"/>
        </w:rPr>
        <w:t>投标人</w:t>
      </w:r>
      <w:r>
        <w:rPr>
          <w:rFonts w:hint="eastAsia" w:hAnsi="宋体"/>
          <w:color w:val="auto"/>
        </w:rPr>
        <w:t>案，可予以考虑。评标委员会认为其备选</w:t>
      </w:r>
      <w:r>
        <w:rPr>
          <w:rFonts w:hint="eastAsia" w:hAnsi="宋体" w:cs="宋体"/>
          <w:color w:val="auto"/>
          <w:szCs w:val="21"/>
        </w:rPr>
        <w:t>投标人</w:t>
      </w:r>
      <w:r>
        <w:rPr>
          <w:rFonts w:hint="eastAsia" w:hAnsi="宋体"/>
          <w:color w:val="auto"/>
        </w:rPr>
        <w:t>案优于其按照招标文件要求编制的</w:t>
      </w:r>
      <w:r>
        <w:rPr>
          <w:rFonts w:hint="eastAsia" w:hAnsi="宋体" w:cs="宋体"/>
          <w:color w:val="auto"/>
          <w:szCs w:val="21"/>
        </w:rPr>
        <w:t>投标人</w:t>
      </w:r>
      <w:r>
        <w:rPr>
          <w:rFonts w:hint="eastAsia" w:hAnsi="宋体"/>
          <w:color w:val="auto"/>
        </w:rPr>
        <w:t>案的，招标人可以接受该备选</w:t>
      </w:r>
      <w:r>
        <w:rPr>
          <w:rFonts w:hint="eastAsia" w:hAnsi="宋体" w:cs="宋体"/>
          <w:color w:val="auto"/>
          <w:szCs w:val="21"/>
        </w:rPr>
        <w:t>投标人</w:t>
      </w:r>
      <w:r>
        <w:rPr>
          <w:rFonts w:hint="eastAsia" w:hAnsi="宋体"/>
          <w:color w:val="auto"/>
        </w:rPr>
        <w:t>案。</w:t>
      </w:r>
    </w:p>
    <w:p>
      <w:pPr>
        <w:rPr>
          <w:b/>
          <w:bCs/>
          <w:color w:val="auto"/>
          <w:sz w:val="24"/>
          <w:szCs w:val="32"/>
        </w:rPr>
      </w:pPr>
      <w:bookmarkStart w:id="192" w:name="_Toc227057904"/>
      <w:bookmarkStart w:id="193" w:name="_Toc226969298"/>
      <w:bookmarkStart w:id="194" w:name="_Toc447265240"/>
      <w:bookmarkStart w:id="195" w:name="_Toc447265526"/>
      <w:bookmarkStart w:id="196" w:name="_Toc447188690"/>
      <w:bookmarkStart w:id="197" w:name="_Toc46496149"/>
      <w:bookmarkStart w:id="198" w:name="_Toc450489299"/>
      <w:r>
        <w:rPr>
          <w:b/>
          <w:bCs/>
          <w:color w:val="auto"/>
          <w:sz w:val="24"/>
          <w:szCs w:val="32"/>
        </w:rPr>
        <w:t>3.7</w:t>
      </w:r>
      <w:r>
        <w:rPr>
          <w:rFonts w:hint="eastAsia"/>
          <w:b/>
          <w:bCs/>
          <w:color w:val="auto"/>
          <w:sz w:val="24"/>
          <w:szCs w:val="32"/>
        </w:rPr>
        <w:t>投标文件的式样</w:t>
      </w:r>
      <w:bookmarkEnd w:id="191"/>
      <w:bookmarkEnd w:id="192"/>
      <w:bookmarkEnd w:id="193"/>
      <w:r>
        <w:rPr>
          <w:rFonts w:hint="eastAsia"/>
          <w:b/>
          <w:bCs/>
          <w:color w:val="auto"/>
          <w:sz w:val="24"/>
          <w:szCs w:val="32"/>
        </w:rPr>
        <w:t>、密封和标记（递交纸质文件适用）</w:t>
      </w:r>
      <w:bookmarkEnd w:id="194"/>
      <w:bookmarkEnd w:id="195"/>
      <w:bookmarkEnd w:id="196"/>
      <w:bookmarkEnd w:id="197"/>
      <w:bookmarkEnd w:id="198"/>
    </w:p>
    <w:p>
      <w:pPr>
        <w:pStyle w:val="22"/>
        <w:tabs>
          <w:tab w:val="left" w:pos="630"/>
        </w:tabs>
        <w:snapToGrid w:val="0"/>
        <w:spacing w:line="440" w:lineRule="exact"/>
        <w:ind w:firstLine="424" w:firstLineChars="202"/>
        <w:rPr>
          <w:rFonts w:hAnsi="宋体"/>
          <w:color w:val="auto"/>
        </w:rPr>
      </w:pPr>
      <w:r>
        <w:rPr>
          <w:rFonts w:hAnsi="宋体"/>
          <w:color w:val="auto"/>
        </w:rPr>
        <w:t>3.7.1</w:t>
      </w:r>
      <w:r>
        <w:rPr>
          <w:rFonts w:hint="eastAsia" w:hAnsi="宋体"/>
          <w:color w:val="auto"/>
        </w:rPr>
        <w:t>投标人应当编制一份</w:t>
      </w:r>
      <w:r>
        <w:rPr>
          <w:rFonts w:hint="eastAsia" w:hAnsi="宋体" w:cs="宋体"/>
          <w:color w:val="auto"/>
          <w:szCs w:val="21"/>
        </w:rPr>
        <w:t>投标</w:t>
      </w:r>
      <w:r>
        <w:rPr>
          <w:rFonts w:hint="eastAsia" w:hAnsi="宋体"/>
          <w:color w:val="auto"/>
        </w:rPr>
        <w:t>文件“正本”和投标人须知前附表所述份数的“副本”和“电子版”，副本为正本复印件。投标文件正本和副本如有不一致之处，以正本为准；纸质版文件与电子版文件不一致时，以纸质版文件为准。</w:t>
      </w:r>
    </w:p>
    <w:p>
      <w:pPr>
        <w:pStyle w:val="22"/>
        <w:tabs>
          <w:tab w:val="left" w:pos="630"/>
        </w:tabs>
        <w:snapToGrid w:val="0"/>
        <w:spacing w:line="440" w:lineRule="exact"/>
        <w:ind w:firstLine="424" w:firstLineChars="202"/>
        <w:rPr>
          <w:rFonts w:hAnsi="宋体"/>
          <w:color w:val="auto"/>
        </w:rPr>
      </w:pPr>
      <w:r>
        <w:rPr>
          <w:rFonts w:hAnsi="宋体"/>
          <w:color w:val="auto"/>
        </w:rPr>
        <w:t>3.7.2每份</w:t>
      </w:r>
      <w:r>
        <w:rPr>
          <w:rFonts w:hint="eastAsia" w:hAnsi="宋体" w:cs="宋体"/>
          <w:color w:val="auto"/>
          <w:szCs w:val="21"/>
        </w:rPr>
        <w:t>投标</w:t>
      </w:r>
      <w:r>
        <w:rPr>
          <w:rFonts w:hint="eastAsia" w:hAnsi="宋体"/>
          <w:color w:val="auto"/>
        </w:rPr>
        <w:t>文件的正本、副本及电子版应当分别装订，并于封面上明确标明“正本”、“副本”和“电子版”字样。</w:t>
      </w:r>
    </w:p>
    <w:p>
      <w:pPr>
        <w:pStyle w:val="22"/>
        <w:tabs>
          <w:tab w:val="left" w:pos="630"/>
        </w:tabs>
        <w:snapToGrid w:val="0"/>
        <w:spacing w:line="440" w:lineRule="exact"/>
        <w:ind w:firstLine="424" w:firstLineChars="202"/>
        <w:rPr>
          <w:rFonts w:hAnsi="宋体"/>
          <w:color w:val="auto"/>
        </w:rPr>
      </w:pPr>
      <w:r>
        <w:rPr>
          <w:rFonts w:hAnsi="宋体"/>
          <w:color w:val="auto"/>
        </w:rPr>
        <w:t>3.7.3</w:t>
      </w:r>
      <w:r>
        <w:rPr>
          <w:rFonts w:hint="eastAsia" w:hAnsi="宋体" w:cs="宋体"/>
          <w:color w:val="auto"/>
          <w:szCs w:val="21"/>
        </w:rPr>
        <w:t>投标</w:t>
      </w:r>
      <w:r>
        <w:rPr>
          <w:rFonts w:hint="eastAsia" w:hAnsi="宋体"/>
          <w:color w:val="auto"/>
        </w:rPr>
        <w:t>文件应当按照招标文件规定密封包装，并于封装封面上明确标明“正本”、“副本”和“电子版”字样。密封的所有粘接缝隙必须加盖单位公章或者由投标人的法定代表人或者其委托代理人签字。</w:t>
      </w:r>
    </w:p>
    <w:p>
      <w:pPr>
        <w:pStyle w:val="22"/>
        <w:tabs>
          <w:tab w:val="left" w:pos="630"/>
        </w:tabs>
        <w:snapToGrid w:val="0"/>
        <w:spacing w:line="440" w:lineRule="exact"/>
        <w:ind w:firstLine="424" w:firstLineChars="202"/>
        <w:rPr>
          <w:rFonts w:hAnsi="宋体"/>
          <w:color w:val="auto"/>
        </w:rPr>
      </w:pPr>
      <w:r>
        <w:rPr>
          <w:rFonts w:hAnsi="宋体"/>
          <w:color w:val="auto"/>
        </w:rPr>
        <w:t>3.7.4外层包封应当写明招标人名称和地址、项目名称、招标代理编号、并注明唱价时间以前不得开封。还应当写明投标人的名称与地址、邮政编码，以便投标出现逾期送达时能原封退回。</w:t>
      </w:r>
    </w:p>
    <w:p>
      <w:pPr>
        <w:pStyle w:val="22"/>
        <w:tabs>
          <w:tab w:val="left" w:pos="630"/>
        </w:tabs>
        <w:snapToGrid w:val="0"/>
        <w:spacing w:line="440" w:lineRule="exact"/>
        <w:ind w:firstLine="424" w:firstLineChars="202"/>
        <w:rPr>
          <w:rFonts w:hAnsi="宋体"/>
          <w:color w:val="auto"/>
        </w:rPr>
      </w:pPr>
      <w:r>
        <w:rPr>
          <w:rFonts w:hAnsi="宋体"/>
          <w:color w:val="auto"/>
        </w:rPr>
        <w:t>3.7.5递交</w:t>
      </w:r>
      <w:r>
        <w:rPr>
          <w:rFonts w:hint="eastAsia" w:hAnsi="宋体" w:cs="宋体"/>
          <w:color w:val="auto"/>
          <w:szCs w:val="21"/>
        </w:rPr>
        <w:t>投标</w:t>
      </w:r>
      <w:r>
        <w:rPr>
          <w:rFonts w:hint="eastAsia" w:hAnsi="宋体"/>
          <w:color w:val="auto"/>
        </w:rPr>
        <w:t>文件时，招标人应当对符合招标文件规定密封和标记的</w:t>
      </w:r>
      <w:r>
        <w:rPr>
          <w:rFonts w:hint="eastAsia" w:hAnsi="宋体" w:cs="宋体"/>
          <w:color w:val="auto"/>
          <w:szCs w:val="21"/>
        </w:rPr>
        <w:t>投标</w:t>
      </w:r>
      <w:r>
        <w:rPr>
          <w:rFonts w:hint="eastAsia" w:hAnsi="宋体"/>
          <w:color w:val="auto"/>
        </w:rPr>
        <w:t>文件进行签收。</w:t>
      </w:r>
    </w:p>
    <w:p>
      <w:pPr>
        <w:pStyle w:val="22"/>
        <w:tabs>
          <w:tab w:val="left" w:pos="630"/>
        </w:tabs>
        <w:snapToGrid w:val="0"/>
        <w:spacing w:line="440" w:lineRule="exact"/>
        <w:ind w:firstLine="424" w:firstLineChars="202"/>
        <w:rPr>
          <w:rFonts w:hAnsi="宋体"/>
          <w:color w:val="auto"/>
        </w:rPr>
      </w:pPr>
      <w:r>
        <w:rPr>
          <w:rFonts w:hAnsi="宋体"/>
          <w:color w:val="auto"/>
        </w:rPr>
        <w:t>3.7.6</w:t>
      </w:r>
      <w:r>
        <w:rPr>
          <w:rFonts w:hint="eastAsia" w:hAnsi="宋体"/>
          <w:color w:val="auto"/>
        </w:rPr>
        <w:t>招标人对于</w:t>
      </w:r>
      <w:r>
        <w:rPr>
          <w:rFonts w:hint="eastAsia" w:hAnsi="宋体" w:cs="宋体"/>
          <w:color w:val="auto"/>
          <w:szCs w:val="21"/>
        </w:rPr>
        <w:t>投标</w:t>
      </w:r>
      <w:r>
        <w:rPr>
          <w:rFonts w:hint="eastAsia" w:hAnsi="宋体"/>
          <w:color w:val="auto"/>
        </w:rPr>
        <w:t>文件密封、标记另有要求的，见投标人须知前附表。</w:t>
      </w:r>
      <w:bookmarkEnd w:id="148"/>
      <w:bookmarkEnd w:id="149"/>
      <w:bookmarkEnd w:id="150"/>
    </w:p>
    <w:p>
      <w:pPr>
        <w:numPr>
          <w:ilvl w:val="0"/>
          <w:numId w:val="5"/>
        </w:numPr>
        <w:rPr>
          <w:b/>
          <w:bCs/>
          <w:color w:val="auto"/>
          <w:sz w:val="24"/>
          <w:szCs w:val="32"/>
        </w:rPr>
      </w:pPr>
      <w:bookmarkStart w:id="199" w:name="_Toc477190296"/>
      <w:bookmarkEnd w:id="199"/>
      <w:bookmarkStart w:id="200" w:name="_Toc477190297"/>
      <w:bookmarkEnd w:id="200"/>
      <w:r>
        <w:rPr>
          <w:rFonts w:hint="eastAsia"/>
          <w:b/>
          <w:bCs/>
          <w:color w:val="auto"/>
          <w:sz w:val="24"/>
          <w:szCs w:val="32"/>
        </w:rPr>
        <w:t>投标</w:t>
      </w:r>
    </w:p>
    <w:p>
      <w:pPr>
        <w:rPr>
          <w:b/>
          <w:bCs/>
          <w:color w:val="auto"/>
          <w:sz w:val="24"/>
          <w:szCs w:val="32"/>
        </w:rPr>
      </w:pPr>
      <w:bookmarkStart w:id="201" w:name="_Toc447265529"/>
      <w:bookmarkStart w:id="202" w:name="_Toc447188692"/>
      <w:bookmarkStart w:id="203" w:name="_Toc447265243"/>
      <w:bookmarkStart w:id="204" w:name="_Toc46496151"/>
      <w:r>
        <w:rPr>
          <w:b/>
          <w:bCs/>
          <w:color w:val="auto"/>
          <w:sz w:val="24"/>
          <w:szCs w:val="32"/>
        </w:rPr>
        <w:t>4.1</w:t>
      </w:r>
      <w:bookmarkEnd w:id="151"/>
      <w:bookmarkEnd w:id="152"/>
      <w:r>
        <w:rPr>
          <w:rFonts w:hint="eastAsia"/>
          <w:b/>
          <w:bCs/>
          <w:color w:val="auto"/>
          <w:sz w:val="24"/>
          <w:szCs w:val="32"/>
        </w:rPr>
        <w:t>投标文件的递交</w:t>
      </w:r>
      <w:bookmarkEnd w:id="153"/>
      <w:bookmarkEnd w:id="154"/>
      <w:bookmarkEnd w:id="201"/>
      <w:bookmarkEnd w:id="202"/>
      <w:bookmarkEnd w:id="203"/>
      <w:bookmarkEnd w:id="204"/>
    </w:p>
    <w:p>
      <w:pPr>
        <w:pStyle w:val="22"/>
        <w:tabs>
          <w:tab w:val="left" w:pos="630"/>
        </w:tabs>
        <w:snapToGrid w:val="0"/>
        <w:spacing w:line="440" w:lineRule="exact"/>
        <w:ind w:firstLine="424" w:firstLineChars="202"/>
        <w:rPr>
          <w:rFonts w:hAnsi="宋体"/>
          <w:color w:val="auto"/>
        </w:rPr>
      </w:pPr>
      <w:bookmarkStart w:id="205" w:name="_Toc488655849"/>
      <w:bookmarkStart w:id="206" w:name="_Toc107822504"/>
      <w:bookmarkStart w:id="207" w:name="_Toc488655850"/>
      <w:bookmarkStart w:id="208" w:name="_Toc107822505"/>
      <w:bookmarkStart w:id="209" w:name="_Toc226969301"/>
      <w:bookmarkStart w:id="210" w:name="_Toc227057907"/>
      <w:bookmarkStart w:id="211" w:name="_Toc447265530"/>
      <w:bookmarkStart w:id="212" w:name="_Toc447188693"/>
      <w:bookmarkStart w:id="213" w:name="_Toc447265244"/>
      <w:r>
        <w:rPr>
          <w:rFonts w:hAnsi="宋体"/>
          <w:color w:val="auto"/>
        </w:rPr>
        <w:t>4.1.1</w:t>
      </w:r>
      <w:r>
        <w:rPr>
          <w:rFonts w:hint="eastAsia" w:hAnsi="宋体" w:cs="宋体"/>
          <w:color w:val="auto"/>
          <w:szCs w:val="21"/>
        </w:rPr>
        <w:t>投标</w:t>
      </w:r>
      <w:r>
        <w:rPr>
          <w:rFonts w:hint="eastAsia" w:hAnsi="宋体"/>
          <w:color w:val="auto"/>
        </w:rPr>
        <w:t>文件递交截止时间：见投标人须知前附表。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4.1.2</w:t>
      </w:r>
      <w:r>
        <w:rPr>
          <w:rFonts w:hint="eastAsia" w:hAnsi="宋体" w:cs="宋体"/>
          <w:color w:val="auto"/>
          <w:szCs w:val="21"/>
        </w:rPr>
        <w:t>投标</w:t>
      </w:r>
      <w:r>
        <w:rPr>
          <w:rFonts w:hint="eastAsia" w:hAnsi="宋体"/>
          <w:color w:val="auto"/>
        </w:rPr>
        <w:t>文件递交地点：见投标人须知前附表。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4.1.3招标人收到投标文件后，向投标人出具签收凭证。</w:t>
      </w:r>
    </w:p>
    <w:p>
      <w:pPr>
        <w:pStyle w:val="22"/>
        <w:tabs>
          <w:tab w:val="left" w:pos="630"/>
        </w:tabs>
        <w:snapToGrid w:val="0"/>
        <w:spacing w:line="440" w:lineRule="exact"/>
        <w:ind w:firstLine="424" w:firstLineChars="202"/>
        <w:rPr>
          <w:rFonts w:hAnsi="宋体"/>
          <w:color w:val="auto"/>
        </w:rPr>
      </w:pPr>
      <w:r>
        <w:rPr>
          <w:rFonts w:hAnsi="宋体"/>
          <w:color w:val="auto"/>
        </w:rPr>
        <w:t>4.1.4</w:t>
      </w:r>
      <w:r>
        <w:rPr>
          <w:rFonts w:hint="eastAsia" w:hAnsi="宋体"/>
          <w:color w:val="auto"/>
        </w:rPr>
        <w:t>除投标人须知前附表另有规定外，投标人所递交的</w:t>
      </w:r>
      <w:r>
        <w:rPr>
          <w:rFonts w:hint="eastAsia" w:hAnsi="宋体" w:cs="宋体"/>
          <w:color w:val="auto"/>
          <w:szCs w:val="21"/>
        </w:rPr>
        <w:t>投标</w:t>
      </w:r>
      <w:r>
        <w:rPr>
          <w:rFonts w:hint="eastAsia" w:hAnsi="宋体"/>
          <w:color w:val="auto"/>
        </w:rPr>
        <w:t>文件不予退还。</w:t>
      </w:r>
    </w:p>
    <w:p>
      <w:pPr>
        <w:pStyle w:val="22"/>
        <w:tabs>
          <w:tab w:val="left" w:pos="630"/>
        </w:tabs>
        <w:snapToGrid w:val="0"/>
        <w:spacing w:line="440" w:lineRule="exact"/>
        <w:ind w:firstLine="424" w:firstLineChars="202"/>
        <w:rPr>
          <w:rFonts w:hAnsi="宋体"/>
          <w:color w:val="auto"/>
        </w:rPr>
      </w:pPr>
      <w:r>
        <w:rPr>
          <w:rFonts w:hAnsi="宋体"/>
          <w:color w:val="auto"/>
        </w:rPr>
        <w:t>4.1.5出现以下情形时，招标人/招标代理机构不予接收</w:t>
      </w:r>
      <w:r>
        <w:rPr>
          <w:rFonts w:hint="eastAsia" w:hAnsi="宋体" w:cs="宋体"/>
          <w:color w:val="auto"/>
          <w:szCs w:val="21"/>
        </w:rPr>
        <w:t>投标</w:t>
      </w:r>
      <w:r>
        <w:rPr>
          <w:rFonts w:hint="eastAsia" w:hAnsi="宋体"/>
          <w:color w:val="auto"/>
        </w:rPr>
        <w:t>文件：</w:t>
      </w:r>
    </w:p>
    <w:p>
      <w:pPr>
        <w:pStyle w:val="76"/>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逾期送达或者未送达指定地点的；</w:t>
      </w:r>
    </w:p>
    <w:p>
      <w:pPr>
        <w:pStyle w:val="76"/>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未按照招标文件要求密封的；</w:t>
      </w:r>
    </w:p>
    <w:p>
      <w:pPr>
        <w:pStyle w:val="76"/>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未通过资格预审的申请人递交的；</w:t>
      </w:r>
    </w:p>
    <w:p>
      <w:pPr>
        <w:pStyle w:val="76"/>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未按照第一章“招标公告”或者投标邀请书要求获得本项目招标文件的。</w:t>
      </w:r>
      <w:bookmarkEnd w:id="205"/>
      <w:bookmarkEnd w:id="206"/>
    </w:p>
    <w:p>
      <w:pPr>
        <w:rPr>
          <w:b/>
          <w:bCs/>
          <w:color w:val="auto"/>
          <w:sz w:val="24"/>
          <w:szCs w:val="32"/>
        </w:rPr>
      </w:pPr>
      <w:bookmarkStart w:id="214" w:name="_Toc46496152"/>
      <w:r>
        <w:rPr>
          <w:b/>
          <w:bCs/>
          <w:color w:val="auto"/>
          <w:sz w:val="24"/>
          <w:szCs w:val="32"/>
        </w:rPr>
        <w:t>4.2</w:t>
      </w:r>
      <w:r>
        <w:rPr>
          <w:rFonts w:hint="eastAsia"/>
          <w:b/>
          <w:bCs/>
          <w:color w:val="auto"/>
          <w:sz w:val="24"/>
          <w:szCs w:val="32"/>
        </w:rPr>
        <w:t>投标文件的修改、撤回</w:t>
      </w:r>
      <w:bookmarkEnd w:id="207"/>
      <w:bookmarkEnd w:id="208"/>
      <w:bookmarkEnd w:id="209"/>
      <w:bookmarkEnd w:id="210"/>
      <w:r>
        <w:rPr>
          <w:rFonts w:hint="eastAsia"/>
          <w:b/>
          <w:bCs/>
          <w:color w:val="auto"/>
          <w:sz w:val="24"/>
          <w:szCs w:val="32"/>
        </w:rPr>
        <w:t>和撤销</w:t>
      </w:r>
      <w:bookmarkEnd w:id="211"/>
      <w:bookmarkEnd w:id="212"/>
      <w:bookmarkEnd w:id="213"/>
      <w:bookmarkEnd w:id="214"/>
    </w:p>
    <w:p>
      <w:pPr>
        <w:pStyle w:val="22"/>
        <w:tabs>
          <w:tab w:val="left" w:pos="630"/>
        </w:tabs>
        <w:snapToGrid w:val="0"/>
        <w:spacing w:line="440" w:lineRule="exact"/>
        <w:ind w:firstLine="424" w:firstLineChars="202"/>
        <w:rPr>
          <w:rFonts w:hAnsi="宋体"/>
          <w:color w:val="auto"/>
        </w:rPr>
      </w:pPr>
      <w:bookmarkStart w:id="215" w:name="_Toc179632577"/>
      <w:bookmarkStart w:id="216" w:name="_Toc447188694"/>
      <w:bookmarkStart w:id="217" w:name="_Toc247085717"/>
      <w:bookmarkStart w:id="218" w:name="_Toc447265245"/>
      <w:bookmarkStart w:id="219" w:name="_Toc296602447"/>
      <w:bookmarkStart w:id="220" w:name="_Toc246996946"/>
      <w:bookmarkStart w:id="221" w:name="_Toc152042335"/>
      <w:bookmarkStart w:id="222" w:name="_Toc144974527"/>
      <w:bookmarkStart w:id="223" w:name="_Toc246996203"/>
      <w:bookmarkStart w:id="224" w:name="_Toc447265531"/>
      <w:bookmarkStart w:id="225" w:name="_Toc152045559"/>
      <w:bookmarkStart w:id="226" w:name="_Toc227057908"/>
      <w:bookmarkStart w:id="227" w:name="_Toc107822506"/>
      <w:bookmarkStart w:id="228" w:name="_Toc488655852"/>
      <w:bookmarkStart w:id="229" w:name="_Toc226969302"/>
      <w:r>
        <w:rPr>
          <w:rFonts w:hAnsi="宋体"/>
          <w:color w:val="auto"/>
        </w:rPr>
        <w:t>4.2.1</w:t>
      </w:r>
      <w:r>
        <w:rPr>
          <w:rFonts w:hint="eastAsia" w:hAnsi="宋体"/>
          <w:color w:val="auto"/>
        </w:rPr>
        <w:t>在规定的</w:t>
      </w:r>
      <w:r>
        <w:rPr>
          <w:rFonts w:hint="eastAsia" w:hAnsi="宋体" w:cs="宋体"/>
          <w:color w:val="auto"/>
          <w:szCs w:val="21"/>
        </w:rPr>
        <w:t>投标</w:t>
      </w:r>
      <w:r>
        <w:rPr>
          <w:rFonts w:hint="eastAsia" w:hAnsi="宋体"/>
          <w:color w:val="auto"/>
        </w:rPr>
        <w:t>截止时间前，投标人可以修改或者撤回已递交的</w:t>
      </w:r>
      <w:r>
        <w:rPr>
          <w:rFonts w:hint="eastAsia" w:hAnsi="宋体" w:cs="宋体"/>
          <w:color w:val="auto"/>
          <w:szCs w:val="21"/>
        </w:rPr>
        <w:t>投标</w:t>
      </w:r>
      <w:r>
        <w:rPr>
          <w:rFonts w:hint="eastAsia" w:hAnsi="宋体"/>
          <w:color w:val="auto"/>
        </w:rPr>
        <w:t>文件。</w:t>
      </w:r>
    </w:p>
    <w:p>
      <w:pPr>
        <w:pStyle w:val="22"/>
        <w:tabs>
          <w:tab w:val="left" w:pos="630"/>
        </w:tabs>
        <w:snapToGrid w:val="0"/>
        <w:spacing w:line="440" w:lineRule="exact"/>
        <w:ind w:firstLine="424" w:firstLineChars="202"/>
        <w:rPr>
          <w:rFonts w:hAnsi="宋体"/>
          <w:color w:val="auto"/>
        </w:rPr>
      </w:pPr>
      <w:r>
        <w:rPr>
          <w:rFonts w:hAnsi="宋体"/>
          <w:color w:val="auto"/>
        </w:rPr>
        <w:t>4.2.2</w:t>
      </w:r>
      <w:r>
        <w:rPr>
          <w:rFonts w:hint="eastAsia" w:hAnsi="宋体"/>
          <w:color w:val="auto"/>
        </w:rPr>
        <w:t>投标人修改后的</w:t>
      </w:r>
      <w:r>
        <w:rPr>
          <w:rFonts w:hint="eastAsia" w:hAnsi="宋体" w:cs="宋体"/>
          <w:color w:val="auto"/>
          <w:szCs w:val="21"/>
        </w:rPr>
        <w:t>投标</w:t>
      </w:r>
      <w:r>
        <w:rPr>
          <w:rFonts w:hint="eastAsia" w:hAnsi="宋体"/>
          <w:color w:val="auto"/>
        </w:rPr>
        <w:t>文件，应当在规定的</w:t>
      </w:r>
      <w:r>
        <w:rPr>
          <w:rFonts w:hint="eastAsia" w:hAnsi="宋体" w:cs="宋体"/>
          <w:color w:val="auto"/>
          <w:szCs w:val="21"/>
        </w:rPr>
        <w:t>投标</w:t>
      </w:r>
      <w:r>
        <w:rPr>
          <w:rFonts w:hint="eastAsia" w:hAnsi="宋体"/>
          <w:color w:val="auto"/>
        </w:rPr>
        <w:t>截止时间前按照招标文件的规定编制、密封、标记、递交。</w:t>
      </w:r>
    </w:p>
    <w:p>
      <w:pPr>
        <w:pStyle w:val="22"/>
        <w:tabs>
          <w:tab w:val="left" w:pos="630"/>
        </w:tabs>
        <w:snapToGrid w:val="0"/>
        <w:spacing w:line="440" w:lineRule="exact"/>
        <w:ind w:firstLine="424" w:firstLineChars="202"/>
        <w:rPr>
          <w:rFonts w:hAnsi="宋体"/>
          <w:color w:val="auto"/>
        </w:rPr>
      </w:pPr>
      <w:r>
        <w:rPr>
          <w:rFonts w:hAnsi="宋体"/>
          <w:color w:val="auto"/>
        </w:rPr>
        <w:t>4.2.3</w:t>
      </w:r>
      <w:r>
        <w:rPr>
          <w:rFonts w:hint="eastAsia" w:hAnsi="宋体"/>
          <w:color w:val="auto"/>
        </w:rPr>
        <w:t>投标人撤回已递交的</w:t>
      </w:r>
      <w:r>
        <w:rPr>
          <w:rFonts w:hint="eastAsia" w:hAnsi="宋体" w:cs="宋体"/>
          <w:color w:val="auto"/>
          <w:szCs w:val="21"/>
        </w:rPr>
        <w:t>投标</w:t>
      </w:r>
      <w:r>
        <w:rPr>
          <w:rFonts w:hint="eastAsia" w:hAnsi="宋体"/>
          <w:color w:val="auto"/>
        </w:rPr>
        <w:t>文件，应当书面通知招标人。招标人已收取</w:t>
      </w:r>
      <w:r>
        <w:rPr>
          <w:rFonts w:hint="eastAsia" w:hAnsi="宋体" w:cs="宋体"/>
          <w:color w:val="auto"/>
          <w:szCs w:val="21"/>
        </w:rPr>
        <w:t>投标</w:t>
      </w:r>
      <w:r>
        <w:rPr>
          <w:rFonts w:hint="eastAsia" w:hAnsi="宋体"/>
          <w:color w:val="auto"/>
        </w:rPr>
        <w:t>保证金的，应当自收到投标人书面撤回通知之日起</w:t>
      </w:r>
      <w:r>
        <w:rPr>
          <w:rFonts w:hAnsi="宋体"/>
          <w:color w:val="auto"/>
        </w:rPr>
        <w:t>5日内退还。</w:t>
      </w:r>
    </w:p>
    <w:p>
      <w:pPr>
        <w:pStyle w:val="22"/>
        <w:tabs>
          <w:tab w:val="left" w:pos="630"/>
        </w:tabs>
        <w:snapToGrid w:val="0"/>
        <w:spacing w:line="440" w:lineRule="exact"/>
        <w:ind w:firstLine="424" w:firstLineChars="202"/>
        <w:rPr>
          <w:rFonts w:hAnsi="宋体"/>
          <w:color w:val="auto"/>
        </w:rPr>
      </w:pPr>
      <w:r>
        <w:rPr>
          <w:rFonts w:hAnsi="宋体"/>
          <w:color w:val="auto"/>
        </w:rPr>
        <w:t>4.2.4投标人在规定的</w:t>
      </w:r>
      <w:r>
        <w:rPr>
          <w:rFonts w:hint="eastAsia" w:hAnsi="宋体" w:cs="宋体"/>
          <w:color w:val="auto"/>
          <w:szCs w:val="21"/>
        </w:rPr>
        <w:t>投标</w:t>
      </w:r>
      <w:r>
        <w:rPr>
          <w:rFonts w:hint="eastAsia" w:hAnsi="宋体"/>
          <w:color w:val="auto"/>
        </w:rPr>
        <w:t>截止时间后，不得在</w:t>
      </w:r>
      <w:r>
        <w:rPr>
          <w:rFonts w:hint="eastAsia" w:hAnsi="宋体" w:cs="宋体"/>
          <w:color w:val="auto"/>
          <w:szCs w:val="21"/>
        </w:rPr>
        <w:t>投标</w:t>
      </w:r>
      <w:r>
        <w:rPr>
          <w:rFonts w:hint="eastAsia" w:hAnsi="宋体"/>
          <w:color w:val="auto"/>
        </w:rPr>
        <w:t>有效期内撤销其投标。否则招标人有权不退还其</w:t>
      </w:r>
      <w:r>
        <w:rPr>
          <w:rFonts w:hint="eastAsia" w:hAnsi="宋体" w:cs="宋体"/>
          <w:color w:val="auto"/>
          <w:szCs w:val="21"/>
        </w:rPr>
        <w:t>投标</w:t>
      </w:r>
      <w:r>
        <w:rPr>
          <w:rFonts w:hint="eastAsia" w:hAnsi="宋体"/>
          <w:color w:val="auto"/>
        </w:rPr>
        <w:t>保证金。</w:t>
      </w:r>
      <w:bookmarkEnd w:id="215"/>
      <w:bookmarkEnd w:id="216"/>
      <w:bookmarkEnd w:id="217"/>
      <w:bookmarkEnd w:id="218"/>
      <w:bookmarkEnd w:id="219"/>
      <w:bookmarkEnd w:id="220"/>
      <w:bookmarkEnd w:id="221"/>
      <w:bookmarkEnd w:id="222"/>
      <w:bookmarkEnd w:id="223"/>
      <w:bookmarkEnd w:id="224"/>
      <w:bookmarkEnd w:id="225"/>
    </w:p>
    <w:p>
      <w:pPr>
        <w:numPr>
          <w:ilvl w:val="0"/>
          <w:numId w:val="5"/>
        </w:numPr>
        <w:rPr>
          <w:b/>
          <w:bCs/>
          <w:color w:val="auto"/>
          <w:sz w:val="24"/>
          <w:szCs w:val="32"/>
        </w:rPr>
      </w:pPr>
      <w:r>
        <w:rPr>
          <w:rFonts w:hint="eastAsia"/>
          <w:b/>
          <w:bCs/>
          <w:color w:val="auto"/>
          <w:sz w:val="24"/>
          <w:szCs w:val="32"/>
        </w:rPr>
        <w:t>唱价</w:t>
      </w:r>
    </w:p>
    <w:p>
      <w:pPr>
        <w:rPr>
          <w:b/>
          <w:bCs/>
          <w:color w:val="auto"/>
          <w:sz w:val="24"/>
          <w:szCs w:val="32"/>
        </w:rPr>
      </w:pPr>
      <w:bookmarkStart w:id="230" w:name="_Toc46496154"/>
      <w:bookmarkStart w:id="231" w:name="_Toc447265532"/>
      <w:bookmarkStart w:id="232" w:name="_Toc447188695"/>
      <w:bookmarkStart w:id="233" w:name="_Toc447265246"/>
      <w:r>
        <w:rPr>
          <w:b/>
          <w:bCs/>
          <w:color w:val="auto"/>
          <w:sz w:val="24"/>
          <w:szCs w:val="32"/>
        </w:rPr>
        <w:t>5.1</w:t>
      </w:r>
      <w:bookmarkEnd w:id="226"/>
      <w:bookmarkEnd w:id="227"/>
      <w:bookmarkEnd w:id="228"/>
      <w:bookmarkEnd w:id="229"/>
      <w:r>
        <w:rPr>
          <w:rFonts w:hint="eastAsia"/>
          <w:b/>
          <w:bCs/>
          <w:color w:val="auto"/>
          <w:sz w:val="24"/>
          <w:szCs w:val="32"/>
        </w:rPr>
        <w:t>唱价时间和地点</w:t>
      </w:r>
      <w:bookmarkEnd w:id="230"/>
      <w:bookmarkEnd w:id="231"/>
      <w:bookmarkEnd w:id="232"/>
      <w:bookmarkEnd w:id="233"/>
    </w:p>
    <w:p>
      <w:pPr>
        <w:pStyle w:val="22"/>
        <w:tabs>
          <w:tab w:val="left" w:pos="630"/>
        </w:tabs>
        <w:snapToGrid w:val="0"/>
        <w:spacing w:line="440" w:lineRule="exact"/>
        <w:ind w:firstLine="420" w:firstLineChars="200"/>
        <w:rPr>
          <w:rFonts w:hAnsi="宋体"/>
          <w:color w:val="auto"/>
        </w:rPr>
      </w:pPr>
      <w:r>
        <w:rPr>
          <w:rFonts w:hint="eastAsia" w:hAnsi="宋体"/>
          <w:color w:val="auto"/>
        </w:rPr>
        <w:t>招标人将按照投标人须知前附表规定的时间和地点公开唱价，参加唱价的投标人代表应当签名报到，以证明其出席唱价。唱价时间和投标截止时间应当为同一时间。</w:t>
      </w:r>
    </w:p>
    <w:p>
      <w:pPr>
        <w:rPr>
          <w:b/>
          <w:bCs/>
          <w:color w:val="auto"/>
          <w:sz w:val="24"/>
          <w:szCs w:val="32"/>
        </w:rPr>
      </w:pPr>
      <w:bookmarkStart w:id="234" w:name="_Toc447265247"/>
      <w:bookmarkStart w:id="235" w:name="_Toc447188696"/>
      <w:bookmarkStart w:id="236" w:name="_Toc46496155"/>
      <w:bookmarkStart w:id="237" w:name="_Toc447265533"/>
      <w:r>
        <w:rPr>
          <w:b/>
          <w:bCs/>
          <w:color w:val="auto"/>
          <w:sz w:val="24"/>
          <w:szCs w:val="32"/>
        </w:rPr>
        <w:t>5.2</w:t>
      </w:r>
      <w:r>
        <w:rPr>
          <w:rFonts w:hint="eastAsia"/>
          <w:b/>
          <w:bCs/>
          <w:color w:val="auto"/>
          <w:sz w:val="24"/>
          <w:szCs w:val="32"/>
        </w:rPr>
        <w:t>唱价程序</w:t>
      </w:r>
      <w:bookmarkEnd w:id="234"/>
      <w:bookmarkEnd w:id="235"/>
      <w:bookmarkEnd w:id="236"/>
      <w:bookmarkEnd w:id="237"/>
    </w:p>
    <w:p>
      <w:pPr>
        <w:pStyle w:val="22"/>
        <w:tabs>
          <w:tab w:val="left" w:pos="630"/>
        </w:tabs>
        <w:snapToGrid w:val="0"/>
        <w:spacing w:line="440" w:lineRule="exact"/>
        <w:ind w:firstLine="424" w:firstLineChars="202"/>
        <w:rPr>
          <w:rFonts w:hAnsi="宋体"/>
          <w:color w:val="auto"/>
        </w:rPr>
      </w:pPr>
      <w:bookmarkStart w:id="238" w:name="_Toc246996206"/>
      <w:bookmarkStart w:id="239" w:name="_Toc247085720"/>
      <w:bookmarkStart w:id="240" w:name="_Toc447265536"/>
      <w:bookmarkStart w:id="241" w:name="_Toc447188699"/>
      <w:bookmarkStart w:id="242" w:name="_Toc246996949"/>
      <w:bookmarkStart w:id="243" w:name="_Toc152042338"/>
      <w:bookmarkStart w:id="244" w:name="_Toc152045562"/>
      <w:bookmarkStart w:id="245" w:name="_Toc296602451"/>
      <w:bookmarkStart w:id="246" w:name="_Toc179632580"/>
      <w:bookmarkStart w:id="247" w:name="_Toc144974530"/>
      <w:bookmarkStart w:id="248" w:name="_Toc447265250"/>
      <w:bookmarkStart w:id="249" w:name="_Toc227057909"/>
      <w:bookmarkStart w:id="250" w:name="_Toc107822507"/>
      <w:bookmarkStart w:id="251" w:name="_Toc226969303"/>
      <w:r>
        <w:rPr>
          <w:rFonts w:hAnsi="宋体"/>
          <w:color w:val="auto"/>
        </w:rPr>
        <w:t>5.2.1唱价会议由招标人或者其委托的招标代理机构组织并主持，邀请所有的投标人或</w:t>
      </w:r>
      <w:r>
        <w:rPr>
          <w:rFonts w:hint="eastAsia" w:hAnsi="宋体"/>
          <w:color w:val="auto"/>
        </w:rPr>
        <w:t>者其代表出席。投标人代表或者招标人委托的公证机构对</w:t>
      </w:r>
      <w:r>
        <w:rPr>
          <w:rFonts w:hint="eastAsia" w:hAnsi="宋体" w:cs="宋体"/>
          <w:color w:val="auto"/>
          <w:szCs w:val="21"/>
        </w:rPr>
        <w:t>投标</w:t>
      </w:r>
      <w:r>
        <w:rPr>
          <w:rFonts w:hint="eastAsia" w:hAnsi="宋体"/>
          <w:color w:val="auto"/>
        </w:rPr>
        <w:t>文件密封性进行检查。</w:t>
      </w:r>
    </w:p>
    <w:p>
      <w:pPr>
        <w:pStyle w:val="22"/>
        <w:tabs>
          <w:tab w:val="left" w:pos="630"/>
        </w:tabs>
        <w:snapToGrid w:val="0"/>
        <w:spacing w:line="440" w:lineRule="exact"/>
        <w:ind w:firstLine="424" w:firstLineChars="202"/>
        <w:rPr>
          <w:rFonts w:hAnsi="宋体"/>
          <w:color w:val="auto"/>
        </w:rPr>
      </w:pPr>
      <w:r>
        <w:rPr>
          <w:rFonts w:hAnsi="宋体"/>
          <w:color w:val="auto"/>
        </w:rPr>
        <w:t>5.2.2招标人在</w:t>
      </w:r>
      <w:r>
        <w:rPr>
          <w:rFonts w:hint="eastAsia" w:hAnsi="宋体" w:cs="宋体"/>
          <w:color w:val="auto"/>
          <w:szCs w:val="21"/>
        </w:rPr>
        <w:t>投标</w:t>
      </w:r>
      <w:r>
        <w:rPr>
          <w:rFonts w:hAnsi="宋体"/>
          <w:color w:val="auto"/>
        </w:rPr>
        <w:t>文件递交截止时间前收到的所有</w:t>
      </w:r>
      <w:r>
        <w:rPr>
          <w:rFonts w:hint="eastAsia" w:hAnsi="宋体" w:cs="宋体"/>
          <w:color w:val="auto"/>
          <w:szCs w:val="21"/>
        </w:rPr>
        <w:t>投标</w:t>
      </w:r>
      <w:r>
        <w:rPr>
          <w:rFonts w:hAnsi="宋体"/>
          <w:color w:val="auto"/>
        </w:rPr>
        <w:t>文件在唱价时都应当当众予以拆封</w:t>
      </w:r>
      <w:r>
        <w:rPr>
          <w:rFonts w:hint="eastAsia" w:hAnsi="宋体"/>
          <w:color w:val="auto"/>
        </w:rPr>
        <w:t>、</w:t>
      </w:r>
      <w:r>
        <w:rPr>
          <w:rFonts w:hAnsi="宋体"/>
          <w:color w:val="auto"/>
        </w:rPr>
        <w:t>宣读</w:t>
      </w:r>
      <w:r>
        <w:rPr>
          <w:rFonts w:hint="eastAsia" w:hAnsi="宋体"/>
          <w:color w:val="auto"/>
        </w:rPr>
        <w:t>，</w:t>
      </w:r>
      <w:r>
        <w:rPr>
          <w:rFonts w:hAnsi="宋体"/>
          <w:color w:val="auto"/>
        </w:rPr>
        <w:t>但</w:t>
      </w:r>
      <w:r>
        <w:rPr>
          <w:rFonts w:hint="eastAsia" w:hAnsi="宋体"/>
          <w:color w:val="auto"/>
        </w:rPr>
        <w:t>按照招标文件规定递交合格的书面撤回通知的</w:t>
      </w:r>
      <w:r>
        <w:rPr>
          <w:rFonts w:hint="eastAsia" w:hAnsi="宋体" w:cs="宋体"/>
          <w:color w:val="auto"/>
          <w:szCs w:val="21"/>
        </w:rPr>
        <w:t>投标</w:t>
      </w:r>
      <w:r>
        <w:rPr>
          <w:rFonts w:hint="eastAsia" w:hAnsi="宋体"/>
          <w:color w:val="auto"/>
        </w:rPr>
        <w:t>文件不予开封。</w:t>
      </w:r>
    </w:p>
    <w:p>
      <w:pPr>
        <w:pStyle w:val="22"/>
        <w:tabs>
          <w:tab w:val="left" w:pos="630"/>
        </w:tabs>
        <w:snapToGrid w:val="0"/>
        <w:spacing w:line="440" w:lineRule="exact"/>
        <w:ind w:firstLine="424" w:firstLineChars="202"/>
        <w:rPr>
          <w:rFonts w:hAnsi="宋体"/>
          <w:color w:val="auto"/>
        </w:rPr>
      </w:pPr>
      <w:r>
        <w:rPr>
          <w:rFonts w:hAnsi="宋体"/>
          <w:color w:val="auto"/>
        </w:rPr>
        <w:t>5.2.3</w:t>
      </w:r>
      <w:r>
        <w:rPr>
          <w:rFonts w:hint="eastAsia" w:hAnsi="宋体"/>
          <w:color w:val="auto"/>
        </w:rPr>
        <w:t>唱价时，招标人应当当众宣布参加本项目招标的投标人个数及</w:t>
      </w:r>
      <w:r>
        <w:rPr>
          <w:rFonts w:hint="eastAsia" w:hAnsi="宋体" w:cs="宋体"/>
          <w:color w:val="auto"/>
          <w:szCs w:val="21"/>
        </w:rPr>
        <w:t>投标</w:t>
      </w:r>
      <w:r>
        <w:rPr>
          <w:rFonts w:hint="eastAsia" w:hAnsi="宋体"/>
          <w:color w:val="auto"/>
        </w:rPr>
        <w:t>文件的密封情况，并宣读有效的“报价一览表”中的内容，“报价一览表”一般包括：投标人名称、</w:t>
      </w:r>
      <w:r>
        <w:rPr>
          <w:rFonts w:hint="eastAsia" w:hAnsi="宋体" w:cs="宋体"/>
          <w:color w:val="auto"/>
          <w:szCs w:val="21"/>
        </w:rPr>
        <w:t>投标</w:t>
      </w:r>
      <w:r>
        <w:rPr>
          <w:rFonts w:hint="eastAsia" w:hAnsi="宋体"/>
          <w:color w:val="auto"/>
        </w:rPr>
        <w:t>总报价、交货期、</w:t>
      </w:r>
      <w:r>
        <w:rPr>
          <w:rFonts w:hint="eastAsia" w:hAnsi="宋体" w:cs="宋体"/>
          <w:color w:val="auto"/>
          <w:szCs w:val="21"/>
        </w:rPr>
        <w:t>投标</w:t>
      </w:r>
      <w:r>
        <w:rPr>
          <w:rFonts w:hint="eastAsia" w:hAnsi="宋体"/>
          <w:color w:val="auto"/>
        </w:rPr>
        <w:t>保证金以及招标文件中规定的其他内容。</w:t>
      </w:r>
    </w:p>
    <w:p>
      <w:pPr>
        <w:rPr>
          <w:b/>
          <w:bCs/>
          <w:color w:val="auto"/>
          <w:sz w:val="24"/>
          <w:szCs w:val="32"/>
        </w:rPr>
      </w:pPr>
      <w:bookmarkStart w:id="252" w:name="_Toc447188697"/>
      <w:bookmarkStart w:id="253" w:name="_Toc46496156"/>
      <w:bookmarkStart w:id="254" w:name="_Toc450489307"/>
      <w:bookmarkStart w:id="255" w:name="_Toc447265248"/>
      <w:bookmarkStart w:id="256" w:name="_Toc447265534"/>
      <w:r>
        <w:rPr>
          <w:b/>
          <w:bCs/>
          <w:color w:val="auto"/>
          <w:sz w:val="24"/>
          <w:szCs w:val="32"/>
        </w:rPr>
        <w:t>5.3</w:t>
      </w:r>
      <w:r>
        <w:rPr>
          <w:rFonts w:hint="eastAsia"/>
          <w:b/>
          <w:bCs/>
          <w:color w:val="auto"/>
          <w:sz w:val="24"/>
          <w:szCs w:val="32"/>
        </w:rPr>
        <w:t>异议</w:t>
      </w:r>
      <w:bookmarkEnd w:id="252"/>
      <w:bookmarkEnd w:id="253"/>
      <w:bookmarkEnd w:id="254"/>
      <w:bookmarkEnd w:id="255"/>
      <w:bookmarkEnd w:id="256"/>
    </w:p>
    <w:p>
      <w:pPr>
        <w:pStyle w:val="22"/>
        <w:tabs>
          <w:tab w:val="left" w:pos="630"/>
        </w:tabs>
        <w:snapToGrid w:val="0"/>
        <w:spacing w:line="440" w:lineRule="exact"/>
        <w:ind w:firstLine="424" w:firstLineChars="202"/>
        <w:rPr>
          <w:rFonts w:hAnsi="宋体"/>
          <w:color w:val="auto"/>
        </w:rPr>
      </w:pPr>
      <w:r>
        <w:rPr>
          <w:rFonts w:hAnsi="宋体"/>
          <w:color w:val="auto"/>
        </w:rPr>
        <w:t>5.3.1投标人对唱价有异议的，应当在唱价现场提出，招标人应当当场做出答复，并制作记录。</w:t>
      </w:r>
    </w:p>
    <w:p>
      <w:pPr>
        <w:pStyle w:val="22"/>
        <w:tabs>
          <w:tab w:val="left" w:pos="630"/>
        </w:tabs>
        <w:snapToGrid w:val="0"/>
        <w:spacing w:line="440" w:lineRule="exact"/>
        <w:ind w:firstLine="424" w:firstLineChars="202"/>
        <w:rPr>
          <w:rFonts w:hAnsi="宋体"/>
          <w:color w:val="auto"/>
        </w:rPr>
      </w:pPr>
      <w:r>
        <w:rPr>
          <w:rFonts w:hAnsi="宋体"/>
          <w:color w:val="auto"/>
        </w:rPr>
        <w:t>5.3.2</w:t>
      </w:r>
      <w:r>
        <w:rPr>
          <w:rFonts w:hint="eastAsia" w:hAnsi="宋体"/>
          <w:color w:val="auto"/>
        </w:rPr>
        <w:t>投标人认为存在低于成本价投标情形的，可以在唱价现场提出异议，并在评审完成前向招标人递交书面材料，招标人应当及时将书面材料转交评标委员会。</w:t>
      </w:r>
      <w:bookmarkEnd w:id="238"/>
      <w:bookmarkEnd w:id="239"/>
      <w:bookmarkEnd w:id="240"/>
      <w:bookmarkEnd w:id="241"/>
      <w:bookmarkEnd w:id="242"/>
      <w:bookmarkEnd w:id="243"/>
      <w:bookmarkEnd w:id="244"/>
      <w:bookmarkEnd w:id="245"/>
      <w:bookmarkEnd w:id="246"/>
      <w:bookmarkEnd w:id="247"/>
      <w:bookmarkEnd w:id="248"/>
    </w:p>
    <w:p>
      <w:pPr>
        <w:numPr>
          <w:ilvl w:val="0"/>
          <w:numId w:val="5"/>
        </w:numPr>
        <w:rPr>
          <w:b/>
          <w:bCs/>
          <w:color w:val="auto"/>
          <w:sz w:val="24"/>
          <w:szCs w:val="32"/>
        </w:rPr>
      </w:pPr>
      <w:bookmarkStart w:id="257" w:name="_Toc477190306"/>
      <w:bookmarkEnd w:id="257"/>
      <w:bookmarkStart w:id="258" w:name="_Toc477190305"/>
      <w:bookmarkEnd w:id="258"/>
      <w:r>
        <w:rPr>
          <w:rFonts w:hint="eastAsia"/>
          <w:b/>
          <w:bCs/>
          <w:color w:val="auto"/>
          <w:sz w:val="24"/>
          <w:szCs w:val="32"/>
        </w:rPr>
        <w:t>评审</w:t>
      </w:r>
    </w:p>
    <w:p>
      <w:pPr>
        <w:rPr>
          <w:b/>
          <w:bCs/>
          <w:color w:val="auto"/>
          <w:sz w:val="24"/>
          <w:szCs w:val="32"/>
        </w:rPr>
      </w:pPr>
      <w:bookmarkStart w:id="259" w:name="_Toc447265537"/>
      <w:bookmarkStart w:id="260" w:name="_Toc447188700"/>
      <w:bookmarkStart w:id="261" w:name="_Toc447265251"/>
      <w:bookmarkStart w:id="262" w:name="_Toc46496158"/>
      <w:r>
        <w:rPr>
          <w:b/>
          <w:bCs/>
          <w:color w:val="auto"/>
          <w:sz w:val="24"/>
          <w:szCs w:val="32"/>
        </w:rPr>
        <w:t>6.1</w:t>
      </w:r>
      <w:bookmarkEnd w:id="249"/>
      <w:bookmarkEnd w:id="250"/>
      <w:bookmarkEnd w:id="251"/>
      <w:bookmarkEnd w:id="259"/>
      <w:bookmarkEnd w:id="260"/>
      <w:bookmarkEnd w:id="261"/>
      <w:r>
        <w:rPr>
          <w:rFonts w:hint="eastAsia"/>
          <w:b/>
          <w:bCs/>
          <w:color w:val="auto"/>
          <w:sz w:val="24"/>
          <w:szCs w:val="32"/>
        </w:rPr>
        <w:t>评标委员会</w:t>
      </w:r>
      <w:bookmarkEnd w:id="262"/>
    </w:p>
    <w:p>
      <w:pPr>
        <w:pStyle w:val="22"/>
        <w:tabs>
          <w:tab w:val="left" w:pos="630"/>
        </w:tabs>
        <w:snapToGrid w:val="0"/>
        <w:spacing w:line="440" w:lineRule="exact"/>
        <w:ind w:firstLine="424" w:firstLineChars="202"/>
        <w:rPr>
          <w:rFonts w:hAnsi="宋体"/>
          <w:color w:val="auto"/>
        </w:rPr>
      </w:pPr>
      <w:bookmarkStart w:id="263" w:name="_Toc447265255"/>
      <w:bookmarkStart w:id="264" w:name="_Toc447265541"/>
      <w:bookmarkStart w:id="265" w:name="_Toc447188703"/>
      <w:bookmarkStart w:id="266" w:name="_Toc227057915"/>
      <w:bookmarkStart w:id="267" w:name="_Toc226969309"/>
      <w:bookmarkStart w:id="268" w:name="_Toc107822516"/>
      <w:bookmarkStart w:id="269" w:name="_Toc488655860"/>
      <w:r>
        <w:rPr>
          <w:rFonts w:hAnsi="宋体"/>
          <w:color w:val="auto"/>
        </w:rPr>
        <w:t>6.1.1评审由评标委员会负责，具体人数见投标人须知前附表。评标委员会的专家应当从</w:t>
      </w:r>
      <w:r>
        <w:rPr>
          <w:rFonts w:hint="eastAsia" w:hAnsi="宋体"/>
          <w:color w:val="auto"/>
          <w:szCs w:val="21"/>
        </w:rPr>
        <w:t>专家从评标专家库内相关专业的专家名单中采取随机抽取方式确定</w:t>
      </w:r>
      <w:r>
        <w:rPr>
          <w:rFonts w:hint="eastAsia" w:hAnsi="宋体"/>
          <w:color w:val="auto"/>
        </w:rPr>
        <w:t>。</w:t>
      </w:r>
    </w:p>
    <w:p>
      <w:pPr>
        <w:pStyle w:val="22"/>
        <w:tabs>
          <w:tab w:val="left" w:pos="630"/>
        </w:tabs>
        <w:snapToGrid w:val="0"/>
        <w:spacing w:line="440" w:lineRule="exact"/>
        <w:ind w:firstLine="424" w:firstLineChars="202"/>
        <w:rPr>
          <w:rFonts w:hAnsi="宋体"/>
          <w:color w:val="auto"/>
        </w:rPr>
      </w:pPr>
      <w:r>
        <w:rPr>
          <w:rFonts w:hAnsi="宋体"/>
          <w:color w:val="auto"/>
        </w:rPr>
        <w:t>6.1.2评审期间，任何单位和个人不得非法干预或者影响评审的过程和结果。</w:t>
      </w:r>
    </w:p>
    <w:p>
      <w:pPr>
        <w:pStyle w:val="22"/>
        <w:tabs>
          <w:tab w:val="left" w:pos="630"/>
        </w:tabs>
        <w:snapToGrid w:val="0"/>
        <w:spacing w:line="440" w:lineRule="exact"/>
        <w:ind w:firstLine="424" w:firstLineChars="202"/>
        <w:rPr>
          <w:rFonts w:hAnsi="宋体"/>
          <w:color w:val="auto"/>
        </w:rPr>
      </w:pPr>
      <w:r>
        <w:rPr>
          <w:rFonts w:hAnsi="宋体"/>
          <w:color w:val="auto"/>
        </w:rPr>
        <w:t>6.1.3</w:t>
      </w:r>
      <w:r>
        <w:rPr>
          <w:rFonts w:hint="eastAsia" w:hAnsi="宋体"/>
          <w:color w:val="auto"/>
        </w:rPr>
        <w:t>评标委员会成员名单在中标结果确定前保密。</w:t>
      </w:r>
    </w:p>
    <w:p>
      <w:pPr>
        <w:rPr>
          <w:b/>
          <w:bCs/>
          <w:color w:val="auto"/>
          <w:sz w:val="24"/>
          <w:szCs w:val="32"/>
        </w:rPr>
      </w:pPr>
      <w:bookmarkStart w:id="270" w:name="_Toc296602453"/>
      <w:bookmarkStart w:id="271" w:name="_Toc179632582"/>
      <w:bookmarkStart w:id="272" w:name="_Toc246996208"/>
      <w:bookmarkStart w:id="273" w:name="_Toc46496159"/>
      <w:bookmarkStart w:id="274" w:name="_Toc152045564"/>
      <w:bookmarkStart w:id="275" w:name="_Toc450489311"/>
      <w:bookmarkStart w:id="276" w:name="_Toc144974532"/>
      <w:bookmarkStart w:id="277" w:name="_Toc447265538"/>
      <w:bookmarkStart w:id="278" w:name="_Toc447265252"/>
      <w:bookmarkStart w:id="279" w:name="_Toc247085722"/>
      <w:bookmarkStart w:id="280" w:name="_Toc246996951"/>
      <w:bookmarkStart w:id="281" w:name="_Toc152042340"/>
      <w:r>
        <w:rPr>
          <w:b/>
          <w:bCs/>
          <w:color w:val="auto"/>
          <w:sz w:val="24"/>
          <w:szCs w:val="32"/>
        </w:rPr>
        <w:t>6.2</w:t>
      </w:r>
      <w:r>
        <w:rPr>
          <w:rFonts w:hint="eastAsia"/>
          <w:b/>
          <w:bCs/>
          <w:color w:val="auto"/>
          <w:sz w:val="24"/>
          <w:szCs w:val="32"/>
        </w:rPr>
        <w:t>评审原则</w:t>
      </w:r>
      <w:bookmarkEnd w:id="270"/>
      <w:bookmarkEnd w:id="271"/>
      <w:bookmarkEnd w:id="272"/>
      <w:bookmarkEnd w:id="273"/>
      <w:bookmarkEnd w:id="274"/>
      <w:bookmarkEnd w:id="275"/>
      <w:bookmarkEnd w:id="276"/>
      <w:bookmarkEnd w:id="277"/>
      <w:bookmarkEnd w:id="278"/>
      <w:bookmarkEnd w:id="279"/>
      <w:bookmarkEnd w:id="280"/>
      <w:bookmarkEnd w:id="281"/>
    </w:p>
    <w:p>
      <w:pPr>
        <w:pStyle w:val="22"/>
        <w:tabs>
          <w:tab w:val="left" w:pos="630"/>
        </w:tabs>
        <w:snapToGrid w:val="0"/>
        <w:spacing w:line="440" w:lineRule="exact"/>
        <w:ind w:firstLine="424" w:firstLineChars="202"/>
        <w:rPr>
          <w:rFonts w:hAnsi="宋体"/>
          <w:color w:val="auto"/>
        </w:rPr>
      </w:pPr>
      <w:r>
        <w:rPr>
          <w:rFonts w:hAnsi="宋体"/>
          <w:color w:val="auto"/>
        </w:rPr>
        <w:t>6.2.1评审活动遵循公平、公正、科学和择优的原则。</w:t>
      </w:r>
    </w:p>
    <w:p>
      <w:pPr>
        <w:pStyle w:val="22"/>
        <w:tabs>
          <w:tab w:val="left" w:pos="630"/>
        </w:tabs>
        <w:snapToGrid w:val="0"/>
        <w:spacing w:line="440" w:lineRule="exact"/>
        <w:ind w:firstLine="424" w:firstLineChars="202"/>
        <w:rPr>
          <w:rFonts w:hAnsi="宋体"/>
          <w:color w:val="auto"/>
        </w:rPr>
      </w:pPr>
      <w:r>
        <w:rPr>
          <w:rFonts w:hAnsi="宋体"/>
          <w:color w:val="auto"/>
        </w:rPr>
        <w:t>6.2.2</w:t>
      </w:r>
      <w:r>
        <w:rPr>
          <w:rFonts w:hint="eastAsia" w:hAnsi="宋体"/>
          <w:color w:val="auto"/>
        </w:rPr>
        <w:t>评标委员会按照第三章“评审办法”规定的方法、评审因素、标准和程序对投标文件进行评审。第三章“评审办法”没有规定的方法、评审因素和标准，不得作为评审依据。</w:t>
      </w:r>
    </w:p>
    <w:p>
      <w:pPr>
        <w:rPr>
          <w:b/>
          <w:bCs/>
          <w:color w:val="auto"/>
          <w:sz w:val="24"/>
          <w:szCs w:val="32"/>
        </w:rPr>
      </w:pPr>
      <w:bookmarkStart w:id="282" w:name="_Toc447188701"/>
      <w:bookmarkStart w:id="283" w:name="_Toc46496160"/>
      <w:bookmarkStart w:id="284" w:name="_Toc447265253"/>
      <w:bookmarkStart w:id="285" w:name="_Toc447265539"/>
      <w:bookmarkStart w:id="286" w:name="_Toc450489312"/>
      <w:r>
        <w:rPr>
          <w:b/>
          <w:bCs/>
          <w:color w:val="auto"/>
          <w:sz w:val="24"/>
          <w:szCs w:val="32"/>
        </w:rPr>
        <w:t>6.3</w:t>
      </w:r>
      <w:r>
        <w:rPr>
          <w:rFonts w:hint="eastAsia"/>
          <w:b/>
          <w:bCs/>
          <w:color w:val="auto"/>
          <w:sz w:val="24"/>
          <w:szCs w:val="32"/>
        </w:rPr>
        <w:t>评审方法</w:t>
      </w:r>
      <w:bookmarkEnd w:id="282"/>
      <w:bookmarkEnd w:id="283"/>
      <w:bookmarkEnd w:id="284"/>
      <w:bookmarkEnd w:id="285"/>
      <w:bookmarkEnd w:id="286"/>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6.3.1招标文件中详细载明下述评审方法之一作为本项目评审所采用的评审方法。评审方法见投标人须知前附表。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6.3.2采用经评审的最低价法的，能够满足招标文件的实质性要求，并且经评审的最低价的投标，应当推荐为中标候选人，但是价格低于成本的除外。</w:t>
      </w:r>
    </w:p>
    <w:p>
      <w:pPr>
        <w:pStyle w:val="22"/>
        <w:tabs>
          <w:tab w:val="left" w:pos="630"/>
        </w:tabs>
        <w:snapToGrid w:val="0"/>
        <w:spacing w:line="440" w:lineRule="exact"/>
        <w:ind w:firstLine="424" w:firstLineChars="202"/>
        <w:rPr>
          <w:rFonts w:hAnsi="宋体"/>
          <w:color w:val="auto"/>
        </w:rPr>
      </w:pPr>
      <w:r>
        <w:rPr>
          <w:rFonts w:hint="eastAsia" w:hAnsi="宋体"/>
          <w:color w:val="auto"/>
        </w:rPr>
        <w:t>采用综合评估法的，最大限度地满足招标文件中规定的各项综合评价标准的投标，应当推荐为中标候选人，量化的标准和权重应当在招标文件中明确规定。</w:t>
      </w:r>
    </w:p>
    <w:p>
      <w:pPr>
        <w:pStyle w:val="22"/>
        <w:tabs>
          <w:tab w:val="left" w:pos="630"/>
        </w:tabs>
        <w:snapToGrid w:val="0"/>
        <w:spacing w:line="440" w:lineRule="exact"/>
        <w:ind w:firstLine="424" w:firstLineChars="202"/>
        <w:rPr>
          <w:rFonts w:hAnsi="宋体"/>
          <w:color w:val="auto"/>
        </w:rPr>
      </w:pPr>
      <w:r>
        <w:rPr>
          <w:rFonts w:hint="eastAsia" w:hAnsi="宋体"/>
          <w:color w:val="auto"/>
        </w:rPr>
        <w:t>采用多阶段</w:t>
      </w:r>
      <w:r>
        <w:rPr>
          <w:rFonts w:hAnsi="宋体"/>
          <w:color w:val="auto"/>
        </w:rPr>
        <w:t>评审</w:t>
      </w:r>
      <w:r>
        <w:rPr>
          <w:rFonts w:hint="eastAsia" w:hAnsi="宋体"/>
          <w:color w:val="auto"/>
        </w:rPr>
        <w:t>法的</w:t>
      </w:r>
      <w:r>
        <w:rPr>
          <w:rFonts w:hAnsi="宋体"/>
          <w:color w:val="auto"/>
        </w:rPr>
        <w:t>，</w:t>
      </w:r>
      <w:r>
        <w:rPr>
          <w:rFonts w:hint="eastAsia"/>
          <w:color w:val="auto"/>
        </w:rPr>
        <w:t>按照招标文件规定的量化因素和权重比值，通过商务技术评审后，价格得分最高的推荐为中标候选人，商务技术</w:t>
      </w:r>
      <w:r>
        <w:rPr>
          <w:rFonts w:hint="eastAsia" w:hAnsi="宋体"/>
          <w:color w:val="auto"/>
        </w:rPr>
        <w:t>量化的标准和权重以及</w:t>
      </w:r>
      <w:r>
        <w:rPr>
          <w:rFonts w:hAnsi="宋体"/>
          <w:color w:val="auto"/>
        </w:rPr>
        <w:t>价格得分方法</w:t>
      </w:r>
      <w:r>
        <w:rPr>
          <w:rFonts w:hint="eastAsia" w:hAnsi="宋体"/>
          <w:color w:val="auto"/>
        </w:rPr>
        <w:t>应当在招标文件中明确规定</w:t>
      </w:r>
      <w:r>
        <w:rPr>
          <w:rFonts w:hint="eastAsia"/>
          <w:color w:val="auto"/>
        </w:rPr>
        <w:t>。</w:t>
      </w:r>
    </w:p>
    <w:p>
      <w:pPr>
        <w:pStyle w:val="22"/>
        <w:tabs>
          <w:tab w:val="left" w:pos="588"/>
          <w:tab w:val="left" w:pos="630"/>
        </w:tabs>
        <w:snapToGrid w:val="0"/>
        <w:spacing w:before="120" w:after="120" w:line="440" w:lineRule="exact"/>
        <w:ind w:firstLine="424" w:firstLineChars="202"/>
        <w:jc w:val="left"/>
        <w:rPr>
          <w:rFonts w:hAnsi="宋体"/>
          <w:color w:val="auto"/>
          <w:sz w:val="24"/>
          <w:szCs w:val="24"/>
        </w:rPr>
      </w:pPr>
      <w:r>
        <w:rPr>
          <w:rFonts w:hAnsi="宋体"/>
          <w:color w:val="auto"/>
        </w:rPr>
        <w:t>6.3.3法律</w:t>
      </w:r>
      <w:r>
        <w:rPr>
          <w:rFonts w:hint="eastAsia" w:hAnsi="宋体"/>
          <w:color w:val="auto"/>
        </w:rPr>
        <w:t>、</w:t>
      </w:r>
      <w:r>
        <w:rPr>
          <w:rFonts w:hAnsi="宋体"/>
          <w:color w:val="auto"/>
        </w:rPr>
        <w:t>法规允许的其他评</w:t>
      </w:r>
      <w:r>
        <w:rPr>
          <w:rFonts w:hint="eastAsia" w:hAnsi="宋体"/>
          <w:color w:val="auto"/>
        </w:rPr>
        <w:t>审</w:t>
      </w:r>
      <w:r>
        <w:rPr>
          <w:rFonts w:hAnsi="宋体"/>
          <w:color w:val="auto"/>
        </w:rPr>
        <w:t>方法</w:t>
      </w:r>
      <w:r>
        <w:rPr>
          <w:rFonts w:hint="eastAsia" w:hAnsi="宋体"/>
          <w:color w:val="auto"/>
        </w:rPr>
        <w:t>。</w:t>
      </w:r>
      <w:bookmarkStart w:id="287" w:name="_Toc447188702"/>
      <w:bookmarkStart w:id="288" w:name="_Toc447265254"/>
      <w:bookmarkStart w:id="289" w:name="_Toc447265540"/>
      <w:bookmarkStart w:id="290" w:name="_Toc247085724"/>
      <w:bookmarkStart w:id="291" w:name="_Toc246996210"/>
      <w:bookmarkStart w:id="292" w:name="_Toc296602455"/>
      <w:bookmarkStart w:id="293" w:name="_Toc152042342"/>
      <w:bookmarkStart w:id="294" w:name="_Toc144974534"/>
      <w:bookmarkStart w:id="295" w:name="_Toc152045566"/>
      <w:bookmarkStart w:id="296" w:name="_Toc179632584"/>
      <w:bookmarkStart w:id="297" w:name="_Toc246996953"/>
    </w:p>
    <w:p>
      <w:pPr>
        <w:rPr>
          <w:b/>
          <w:bCs/>
          <w:color w:val="auto"/>
          <w:sz w:val="24"/>
          <w:szCs w:val="32"/>
        </w:rPr>
      </w:pPr>
      <w:bookmarkStart w:id="298" w:name="_Toc46496161"/>
      <w:bookmarkStart w:id="299" w:name="_Toc450489313"/>
      <w:r>
        <w:rPr>
          <w:b/>
          <w:bCs/>
          <w:color w:val="auto"/>
          <w:sz w:val="24"/>
          <w:szCs w:val="32"/>
        </w:rPr>
        <w:t>6.4</w:t>
      </w:r>
      <w:r>
        <w:rPr>
          <w:rFonts w:hint="eastAsia"/>
          <w:b/>
          <w:bCs/>
          <w:color w:val="auto"/>
          <w:sz w:val="24"/>
          <w:szCs w:val="32"/>
        </w:rPr>
        <w:t>中标候选人推荐原则</w:t>
      </w:r>
      <w:bookmarkEnd w:id="298"/>
      <w:bookmarkEnd w:id="299"/>
    </w:p>
    <w:p>
      <w:pPr>
        <w:ind w:firstLine="420" w:firstLineChars="200"/>
        <w:rPr>
          <w:color w:val="auto"/>
        </w:rPr>
      </w:pPr>
      <w:r>
        <w:rPr>
          <w:rFonts w:hint="eastAsia"/>
          <w:color w:val="auto"/>
        </w:rPr>
        <w:t>评标委员会应当根据招标文件载明的规则推荐中标候选人，具体推荐原则见投标人须知前附表。</w:t>
      </w:r>
    </w:p>
    <w:p>
      <w:pPr>
        <w:rPr>
          <w:b/>
          <w:bCs/>
          <w:color w:val="auto"/>
          <w:sz w:val="24"/>
          <w:szCs w:val="32"/>
        </w:rPr>
      </w:pPr>
      <w:bookmarkStart w:id="300" w:name="_Toc46496162"/>
      <w:bookmarkStart w:id="301" w:name="_Toc450489314"/>
      <w:r>
        <w:rPr>
          <w:b/>
          <w:bCs/>
          <w:color w:val="auto"/>
          <w:sz w:val="24"/>
          <w:szCs w:val="32"/>
        </w:rPr>
        <w:t>6.5</w:t>
      </w:r>
      <w:r>
        <w:rPr>
          <w:rFonts w:hint="eastAsia"/>
          <w:b/>
          <w:bCs/>
          <w:color w:val="auto"/>
          <w:sz w:val="24"/>
          <w:szCs w:val="32"/>
        </w:rPr>
        <w:t>评审报告</w:t>
      </w:r>
      <w:bookmarkEnd w:id="287"/>
      <w:bookmarkEnd w:id="288"/>
      <w:bookmarkEnd w:id="289"/>
      <w:bookmarkEnd w:id="300"/>
      <w:bookmarkEnd w:id="301"/>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评审完成后，评标委员会应当根据有关规定及时向招标人提交评审报告和中标候选人名单。</w:t>
      </w:r>
      <w:bookmarkEnd w:id="263"/>
      <w:bookmarkEnd w:id="264"/>
      <w:bookmarkEnd w:id="265"/>
      <w:bookmarkEnd w:id="290"/>
      <w:bookmarkEnd w:id="291"/>
      <w:bookmarkEnd w:id="292"/>
      <w:bookmarkEnd w:id="293"/>
      <w:bookmarkEnd w:id="294"/>
      <w:bookmarkEnd w:id="295"/>
      <w:bookmarkEnd w:id="296"/>
      <w:bookmarkEnd w:id="297"/>
    </w:p>
    <w:p>
      <w:pPr>
        <w:numPr>
          <w:ilvl w:val="0"/>
          <w:numId w:val="5"/>
        </w:numPr>
        <w:rPr>
          <w:b/>
          <w:bCs/>
          <w:color w:val="auto"/>
          <w:sz w:val="24"/>
          <w:szCs w:val="32"/>
        </w:rPr>
      </w:pPr>
      <w:r>
        <w:rPr>
          <w:rFonts w:hint="eastAsia"/>
          <w:b/>
          <w:bCs/>
          <w:color w:val="auto"/>
          <w:sz w:val="24"/>
          <w:szCs w:val="32"/>
        </w:rPr>
        <w:t>中标</w:t>
      </w:r>
    </w:p>
    <w:p>
      <w:pPr>
        <w:rPr>
          <w:b/>
          <w:bCs/>
          <w:color w:val="auto"/>
          <w:sz w:val="24"/>
          <w:szCs w:val="32"/>
        </w:rPr>
      </w:pPr>
      <w:bookmarkStart w:id="302" w:name="_Toc447265256"/>
      <w:bookmarkStart w:id="303" w:name="_Toc447188704"/>
      <w:bookmarkStart w:id="304" w:name="_Toc447265542"/>
      <w:bookmarkStart w:id="305" w:name="_Toc46496164"/>
      <w:r>
        <w:rPr>
          <w:b/>
          <w:bCs/>
          <w:color w:val="auto"/>
          <w:sz w:val="24"/>
          <w:szCs w:val="32"/>
        </w:rPr>
        <w:t>7.1</w:t>
      </w:r>
      <w:bookmarkEnd w:id="302"/>
      <w:bookmarkEnd w:id="303"/>
      <w:bookmarkEnd w:id="304"/>
      <w:r>
        <w:rPr>
          <w:rFonts w:hint="eastAsia"/>
          <w:b/>
          <w:bCs/>
          <w:color w:val="auto"/>
          <w:sz w:val="24"/>
          <w:szCs w:val="32"/>
        </w:rPr>
        <w:t>确定中标人</w:t>
      </w:r>
      <w:bookmarkEnd w:id="266"/>
      <w:bookmarkEnd w:id="267"/>
      <w:bookmarkEnd w:id="268"/>
      <w:bookmarkEnd w:id="269"/>
      <w:bookmarkEnd w:id="305"/>
    </w:p>
    <w:p>
      <w:pPr>
        <w:pStyle w:val="22"/>
        <w:tabs>
          <w:tab w:val="left" w:pos="630"/>
        </w:tabs>
        <w:snapToGrid w:val="0"/>
        <w:spacing w:line="440" w:lineRule="exact"/>
        <w:ind w:firstLine="424" w:firstLineChars="202"/>
        <w:rPr>
          <w:rFonts w:hAnsi="宋体"/>
          <w:color w:val="auto"/>
        </w:rPr>
      </w:pPr>
      <w:bookmarkStart w:id="306" w:name="_Toc447265545"/>
      <w:bookmarkStart w:id="307" w:name="_Toc447265259"/>
      <w:bookmarkStart w:id="308" w:name="_Toc144974537"/>
      <w:bookmarkStart w:id="309" w:name="_Toc152042345"/>
      <w:bookmarkStart w:id="310" w:name="_Toc246996956"/>
      <w:bookmarkStart w:id="311" w:name="_Toc296602459"/>
      <w:bookmarkStart w:id="312" w:name="_Toc179632587"/>
      <w:bookmarkStart w:id="313" w:name="_Toc247085727"/>
      <w:bookmarkStart w:id="314" w:name="_Toc246996213"/>
      <w:bookmarkStart w:id="315" w:name="_Toc152045569"/>
      <w:bookmarkStart w:id="316" w:name="_Toc227057916"/>
      <w:bookmarkStart w:id="317" w:name="_Toc107822517"/>
      <w:bookmarkStart w:id="318" w:name="_Toc226969310"/>
      <w:r>
        <w:rPr>
          <w:rFonts w:hAnsi="宋体"/>
          <w:color w:val="auto"/>
        </w:rPr>
        <w:t>7.1.1</w:t>
      </w:r>
      <w:r>
        <w:rPr>
          <w:rFonts w:hint="eastAsia" w:hAnsi="宋体"/>
          <w:color w:val="auto"/>
        </w:rPr>
        <w:t>招标人依据评标委员会推荐的中标候选人确定中标人，中标人数量见投标人须知前附表。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7.1.2</w:t>
      </w:r>
      <w:r>
        <w:rPr>
          <w:rFonts w:hint="eastAsia" w:hAnsi="宋体"/>
          <w:color w:val="auto"/>
        </w:rPr>
        <w:t>招标人根据评标委员会推荐的中标候选人名单排序依次确定中标人，具体中标原则见投标人须知前附表。</w:t>
      </w:r>
    </w:p>
    <w:p>
      <w:pPr>
        <w:pStyle w:val="22"/>
        <w:tabs>
          <w:tab w:val="left" w:pos="630"/>
        </w:tabs>
        <w:snapToGrid w:val="0"/>
        <w:spacing w:line="440" w:lineRule="exact"/>
        <w:ind w:firstLine="424" w:firstLineChars="202"/>
        <w:rPr>
          <w:rFonts w:hAnsi="宋体"/>
          <w:color w:val="auto"/>
        </w:rPr>
      </w:pPr>
      <w:r>
        <w:rPr>
          <w:rFonts w:hAnsi="宋体"/>
          <w:color w:val="auto"/>
        </w:rPr>
        <w:t>7.1.3在签订合同之前</w:t>
      </w:r>
      <w:r>
        <w:rPr>
          <w:rFonts w:hint="eastAsia" w:hAnsi="宋体"/>
          <w:color w:val="auto"/>
        </w:rPr>
        <w:t>，中标人放弃中标或者不能履行合同的，招标人可以按照评标委员会提出的中标候选人名单排序依次确定其他中标候选人为中标人，也可以重新招标。</w:t>
      </w:r>
    </w:p>
    <w:p>
      <w:pPr>
        <w:rPr>
          <w:b/>
          <w:bCs/>
          <w:color w:val="auto"/>
          <w:sz w:val="24"/>
          <w:szCs w:val="32"/>
        </w:rPr>
      </w:pPr>
      <w:bookmarkStart w:id="319" w:name="_Toc450489317"/>
      <w:bookmarkStart w:id="320" w:name="_Toc447265257"/>
      <w:bookmarkStart w:id="321" w:name="_Toc447188705"/>
      <w:bookmarkStart w:id="322" w:name="_Toc447265543"/>
      <w:bookmarkStart w:id="323" w:name="_Toc46496165"/>
      <w:r>
        <w:rPr>
          <w:b/>
          <w:bCs/>
          <w:color w:val="auto"/>
          <w:sz w:val="24"/>
          <w:szCs w:val="32"/>
        </w:rPr>
        <w:t>7.2</w:t>
      </w:r>
      <w:r>
        <w:rPr>
          <w:rFonts w:hint="eastAsia"/>
          <w:b/>
          <w:bCs/>
          <w:color w:val="auto"/>
          <w:sz w:val="24"/>
          <w:szCs w:val="32"/>
        </w:rPr>
        <w:t>中标人公示</w:t>
      </w:r>
      <w:bookmarkEnd w:id="319"/>
      <w:bookmarkEnd w:id="320"/>
      <w:bookmarkEnd w:id="321"/>
      <w:bookmarkEnd w:id="322"/>
      <w:bookmarkEnd w:id="323"/>
    </w:p>
    <w:p>
      <w:pPr>
        <w:pStyle w:val="22"/>
        <w:tabs>
          <w:tab w:val="left" w:pos="630"/>
        </w:tabs>
        <w:snapToGrid w:val="0"/>
        <w:spacing w:line="440" w:lineRule="exact"/>
        <w:ind w:firstLine="424" w:firstLineChars="202"/>
        <w:rPr>
          <w:rFonts w:hAnsi="宋体"/>
          <w:color w:val="auto"/>
        </w:rPr>
      </w:pPr>
      <w:r>
        <w:rPr>
          <w:rFonts w:hAnsi="宋体"/>
          <w:color w:val="auto"/>
        </w:rPr>
        <w:t>7.2.1</w:t>
      </w:r>
      <w:r>
        <w:rPr>
          <w:rFonts w:hint="eastAsia" w:hAnsi="宋体"/>
          <w:color w:val="auto"/>
        </w:rPr>
        <w:t>采用公开招标方式的，中标结果审批通过后，招标人应</w:t>
      </w:r>
      <w:r>
        <w:rPr>
          <w:rFonts w:hAnsi="宋体"/>
          <w:color w:val="auto"/>
        </w:rPr>
        <w:t>在“资格预审公告”或者“</w:t>
      </w:r>
      <w:r>
        <w:rPr>
          <w:rFonts w:hint="eastAsia" w:hAnsi="宋体"/>
          <w:color w:val="auto"/>
        </w:rPr>
        <w:t>招标</w:t>
      </w:r>
      <w:r>
        <w:rPr>
          <w:rFonts w:hAnsi="宋体"/>
          <w:color w:val="auto"/>
        </w:rPr>
        <w:t>公告”发布媒介公示全部</w:t>
      </w:r>
      <w:r>
        <w:rPr>
          <w:rFonts w:hint="eastAsia" w:hAnsi="宋体"/>
          <w:color w:val="auto"/>
        </w:rPr>
        <w:t>中标人，公示期不少于</w:t>
      </w:r>
      <w:r>
        <w:rPr>
          <w:rFonts w:hAnsi="宋体"/>
          <w:color w:val="auto"/>
        </w:rPr>
        <w:t>3日。</w:t>
      </w:r>
    </w:p>
    <w:p>
      <w:pPr>
        <w:pStyle w:val="22"/>
        <w:tabs>
          <w:tab w:val="left" w:pos="630"/>
        </w:tabs>
        <w:snapToGrid w:val="0"/>
        <w:spacing w:line="440" w:lineRule="exact"/>
        <w:ind w:firstLine="424" w:firstLineChars="202"/>
        <w:rPr>
          <w:rFonts w:hAnsi="宋体"/>
          <w:color w:val="auto"/>
        </w:rPr>
      </w:pPr>
      <w:r>
        <w:rPr>
          <w:rFonts w:hAnsi="宋体"/>
          <w:color w:val="auto"/>
        </w:rPr>
        <w:t>7.2.2</w:t>
      </w:r>
      <w:r>
        <w:rPr>
          <w:rFonts w:hint="eastAsia" w:hAnsi="宋体"/>
          <w:color w:val="auto"/>
        </w:rPr>
        <w:t>投标人或者其他利害关系人对招标项目的评选结果有异议的，应当在中标人公示期间提出。</w:t>
      </w:r>
    </w:p>
    <w:p>
      <w:pPr>
        <w:rPr>
          <w:b/>
          <w:bCs/>
          <w:color w:val="auto"/>
          <w:sz w:val="24"/>
          <w:szCs w:val="32"/>
        </w:rPr>
      </w:pPr>
      <w:bookmarkStart w:id="324" w:name="_Toc450489318"/>
      <w:bookmarkStart w:id="325" w:name="_Toc46496166"/>
      <w:bookmarkStart w:id="326" w:name="_Toc447265544"/>
      <w:bookmarkStart w:id="327" w:name="_Toc247085726"/>
      <w:bookmarkStart w:id="328" w:name="_Toc296602458"/>
      <w:bookmarkStart w:id="329" w:name="_Toc179632586"/>
      <w:bookmarkStart w:id="330" w:name="_Toc246996212"/>
      <w:bookmarkStart w:id="331" w:name="_Toc152045568"/>
      <w:bookmarkStart w:id="332" w:name="_Toc246996955"/>
      <w:bookmarkStart w:id="333" w:name="_Toc447265258"/>
      <w:bookmarkStart w:id="334" w:name="_Toc152042344"/>
      <w:bookmarkStart w:id="335" w:name="_Toc144974536"/>
      <w:bookmarkStart w:id="336" w:name="OLE_LINK7"/>
      <w:bookmarkStart w:id="337" w:name="OLE_LINK6"/>
      <w:r>
        <w:rPr>
          <w:b/>
          <w:bCs/>
          <w:color w:val="auto"/>
          <w:sz w:val="24"/>
          <w:szCs w:val="32"/>
        </w:rPr>
        <w:t>7.3</w:t>
      </w:r>
      <w:r>
        <w:rPr>
          <w:rFonts w:hint="eastAsia"/>
          <w:b/>
          <w:bCs/>
          <w:color w:val="auto"/>
          <w:sz w:val="24"/>
          <w:szCs w:val="32"/>
        </w:rPr>
        <w:t>中标通知</w:t>
      </w:r>
      <w:bookmarkEnd w:id="324"/>
      <w:bookmarkEnd w:id="325"/>
      <w:bookmarkEnd w:id="326"/>
      <w:bookmarkEnd w:id="327"/>
      <w:bookmarkEnd w:id="328"/>
      <w:bookmarkEnd w:id="329"/>
      <w:bookmarkEnd w:id="330"/>
      <w:bookmarkEnd w:id="331"/>
      <w:bookmarkEnd w:id="332"/>
      <w:bookmarkEnd w:id="333"/>
      <w:bookmarkEnd w:id="334"/>
      <w:bookmarkEnd w:id="335"/>
    </w:p>
    <w:p>
      <w:pPr>
        <w:pStyle w:val="22"/>
        <w:tabs>
          <w:tab w:val="left" w:pos="630"/>
        </w:tabs>
        <w:snapToGrid w:val="0"/>
        <w:spacing w:line="440" w:lineRule="exact"/>
        <w:ind w:firstLine="424" w:firstLineChars="202"/>
        <w:rPr>
          <w:rFonts w:hAnsi="宋体"/>
          <w:color w:val="auto"/>
        </w:rPr>
      </w:pPr>
      <w:r>
        <w:rPr>
          <w:rFonts w:hAnsi="宋体"/>
          <w:color w:val="auto"/>
        </w:rPr>
        <w:t>7.3.1在中标通知书发出前，中标候选人的经营、财务状况发生较大变化或者存在违法行为，可能影响其履约能力的，投标人应当主动告知招标人。</w:t>
      </w:r>
      <w:bookmarkEnd w:id="336"/>
      <w:bookmarkEnd w:id="337"/>
    </w:p>
    <w:p>
      <w:pPr>
        <w:pStyle w:val="22"/>
        <w:tabs>
          <w:tab w:val="left" w:pos="630"/>
        </w:tabs>
        <w:snapToGrid w:val="0"/>
        <w:spacing w:line="440" w:lineRule="exact"/>
        <w:ind w:firstLine="424" w:firstLineChars="202"/>
        <w:rPr>
          <w:rFonts w:hAnsi="宋体"/>
          <w:color w:val="auto"/>
        </w:rPr>
      </w:pPr>
      <w:r>
        <w:rPr>
          <w:rFonts w:hAnsi="宋体"/>
          <w:color w:val="auto"/>
        </w:rPr>
        <w:t>7.3.2中标人确定后，招标人应当自行或者委托招标代理机构向中标人发出中标通知书，同时通知未中标人。</w:t>
      </w:r>
    </w:p>
    <w:p>
      <w:pPr>
        <w:pStyle w:val="22"/>
        <w:tabs>
          <w:tab w:val="left" w:pos="630"/>
        </w:tabs>
        <w:snapToGrid w:val="0"/>
        <w:spacing w:line="440" w:lineRule="exact"/>
        <w:ind w:firstLine="424" w:firstLineChars="202"/>
        <w:rPr>
          <w:rFonts w:hAnsi="宋体"/>
          <w:color w:val="auto"/>
        </w:rPr>
      </w:pPr>
      <w:r>
        <w:rPr>
          <w:rFonts w:hAnsi="宋体"/>
          <w:color w:val="auto"/>
        </w:rPr>
        <w:t>7.3.3</w:t>
      </w:r>
      <w:r>
        <w:rPr>
          <w:rFonts w:hint="eastAsia" w:hAnsi="宋体"/>
          <w:color w:val="auto"/>
        </w:rPr>
        <w:t>中标通知书是招标档案和合同的组成部分。</w:t>
      </w:r>
    </w:p>
    <w:p>
      <w:pPr>
        <w:pStyle w:val="22"/>
        <w:tabs>
          <w:tab w:val="left" w:pos="630"/>
        </w:tabs>
        <w:snapToGrid w:val="0"/>
        <w:spacing w:line="440" w:lineRule="exact"/>
        <w:ind w:firstLine="424" w:firstLineChars="202"/>
        <w:rPr>
          <w:rFonts w:hAnsi="宋体"/>
          <w:color w:val="auto"/>
        </w:rPr>
      </w:pPr>
      <w:r>
        <w:rPr>
          <w:rFonts w:hAnsi="宋体"/>
          <w:color w:val="auto"/>
        </w:rPr>
        <w:t>7.3.4</w:t>
      </w:r>
      <w:r>
        <w:rPr>
          <w:rFonts w:hint="eastAsia" w:hAnsi="宋体"/>
          <w:color w:val="auto"/>
        </w:rPr>
        <w:t>中标通知书对招标人和中标人具有法律约束力。中标通知书发出后，招标人改变中标结果或者中标人放弃中标的，应当承担法律责任。</w:t>
      </w:r>
    </w:p>
    <w:p>
      <w:pPr>
        <w:numPr>
          <w:ilvl w:val="0"/>
          <w:numId w:val="5"/>
        </w:numPr>
        <w:rPr>
          <w:b/>
          <w:bCs/>
          <w:color w:val="auto"/>
          <w:sz w:val="24"/>
          <w:szCs w:val="32"/>
        </w:rPr>
      </w:pPr>
      <w:r>
        <w:rPr>
          <w:rFonts w:hint="eastAsia"/>
          <w:b/>
          <w:bCs/>
          <w:color w:val="auto"/>
          <w:sz w:val="24"/>
          <w:szCs w:val="32"/>
        </w:rPr>
        <w:t>合同签订</w:t>
      </w:r>
      <w:bookmarkEnd w:id="306"/>
      <w:bookmarkEnd w:id="307"/>
    </w:p>
    <w:p>
      <w:pPr>
        <w:rPr>
          <w:b/>
          <w:bCs/>
          <w:color w:val="auto"/>
          <w:sz w:val="24"/>
          <w:szCs w:val="32"/>
        </w:rPr>
      </w:pPr>
      <w:bookmarkStart w:id="338" w:name="_Toc447265260"/>
      <w:bookmarkStart w:id="339" w:name="_Toc447265546"/>
      <w:bookmarkStart w:id="340" w:name="_Toc46496168"/>
      <w:r>
        <w:rPr>
          <w:b/>
          <w:bCs/>
          <w:color w:val="auto"/>
          <w:sz w:val="24"/>
          <w:szCs w:val="32"/>
        </w:rPr>
        <w:t>8.1</w:t>
      </w:r>
      <w:r>
        <w:rPr>
          <w:rFonts w:hint="eastAsia"/>
          <w:b/>
          <w:bCs/>
          <w:color w:val="auto"/>
          <w:sz w:val="24"/>
          <w:szCs w:val="32"/>
        </w:rPr>
        <w:t>履约</w:t>
      </w:r>
      <w:bookmarkEnd w:id="308"/>
      <w:bookmarkEnd w:id="309"/>
      <w:bookmarkEnd w:id="310"/>
      <w:bookmarkEnd w:id="311"/>
      <w:bookmarkEnd w:id="312"/>
      <w:bookmarkEnd w:id="313"/>
      <w:bookmarkEnd w:id="314"/>
      <w:bookmarkEnd w:id="315"/>
      <w:r>
        <w:rPr>
          <w:rFonts w:hint="eastAsia"/>
          <w:b/>
          <w:bCs/>
          <w:color w:val="auto"/>
          <w:sz w:val="24"/>
          <w:szCs w:val="32"/>
        </w:rPr>
        <w:t>保证金</w:t>
      </w:r>
      <w:bookmarkEnd w:id="316"/>
      <w:bookmarkEnd w:id="317"/>
      <w:bookmarkEnd w:id="318"/>
      <w:bookmarkEnd w:id="338"/>
      <w:bookmarkEnd w:id="339"/>
      <w:bookmarkEnd w:id="340"/>
    </w:p>
    <w:p>
      <w:pPr>
        <w:pStyle w:val="22"/>
        <w:tabs>
          <w:tab w:val="left" w:pos="630"/>
        </w:tabs>
        <w:snapToGrid w:val="0"/>
        <w:spacing w:line="440" w:lineRule="exact"/>
        <w:ind w:firstLine="424" w:firstLineChars="202"/>
        <w:rPr>
          <w:rFonts w:hAnsi="宋体"/>
          <w:color w:val="auto"/>
        </w:rPr>
      </w:pPr>
      <w:bookmarkStart w:id="341" w:name="_Toc488655867"/>
      <w:bookmarkStart w:id="342" w:name="_Toc226969312"/>
      <w:bookmarkStart w:id="343" w:name="_Toc107822519"/>
      <w:bookmarkStart w:id="344" w:name="_Toc447265549"/>
      <w:bookmarkStart w:id="345" w:name="_Toc447188707"/>
      <w:bookmarkStart w:id="346" w:name="_Toc447265263"/>
      <w:bookmarkStart w:id="347" w:name="_Toc227057918"/>
      <w:r>
        <w:rPr>
          <w:rFonts w:hAnsi="宋体"/>
          <w:color w:val="auto"/>
        </w:rPr>
        <w:t>8.1.1在签订合同前，中标人应当按照“投标人须知前附表”中规定的履约保证金的金额和形式向招标人递交履约保证金。</w:t>
      </w:r>
    </w:p>
    <w:p>
      <w:pPr>
        <w:pStyle w:val="22"/>
        <w:tabs>
          <w:tab w:val="left" w:pos="630"/>
        </w:tabs>
        <w:snapToGrid w:val="0"/>
        <w:spacing w:line="440" w:lineRule="exact"/>
        <w:ind w:firstLine="424" w:firstLineChars="202"/>
        <w:rPr>
          <w:rFonts w:hAnsi="宋体"/>
          <w:color w:val="auto"/>
        </w:rPr>
      </w:pPr>
      <w:r>
        <w:rPr>
          <w:rFonts w:hAnsi="宋体"/>
          <w:color w:val="auto"/>
        </w:rPr>
        <w:t>8.1.2</w:t>
      </w:r>
      <w:r>
        <w:rPr>
          <w:rFonts w:hint="eastAsia" w:hAnsi="宋体"/>
          <w:color w:val="auto"/>
        </w:rPr>
        <w:t>中标人不能按照招标文件要求递交履约担保的，视为放弃中标，其投标保证金不予退还，给招标人造成的损失超过投标保证金数额的，中标人还应当对超过部分予以赔偿。</w:t>
      </w:r>
    </w:p>
    <w:p>
      <w:pPr>
        <w:rPr>
          <w:b/>
          <w:bCs/>
          <w:color w:val="auto"/>
          <w:sz w:val="24"/>
          <w:szCs w:val="32"/>
        </w:rPr>
      </w:pPr>
      <w:bookmarkStart w:id="348" w:name="_Toc447265261"/>
      <w:bookmarkStart w:id="349" w:name="_Toc46496169"/>
      <w:bookmarkStart w:id="350" w:name="_Toc450489321"/>
      <w:bookmarkStart w:id="351" w:name="_Toc447265547"/>
      <w:r>
        <w:rPr>
          <w:b/>
          <w:bCs/>
          <w:color w:val="auto"/>
          <w:sz w:val="24"/>
          <w:szCs w:val="32"/>
        </w:rPr>
        <w:t>8.2</w:t>
      </w:r>
      <w:r>
        <w:rPr>
          <w:rFonts w:hint="eastAsia"/>
          <w:b/>
          <w:bCs/>
          <w:color w:val="auto"/>
          <w:sz w:val="24"/>
          <w:szCs w:val="32"/>
        </w:rPr>
        <w:t>合同签订</w:t>
      </w:r>
      <w:bookmarkEnd w:id="348"/>
      <w:bookmarkEnd w:id="349"/>
      <w:bookmarkEnd w:id="350"/>
      <w:bookmarkEnd w:id="351"/>
    </w:p>
    <w:p>
      <w:pPr>
        <w:pStyle w:val="22"/>
        <w:tabs>
          <w:tab w:val="left" w:pos="630"/>
        </w:tabs>
        <w:snapToGrid w:val="0"/>
        <w:spacing w:line="440" w:lineRule="exact"/>
        <w:ind w:firstLine="424" w:firstLineChars="202"/>
        <w:rPr>
          <w:rFonts w:hAnsi="宋体"/>
          <w:color w:val="auto"/>
        </w:rPr>
      </w:pPr>
      <w:r>
        <w:rPr>
          <w:rFonts w:hAnsi="宋体"/>
          <w:color w:val="auto"/>
        </w:rPr>
        <w:t>8.2.1</w:t>
      </w:r>
      <w:r>
        <w:rPr>
          <w:rFonts w:hint="eastAsia" w:hAnsi="宋体"/>
          <w:color w:val="auto"/>
        </w:rPr>
        <w:t>招标人和中标人应当在招标有效期内，根据招标文件和中标人的投标文件订立书面合同。招标人和中标人不得订立背离合同实质性内容的其他协议。</w:t>
      </w:r>
    </w:p>
    <w:p>
      <w:pPr>
        <w:pStyle w:val="22"/>
        <w:tabs>
          <w:tab w:val="left" w:pos="630"/>
        </w:tabs>
        <w:snapToGrid w:val="0"/>
        <w:spacing w:line="440" w:lineRule="exact"/>
        <w:ind w:firstLine="424" w:firstLineChars="202"/>
        <w:rPr>
          <w:rFonts w:hAnsi="宋体"/>
          <w:color w:val="auto"/>
        </w:rPr>
      </w:pPr>
      <w:r>
        <w:rPr>
          <w:rFonts w:hAnsi="宋体"/>
          <w:color w:val="auto"/>
        </w:rPr>
        <w:t>8.2.2中标人无正当理由拒签合同的，招标人取消其中标资格，其投标保证金不予退还；给招标人造成的损失超过投标保证金数额的，中标人还应当对超过部分予以赔偿。</w:t>
      </w:r>
    </w:p>
    <w:p>
      <w:pPr>
        <w:numPr>
          <w:ilvl w:val="0"/>
          <w:numId w:val="5"/>
        </w:numPr>
        <w:rPr>
          <w:b/>
          <w:bCs/>
          <w:color w:val="auto"/>
          <w:sz w:val="24"/>
          <w:szCs w:val="32"/>
        </w:rPr>
      </w:pPr>
      <w:r>
        <w:rPr>
          <w:rFonts w:hint="eastAsia"/>
          <w:b/>
          <w:bCs/>
          <w:color w:val="auto"/>
          <w:sz w:val="24"/>
          <w:szCs w:val="32"/>
        </w:rPr>
        <w:t>招标代理服务费</w:t>
      </w:r>
      <w:bookmarkEnd w:id="341"/>
      <w:bookmarkEnd w:id="342"/>
      <w:bookmarkEnd w:id="343"/>
      <w:bookmarkEnd w:id="344"/>
      <w:bookmarkEnd w:id="345"/>
      <w:bookmarkEnd w:id="346"/>
      <w:bookmarkEnd w:id="347"/>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中标人应当按照招标文件规定交纳招标代理服务费，招标人和招标代理机构另有约定的从其约定。招标代理服务费的金额、交纳方式和时限见投标人须知前附表。</w:t>
      </w:r>
    </w:p>
    <w:p>
      <w:pPr>
        <w:numPr>
          <w:ilvl w:val="0"/>
          <w:numId w:val="5"/>
        </w:numPr>
        <w:rPr>
          <w:b/>
          <w:bCs/>
          <w:color w:val="auto"/>
          <w:sz w:val="24"/>
          <w:szCs w:val="32"/>
        </w:rPr>
      </w:pPr>
      <w:bookmarkStart w:id="352" w:name="_Toc447265550"/>
      <w:bookmarkStart w:id="353" w:name="_Toc296602461"/>
      <w:bookmarkStart w:id="354" w:name="_Toc447188708"/>
      <w:bookmarkStart w:id="355" w:name="_Toc447265264"/>
      <w:r>
        <w:rPr>
          <w:rFonts w:hint="eastAsia"/>
          <w:b/>
          <w:bCs/>
          <w:color w:val="auto"/>
          <w:sz w:val="24"/>
          <w:szCs w:val="32"/>
        </w:rPr>
        <w:t>纪律和监督</w:t>
      </w:r>
      <w:bookmarkEnd w:id="352"/>
      <w:bookmarkEnd w:id="353"/>
      <w:bookmarkEnd w:id="354"/>
      <w:bookmarkEnd w:id="355"/>
    </w:p>
    <w:p>
      <w:pPr>
        <w:rPr>
          <w:b/>
          <w:bCs/>
          <w:color w:val="auto"/>
          <w:sz w:val="24"/>
          <w:szCs w:val="32"/>
        </w:rPr>
      </w:pPr>
      <w:bookmarkStart w:id="356" w:name="_Toc246996962"/>
      <w:bookmarkStart w:id="357" w:name="_Toc144974543"/>
      <w:bookmarkStart w:id="358" w:name="_Toc247085733"/>
      <w:bookmarkStart w:id="359" w:name="_Toc46496172"/>
      <w:bookmarkStart w:id="360" w:name="_Toc296590983"/>
      <w:bookmarkStart w:id="361" w:name="_Toc179632593"/>
      <w:bookmarkStart w:id="362" w:name="_Toc246996219"/>
      <w:bookmarkStart w:id="363" w:name="_Toc152045575"/>
      <w:bookmarkStart w:id="364" w:name="_Toc447265551"/>
      <w:bookmarkStart w:id="365" w:name="_Toc152042351"/>
      <w:bookmarkStart w:id="366" w:name="_Toc296602462"/>
      <w:bookmarkStart w:id="367" w:name="_Toc447265265"/>
      <w:r>
        <w:rPr>
          <w:b/>
          <w:bCs/>
          <w:color w:val="auto"/>
          <w:sz w:val="24"/>
          <w:szCs w:val="32"/>
        </w:rPr>
        <w:t>10.1</w:t>
      </w:r>
      <w:r>
        <w:rPr>
          <w:rFonts w:hint="eastAsia"/>
          <w:b/>
          <w:bCs/>
          <w:color w:val="auto"/>
          <w:sz w:val="24"/>
          <w:szCs w:val="32"/>
        </w:rPr>
        <w:t>对招标人的纪律要求</w:t>
      </w:r>
      <w:bookmarkEnd w:id="356"/>
      <w:bookmarkEnd w:id="357"/>
      <w:bookmarkEnd w:id="358"/>
      <w:bookmarkEnd w:id="359"/>
      <w:bookmarkEnd w:id="360"/>
      <w:bookmarkEnd w:id="361"/>
      <w:bookmarkEnd w:id="362"/>
      <w:bookmarkEnd w:id="363"/>
      <w:bookmarkEnd w:id="364"/>
      <w:bookmarkEnd w:id="365"/>
      <w:bookmarkEnd w:id="366"/>
      <w:bookmarkEnd w:id="367"/>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招标人不得泄漏招标活动中应当保密的情况和资料，不得与投标人串通损害国家利益、社会公共利益或者他人合法权益。</w:t>
      </w:r>
    </w:p>
    <w:p>
      <w:pPr>
        <w:rPr>
          <w:b/>
          <w:bCs/>
          <w:color w:val="auto"/>
          <w:sz w:val="24"/>
          <w:szCs w:val="32"/>
        </w:rPr>
      </w:pPr>
      <w:bookmarkStart w:id="368" w:name="_Toc152045576"/>
      <w:bookmarkStart w:id="369" w:name="_Toc296602463"/>
      <w:bookmarkStart w:id="370" w:name="_Toc447265266"/>
      <w:bookmarkStart w:id="371" w:name="_Toc179632594"/>
      <w:bookmarkStart w:id="372" w:name="_Toc246996220"/>
      <w:bookmarkStart w:id="373" w:name="_Toc246996963"/>
      <w:bookmarkStart w:id="374" w:name="_Toc144974544"/>
      <w:bookmarkStart w:id="375" w:name="_Toc447265552"/>
      <w:bookmarkStart w:id="376" w:name="_Toc152042352"/>
      <w:bookmarkStart w:id="377" w:name="_Toc247085734"/>
      <w:bookmarkStart w:id="378" w:name="_Toc46496173"/>
      <w:r>
        <w:rPr>
          <w:b/>
          <w:bCs/>
          <w:color w:val="auto"/>
          <w:sz w:val="24"/>
          <w:szCs w:val="32"/>
        </w:rPr>
        <w:t>10.2</w:t>
      </w:r>
      <w:r>
        <w:rPr>
          <w:rFonts w:hint="eastAsia"/>
          <w:b/>
          <w:bCs/>
          <w:color w:val="auto"/>
          <w:sz w:val="24"/>
          <w:szCs w:val="32"/>
        </w:rPr>
        <w:t>对投标人的纪律要求</w:t>
      </w:r>
      <w:bookmarkEnd w:id="368"/>
      <w:bookmarkEnd w:id="369"/>
      <w:bookmarkEnd w:id="370"/>
      <w:bookmarkEnd w:id="371"/>
      <w:bookmarkEnd w:id="372"/>
      <w:bookmarkEnd w:id="373"/>
      <w:bookmarkEnd w:id="374"/>
      <w:bookmarkEnd w:id="375"/>
      <w:bookmarkEnd w:id="376"/>
      <w:bookmarkEnd w:id="377"/>
      <w:bookmarkEnd w:id="378"/>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投标人不得相互串通投标或者与招标人串通投标，不得向招标人或者评标委员会成员行贿谋取中标，不得以他人名义投标或者以其他方式弄虚作假骗取中标；投标人不得以任何方式干扰、影响评审工作。</w:t>
      </w:r>
    </w:p>
    <w:p>
      <w:pPr>
        <w:rPr>
          <w:b/>
          <w:bCs/>
          <w:color w:val="auto"/>
          <w:sz w:val="24"/>
          <w:szCs w:val="32"/>
        </w:rPr>
      </w:pPr>
      <w:bookmarkStart w:id="379" w:name="_Toc296602464"/>
      <w:bookmarkStart w:id="380" w:name="_Toc144974545"/>
      <w:bookmarkStart w:id="381" w:name="_Toc152045577"/>
      <w:bookmarkStart w:id="382" w:name="_Toc447265267"/>
      <w:bookmarkStart w:id="383" w:name="_Toc152042353"/>
      <w:bookmarkStart w:id="384" w:name="_Toc447265553"/>
      <w:bookmarkStart w:id="385" w:name="_Toc247085735"/>
      <w:bookmarkStart w:id="386" w:name="_Toc246996221"/>
      <w:bookmarkStart w:id="387" w:name="_Toc46496174"/>
      <w:bookmarkStart w:id="388" w:name="_Toc179632595"/>
      <w:bookmarkStart w:id="389" w:name="_Toc246996964"/>
      <w:r>
        <w:rPr>
          <w:b/>
          <w:bCs/>
          <w:color w:val="auto"/>
          <w:sz w:val="24"/>
          <w:szCs w:val="32"/>
        </w:rPr>
        <w:t>10.3</w:t>
      </w:r>
      <w:r>
        <w:rPr>
          <w:rFonts w:hint="eastAsia"/>
          <w:b/>
          <w:bCs/>
          <w:color w:val="auto"/>
          <w:sz w:val="24"/>
          <w:szCs w:val="32"/>
        </w:rPr>
        <w:t>对评标委员会成员的纪律要求</w:t>
      </w:r>
      <w:bookmarkEnd w:id="379"/>
      <w:bookmarkEnd w:id="380"/>
      <w:bookmarkEnd w:id="381"/>
      <w:bookmarkEnd w:id="382"/>
      <w:bookmarkEnd w:id="383"/>
      <w:bookmarkEnd w:id="384"/>
      <w:bookmarkEnd w:id="385"/>
      <w:bookmarkEnd w:id="386"/>
      <w:bookmarkEnd w:id="387"/>
      <w:bookmarkEnd w:id="388"/>
      <w:bookmarkEnd w:id="389"/>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评标委员会成员不得收受他人的财物或者其他好处，不得向他人透漏对投标文件的评审和比较、中标候选人的推荐情况以及评审有关的其他情况。在评审活动中，评标委员会成员应当客观、公正地履行职责，遵守职业道德，不得擅离职守，影响评选程序正常进行，不得使用第三章“评审办法”没有规定的评审因素和标准进行评审。</w:t>
      </w:r>
    </w:p>
    <w:p>
      <w:pPr>
        <w:rPr>
          <w:b/>
          <w:bCs/>
          <w:color w:val="auto"/>
          <w:sz w:val="24"/>
          <w:szCs w:val="32"/>
        </w:rPr>
      </w:pPr>
      <w:bookmarkStart w:id="390" w:name="_Toc46496175"/>
      <w:bookmarkStart w:id="391" w:name="_Toc246996965"/>
      <w:bookmarkStart w:id="392" w:name="_Toc246996222"/>
      <w:bookmarkStart w:id="393" w:name="_Toc179632596"/>
      <w:bookmarkStart w:id="394" w:name="_Toc447265268"/>
      <w:bookmarkStart w:id="395" w:name="_Toc247085736"/>
      <w:bookmarkStart w:id="396" w:name="_Toc152042354"/>
      <w:bookmarkStart w:id="397" w:name="_Toc296602465"/>
      <w:bookmarkStart w:id="398" w:name="_Toc152045578"/>
      <w:bookmarkStart w:id="399" w:name="_Toc447265554"/>
      <w:bookmarkStart w:id="400" w:name="_Toc144974546"/>
      <w:r>
        <w:rPr>
          <w:b/>
          <w:bCs/>
          <w:color w:val="auto"/>
          <w:sz w:val="24"/>
          <w:szCs w:val="32"/>
        </w:rPr>
        <w:t>10.4</w:t>
      </w:r>
      <w:r>
        <w:rPr>
          <w:rFonts w:hint="eastAsia"/>
          <w:b/>
          <w:bCs/>
          <w:color w:val="auto"/>
          <w:sz w:val="24"/>
          <w:szCs w:val="32"/>
        </w:rPr>
        <w:t>对与评审活动有关的工作人员的纪律要求</w:t>
      </w:r>
      <w:bookmarkEnd w:id="390"/>
      <w:bookmarkEnd w:id="391"/>
      <w:bookmarkEnd w:id="392"/>
      <w:bookmarkEnd w:id="393"/>
      <w:bookmarkEnd w:id="394"/>
      <w:bookmarkEnd w:id="395"/>
      <w:bookmarkEnd w:id="396"/>
      <w:bookmarkEnd w:id="397"/>
      <w:bookmarkEnd w:id="398"/>
      <w:bookmarkEnd w:id="399"/>
    </w:p>
    <w:p>
      <w:pPr>
        <w:adjustRightInd w:val="0"/>
        <w:snapToGrid w:val="0"/>
        <w:spacing w:line="440" w:lineRule="exact"/>
        <w:ind w:firstLine="420" w:firstLineChars="200"/>
        <w:rPr>
          <w:rFonts w:ascii="宋体" w:hAnsi="宋体" w:cs="宋体"/>
          <w:color w:val="auto"/>
          <w:szCs w:val="21"/>
        </w:rPr>
      </w:pPr>
      <w:bookmarkStart w:id="401" w:name="_Toc152042355"/>
      <w:r>
        <w:rPr>
          <w:rFonts w:hint="eastAsia" w:ascii="宋体" w:hAnsi="宋体" w:cs="宋体"/>
          <w:color w:val="auto"/>
          <w:szCs w:val="21"/>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bookmarkEnd w:id="400"/>
      <w:bookmarkEnd w:id="401"/>
    </w:p>
    <w:p>
      <w:pPr>
        <w:numPr>
          <w:ilvl w:val="0"/>
          <w:numId w:val="5"/>
        </w:numPr>
        <w:rPr>
          <w:b/>
          <w:bCs/>
          <w:color w:val="auto"/>
          <w:sz w:val="24"/>
          <w:szCs w:val="32"/>
        </w:rPr>
      </w:pPr>
      <w:bookmarkStart w:id="402" w:name="_Toc477190328"/>
      <w:bookmarkEnd w:id="402"/>
      <w:bookmarkStart w:id="403" w:name="_Toc477190326"/>
      <w:bookmarkEnd w:id="403"/>
      <w:bookmarkStart w:id="404" w:name="_Toc477190327"/>
      <w:bookmarkEnd w:id="404"/>
      <w:bookmarkStart w:id="405" w:name="_Toc247085738"/>
      <w:bookmarkStart w:id="406" w:name="_Toc296602467"/>
      <w:bookmarkStart w:id="407" w:name="_Toc447265270"/>
      <w:bookmarkStart w:id="408" w:name="_Toc144974547"/>
      <w:bookmarkStart w:id="409" w:name="_Toc447188709"/>
      <w:bookmarkStart w:id="410" w:name="_Toc152045580"/>
      <w:bookmarkStart w:id="411" w:name="_Toc152042357"/>
      <w:bookmarkStart w:id="412" w:name="_Toc179632598"/>
      <w:bookmarkStart w:id="413" w:name="_Toc447265556"/>
      <w:bookmarkStart w:id="414" w:name="_Toc246996967"/>
      <w:bookmarkStart w:id="415" w:name="_Toc246996224"/>
      <w:r>
        <w:rPr>
          <w:rFonts w:hint="eastAsia"/>
          <w:b/>
          <w:bCs/>
          <w:color w:val="auto"/>
          <w:sz w:val="24"/>
          <w:szCs w:val="32"/>
        </w:rPr>
        <w:t>需要补充的其他内容</w:t>
      </w:r>
      <w:bookmarkEnd w:id="405"/>
      <w:bookmarkEnd w:id="406"/>
      <w:bookmarkEnd w:id="407"/>
      <w:bookmarkEnd w:id="408"/>
      <w:bookmarkEnd w:id="409"/>
      <w:bookmarkEnd w:id="410"/>
      <w:bookmarkEnd w:id="411"/>
      <w:bookmarkEnd w:id="412"/>
      <w:bookmarkEnd w:id="413"/>
      <w:bookmarkEnd w:id="414"/>
      <w:bookmarkEnd w:id="415"/>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需要补充的其他内容：见投标人须知前附表。</w:t>
      </w:r>
    </w:p>
    <w:p>
      <w:pPr>
        <w:tabs>
          <w:tab w:val="left" w:pos="851"/>
        </w:tabs>
        <w:adjustRightInd w:val="0"/>
        <w:snapToGrid w:val="0"/>
        <w:spacing w:line="440" w:lineRule="exact"/>
        <w:rPr>
          <w:rFonts w:ascii="宋体" w:hAnsi="宋体" w:cs="Arial"/>
          <w:b/>
          <w:color w:val="auto"/>
          <w:szCs w:val="21"/>
        </w:rPr>
      </w:pPr>
    </w:p>
    <w:p>
      <w:pPr>
        <w:spacing w:line="400" w:lineRule="exact"/>
        <w:rPr>
          <w:rFonts w:ascii="宋体" w:hAnsi="宋体" w:cs="Arial"/>
          <w:color w:val="auto"/>
          <w:sz w:val="32"/>
          <w:szCs w:val="32"/>
        </w:rPr>
      </w:pPr>
      <w:r>
        <w:rPr>
          <w:rFonts w:hint="eastAsia" w:ascii="宋体" w:hAnsi="宋体" w:cs="Arial"/>
          <w:color w:val="auto"/>
          <w:sz w:val="32"/>
          <w:szCs w:val="32"/>
        </w:rPr>
        <w:t>附件：招标代理服务费的计算方式及价格</w:t>
      </w:r>
    </w:p>
    <w:p>
      <w:pPr>
        <w:widowControl/>
        <w:spacing w:before="100" w:after="156" w:afterLines="50" w:line="400" w:lineRule="exact"/>
        <w:rPr>
          <w:rFonts w:ascii="宋体" w:hAnsi="宋体"/>
          <w:color w:val="auto"/>
        </w:rPr>
      </w:pPr>
      <w:r>
        <w:rPr>
          <w:rFonts w:ascii="宋体" w:hAnsi="宋体"/>
          <w:color w:val="auto"/>
        </w:rPr>
        <w:t>1、本项目按中标金额收取代理服务费，只对中标人收取服务费；</w:t>
      </w:r>
    </w:p>
    <w:p>
      <w:pPr>
        <w:spacing w:line="400" w:lineRule="exact"/>
        <w:rPr>
          <w:rFonts w:ascii="宋体" w:hAnsi="宋体"/>
          <w:b/>
          <w:bCs/>
          <w:color w:val="auto"/>
          <w:szCs w:val="21"/>
        </w:rPr>
      </w:pPr>
      <w:r>
        <w:rPr>
          <w:rFonts w:hint="eastAsia" w:ascii="宋体" w:hAnsi="宋体"/>
          <w:b/>
          <w:bCs/>
          <w:color w:val="auto"/>
          <w:szCs w:val="21"/>
        </w:rPr>
        <w:t>招标代理费费率：</w:t>
      </w:r>
    </w:p>
    <w:tbl>
      <w:tblPr>
        <w:tblStyle w:val="40"/>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1718"/>
        <w:gridCol w:w="1636"/>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895" w:type="dxa"/>
            <w:tcBorders>
              <w:tl2br w:val="single" w:color="auto" w:sz="2" w:space="0"/>
            </w:tcBorders>
            <w:vAlign w:val="center"/>
          </w:tcPr>
          <w:p>
            <w:pPr>
              <w:spacing w:line="360" w:lineRule="auto"/>
              <w:ind w:firstLine="2730" w:firstLineChars="1300"/>
              <w:rPr>
                <w:rFonts w:ascii="宋体" w:hAnsi="宋体"/>
                <w:color w:val="auto"/>
              </w:rPr>
            </w:pPr>
            <w:r>
              <w:rPr>
                <w:rFonts w:hint="eastAsia" w:ascii="宋体" w:hAnsi="宋体"/>
                <w:color w:val="auto"/>
              </w:rPr>
              <w:t>费率类别</w:t>
            </w:r>
          </w:p>
          <w:p>
            <w:pPr>
              <w:spacing w:line="360" w:lineRule="auto"/>
              <w:rPr>
                <w:rFonts w:ascii="宋体" w:hAnsi="宋体"/>
                <w:color w:val="auto"/>
              </w:rPr>
            </w:pPr>
            <w:r>
              <w:rPr>
                <w:rFonts w:hint="eastAsia" w:ascii="宋体" w:hAnsi="宋体"/>
                <w:color w:val="auto"/>
              </w:rPr>
              <w:t>成交金额（万元人民币）</w:t>
            </w:r>
          </w:p>
        </w:tc>
        <w:tc>
          <w:tcPr>
            <w:tcW w:w="1718" w:type="dxa"/>
            <w:vAlign w:val="center"/>
          </w:tcPr>
          <w:p>
            <w:pPr>
              <w:spacing w:line="340" w:lineRule="exact"/>
              <w:ind w:firstLine="420" w:firstLineChars="200"/>
              <w:jc w:val="center"/>
              <w:rPr>
                <w:rFonts w:ascii="宋体" w:hAnsi="宋体"/>
                <w:bCs/>
                <w:color w:val="auto"/>
                <w:szCs w:val="21"/>
              </w:rPr>
            </w:pPr>
            <w:r>
              <w:rPr>
                <w:rFonts w:hint="eastAsia" w:ascii="宋体" w:hAnsi="宋体"/>
                <w:bCs/>
                <w:color w:val="auto"/>
                <w:szCs w:val="21"/>
              </w:rPr>
              <w:t>货物类</w:t>
            </w:r>
          </w:p>
        </w:tc>
        <w:tc>
          <w:tcPr>
            <w:tcW w:w="1636" w:type="dxa"/>
            <w:vAlign w:val="center"/>
          </w:tcPr>
          <w:p>
            <w:pPr>
              <w:spacing w:line="360" w:lineRule="auto"/>
              <w:jc w:val="center"/>
              <w:rPr>
                <w:rFonts w:ascii="宋体" w:hAnsi="宋体"/>
                <w:color w:val="auto"/>
              </w:rPr>
            </w:pPr>
            <w:r>
              <w:rPr>
                <w:rFonts w:hint="eastAsia" w:ascii="宋体" w:hAnsi="宋体"/>
                <w:color w:val="auto"/>
              </w:rPr>
              <w:t>服务类</w:t>
            </w:r>
          </w:p>
        </w:tc>
        <w:tc>
          <w:tcPr>
            <w:tcW w:w="1465" w:type="dxa"/>
            <w:vAlign w:val="center"/>
          </w:tcPr>
          <w:p>
            <w:pPr>
              <w:spacing w:line="340" w:lineRule="exact"/>
              <w:ind w:firstLine="420" w:firstLineChars="200"/>
              <w:jc w:val="center"/>
              <w:rPr>
                <w:rFonts w:ascii="宋体" w:hAnsi="宋体"/>
                <w:bCs/>
                <w:color w:val="auto"/>
                <w:szCs w:val="21"/>
              </w:rPr>
            </w:pPr>
            <w:r>
              <w:rPr>
                <w:rFonts w:hint="eastAsia" w:ascii="宋体" w:hAnsi="宋体"/>
                <w:bCs/>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895" w:type="dxa"/>
            <w:vAlign w:val="center"/>
          </w:tcPr>
          <w:p>
            <w:pPr>
              <w:jc w:val="center"/>
              <w:rPr>
                <w:rFonts w:ascii="宋体" w:hAnsi="宋体"/>
                <w:color w:val="auto"/>
              </w:rPr>
            </w:pPr>
            <w:r>
              <w:rPr>
                <w:rFonts w:ascii="宋体" w:hAnsi="宋体"/>
                <w:color w:val="auto"/>
              </w:rPr>
              <w:t>100以下</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1.5%</w:t>
            </w:r>
          </w:p>
        </w:tc>
        <w:tc>
          <w:tcPr>
            <w:tcW w:w="1636" w:type="dxa"/>
            <w:vAlign w:val="center"/>
          </w:tcPr>
          <w:p>
            <w:pPr>
              <w:jc w:val="center"/>
              <w:rPr>
                <w:rFonts w:ascii="宋体" w:hAnsi="宋体"/>
                <w:color w:val="auto"/>
              </w:rPr>
            </w:pPr>
            <w:r>
              <w:rPr>
                <w:rFonts w:ascii="宋体" w:hAnsi="宋体"/>
                <w:color w:val="auto"/>
              </w:rPr>
              <w:t>1.5%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100-500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1.1%</w:t>
            </w:r>
          </w:p>
        </w:tc>
        <w:tc>
          <w:tcPr>
            <w:tcW w:w="1636" w:type="dxa"/>
            <w:vAlign w:val="center"/>
          </w:tcPr>
          <w:p>
            <w:pPr>
              <w:jc w:val="center"/>
              <w:rPr>
                <w:rFonts w:ascii="宋体" w:hAnsi="宋体"/>
                <w:color w:val="auto"/>
              </w:rPr>
            </w:pPr>
            <w:r>
              <w:rPr>
                <w:rFonts w:ascii="宋体" w:hAnsi="宋体"/>
                <w:color w:val="auto"/>
              </w:rPr>
              <w:t>0.8%</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500-1000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0.8%</w:t>
            </w:r>
          </w:p>
        </w:tc>
        <w:tc>
          <w:tcPr>
            <w:tcW w:w="1636" w:type="dxa"/>
            <w:vAlign w:val="center"/>
          </w:tcPr>
          <w:p>
            <w:pPr>
              <w:jc w:val="center"/>
              <w:rPr>
                <w:rFonts w:ascii="宋体" w:hAnsi="宋体"/>
                <w:color w:val="auto"/>
              </w:rPr>
            </w:pPr>
            <w:r>
              <w:rPr>
                <w:rFonts w:ascii="宋体" w:hAnsi="宋体"/>
                <w:color w:val="auto"/>
              </w:rPr>
              <w:t>0.45%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1000-5000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0.5%</w:t>
            </w:r>
          </w:p>
        </w:tc>
        <w:tc>
          <w:tcPr>
            <w:tcW w:w="1636" w:type="dxa"/>
            <w:vAlign w:val="center"/>
          </w:tcPr>
          <w:p>
            <w:pPr>
              <w:jc w:val="center"/>
              <w:rPr>
                <w:rFonts w:ascii="宋体" w:hAnsi="宋体"/>
                <w:color w:val="auto"/>
              </w:rPr>
            </w:pPr>
            <w:r>
              <w:rPr>
                <w:rFonts w:ascii="宋体" w:hAnsi="宋体"/>
                <w:color w:val="auto"/>
              </w:rPr>
              <w:t>0.25%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5000-10000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0.25%</w:t>
            </w:r>
          </w:p>
        </w:tc>
        <w:tc>
          <w:tcPr>
            <w:tcW w:w="1636" w:type="dxa"/>
            <w:vAlign w:val="center"/>
          </w:tcPr>
          <w:p>
            <w:pPr>
              <w:jc w:val="center"/>
              <w:rPr>
                <w:rFonts w:ascii="宋体" w:hAnsi="宋体"/>
                <w:color w:val="auto"/>
              </w:rPr>
            </w:pPr>
            <w:r>
              <w:rPr>
                <w:rFonts w:ascii="宋体" w:hAnsi="宋体"/>
                <w:color w:val="auto"/>
              </w:rPr>
              <w:t>0.1%</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895" w:type="dxa"/>
            <w:vAlign w:val="center"/>
          </w:tcPr>
          <w:p>
            <w:pPr>
              <w:jc w:val="center"/>
              <w:rPr>
                <w:rFonts w:ascii="宋体" w:hAnsi="宋体"/>
                <w:color w:val="auto"/>
              </w:rPr>
            </w:pPr>
            <w:r>
              <w:rPr>
                <w:rFonts w:ascii="宋体" w:hAnsi="宋体"/>
                <w:color w:val="auto"/>
              </w:rPr>
              <w:t>10000-50000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0.05%</w:t>
            </w:r>
          </w:p>
        </w:tc>
        <w:tc>
          <w:tcPr>
            <w:tcW w:w="1636" w:type="dxa"/>
            <w:vAlign w:val="center"/>
          </w:tcPr>
          <w:p>
            <w:pPr>
              <w:jc w:val="center"/>
              <w:rPr>
                <w:rFonts w:ascii="宋体" w:hAnsi="宋体"/>
                <w:color w:val="auto"/>
              </w:rPr>
            </w:pPr>
            <w:r>
              <w:rPr>
                <w:rFonts w:ascii="宋体" w:hAnsi="宋体"/>
                <w:color w:val="auto"/>
              </w:rPr>
              <w:t>0.05%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50000-100000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0.035%</w:t>
            </w:r>
          </w:p>
        </w:tc>
        <w:tc>
          <w:tcPr>
            <w:tcW w:w="1636" w:type="dxa"/>
            <w:vAlign w:val="center"/>
          </w:tcPr>
          <w:p>
            <w:pPr>
              <w:jc w:val="center"/>
              <w:rPr>
                <w:rFonts w:ascii="宋体" w:hAnsi="宋体"/>
                <w:color w:val="auto"/>
              </w:rPr>
            </w:pPr>
            <w:r>
              <w:rPr>
                <w:rFonts w:ascii="宋体" w:hAnsi="宋体"/>
                <w:color w:val="auto"/>
              </w:rPr>
              <w:t>0.035%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895" w:type="dxa"/>
            <w:vAlign w:val="center"/>
          </w:tcPr>
          <w:p>
            <w:pPr>
              <w:jc w:val="center"/>
              <w:rPr>
                <w:rFonts w:ascii="宋体" w:hAnsi="宋体"/>
                <w:color w:val="auto"/>
              </w:rPr>
            </w:pPr>
            <w:r>
              <w:rPr>
                <w:rFonts w:ascii="宋体" w:hAnsi="宋体"/>
                <w:color w:val="auto"/>
              </w:rPr>
              <w:t>100000-500000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0.008%</w:t>
            </w:r>
          </w:p>
        </w:tc>
        <w:tc>
          <w:tcPr>
            <w:tcW w:w="1636" w:type="dxa"/>
            <w:vAlign w:val="center"/>
          </w:tcPr>
          <w:p>
            <w:pPr>
              <w:jc w:val="center"/>
              <w:rPr>
                <w:rFonts w:ascii="宋体" w:hAnsi="宋体"/>
                <w:color w:val="auto"/>
              </w:rPr>
            </w:pPr>
            <w:r>
              <w:rPr>
                <w:rFonts w:ascii="宋体" w:hAnsi="宋体"/>
                <w:color w:val="auto"/>
              </w:rPr>
              <w:t>0.008%</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0.008%</w:t>
            </w:r>
          </w:p>
        </w:tc>
      </w:tr>
    </w:tbl>
    <w:p>
      <w:pPr>
        <w:spacing w:line="400" w:lineRule="exact"/>
        <w:rPr>
          <w:rFonts w:ascii="宋体" w:hAnsi="宋体"/>
          <w:b/>
          <w:bCs/>
          <w:color w:val="auto"/>
          <w:szCs w:val="21"/>
        </w:rPr>
      </w:pPr>
      <w:r>
        <w:rPr>
          <w:rFonts w:hint="eastAsia" w:ascii="宋体" w:hAnsi="宋体"/>
          <w:b/>
          <w:bCs/>
          <w:color w:val="auto"/>
          <w:szCs w:val="21"/>
        </w:rPr>
        <w:t>说明：</w:t>
      </w:r>
    </w:p>
    <w:p>
      <w:pPr>
        <w:spacing w:line="400" w:lineRule="exact"/>
        <w:rPr>
          <w:rFonts w:ascii="宋体" w:hAnsi="宋体"/>
          <w:color w:val="auto"/>
          <w:szCs w:val="21"/>
        </w:rPr>
      </w:pPr>
      <w:r>
        <w:rPr>
          <w:rFonts w:ascii="宋体" w:hAnsi="宋体"/>
          <w:color w:val="auto"/>
          <w:szCs w:val="21"/>
        </w:rPr>
        <w:t>1</w:t>
      </w:r>
      <w:r>
        <w:rPr>
          <w:rFonts w:hint="eastAsia" w:ascii="宋体" w:hAnsi="宋体"/>
          <w:color w:val="auto"/>
          <w:szCs w:val="21"/>
        </w:rPr>
        <w:t>、按照计价格</w:t>
      </w:r>
      <w:r>
        <w:rPr>
          <w:rFonts w:ascii="宋体" w:hAnsi="宋体"/>
          <w:color w:val="auto"/>
          <w:szCs w:val="21"/>
        </w:rPr>
        <w:t>[2002]1980</w:t>
      </w:r>
      <w:r>
        <w:rPr>
          <w:rFonts w:hint="eastAsia" w:ascii="宋体" w:hAnsi="宋体"/>
          <w:color w:val="auto"/>
          <w:szCs w:val="21"/>
        </w:rPr>
        <w:t>号、发改办价格</w:t>
      </w:r>
      <w:r>
        <w:rPr>
          <w:rFonts w:ascii="宋体" w:hAnsi="宋体"/>
          <w:color w:val="auto"/>
          <w:szCs w:val="21"/>
        </w:rPr>
        <w:t>[2003]857</w:t>
      </w:r>
      <w:r>
        <w:rPr>
          <w:rFonts w:hint="eastAsia" w:ascii="宋体" w:hAnsi="宋体"/>
          <w:color w:val="auto"/>
          <w:szCs w:val="21"/>
        </w:rPr>
        <w:t>号及《国家发展改革委关于降低部分建设项目收费标准规范收费行为等有关问题的通知》（发改价格</w:t>
      </w:r>
      <w:r>
        <w:rPr>
          <w:rFonts w:ascii="宋体" w:hAnsi="宋体"/>
          <w:color w:val="auto"/>
          <w:szCs w:val="21"/>
        </w:rPr>
        <w:t>[2011]534</w:t>
      </w:r>
      <w:r>
        <w:rPr>
          <w:rFonts w:hint="eastAsia" w:ascii="宋体" w:hAnsi="宋体"/>
          <w:color w:val="auto"/>
          <w:szCs w:val="21"/>
        </w:rPr>
        <w:t>号）</w:t>
      </w:r>
      <w:r>
        <w:rPr>
          <w:rFonts w:hint="eastAsia" w:ascii="宋体" w:hAnsi="宋体"/>
          <w:color w:val="auto"/>
          <w:kern w:val="11"/>
          <w:szCs w:val="21"/>
        </w:rPr>
        <w:t>、发改价格〔</w:t>
      </w:r>
      <w:r>
        <w:rPr>
          <w:rFonts w:ascii="宋体" w:hAnsi="宋体"/>
          <w:color w:val="auto"/>
          <w:kern w:val="11"/>
          <w:szCs w:val="21"/>
        </w:rPr>
        <w:t>2015〕299号</w:t>
      </w:r>
      <w:r>
        <w:rPr>
          <w:rFonts w:hint="eastAsia" w:ascii="宋体" w:hAnsi="宋体"/>
          <w:color w:val="auto"/>
          <w:szCs w:val="21"/>
        </w:rPr>
        <w:t>等依据文件计算计取。</w:t>
      </w:r>
    </w:p>
    <w:p>
      <w:pPr>
        <w:spacing w:line="400" w:lineRule="exact"/>
        <w:rPr>
          <w:rFonts w:ascii="宋体" w:hAnsi="宋体"/>
          <w:b/>
          <w:bCs/>
          <w:color w:val="auto"/>
          <w:szCs w:val="21"/>
        </w:rPr>
      </w:pPr>
      <w:r>
        <w:rPr>
          <w:rFonts w:ascii="宋体" w:hAnsi="宋体"/>
          <w:color w:val="auto"/>
          <w:szCs w:val="21"/>
        </w:rPr>
        <w:t xml:space="preserve">2. </w:t>
      </w:r>
      <w:r>
        <w:rPr>
          <w:rFonts w:hint="eastAsia" w:ascii="宋体" w:hAnsi="宋体"/>
          <w:color w:val="auto"/>
          <w:szCs w:val="21"/>
        </w:rPr>
        <w:t>根据《国家发展改革委关于降低部分建设项目收费标准规范收费行为等有关问题的通知》（发改价格</w:t>
      </w:r>
      <w:r>
        <w:rPr>
          <w:rFonts w:ascii="宋体" w:hAnsi="宋体"/>
          <w:color w:val="auto"/>
          <w:szCs w:val="21"/>
        </w:rPr>
        <w:t>[2011]534</w:t>
      </w:r>
      <w:r>
        <w:rPr>
          <w:rFonts w:hint="eastAsia" w:ascii="宋体" w:hAnsi="宋体"/>
          <w:color w:val="auto"/>
          <w:szCs w:val="21"/>
        </w:rPr>
        <w:t>号）中第四条规定。货物、服务、工程一次招标（完成一次招标投标全流程）代理服务费最高限额分别为</w:t>
      </w:r>
      <w:r>
        <w:rPr>
          <w:rFonts w:ascii="宋体" w:hAnsi="宋体"/>
          <w:color w:val="auto"/>
          <w:szCs w:val="21"/>
        </w:rPr>
        <w:t>350</w:t>
      </w:r>
      <w:r>
        <w:rPr>
          <w:rFonts w:hint="eastAsia" w:ascii="宋体" w:hAnsi="宋体"/>
          <w:color w:val="auto"/>
          <w:szCs w:val="21"/>
        </w:rPr>
        <w:t>万元、</w:t>
      </w:r>
      <w:r>
        <w:rPr>
          <w:rFonts w:ascii="宋体" w:hAnsi="宋体"/>
          <w:color w:val="auto"/>
          <w:szCs w:val="21"/>
        </w:rPr>
        <w:t>300</w:t>
      </w:r>
      <w:r>
        <w:rPr>
          <w:rFonts w:hint="eastAsia" w:ascii="宋体" w:hAnsi="宋体"/>
          <w:color w:val="auto"/>
          <w:szCs w:val="21"/>
        </w:rPr>
        <w:t>万元和</w:t>
      </w:r>
      <w:r>
        <w:rPr>
          <w:rFonts w:ascii="宋体" w:hAnsi="宋体"/>
          <w:color w:val="auto"/>
          <w:szCs w:val="21"/>
        </w:rPr>
        <w:t>450</w:t>
      </w:r>
      <w:r>
        <w:rPr>
          <w:rFonts w:hint="eastAsia" w:ascii="宋体" w:hAnsi="宋体"/>
          <w:color w:val="auto"/>
          <w:szCs w:val="21"/>
        </w:rPr>
        <w:t>万元，</w:t>
      </w:r>
      <w:r>
        <w:rPr>
          <w:rFonts w:hint="eastAsia" w:ascii="宋体" w:hAnsi="宋体"/>
          <w:bCs/>
          <w:color w:val="auto"/>
          <w:szCs w:val="21"/>
        </w:rPr>
        <w:t>并按各标中标标的计算各标段招标代理服务费</w:t>
      </w:r>
      <w:r>
        <w:rPr>
          <w:rFonts w:hint="eastAsia" w:ascii="宋体" w:hAnsi="宋体"/>
          <w:b/>
          <w:bCs/>
          <w:color w:val="auto"/>
          <w:szCs w:val="21"/>
        </w:rPr>
        <w:t>。</w:t>
      </w:r>
    </w:p>
    <w:p>
      <w:pPr>
        <w:spacing w:line="400" w:lineRule="exact"/>
        <w:rPr>
          <w:rFonts w:ascii="宋体" w:hAnsi="宋体"/>
          <w:color w:val="auto"/>
          <w:szCs w:val="21"/>
        </w:rPr>
      </w:pPr>
      <w:r>
        <w:rPr>
          <w:rFonts w:ascii="宋体" w:hAnsi="宋体"/>
          <w:color w:val="auto"/>
          <w:szCs w:val="21"/>
        </w:rPr>
        <w:t>3. 1</w:t>
      </w:r>
      <w:r>
        <w:rPr>
          <w:rFonts w:hint="eastAsia" w:ascii="宋体" w:hAnsi="宋体"/>
          <w:color w:val="auto"/>
          <w:szCs w:val="21"/>
        </w:rPr>
        <w:t>亿以上项目的按</w:t>
      </w:r>
      <w:r>
        <w:rPr>
          <w:rFonts w:ascii="宋体" w:hAnsi="宋体"/>
          <w:color w:val="auto"/>
          <w:szCs w:val="21"/>
        </w:rPr>
        <w:t>1亿收取费用。</w:t>
      </w:r>
    </w:p>
    <w:p>
      <w:pPr>
        <w:rPr>
          <w:color w:val="auto"/>
        </w:rPr>
      </w:pPr>
      <w:r>
        <w:rPr>
          <w:color w:val="auto"/>
        </w:rPr>
        <w:br w:type="page"/>
      </w:r>
    </w:p>
    <w:p>
      <w:pPr>
        <w:pStyle w:val="75"/>
        <w:spacing w:before="240" w:after="120"/>
        <w:rPr>
          <w:rFonts w:ascii="宋体" w:hAnsi="宋体" w:eastAsia="宋体" w:cs="宋体"/>
          <w:b/>
          <w:bCs w:val="0"/>
          <w:color w:val="auto"/>
          <w:kern w:val="0"/>
          <w:sz w:val="28"/>
          <w:szCs w:val="28"/>
        </w:rPr>
      </w:pPr>
      <w:bookmarkStart w:id="416" w:name="_Toc28913"/>
      <w:bookmarkStart w:id="417" w:name="_Toc447265559"/>
      <w:bookmarkStart w:id="418" w:name="_Toc56432213"/>
      <w:bookmarkStart w:id="419" w:name="_Toc447265273"/>
      <w:bookmarkStart w:id="420" w:name="_Toc2968"/>
      <w:bookmarkStart w:id="421" w:name="_Toc16927"/>
      <w:r>
        <w:rPr>
          <w:rFonts w:hint="eastAsia" w:ascii="宋体" w:hAnsi="宋体" w:eastAsia="宋体" w:cs="宋体"/>
          <w:b/>
          <w:bCs w:val="0"/>
          <w:color w:val="auto"/>
          <w:kern w:val="0"/>
          <w:sz w:val="28"/>
          <w:szCs w:val="28"/>
        </w:rPr>
        <w:t>第三章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评审办法（综合评估法）</w:t>
      </w:r>
      <w:bookmarkEnd w:id="416"/>
      <w:bookmarkEnd w:id="417"/>
      <w:bookmarkEnd w:id="418"/>
      <w:bookmarkEnd w:id="419"/>
      <w:bookmarkEnd w:id="420"/>
      <w:bookmarkEnd w:id="421"/>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评审项</w:t>
            </w:r>
          </w:p>
        </w:tc>
        <w:tc>
          <w:tcPr>
            <w:tcW w:w="4261" w:type="dxa"/>
            <w:vAlign w:val="center"/>
          </w:tcPr>
          <w:p>
            <w:pPr>
              <w:jc w:val="center"/>
              <w:rPr>
                <w:b/>
                <w:color w:val="auto"/>
                <w:sz w:val="24"/>
              </w:rPr>
            </w:pPr>
            <w:r>
              <w:rPr>
                <w:rFonts w:hint="eastAsia"/>
                <w:b/>
                <w:color w:val="auto"/>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技术审查</w:t>
            </w:r>
          </w:p>
        </w:tc>
        <w:tc>
          <w:tcPr>
            <w:tcW w:w="4261" w:type="dxa"/>
            <w:vAlign w:val="center"/>
          </w:tcPr>
          <w:p>
            <w:pPr>
              <w:jc w:val="center"/>
              <w:rPr>
                <w:b/>
                <w:color w:val="auto"/>
                <w:sz w:val="24"/>
              </w:rPr>
            </w:pPr>
            <w:r>
              <w:rPr>
                <w:rFonts w:hint="eastAsia"/>
                <w:b/>
                <w:color w:val="auto"/>
                <w:sz w:val="24"/>
                <w:lang w:val="en-US" w:eastAsia="zh-CN"/>
              </w:rPr>
              <w:t>6</w:t>
            </w:r>
            <w:r>
              <w:rPr>
                <w:b/>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商务审查</w:t>
            </w:r>
          </w:p>
        </w:tc>
        <w:tc>
          <w:tcPr>
            <w:tcW w:w="4261" w:type="dxa"/>
            <w:vAlign w:val="center"/>
          </w:tcPr>
          <w:p>
            <w:pPr>
              <w:jc w:val="center"/>
              <w:rPr>
                <w:b/>
                <w:color w:val="auto"/>
                <w:sz w:val="24"/>
              </w:rPr>
            </w:pPr>
            <w:r>
              <w:rPr>
                <w:rFonts w:hint="eastAsia"/>
                <w:b/>
                <w:color w:val="auto"/>
                <w:sz w:val="24"/>
                <w:lang w:val="en-US" w:eastAsia="zh-CN"/>
              </w:rPr>
              <w:t>3</w:t>
            </w:r>
            <w:r>
              <w:rPr>
                <w:b/>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价格评审</w:t>
            </w:r>
          </w:p>
        </w:tc>
        <w:tc>
          <w:tcPr>
            <w:tcW w:w="4261" w:type="dxa"/>
            <w:vAlign w:val="center"/>
          </w:tcPr>
          <w:p>
            <w:pPr>
              <w:jc w:val="center"/>
              <w:rPr>
                <w:b/>
                <w:color w:val="auto"/>
                <w:sz w:val="24"/>
              </w:rPr>
            </w:pPr>
            <w:r>
              <w:rPr>
                <w:b/>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总和</w:t>
            </w:r>
          </w:p>
        </w:tc>
        <w:tc>
          <w:tcPr>
            <w:tcW w:w="4261" w:type="dxa"/>
            <w:vAlign w:val="center"/>
          </w:tcPr>
          <w:p>
            <w:pPr>
              <w:jc w:val="center"/>
              <w:rPr>
                <w:b/>
                <w:color w:val="auto"/>
                <w:sz w:val="24"/>
              </w:rPr>
            </w:pPr>
            <w:r>
              <w:rPr>
                <w:b/>
                <w:color w:val="auto"/>
                <w:sz w:val="24"/>
              </w:rPr>
              <w:t>100</w:t>
            </w:r>
          </w:p>
        </w:tc>
      </w:tr>
    </w:tbl>
    <w:p>
      <w:pPr>
        <w:rPr>
          <w:color w:val="auto"/>
        </w:rPr>
      </w:pPr>
    </w:p>
    <w:p>
      <w:pPr>
        <w:pStyle w:val="5"/>
        <w:snapToGrid w:val="0"/>
        <w:spacing w:before="240" w:after="120" w:line="240" w:lineRule="auto"/>
        <w:jc w:val="center"/>
        <w:rPr>
          <w:rFonts w:ascii="宋体" w:hAnsi="宋体" w:eastAsia="宋体" w:cs="宋体"/>
          <w:bCs w:val="0"/>
          <w:color w:val="auto"/>
          <w:sz w:val="21"/>
          <w:szCs w:val="24"/>
        </w:rPr>
      </w:pPr>
      <w:bookmarkStart w:id="422" w:name="_Toc11520"/>
      <w:bookmarkStart w:id="423" w:name="_Toc56432214"/>
      <w:bookmarkStart w:id="424" w:name="_Toc30804"/>
      <w:bookmarkStart w:id="425" w:name="_Toc8100"/>
      <w:bookmarkStart w:id="426" w:name="_Toc107822520"/>
      <w:bookmarkStart w:id="427" w:name="_Toc447265562"/>
      <w:bookmarkStart w:id="428" w:name="_Toc226969316"/>
      <w:bookmarkStart w:id="429" w:name="_Toc227057922"/>
      <w:bookmarkStart w:id="430" w:name="_Toc447265276"/>
      <w:r>
        <w:rPr>
          <w:rFonts w:hint="eastAsia" w:ascii="宋体" w:hAnsi="宋体" w:eastAsia="宋体" w:cs="宋体"/>
          <w:bCs w:val="0"/>
          <w:color w:val="auto"/>
          <w:sz w:val="21"/>
          <w:szCs w:val="24"/>
        </w:rPr>
        <w:t>评审办法前附表</w:t>
      </w:r>
      <w:bookmarkEnd w:id="422"/>
      <w:bookmarkEnd w:id="423"/>
      <w:bookmarkEnd w:id="424"/>
      <w:bookmarkEnd w:id="425"/>
    </w:p>
    <w:p>
      <w:pPr>
        <w:pStyle w:val="5"/>
        <w:rPr>
          <w:rFonts w:asciiTheme="minorEastAsia" w:hAnsiTheme="minorEastAsia" w:eastAsiaTheme="minorEastAsia"/>
          <w:b w:val="0"/>
          <w:color w:val="auto"/>
          <w:sz w:val="24"/>
        </w:rPr>
      </w:pPr>
      <w:bookmarkStart w:id="431" w:name="_Toc19724"/>
      <w:bookmarkStart w:id="432" w:name="_Toc21818"/>
      <w:bookmarkStart w:id="433" w:name="_Toc56432215"/>
      <w:bookmarkStart w:id="434" w:name="_Toc20893"/>
      <w:r>
        <w:rPr>
          <w:rFonts w:asciiTheme="minorEastAsia" w:hAnsiTheme="minorEastAsia" w:eastAsiaTheme="minorEastAsia"/>
          <w:b w:val="0"/>
          <w:color w:val="auto"/>
          <w:sz w:val="24"/>
        </w:rPr>
        <w:t>1、初步评审表</w:t>
      </w:r>
      <w:bookmarkEnd w:id="431"/>
      <w:bookmarkEnd w:id="432"/>
      <w:bookmarkEnd w:id="433"/>
      <w:bookmarkEnd w:id="434"/>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99"/>
        <w:gridCol w:w="2199"/>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97" w:type="dxa"/>
            <w:gridSpan w:val="2"/>
            <w:vAlign w:val="center"/>
          </w:tcPr>
          <w:p>
            <w:pPr>
              <w:snapToGrid w:val="0"/>
              <w:jc w:val="center"/>
              <w:rPr>
                <w:rFonts w:ascii="宋体" w:hAnsi="宋体" w:cs="宋体"/>
                <w:color w:val="auto"/>
                <w:kern w:val="0"/>
                <w:szCs w:val="21"/>
              </w:rPr>
            </w:pPr>
            <w:r>
              <w:rPr>
                <w:rFonts w:hint="eastAsia" w:ascii="宋体" w:hAnsi="宋体" w:cs="宋体"/>
                <w:color w:val="auto"/>
                <w:szCs w:val="21"/>
              </w:rPr>
              <w:t>条款号</w:t>
            </w:r>
          </w:p>
        </w:tc>
        <w:tc>
          <w:tcPr>
            <w:tcW w:w="2199" w:type="dxa"/>
            <w:vAlign w:val="center"/>
          </w:tcPr>
          <w:p>
            <w:pPr>
              <w:snapToGrid w:val="0"/>
              <w:jc w:val="center"/>
              <w:rPr>
                <w:rFonts w:ascii="宋体" w:hAnsi="宋体" w:cs="宋体"/>
                <w:color w:val="auto"/>
                <w:szCs w:val="21"/>
              </w:rPr>
            </w:pPr>
            <w:r>
              <w:rPr>
                <w:rFonts w:hint="eastAsia" w:ascii="宋体" w:hAnsi="宋体" w:cs="宋体"/>
                <w:color w:val="auto"/>
                <w:kern w:val="0"/>
                <w:szCs w:val="21"/>
              </w:rPr>
              <w:t>评审因素</w:t>
            </w:r>
          </w:p>
        </w:tc>
        <w:tc>
          <w:tcPr>
            <w:tcW w:w="4426" w:type="dxa"/>
            <w:vAlign w:val="center"/>
          </w:tcPr>
          <w:p>
            <w:pPr>
              <w:snapToGrid w:val="0"/>
              <w:jc w:val="center"/>
              <w:rPr>
                <w:rFonts w:ascii="宋体" w:hAnsi="宋体" w:cs="宋体"/>
                <w:color w:val="auto"/>
                <w:szCs w:val="21"/>
              </w:rPr>
            </w:pPr>
            <w:r>
              <w:rPr>
                <w:rFonts w:hint="eastAsia" w:ascii="宋体" w:hAnsi="宋体" w:cs="宋体"/>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restart"/>
            <w:vAlign w:val="center"/>
          </w:tcPr>
          <w:p>
            <w:pPr>
              <w:snapToGrid w:val="0"/>
              <w:jc w:val="center"/>
              <w:rPr>
                <w:rFonts w:ascii="宋体" w:hAnsi="宋体" w:cs="宋体"/>
                <w:color w:val="auto"/>
                <w:szCs w:val="21"/>
              </w:rPr>
            </w:pPr>
            <w:r>
              <w:rPr>
                <w:rFonts w:ascii="宋体" w:hAnsi="宋体" w:cs="宋体"/>
                <w:color w:val="auto"/>
                <w:szCs w:val="21"/>
              </w:rPr>
              <w:t>2.1</w:t>
            </w:r>
            <w:r>
              <w:rPr>
                <w:rFonts w:hint="eastAsia" w:ascii="宋体" w:hAnsi="宋体"/>
                <w:color w:val="auto"/>
                <w:szCs w:val="21"/>
              </w:rPr>
              <w:t>初步评审</w:t>
            </w:r>
          </w:p>
        </w:tc>
        <w:tc>
          <w:tcPr>
            <w:tcW w:w="1099" w:type="dxa"/>
            <w:vMerge w:val="restart"/>
            <w:vAlign w:val="center"/>
          </w:tcPr>
          <w:p>
            <w:pPr>
              <w:snapToGrid w:val="0"/>
              <w:jc w:val="center"/>
              <w:rPr>
                <w:rFonts w:ascii="宋体" w:hAnsi="宋体" w:cs="宋体"/>
                <w:color w:val="auto"/>
                <w:kern w:val="0"/>
                <w:szCs w:val="21"/>
              </w:rPr>
            </w:pPr>
            <w:r>
              <w:rPr>
                <w:rFonts w:hint="eastAsia" w:ascii="宋体" w:hAnsi="宋体" w:cs="宋体"/>
                <w:color w:val="auto"/>
                <w:kern w:val="0"/>
                <w:szCs w:val="21"/>
              </w:rPr>
              <w:t>形式评审</w:t>
            </w: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投标人名称</w:t>
            </w:r>
          </w:p>
        </w:tc>
        <w:tc>
          <w:tcPr>
            <w:tcW w:w="4426" w:type="dxa"/>
          </w:tcPr>
          <w:p>
            <w:pPr>
              <w:rPr>
                <w:rFonts w:ascii="宋体" w:hAnsi="宋体"/>
                <w:color w:val="auto"/>
                <w:szCs w:val="21"/>
              </w:rPr>
            </w:pPr>
            <w:r>
              <w:rPr>
                <w:rFonts w:hint="eastAsia" w:ascii="宋体" w:hAnsi="宋体"/>
                <w:color w:val="auto"/>
                <w:szCs w:val="21"/>
              </w:rPr>
              <w:t>与营业执照、盖章落款一致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法人代表证明书及法人授权书</w:t>
            </w:r>
          </w:p>
        </w:tc>
        <w:tc>
          <w:tcPr>
            <w:tcW w:w="4426" w:type="dxa"/>
          </w:tcPr>
          <w:p>
            <w:pPr>
              <w:jc w:val="left"/>
              <w:rPr>
                <w:rFonts w:ascii="宋体" w:hAnsi="宋体"/>
                <w:color w:val="auto"/>
                <w:szCs w:val="21"/>
              </w:rPr>
            </w:pPr>
            <w:r>
              <w:rPr>
                <w:rFonts w:hint="eastAsia" w:ascii="宋体" w:hAnsi="宋体"/>
                <w:color w:val="auto"/>
                <w:szCs w:val="21"/>
              </w:rPr>
              <w:t>符合第六章“投标文件格式”要求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投标报价</w:t>
            </w:r>
          </w:p>
        </w:tc>
        <w:tc>
          <w:tcPr>
            <w:tcW w:w="4426" w:type="dxa"/>
          </w:tcPr>
          <w:p>
            <w:pPr>
              <w:rPr>
                <w:rFonts w:ascii="宋体" w:hAnsi="宋体"/>
                <w:color w:val="auto"/>
                <w:szCs w:val="21"/>
              </w:rPr>
            </w:pPr>
            <w:r>
              <w:rPr>
                <w:rFonts w:hint="eastAsia"/>
                <w:color w:val="auto"/>
                <w:szCs w:val="21"/>
              </w:rPr>
              <w:t>按照招标文件要求进行报价，不超过项目预算。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投标保证金</w:t>
            </w:r>
          </w:p>
        </w:tc>
        <w:tc>
          <w:tcPr>
            <w:tcW w:w="4426" w:type="dxa"/>
          </w:tcPr>
          <w:p>
            <w:pPr>
              <w:rPr>
                <w:rFonts w:ascii="宋体" w:hAnsi="宋体"/>
                <w:color w:val="auto"/>
                <w:szCs w:val="21"/>
              </w:rPr>
            </w:pPr>
            <w:r>
              <w:rPr>
                <w:rFonts w:hint="eastAsia"/>
                <w:color w:val="auto"/>
                <w:szCs w:val="21"/>
              </w:rPr>
              <w:t>按照招标文件要求的金额及形式提交投标保证金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tcPr>
          <w:p>
            <w:pPr>
              <w:spacing w:line="440" w:lineRule="exact"/>
              <w:jc w:val="center"/>
              <w:rPr>
                <w:rFonts w:ascii="宋体" w:hAnsi="宋体"/>
                <w:color w:val="auto"/>
                <w:szCs w:val="21"/>
              </w:rPr>
            </w:pPr>
            <w:r>
              <w:rPr>
                <w:rFonts w:hint="eastAsia" w:ascii="宋体" w:hAnsi="宋体"/>
                <w:color w:val="auto"/>
                <w:szCs w:val="21"/>
              </w:rPr>
              <w:t>商务合同条款偏离表</w:t>
            </w:r>
          </w:p>
        </w:tc>
        <w:tc>
          <w:tcPr>
            <w:tcW w:w="4426" w:type="dxa"/>
          </w:tcPr>
          <w:p>
            <w:pPr>
              <w:rPr>
                <w:rFonts w:ascii="宋体" w:hAnsi="宋体"/>
                <w:color w:val="auto"/>
                <w:szCs w:val="21"/>
              </w:rPr>
            </w:pPr>
            <w:r>
              <w:rPr>
                <w:rFonts w:hint="eastAsia" w:ascii="宋体" w:hAnsi="宋体"/>
                <w:color w:val="auto"/>
                <w:szCs w:val="21"/>
              </w:rPr>
              <w:t>填写《商务合同条款偏离表》，且对加“★”条款不存在负偏离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tcPr>
          <w:p>
            <w:pPr>
              <w:spacing w:line="440" w:lineRule="exact"/>
              <w:jc w:val="center"/>
              <w:rPr>
                <w:rFonts w:ascii="宋体" w:hAnsi="宋体"/>
                <w:color w:val="auto"/>
                <w:szCs w:val="21"/>
              </w:rPr>
            </w:pPr>
            <w:r>
              <w:rPr>
                <w:rFonts w:hint="eastAsia" w:ascii="宋体" w:hAnsi="宋体"/>
                <w:color w:val="auto"/>
                <w:szCs w:val="21"/>
              </w:rPr>
              <w:t>采购需求条款偏离表</w:t>
            </w:r>
          </w:p>
        </w:tc>
        <w:tc>
          <w:tcPr>
            <w:tcW w:w="4426" w:type="dxa"/>
          </w:tcPr>
          <w:p>
            <w:pPr>
              <w:rPr>
                <w:rFonts w:ascii="宋体" w:hAnsi="宋体"/>
                <w:color w:val="auto"/>
                <w:szCs w:val="21"/>
              </w:rPr>
            </w:pPr>
            <w:r>
              <w:rPr>
                <w:rFonts w:hint="eastAsia" w:ascii="宋体" w:hAnsi="宋体"/>
                <w:color w:val="auto"/>
                <w:szCs w:val="21"/>
              </w:rPr>
              <w:t>填写《采购需求条款偏离表》，且对加“★”条款不存在负偏离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tcPr>
          <w:p>
            <w:pPr>
              <w:spacing w:line="440" w:lineRule="exact"/>
              <w:jc w:val="center"/>
              <w:rPr>
                <w:rFonts w:ascii="宋体" w:hAnsi="宋体"/>
                <w:color w:val="auto"/>
                <w:szCs w:val="21"/>
              </w:rPr>
            </w:pPr>
            <w:r>
              <w:rPr>
                <w:rFonts w:hint="eastAsia" w:ascii="宋体" w:hAnsi="宋体"/>
                <w:color w:val="auto"/>
                <w:szCs w:val="21"/>
              </w:rPr>
              <w:t>投标文件的签署和盖章</w:t>
            </w:r>
          </w:p>
        </w:tc>
        <w:tc>
          <w:tcPr>
            <w:tcW w:w="4426" w:type="dxa"/>
          </w:tcPr>
          <w:p>
            <w:pPr>
              <w:rPr>
                <w:rFonts w:ascii="宋体" w:hAnsi="宋体"/>
                <w:color w:val="auto"/>
                <w:szCs w:val="21"/>
              </w:rPr>
            </w:pPr>
            <w:r>
              <w:rPr>
                <w:rFonts w:hint="eastAsia" w:ascii="宋体" w:hAnsi="宋体"/>
                <w:color w:val="auto"/>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rPr>
                <w:rFonts w:ascii="宋体" w:hAnsi="宋体"/>
                <w:color w:val="auto"/>
                <w:szCs w:val="21"/>
              </w:rPr>
            </w:pPr>
            <w:r>
              <w:rPr>
                <w:rFonts w:ascii="宋体" w:hAnsi="宋体"/>
                <w:color w:val="auto"/>
                <w:szCs w:val="21"/>
              </w:rPr>
              <w:t>1)</w:t>
            </w:r>
            <w:r>
              <w:rPr>
                <w:rFonts w:ascii="宋体" w:hAnsi="宋体"/>
                <w:color w:val="auto"/>
                <w:szCs w:val="21"/>
              </w:rPr>
              <w:tab/>
            </w:r>
            <w:r>
              <w:rPr>
                <w:rFonts w:hint="eastAsia" w:ascii="宋体" w:hAnsi="宋体"/>
                <w:color w:val="auto"/>
                <w:szCs w:val="21"/>
              </w:rPr>
              <w:t>投标人的法定代表人（负责人）或其授权的代理人逐页签字或加盖签字章；</w:t>
            </w:r>
          </w:p>
          <w:p>
            <w:pPr>
              <w:rPr>
                <w:rFonts w:ascii="宋体" w:hAnsi="宋体"/>
                <w:color w:val="auto"/>
                <w:szCs w:val="21"/>
              </w:rPr>
            </w:pPr>
            <w:r>
              <w:rPr>
                <w:rFonts w:ascii="宋体" w:hAnsi="宋体"/>
                <w:color w:val="auto"/>
                <w:szCs w:val="21"/>
              </w:rPr>
              <w:t>2)</w:t>
            </w:r>
            <w:r>
              <w:rPr>
                <w:rFonts w:ascii="宋体" w:hAnsi="宋体"/>
                <w:color w:val="auto"/>
                <w:szCs w:val="21"/>
              </w:rPr>
              <w:tab/>
            </w:r>
            <w:r>
              <w:rPr>
                <w:rFonts w:hint="eastAsia" w:ascii="宋体" w:hAnsi="宋体"/>
                <w:color w:val="auto"/>
                <w:szCs w:val="21"/>
              </w:rPr>
              <w:t>加盖投标人单位骑缝章；</w:t>
            </w:r>
          </w:p>
          <w:p>
            <w:pPr>
              <w:rPr>
                <w:rFonts w:ascii="宋体" w:hAnsi="宋体"/>
                <w:color w:val="auto"/>
                <w:szCs w:val="21"/>
              </w:rPr>
            </w:pPr>
            <w:r>
              <w:rPr>
                <w:rFonts w:ascii="宋体" w:hAnsi="宋体"/>
                <w:color w:val="auto"/>
                <w:szCs w:val="21"/>
              </w:rPr>
              <w:t>3)</w:t>
            </w:r>
            <w:r>
              <w:rPr>
                <w:rFonts w:ascii="宋体" w:hAnsi="宋体"/>
                <w:color w:val="auto"/>
                <w:szCs w:val="21"/>
              </w:rPr>
              <w:tab/>
            </w:r>
            <w:r>
              <w:rPr>
                <w:rFonts w:hint="eastAsia" w:ascii="宋体" w:hAnsi="宋体"/>
                <w:color w:val="auto"/>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Align w:val="center"/>
          </w:tcPr>
          <w:p>
            <w:pPr>
              <w:snapToGrid w:val="0"/>
              <w:jc w:val="center"/>
              <w:rPr>
                <w:rFonts w:ascii="宋体" w:hAnsi="宋体" w:cs="宋体"/>
                <w:color w:val="auto"/>
                <w:szCs w:val="21"/>
              </w:rPr>
            </w:pPr>
            <w:r>
              <w:rPr>
                <w:rFonts w:hint="eastAsia" w:ascii="宋体" w:hAnsi="宋体" w:cs="宋体"/>
                <w:color w:val="auto"/>
                <w:szCs w:val="21"/>
              </w:rPr>
              <w:t>资格评审</w:t>
            </w:r>
          </w:p>
        </w:tc>
        <w:tc>
          <w:tcPr>
            <w:tcW w:w="2199" w:type="dxa"/>
            <w:vAlign w:val="center"/>
          </w:tcPr>
          <w:p>
            <w:pPr>
              <w:snapToGrid w:val="0"/>
              <w:jc w:val="center"/>
              <w:rPr>
                <w:rFonts w:ascii="宋体" w:hAnsi="宋体" w:cs="宋体"/>
                <w:color w:val="auto"/>
                <w:szCs w:val="21"/>
              </w:rPr>
            </w:pPr>
            <w:r>
              <w:rPr>
                <w:rFonts w:hint="eastAsia" w:ascii="宋体" w:hAnsi="宋体"/>
                <w:color w:val="auto"/>
                <w:szCs w:val="21"/>
              </w:rPr>
              <w:t>资格要求</w:t>
            </w:r>
          </w:p>
        </w:tc>
        <w:tc>
          <w:tcPr>
            <w:tcW w:w="4426" w:type="dxa"/>
            <w:vAlign w:val="center"/>
          </w:tcPr>
          <w:p>
            <w:pPr>
              <w:snapToGrid w:val="0"/>
              <w:jc w:val="left"/>
              <w:rPr>
                <w:rFonts w:ascii="宋体" w:hAnsi="宋体" w:cs="宋体"/>
                <w:color w:val="auto"/>
                <w:szCs w:val="21"/>
              </w:rPr>
            </w:pPr>
            <w:r>
              <w:rPr>
                <w:rFonts w:hint="eastAsia" w:ascii="宋体" w:hAnsi="宋体" w:cs="宋体"/>
                <w:color w:val="auto"/>
                <w:szCs w:val="21"/>
              </w:rPr>
              <w:t>1.投标人须在中华人民共和国境内注册的具有独立承担民事责任能力的法人或其他组织，提供营业执照或事业法人证书（分公司投标须得到总公司授权，同时提供总公司营业执照及盖章授权函）；</w:t>
            </w:r>
          </w:p>
          <w:p>
            <w:pPr>
              <w:snapToGrid w:val="0"/>
              <w:jc w:val="left"/>
              <w:rPr>
                <w:rFonts w:ascii="宋体" w:hAnsi="宋体" w:cs="宋体"/>
                <w:color w:val="auto"/>
                <w:szCs w:val="21"/>
              </w:rPr>
            </w:pPr>
            <w:r>
              <w:rPr>
                <w:rFonts w:hint="eastAsia" w:ascii="宋体" w:hAnsi="宋体" w:cs="宋体"/>
                <w:color w:val="auto"/>
                <w:szCs w:val="21"/>
              </w:rPr>
              <w:t>2.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pPr>
              <w:snapToGrid w:val="0"/>
              <w:jc w:val="left"/>
              <w:rPr>
                <w:rFonts w:ascii="宋体" w:hAnsi="宋体" w:cs="宋体"/>
                <w:color w:val="auto"/>
                <w:szCs w:val="21"/>
              </w:rPr>
            </w:pPr>
            <w:r>
              <w:rPr>
                <w:rFonts w:hint="eastAsia" w:ascii="宋体" w:hAnsi="宋体" w:cs="宋体"/>
                <w:color w:val="auto"/>
                <w:szCs w:val="21"/>
              </w:rPr>
              <w:t>3.单位负责人为同一人或者存在直接控股、管理关系的不同供应商，不得参加同一合同项下的招标活动，以《投标人控股及管理关系情况申报表》填报的内容进行评审；</w:t>
            </w:r>
          </w:p>
          <w:p>
            <w:pPr>
              <w:snapToGrid w:val="0"/>
              <w:jc w:val="left"/>
              <w:rPr>
                <w:rFonts w:ascii="宋体" w:hAnsi="宋体" w:cs="宋体"/>
                <w:color w:val="auto"/>
                <w:szCs w:val="21"/>
              </w:rPr>
            </w:pPr>
            <w:r>
              <w:rPr>
                <w:rFonts w:hint="eastAsia" w:ascii="宋体" w:hAnsi="宋体" w:cs="宋体"/>
                <w:color w:val="auto"/>
                <w:szCs w:val="21"/>
              </w:rPr>
              <w:t>4.本项目不接受联合体投标，不允许转包、违法分包。</w:t>
            </w:r>
          </w:p>
        </w:tc>
      </w:tr>
    </w:tbl>
    <w:p>
      <w:pPr>
        <w:widowControl/>
        <w:jc w:val="left"/>
        <w:rPr>
          <w:rFonts w:ascii="宋体" w:hAnsi="宋体" w:cs="宋体"/>
          <w:color w:val="auto"/>
          <w:szCs w:val="21"/>
        </w:rPr>
      </w:pPr>
    </w:p>
    <w:p>
      <w:pPr>
        <w:widowControl/>
        <w:jc w:val="left"/>
        <w:rPr>
          <w:rFonts w:ascii="宋体" w:hAnsi="宋体" w:cs="宋体"/>
          <w:color w:val="auto"/>
          <w:sz w:val="28"/>
          <w:szCs w:val="28"/>
        </w:rPr>
      </w:pPr>
      <w:r>
        <w:rPr>
          <w:rFonts w:ascii="宋体" w:hAnsi="宋体" w:cs="宋体"/>
          <w:color w:val="auto"/>
          <w:sz w:val="28"/>
          <w:szCs w:val="28"/>
        </w:rPr>
        <w:br w:type="page"/>
      </w:r>
    </w:p>
    <w:p>
      <w:pPr>
        <w:pStyle w:val="5"/>
        <w:rPr>
          <w:rFonts w:asciiTheme="minorEastAsia" w:hAnsiTheme="minorEastAsia" w:eastAsiaTheme="minorEastAsia"/>
          <w:b w:val="0"/>
          <w:color w:val="auto"/>
          <w:sz w:val="24"/>
        </w:rPr>
      </w:pPr>
      <w:bookmarkStart w:id="435" w:name="_Toc30857"/>
      <w:bookmarkStart w:id="436" w:name="_Toc59548356"/>
      <w:bookmarkStart w:id="437" w:name="_Toc10134"/>
      <w:bookmarkStart w:id="438" w:name="_Toc7670"/>
      <w:r>
        <w:rPr>
          <w:rFonts w:asciiTheme="minorEastAsia" w:hAnsiTheme="minorEastAsia" w:eastAsiaTheme="minorEastAsia"/>
          <w:b w:val="0"/>
          <w:color w:val="auto"/>
          <w:sz w:val="24"/>
        </w:rPr>
        <w:t>2、技术评分表</w:t>
      </w:r>
      <w:bookmarkEnd w:id="435"/>
      <w:bookmarkEnd w:id="436"/>
      <w:bookmarkEnd w:id="437"/>
      <w:bookmarkEnd w:id="438"/>
    </w:p>
    <w:tbl>
      <w:tblPr>
        <w:tblStyle w:val="4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85"/>
        <w:gridCol w:w="684"/>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bookmarkStart w:id="439" w:name="_Toc28311"/>
            <w:bookmarkStart w:id="440" w:name="_Toc2592"/>
            <w:bookmarkStart w:id="441" w:name="_Toc59548357"/>
            <w:bookmarkStart w:id="442" w:name="_Toc56432217"/>
            <w:r>
              <w:rPr>
                <w:rFonts w:hint="eastAsia" w:ascii="宋体" w:hAnsi="宋体" w:cs="宋体"/>
                <w:b/>
                <w:bCs/>
                <w:color w:val="auto"/>
                <w:szCs w:val="21"/>
              </w:rPr>
              <w:t>评分项</w:t>
            </w:r>
          </w:p>
        </w:tc>
        <w:tc>
          <w:tcPr>
            <w:tcW w:w="6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技术</w:t>
            </w:r>
          </w:p>
        </w:tc>
        <w:tc>
          <w:tcPr>
            <w:tcW w:w="678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内容</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分值</w:t>
            </w:r>
          </w:p>
        </w:tc>
        <w:tc>
          <w:tcPr>
            <w:tcW w:w="678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885"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b w:val="0"/>
                <w:bCs w:val="0"/>
                <w:color w:val="auto"/>
                <w:szCs w:val="21"/>
                <w:lang w:val="en-US" w:eastAsia="zh-CN"/>
              </w:rPr>
              <w:t>项目重点、难点理解分析</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6789" w:type="dxa"/>
            <w:tcBorders>
              <w:top w:val="single" w:color="auto" w:sz="4" w:space="0"/>
              <w:left w:val="single" w:color="auto" w:sz="4" w:space="0"/>
              <w:bottom w:val="single" w:color="auto" w:sz="4" w:space="0"/>
              <w:right w:val="single" w:color="auto" w:sz="4" w:space="0"/>
            </w:tcBorders>
            <w:vAlign w:val="center"/>
          </w:tcPr>
          <w:p>
            <w:pPr>
              <w:pStyle w:val="14"/>
              <w:ind w:firstLine="0"/>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招标人</w:t>
            </w:r>
            <w:r>
              <w:rPr>
                <w:rFonts w:hint="eastAsia" w:ascii="宋体" w:hAnsi="宋体" w:eastAsia="宋体" w:cs="宋体"/>
                <w:color w:val="auto"/>
                <w:sz w:val="21"/>
                <w:szCs w:val="21"/>
              </w:rPr>
              <w:t>提供的</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需求</w:t>
            </w:r>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投标人应</w:t>
            </w:r>
            <w:r>
              <w:rPr>
                <w:rFonts w:hint="eastAsia" w:ascii="宋体" w:hAnsi="宋体" w:eastAsia="宋体" w:cs="宋体"/>
                <w:color w:val="auto"/>
                <w:sz w:val="21"/>
                <w:szCs w:val="21"/>
              </w:rPr>
              <w:t>提供完全满足或优于用户需求的方案，对本项目重点、难点有全面的认识和理解，且能详细描述。</w:t>
            </w:r>
          </w:p>
          <w:p>
            <w:pPr>
              <w:pStyle w:val="14"/>
              <w:ind w:firstLine="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1.完</w:t>
            </w:r>
            <w:r>
              <w:rPr>
                <w:rFonts w:hint="eastAsia" w:ascii="宋体" w:hAnsi="宋体" w:eastAsia="宋体" w:cs="宋体"/>
                <w:color w:val="auto"/>
                <w:sz w:val="21"/>
                <w:szCs w:val="21"/>
              </w:rPr>
              <w:t>全满足或优于用户需求要求，对本项目重点、难点有全面的认识和理解，得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pStyle w:val="14"/>
              <w:ind w:firstLine="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基本满足用户需求要求，对本项目重点、难点有一定的认识和理解，得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pPr>
              <w:pStyle w:val="14"/>
              <w:ind w:firstLine="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3.对采购</w:t>
            </w:r>
            <w:r>
              <w:rPr>
                <w:rFonts w:hint="eastAsia" w:ascii="宋体" w:hAnsi="宋体" w:eastAsia="宋体" w:cs="宋体"/>
                <w:color w:val="auto"/>
                <w:sz w:val="21"/>
                <w:szCs w:val="21"/>
              </w:rPr>
              <w:t>需求</w:t>
            </w:r>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rPr>
              <w:t>响应及对本项目重点、难点理解情况一般，得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pStyle w:val="14"/>
              <w:ind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4.对采购</w:t>
            </w:r>
            <w:r>
              <w:rPr>
                <w:rFonts w:hint="eastAsia" w:ascii="宋体" w:hAnsi="宋体" w:eastAsia="宋体" w:cs="宋体"/>
                <w:color w:val="auto"/>
                <w:sz w:val="21"/>
                <w:szCs w:val="21"/>
              </w:rPr>
              <w:t>需求</w:t>
            </w:r>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rPr>
              <w:t>响应及对本项目重点、难点理解情况较低，得1分</w:t>
            </w:r>
            <w:r>
              <w:rPr>
                <w:rFonts w:hint="eastAsia" w:ascii="宋体" w:hAnsi="宋体" w:eastAsia="宋体" w:cs="宋体"/>
                <w:color w:val="auto"/>
                <w:sz w:val="21"/>
                <w:szCs w:val="21"/>
                <w:lang w:eastAsia="zh-CN"/>
              </w:rPr>
              <w:t>；</w:t>
            </w:r>
          </w:p>
          <w:p>
            <w:pPr>
              <w:pStyle w:val="14"/>
              <w:ind w:firstLine="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注：未提供相关内容得0分。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企业文化活动建设方案</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6789" w:type="dxa"/>
            <w:tcBorders>
              <w:top w:val="single" w:color="auto" w:sz="4" w:space="0"/>
              <w:left w:val="single" w:color="auto" w:sz="4" w:space="0"/>
              <w:bottom w:val="single" w:color="auto" w:sz="4" w:space="0"/>
              <w:right w:val="single" w:color="auto" w:sz="4" w:space="0"/>
            </w:tcBorders>
          </w:tcPr>
          <w:p>
            <w:pPr>
              <w:pStyle w:val="14"/>
              <w:ind w:firstLine="0"/>
              <w:rPr>
                <w:rFonts w:hint="eastAsia" w:ascii="宋体" w:hAnsi="宋体" w:eastAsia="宋体" w:cs="宋体"/>
                <w:color w:val="auto"/>
                <w:sz w:val="21"/>
                <w:szCs w:val="21"/>
              </w:rPr>
            </w:pPr>
            <w:r>
              <w:rPr>
                <w:rFonts w:hint="eastAsia" w:ascii="宋体" w:hAnsi="宋体" w:eastAsia="宋体" w:cs="宋体"/>
                <w:color w:val="auto"/>
                <w:sz w:val="21"/>
                <w:szCs w:val="21"/>
              </w:rPr>
              <w:t>综合比较各</w:t>
            </w:r>
            <w:r>
              <w:rPr>
                <w:rFonts w:hint="eastAsia" w:ascii="宋体" w:hAnsi="宋体" w:eastAsia="宋体" w:cs="宋体"/>
                <w:color w:val="auto"/>
                <w:sz w:val="21"/>
                <w:szCs w:val="21"/>
                <w:lang w:val="en-US" w:eastAsia="zh-CN"/>
              </w:rPr>
              <w:t>投标人提供</w:t>
            </w:r>
            <w:r>
              <w:rPr>
                <w:rFonts w:hint="eastAsia" w:ascii="宋体" w:hAnsi="宋体" w:eastAsia="宋体" w:cs="宋体"/>
                <w:color w:val="auto"/>
                <w:sz w:val="21"/>
                <w:szCs w:val="21"/>
              </w:rPr>
              <w:t>的企业文化活动建设方案，包括但不限于</w:t>
            </w:r>
            <w:r>
              <w:rPr>
                <w:rFonts w:hint="eastAsia" w:ascii="宋体" w:hAnsi="宋体" w:eastAsia="宋体" w:cs="宋体"/>
                <w:color w:val="auto"/>
                <w:sz w:val="21"/>
                <w:szCs w:val="21"/>
                <w:lang w:val="en-US" w:eastAsia="zh-CN"/>
              </w:rPr>
              <w:t>线上线下企业文化</w:t>
            </w:r>
            <w:r>
              <w:rPr>
                <w:rFonts w:hint="eastAsia" w:ascii="宋体" w:hAnsi="宋体" w:eastAsia="宋体" w:cs="宋体"/>
                <w:color w:val="auto"/>
                <w:sz w:val="21"/>
                <w:szCs w:val="21"/>
              </w:rPr>
              <w:t>活动实施方案、重要服务节点、应急措施等：</w:t>
            </w:r>
          </w:p>
          <w:p>
            <w:pPr>
              <w:pStyle w:val="14"/>
              <w:ind w:firstLine="0"/>
              <w:rPr>
                <w:rFonts w:hint="eastAsia" w:ascii="宋体" w:hAnsi="宋体" w:eastAsia="宋体" w:cs="宋体"/>
                <w:color w:val="auto"/>
                <w:sz w:val="21"/>
                <w:szCs w:val="21"/>
              </w:rPr>
            </w:pPr>
            <w:r>
              <w:rPr>
                <w:rFonts w:hint="eastAsia" w:ascii="宋体" w:hAnsi="宋体" w:eastAsia="宋体" w:cs="宋体"/>
                <w:color w:val="auto"/>
                <w:sz w:val="21"/>
                <w:szCs w:val="21"/>
              </w:rPr>
              <w:t>1.活动实施方案、重要服务节点及执行流程清晰、执行力强，活动实施应急措施完善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p>
            <w:pPr>
              <w:pStyle w:val="14"/>
              <w:ind w:firstLine="0"/>
              <w:rPr>
                <w:rFonts w:hint="eastAsia" w:ascii="宋体" w:hAnsi="宋体" w:eastAsia="宋体" w:cs="宋体"/>
                <w:color w:val="auto"/>
                <w:sz w:val="21"/>
                <w:szCs w:val="21"/>
              </w:rPr>
            </w:pPr>
            <w:r>
              <w:rPr>
                <w:rFonts w:hint="eastAsia" w:ascii="宋体" w:hAnsi="宋体" w:eastAsia="宋体" w:cs="宋体"/>
                <w:color w:val="auto"/>
                <w:sz w:val="21"/>
                <w:szCs w:val="21"/>
              </w:rPr>
              <w:t>2.活动实施方案、重要服务节点及执行流程、活动实施应急措施较好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pStyle w:val="14"/>
              <w:ind w:firstLine="0"/>
              <w:rPr>
                <w:rFonts w:hint="eastAsia" w:ascii="宋体" w:hAnsi="宋体" w:eastAsia="宋体" w:cs="宋体"/>
                <w:color w:val="auto"/>
                <w:sz w:val="21"/>
                <w:szCs w:val="21"/>
              </w:rPr>
            </w:pPr>
            <w:r>
              <w:rPr>
                <w:rFonts w:hint="eastAsia" w:ascii="宋体" w:hAnsi="宋体" w:eastAsia="宋体" w:cs="宋体"/>
                <w:color w:val="auto"/>
                <w:sz w:val="21"/>
                <w:szCs w:val="21"/>
              </w:rPr>
              <w:t>3.活动实施方案、重要服务节点及执行流程、活动实施应急措施可行性一般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pStyle w:val="14"/>
              <w:ind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4.未提供服务过程总体执行方案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线上文化品牌服务方案</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ascii="宋体" w:hAnsi="宋体" w:cs="宋体"/>
                <w:color w:val="auto"/>
                <w:szCs w:val="21"/>
              </w:rPr>
              <w:t>1</w:t>
            </w:r>
            <w:r>
              <w:rPr>
                <w:rFonts w:hint="eastAsia" w:ascii="宋体" w:hAnsi="宋体" w:cs="宋体"/>
                <w:color w:val="auto"/>
                <w:szCs w:val="21"/>
                <w:lang w:val="en-US" w:eastAsia="zh-CN"/>
              </w:rPr>
              <w:t>5</w:t>
            </w:r>
          </w:p>
        </w:tc>
        <w:tc>
          <w:tcPr>
            <w:tcW w:w="6789" w:type="dxa"/>
            <w:tcBorders>
              <w:top w:val="single" w:color="auto" w:sz="4" w:space="0"/>
              <w:left w:val="single" w:color="auto" w:sz="4" w:space="0"/>
              <w:bottom w:val="single" w:color="auto" w:sz="4" w:space="0"/>
              <w:right w:val="single" w:color="auto" w:sz="4" w:space="0"/>
            </w:tcBorders>
          </w:tcPr>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综合比较各</w:t>
            </w:r>
            <w:r>
              <w:rPr>
                <w:rFonts w:hint="eastAsia" w:ascii="宋体" w:hAnsi="宋体" w:eastAsia="宋体" w:cs="宋体"/>
                <w:color w:val="auto"/>
                <w:sz w:val="21"/>
                <w:szCs w:val="21"/>
                <w:lang w:val="en-US" w:eastAsia="zh-CN"/>
              </w:rPr>
              <w:t>投标人提供</w:t>
            </w:r>
            <w:r>
              <w:rPr>
                <w:rFonts w:hint="eastAsia" w:ascii="宋体" w:hAnsi="宋体" w:eastAsia="宋体" w:cs="宋体"/>
                <w:color w:val="auto"/>
                <w:sz w:val="21"/>
                <w:szCs w:val="21"/>
                <w:lang w:eastAsia="zh-Hans"/>
              </w:rPr>
              <w:t>的线上文化品牌服务方案，包括但不限于</w:t>
            </w:r>
            <w:r>
              <w:rPr>
                <w:rFonts w:hint="eastAsia" w:ascii="宋体" w:hAnsi="宋体" w:eastAsia="宋体" w:cs="宋体"/>
                <w:color w:val="auto"/>
                <w:sz w:val="21"/>
                <w:szCs w:val="21"/>
                <w:lang w:val="en-US" w:eastAsia="zh-CN"/>
              </w:rPr>
              <w:t>拍摄方案、线上文化品牌运营</w:t>
            </w:r>
            <w:r>
              <w:rPr>
                <w:rFonts w:hint="eastAsia" w:ascii="宋体" w:hAnsi="宋体" w:eastAsia="宋体" w:cs="宋体"/>
                <w:color w:val="auto"/>
                <w:sz w:val="21"/>
                <w:szCs w:val="21"/>
                <w:lang w:eastAsia="zh-Hans"/>
              </w:rPr>
              <w:t>方案、</w:t>
            </w:r>
            <w:r>
              <w:rPr>
                <w:rFonts w:hint="eastAsia" w:ascii="宋体" w:hAnsi="宋体" w:eastAsia="宋体" w:cs="宋体"/>
                <w:color w:val="auto"/>
                <w:sz w:val="21"/>
                <w:szCs w:val="21"/>
                <w:lang w:val="en-US" w:eastAsia="zh-CN"/>
              </w:rPr>
              <w:t>数据服务方案</w:t>
            </w:r>
            <w:r>
              <w:rPr>
                <w:rFonts w:hint="eastAsia" w:ascii="宋体" w:hAnsi="宋体" w:eastAsia="宋体" w:cs="宋体"/>
                <w:color w:val="auto"/>
                <w:sz w:val="21"/>
                <w:szCs w:val="21"/>
                <w:lang w:eastAsia="zh-Hans"/>
              </w:rPr>
              <w:t>等：</w:t>
            </w:r>
          </w:p>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1.围绕线上</w:t>
            </w:r>
            <w:r>
              <w:rPr>
                <w:rFonts w:hint="eastAsia" w:ascii="宋体" w:hAnsi="宋体" w:eastAsia="宋体" w:cs="宋体"/>
                <w:color w:val="auto"/>
                <w:sz w:val="21"/>
                <w:szCs w:val="21"/>
                <w:lang w:val="en-US" w:eastAsia="zh-CN"/>
              </w:rPr>
              <w:t>文化品牌</w:t>
            </w:r>
            <w:r>
              <w:rPr>
                <w:rFonts w:hint="eastAsia" w:ascii="宋体" w:hAnsi="宋体" w:eastAsia="宋体" w:cs="宋体"/>
                <w:color w:val="auto"/>
                <w:sz w:val="21"/>
                <w:szCs w:val="21"/>
                <w:lang w:eastAsia="zh-Hans"/>
              </w:rPr>
              <w:t>内容的服务提供完善服务方案，能全面体现线上服务特色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可行性强，</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eastAsia="zh-Hans"/>
              </w:rPr>
              <w:t>分；</w:t>
            </w:r>
          </w:p>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2.围绕线上</w:t>
            </w:r>
            <w:r>
              <w:rPr>
                <w:rFonts w:hint="eastAsia" w:ascii="宋体" w:hAnsi="宋体" w:eastAsia="宋体" w:cs="宋体"/>
                <w:color w:val="auto"/>
                <w:sz w:val="21"/>
                <w:szCs w:val="21"/>
                <w:lang w:val="en-US" w:eastAsia="zh-CN"/>
              </w:rPr>
              <w:t>文化品牌</w:t>
            </w:r>
            <w:r>
              <w:rPr>
                <w:rFonts w:hint="eastAsia" w:ascii="宋体" w:hAnsi="宋体" w:eastAsia="宋体" w:cs="宋体"/>
                <w:color w:val="auto"/>
                <w:sz w:val="21"/>
                <w:szCs w:val="21"/>
                <w:lang w:eastAsia="zh-Hans"/>
              </w:rPr>
              <w:t>内容的服务提供较好服务方案，能较好体现线上服务特色</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可行性较好，</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Hans"/>
              </w:rPr>
              <w:t>分；</w:t>
            </w:r>
          </w:p>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3.提供简单的实施方案，可行性一般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Hans"/>
              </w:rPr>
              <w:t>分；</w:t>
            </w:r>
          </w:p>
          <w:p>
            <w:pPr>
              <w:pStyle w:val="14"/>
              <w:ind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Hans"/>
              </w:rPr>
              <w:t>未提供实施方案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Hans"/>
              </w:rPr>
              <w:t>分</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hint="eastAsia" w:ascii="宋体" w:hAnsi="宋体" w:cs="宋体"/>
                <w:color w:val="auto"/>
                <w:szCs w:val="21"/>
              </w:rPr>
              <w:t>企业文化宣传视频拍摄方案</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6789" w:type="dxa"/>
            <w:tcBorders>
              <w:top w:val="single" w:color="auto" w:sz="4" w:space="0"/>
              <w:left w:val="single" w:color="auto" w:sz="4" w:space="0"/>
              <w:bottom w:val="single" w:color="auto" w:sz="4" w:space="0"/>
              <w:right w:val="single" w:color="auto" w:sz="4" w:space="0"/>
            </w:tcBorders>
          </w:tcPr>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综合比较各</w:t>
            </w:r>
            <w:r>
              <w:rPr>
                <w:rFonts w:hint="eastAsia" w:ascii="宋体" w:hAnsi="宋体" w:eastAsia="宋体" w:cs="宋体"/>
                <w:color w:val="auto"/>
                <w:sz w:val="21"/>
                <w:szCs w:val="21"/>
                <w:lang w:val="en-US" w:eastAsia="zh-CN"/>
              </w:rPr>
              <w:t>投标人提供</w:t>
            </w:r>
            <w:r>
              <w:rPr>
                <w:rFonts w:hint="eastAsia" w:ascii="宋体" w:hAnsi="宋体" w:eastAsia="宋体" w:cs="宋体"/>
                <w:color w:val="auto"/>
                <w:sz w:val="21"/>
                <w:szCs w:val="21"/>
                <w:lang w:eastAsia="zh-Hans"/>
              </w:rPr>
              <w:t>的企业文化宣传视频拍摄方案，包括但不限于整体拍摄方案、拍摄计划、应急措施等：</w:t>
            </w:r>
          </w:p>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1.拍摄方案清晰、拍摄创意新颖、投入设备专业、拍摄进程计划完善、拍摄应急措施安全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eastAsia="zh-Hans"/>
              </w:rPr>
              <w:t>分；</w:t>
            </w:r>
          </w:p>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2.拍摄方案、拍摄创意、投入设备、拍摄进程计划、拍摄应急措施较好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Hans"/>
              </w:rPr>
              <w:t>分；</w:t>
            </w:r>
          </w:p>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3.拍摄方案、拍摄创意、投入设备、拍摄进程计划、拍摄应急措施一般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Hans"/>
              </w:rPr>
              <w:t>分；</w:t>
            </w:r>
          </w:p>
          <w:p>
            <w:pPr>
              <w:pStyle w:val="14"/>
              <w:ind w:firstLine="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Hans"/>
              </w:rPr>
              <w:t>4.未提供相关方案计划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Hans"/>
              </w:rPr>
              <w:t>分</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rPr>
            </w:pPr>
            <w:r>
              <w:rPr>
                <w:rFonts w:hint="eastAsia" w:ascii="宋体" w:hAnsi="宋体" w:cs="宋体"/>
                <w:color w:val="auto"/>
                <w:szCs w:val="21"/>
              </w:rPr>
              <w:t>企业文创产品及礼品定制方案</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6789" w:type="dxa"/>
            <w:tcBorders>
              <w:top w:val="single" w:color="auto" w:sz="4" w:space="0"/>
              <w:left w:val="single" w:color="auto" w:sz="4" w:space="0"/>
              <w:bottom w:val="single" w:color="auto" w:sz="4" w:space="0"/>
              <w:right w:val="single" w:color="auto" w:sz="4" w:space="0"/>
            </w:tcBorders>
          </w:tcPr>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综合比较各</w:t>
            </w:r>
            <w:r>
              <w:rPr>
                <w:rFonts w:hint="eastAsia" w:ascii="宋体" w:hAnsi="宋体" w:eastAsia="宋体" w:cs="宋体"/>
                <w:color w:val="auto"/>
                <w:sz w:val="21"/>
                <w:szCs w:val="21"/>
                <w:lang w:val="en-US" w:eastAsia="zh-CN"/>
              </w:rPr>
              <w:t>投标人提供</w:t>
            </w:r>
            <w:r>
              <w:rPr>
                <w:rFonts w:hint="eastAsia" w:ascii="宋体" w:hAnsi="宋体" w:eastAsia="宋体" w:cs="宋体"/>
                <w:color w:val="auto"/>
                <w:sz w:val="21"/>
                <w:szCs w:val="21"/>
                <w:lang w:eastAsia="zh-Hans"/>
              </w:rPr>
              <w:t>的企业文创产品及礼品定制方案：</w:t>
            </w:r>
          </w:p>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1.产品定制方案有创新有亮点，能充分体现企业文化内涵、输出企业文化价值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Hans"/>
              </w:rPr>
              <w:t>分；</w:t>
            </w:r>
          </w:p>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2.产品定制方案良好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能较好体现</w:t>
            </w:r>
            <w:r>
              <w:rPr>
                <w:rFonts w:hint="eastAsia" w:ascii="宋体" w:hAnsi="宋体" w:eastAsia="宋体" w:cs="宋体"/>
                <w:color w:val="auto"/>
                <w:sz w:val="21"/>
                <w:szCs w:val="21"/>
                <w:lang w:eastAsia="zh-Hans"/>
              </w:rPr>
              <w:t>企业文化内涵、输出企业文化价值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Hans"/>
              </w:rPr>
              <w:t>分；</w:t>
            </w:r>
          </w:p>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3.产品定制方案一般</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企业文化内涵、企业文化价值体现效果一般，</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Hans"/>
              </w:rPr>
              <w:t>分；</w:t>
            </w:r>
          </w:p>
          <w:p>
            <w:pPr>
              <w:pStyle w:val="14"/>
              <w:ind w:firstLine="0"/>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eastAsia="zh-Hans"/>
              </w:rPr>
              <w:t>4.</w:t>
            </w:r>
            <w:r>
              <w:rPr>
                <w:rFonts w:hint="eastAsia" w:ascii="宋体" w:hAnsi="宋体" w:eastAsia="宋体" w:cs="宋体"/>
                <w:color w:val="auto"/>
                <w:sz w:val="21"/>
                <w:szCs w:val="21"/>
                <w:lang w:val="en-US" w:eastAsia="zh-CN"/>
              </w:rPr>
              <w:t>未提供</w:t>
            </w:r>
            <w:r>
              <w:rPr>
                <w:rFonts w:hint="eastAsia" w:ascii="宋体" w:hAnsi="宋体" w:eastAsia="宋体" w:cs="宋体"/>
                <w:color w:val="auto"/>
                <w:sz w:val="21"/>
                <w:szCs w:val="21"/>
                <w:lang w:eastAsia="zh-Hans"/>
              </w:rPr>
              <w:t>产品定制方案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eastAsia="zh-Hans"/>
              </w:rPr>
              <w:t>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rPr>
              <w:t>项目实施</w:t>
            </w:r>
            <w:r>
              <w:rPr>
                <w:color w:val="auto"/>
              </w:rPr>
              <w:t>保障方案</w:t>
            </w: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6789" w:type="dxa"/>
            <w:tcBorders>
              <w:top w:val="single" w:color="auto" w:sz="4" w:space="0"/>
              <w:left w:val="single" w:color="auto" w:sz="4" w:space="0"/>
              <w:bottom w:val="single" w:color="auto" w:sz="4" w:space="0"/>
              <w:right w:val="single" w:color="auto" w:sz="4" w:space="0"/>
            </w:tcBorders>
          </w:tcPr>
          <w:p>
            <w:pPr>
              <w:pStyle w:val="14"/>
              <w:ind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根据</w:t>
            </w:r>
            <w:r>
              <w:rPr>
                <w:rFonts w:hint="eastAsia" w:ascii="宋体" w:hAnsi="宋体" w:eastAsia="宋体" w:cs="宋体"/>
                <w:color w:val="auto"/>
                <w:kern w:val="2"/>
                <w:sz w:val="21"/>
                <w:szCs w:val="21"/>
                <w:lang w:val="en-US" w:eastAsia="zh-CN"/>
              </w:rPr>
              <w:t>投标人</w:t>
            </w:r>
            <w:r>
              <w:rPr>
                <w:rFonts w:hint="eastAsia" w:ascii="宋体" w:hAnsi="宋体" w:eastAsia="宋体" w:cs="宋体"/>
                <w:color w:val="auto"/>
                <w:kern w:val="2"/>
                <w:sz w:val="21"/>
                <w:szCs w:val="21"/>
              </w:rPr>
              <w:t>提供的项目</w:t>
            </w:r>
            <w:r>
              <w:rPr>
                <w:rFonts w:hint="eastAsia" w:ascii="宋体" w:hAnsi="宋体" w:eastAsia="宋体" w:cs="宋体"/>
                <w:color w:val="auto"/>
                <w:kern w:val="2"/>
                <w:sz w:val="21"/>
                <w:szCs w:val="21"/>
                <w:lang w:val="en-US" w:eastAsia="zh-CN"/>
              </w:rPr>
              <w:t>实施</w:t>
            </w:r>
            <w:r>
              <w:rPr>
                <w:rFonts w:hint="eastAsia" w:ascii="宋体" w:hAnsi="宋体" w:eastAsia="宋体" w:cs="宋体"/>
                <w:color w:val="auto"/>
                <w:kern w:val="2"/>
                <w:sz w:val="21"/>
                <w:szCs w:val="21"/>
              </w:rPr>
              <w:t>保障方案进行综合评审，包括但不限于组织保障、制度保障、安全及应急保障：</w:t>
            </w:r>
          </w:p>
          <w:p>
            <w:pPr>
              <w:pStyle w:val="14"/>
              <w:ind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1.组织实施架构清晰、完整，制度保障完善、安全及应急保障科学合理安全</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得</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分；</w:t>
            </w:r>
          </w:p>
          <w:p>
            <w:pPr>
              <w:pStyle w:val="14"/>
              <w:ind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2.组织实施架构基本清晰，制度保障、安全及应急保障具有一定的可行性、保障性</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得</w:t>
            </w: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分；</w:t>
            </w:r>
          </w:p>
          <w:p>
            <w:pPr>
              <w:pStyle w:val="14"/>
              <w:ind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3.组织实施架构简单，制度保障、安全及应急保障一般</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得</w:t>
            </w: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分；</w:t>
            </w:r>
          </w:p>
          <w:p>
            <w:pPr>
              <w:pStyle w:val="14"/>
              <w:ind w:firstLine="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4.组织实施架构不清晰，制度保障、安全及应急保障内容简单，可行性较差</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得1分；</w:t>
            </w:r>
          </w:p>
          <w:p>
            <w:pPr>
              <w:pStyle w:val="14"/>
              <w:ind w:firstLine="0"/>
              <w:rPr>
                <w:rFonts w:ascii="宋体" w:hAnsi="宋体" w:eastAsia="宋体" w:cs="宋体"/>
                <w:color w:val="auto"/>
                <w:kern w:val="2"/>
                <w:sz w:val="21"/>
                <w:szCs w:val="21"/>
              </w:rPr>
            </w:pPr>
            <w:r>
              <w:rPr>
                <w:rFonts w:hint="eastAsia" w:ascii="宋体" w:hAnsi="宋体" w:eastAsia="宋体" w:cs="宋体"/>
                <w:color w:val="auto"/>
                <w:kern w:val="2"/>
                <w:sz w:val="21"/>
                <w:szCs w:val="21"/>
              </w:rPr>
              <w:t>5.未提供不得分。</w:t>
            </w:r>
          </w:p>
        </w:tc>
      </w:tr>
    </w:tbl>
    <w:p>
      <w:pPr>
        <w:pStyle w:val="5"/>
        <w:rPr>
          <w:rFonts w:asciiTheme="minorEastAsia" w:hAnsiTheme="minorEastAsia" w:eastAsiaTheme="minorEastAsia"/>
          <w:b w:val="0"/>
          <w:color w:val="auto"/>
          <w:sz w:val="24"/>
        </w:rPr>
      </w:pPr>
      <w:bookmarkStart w:id="443" w:name="_Toc19513"/>
      <w:r>
        <w:rPr>
          <w:rFonts w:asciiTheme="minorEastAsia" w:hAnsiTheme="minorEastAsia" w:eastAsiaTheme="minorEastAsia"/>
          <w:b w:val="0"/>
          <w:color w:val="auto"/>
          <w:sz w:val="24"/>
        </w:rPr>
        <w:t>3、</w:t>
      </w:r>
      <w:r>
        <w:rPr>
          <w:rFonts w:hint="eastAsia" w:asciiTheme="minorEastAsia" w:hAnsiTheme="minorEastAsia" w:eastAsiaTheme="minorEastAsia"/>
          <w:b w:val="0"/>
          <w:color w:val="auto"/>
          <w:sz w:val="24"/>
        </w:rPr>
        <w:t>商务评分表</w:t>
      </w:r>
      <w:bookmarkEnd w:id="439"/>
      <w:bookmarkEnd w:id="440"/>
      <w:bookmarkEnd w:id="441"/>
      <w:bookmarkEnd w:id="442"/>
      <w:bookmarkEnd w:id="443"/>
    </w:p>
    <w:tbl>
      <w:tblPr>
        <w:tblStyle w:val="40"/>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07"/>
        <w:gridCol w:w="704"/>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bookmarkStart w:id="444" w:name="_Toc22795"/>
            <w:bookmarkStart w:id="445" w:name="_Toc59548358"/>
            <w:bookmarkStart w:id="446" w:name="_Toc13412"/>
            <w:r>
              <w:rPr>
                <w:rFonts w:hint="eastAsia" w:ascii="宋体" w:hAnsi="宋体" w:cs="宋体"/>
                <w:b/>
                <w:bCs/>
                <w:color w:val="auto"/>
                <w:szCs w:val="21"/>
              </w:rPr>
              <w:t>评分项</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商务</w:t>
            </w:r>
          </w:p>
        </w:tc>
        <w:tc>
          <w:tcPr>
            <w:tcW w:w="3650" w:type="pct"/>
            <w:tcBorders>
              <w:bottom w:val="single" w:color="auto" w:sz="4" w:space="0"/>
            </w:tcBorders>
            <w:vAlign w:val="center"/>
          </w:tcPr>
          <w:p>
            <w:pPr>
              <w:spacing w:line="240" w:lineRule="exact"/>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序号</w:t>
            </w:r>
          </w:p>
        </w:tc>
        <w:tc>
          <w:tcPr>
            <w:tcW w:w="594"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内容</w:t>
            </w:r>
          </w:p>
        </w:tc>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分值</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ascii="宋体" w:hAnsi="宋体" w:cs="宋体"/>
                <w:color w:val="auto"/>
                <w:szCs w:val="21"/>
              </w:rPr>
            </w:pPr>
            <w:r>
              <w:rPr>
                <w:rFonts w:hint="eastAsia" w:ascii="宋体" w:hAnsi="宋体" w:cs="宋体"/>
                <w:color w:val="auto"/>
                <w:szCs w:val="21"/>
              </w:rPr>
              <w:t>1</w:t>
            </w:r>
          </w:p>
        </w:tc>
        <w:tc>
          <w:tcPr>
            <w:tcW w:w="594" w:type="pct"/>
            <w:tcBorders>
              <w:bottom w:val="single" w:color="auto" w:sz="4" w:space="0"/>
            </w:tcBorders>
            <w:vAlign w:val="center"/>
          </w:tcPr>
          <w:p>
            <w:pPr>
              <w:spacing w:line="240" w:lineRule="exact"/>
              <w:jc w:val="center"/>
              <w:rPr>
                <w:rFonts w:ascii="宋体" w:hAnsi="宋体" w:cs="宋体"/>
                <w:color w:val="auto"/>
                <w:szCs w:val="21"/>
              </w:rPr>
            </w:pPr>
            <w:r>
              <w:rPr>
                <w:rFonts w:hint="eastAsia" w:ascii="宋体" w:hAnsi="宋体" w:cs="宋体"/>
                <w:color w:val="auto"/>
                <w:szCs w:val="21"/>
              </w:rPr>
              <w:t>企业综合实力</w:t>
            </w:r>
          </w:p>
        </w:tc>
        <w:tc>
          <w:tcPr>
            <w:tcW w:w="377" w:type="pct"/>
            <w:tcBorders>
              <w:bottom w:val="single" w:color="auto" w:sz="4" w:space="0"/>
            </w:tcBorders>
            <w:vAlign w:val="center"/>
          </w:tcPr>
          <w:p>
            <w:pPr>
              <w:spacing w:line="24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3650" w:type="pct"/>
            <w:tcBorders>
              <w:bottom w:val="single" w:color="auto" w:sz="4" w:space="0"/>
            </w:tcBorders>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考察投标人的</w:t>
            </w:r>
            <w:r>
              <w:rPr>
                <w:rFonts w:hint="eastAsia" w:ascii="Times New Roman" w:hAnsi="Times New Roman" w:eastAsia="宋体" w:cs="Times New Roman"/>
                <w:color w:val="auto"/>
                <w:lang w:val="en-US" w:eastAsia="zh-CN"/>
              </w:rPr>
              <w:t>管理体系</w:t>
            </w:r>
            <w:r>
              <w:rPr>
                <w:rFonts w:hint="eastAsia" w:ascii="Times New Roman" w:hAnsi="Times New Roman" w:eastAsia="宋体" w:cs="Times New Roman"/>
                <w:color w:val="auto"/>
              </w:rPr>
              <w:t>认证情况：</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ISO</w:t>
            </w:r>
            <w:r>
              <w:rPr>
                <w:rFonts w:hint="eastAsia" w:ascii="Times New Roman" w:hAnsi="Times New Roman" w:eastAsia="宋体" w:cs="Times New Roman"/>
                <w:color w:val="auto"/>
                <w:lang w:val="en-US" w:eastAsia="zh-CN"/>
              </w:rPr>
              <w:t>9000族</w:t>
            </w:r>
            <w:r>
              <w:rPr>
                <w:rFonts w:hint="eastAsia" w:ascii="Times New Roman" w:hAnsi="Times New Roman" w:eastAsia="宋体" w:cs="Times New Roman"/>
                <w:color w:val="auto"/>
              </w:rPr>
              <w:t>质量管理体系认证</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具备得2分</w:t>
            </w:r>
            <w:r>
              <w:rPr>
                <w:rFonts w:hint="eastAsia" w:ascii="Times New Roman" w:hAnsi="Times New Roman" w:eastAsia="宋体" w:cs="Times New Roman"/>
                <w:color w:val="auto"/>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ISO</w:t>
            </w:r>
            <w:r>
              <w:rPr>
                <w:rFonts w:hint="eastAsia" w:ascii="Times New Roman" w:hAnsi="Times New Roman" w:eastAsia="宋体" w:cs="Times New Roman"/>
                <w:color w:val="auto"/>
                <w:lang w:val="en-US" w:eastAsia="zh-CN"/>
              </w:rPr>
              <w:t>14000族环境</w:t>
            </w:r>
            <w:r>
              <w:rPr>
                <w:rFonts w:hint="eastAsia" w:ascii="Times New Roman" w:hAnsi="Times New Roman" w:eastAsia="宋体" w:cs="Times New Roman"/>
                <w:color w:val="auto"/>
              </w:rPr>
              <w:t>管理体系认证</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具备得2分</w:t>
            </w:r>
            <w:r>
              <w:rPr>
                <w:rFonts w:hint="eastAsia" w:ascii="Times New Roman" w:hAnsi="Times New Roman" w:eastAsia="宋体" w:cs="Times New Roman"/>
                <w:color w:val="auto"/>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ISO</w:t>
            </w:r>
            <w:r>
              <w:rPr>
                <w:rFonts w:hint="eastAsia" w:ascii="Times New Roman" w:hAnsi="Times New Roman" w:eastAsia="宋体" w:cs="Times New Roman"/>
                <w:color w:val="auto"/>
                <w:lang w:val="en-US" w:eastAsia="zh-CN"/>
              </w:rPr>
              <w:t>45000族职业健康安全</w:t>
            </w:r>
            <w:r>
              <w:rPr>
                <w:rFonts w:hint="eastAsia" w:ascii="Times New Roman" w:hAnsi="Times New Roman" w:eastAsia="宋体" w:cs="Times New Roman"/>
                <w:color w:val="auto"/>
              </w:rPr>
              <w:t>管理体系认证</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具备得2分</w:t>
            </w:r>
            <w:r>
              <w:rPr>
                <w:rFonts w:hint="eastAsia" w:ascii="Times New Roman" w:hAnsi="Times New Roman" w:eastAsia="宋体" w:cs="Times New Roman"/>
                <w:color w:val="auto"/>
              </w:rPr>
              <w:t>；</w:t>
            </w:r>
          </w:p>
          <w:p>
            <w:pPr>
              <w:rPr>
                <w:rFonts w:hint="eastAsia" w:ascii="Times New Roman" w:hAnsi="Times New Roman" w:eastAsia="宋体" w:cs="Times New Roman"/>
                <w:color w:val="auto"/>
              </w:rPr>
            </w:pPr>
            <w:r>
              <w:rPr>
                <w:rFonts w:hint="eastAsia" w:ascii="Times New Roman" w:hAnsi="Times New Roman" w:eastAsia="宋体" w:cs="Times New Roman"/>
                <w:color w:val="auto"/>
              </w:rPr>
              <w:t>注：</w:t>
            </w:r>
            <w:r>
              <w:rPr>
                <w:rFonts w:hint="eastAsia" w:ascii="Times New Roman" w:hAnsi="Times New Roman" w:eastAsia="宋体" w:cs="Times New Roman"/>
                <w:color w:val="auto"/>
                <w:lang w:val="en-US" w:eastAsia="zh-CN"/>
              </w:rPr>
              <w:t>投标人须</w:t>
            </w:r>
            <w:r>
              <w:rPr>
                <w:rFonts w:hint="eastAsia" w:ascii="Times New Roman" w:hAnsi="Times New Roman" w:eastAsia="宋体" w:cs="Times New Roman"/>
                <w:color w:val="auto"/>
              </w:rPr>
              <w:t>提供有效期内的证书复印件</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否则不得分</w:t>
            </w:r>
            <w:r>
              <w:rPr>
                <w:rFonts w:hint="eastAsia" w:ascii="Times New Roman" w:hAnsi="Times New Roman" w:eastAsia="宋体"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ascii="宋体" w:hAnsi="宋体" w:cs="宋体"/>
                <w:color w:val="auto"/>
                <w:szCs w:val="21"/>
              </w:rPr>
            </w:pPr>
            <w:r>
              <w:rPr>
                <w:rFonts w:hint="eastAsia" w:ascii="宋体" w:hAnsi="宋体" w:cs="宋体"/>
                <w:color w:val="auto"/>
                <w:szCs w:val="21"/>
              </w:rPr>
              <w:t>2</w:t>
            </w:r>
          </w:p>
        </w:tc>
        <w:tc>
          <w:tcPr>
            <w:tcW w:w="594" w:type="pct"/>
            <w:vAlign w:val="center"/>
          </w:tcPr>
          <w:p>
            <w:pPr>
              <w:jc w:val="center"/>
              <w:rPr>
                <w:rFonts w:ascii="宋体" w:hAnsi="宋体" w:cs="宋体"/>
                <w:color w:val="auto"/>
                <w:szCs w:val="21"/>
              </w:rPr>
            </w:pPr>
            <w:r>
              <w:rPr>
                <w:rFonts w:hint="eastAsia" w:ascii="宋体" w:hAnsi="宋体" w:cs="宋体"/>
                <w:color w:val="auto"/>
                <w:szCs w:val="21"/>
              </w:rPr>
              <w:t>同类项目经验</w:t>
            </w:r>
          </w:p>
        </w:tc>
        <w:tc>
          <w:tcPr>
            <w:tcW w:w="377"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16</w:t>
            </w:r>
          </w:p>
        </w:tc>
        <w:tc>
          <w:tcPr>
            <w:tcW w:w="3650" w:type="pct"/>
            <w:vAlign w:val="center"/>
          </w:tcPr>
          <w:p>
            <w:pPr>
              <w:rPr>
                <w:color w:val="auto"/>
              </w:rPr>
            </w:pPr>
            <w:r>
              <w:rPr>
                <w:rFonts w:hint="eastAsia"/>
                <w:color w:val="auto"/>
              </w:rPr>
              <w:t>考察投标人20</w:t>
            </w:r>
            <w:r>
              <w:rPr>
                <w:rFonts w:hint="eastAsia"/>
                <w:color w:val="auto"/>
                <w:lang w:val="en-US" w:eastAsia="zh-CN"/>
              </w:rPr>
              <w:t>19</w:t>
            </w:r>
            <w:r>
              <w:rPr>
                <w:rFonts w:hint="eastAsia"/>
                <w:color w:val="auto"/>
              </w:rPr>
              <w:t>年1月1日至今（以合同签订日期为准）具备的文化</w:t>
            </w:r>
            <w:r>
              <w:rPr>
                <w:rFonts w:hint="eastAsia"/>
                <w:color w:val="auto"/>
                <w:lang w:val="en-US" w:eastAsia="zh-CN"/>
              </w:rPr>
              <w:t>类</w:t>
            </w:r>
            <w:r>
              <w:rPr>
                <w:rFonts w:hint="eastAsia"/>
                <w:color w:val="auto"/>
              </w:rPr>
              <w:t>活动</w:t>
            </w:r>
            <w:r>
              <w:rPr>
                <w:rFonts w:hint="eastAsia"/>
                <w:color w:val="auto"/>
                <w:lang w:val="en-US" w:eastAsia="zh-CN"/>
              </w:rPr>
              <w:t>策划执行</w:t>
            </w:r>
            <w:r>
              <w:rPr>
                <w:rFonts w:hint="eastAsia"/>
                <w:color w:val="auto"/>
              </w:rPr>
              <w:t>/文化</w:t>
            </w:r>
            <w:r>
              <w:rPr>
                <w:rFonts w:hint="eastAsia"/>
                <w:color w:val="auto"/>
                <w:lang w:val="en-US" w:eastAsia="zh-CN"/>
              </w:rPr>
              <w:t>类线上平台运营</w:t>
            </w:r>
            <w:r>
              <w:rPr>
                <w:rFonts w:hint="eastAsia"/>
                <w:color w:val="auto"/>
              </w:rPr>
              <w:t>服务/</w:t>
            </w:r>
            <w:r>
              <w:rPr>
                <w:rFonts w:hint="eastAsia"/>
                <w:color w:val="auto"/>
                <w:lang w:val="en-US" w:eastAsia="zh-CN"/>
              </w:rPr>
              <w:t>文化类</w:t>
            </w:r>
            <w:r>
              <w:rPr>
                <w:rFonts w:hint="eastAsia"/>
                <w:color w:val="auto"/>
              </w:rPr>
              <w:t>视频拍摄项目业绩：</w:t>
            </w:r>
          </w:p>
          <w:p>
            <w:pPr>
              <w:numPr>
                <w:ilvl w:val="0"/>
                <w:numId w:val="0"/>
              </w:numPr>
              <w:rPr>
                <w:rFonts w:ascii="宋体" w:hAnsi="宋体" w:cs="宋体"/>
                <w:color w:val="auto"/>
                <w:szCs w:val="21"/>
              </w:rPr>
            </w:pPr>
            <w:r>
              <w:rPr>
                <w:rFonts w:hint="eastAsia"/>
                <w:color w:val="auto"/>
              </w:rPr>
              <w:t>每具备一个</w:t>
            </w:r>
            <w:r>
              <w:rPr>
                <w:rFonts w:hint="eastAsia"/>
                <w:color w:val="auto"/>
                <w:lang w:val="en-US" w:eastAsia="zh-CN"/>
              </w:rPr>
              <w:t>合同金额不少于30万元的同类项目</w:t>
            </w:r>
            <w:r>
              <w:rPr>
                <w:rFonts w:hint="eastAsia"/>
                <w:color w:val="auto"/>
              </w:rPr>
              <w:t>业绩得</w:t>
            </w:r>
            <w:r>
              <w:rPr>
                <w:rFonts w:hint="eastAsia"/>
                <w:color w:val="auto"/>
                <w:lang w:val="en-US" w:eastAsia="zh-CN"/>
              </w:rPr>
              <w:t>4</w:t>
            </w:r>
            <w:r>
              <w:rPr>
                <w:rFonts w:hint="eastAsia"/>
                <w:color w:val="auto"/>
              </w:rPr>
              <w:t>分，</w:t>
            </w:r>
            <w:r>
              <w:rPr>
                <w:rFonts w:hint="eastAsia"/>
                <w:color w:val="auto"/>
                <w:lang w:eastAsia="zh-Hans"/>
              </w:rPr>
              <w:t>最高</w:t>
            </w:r>
            <w:r>
              <w:rPr>
                <w:rFonts w:hint="eastAsia"/>
                <w:color w:val="auto"/>
              </w:rPr>
              <w:t>得</w:t>
            </w:r>
            <w:r>
              <w:rPr>
                <w:rFonts w:hint="eastAsia"/>
                <w:color w:val="auto"/>
                <w:lang w:val="en-US" w:eastAsia="zh-CN"/>
              </w:rPr>
              <w:t>16</w:t>
            </w:r>
            <w:r>
              <w:rPr>
                <w:rFonts w:hint="eastAsia"/>
                <w:color w:val="auto"/>
                <w:lang w:eastAsia="zh-Hans"/>
              </w:rPr>
              <w:t>分</w:t>
            </w:r>
            <w:r>
              <w:rPr>
                <w:rFonts w:hint="eastAsia"/>
                <w:color w:val="auto"/>
              </w:rPr>
              <w:t>；</w:t>
            </w:r>
          </w:p>
          <w:p>
            <w:pPr>
              <w:rPr>
                <w:rFonts w:ascii="宋体" w:hAnsi="宋体" w:cs="宋体"/>
                <w:color w:val="auto"/>
                <w:szCs w:val="21"/>
              </w:rPr>
            </w:pPr>
            <w:r>
              <w:rPr>
                <w:rFonts w:hint="eastAsia" w:ascii="宋体" w:hAnsi="宋体" w:cs="宋体"/>
                <w:color w:val="auto"/>
                <w:szCs w:val="21"/>
              </w:rPr>
              <w:t>注：</w:t>
            </w:r>
            <w:r>
              <w:rPr>
                <w:rFonts w:hint="eastAsia" w:ascii="宋体" w:hAnsi="宋体" w:cs="宋体"/>
                <w:szCs w:val="21"/>
              </w:rPr>
              <w:t>须提供合同关键页复印件</w:t>
            </w:r>
            <w:r>
              <w:rPr>
                <w:rFonts w:hint="eastAsia" w:ascii="宋体" w:hAnsi="宋体" w:cs="宋体"/>
                <w:szCs w:val="21"/>
                <w:lang w:eastAsia="zh-CN"/>
              </w:rPr>
              <w:t>，</w:t>
            </w:r>
            <w:r>
              <w:rPr>
                <w:rFonts w:hint="eastAsia" w:ascii="宋体" w:hAnsi="宋体" w:cs="宋体"/>
                <w:szCs w:val="21"/>
              </w:rPr>
              <w:t>证明材料须体现合同签订日期、合同服务内容</w:t>
            </w:r>
            <w:r>
              <w:rPr>
                <w:rFonts w:hint="eastAsia" w:ascii="宋体" w:hAnsi="宋体" w:cs="宋体"/>
                <w:szCs w:val="21"/>
                <w:lang w:eastAsia="zh-CN"/>
              </w:rPr>
              <w:t>、</w:t>
            </w:r>
            <w:r>
              <w:rPr>
                <w:rFonts w:hint="eastAsia" w:ascii="宋体" w:hAnsi="宋体" w:cs="宋体"/>
                <w:szCs w:val="21"/>
                <w:lang w:val="en-US" w:eastAsia="zh-CN"/>
              </w:rPr>
              <w:t>合同金额</w:t>
            </w:r>
            <w:r>
              <w:rPr>
                <w:rFonts w:hint="eastAsia" w:ascii="宋体" w:hAnsi="宋体" w:cs="宋体"/>
                <w:szCs w:val="21"/>
              </w:rPr>
              <w:t>等</w:t>
            </w:r>
            <w:r>
              <w:rPr>
                <w:color w:val="auto"/>
              </w:rPr>
              <w:t>，如提供的材料</w:t>
            </w:r>
            <w:r>
              <w:rPr>
                <w:rFonts w:hint="eastAsia"/>
                <w:color w:val="auto"/>
                <w:lang w:val="en-US" w:eastAsia="zh-CN"/>
              </w:rPr>
              <w:t>内容欠缺</w:t>
            </w:r>
            <w:r>
              <w:rPr>
                <w:color w:val="auto"/>
              </w:rPr>
              <w:t>、不符合要求的不得分</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ascii="宋体" w:hAnsi="宋体" w:cs="宋体"/>
                <w:color w:val="auto"/>
                <w:szCs w:val="21"/>
              </w:rPr>
            </w:pPr>
            <w:r>
              <w:rPr>
                <w:rFonts w:hint="eastAsia" w:ascii="宋体" w:hAnsi="宋体" w:cs="宋体"/>
                <w:color w:val="auto"/>
                <w:szCs w:val="21"/>
              </w:rPr>
              <w:t>3</w:t>
            </w:r>
          </w:p>
        </w:tc>
        <w:tc>
          <w:tcPr>
            <w:tcW w:w="594" w:type="pct"/>
            <w:vAlign w:val="center"/>
          </w:tcPr>
          <w:p>
            <w:pPr>
              <w:jc w:val="center"/>
              <w:rPr>
                <w:rFonts w:ascii="宋体" w:hAnsi="宋体" w:cs="宋体"/>
                <w:color w:val="auto"/>
                <w:szCs w:val="21"/>
              </w:rPr>
            </w:pPr>
            <w:r>
              <w:rPr>
                <w:rFonts w:hint="eastAsia" w:ascii="宋体" w:hAnsi="宋体" w:cs="宋体"/>
                <w:color w:val="auto"/>
                <w:szCs w:val="21"/>
              </w:rPr>
              <w:t>服务评价</w:t>
            </w:r>
          </w:p>
        </w:tc>
        <w:tc>
          <w:tcPr>
            <w:tcW w:w="377" w:type="pct"/>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3650" w:type="pct"/>
            <w:vAlign w:val="center"/>
          </w:tcPr>
          <w:p>
            <w:pPr>
              <w:rPr>
                <w:rFonts w:ascii="宋体" w:hAnsi="宋体" w:cs="宋体"/>
                <w:color w:val="auto"/>
                <w:szCs w:val="21"/>
              </w:rPr>
            </w:pPr>
            <w:r>
              <w:rPr>
                <w:rFonts w:hint="eastAsia" w:ascii="宋体" w:hAnsi="宋体" w:cs="宋体"/>
                <w:color w:val="auto"/>
                <w:szCs w:val="21"/>
              </w:rPr>
              <w:t>考察投标人上述提供的</w:t>
            </w:r>
            <w:r>
              <w:rPr>
                <w:rFonts w:hint="eastAsia"/>
                <w:color w:val="auto"/>
              </w:rPr>
              <w:t>“</w:t>
            </w:r>
            <w:r>
              <w:rPr>
                <w:rFonts w:hint="eastAsia" w:ascii="宋体" w:hAnsi="宋体" w:cs="宋体"/>
                <w:color w:val="auto"/>
                <w:szCs w:val="21"/>
              </w:rPr>
              <w:t>同类项目经验</w:t>
            </w:r>
            <w:r>
              <w:rPr>
                <w:rFonts w:hint="eastAsia"/>
                <w:color w:val="auto"/>
              </w:rPr>
              <w:t>”</w:t>
            </w:r>
            <w:r>
              <w:rPr>
                <w:rFonts w:hint="eastAsia" w:ascii="宋体" w:hAnsi="宋体" w:cs="宋体"/>
                <w:color w:val="auto"/>
                <w:szCs w:val="21"/>
              </w:rPr>
              <w:t>中有获得甲方对其服务质量评价，且评价内容须包括满意或优等类似的正面满意度评价：</w:t>
            </w:r>
          </w:p>
          <w:p>
            <w:pPr>
              <w:rPr>
                <w:rFonts w:ascii="宋体" w:hAnsi="宋体" w:cs="宋体"/>
                <w:color w:val="auto"/>
                <w:szCs w:val="21"/>
              </w:rPr>
            </w:pPr>
            <w:r>
              <w:rPr>
                <w:rFonts w:hint="eastAsia" w:ascii="宋体" w:hAnsi="宋体" w:cs="宋体"/>
                <w:color w:val="auto"/>
                <w:szCs w:val="21"/>
              </w:rPr>
              <w:t>每提供1份</w:t>
            </w:r>
            <w:bookmarkStart w:id="788" w:name="_GoBack"/>
            <w:bookmarkEnd w:id="788"/>
            <w:r>
              <w:rPr>
                <w:rFonts w:hint="eastAsia" w:ascii="宋体" w:hAnsi="宋体" w:cs="宋体"/>
                <w:color w:val="auto"/>
                <w:szCs w:val="21"/>
              </w:rPr>
              <w:t>得</w:t>
            </w:r>
            <w:r>
              <w:rPr>
                <w:rFonts w:hint="eastAsia" w:ascii="宋体" w:hAnsi="宋体" w:cs="宋体"/>
                <w:color w:val="auto"/>
                <w:szCs w:val="21"/>
                <w:lang w:val="en-US" w:eastAsia="zh-CN"/>
              </w:rPr>
              <w:t>1</w:t>
            </w:r>
            <w:r>
              <w:rPr>
                <w:rFonts w:hint="eastAsia" w:ascii="宋体" w:hAnsi="宋体" w:cs="宋体"/>
                <w:color w:val="auto"/>
                <w:szCs w:val="21"/>
              </w:rPr>
              <w:t>分，最高得</w:t>
            </w:r>
            <w:r>
              <w:rPr>
                <w:rFonts w:hint="eastAsia" w:ascii="宋体" w:hAnsi="宋体" w:cs="宋体"/>
                <w:color w:val="auto"/>
                <w:szCs w:val="21"/>
                <w:lang w:val="en-US" w:eastAsia="zh-CN"/>
              </w:rPr>
              <w:t>4</w:t>
            </w:r>
            <w:r>
              <w:rPr>
                <w:rFonts w:hint="eastAsia" w:ascii="宋体" w:hAnsi="宋体" w:cs="宋体"/>
                <w:color w:val="auto"/>
                <w:szCs w:val="21"/>
              </w:rPr>
              <w:t>分。（同一客户多份评价材料仅计一分）</w:t>
            </w:r>
          </w:p>
          <w:p>
            <w:pPr>
              <w:rPr>
                <w:rFonts w:ascii="宋体" w:hAnsi="宋体" w:cs="宋体"/>
                <w:color w:val="auto"/>
                <w:szCs w:val="21"/>
              </w:rPr>
            </w:pPr>
            <w:r>
              <w:rPr>
                <w:rFonts w:hint="eastAsia" w:ascii="宋体" w:hAnsi="宋体" w:cs="宋体"/>
                <w:color w:val="auto"/>
                <w:szCs w:val="21"/>
              </w:rPr>
              <w:t>注：</w:t>
            </w:r>
            <w:r>
              <w:rPr>
                <w:rFonts w:hint="eastAsia" w:ascii="宋体" w:hAnsi="宋体" w:cs="宋体"/>
                <w:color w:val="auto"/>
              </w:rPr>
              <w:t>①</w:t>
            </w:r>
            <w:r>
              <w:rPr>
                <w:color w:val="auto"/>
              </w:rPr>
              <w:t>提供证明材料复印件，</w:t>
            </w:r>
            <w:r>
              <w:rPr>
                <w:rFonts w:hint="eastAsia" w:ascii="宋体" w:hAnsi="宋体" w:cs="宋体"/>
                <w:color w:val="auto"/>
                <w:szCs w:val="21"/>
              </w:rPr>
              <w:t>相关证明文件（证明文件须加盖合同甲方公司章或合同章，或甲方项目使用部门章），并</w:t>
            </w:r>
            <w:r>
              <w:rPr>
                <w:color w:val="auto"/>
              </w:rPr>
              <w:t>加盖投标人单位公章</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77" w:type="pct"/>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594" w:type="pct"/>
            <w:vAlign w:val="center"/>
          </w:tcPr>
          <w:p>
            <w:pPr>
              <w:jc w:val="center"/>
              <w:rPr>
                <w:rFonts w:ascii="宋体" w:hAnsi="宋体" w:cs="宋体"/>
                <w:color w:val="auto"/>
                <w:szCs w:val="21"/>
              </w:rPr>
            </w:pPr>
            <w:r>
              <w:rPr>
                <w:rFonts w:hint="eastAsia" w:ascii="宋体" w:hAnsi="宋体" w:cs="宋体"/>
                <w:color w:val="auto"/>
                <w:szCs w:val="21"/>
              </w:rPr>
              <w:t>拟投入本项目的团队人员配置情况</w:t>
            </w:r>
          </w:p>
        </w:tc>
        <w:tc>
          <w:tcPr>
            <w:tcW w:w="377" w:type="pct"/>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3650" w:type="pct"/>
          </w:tcPr>
          <w:p>
            <w:pPr>
              <w:rPr>
                <w:rFonts w:hint="eastAsia" w:ascii="宋体" w:hAnsi="宋体" w:cs="宋体"/>
                <w:color w:val="auto"/>
                <w:szCs w:val="21"/>
              </w:rPr>
            </w:pPr>
            <w:r>
              <w:rPr>
                <w:rFonts w:hint="eastAsia" w:ascii="宋体" w:hAnsi="宋体" w:cs="宋体"/>
                <w:color w:val="auto"/>
                <w:szCs w:val="21"/>
              </w:rPr>
              <w:t>项目实施团队专职服务团队人员在</w:t>
            </w:r>
            <w:r>
              <w:rPr>
                <w:rFonts w:hint="eastAsia" w:ascii="宋体" w:hAnsi="宋体" w:cs="宋体"/>
                <w:color w:val="auto"/>
                <w:szCs w:val="21"/>
                <w:lang w:val="en-US" w:eastAsia="zh-CN"/>
              </w:rPr>
              <w:t>满足8</w:t>
            </w:r>
            <w:r>
              <w:rPr>
                <w:rFonts w:hint="eastAsia" w:ascii="宋体" w:hAnsi="宋体" w:cs="宋体"/>
                <w:color w:val="auto"/>
                <w:szCs w:val="21"/>
              </w:rPr>
              <w:t>人的基础上每增加1人得1分，最高得</w:t>
            </w:r>
            <w:r>
              <w:rPr>
                <w:rFonts w:hint="eastAsia" w:ascii="宋体" w:hAnsi="宋体" w:cs="宋体"/>
                <w:color w:val="auto"/>
                <w:szCs w:val="21"/>
                <w:lang w:val="en-US" w:eastAsia="zh-CN"/>
              </w:rPr>
              <w:t>4</w:t>
            </w:r>
            <w:r>
              <w:rPr>
                <w:rFonts w:hint="eastAsia" w:ascii="宋体" w:hAnsi="宋体" w:cs="宋体"/>
                <w:color w:val="auto"/>
                <w:szCs w:val="21"/>
              </w:rPr>
              <w:t>分。</w:t>
            </w:r>
          </w:p>
          <w:p>
            <w:pPr>
              <w:rPr>
                <w:rFonts w:ascii="宋体" w:hAnsi="宋体" w:cs="宋体"/>
                <w:color w:val="auto"/>
                <w:szCs w:val="21"/>
              </w:rPr>
            </w:pPr>
            <w:r>
              <w:rPr>
                <w:rFonts w:hint="eastAsia" w:ascii="宋体" w:hAnsi="宋体" w:cs="宋体"/>
                <w:color w:val="auto"/>
                <w:szCs w:val="21"/>
              </w:rPr>
              <w:t>注：必须提供项目团队成员在2022年</w:t>
            </w:r>
            <w:r>
              <w:rPr>
                <w:rFonts w:hint="eastAsia" w:ascii="宋体" w:hAnsi="宋体" w:cs="宋体"/>
                <w:color w:val="auto"/>
                <w:szCs w:val="21"/>
                <w:lang w:val="en-US" w:eastAsia="zh-CN"/>
              </w:rPr>
              <w:t>7</w:t>
            </w:r>
            <w:r>
              <w:rPr>
                <w:rFonts w:hint="eastAsia" w:ascii="宋体" w:hAnsi="宋体" w:cs="宋体"/>
                <w:color w:val="auto"/>
                <w:szCs w:val="21"/>
              </w:rPr>
              <w:t>月至今任意一个月由社保管理部门出具的由投标人本单位缴纳社保的证明材料复印件</w:t>
            </w:r>
            <w:r>
              <w:rPr>
                <w:rFonts w:hint="eastAsia" w:ascii="宋体" w:hAnsi="宋体" w:cs="宋体"/>
                <w:color w:val="auto"/>
                <w:szCs w:val="21"/>
                <w:lang w:eastAsia="zh-CN"/>
              </w:rPr>
              <w:t>，</w:t>
            </w:r>
            <w:r>
              <w:rPr>
                <w:rFonts w:hint="eastAsia" w:ascii="宋体" w:hAnsi="宋体" w:cs="宋体"/>
                <w:color w:val="auto"/>
                <w:szCs w:val="21"/>
                <w:lang w:val="en-US" w:eastAsia="zh-CN"/>
              </w:rPr>
              <w:t>社保证明材料未提供的人员不予评审</w:t>
            </w:r>
            <w:r>
              <w:rPr>
                <w:rFonts w:hint="eastAsia" w:ascii="宋体" w:hAnsi="宋体" w:cs="宋体"/>
                <w:color w:val="auto"/>
                <w:szCs w:val="21"/>
              </w:rPr>
              <w:t>。</w:t>
            </w:r>
          </w:p>
        </w:tc>
      </w:tr>
    </w:tbl>
    <w:p>
      <w:pPr>
        <w:pStyle w:val="5"/>
        <w:rPr>
          <w:rFonts w:asciiTheme="minorEastAsia" w:hAnsiTheme="minorEastAsia" w:eastAsiaTheme="minorEastAsia"/>
          <w:b w:val="0"/>
          <w:color w:val="auto"/>
          <w:sz w:val="24"/>
        </w:rPr>
      </w:pPr>
      <w:bookmarkStart w:id="447" w:name="_Toc29626"/>
      <w:r>
        <w:rPr>
          <w:rFonts w:asciiTheme="minorEastAsia" w:hAnsiTheme="minorEastAsia" w:eastAsiaTheme="minorEastAsia"/>
          <w:b w:val="0"/>
          <w:color w:val="auto"/>
          <w:sz w:val="24"/>
        </w:rPr>
        <w:t>4、价格评分表</w:t>
      </w:r>
      <w:bookmarkEnd w:id="444"/>
      <w:bookmarkEnd w:id="445"/>
      <w:bookmarkEnd w:id="446"/>
      <w:bookmarkEnd w:id="447"/>
    </w:p>
    <w:tbl>
      <w:tblPr>
        <w:tblStyle w:val="40"/>
        <w:tblW w:w="940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10" w:type="dxa"/>
            <w:vAlign w:val="center"/>
          </w:tcPr>
          <w:p>
            <w:pPr>
              <w:snapToGrid w:val="0"/>
              <w:jc w:val="center"/>
              <w:rPr>
                <w:rFonts w:ascii="宋体" w:hAnsi="宋体" w:cs="宋体"/>
                <w:color w:val="auto"/>
                <w:kern w:val="0"/>
                <w:sz w:val="22"/>
                <w:szCs w:val="22"/>
              </w:rPr>
            </w:pPr>
            <w:r>
              <w:rPr>
                <w:rFonts w:ascii="宋体" w:hAnsi="宋体" w:cs="宋体"/>
                <w:color w:val="auto"/>
                <w:kern w:val="0"/>
                <w:sz w:val="22"/>
                <w:szCs w:val="22"/>
              </w:rPr>
              <w:t>1</w:t>
            </w:r>
          </w:p>
        </w:tc>
        <w:tc>
          <w:tcPr>
            <w:tcW w:w="1701" w:type="dxa"/>
            <w:vAlign w:val="center"/>
          </w:tcPr>
          <w:p>
            <w:pPr>
              <w:snapToGrid w:val="0"/>
              <w:jc w:val="center"/>
              <w:rPr>
                <w:rFonts w:ascii="宋体" w:hAnsi="宋体" w:cs="宋体"/>
                <w:color w:val="auto"/>
                <w:kern w:val="0"/>
                <w:sz w:val="22"/>
                <w:szCs w:val="22"/>
              </w:rPr>
            </w:pPr>
            <w:r>
              <w:rPr>
                <w:rFonts w:hint="eastAsia" w:ascii="宋体" w:hAnsi="宋体" w:cs="宋体"/>
                <w:color w:val="auto"/>
                <w:kern w:val="0"/>
                <w:sz w:val="22"/>
                <w:szCs w:val="22"/>
              </w:rPr>
              <w:t>价格分</w:t>
            </w:r>
            <w:r>
              <w:rPr>
                <w:rFonts w:hint="eastAsia" w:ascii="宋体" w:hAnsi="宋体" w:cs="宋体"/>
                <w:b/>
                <w:color w:val="auto"/>
                <w:kern w:val="0"/>
                <w:sz w:val="22"/>
                <w:szCs w:val="22"/>
              </w:rPr>
              <w:t>（</w:t>
            </w:r>
            <w:r>
              <w:rPr>
                <w:rFonts w:ascii="宋体" w:hAnsi="宋体" w:cs="宋体"/>
                <w:b/>
                <w:color w:val="auto"/>
                <w:kern w:val="0"/>
                <w:sz w:val="22"/>
                <w:szCs w:val="22"/>
              </w:rPr>
              <w:t>10分）</w:t>
            </w:r>
          </w:p>
        </w:tc>
        <w:tc>
          <w:tcPr>
            <w:tcW w:w="6989" w:type="dxa"/>
            <w:vAlign w:val="center"/>
          </w:tcPr>
          <w:p>
            <w:pPr>
              <w:widowControl/>
              <w:jc w:val="left"/>
              <w:rPr>
                <w:rFonts w:ascii="宋体" w:hAnsi="宋体"/>
                <w:color w:val="auto"/>
                <w:kern w:val="0"/>
                <w:sz w:val="22"/>
                <w:szCs w:val="22"/>
              </w:rPr>
            </w:pPr>
            <w:r>
              <w:rPr>
                <w:rFonts w:hint="eastAsia" w:ascii="宋体" w:hAnsi="宋体"/>
                <w:color w:val="auto"/>
                <w:kern w:val="0"/>
                <w:szCs w:val="21"/>
              </w:rPr>
              <w:t>价格分统一采用低价优先法计算，即满足招标文件要求且最后报价最低的投标人的价格为基准价，其价格分为满分。其他投标人的价格分统一按照下列公式计算：</w:t>
            </w:r>
            <w:r>
              <w:rPr>
                <w:rFonts w:ascii="宋体" w:hAnsi="宋体"/>
                <w:color w:val="auto"/>
                <w:kern w:val="0"/>
                <w:szCs w:val="21"/>
              </w:rPr>
              <w:t xml:space="preserve"> </w:t>
            </w:r>
            <w:r>
              <w:rPr>
                <w:rFonts w:hint="eastAsia" w:ascii="宋体" w:hAnsi="宋体"/>
                <w:color w:val="auto"/>
                <w:kern w:val="0"/>
                <w:szCs w:val="21"/>
              </w:rPr>
              <w:t>报价得分</w:t>
            </w:r>
            <w:r>
              <w:rPr>
                <w:rFonts w:ascii="宋体" w:hAnsi="宋体"/>
                <w:color w:val="auto"/>
                <w:kern w:val="0"/>
                <w:szCs w:val="21"/>
              </w:rPr>
              <w:t>=（基准价/评标价）×10</w:t>
            </w:r>
          </w:p>
        </w:tc>
      </w:tr>
    </w:tbl>
    <w:p>
      <w:pPr>
        <w:widowControl/>
        <w:jc w:val="left"/>
        <w:rPr>
          <w:rFonts w:ascii="宋体" w:hAnsi="宋体" w:cs="宋体"/>
          <w:color w:val="auto"/>
          <w:szCs w:val="21"/>
        </w:rPr>
      </w:pPr>
    </w:p>
    <w:p>
      <w:pPr>
        <w:widowControl/>
        <w:jc w:val="left"/>
        <w:rPr>
          <w:rFonts w:ascii="宋体" w:hAnsi="宋体" w:cs="宋体"/>
          <w:color w:val="auto"/>
          <w:szCs w:val="21"/>
        </w:rPr>
      </w:pPr>
      <w:r>
        <w:rPr>
          <w:rFonts w:hint="eastAsia" w:ascii="宋体" w:hAnsi="宋体" w:cs="宋体"/>
          <w:color w:val="auto"/>
          <w:szCs w:val="21"/>
        </w:rPr>
        <w:t>备注：</w:t>
      </w:r>
    </w:p>
    <w:p>
      <w:pPr>
        <w:widowControl/>
        <w:jc w:val="left"/>
        <w:rPr>
          <w:rFonts w:ascii="宋体" w:hAnsi="宋体"/>
          <w:color w:val="auto"/>
          <w:szCs w:val="21"/>
        </w:rPr>
      </w:pPr>
      <w:r>
        <w:rPr>
          <w:rFonts w:hint="eastAsia" w:ascii="宋体" w:hAnsi="宋体"/>
          <w:color w:val="auto"/>
          <w:szCs w:val="21"/>
        </w:rPr>
        <w:t>综合评分相等时以投标报价低的优先；投标报价也相等的，按技术得分由高到低顺序排列决定，若技术得分也相同，按商务得分由高到低顺序排列决定，若技术、商务得分也相同时，由评审委员会投票决定推选中标候选人。</w:t>
      </w:r>
    </w:p>
    <w:p>
      <w:pPr>
        <w:widowControl/>
        <w:jc w:val="left"/>
        <w:rPr>
          <w:rFonts w:ascii="宋体" w:hAnsi="宋体"/>
          <w:color w:val="auto"/>
          <w:sz w:val="24"/>
        </w:rPr>
      </w:pPr>
    </w:p>
    <w:p>
      <w:pPr>
        <w:rPr>
          <w:color w:val="auto"/>
        </w:rPr>
      </w:pPr>
    </w:p>
    <w:p>
      <w:pPr>
        <w:numPr>
          <w:ilvl w:val="0"/>
          <w:numId w:val="9"/>
        </w:numPr>
        <w:rPr>
          <w:b/>
          <w:bCs/>
          <w:color w:val="auto"/>
          <w:sz w:val="24"/>
          <w:szCs w:val="32"/>
        </w:rPr>
      </w:pPr>
      <w:bookmarkStart w:id="448" w:name="_Toc450489345"/>
      <w:r>
        <w:rPr>
          <w:rFonts w:hint="eastAsia"/>
          <w:b/>
          <w:bCs/>
          <w:color w:val="auto"/>
          <w:sz w:val="24"/>
          <w:szCs w:val="32"/>
        </w:rPr>
        <w:t>评审方法</w:t>
      </w:r>
      <w:bookmarkEnd w:id="448"/>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本招标项目评审采用综合评估法。评标委员会对满足招标文件实质要求的</w:t>
      </w:r>
      <w:r>
        <w:rPr>
          <w:rFonts w:hint="eastAsia" w:ascii="宋体" w:hAnsi="宋体" w:cs="宋体"/>
          <w:color w:val="auto"/>
          <w:kern w:val="0"/>
          <w:szCs w:val="21"/>
        </w:rPr>
        <w:t>投标</w:t>
      </w:r>
      <w:r>
        <w:rPr>
          <w:rFonts w:hint="eastAsia" w:ascii="宋体" w:hAnsi="宋体" w:cs="宋体"/>
          <w:color w:val="auto"/>
          <w:szCs w:val="21"/>
        </w:rPr>
        <w:t>文件，根据本章第</w:t>
      </w:r>
      <w:r>
        <w:rPr>
          <w:rFonts w:ascii="宋体" w:hAnsi="宋体" w:cs="宋体"/>
          <w:color w:val="auto"/>
          <w:szCs w:val="21"/>
        </w:rPr>
        <w:t>2.2款规定的评分因素和评分标准进行评分，按照综合评分由高到低的顺序推荐中标候选人，但</w:t>
      </w:r>
      <w:r>
        <w:rPr>
          <w:rFonts w:hint="eastAsia" w:ascii="宋体" w:hAnsi="宋体" w:cs="宋体"/>
          <w:color w:val="auto"/>
          <w:kern w:val="0"/>
          <w:szCs w:val="21"/>
        </w:rPr>
        <w:t>投标</w:t>
      </w:r>
      <w:r>
        <w:rPr>
          <w:rFonts w:hint="eastAsia" w:ascii="宋体" w:hAnsi="宋体" w:cs="宋体"/>
          <w:color w:val="auto"/>
          <w:szCs w:val="21"/>
        </w:rPr>
        <w:t>报价低于其成本的除外。</w:t>
      </w:r>
    </w:p>
    <w:p>
      <w:pPr>
        <w:numPr>
          <w:ilvl w:val="0"/>
          <w:numId w:val="9"/>
        </w:numPr>
        <w:rPr>
          <w:b/>
          <w:bCs/>
          <w:color w:val="auto"/>
          <w:sz w:val="24"/>
          <w:szCs w:val="32"/>
        </w:rPr>
      </w:pPr>
      <w:bookmarkStart w:id="449" w:name="_Toc450489346"/>
      <w:r>
        <w:rPr>
          <w:rFonts w:hint="eastAsia"/>
          <w:b/>
          <w:bCs/>
          <w:color w:val="auto"/>
          <w:sz w:val="24"/>
          <w:szCs w:val="32"/>
        </w:rPr>
        <w:t>评审标准</w:t>
      </w:r>
      <w:bookmarkEnd w:id="449"/>
    </w:p>
    <w:p>
      <w:pPr>
        <w:rPr>
          <w:b/>
          <w:bCs/>
          <w:color w:val="auto"/>
          <w:sz w:val="24"/>
          <w:szCs w:val="32"/>
        </w:rPr>
      </w:pPr>
      <w:bookmarkStart w:id="450" w:name="_Toc450489347"/>
      <w:r>
        <w:rPr>
          <w:b/>
          <w:bCs/>
          <w:color w:val="auto"/>
          <w:sz w:val="24"/>
          <w:szCs w:val="32"/>
        </w:rPr>
        <w:t>2.1</w:t>
      </w:r>
      <w:r>
        <w:rPr>
          <w:rFonts w:hint="eastAsia"/>
          <w:b/>
          <w:bCs/>
          <w:color w:val="auto"/>
          <w:sz w:val="24"/>
          <w:szCs w:val="32"/>
        </w:rPr>
        <w:t>初步评审标准</w:t>
      </w:r>
      <w:bookmarkEnd w:id="45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初步评审标准：见评审办法前附表。</w:t>
      </w:r>
    </w:p>
    <w:p>
      <w:pPr>
        <w:rPr>
          <w:b/>
          <w:bCs/>
          <w:color w:val="auto"/>
          <w:sz w:val="24"/>
          <w:szCs w:val="32"/>
        </w:rPr>
      </w:pPr>
      <w:bookmarkStart w:id="451" w:name="_Toc450489348"/>
      <w:r>
        <w:rPr>
          <w:b/>
          <w:bCs/>
          <w:color w:val="auto"/>
          <w:sz w:val="24"/>
          <w:szCs w:val="32"/>
        </w:rPr>
        <w:t>2.2</w:t>
      </w:r>
      <w:r>
        <w:rPr>
          <w:rFonts w:hint="eastAsia"/>
          <w:b/>
          <w:bCs/>
          <w:color w:val="auto"/>
          <w:sz w:val="24"/>
          <w:szCs w:val="32"/>
        </w:rPr>
        <w:t>详细评审标准</w:t>
      </w:r>
      <w:bookmarkEnd w:id="451"/>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详细评审标准：见评审办法前附表。</w:t>
      </w:r>
    </w:p>
    <w:p>
      <w:pPr>
        <w:numPr>
          <w:ilvl w:val="0"/>
          <w:numId w:val="9"/>
        </w:numPr>
        <w:rPr>
          <w:b/>
          <w:bCs/>
          <w:color w:val="auto"/>
          <w:sz w:val="24"/>
          <w:szCs w:val="32"/>
        </w:rPr>
      </w:pPr>
      <w:bookmarkStart w:id="452" w:name="_Toc450489349"/>
      <w:r>
        <w:rPr>
          <w:rFonts w:hint="eastAsia"/>
          <w:b/>
          <w:bCs/>
          <w:color w:val="auto"/>
          <w:sz w:val="24"/>
          <w:szCs w:val="32"/>
        </w:rPr>
        <w:t>评审程序</w:t>
      </w:r>
      <w:bookmarkEnd w:id="452"/>
    </w:p>
    <w:p>
      <w:pPr>
        <w:rPr>
          <w:b/>
          <w:bCs/>
          <w:color w:val="auto"/>
          <w:sz w:val="24"/>
          <w:szCs w:val="32"/>
        </w:rPr>
      </w:pPr>
      <w:bookmarkStart w:id="453" w:name="_Toc450489350"/>
      <w:r>
        <w:rPr>
          <w:b/>
          <w:bCs/>
          <w:color w:val="auto"/>
          <w:sz w:val="24"/>
          <w:szCs w:val="32"/>
        </w:rPr>
        <w:t>3.1</w:t>
      </w:r>
      <w:r>
        <w:rPr>
          <w:rFonts w:hint="eastAsia"/>
          <w:b/>
          <w:bCs/>
          <w:color w:val="auto"/>
          <w:sz w:val="24"/>
          <w:szCs w:val="32"/>
        </w:rPr>
        <w:t>初步评审</w:t>
      </w:r>
      <w:bookmarkEnd w:id="453"/>
    </w:p>
    <w:p>
      <w:pPr>
        <w:pStyle w:val="22"/>
        <w:tabs>
          <w:tab w:val="left" w:pos="630"/>
        </w:tabs>
        <w:snapToGrid w:val="0"/>
        <w:spacing w:line="440" w:lineRule="exact"/>
        <w:ind w:firstLine="424" w:firstLineChars="202"/>
        <w:rPr>
          <w:rFonts w:hAnsi="宋体"/>
          <w:color w:val="auto"/>
        </w:rPr>
      </w:pPr>
      <w:r>
        <w:rPr>
          <w:rFonts w:hAnsi="宋体"/>
          <w:color w:val="auto"/>
        </w:rPr>
        <w:t>3.1.1评标委员会根据本章第2.1款规定的标准对</w:t>
      </w:r>
      <w:r>
        <w:rPr>
          <w:rFonts w:hint="eastAsia" w:hAnsi="宋体" w:cs="宋体"/>
          <w:color w:val="auto"/>
          <w:kern w:val="0"/>
          <w:szCs w:val="21"/>
        </w:rPr>
        <w:t>投标</w:t>
      </w:r>
      <w:r>
        <w:rPr>
          <w:rFonts w:hint="eastAsia" w:hAnsi="宋体"/>
          <w:color w:val="auto"/>
        </w:rPr>
        <w:t>文件进行初步评审。有一项不符合评审标准的，评标委员会应当否决其</w:t>
      </w:r>
      <w:r>
        <w:rPr>
          <w:rFonts w:hint="eastAsia" w:hAnsi="宋体" w:cs="宋体"/>
          <w:color w:val="auto"/>
          <w:kern w:val="0"/>
          <w:szCs w:val="21"/>
        </w:rPr>
        <w:t>投标</w:t>
      </w:r>
      <w:r>
        <w:rPr>
          <w:rFonts w:hint="eastAsia" w:hAnsi="宋体"/>
          <w:color w:val="auto"/>
        </w:rPr>
        <w:t>。</w:t>
      </w:r>
    </w:p>
    <w:p>
      <w:pPr>
        <w:pStyle w:val="22"/>
        <w:tabs>
          <w:tab w:val="left" w:pos="630"/>
        </w:tabs>
        <w:snapToGrid w:val="0"/>
        <w:spacing w:line="440" w:lineRule="exact"/>
        <w:ind w:firstLine="424" w:firstLineChars="202"/>
        <w:rPr>
          <w:rFonts w:hAnsi="宋体"/>
          <w:color w:val="auto"/>
        </w:rPr>
      </w:pPr>
      <w:r>
        <w:rPr>
          <w:rFonts w:hAnsi="宋体"/>
          <w:color w:val="auto"/>
        </w:rPr>
        <w:t>3.1.2投标人有以下情形之一的，评标委员会应当否决其</w:t>
      </w:r>
      <w:r>
        <w:rPr>
          <w:rFonts w:hint="eastAsia" w:hAnsi="宋体" w:cs="宋体"/>
          <w:color w:val="auto"/>
          <w:kern w:val="0"/>
          <w:szCs w:val="21"/>
        </w:rPr>
        <w:t>投标</w:t>
      </w:r>
      <w:r>
        <w:rPr>
          <w:rFonts w:hint="eastAsia" w:hAnsi="宋体"/>
          <w:color w:val="auto"/>
        </w:rPr>
        <w:t>：</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1）第二章“投标人须知”第1.8款规定的任何一种情形的；</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2）不按照评标委员会要求澄清、说明或者补正的；</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kern w:val="0"/>
          <w:szCs w:val="21"/>
        </w:rPr>
        <w:t>投标</w:t>
      </w:r>
      <w:r>
        <w:rPr>
          <w:rFonts w:hint="eastAsia" w:ascii="宋体" w:hAnsi="宋体" w:cs="宋体"/>
          <w:color w:val="auto"/>
          <w:szCs w:val="21"/>
        </w:rPr>
        <w:t>文件未经投标单位盖章和单位负责人签字；</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4）允许联合体投标的，投标联合体没有递交联合体协议；</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5）投标人不符合国家或者招标文件规定的资格条件；</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6）同一投标人递交两个以上不同的</w:t>
      </w:r>
      <w:r>
        <w:rPr>
          <w:rFonts w:hint="eastAsia" w:ascii="宋体" w:hAnsi="宋体" w:cs="宋体"/>
          <w:color w:val="auto"/>
          <w:kern w:val="0"/>
          <w:szCs w:val="21"/>
        </w:rPr>
        <w:t>投标</w:t>
      </w:r>
      <w:r>
        <w:rPr>
          <w:rFonts w:hint="eastAsia" w:ascii="宋体" w:hAnsi="宋体" w:cs="宋体"/>
          <w:color w:val="auto"/>
          <w:szCs w:val="21"/>
        </w:rPr>
        <w:t>文件或者</w:t>
      </w:r>
      <w:r>
        <w:rPr>
          <w:rFonts w:hint="eastAsia" w:ascii="宋体" w:hAnsi="宋体" w:cs="宋体"/>
          <w:color w:val="auto"/>
          <w:kern w:val="0"/>
          <w:szCs w:val="21"/>
        </w:rPr>
        <w:t>投标</w:t>
      </w:r>
      <w:r>
        <w:rPr>
          <w:rFonts w:hint="eastAsia" w:ascii="宋体" w:hAnsi="宋体" w:cs="宋体"/>
          <w:color w:val="auto"/>
          <w:szCs w:val="21"/>
        </w:rPr>
        <w:t>报价，但招标文件要求递交备选</w:t>
      </w:r>
      <w:r>
        <w:rPr>
          <w:rFonts w:hint="eastAsia" w:ascii="宋体" w:hAnsi="宋体" w:cs="宋体"/>
          <w:color w:val="auto"/>
          <w:kern w:val="0"/>
          <w:szCs w:val="21"/>
        </w:rPr>
        <w:t>投标</w:t>
      </w:r>
      <w:r>
        <w:rPr>
          <w:rFonts w:hint="eastAsia" w:ascii="宋体" w:hAnsi="宋体" w:cs="宋体"/>
          <w:color w:val="auto"/>
          <w:szCs w:val="21"/>
        </w:rPr>
        <w:t>的除外；</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kern w:val="0"/>
          <w:szCs w:val="21"/>
        </w:rPr>
        <w:t>投标</w:t>
      </w:r>
      <w:r>
        <w:rPr>
          <w:rFonts w:hint="eastAsia" w:ascii="宋体" w:hAnsi="宋体" w:cs="宋体"/>
          <w:color w:val="auto"/>
          <w:szCs w:val="21"/>
        </w:rPr>
        <w:t>报价低于成本或者高于招标文件设定的最高投标限价；</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kern w:val="0"/>
          <w:szCs w:val="21"/>
        </w:rPr>
        <w:t>投标</w:t>
      </w:r>
      <w:r>
        <w:rPr>
          <w:rFonts w:hint="eastAsia" w:ascii="宋体" w:hAnsi="宋体" w:cs="宋体"/>
          <w:color w:val="auto"/>
          <w:szCs w:val="21"/>
        </w:rPr>
        <w:t>文件没有对招标文件的实质性要求和条件做出响应；</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9）投标人有串通</w:t>
      </w:r>
      <w:r>
        <w:rPr>
          <w:rFonts w:hint="eastAsia" w:ascii="宋体" w:hAnsi="宋体" w:cs="宋体"/>
          <w:color w:val="auto"/>
          <w:kern w:val="0"/>
          <w:szCs w:val="21"/>
        </w:rPr>
        <w:t>投标</w:t>
      </w:r>
      <w:r>
        <w:rPr>
          <w:rFonts w:hint="eastAsia" w:ascii="宋体" w:hAnsi="宋体" w:cs="宋体"/>
          <w:color w:val="auto"/>
          <w:szCs w:val="21"/>
        </w:rPr>
        <w:t>、弄虚作假、行贿等违法行为；</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10）投标人以他人名义投标；</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11）没有按照招标文件要求提供</w:t>
      </w:r>
      <w:r>
        <w:rPr>
          <w:rFonts w:hint="eastAsia" w:ascii="宋体" w:hAnsi="宋体" w:cs="宋体"/>
          <w:color w:val="auto"/>
          <w:kern w:val="0"/>
          <w:szCs w:val="21"/>
        </w:rPr>
        <w:t>投标</w:t>
      </w:r>
      <w:r>
        <w:rPr>
          <w:rFonts w:hint="eastAsia" w:ascii="宋体" w:hAnsi="宋体" w:cs="宋体"/>
          <w:color w:val="auto"/>
          <w:szCs w:val="21"/>
        </w:rPr>
        <w:t>担保或者所提供的</w:t>
      </w:r>
      <w:r>
        <w:rPr>
          <w:rFonts w:hint="eastAsia" w:ascii="宋体" w:hAnsi="宋体" w:cs="宋体"/>
          <w:color w:val="auto"/>
          <w:kern w:val="0"/>
          <w:szCs w:val="21"/>
        </w:rPr>
        <w:t>投标</w:t>
      </w:r>
      <w:r>
        <w:rPr>
          <w:rFonts w:hint="eastAsia" w:ascii="宋体" w:hAnsi="宋体" w:cs="宋体"/>
          <w:color w:val="auto"/>
          <w:szCs w:val="21"/>
        </w:rPr>
        <w:t>担保有瑕疵；</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12）</w:t>
      </w:r>
      <w:r>
        <w:rPr>
          <w:rFonts w:hint="eastAsia" w:ascii="宋体" w:hAnsi="宋体" w:cs="宋体"/>
          <w:color w:val="auto"/>
          <w:kern w:val="0"/>
          <w:szCs w:val="21"/>
        </w:rPr>
        <w:t>投标</w:t>
      </w:r>
      <w:r>
        <w:rPr>
          <w:rFonts w:hint="eastAsia" w:ascii="宋体" w:hAnsi="宋体" w:cs="宋体"/>
          <w:color w:val="auto"/>
          <w:szCs w:val="21"/>
        </w:rPr>
        <w:t>文件载明的招标项目完成期限超过招标文件规定的期限；</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13）明显不符合技术规格、技术标准的要求；</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14）</w:t>
      </w:r>
      <w:r>
        <w:rPr>
          <w:rFonts w:hint="eastAsia" w:ascii="宋体" w:hAnsi="宋体" w:cs="宋体"/>
          <w:color w:val="auto"/>
          <w:kern w:val="0"/>
          <w:szCs w:val="21"/>
        </w:rPr>
        <w:t>投标</w:t>
      </w:r>
      <w:r>
        <w:rPr>
          <w:rFonts w:hint="eastAsia" w:ascii="宋体" w:hAnsi="宋体" w:cs="宋体"/>
          <w:color w:val="auto"/>
          <w:szCs w:val="21"/>
        </w:rPr>
        <w:t>文件载明的货物包装方式、检验标准和方法等不符合招标文件的要求；</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15）</w:t>
      </w:r>
      <w:r>
        <w:rPr>
          <w:rFonts w:hint="eastAsia" w:ascii="宋体" w:hAnsi="宋体" w:cs="宋体"/>
          <w:color w:val="auto"/>
          <w:kern w:val="0"/>
          <w:szCs w:val="21"/>
        </w:rPr>
        <w:t>投标</w:t>
      </w:r>
      <w:r>
        <w:rPr>
          <w:rFonts w:hint="eastAsia" w:ascii="宋体" w:hAnsi="宋体" w:cs="宋体"/>
          <w:color w:val="auto"/>
          <w:szCs w:val="21"/>
        </w:rPr>
        <w:t>文件附有招标人不能接受的条件；</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16）不符合招标文件中规定的其他实质性要求。</w:t>
      </w:r>
    </w:p>
    <w:p>
      <w:pPr>
        <w:pStyle w:val="22"/>
        <w:tabs>
          <w:tab w:val="left" w:pos="630"/>
        </w:tabs>
        <w:snapToGrid w:val="0"/>
        <w:spacing w:line="440" w:lineRule="exact"/>
        <w:ind w:firstLine="424" w:firstLineChars="202"/>
        <w:rPr>
          <w:rFonts w:hAnsi="宋体"/>
          <w:color w:val="auto"/>
        </w:rPr>
      </w:pPr>
      <w:r>
        <w:rPr>
          <w:rFonts w:hAnsi="宋体"/>
          <w:color w:val="auto"/>
        </w:rPr>
        <w:t>3.1.3评审过程中，评标委员会收到低于成本价</w:t>
      </w:r>
      <w:r>
        <w:rPr>
          <w:rFonts w:hint="eastAsia" w:hAnsi="宋体" w:cs="宋体"/>
          <w:color w:val="auto"/>
          <w:kern w:val="0"/>
          <w:szCs w:val="21"/>
        </w:rPr>
        <w:t>投标</w:t>
      </w:r>
      <w:r>
        <w:rPr>
          <w:rFonts w:hint="eastAsia" w:hAnsi="宋体"/>
          <w:color w:val="auto"/>
        </w:rPr>
        <w:t>的书面质疑材料、发现投标人的综合报价明显低于其他</w:t>
      </w:r>
      <w:r>
        <w:rPr>
          <w:rFonts w:hint="eastAsia" w:hAnsi="宋体" w:cs="宋体"/>
          <w:color w:val="auto"/>
          <w:kern w:val="0"/>
          <w:szCs w:val="21"/>
        </w:rPr>
        <w:t>投标</w:t>
      </w:r>
      <w:r>
        <w:rPr>
          <w:rFonts w:hint="eastAsia" w:hAnsi="宋体"/>
          <w:color w:val="auto"/>
        </w:rPr>
        <w:t>报价或者设有标底时明显低于标底，认为</w:t>
      </w:r>
      <w:r>
        <w:rPr>
          <w:rFonts w:hint="eastAsia" w:hAnsi="宋体" w:cs="宋体"/>
          <w:color w:val="auto"/>
          <w:kern w:val="0"/>
          <w:szCs w:val="21"/>
        </w:rPr>
        <w:t>投标</w:t>
      </w:r>
      <w:r>
        <w:rPr>
          <w:rFonts w:hint="eastAsia" w:hAnsi="宋体"/>
          <w:color w:val="auto"/>
        </w:rPr>
        <w:t>报价可能低于其个别成本的，应当书面要求该投标人做出书面说明并提供相关证明材料。投标人不能合理说明或者不能提供相应证明材料的，由评标委员会认定该投标人以低于成本报价竞标，评标委员会应当否决其</w:t>
      </w:r>
      <w:r>
        <w:rPr>
          <w:rFonts w:hint="eastAsia" w:hAnsi="宋体" w:cs="宋体"/>
          <w:color w:val="auto"/>
          <w:kern w:val="0"/>
          <w:szCs w:val="21"/>
        </w:rPr>
        <w:t>投标</w:t>
      </w:r>
      <w:r>
        <w:rPr>
          <w:rFonts w:hint="eastAsia" w:hAnsi="宋体"/>
          <w:color w:val="auto"/>
        </w:rPr>
        <w:t>。</w:t>
      </w:r>
    </w:p>
    <w:p>
      <w:pPr>
        <w:pStyle w:val="22"/>
        <w:tabs>
          <w:tab w:val="left" w:pos="630"/>
        </w:tabs>
        <w:snapToGrid w:val="0"/>
        <w:spacing w:line="440" w:lineRule="exact"/>
        <w:ind w:firstLine="424" w:firstLineChars="202"/>
        <w:rPr>
          <w:rFonts w:hAnsi="宋体"/>
          <w:color w:val="auto"/>
        </w:rPr>
      </w:pPr>
      <w:r>
        <w:rPr>
          <w:rFonts w:hAnsi="宋体"/>
          <w:color w:val="auto"/>
        </w:rPr>
        <w:t>3.1.4</w:t>
      </w:r>
      <w:r>
        <w:rPr>
          <w:rFonts w:hint="eastAsia" w:hAnsi="宋体" w:cs="宋体"/>
          <w:color w:val="auto"/>
          <w:kern w:val="0"/>
          <w:szCs w:val="21"/>
        </w:rPr>
        <w:t>投标</w:t>
      </w:r>
      <w:r>
        <w:rPr>
          <w:rFonts w:hint="eastAsia" w:hAnsi="宋体"/>
          <w:color w:val="auto"/>
        </w:rPr>
        <w:t>报价有算术错误的，评标委员会按照以下原则对</w:t>
      </w:r>
      <w:r>
        <w:rPr>
          <w:rFonts w:hint="eastAsia" w:hAnsi="宋体" w:cs="宋体"/>
          <w:color w:val="auto"/>
          <w:kern w:val="0"/>
          <w:szCs w:val="21"/>
        </w:rPr>
        <w:t>投标</w:t>
      </w:r>
      <w:r>
        <w:rPr>
          <w:rFonts w:hint="eastAsia" w:hAnsi="宋体"/>
          <w:color w:val="auto"/>
        </w:rPr>
        <w:t>报价进行修正，修正的价格经投标人书面确认后具有约束力。投标人不接受修正价格的，评标委员会应当否决其</w:t>
      </w:r>
      <w:r>
        <w:rPr>
          <w:rFonts w:hint="eastAsia" w:hAnsi="宋体" w:cs="宋体"/>
          <w:color w:val="auto"/>
          <w:kern w:val="0"/>
          <w:szCs w:val="21"/>
        </w:rPr>
        <w:t>投标</w:t>
      </w:r>
      <w:r>
        <w:rPr>
          <w:rFonts w:hint="eastAsia" w:hAnsi="宋体"/>
          <w:color w:val="auto"/>
        </w:rPr>
        <w:t>。</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kern w:val="0"/>
          <w:szCs w:val="21"/>
        </w:rPr>
        <w:t>投标</w:t>
      </w:r>
      <w:r>
        <w:rPr>
          <w:rFonts w:hint="eastAsia" w:ascii="宋体" w:hAnsi="宋体" w:cs="宋体"/>
          <w:color w:val="auto"/>
          <w:szCs w:val="21"/>
        </w:rPr>
        <w:t>文件中的大写金额与小写金额不一致的，以大写金额为准；</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2）总价金额与根据单价计算出的结果不一致的，以单价金额为准修正总价，但单价金额小数点有明显错误的除外。</w:t>
      </w:r>
    </w:p>
    <w:p>
      <w:pPr>
        <w:rPr>
          <w:b/>
          <w:bCs/>
          <w:color w:val="auto"/>
          <w:sz w:val="24"/>
          <w:szCs w:val="32"/>
        </w:rPr>
      </w:pPr>
      <w:bookmarkStart w:id="454" w:name="_Toc450489351"/>
      <w:r>
        <w:rPr>
          <w:b/>
          <w:bCs/>
          <w:color w:val="auto"/>
          <w:sz w:val="24"/>
          <w:szCs w:val="32"/>
        </w:rPr>
        <w:t>3.2</w:t>
      </w:r>
      <w:r>
        <w:rPr>
          <w:rFonts w:hint="eastAsia"/>
          <w:b/>
          <w:bCs/>
          <w:color w:val="auto"/>
          <w:sz w:val="24"/>
          <w:szCs w:val="32"/>
        </w:rPr>
        <w:t>详细评审</w:t>
      </w:r>
      <w:bookmarkEnd w:id="454"/>
    </w:p>
    <w:p>
      <w:pPr>
        <w:pStyle w:val="22"/>
        <w:tabs>
          <w:tab w:val="left" w:pos="630"/>
        </w:tabs>
        <w:snapToGrid w:val="0"/>
        <w:spacing w:line="440" w:lineRule="exact"/>
        <w:ind w:firstLine="424" w:firstLineChars="202"/>
        <w:rPr>
          <w:rFonts w:hAnsi="宋体"/>
          <w:color w:val="auto"/>
        </w:rPr>
      </w:pPr>
      <w:r>
        <w:rPr>
          <w:rFonts w:hAnsi="宋体"/>
          <w:color w:val="auto"/>
        </w:rPr>
        <w:t>3.2.1</w:t>
      </w:r>
      <w:r>
        <w:rPr>
          <w:rFonts w:hint="eastAsia" w:hAnsi="宋体"/>
          <w:color w:val="auto"/>
        </w:rPr>
        <w:t>评标委员会按照本章第</w:t>
      </w:r>
      <w:r>
        <w:rPr>
          <w:rFonts w:hAnsi="宋体"/>
          <w:color w:val="auto"/>
        </w:rPr>
        <w:t>2.2款规定的评审因素和量化标准进行评分，并计算出综合评估得分。</w:t>
      </w:r>
    </w:p>
    <w:p>
      <w:pPr>
        <w:pStyle w:val="22"/>
        <w:tabs>
          <w:tab w:val="left" w:pos="630"/>
        </w:tabs>
        <w:snapToGrid w:val="0"/>
        <w:spacing w:line="440" w:lineRule="exact"/>
        <w:ind w:firstLine="424" w:firstLineChars="202"/>
        <w:rPr>
          <w:rFonts w:hAnsi="宋体"/>
          <w:color w:val="auto"/>
        </w:rPr>
      </w:pPr>
      <w:r>
        <w:rPr>
          <w:rFonts w:hAnsi="宋体"/>
          <w:color w:val="auto"/>
        </w:rPr>
        <w:t>3.2.2评分分值计算原则上保留小数点后两位，小数点后第三位“四舍五入”。另有规定的，见评审办法前附表。</w:t>
      </w:r>
    </w:p>
    <w:p>
      <w:pPr>
        <w:rPr>
          <w:b/>
          <w:bCs/>
          <w:color w:val="auto"/>
          <w:sz w:val="24"/>
          <w:szCs w:val="32"/>
        </w:rPr>
      </w:pPr>
      <w:bookmarkStart w:id="455" w:name="_Toc447265561"/>
      <w:bookmarkStart w:id="456" w:name="_Toc447265275"/>
      <w:bookmarkStart w:id="457" w:name="_Toc450489352"/>
      <w:r>
        <w:rPr>
          <w:b/>
          <w:bCs/>
          <w:color w:val="auto"/>
          <w:sz w:val="24"/>
          <w:szCs w:val="32"/>
        </w:rPr>
        <w:t>3.3</w:t>
      </w:r>
      <w:r>
        <w:rPr>
          <w:rFonts w:hint="eastAsia"/>
          <w:b/>
          <w:bCs/>
          <w:color w:val="auto"/>
          <w:sz w:val="24"/>
          <w:szCs w:val="32"/>
        </w:rPr>
        <w:t>投标文件的澄清</w:t>
      </w:r>
      <w:bookmarkEnd w:id="455"/>
      <w:bookmarkEnd w:id="456"/>
      <w:bookmarkEnd w:id="457"/>
    </w:p>
    <w:p>
      <w:pPr>
        <w:pStyle w:val="22"/>
        <w:tabs>
          <w:tab w:val="left" w:pos="630"/>
        </w:tabs>
        <w:snapToGrid w:val="0"/>
        <w:spacing w:line="440" w:lineRule="exact"/>
        <w:ind w:firstLine="424" w:firstLineChars="202"/>
        <w:rPr>
          <w:rFonts w:hAnsi="宋体"/>
          <w:color w:val="auto"/>
        </w:rPr>
      </w:pPr>
      <w:r>
        <w:rPr>
          <w:rFonts w:hAnsi="宋体"/>
          <w:color w:val="auto"/>
        </w:rPr>
        <w:t>3.3.1在评审过程中，评标委员会应当以书面形式要求投标人对所递交的</w:t>
      </w:r>
      <w:r>
        <w:rPr>
          <w:rFonts w:hint="eastAsia" w:hAnsi="宋体" w:cs="宋体"/>
          <w:color w:val="auto"/>
          <w:kern w:val="0"/>
          <w:szCs w:val="21"/>
        </w:rPr>
        <w:t>投标</w:t>
      </w:r>
      <w:r>
        <w:rPr>
          <w:rFonts w:hint="eastAsia" w:hAnsi="宋体"/>
          <w:color w:val="auto"/>
        </w:rPr>
        <w:t>文件中不明确的内容进行书面澄清、说明或者对</w:t>
      </w:r>
      <w:r>
        <w:rPr>
          <w:rFonts w:hint="eastAsia" w:hAnsi="宋体" w:cs="宋体"/>
          <w:color w:val="auto"/>
          <w:kern w:val="0"/>
          <w:szCs w:val="21"/>
        </w:rPr>
        <w:t>投标</w:t>
      </w:r>
      <w:r>
        <w:rPr>
          <w:rFonts w:hint="eastAsia" w:hAnsi="宋体"/>
          <w:color w:val="auto"/>
        </w:rPr>
        <w:t>文件中的细微偏差进行补正。评标委员会不接受投标人主动提出的澄清、说明或者补正。</w:t>
      </w:r>
    </w:p>
    <w:p>
      <w:pPr>
        <w:pStyle w:val="22"/>
        <w:tabs>
          <w:tab w:val="left" w:pos="630"/>
        </w:tabs>
        <w:snapToGrid w:val="0"/>
        <w:spacing w:line="440" w:lineRule="exact"/>
        <w:ind w:firstLine="424" w:firstLineChars="202"/>
        <w:rPr>
          <w:rFonts w:hAnsi="宋体"/>
          <w:color w:val="auto"/>
        </w:rPr>
      </w:pPr>
      <w:r>
        <w:rPr>
          <w:rFonts w:hAnsi="宋体"/>
          <w:color w:val="auto"/>
        </w:rPr>
        <w:t>3.3.2细微偏差是指</w:t>
      </w:r>
      <w:r>
        <w:rPr>
          <w:rFonts w:hint="eastAsia" w:hAnsi="宋体" w:cs="宋体"/>
          <w:color w:val="auto"/>
          <w:kern w:val="0"/>
          <w:szCs w:val="21"/>
        </w:rPr>
        <w:t>投标</w:t>
      </w:r>
      <w:r>
        <w:rPr>
          <w:rFonts w:hint="eastAsia" w:hAnsi="宋体"/>
          <w:color w:val="auto"/>
        </w:rPr>
        <w:t>文件在实质上响应招标文件要求，但个别地方存在漏项或者提供了不完整的技术信息和数据等情况，并且补正这些遗漏或者不完整不会对其他投标人造成不公平的结果。细微偏差不影响</w:t>
      </w:r>
      <w:r>
        <w:rPr>
          <w:rFonts w:hint="eastAsia" w:hAnsi="宋体" w:cs="宋体"/>
          <w:color w:val="auto"/>
          <w:kern w:val="0"/>
          <w:szCs w:val="21"/>
        </w:rPr>
        <w:t>投标</w:t>
      </w:r>
      <w:r>
        <w:rPr>
          <w:rFonts w:hint="eastAsia" w:hAnsi="宋体"/>
          <w:color w:val="auto"/>
        </w:rPr>
        <w:t>文件的有效性。</w:t>
      </w:r>
    </w:p>
    <w:p>
      <w:pPr>
        <w:pStyle w:val="22"/>
        <w:tabs>
          <w:tab w:val="left" w:pos="630"/>
        </w:tabs>
        <w:snapToGrid w:val="0"/>
        <w:spacing w:line="440" w:lineRule="exact"/>
        <w:ind w:firstLine="424" w:firstLineChars="202"/>
        <w:rPr>
          <w:rFonts w:hAnsi="宋体"/>
          <w:color w:val="auto"/>
        </w:rPr>
      </w:pPr>
      <w:r>
        <w:rPr>
          <w:rFonts w:hAnsi="宋体"/>
          <w:color w:val="auto"/>
        </w:rPr>
        <w:t>3.3.3澄清、说明和补正不得改变投标文件的实质性内容（算术性错误修正的除外）。投标人的书面澄清、说明和补正属于</w:t>
      </w:r>
      <w:r>
        <w:rPr>
          <w:rFonts w:hint="eastAsia" w:hAnsi="宋体" w:cs="宋体"/>
          <w:color w:val="auto"/>
          <w:kern w:val="0"/>
          <w:szCs w:val="21"/>
        </w:rPr>
        <w:t>投标</w:t>
      </w:r>
      <w:r>
        <w:rPr>
          <w:rFonts w:hint="eastAsia" w:hAnsi="宋体"/>
          <w:color w:val="auto"/>
        </w:rPr>
        <w:t>选文件的组成部分。</w:t>
      </w:r>
    </w:p>
    <w:p>
      <w:pPr>
        <w:pStyle w:val="22"/>
        <w:tabs>
          <w:tab w:val="left" w:pos="630"/>
        </w:tabs>
        <w:snapToGrid w:val="0"/>
        <w:spacing w:line="440" w:lineRule="exact"/>
        <w:ind w:firstLine="424" w:firstLineChars="202"/>
        <w:rPr>
          <w:rFonts w:hAnsi="宋体"/>
          <w:color w:val="auto"/>
        </w:rPr>
      </w:pPr>
      <w:r>
        <w:rPr>
          <w:rFonts w:hAnsi="宋体"/>
          <w:color w:val="auto"/>
        </w:rPr>
        <w:t>3.3.4评标委员会对投标人递交的澄清、说明或者补正有疑问的，可以要求投标人进一步澄清、说明或者补正，直至满足评标委员会的要求。</w:t>
      </w:r>
    </w:p>
    <w:p>
      <w:pPr>
        <w:pStyle w:val="22"/>
        <w:tabs>
          <w:tab w:val="left" w:pos="630"/>
        </w:tabs>
        <w:snapToGrid w:val="0"/>
        <w:spacing w:line="440" w:lineRule="exact"/>
        <w:ind w:firstLine="424" w:firstLineChars="202"/>
        <w:rPr>
          <w:rFonts w:hAnsi="宋体"/>
          <w:color w:val="auto"/>
        </w:rPr>
      </w:pPr>
      <w:r>
        <w:rPr>
          <w:rFonts w:hAnsi="宋体"/>
          <w:color w:val="auto"/>
        </w:rPr>
        <w:t>3.3.5</w:t>
      </w:r>
      <w:r>
        <w:rPr>
          <w:rFonts w:hint="eastAsia" w:hAnsi="宋体"/>
          <w:color w:val="auto"/>
        </w:rPr>
        <w:t>评标委员会必要时可以要求投标人递交有关证明和证件的原件，以便核验。</w:t>
      </w:r>
    </w:p>
    <w:p>
      <w:pPr>
        <w:rPr>
          <w:b/>
          <w:bCs/>
          <w:color w:val="auto"/>
          <w:sz w:val="24"/>
          <w:szCs w:val="32"/>
        </w:rPr>
      </w:pPr>
      <w:bookmarkStart w:id="458" w:name="_Toc450489353"/>
      <w:r>
        <w:rPr>
          <w:b/>
          <w:bCs/>
          <w:color w:val="auto"/>
          <w:sz w:val="24"/>
          <w:szCs w:val="32"/>
        </w:rPr>
        <w:t>3.4</w:t>
      </w:r>
      <w:r>
        <w:rPr>
          <w:rFonts w:hint="eastAsia"/>
          <w:b/>
          <w:bCs/>
          <w:color w:val="auto"/>
          <w:sz w:val="24"/>
          <w:szCs w:val="32"/>
        </w:rPr>
        <w:t>中标候选人推荐原则</w:t>
      </w:r>
      <w:bookmarkEnd w:id="458"/>
    </w:p>
    <w:p>
      <w:pPr>
        <w:pStyle w:val="22"/>
        <w:tabs>
          <w:tab w:val="left" w:pos="630"/>
        </w:tabs>
        <w:snapToGrid w:val="0"/>
        <w:spacing w:line="440" w:lineRule="exact"/>
        <w:ind w:firstLine="424" w:firstLineChars="202"/>
        <w:rPr>
          <w:rFonts w:hAnsi="宋体"/>
          <w:color w:val="auto"/>
        </w:rPr>
      </w:pPr>
      <w:r>
        <w:rPr>
          <w:rFonts w:hAnsi="宋体"/>
          <w:color w:val="auto"/>
        </w:rPr>
        <w:t>3.4.1评标委员会按照综合评分由高到低的顺序推荐中标候选人。综合评分相同的，处理原则见评审办法前附表。</w:t>
      </w:r>
    </w:p>
    <w:p>
      <w:pPr>
        <w:pStyle w:val="22"/>
        <w:tabs>
          <w:tab w:val="left" w:pos="630"/>
        </w:tabs>
        <w:snapToGrid w:val="0"/>
        <w:spacing w:line="440" w:lineRule="exact"/>
        <w:ind w:firstLine="424" w:firstLineChars="202"/>
        <w:rPr>
          <w:rFonts w:hAnsi="宋体"/>
          <w:color w:val="auto"/>
        </w:rPr>
      </w:pPr>
      <w:r>
        <w:rPr>
          <w:rFonts w:hAnsi="宋体"/>
          <w:color w:val="auto"/>
        </w:rPr>
        <w:t>3.4.2中标候选人推荐原则见评审办法前附表。</w:t>
      </w:r>
    </w:p>
    <w:p>
      <w:pPr>
        <w:rPr>
          <w:b/>
          <w:bCs/>
          <w:color w:val="auto"/>
          <w:sz w:val="24"/>
          <w:szCs w:val="32"/>
        </w:rPr>
      </w:pPr>
      <w:bookmarkStart w:id="459" w:name="_Toc450489354"/>
      <w:r>
        <w:rPr>
          <w:b/>
          <w:bCs/>
          <w:color w:val="auto"/>
          <w:sz w:val="24"/>
          <w:szCs w:val="32"/>
        </w:rPr>
        <w:t>3.5</w:t>
      </w:r>
      <w:r>
        <w:rPr>
          <w:rFonts w:hint="eastAsia"/>
          <w:b/>
          <w:bCs/>
          <w:color w:val="auto"/>
          <w:sz w:val="24"/>
          <w:szCs w:val="32"/>
        </w:rPr>
        <w:t>评审结果</w:t>
      </w:r>
      <w:bookmarkEnd w:id="459"/>
    </w:p>
    <w:p>
      <w:pPr>
        <w:pStyle w:val="22"/>
        <w:tabs>
          <w:tab w:val="left" w:pos="630"/>
        </w:tabs>
        <w:snapToGrid w:val="0"/>
        <w:spacing w:line="440" w:lineRule="exact"/>
        <w:ind w:firstLine="424" w:firstLineChars="202"/>
        <w:rPr>
          <w:rFonts w:hAnsi="宋体"/>
          <w:color w:val="auto"/>
        </w:rPr>
      </w:pPr>
      <w:r>
        <w:rPr>
          <w:rFonts w:hAnsi="宋体"/>
          <w:color w:val="auto"/>
        </w:rPr>
        <w:t>3.5.1评标委员会完成评审后，应当向招标人递交书面评审报告。评标委员会分组评审的，应当形成统一、完整的评审报告。</w:t>
      </w:r>
    </w:p>
    <w:p>
      <w:pPr>
        <w:pStyle w:val="75"/>
        <w:spacing w:before="240" w:after="120"/>
        <w:rPr>
          <w:rFonts w:ascii="宋体" w:hAnsi="宋体" w:cs="宋体"/>
          <w:color w:val="auto"/>
          <w:szCs w:val="21"/>
        </w:rPr>
        <w:sectPr>
          <w:pgSz w:w="11906" w:h="16838"/>
          <w:pgMar w:top="1440" w:right="1800" w:bottom="1440" w:left="1800" w:header="851" w:footer="992" w:gutter="0"/>
          <w:cols w:space="425" w:num="1"/>
          <w:docGrid w:type="lines" w:linePitch="312" w:charSpace="0"/>
        </w:sectPr>
      </w:pPr>
      <w:r>
        <w:rPr>
          <w:rFonts w:ascii="宋体" w:hAnsi="宋体" w:cs="宋体"/>
          <w:color w:val="auto"/>
          <w:szCs w:val="21"/>
        </w:rPr>
        <w:br w:type="page"/>
      </w:r>
      <w:bookmarkEnd w:id="426"/>
      <w:bookmarkEnd w:id="427"/>
      <w:bookmarkEnd w:id="428"/>
      <w:bookmarkEnd w:id="429"/>
      <w:bookmarkEnd w:id="430"/>
    </w:p>
    <w:p>
      <w:pPr>
        <w:pStyle w:val="75"/>
        <w:spacing w:before="240" w:after="120"/>
        <w:rPr>
          <w:rFonts w:ascii="宋体" w:hAnsi="宋体" w:eastAsia="宋体" w:cs="宋体"/>
          <w:b/>
          <w:bCs w:val="0"/>
          <w:color w:val="auto"/>
          <w:kern w:val="0"/>
          <w:sz w:val="28"/>
          <w:szCs w:val="28"/>
        </w:rPr>
      </w:pPr>
      <w:bookmarkStart w:id="460" w:name="_Toc475472623"/>
      <w:bookmarkStart w:id="461" w:name="_Toc1774"/>
      <w:bookmarkStart w:id="462" w:name="_Toc25038"/>
      <w:bookmarkStart w:id="463" w:name="_Toc56432219"/>
      <w:bookmarkStart w:id="464" w:name="_Toc11830"/>
      <w:bookmarkStart w:id="465" w:name="_Toc447265313"/>
      <w:bookmarkStart w:id="466" w:name="_Toc227057959"/>
      <w:bookmarkStart w:id="467" w:name="_Toc226969353"/>
      <w:bookmarkStart w:id="468" w:name="_Toc107822570"/>
      <w:bookmarkStart w:id="469" w:name="_Toc447265599"/>
      <w:r>
        <w:rPr>
          <w:rFonts w:hint="eastAsia" w:ascii="宋体" w:hAnsi="宋体" w:eastAsia="宋体" w:cs="宋体"/>
          <w:b/>
          <w:bCs w:val="0"/>
          <w:color w:val="auto"/>
          <w:kern w:val="0"/>
          <w:sz w:val="28"/>
          <w:szCs w:val="28"/>
        </w:rPr>
        <w:t>第四章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商务</w:t>
      </w:r>
      <w:bookmarkEnd w:id="460"/>
      <w:r>
        <w:rPr>
          <w:rFonts w:hint="eastAsia" w:ascii="宋体" w:hAnsi="宋体" w:eastAsia="宋体" w:cs="宋体"/>
          <w:b/>
          <w:bCs w:val="0"/>
          <w:color w:val="auto"/>
          <w:kern w:val="0"/>
          <w:sz w:val="28"/>
          <w:szCs w:val="28"/>
        </w:rPr>
        <w:t>合同</w:t>
      </w:r>
      <w:bookmarkEnd w:id="461"/>
      <w:bookmarkEnd w:id="462"/>
      <w:bookmarkEnd w:id="463"/>
      <w:bookmarkEnd w:id="464"/>
    </w:p>
    <w:p>
      <w:pPr>
        <w:spacing w:line="400" w:lineRule="exact"/>
        <w:jc w:val="left"/>
        <w:rPr>
          <w:rFonts w:ascii="宋体" w:hAnsi="宋体"/>
          <w:b/>
          <w:color w:val="auto"/>
          <w:szCs w:val="21"/>
        </w:rPr>
      </w:pPr>
      <w:r>
        <w:rPr>
          <w:rFonts w:hint="eastAsia" w:ascii="宋体" w:hAnsi="宋体"/>
          <w:b/>
          <w:color w:val="auto"/>
          <w:szCs w:val="21"/>
        </w:rPr>
        <w:t>总则</w:t>
      </w:r>
    </w:p>
    <w:p>
      <w:pPr>
        <w:spacing w:line="400" w:lineRule="exact"/>
        <w:jc w:val="left"/>
        <w:rPr>
          <w:rFonts w:ascii="宋体" w:hAnsi="宋体"/>
          <w:color w:val="auto"/>
          <w:szCs w:val="21"/>
        </w:rPr>
      </w:pPr>
      <w:r>
        <w:rPr>
          <w:rFonts w:ascii="宋体" w:hAnsi="宋体"/>
          <w:color w:val="auto"/>
          <w:szCs w:val="21"/>
        </w:rPr>
        <w:t>1.1本章涉及商务合同条款要求，</w:t>
      </w:r>
      <w:r>
        <w:rPr>
          <w:rFonts w:hint="eastAsia" w:ascii="宋体" w:hAnsi="宋体"/>
          <w:color w:val="auto"/>
          <w:szCs w:val="21"/>
        </w:rPr>
        <w:t>投标人填写商务合同条款偏离表</w:t>
      </w:r>
      <w:r>
        <w:rPr>
          <w:rFonts w:ascii="宋体" w:hAnsi="宋体"/>
          <w:color w:val="auto"/>
          <w:szCs w:val="21"/>
        </w:rPr>
        <w:t>之用，并作为中标后买卖双方签订合同的基础。</w:t>
      </w:r>
    </w:p>
    <w:p>
      <w:pPr>
        <w:spacing w:line="400" w:lineRule="exact"/>
        <w:jc w:val="left"/>
        <w:rPr>
          <w:rFonts w:ascii="宋体" w:hAnsi="宋体"/>
          <w:color w:val="auto"/>
          <w:szCs w:val="21"/>
        </w:rPr>
      </w:pPr>
      <w:r>
        <w:rPr>
          <w:rFonts w:ascii="宋体" w:hAnsi="宋体"/>
          <w:color w:val="auto"/>
          <w:szCs w:val="21"/>
        </w:rPr>
        <w:t>1.2针对本章合同条款内容，</w:t>
      </w:r>
      <w:r>
        <w:rPr>
          <w:rFonts w:hint="eastAsia" w:ascii="宋体" w:hAnsi="宋体"/>
          <w:color w:val="auto"/>
          <w:szCs w:val="21"/>
        </w:rPr>
        <w:t>投标人</w:t>
      </w:r>
      <w:r>
        <w:rPr>
          <w:rFonts w:ascii="宋体" w:hAnsi="宋体"/>
          <w:color w:val="auto"/>
          <w:szCs w:val="21"/>
        </w:rPr>
        <w:t>应</w:t>
      </w:r>
      <w:r>
        <w:rPr>
          <w:rFonts w:hint="eastAsia" w:ascii="宋体" w:hAnsi="宋体"/>
          <w:color w:val="auto"/>
          <w:szCs w:val="21"/>
        </w:rPr>
        <w:t>填写“商务合同条款偏离表”。如存在偏离</w:t>
      </w:r>
      <w:r>
        <w:rPr>
          <w:rFonts w:ascii="宋体" w:hAnsi="宋体"/>
          <w:color w:val="auto"/>
          <w:szCs w:val="21"/>
        </w:rPr>
        <w:t>应提出充分理由并</w:t>
      </w:r>
      <w:r>
        <w:rPr>
          <w:rFonts w:hint="eastAsia" w:ascii="宋体" w:hAnsi="宋体"/>
          <w:color w:val="auto"/>
          <w:szCs w:val="21"/>
        </w:rPr>
        <w:t>在“合同条款偏离表”中</w:t>
      </w:r>
      <w:r>
        <w:rPr>
          <w:rFonts w:ascii="宋体" w:hAnsi="宋体"/>
          <w:color w:val="auto"/>
          <w:szCs w:val="21"/>
        </w:rPr>
        <w:t>加以详尽说明。</w:t>
      </w:r>
    </w:p>
    <w:p>
      <w:pPr>
        <w:spacing w:line="400" w:lineRule="exact"/>
        <w:jc w:val="left"/>
        <w:rPr>
          <w:rFonts w:ascii="宋体" w:hAnsi="宋体"/>
          <w:color w:val="auto"/>
          <w:szCs w:val="21"/>
        </w:rPr>
      </w:pPr>
      <w:r>
        <w:rPr>
          <w:rFonts w:ascii="宋体" w:hAnsi="宋体"/>
          <w:color w:val="auto"/>
          <w:szCs w:val="21"/>
        </w:rPr>
        <w:t>1.3本章内容根据</w:t>
      </w:r>
      <w:r>
        <w:rPr>
          <w:rFonts w:hint="eastAsia" w:ascii="宋体" w:hAnsi="宋体"/>
          <w:color w:val="auto"/>
          <w:szCs w:val="21"/>
        </w:rPr>
        <w:t>投标人</w:t>
      </w:r>
      <w:r>
        <w:rPr>
          <w:rFonts w:ascii="宋体" w:hAnsi="宋体"/>
          <w:color w:val="auto"/>
          <w:szCs w:val="21"/>
        </w:rPr>
        <w:t>的投标情况完善后，将作为</w:t>
      </w:r>
      <w:r>
        <w:rPr>
          <w:rFonts w:hint="eastAsia" w:ascii="宋体" w:hAnsi="宋体"/>
          <w:color w:val="auto"/>
          <w:szCs w:val="21"/>
        </w:rPr>
        <w:t>招标人</w:t>
      </w:r>
      <w:r>
        <w:rPr>
          <w:rFonts w:ascii="宋体" w:hAnsi="宋体"/>
          <w:color w:val="auto"/>
          <w:szCs w:val="21"/>
        </w:rPr>
        <w:t>与中标人签订合同的基础。</w:t>
      </w:r>
      <w:r>
        <w:rPr>
          <w:rFonts w:hint="eastAsia" w:ascii="宋体" w:hAnsi="宋体"/>
          <w:color w:val="auto"/>
          <w:szCs w:val="21"/>
          <w:lang w:eastAsia="zh-CN"/>
        </w:rPr>
        <w:t>广东南都娱乐传媒股份有限公司</w:t>
      </w:r>
      <w:r>
        <w:rPr>
          <w:rFonts w:ascii="宋体" w:hAnsi="宋体"/>
          <w:color w:val="auto"/>
          <w:szCs w:val="21"/>
        </w:rPr>
        <w:t>为合同甲方；</w:t>
      </w:r>
      <w:r>
        <w:rPr>
          <w:rFonts w:hint="eastAsia" w:ascii="宋体" w:hAnsi="宋体"/>
          <w:color w:val="auto"/>
          <w:szCs w:val="21"/>
        </w:rPr>
        <w:t>中标</w:t>
      </w:r>
      <w:r>
        <w:rPr>
          <w:rFonts w:ascii="宋体" w:hAnsi="宋体"/>
          <w:color w:val="auto"/>
          <w:szCs w:val="21"/>
        </w:rPr>
        <w:t>人为合同乙方。</w:t>
      </w:r>
    </w:p>
    <w:p>
      <w:pPr>
        <w:spacing w:before="62" w:beforeLines="20" w:after="62" w:afterLines="20" w:line="400" w:lineRule="exact"/>
        <w:ind w:firstLine="422" w:firstLineChars="200"/>
        <w:textAlignment w:val="baseline"/>
        <w:rPr>
          <w:rFonts w:ascii="宋体" w:hAnsi="宋体"/>
          <w:b/>
          <w:color w:val="auto"/>
        </w:rPr>
      </w:pPr>
      <w:r>
        <w:rPr>
          <w:rFonts w:hint="eastAsia" w:ascii="宋体" w:hAnsi="宋体"/>
          <w:b/>
          <w:color w:val="auto"/>
        </w:rPr>
        <w:t>投标人须对《商务合同书》全部条款理解清楚，并填写《合同条款偏离表》（格式见第六章）。</w:t>
      </w:r>
    </w:p>
    <w:p>
      <w:pPr>
        <w:spacing w:line="360" w:lineRule="auto"/>
        <w:ind w:firstLine="422" w:firstLineChars="200"/>
        <w:rPr>
          <w:rFonts w:ascii="宋体" w:hAnsi="宋体"/>
          <w:b/>
          <w:color w:val="auto"/>
        </w:rPr>
      </w:pPr>
      <w:r>
        <w:rPr>
          <w:rFonts w:hint="eastAsia" w:ascii="宋体" w:hAnsi="宋体"/>
          <w:b/>
          <w:color w:val="auto"/>
        </w:rPr>
        <w:t>注：本合同仅供参考，并非正式合同，当投标人在成交后，应依据本合同的主要条款与采购方签订正式合同；当本合同与招标文件其他部分有冲突，应按招标文件的其他部分为准编制招标文件。合同版本与条款以甲方最新合同模板为准。</w:t>
      </w:r>
    </w:p>
    <w:p>
      <w:pPr>
        <w:rPr>
          <w:rFonts w:ascii="宋体" w:hAnsi="宋体"/>
          <w:b/>
          <w:color w:val="auto"/>
        </w:rPr>
      </w:pPr>
      <w:r>
        <w:rPr>
          <w:rFonts w:ascii="宋体" w:hAnsi="宋体"/>
          <w:b/>
          <w:color w:val="auto"/>
        </w:rPr>
        <w:br w:type="page"/>
      </w:r>
    </w:p>
    <w:bookmarkEnd w:id="465"/>
    <w:bookmarkEnd w:id="466"/>
    <w:bookmarkEnd w:id="467"/>
    <w:bookmarkEnd w:id="468"/>
    <w:bookmarkEnd w:id="469"/>
    <w:p>
      <w:pPr>
        <w:tabs>
          <w:tab w:val="left" w:pos="720"/>
        </w:tabs>
        <w:spacing w:line="480" w:lineRule="exact"/>
        <w:jc w:val="center"/>
        <w:rPr>
          <w:rFonts w:ascii="黑体" w:hAnsi="黑体" w:eastAsia="黑体"/>
          <w:b/>
          <w:sz w:val="44"/>
          <w:szCs w:val="44"/>
        </w:rPr>
      </w:pPr>
      <w:bookmarkStart w:id="470" w:name="_Toc475472662"/>
      <w:bookmarkStart w:id="471" w:name="_Toc14414"/>
      <w:bookmarkStart w:id="472" w:name="_Toc56432221"/>
      <w:bookmarkStart w:id="473" w:name="_Toc475472669"/>
      <w:bookmarkStart w:id="474" w:name="_Toc447265602"/>
      <w:bookmarkStart w:id="475" w:name="_Toc447265316"/>
    </w:p>
    <w:p>
      <w:pPr>
        <w:tabs>
          <w:tab w:val="left" w:pos="720"/>
        </w:tabs>
        <w:spacing w:line="480" w:lineRule="exact"/>
        <w:jc w:val="center"/>
        <w:rPr>
          <w:rFonts w:ascii="黑体" w:hAnsi="黑体" w:eastAsia="黑体"/>
          <w:b/>
          <w:sz w:val="44"/>
          <w:szCs w:val="44"/>
        </w:rPr>
      </w:pPr>
      <w:r>
        <w:rPr>
          <w:rFonts w:hint="eastAsia" w:ascii="黑体" w:hAnsi="黑体" w:eastAsia="黑体"/>
          <w:b/>
          <w:sz w:val="44"/>
          <w:szCs w:val="44"/>
        </w:rPr>
        <w:t>广东南都娱乐企业文化综合服务项目</w:t>
      </w:r>
    </w:p>
    <w:p>
      <w:pPr>
        <w:tabs>
          <w:tab w:val="left" w:pos="720"/>
        </w:tabs>
        <w:spacing w:line="480" w:lineRule="exact"/>
        <w:jc w:val="center"/>
        <w:rPr>
          <w:rFonts w:hint="eastAsia" w:ascii="黑体" w:hAnsi="黑体" w:eastAsia="黑体"/>
          <w:b/>
          <w:sz w:val="44"/>
          <w:szCs w:val="44"/>
        </w:rPr>
      </w:pPr>
    </w:p>
    <w:p>
      <w:pPr>
        <w:tabs>
          <w:tab w:val="left" w:pos="720"/>
        </w:tabs>
        <w:spacing w:line="480" w:lineRule="exact"/>
        <w:ind w:firstLine="3092" w:firstLineChars="1100"/>
        <w:jc w:val="both"/>
        <w:rPr>
          <w:rFonts w:hint="eastAsia" w:ascii="宋体" w:hAnsi="宋体" w:eastAsia="宋体"/>
          <w:b/>
          <w:sz w:val="28"/>
          <w:szCs w:val="28"/>
          <w:lang w:eastAsia="zh-CN"/>
        </w:rPr>
      </w:pPr>
      <w:r>
        <w:rPr>
          <w:rFonts w:hint="eastAsia" w:ascii="宋体" w:hAnsi="宋体"/>
          <w:b/>
          <w:sz w:val="28"/>
          <w:szCs w:val="28"/>
        </w:rPr>
        <w:t>采购编号：</w:t>
      </w:r>
      <w:r>
        <w:rPr>
          <w:rFonts w:hint="eastAsia" w:ascii="宋体" w:hAnsi="宋体"/>
          <w:b/>
          <w:sz w:val="28"/>
          <w:szCs w:val="28"/>
          <w:lang w:val="en-US" w:eastAsia="zh-CN"/>
        </w:rPr>
        <w:t xml:space="preserve"> </w:t>
      </w:r>
    </w:p>
    <w:p>
      <w:pPr>
        <w:tabs>
          <w:tab w:val="left" w:pos="720"/>
        </w:tabs>
        <w:spacing w:line="480" w:lineRule="exact"/>
        <w:jc w:val="center"/>
        <w:rPr>
          <w:rFonts w:ascii="宋体" w:hAnsi="宋体"/>
          <w:b/>
          <w:sz w:val="24"/>
          <w:u w:val="single"/>
        </w:rPr>
      </w:pPr>
    </w:p>
    <w:p>
      <w:pPr>
        <w:tabs>
          <w:tab w:val="left" w:pos="720"/>
        </w:tabs>
        <w:spacing w:line="480" w:lineRule="exact"/>
        <w:jc w:val="center"/>
        <w:rPr>
          <w:rFonts w:hint="eastAsia" w:ascii="宋体" w:hAnsi="宋体"/>
          <w:b/>
          <w:sz w:val="24"/>
        </w:rPr>
      </w:pPr>
    </w:p>
    <w:p>
      <w:pPr>
        <w:tabs>
          <w:tab w:val="left" w:pos="720"/>
        </w:tabs>
        <w:spacing w:line="900" w:lineRule="exact"/>
        <w:jc w:val="center"/>
        <w:rPr>
          <w:rFonts w:hint="eastAsia" w:ascii="黑体" w:hAnsi="黑体" w:eastAsia="黑体"/>
          <w:b/>
          <w:sz w:val="72"/>
          <w:szCs w:val="72"/>
        </w:rPr>
      </w:pPr>
      <w:r>
        <w:rPr>
          <w:rFonts w:hint="eastAsia" w:ascii="黑体" w:hAnsi="黑体" w:eastAsia="黑体"/>
          <w:b/>
          <w:sz w:val="72"/>
          <w:szCs w:val="72"/>
        </w:rPr>
        <w:t>合同书</w:t>
      </w:r>
    </w:p>
    <w:p>
      <w:pPr>
        <w:tabs>
          <w:tab w:val="left" w:pos="720"/>
        </w:tabs>
        <w:spacing w:line="480" w:lineRule="exact"/>
        <w:jc w:val="center"/>
        <w:rPr>
          <w:rFonts w:hint="eastAsia" w:ascii="宋体" w:hAnsi="宋体"/>
          <w:b/>
          <w:sz w:val="44"/>
          <w:szCs w:val="44"/>
        </w:rPr>
      </w:pPr>
    </w:p>
    <w:p>
      <w:pPr>
        <w:tabs>
          <w:tab w:val="left" w:pos="720"/>
        </w:tabs>
        <w:spacing w:line="480" w:lineRule="exact"/>
        <w:rPr>
          <w:rFonts w:hint="eastAsia" w:ascii="宋体" w:hAnsi="宋体"/>
          <w:b/>
          <w:sz w:val="28"/>
          <w:szCs w:val="28"/>
        </w:rPr>
      </w:pPr>
    </w:p>
    <w:p>
      <w:pPr>
        <w:tabs>
          <w:tab w:val="left" w:pos="720"/>
        </w:tabs>
        <w:spacing w:line="480" w:lineRule="exact"/>
        <w:rPr>
          <w:rFonts w:ascii="宋体" w:hAnsi="宋体"/>
          <w:b/>
          <w:sz w:val="28"/>
          <w:szCs w:val="28"/>
        </w:rPr>
      </w:pPr>
    </w:p>
    <w:p>
      <w:pPr>
        <w:tabs>
          <w:tab w:val="left" w:pos="720"/>
        </w:tabs>
        <w:spacing w:line="480" w:lineRule="exact"/>
        <w:rPr>
          <w:rFonts w:ascii="宋体" w:hAnsi="宋体"/>
          <w:b/>
          <w:sz w:val="28"/>
          <w:szCs w:val="28"/>
        </w:rPr>
      </w:pPr>
    </w:p>
    <w:p>
      <w:pPr>
        <w:tabs>
          <w:tab w:val="left" w:pos="720"/>
        </w:tabs>
        <w:spacing w:line="480" w:lineRule="exact"/>
        <w:rPr>
          <w:rFonts w:ascii="宋体" w:hAnsi="宋体"/>
          <w:b/>
          <w:sz w:val="28"/>
          <w:szCs w:val="28"/>
        </w:rPr>
      </w:pPr>
    </w:p>
    <w:p>
      <w:pPr>
        <w:tabs>
          <w:tab w:val="left" w:pos="720"/>
        </w:tabs>
        <w:spacing w:line="480" w:lineRule="exact"/>
        <w:rPr>
          <w:rFonts w:hint="eastAsia" w:ascii="宋体" w:hAnsi="宋体"/>
          <w:b/>
          <w:sz w:val="28"/>
          <w:szCs w:val="28"/>
        </w:rPr>
      </w:pPr>
    </w:p>
    <w:p>
      <w:pPr>
        <w:tabs>
          <w:tab w:val="left" w:pos="720"/>
        </w:tabs>
        <w:spacing w:line="480" w:lineRule="exact"/>
        <w:rPr>
          <w:rFonts w:hint="eastAsia" w:ascii="宋体" w:hAnsi="宋体"/>
          <w:b/>
          <w:sz w:val="28"/>
          <w:szCs w:val="28"/>
        </w:rPr>
      </w:pPr>
    </w:p>
    <w:tbl>
      <w:tblPr>
        <w:tblStyle w:val="40"/>
        <w:tblW w:w="0" w:type="auto"/>
        <w:jc w:val="center"/>
        <w:tblLayout w:type="fixed"/>
        <w:tblCellMar>
          <w:top w:w="0" w:type="dxa"/>
          <w:left w:w="108" w:type="dxa"/>
          <w:bottom w:w="0" w:type="dxa"/>
          <w:right w:w="108" w:type="dxa"/>
        </w:tblCellMar>
      </w:tblPr>
      <w:tblGrid>
        <w:gridCol w:w="7804"/>
      </w:tblGrid>
      <w:tr>
        <w:tblPrEx>
          <w:tblCellMar>
            <w:top w:w="0" w:type="dxa"/>
            <w:left w:w="108" w:type="dxa"/>
            <w:bottom w:w="0" w:type="dxa"/>
            <w:right w:w="108" w:type="dxa"/>
          </w:tblCellMar>
        </w:tblPrEx>
        <w:trPr>
          <w:trHeight w:val="446" w:hRule="atLeast"/>
          <w:jc w:val="center"/>
        </w:trPr>
        <w:tc>
          <w:tcPr>
            <w:tcW w:w="7804" w:type="dxa"/>
            <w:noWrap w:val="0"/>
            <w:vAlign w:val="top"/>
          </w:tcPr>
          <w:tbl>
            <w:tblPr>
              <w:tblStyle w:val="40"/>
              <w:tblW w:w="7804" w:type="dxa"/>
              <w:jc w:val="center"/>
              <w:tblLayout w:type="fixed"/>
              <w:tblCellMar>
                <w:top w:w="0" w:type="dxa"/>
                <w:left w:w="108" w:type="dxa"/>
                <w:bottom w:w="0" w:type="dxa"/>
                <w:right w:w="108" w:type="dxa"/>
              </w:tblCellMar>
            </w:tblPr>
            <w:tblGrid>
              <w:gridCol w:w="7804"/>
            </w:tblGrid>
            <w:tr>
              <w:trPr>
                <w:trHeight w:val="460" w:hRule="atLeast"/>
                <w:jc w:val="center"/>
              </w:trPr>
              <w:tc>
                <w:tcPr>
                  <w:tcW w:w="7804" w:type="dxa"/>
                  <w:noWrap w:val="0"/>
                  <w:vAlign w:val="top"/>
                </w:tcPr>
                <w:p>
                  <w:pPr>
                    <w:tabs>
                      <w:tab w:val="left" w:pos="720"/>
                    </w:tabs>
                    <w:spacing w:line="480" w:lineRule="exact"/>
                    <w:rPr>
                      <w:rFonts w:hint="default" w:ascii="宋体" w:hAnsi="宋体" w:eastAsia="宋体"/>
                      <w:b/>
                      <w:sz w:val="28"/>
                      <w:szCs w:val="28"/>
                      <w:lang w:val="en-US" w:eastAsia="zh-CN"/>
                    </w:rPr>
                  </w:pPr>
                  <w:r>
                    <w:rPr>
                      <w:rFonts w:hint="eastAsia" w:ascii="宋体" w:hAnsi="宋体"/>
                      <w:b/>
                      <w:sz w:val="28"/>
                      <w:szCs w:val="28"/>
                    </w:rPr>
                    <w:t>甲方：</w:t>
                  </w:r>
                  <w:r>
                    <w:rPr>
                      <w:rFonts w:hint="eastAsia" w:ascii="宋体" w:hAnsi="宋体"/>
                      <w:b/>
                      <w:sz w:val="28"/>
                      <w:szCs w:val="28"/>
                      <w:u w:val="single"/>
                      <w:lang w:val="en-US" w:eastAsia="zh-CN"/>
                    </w:rPr>
                    <w:t xml:space="preserve">                        </w:t>
                  </w:r>
                </w:p>
                <w:p>
                  <w:pPr>
                    <w:tabs>
                      <w:tab w:val="left" w:pos="720"/>
                    </w:tabs>
                    <w:spacing w:line="480" w:lineRule="exact"/>
                    <w:rPr>
                      <w:rFonts w:hint="default" w:ascii="宋体" w:hAnsi="宋体" w:eastAsia="宋体"/>
                      <w:b/>
                      <w:sz w:val="28"/>
                      <w:szCs w:val="28"/>
                      <w:u w:val="single"/>
                      <w:lang w:val="en-US" w:eastAsia="zh-CN"/>
                    </w:rPr>
                  </w:pPr>
                  <w:r>
                    <w:rPr>
                      <w:rFonts w:hint="eastAsia" w:ascii="宋体" w:hAnsi="宋体"/>
                      <w:b/>
                      <w:sz w:val="28"/>
                      <w:szCs w:val="28"/>
                    </w:rPr>
                    <w:t>乙方</w:t>
                  </w:r>
                  <w:r>
                    <w:rPr>
                      <w:rFonts w:ascii="宋体" w:hAnsi="宋体"/>
                      <w:b/>
                      <w:sz w:val="28"/>
                      <w:szCs w:val="28"/>
                    </w:rPr>
                    <w:t>：</w:t>
                  </w:r>
                  <w:r>
                    <w:rPr>
                      <w:rFonts w:hint="eastAsia" w:ascii="宋体" w:hAnsi="宋体"/>
                      <w:b/>
                      <w:sz w:val="28"/>
                      <w:szCs w:val="28"/>
                      <w:u w:val="single"/>
                      <w:lang w:val="en-US" w:eastAsia="zh-CN"/>
                    </w:rPr>
                    <w:t xml:space="preserve">                        </w:t>
                  </w:r>
                </w:p>
              </w:tc>
            </w:tr>
          </w:tbl>
          <w:p>
            <w:pPr>
              <w:tabs>
                <w:tab w:val="left" w:pos="720"/>
              </w:tabs>
              <w:spacing w:line="480" w:lineRule="exact"/>
              <w:rPr>
                <w:rFonts w:hint="default" w:ascii="宋体" w:hAnsi="宋体" w:eastAsia="宋体"/>
                <w:b/>
                <w:sz w:val="28"/>
                <w:szCs w:val="28"/>
                <w:u w:val="single"/>
                <w:lang w:val="en-US" w:eastAsia="zh-CN"/>
              </w:rPr>
            </w:pPr>
            <w:r>
              <w:rPr>
                <w:rFonts w:hint="eastAsia" w:ascii="宋体" w:hAnsi="宋体"/>
                <w:b/>
                <w:sz w:val="28"/>
                <w:szCs w:val="28"/>
              </w:rPr>
              <w:t>签订</w:t>
            </w:r>
            <w:r>
              <w:rPr>
                <w:rFonts w:ascii="宋体" w:hAnsi="宋体"/>
                <w:b/>
                <w:sz w:val="28"/>
                <w:szCs w:val="28"/>
              </w:rPr>
              <w:t>地点：</w:t>
            </w:r>
            <w:r>
              <w:rPr>
                <w:rFonts w:hint="eastAsia" w:ascii="宋体" w:hAnsi="宋体"/>
                <w:b/>
                <w:sz w:val="28"/>
                <w:szCs w:val="28"/>
                <w:u w:val="single"/>
                <w:lang w:val="en-US" w:eastAsia="zh-CN"/>
              </w:rPr>
              <w:t xml:space="preserve">                    </w:t>
            </w:r>
          </w:p>
        </w:tc>
      </w:tr>
    </w:tbl>
    <w:p>
      <w:pPr>
        <w:spacing w:line="480" w:lineRule="exact"/>
        <w:rPr>
          <w:rFonts w:hint="eastAsia" w:ascii="宋体" w:hAnsi="宋体"/>
          <w:b/>
          <w:szCs w:val="21"/>
        </w:rPr>
      </w:pPr>
    </w:p>
    <w:p>
      <w:pPr>
        <w:autoSpaceDE w:val="0"/>
        <w:autoSpaceDN w:val="0"/>
        <w:adjustRightInd w:val="0"/>
        <w:snapToGrid w:val="0"/>
        <w:spacing w:line="480" w:lineRule="exact"/>
        <w:rPr>
          <w:rFonts w:ascii="宋体" w:hAnsi="宋体"/>
          <w:b/>
          <w:szCs w:val="21"/>
        </w:rPr>
      </w:pPr>
    </w:p>
    <w:p>
      <w:pPr>
        <w:pStyle w:val="18"/>
      </w:pPr>
    </w:p>
    <w:p/>
    <w:p>
      <w:pPr>
        <w:pStyle w:val="18"/>
      </w:pPr>
    </w:p>
    <w:p/>
    <w:p>
      <w:pPr>
        <w:pStyle w:val="18"/>
      </w:pPr>
    </w:p>
    <w:p/>
    <w:p>
      <w:pPr>
        <w:pStyle w:val="18"/>
      </w:pPr>
    </w:p>
    <w:p/>
    <w:p>
      <w:pPr>
        <w:pStyle w:val="18"/>
        <w:rPr>
          <w:rFonts w:hint="eastAsia"/>
        </w:rPr>
      </w:pPr>
    </w:p>
    <w:p>
      <w:pPr>
        <w:pStyle w:val="171"/>
        <w:tabs>
          <w:tab w:val="left" w:pos="3210"/>
        </w:tabs>
        <w:spacing w:line="480" w:lineRule="exact"/>
        <w:ind w:firstLine="420" w:firstLineChars="200"/>
        <w:rPr>
          <w:rFonts w:hint="eastAsia" w:ascii="宋体" w:hAnsi="宋体" w:eastAsia="宋体" w:cs="宋体"/>
          <w:b/>
          <w:color w:val="000000"/>
          <w:kern w:val="28"/>
          <w:sz w:val="21"/>
          <w:szCs w:val="21"/>
          <w:lang w:eastAsia="zh-CN"/>
        </w:rPr>
      </w:pPr>
      <w:r>
        <w:rPr>
          <w:rFonts w:hint="eastAsia" w:ascii="宋体" w:hAnsi="宋体" w:eastAsia="宋体" w:cs="宋体"/>
          <w:color w:val="000000"/>
          <w:sz w:val="21"/>
          <w:szCs w:val="21"/>
        </w:rPr>
        <w:t>甲方：</w:t>
      </w:r>
      <w:r>
        <w:rPr>
          <w:rFonts w:hint="eastAsia" w:ascii="宋体" w:hAnsi="宋体" w:eastAsia="宋体" w:cs="宋体"/>
          <w:color w:val="000000"/>
          <w:sz w:val="21"/>
          <w:szCs w:val="21"/>
          <w:lang w:val="en-US" w:eastAsia="zh-CN"/>
        </w:rPr>
        <w:t xml:space="preserve"> </w:t>
      </w:r>
    </w:p>
    <w:p>
      <w:pPr>
        <w:pStyle w:val="171"/>
        <w:tabs>
          <w:tab w:val="left" w:pos="3210"/>
        </w:tabs>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地址：</w:t>
      </w:r>
    </w:p>
    <w:p>
      <w:pPr>
        <w:pStyle w:val="171"/>
        <w:tabs>
          <w:tab w:val="left" w:pos="3210"/>
        </w:tabs>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电话：</w:t>
      </w:r>
    </w:p>
    <w:p>
      <w:pPr>
        <w:pStyle w:val="171"/>
        <w:tabs>
          <w:tab w:val="left" w:pos="3210"/>
        </w:tabs>
        <w:spacing w:line="480" w:lineRule="exact"/>
        <w:ind w:firstLine="420" w:firstLineChars="200"/>
        <w:rPr>
          <w:rFonts w:hint="eastAsia" w:ascii="宋体" w:hAnsi="宋体" w:eastAsia="宋体" w:cs="宋体"/>
          <w:color w:val="000000"/>
          <w:sz w:val="21"/>
          <w:szCs w:val="21"/>
        </w:rPr>
      </w:pPr>
    </w:p>
    <w:p>
      <w:pPr>
        <w:pStyle w:val="171"/>
        <w:tabs>
          <w:tab w:val="left" w:pos="3210"/>
        </w:tabs>
        <w:spacing w:line="48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乙方：</w:t>
      </w:r>
      <w:r>
        <w:rPr>
          <w:rFonts w:hint="eastAsia" w:ascii="宋体" w:hAnsi="宋体" w:eastAsia="宋体" w:cs="宋体"/>
          <w:color w:val="000000"/>
          <w:sz w:val="21"/>
          <w:szCs w:val="21"/>
          <w:lang w:val="en-US" w:eastAsia="zh-CN"/>
        </w:rPr>
        <w:t xml:space="preserve"> </w:t>
      </w:r>
    </w:p>
    <w:p>
      <w:pPr>
        <w:pStyle w:val="171"/>
        <w:tabs>
          <w:tab w:val="left" w:pos="3210"/>
        </w:tabs>
        <w:spacing w:line="48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val="en-US" w:eastAsia="zh-CN"/>
        </w:rPr>
        <w:t xml:space="preserve"> </w:t>
      </w:r>
    </w:p>
    <w:p>
      <w:pPr>
        <w:pStyle w:val="171"/>
        <w:tabs>
          <w:tab w:val="left" w:pos="3210"/>
        </w:tabs>
        <w:spacing w:line="480" w:lineRule="exact"/>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 xml:space="preserve"> </w:t>
      </w:r>
    </w:p>
    <w:p>
      <w:pPr>
        <w:pStyle w:val="171"/>
        <w:spacing w:line="480" w:lineRule="exact"/>
        <w:ind w:firstLine="420" w:firstLineChars="200"/>
        <w:rPr>
          <w:rFonts w:hint="eastAsia" w:ascii="宋体" w:hAnsi="宋体" w:eastAsia="宋体" w:cs="宋体"/>
          <w:color w:val="000000"/>
          <w:sz w:val="21"/>
          <w:szCs w:val="21"/>
        </w:rPr>
      </w:pP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根据《广东南都娱乐企业文化综合服务项目采购》的采购结果，按照</w:t>
      </w:r>
      <w:r>
        <w:rPr>
          <w:rFonts w:hint="eastAsia" w:ascii="宋体" w:hAnsi="宋体" w:eastAsia="宋体" w:cs="宋体"/>
          <w:sz w:val="21"/>
          <w:szCs w:val="21"/>
        </w:rPr>
        <w:t>《中华人民共和国政府采购法》、</w:t>
      </w:r>
      <w:r>
        <w:rPr>
          <w:rFonts w:hint="eastAsia" w:ascii="宋体" w:hAnsi="宋体" w:eastAsia="宋体" w:cs="宋体"/>
          <w:color w:val="000000"/>
          <w:sz w:val="21"/>
          <w:szCs w:val="21"/>
        </w:rPr>
        <w:t>《中华人民共和国民法典》的规定，经双方协商，本着平等互利和诚实守信的原则，一致同意签订本合同：</w:t>
      </w:r>
    </w:p>
    <w:p>
      <w:pPr>
        <w:pStyle w:val="171"/>
        <w:spacing w:line="48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一、合同金额</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合同金额：</w:t>
      </w:r>
      <w:bookmarkStart w:id="476" w:name="_Hlk104387840"/>
      <w:r>
        <w:rPr>
          <w:rFonts w:hint="eastAsia" w:ascii="宋体" w:hAnsi="宋体" w:eastAsia="宋体" w:cs="宋体"/>
          <w:color w:val="000000"/>
          <w:sz w:val="21"/>
          <w:szCs w:val="21"/>
        </w:rPr>
        <w:t>¥</w:t>
      </w:r>
      <w:r>
        <w:rPr>
          <w:rFonts w:hint="eastAsia" w:ascii="宋体" w:hAnsi="宋体" w:eastAsia="宋体" w:cs="宋体"/>
          <w:b/>
          <w:sz w:val="21"/>
          <w:szCs w:val="21"/>
          <w:u w:val="single"/>
          <w:lang w:val="en-US" w:eastAsia="zh-CN"/>
        </w:rPr>
        <w:t xml:space="preserve">              </w:t>
      </w:r>
      <w:r>
        <w:rPr>
          <w:rFonts w:hint="eastAsia" w:ascii="宋体" w:hAnsi="宋体" w:eastAsia="宋体" w:cs="宋体"/>
          <w:color w:val="000000"/>
          <w:sz w:val="21"/>
          <w:szCs w:val="21"/>
        </w:rPr>
        <w:t>元（大写：</w:t>
      </w:r>
      <w:r>
        <w:rPr>
          <w:rFonts w:hint="eastAsia" w:ascii="宋体" w:hAnsi="宋体" w:eastAsia="宋体" w:cs="宋体"/>
          <w:b/>
          <w:sz w:val="21"/>
          <w:szCs w:val="21"/>
          <w:u w:val="single"/>
          <w:lang w:val="en-US" w:eastAsia="zh-CN"/>
        </w:rPr>
        <w:t xml:space="preserve">              </w:t>
      </w:r>
      <w:r>
        <w:rPr>
          <w:rFonts w:hint="eastAsia" w:ascii="宋体" w:hAnsi="宋体" w:eastAsia="宋体" w:cs="宋体"/>
          <w:color w:val="000000"/>
          <w:sz w:val="21"/>
          <w:szCs w:val="21"/>
        </w:rPr>
        <w:t>元）</w:t>
      </w:r>
      <w:bookmarkEnd w:id="476"/>
      <w:r>
        <w:rPr>
          <w:rFonts w:hint="eastAsia" w:ascii="宋体" w:hAnsi="宋体" w:eastAsia="宋体" w:cs="宋体"/>
          <w:color w:val="000000"/>
          <w:sz w:val="21"/>
          <w:szCs w:val="21"/>
        </w:rPr>
        <w:t>。</w:t>
      </w:r>
    </w:p>
    <w:p>
      <w:pPr>
        <w:pStyle w:val="171"/>
        <w:spacing w:line="480" w:lineRule="exact"/>
        <w:ind w:firstLine="422" w:firstLineChars="200"/>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二</w:t>
      </w:r>
      <w:r>
        <w:rPr>
          <w:rFonts w:hint="eastAsia" w:ascii="宋体" w:hAnsi="宋体" w:eastAsia="宋体" w:cs="宋体"/>
          <w:b/>
          <w:bCs/>
          <w:color w:val="000000"/>
          <w:sz w:val="21"/>
          <w:szCs w:val="21"/>
        </w:rPr>
        <w:t>、</w:t>
      </w:r>
      <w:r>
        <w:rPr>
          <w:rFonts w:hint="eastAsia" w:ascii="宋体" w:hAnsi="宋体" w:cs="宋体"/>
          <w:b/>
          <w:bCs/>
          <w:color w:val="000000"/>
          <w:sz w:val="21"/>
          <w:szCs w:val="21"/>
          <w:lang w:val="en-US" w:eastAsia="zh-CN"/>
        </w:rPr>
        <w:t>服务地点及服务时间</w:t>
      </w:r>
    </w:p>
    <w:p>
      <w:pPr>
        <w:spacing w:line="360" w:lineRule="auto"/>
        <w:ind w:firstLine="420" w:firstLineChars="200"/>
        <w:rPr>
          <w:rFonts w:ascii="宋体" w:hAnsi="宋体" w:cs="宋体"/>
          <w:color w:val="auto"/>
          <w:szCs w:val="21"/>
        </w:rPr>
      </w:pPr>
      <w:r>
        <w:rPr>
          <w:rFonts w:hint="eastAsia" w:ascii="宋体" w:hAnsi="宋体" w:cs="宋体"/>
          <w:color w:val="auto"/>
          <w:szCs w:val="21"/>
        </w:rPr>
        <w:t>1.服务地点：按甲方指定地点；</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cs="宋体"/>
          <w:color w:val="auto"/>
          <w:szCs w:val="21"/>
        </w:rPr>
        <w:t>2.服务时间：合同签订</w:t>
      </w:r>
      <w:r>
        <w:rPr>
          <w:rFonts w:hint="eastAsia" w:ascii="宋体" w:hAnsi="宋体" w:cs="宋体"/>
          <w:color w:val="auto"/>
          <w:szCs w:val="21"/>
          <w:lang w:val="en-US" w:eastAsia="zh-CN"/>
        </w:rPr>
        <w:t>生效</w:t>
      </w:r>
      <w:r>
        <w:rPr>
          <w:rFonts w:hint="eastAsia" w:ascii="宋体" w:hAnsi="宋体" w:cs="宋体"/>
          <w:color w:val="auto"/>
          <w:szCs w:val="21"/>
        </w:rPr>
        <w:t>之日起</w:t>
      </w:r>
      <w:r>
        <w:rPr>
          <w:rFonts w:hint="eastAsia" w:ascii="宋体" w:hAnsi="宋体"/>
          <w:bCs/>
          <w:color w:val="auto"/>
        </w:rPr>
        <w:t>至</w:t>
      </w:r>
      <w:r>
        <w:rPr>
          <w:rFonts w:ascii="宋体" w:hAnsi="宋体"/>
          <w:bCs/>
          <w:color w:val="auto"/>
        </w:rPr>
        <w:t>2023年</w:t>
      </w:r>
      <w:r>
        <w:rPr>
          <w:rFonts w:hint="eastAsia" w:ascii="宋体" w:hAnsi="宋体"/>
          <w:bCs/>
          <w:color w:val="auto"/>
          <w:lang w:val="en-US" w:eastAsia="zh-CN"/>
        </w:rPr>
        <w:t>10</w:t>
      </w:r>
      <w:r>
        <w:rPr>
          <w:rFonts w:ascii="宋体" w:hAnsi="宋体"/>
          <w:bCs/>
          <w:color w:val="auto"/>
        </w:rPr>
        <w:t>月</w:t>
      </w:r>
      <w:r>
        <w:rPr>
          <w:rFonts w:hint="eastAsia" w:ascii="宋体" w:hAnsi="宋体"/>
          <w:bCs/>
          <w:color w:val="auto"/>
          <w:lang w:val="en-US" w:eastAsia="zh-CN"/>
        </w:rPr>
        <w:t>30</w:t>
      </w:r>
      <w:r>
        <w:rPr>
          <w:rFonts w:ascii="宋体" w:hAnsi="宋体"/>
          <w:bCs/>
          <w:color w:val="auto"/>
        </w:rPr>
        <w:t>日</w:t>
      </w:r>
      <w:r>
        <w:rPr>
          <w:rFonts w:hint="eastAsia" w:ascii="宋体" w:hAnsi="宋体" w:eastAsia="宋体" w:cs="宋体"/>
          <w:color w:val="000000"/>
          <w:sz w:val="21"/>
          <w:szCs w:val="21"/>
        </w:rPr>
        <w:t>。</w:t>
      </w:r>
    </w:p>
    <w:p>
      <w:pPr>
        <w:pStyle w:val="171"/>
        <w:spacing w:line="480" w:lineRule="exact"/>
        <w:ind w:firstLine="422" w:firstLineChars="200"/>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val="en-US" w:eastAsia="zh-CN"/>
        </w:rPr>
        <w:t>三</w:t>
      </w:r>
      <w:r>
        <w:rPr>
          <w:rFonts w:hint="eastAsia" w:ascii="宋体" w:hAnsi="宋体" w:eastAsia="宋体" w:cs="宋体"/>
          <w:b/>
          <w:bCs/>
          <w:color w:val="000000"/>
          <w:sz w:val="21"/>
          <w:szCs w:val="21"/>
        </w:rPr>
        <w:t>、项目</w:t>
      </w:r>
      <w:r>
        <w:rPr>
          <w:rFonts w:hint="eastAsia" w:ascii="宋体" w:hAnsi="宋体" w:eastAsia="宋体" w:cs="宋体"/>
          <w:b/>
          <w:bCs/>
          <w:color w:val="000000"/>
          <w:sz w:val="21"/>
          <w:szCs w:val="21"/>
          <w:lang w:val="en-US" w:eastAsia="zh-CN"/>
        </w:rPr>
        <w:t>目标</w:t>
      </w:r>
    </w:p>
    <w:p>
      <w:pPr>
        <w:pStyle w:val="171"/>
        <w:widowControl w:val="0"/>
        <w:spacing w:line="480" w:lineRule="exact"/>
        <w:ind w:firstLine="420" w:firstLineChars="200"/>
        <w:jc w:val="both"/>
        <w:rPr>
          <w:rFonts w:hint="eastAsia" w:ascii="宋体" w:hAnsi="宋体" w:eastAsia="宋体" w:cs="宋体"/>
          <w:b/>
          <w:color w:val="000000"/>
          <w:sz w:val="21"/>
          <w:szCs w:val="21"/>
        </w:rPr>
      </w:pPr>
      <w:r>
        <w:rPr>
          <w:rFonts w:hint="eastAsia" w:ascii="宋体" w:hAnsi="宋体" w:eastAsia="宋体" w:cs="宋体"/>
          <w:color w:val="000000"/>
          <w:sz w:val="21"/>
          <w:szCs w:val="21"/>
        </w:rPr>
        <w:t>建设与现代企业相适应、具有特色的企业文化，是当前每一个企业的一项十分重要的工作，是实现跨越式发展，打造企业品牌的重要保证。为了巩固并加强企业文化建设成果，系统性、全面性地开展企业文化工作，促使全员统一思想，并在实际工作行为中践行，打造并推广品牌，结合</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对特色企业文化建设实际状况和目标需求，</w:t>
      </w:r>
      <w:r>
        <w:rPr>
          <w:rFonts w:hint="eastAsia" w:ascii="宋体" w:hAnsi="宋体" w:eastAsia="宋体" w:cs="宋体"/>
          <w:color w:val="000000"/>
          <w:sz w:val="21"/>
          <w:szCs w:val="21"/>
          <w:lang w:val="en-US" w:eastAsia="zh-CN"/>
        </w:rPr>
        <w:t>由</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提供相关企业文化综合服务，丰富相关企业文化活动，打造相关企业品牌矩阵，形成企业文化影响力</w:t>
      </w:r>
      <w:r>
        <w:rPr>
          <w:rFonts w:hint="eastAsia" w:ascii="宋体" w:hAnsi="宋体" w:eastAsia="宋体" w:cs="宋体"/>
          <w:color w:val="000000"/>
          <w:sz w:val="21"/>
          <w:szCs w:val="21"/>
          <w:lang w:val="hr-HR"/>
        </w:rPr>
        <w:t>。</w:t>
      </w:r>
    </w:p>
    <w:p>
      <w:pPr>
        <w:pStyle w:val="171"/>
        <w:spacing w:line="48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四</w:t>
      </w:r>
      <w:r>
        <w:rPr>
          <w:rFonts w:hint="eastAsia" w:ascii="宋体" w:hAnsi="宋体" w:eastAsia="宋体" w:cs="宋体"/>
          <w:b/>
          <w:bCs/>
          <w:color w:val="000000"/>
          <w:sz w:val="21"/>
          <w:szCs w:val="21"/>
        </w:rPr>
        <w:t>、服务范围</w:t>
      </w:r>
    </w:p>
    <w:p>
      <w:pPr>
        <w:pStyle w:val="171"/>
        <w:widowControl w:val="0"/>
        <w:spacing w:line="480" w:lineRule="exact"/>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组织开展</w:t>
      </w:r>
      <w:r>
        <w:rPr>
          <w:rFonts w:hint="eastAsia" w:ascii="宋体" w:hAnsi="宋体" w:eastAsia="宋体" w:cs="宋体"/>
          <w:color w:val="000000"/>
          <w:sz w:val="21"/>
          <w:szCs w:val="21"/>
          <w:lang w:val="en-US" w:eastAsia="zh-CN"/>
        </w:rPr>
        <w:t>针对甲方指定</w:t>
      </w:r>
      <w:r>
        <w:rPr>
          <w:rFonts w:hint="eastAsia" w:ascii="宋体" w:hAnsi="宋体" w:eastAsia="宋体" w:cs="宋体"/>
          <w:color w:val="000000"/>
          <w:sz w:val="21"/>
          <w:szCs w:val="21"/>
        </w:rPr>
        <w:t>企业文化活动建设服务。</w:t>
      </w:r>
    </w:p>
    <w:p>
      <w:pPr>
        <w:pStyle w:val="171"/>
        <w:widowControl w:val="0"/>
        <w:spacing w:line="480" w:lineRule="exact"/>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组织开展线上文化品牌内容服务。</w:t>
      </w:r>
    </w:p>
    <w:p>
      <w:pPr>
        <w:pStyle w:val="171"/>
        <w:widowControl w:val="0"/>
        <w:spacing w:line="480" w:lineRule="exact"/>
        <w:ind w:firstLine="420" w:firstLineChars="200"/>
        <w:jc w:val="both"/>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组织开展企业文化宣传视频拍摄服务。</w:t>
      </w:r>
    </w:p>
    <w:p>
      <w:pPr>
        <w:pStyle w:val="171"/>
        <w:widowControl w:val="0"/>
        <w:spacing w:line="480" w:lineRule="exact"/>
        <w:ind w:firstLine="420" w:firstLineChars="200"/>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4、组织开展企业文创产品及礼品定制服务。</w:t>
      </w:r>
    </w:p>
    <w:p>
      <w:pPr>
        <w:pStyle w:val="171"/>
        <w:spacing w:line="480" w:lineRule="exact"/>
        <w:ind w:firstLine="422" w:firstLineChars="200"/>
        <w:jc w:val="both"/>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五</w:t>
      </w:r>
      <w:r>
        <w:rPr>
          <w:rFonts w:hint="eastAsia" w:ascii="宋体" w:hAnsi="宋体" w:eastAsia="宋体" w:cs="宋体"/>
          <w:b/>
          <w:color w:val="000000"/>
          <w:sz w:val="21"/>
          <w:szCs w:val="21"/>
        </w:rPr>
        <w:t>、双方的权利和义务</w:t>
      </w:r>
    </w:p>
    <w:p>
      <w:pPr>
        <w:autoSpaceDE w:val="0"/>
        <w:autoSpaceDN w:val="0"/>
        <w:adjustRightInd w:val="0"/>
        <w:snapToGrid w:val="0"/>
        <w:spacing w:line="480" w:lineRule="exact"/>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（一） 甲方的权利和义务</w:t>
      </w:r>
    </w:p>
    <w:p>
      <w:pPr>
        <w:autoSpaceDE w:val="0"/>
        <w:autoSpaceDN w:val="0"/>
        <w:adjustRightInd w:val="0"/>
        <w:snapToGrid w:val="0"/>
        <w:spacing w:line="480" w:lineRule="exact"/>
        <w:ind w:firstLine="371" w:firstLineChars="177"/>
        <w:rPr>
          <w:rFonts w:hint="eastAsia" w:ascii="宋体" w:hAnsi="宋体" w:eastAsia="宋体" w:cs="宋体"/>
          <w:kern w:val="0"/>
          <w:sz w:val="21"/>
          <w:szCs w:val="21"/>
        </w:rPr>
      </w:pPr>
      <w:r>
        <w:rPr>
          <w:rFonts w:hint="eastAsia" w:ascii="宋体" w:hAnsi="宋体" w:eastAsia="宋体" w:cs="宋体"/>
          <w:kern w:val="0"/>
          <w:sz w:val="21"/>
          <w:szCs w:val="21"/>
        </w:rPr>
        <w:t>1、甲方负责项目的统筹开展，指导乙方制定各项任务的实施方案与计划。</w:t>
      </w:r>
    </w:p>
    <w:p>
      <w:pPr>
        <w:autoSpaceDE w:val="0"/>
        <w:autoSpaceDN w:val="0"/>
        <w:adjustRightInd w:val="0"/>
        <w:snapToGrid w:val="0"/>
        <w:spacing w:line="480" w:lineRule="exact"/>
        <w:ind w:firstLine="371" w:firstLineChars="177"/>
        <w:rPr>
          <w:rFonts w:hint="eastAsia" w:ascii="宋体" w:hAnsi="宋体" w:eastAsia="宋体" w:cs="宋体"/>
          <w:kern w:val="0"/>
          <w:sz w:val="21"/>
          <w:szCs w:val="21"/>
        </w:rPr>
      </w:pPr>
      <w:r>
        <w:rPr>
          <w:rFonts w:hint="eastAsia" w:ascii="宋体" w:hAnsi="宋体" w:eastAsia="宋体" w:cs="宋体"/>
          <w:kern w:val="0"/>
          <w:sz w:val="21"/>
          <w:szCs w:val="21"/>
        </w:rPr>
        <w:t>2、甲方有权对乙方</w:t>
      </w:r>
      <w:r>
        <w:rPr>
          <w:rFonts w:hint="eastAsia" w:ascii="宋体" w:hAnsi="宋体" w:eastAsia="宋体" w:cs="宋体"/>
          <w:kern w:val="0"/>
          <w:sz w:val="21"/>
          <w:szCs w:val="21"/>
          <w:lang w:val="en-US" w:eastAsia="zh-CN"/>
        </w:rPr>
        <w:t>的服务</w:t>
      </w:r>
      <w:r>
        <w:rPr>
          <w:rFonts w:hint="eastAsia" w:ascii="宋体" w:hAnsi="宋体" w:eastAsia="宋体" w:cs="宋体"/>
          <w:kern w:val="0"/>
          <w:sz w:val="21"/>
          <w:szCs w:val="21"/>
        </w:rPr>
        <w:t>开展进行监督与考核，并提出指导意见与建议。</w:t>
      </w:r>
    </w:p>
    <w:p>
      <w:pPr>
        <w:autoSpaceDE w:val="0"/>
        <w:autoSpaceDN w:val="0"/>
        <w:adjustRightInd w:val="0"/>
        <w:snapToGrid w:val="0"/>
        <w:spacing w:line="480" w:lineRule="exact"/>
        <w:ind w:firstLine="371" w:firstLineChars="177"/>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、甲方应为乙方在项目实施中提供必要的帮助，应对乙方在项目开展中遇到的问题给予积极的指导与协助，共同商讨问题的解决办法，确保项目顺利推进。</w:t>
      </w:r>
    </w:p>
    <w:p>
      <w:pPr>
        <w:autoSpaceDE w:val="0"/>
        <w:autoSpaceDN w:val="0"/>
        <w:adjustRightInd w:val="0"/>
        <w:snapToGrid w:val="0"/>
        <w:spacing w:line="480" w:lineRule="exact"/>
        <w:ind w:firstLine="315" w:firstLineChars="150"/>
        <w:rPr>
          <w:rFonts w:hint="eastAsia" w:ascii="宋体" w:hAnsi="宋体" w:eastAsia="宋体" w:cs="宋体"/>
          <w:kern w:val="0"/>
          <w:sz w:val="21"/>
          <w:szCs w:val="21"/>
        </w:rPr>
      </w:pPr>
      <w:r>
        <w:rPr>
          <w:rFonts w:hint="eastAsia" w:ascii="宋体" w:hAnsi="宋体" w:eastAsia="宋体" w:cs="宋体"/>
          <w:kern w:val="0"/>
          <w:sz w:val="21"/>
          <w:szCs w:val="21"/>
        </w:rPr>
        <w:t>（二）乙方的权利和义务</w:t>
      </w:r>
    </w:p>
    <w:p>
      <w:pPr>
        <w:pStyle w:val="171"/>
        <w:spacing w:line="48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企业文化活动建设服务</w:t>
      </w:r>
    </w:p>
    <w:p>
      <w:pPr>
        <w:pStyle w:val="171"/>
        <w:spacing w:line="48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根据</w:t>
      </w:r>
      <w:r>
        <w:rPr>
          <w:rFonts w:hint="eastAsia" w:ascii="宋体" w:hAnsi="宋体" w:eastAsia="宋体" w:cs="宋体"/>
          <w:bCs/>
          <w:color w:val="000000"/>
          <w:sz w:val="21"/>
          <w:szCs w:val="21"/>
          <w:lang w:eastAsia="zh-CN"/>
        </w:rPr>
        <w:t>甲方</w:t>
      </w:r>
      <w:r>
        <w:rPr>
          <w:rFonts w:hint="eastAsia" w:ascii="宋体" w:hAnsi="宋体" w:eastAsia="宋体" w:cs="宋体"/>
          <w:bCs/>
          <w:color w:val="000000"/>
          <w:sz w:val="21"/>
          <w:szCs w:val="21"/>
        </w:rPr>
        <w:t>需求，为指定企业策划执行不少于10场线下创意企业文化活动，策划执行不少于6场线上创意企业文化活动，丰富企业文化活动，营造企业文化氛围。</w:t>
      </w:r>
    </w:p>
    <w:p>
      <w:pPr>
        <w:pStyle w:val="171"/>
        <w:spacing w:line="48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线上文化品牌内容服务</w:t>
      </w:r>
    </w:p>
    <w:p>
      <w:pPr>
        <w:pStyle w:val="171"/>
        <w:spacing w:line="48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根据</w:t>
      </w:r>
      <w:r>
        <w:rPr>
          <w:rFonts w:hint="eastAsia" w:ascii="宋体" w:hAnsi="宋体" w:eastAsia="宋体" w:cs="宋体"/>
          <w:bCs/>
          <w:color w:val="000000"/>
          <w:sz w:val="21"/>
          <w:szCs w:val="21"/>
          <w:lang w:eastAsia="zh-CN"/>
        </w:rPr>
        <w:t>甲方</w:t>
      </w:r>
      <w:r>
        <w:rPr>
          <w:rFonts w:hint="eastAsia" w:ascii="宋体" w:hAnsi="宋体" w:eastAsia="宋体" w:cs="宋体"/>
          <w:bCs/>
          <w:color w:val="000000"/>
          <w:sz w:val="21"/>
          <w:szCs w:val="21"/>
        </w:rPr>
        <w:t>的要求，在</w:t>
      </w:r>
      <w:r>
        <w:rPr>
          <w:rFonts w:hint="eastAsia" w:ascii="宋体" w:hAnsi="宋体" w:eastAsia="宋体" w:cs="宋体"/>
          <w:bCs/>
          <w:color w:val="000000"/>
          <w:sz w:val="21"/>
          <w:szCs w:val="21"/>
          <w:lang w:eastAsia="zh-CN"/>
        </w:rPr>
        <w:t>甲方</w:t>
      </w:r>
      <w:r>
        <w:rPr>
          <w:rFonts w:hint="eastAsia" w:ascii="宋体" w:hAnsi="宋体" w:eastAsia="宋体" w:cs="宋体"/>
          <w:bCs/>
          <w:color w:val="000000"/>
          <w:sz w:val="21"/>
          <w:szCs w:val="21"/>
        </w:rPr>
        <w:t>指定地点（全国范围内）拍摄不少于30场活动的相关照片，照片类型包括但不限于人物、景物、现场图等。</w:t>
      </w:r>
    </w:p>
    <w:p>
      <w:pPr>
        <w:pStyle w:val="171"/>
        <w:spacing w:line="48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根据</w:t>
      </w:r>
      <w:r>
        <w:rPr>
          <w:rFonts w:hint="eastAsia" w:ascii="宋体" w:hAnsi="宋体" w:eastAsia="宋体" w:cs="宋体"/>
          <w:bCs/>
          <w:color w:val="000000"/>
          <w:sz w:val="21"/>
          <w:szCs w:val="21"/>
          <w:lang w:eastAsia="zh-CN"/>
        </w:rPr>
        <w:t>甲方</w:t>
      </w:r>
      <w:r>
        <w:rPr>
          <w:rFonts w:hint="eastAsia" w:ascii="宋体" w:hAnsi="宋体" w:eastAsia="宋体" w:cs="宋体"/>
          <w:bCs/>
          <w:color w:val="000000"/>
          <w:sz w:val="21"/>
          <w:szCs w:val="21"/>
        </w:rPr>
        <w:t>微信及相关运营需求，保质保量完成不少于30项设计服务，包括3D建模设计、VI设计、H5、条漫、插画、图片处理等。</w:t>
      </w:r>
    </w:p>
    <w:p>
      <w:pPr>
        <w:pStyle w:val="171"/>
        <w:spacing w:line="48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开展微信KPI数据服务，在合同服务周期内按KPI保质保量完成全年总阅读量≥2980000，平均阅读量≥9600，新增粉丝≥16000，点赞数≥15000，在看数≥6000的任务要求。</w:t>
      </w:r>
    </w:p>
    <w:p>
      <w:pPr>
        <w:pStyle w:val="171"/>
        <w:spacing w:line="48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企业文化宣传视频拍摄服务</w:t>
      </w:r>
    </w:p>
    <w:p>
      <w:pPr>
        <w:pStyle w:val="171"/>
        <w:spacing w:line="480" w:lineRule="exact"/>
        <w:ind w:firstLine="420" w:firstLineChars="200"/>
        <w:jc w:val="both"/>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（1）</w:t>
      </w:r>
      <w:r>
        <w:rPr>
          <w:rFonts w:hint="eastAsia"/>
          <w:highlight w:val="none"/>
          <w:lang w:val="en-US" w:eastAsia="zh-CN"/>
        </w:rPr>
        <w:t>服务期间乙方</w:t>
      </w:r>
      <w:r>
        <w:rPr>
          <w:rFonts w:hint="eastAsia" w:ascii="宋体" w:hAnsi="宋体" w:eastAsia="宋体" w:cs="宋体"/>
          <w:bCs/>
          <w:color w:val="000000"/>
          <w:sz w:val="21"/>
          <w:szCs w:val="21"/>
        </w:rPr>
        <w:t>根据</w:t>
      </w:r>
      <w:r>
        <w:rPr>
          <w:rFonts w:hint="eastAsia" w:ascii="宋体" w:hAnsi="宋体" w:eastAsia="宋体" w:cs="宋体"/>
          <w:bCs/>
          <w:color w:val="000000"/>
          <w:sz w:val="21"/>
          <w:szCs w:val="21"/>
          <w:lang w:eastAsia="zh-CN"/>
        </w:rPr>
        <w:t>甲方</w:t>
      </w:r>
      <w:r>
        <w:rPr>
          <w:rFonts w:hint="eastAsia" w:ascii="宋体" w:hAnsi="宋体" w:eastAsia="宋体" w:cs="宋体"/>
          <w:bCs/>
          <w:color w:val="000000"/>
          <w:sz w:val="21"/>
          <w:szCs w:val="21"/>
        </w:rPr>
        <w:t>要求完成拍摄室内短视频拍摄3条，完成</w:t>
      </w:r>
      <w:r>
        <w:rPr>
          <w:rFonts w:hint="eastAsia" w:ascii="宋体" w:hAnsi="宋体" w:eastAsia="宋体" w:cs="宋体"/>
          <w:bCs/>
          <w:color w:val="000000"/>
          <w:sz w:val="21"/>
          <w:szCs w:val="21"/>
          <w:lang w:val="en-US" w:eastAsia="zh-CN"/>
        </w:rPr>
        <w:t>指定</w:t>
      </w:r>
      <w:r>
        <w:rPr>
          <w:rFonts w:hint="eastAsia" w:ascii="宋体" w:hAnsi="宋体" w:eastAsia="宋体" w:cs="宋体"/>
          <w:bCs/>
          <w:color w:val="000000"/>
          <w:sz w:val="21"/>
          <w:szCs w:val="21"/>
        </w:rPr>
        <w:t>人物采访3条，根据全年活动素材剪辑完成反映企业文化的纪录片1条。</w:t>
      </w:r>
      <w:r>
        <w:rPr>
          <w:rFonts w:hint="eastAsia" w:ascii="宋体" w:hAnsi="宋体" w:eastAsia="宋体" w:cs="宋体"/>
          <w:bCs/>
          <w:color w:val="000000"/>
          <w:sz w:val="21"/>
          <w:szCs w:val="21"/>
          <w:lang w:val="en-US" w:eastAsia="zh-CN"/>
        </w:rPr>
        <w:t>每次拍摄在</w:t>
      </w:r>
      <w:r>
        <w:rPr>
          <w:rFonts w:hint="eastAsia" w:ascii="宋体" w:hAnsi="宋体" w:eastAsia="宋体" w:cs="宋体"/>
          <w:bCs/>
          <w:color w:val="000000"/>
          <w:sz w:val="21"/>
          <w:szCs w:val="21"/>
        </w:rPr>
        <w:t>接到相关需求</w:t>
      </w:r>
      <w:r>
        <w:rPr>
          <w:rFonts w:hint="eastAsia" w:ascii="宋体" w:hAnsi="宋体" w:eastAsia="宋体" w:cs="宋体"/>
          <w:bCs/>
          <w:color w:val="000000"/>
          <w:sz w:val="21"/>
          <w:szCs w:val="21"/>
          <w:lang w:val="en-US" w:eastAsia="zh-CN"/>
        </w:rPr>
        <w:t>后乙方需在</w:t>
      </w:r>
      <w:r>
        <w:rPr>
          <w:rFonts w:hint="eastAsia" w:ascii="宋体" w:hAnsi="宋体" w:eastAsia="宋体" w:cs="宋体"/>
          <w:bCs/>
          <w:color w:val="000000"/>
          <w:sz w:val="21"/>
          <w:szCs w:val="21"/>
        </w:rPr>
        <w:t>十天完成相关文案及制作</w:t>
      </w:r>
      <w:r>
        <w:rPr>
          <w:rFonts w:hint="eastAsia" w:ascii="宋体" w:hAnsi="宋体" w:eastAsia="宋体" w:cs="宋体"/>
          <w:bCs/>
          <w:color w:val="000000"/>
          <w:sz w:val="21"/>
          <w:szCs w:val="21"/>
          <w:lang w:eastAsia="zh-CN"/>
        </w:rPr>
        <w:t>。</w:t>
      </w:r>
      <w:r>
        <w:rPr>
          <w:rFonts w:hint="eastAsia"/>
          <w:highlight w:val="none"/>
          <w:lang w:eastAsia="zh-CN"/>
        </w:rPr>
        <w:t>（</w:t>
      </w:r>
      <w:r>
        <w:rPr>
          <w:rFonts w:hint="eastAsia"/>
          <w:highlight w:val="none"/>
          <w:lang w:val="en-US" w:eastAsia="zh-CN"/>
        </w:rPr>
        <w:t>以上数量为预估数量，最终以甲方实际需求为准</w:t>
      </w:r>
      <w:r>
        <w:rPr>
          <w:rFonts w:hint="eastAsia"/>
          <w:highlight w:val="none"/>
          <w:lang w:eastAsia="zh-CN"/>
        </w:rPr>
        <w:t>）</w:t>
      </w:r>
    </w:p>
    <w:p>
      <w:pPr>
        <w:pStyle w:val="171"/>
        <w:spacing w:line="48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（2）服务期间乙方</w:t>
      </w:r>
      <w:r>
        <w:rPr>
          <w:rFonts w:hint="eastAsia" w:ascii="宋体" w:hAnsi="宋体" w:eastAsia="宋体" w:cs="宋体"/>
          <w:bCs/>
          <w:color w:val="000000"/>
          <w:sz w:val="21"/>
          <w:szCs w:val="21"/>
        </w:rPr>
        <w:t>配合拍摄需要，提供服化道服务，包括8次在指定地区（全国范围内）聘请专业化妆师为出镜人员化妆，租赁相关服装及道具，10次在指定服务范围内（指全国范围内）提供车辆租赁服务，为</w:t>
      </w:r>
      <w:r>
        <w:rPr>
          <w:rFonts w:hint="eastAsia" w:ascii="宋体" w:hAnsi="宋体" w:eastAsia="宋体" w:cs="宋体"/>
          <w:bCs/>
          <w:color w:val="000000"/>
          <w:sz w:val="21"/>
          <w:szCs w:val="21"/>
          <w:lang w:eastAsia="zh-CN"/>
        </w:rPr>
        <w:t>甲方</w:t>
      </w:r>
      <w:r>
        <w:rPr>
          <w:rFonts w:hint="eastAsia" w:ascii="宋体" w:hAnsi="宋体" w:eastAsia="宋体" w:cs="宋体"/>
          <w:bCs/>
          <w:color w:val="000000"/>
          <w:sz w:val="21"/>
          <w:szCs w:val="21"/>
        </w:rPr>
        <w:t>指定工作人员跨城市服务提供高铁或飞机等交通服务及住宿安排服务6次。</w:t>
      </w:r>
    </w:p>
    <w:p>
      <w:pPr>
        <w:pStyle w:val="171"/>
        <w:spacing w:line="48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（四）企业文创产品及礼品定制</w:t>
      </w:r>
    </w:p>
    <w:p>
      <w:pPr>
        <w:pStyle w:val="171"/>
        <w:spacing w:line="48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1、文创产品定制：根据</w:t>
      </w:r>
      <w:r>
        <w:rPr>
          <w:rFonts w:hint="eastAsia" w:ascii="宋体" w:hAnsi="宋体" w:eastAsia="宋体" w:cs="宋体"/>
          <w:bCs/>
          <w:color w:val="000000"/>
          <w:sz w:val="21"/>
          <w:szCs w:val="21"/>
          <w:lang w:eastAsia="zh-CN"/>
        </w:rPr>
        <w:t>甲方</w:t>
      </w:r>
      <w:r>
        <w:rPr>
          <w:rFonts w:hint="eastAsia" w:ascii="宋体" w:hAnsi="宋体" w:eastAsia="宋体" w:cs="宋体"/>
          <w:bCs/>
          <w:color w:val="000000"/>
          <w:sz w:val="21"/>
          <w:szCs w:val="21"/>
        </w:rPr>
        <w:t>指定IP形象，开发文创周边产品，产品定制应紧密结合企业文化及员工需求，包括且不限于办公用品、出差用品、车载装饰等，全年定制不少于8件单品，单个产品制作不少于200件。</w:t>
      </w:r>
    </w:p>
    <w:p>
      <w:pPr>
        <w:pStyle w:val="171"/>
        <w:spacing w:line="480" w:lineRule="exact"/>
        <w:ind w:firstLine="420" w:firstLineChars="200"/>
        <w:jc w:val="both"/>
        <w:rPr>
          <w:rFonts w:hint="eastAsia" w:ascii="宋体" w:hAnsi="宋体" w:eastAsia="宋体" w:cs="宋体"/>
          <w:bCs/>
          <w:color w:val="000000"/>
          <w:sz w:val="21"/>
          <w:szCs w:val="21"/>
        </w:rPr>
      </w:pPr>
      <w:r>
        <w:rPr>
          <w:rFonts w:hint="eastAsia" w:ascii="宋体" w:hAnsi="宋体" w:eastAsia="宋体" w:cs="宋体"/>
          <w:bCs/>
          <w:color w:val="000000"/>
          <w:sz w:val="21"/>
          <w:szCs w:val="21"/>
        </w:rPr>
        <w:t>2、礼品定制：根据</w:t>
      </w:r>
      <w:r>
        <w:rPr>
          <w:rFonts w:hint="eastAsia" w:ascii="宋体" w:hAnsi="宋体" w:eastAsia="宋体" w:cs="宋体"/>
          <w:bCs/>
          <w:color w:val="000000"/>
          <w:sz w:val="21"/>
          <w:szCs w:val="21"/>
          <w:lang w:eastAsia="zh-CN"/>
        </w:rPr>
        <w:t>甲方</w:t>
      </w:r>
      <w:r>
        <w:rPr>
          <w:rFonts w:hint="eastAsia" w:ascii="宋体" w:hAnsi="宋体" w:eastAsia="宋体" w:cs="宋体"/>
          <w:bCs/>
          <w:color w:val="000000"/>
          <w:sz w:val="21"/>
          <w:szCs w:val="21"/>
        </w:rPr>
        <w:t>活动需求，定制活动礼品，包括且不限于购物卡、视频网站年卡、水果卡、咖啡</w:t>
      </w:r>
      <w:r>
        <w:rPr>
          <w:rFonts w:hint="eastAsia" w:ascii="宋体" w:hAnsi="宋体" w:cs="宋体"/>
          <w:bCs/>
          <w:color w:val="000000"/>
          <w:sz w:val="21"/>
          <w:szCs w:val="21"/>
          <w:lang w:val="en-US" w:eastAsia="zh-CN"/>
        </w:rPr>
        <w:t>券</w:t>
      </w:r>
      <w:r>
        <w:rPr>
          <w:rFonts w:hint="eastAsia" w:ascii="宋体" w:hAnsi="宋体" w:eastAsia="宋体" w:cs="宋体"/>
          <w:bCs/>
          <w:color w:val="000000"/>
          <w:sz w:val="21"/>
          <w:szCs w:val="21"/>
        </w:rPr>
        <w:t>、电影票、鼠标垫、茶杯、汽车模型、气球、光剑、公仔摆件、多肉、仿真樱花树、装饰礼品盒等。</w:t>
      </w:r>
    </w:p>
    <w:p>
      <w:pPr>
        <w:pStyle w:val="171"/>
        <w:spacing w:line="480" w:lineRule="exact"/>
        <w:ind w:firstLine="422" w:firstLineChars="200"/>
        <w:jc w:val="both"/>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六</w:t>
      </w:r>
      <w:r>
        <w:rPr>
          <w:rFonts w:hint="eastAsia" w:ascii="宋体" w:hAnsi="宋体" w:eastAsia="宋体" w:cs="宋体"/>
          <w:b/>
          <w:color w:val="000000"/>
          <w:sz w:val="21"/>
          <w:szCs w:val="21"/>
        </w:rPr>
        <w:t>、本项目服务的相关要求</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（一）总体要求</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1、乙方需根据甲方的意见和建议确定具体活动执行的时间日期，且涉及有关方案编制的服务内容，均必须在完成方案编制后及时提交甲方进行审核，经甲方最终审核并确认通过后方可进行组织实施工作；</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乙方应该充分理解本项目服务内容的基础上，同时应当积极、主动听取甲方的合理的意见和建议；若因乙方自身原因导致服务工作出现失误的，由此而产生的有关法律责任及带来的经济损失均由乙方自行负责并承担，若发生重大失误至使项目无法开展的，甲方有权单方面终止合同的履行，所带来的一切损失均由乙方自行负责并承担，同时须赔偿因此给甲方造成的全部损失。</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（二）服务执行要求</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在企业文化活动开展方面，乙方需为甲方提供全面的切实可行的线上及线下的活动方案及并完成活动组织实施，落实活动执行过程中涉及的主KV及延伸设计、物料制作、现场搭建、场地租赁、设备器材、数据记录维护、活动咨询等；每次活动需配备2名或以上工作人员，确保活动顺利完成。</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2、在线上文化品牌内容服务方面，需积极快速响应甲方需求，按质按量按时完成相关任务。</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在企业文化宣传视频拍摄方面，乙方需承担创意故事脚本及拍摄脚本的撰写、相关演员的聘请、拍摄场地的租赁、专业拍摄设备的配备，交通住宿的安排等工作，并根据题材选择音乐音效、视频特效、字幕、配音，对视频素材进行剪辑（视频要求：视频格式：MP4或者MOV格式；视频编码：H.264；视频尺寸：1920×1080；视频码率：10Mbps；音频制式：AAC；音频采样率：48KHz；剪辑要求：精剪+达芬奇调色），完成指定数量的符合甲方需求的视频成果展现。</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4、在企业文创产品及礼品定制方面，乙方需根据甲方要求，充分了解企业需求，保证文创产品及礼品体现企业文化特点，并为甲方提供从设计、开模、打样、制作、配送的全套服务。</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（三）服务团队要求</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乙方组建专职服务团队，项目负责人要求本科及以上学历，具有5年及以上的同类项目经验，相关从业经验丰富。专职服务团队人员包括策划、营销、企业文化研究、新媒体运营等共</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lang w:val="en-US" w:eastAsia="zh-CN"/>
        </w:rPr>
        <w:t>人。服务团队人员须经过甲方认可，如不能达到服务要求，乙方须在甲方提出相应要求后7个工作日内更换服务人员。</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（四）其他要求</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知识产权的要求：乙方应保证本项目提供的所有服务不会产生因第三方提出侵犯其合法权益，包括但不限于名誉权、隐私权、肖像权、专利权、商标权或其他知识产权等而引起的法律和经济纠纷；如与第三方因上述权益产生法律纠纷，则一切法律责任由乙方承担。</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2、乙方须根据自身服务方案在响应文件中列明需要甲方配合的工作内容。</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3、乙方应充分运用其拥有的资源和能力，尽职尽责为甲方服务，按时、按质、按量完成甲方委托的业务。</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4、乙方应尊重和服从甲方的领导和管理，配合甲方的工作安排。</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（五）服务保障</w:t>
      </w:r>
    </w:p>
    <w:p>
      <w:pPr>
        <w:pStyle w:val="171"/>
        <w:spacing w:line="480" w:lineRule="exact"/>
        <w:ind w:firstLine="420" w:firstLineChars="200"/>
        <w:jc w:val="both"/>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合同有效期内，乙方须提供每周7个工作日×12小时热线和长期免费服务支持，无条件响应甲方在该项目上的时间安排，对甲方的服务通知，乙方在接报后2小时内响应。</w:t>
      </w:r>
    </w:p>
    <w:p>
      <w:pPr>
        <w:pStyle w:val="171"/>
        <w:spacing w:line="48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七</w:t>
      </w:r>
      <w:r>
        <w:rPr>
          <w:rFonts w:hint="eastAsia" w:ascii="宋体" w:hAnsi="宋体" w:eastAsia="宋体" w:cs="宋体"/>
          <w:b/>
          <w:bCs/>
          <w:color w:val="000000"/>
          <w:sz w:val="21"/>
          <w:szCs w:val="21"/>
        </w:rPr>
        <w:t>、付款方式及要求</w:t>
      </w:r>
    </w:p>
    <w:p>
      <w:pPr>
        <w:pStyle w:val="171"/>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合同签订</w:t>
      </w:r>
      <w:r>
        <w:rPr>
          <w:rFonts w:hint="eastAsia" w:ascii="宋体" w:hAnsi="宋体" w:cs="宋体"/>
          <w:sz w:val="21"/>
          <w:szCs w:val="21"/>
          <w:lang w:val="en-US" w:eastAsia="zh-CN"/>
        </w:rPr>
        <w:t>后甲方自收到乙方开具的增值税专用发票十五</w:t>
      </w:r>
      <w:r>
        <w:rPr>
          <w:rFonts w:hint="eastAsia" w:ascii="宋体" w:hAnsi="宋体" w:eastAsia="宋体" w:cs="宋体"/>
          <w:sz w:val="21"/>
          <w:szCs w:val="21"/>
        </w:rPr>
        <w:t>个工作日内，甲方向乙方支付合同总额的</w:t>
      </w:r>
      <w:r>
        <w:rPr>
          <w:rFonts w:hint="eastAsia" w:ascii="宋体" w:hAnsi="宋体" w:eastAsia="宋体" w:cs="宋体"/>
          <w:sz w:val="21"/>
          <w:szCs w:val="21"/>
          <w:lang w:val="en-US" w:eastAsia="zh-CN"/>
        </w:rPr>
        <w:t>5</w:t>
      </w:r>
      <w:r>
        <w:rPr>
          <w:rFonts w:hint="eastAsia" w:ascii="宋体" w:hAnsi="宋体" w:eastAsia="宋体" w:cs="宋体"/>
          <w:sz w:val="21"/>
          <w:szCs w:val="21"/>
        </w:rPr>
        <w:t>0%</w:t>
      </w:r>
      <w:bookmarkStart w:id="477" w:name="_Hlk104387866"/>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即</w:t>
      </w:r>
      <w:r>
        <w:rPr>
          <w:rFonts w:hint="eastAsia" w:ascii="宋体" w:hAnsi="宋体" w:eastAsia="宋体" w:cs="宋体"/>
          <w:color w:val="000000"/>
          <w:sz w:val="21"/>
          <w:szCs w:val="21"/>
        </w:rPr>
        <w:t>¥</w:t>
      </w:r>
      <w:r>
        <w:rPr>
          <w:rFonts w:hint="eastAsia" w:ascii="宋体" w:hAnsi="宋体" w:eastAsia="宋体" w:cs="宋体"/>
          <w:b/>
          <w:sz w:val="21"/>
          <w:szCs w:val="21"/>
          <w:u w:val="single"/>
          <w:lang w:val="en-US" w:eastAsia="zh-CN"/>
        </w:rPr>
        <w:t xml:space="preserve">              </w:t>
      </w:r>
      <w:r>
        <w:rPr>
          <w:rFonts w:hint="eastAsia" w:ascii="宋体" w:hAnsi="宋体" w:eastAsia="宋体" w:cs="宋体"/>
          <w:color w:val="000000"/>
          <w:sz w:val="21"/>
          <w:szCs w:val="21"/>
        </w:rPr>
        <w:t>元（大写：</w:t>
      </w:r>
      <w:r>
        <w:rPr>
          <w:rFonts w:hint="eastAsia" w:ascii="宋体" w:hAnsi="宋体" w:eastAsia="宋体" w:cs="宋体"/>
          <w:b/>
          <w:sz w:val="21"/>
          <w:szCs w:val="21"/>
          <w:u w:val="single"/>
          <w:lang w:val="en-US" w:eastAsia="zh-CN"/>
        </w:rPr>
        <w:t xml:space="preserve">              </w:t>
      </w:r>
      <w:r>
        <w:rPr>
          <w:rFonts w:hint="eastAsia" w:ascii="宋体" w:hAnsi="宋体" w:eastAsia="宋体" w:cs="宋体"/>
          <w:color w:val="000000"/>
          <w:sz w:val="21"/>
          <w:szCs w:val="21"/>
        </w:rPr>
        <w:t>元）</w:t>
      </w:r>
      <w:r>
        <w:rPr>
          <w:rFonts w:hint="eastAsia" w:ascii="宋体" w:hAnsi="宋体" w:eastAsia="宋体" w:cs="宋体"/>
          <w:sz w:val="21"/>
          <w:szCs w:val="21"/>
        </w:rPr>
        <w:t>，</w:t>
      </w:r>
      <w:bookmarkEnd w:id="477"/>
      <w:r>
        <w:rPr>
          <w:rFonts w:hint="eastAsia" w:ascii="宋体" w:hAnsi="宋体" w:eastAsia="宋体" w:cs="宋体"/>
          <w:sz w:val="21"/>
          <w:szCs w:val="21"/>
        </w:rPr>
        <w:t>作为项目预付款；乙方完成合同所有服务内容，并经甲方验收合格之日起，三</w:t>
      </w:r>
      <w:r>
        <w:rPr>
          <w:rFonts w:hint="eastAsia" w:ascii="宋体" w:hAnsi="宋体" w:cs="宋体"/>
          <w:sz w:val="21"/>
          <w:szCs w:val="21"/>
          <w:lang w:val="en-US" w:eastAsia="zh-CN"/>
        </w:rPr>
        <w:t>十</w:t>
      </w:r>
      <w:r>
        <w:rPr>
          <w:rFonts w:hint="eastAsia" w:ascii="宋体" w:hAnsi="宋体" w:eastAsia="宋体" w:cs="宋体"/>
          <w:sz w:val="21"/>
          <w:szCs w:val="21"/>
        </w:rPr>
        <w:t>个工作日内向乙方支付合同总额的</w:t>
      </w:r>
      <w:r>
        <w:rPr>
          <w:rFonts w:hint="eastAsia" w:ascii="宋体" w:hAnsi="宋体" w:eastAsia="宋体" w:cs="宋体"/>
          <w:sz w:val="21"/>
          <w:szCs w:val="21"/>
          <w:lang w:val="en-US" w:eastAsia="zh-CN"/>
        </w:rPr>
        <w:t>5</w:t>
      </w:r>
      <w:r>
        <w:rPr>
          <w:rFonts w:hint="eastAsia" w:ascii="宋体" w:hAnsi="宋体" w:eastAsia="宋体" w:cs="宋体"/>
          <w:sz w:val="21"/>
          <w:szCs w:val="21"/>
        </w:rPr>
        <w:t>0%</w:t>
      </w:r>
      <w:r>
        <w:rPr>
          <w:rFonts w:hint="eastAsia" w:ascii="宋体" w:hAnsi="宋体" w:eastAsia="宋体" w:cs="宋体"/>
          <w:sz w:val="21"/>
          <w:szCs w:val="21"/>
          <w:lang w:eastAsia="zh-CN"/>
        </w:rPr>
        <w:t>，</w:t>
      </w:r>
      <w:r>
        <w:rPr>
          <w:rFonts w:hint="eastAsia" w:ascii="宋体" w:hAnsi="宋体" w:eastAsia="宋体" w:cs="宋体"/>
          <w:color w:val="000000"/>
          <w:sz w:val="21"/>
          <w:szCs w:val="21"/>
        </w:rPr>
        <w:t>¥</w:t>
      </w:r>
      <w:r>
        <w:rPr>
          <w:rFonts w:hint="eastAsia" w:ascii="宋体" w:hAnsi="宋体" w:eastAsia="宋体" w:cs="宋体"/>
          <w:b/>
          <w:sz w:val="21"/>
          <w:szCs w:val="21"/>
          <w:u w:val="single"/>
          <w:lang w:val="en-US" w:eastAsia="zh-CN"/>
        </w:rPr>
        <w:t xml:space="preserve">              </w:t>
      </w:r>
      <w:r>
        <w:rPr>
          <w:rFonts w:hint="eastAsia" w:ascii="宋体" w:hAnsi="宋体" w:eastAsia="宋体" w:cs="宋体"/>
          <w:color w:val="000000"/>
          <w:sz w:val="21"/>
          <w:szCs w:val="21"/>
        </w:rPr>
        <w:t>元（大写：</w:t>
      </w:r>
      <w:r>
        <w:rPr>
          <w:rFonts w:hint="eastAsia" w:ascii="宋体" w:hAnsi="宋体" w:eastAsia="宋体" w:cs="宋体"/>
          <w:b/>
          <w:sz w:val="21"/>
          <w:szCs w:val="21"/>
          <w:u w:val="single"/>
          <w:lang w:val="en-US" w:eastAsia="zh-CN"/>
        </w:rPr>
        <w:t xml:space="preserve">              </w:t>
      </w:r>
      <w:r>
        <w:rPr>
          <w:rFonts w:hint="eastAsia" w:ascii="宋体" w:hAnsi="宋体" w:eastAsia="宋体" w:cs="宋体"/>
          <w:color w:val="000000"/>
          <w:sz w:val="21"/>
          <w:szCs w:val="21"/>
        </w:rPr>
        <w:t>元）</w:t>
      </w:r>
      <w:r>
        <w:rPr>
          <w:rFonts w:hint="eastAsia" w:ascii="宋体" w:hAnsi="宋体" w:eastAsia="宋体" w:cs="宋体"/>
          <w:sz w:val="21"/>
          <w:szCs w:val="21"/>
        </w:rPr>
        <w:t>。</w:t>
      </w:r>
    </w:p>
    <w:p>
      <w:pPr>
        <w:pStyle w:val="171"/>
        <w:spacing w:line="4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乙方凭以下有效文件由甲方申请支付款：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合同；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乙方开具足额、有效的增值税</w:t>
      </w:r>
      <w:r>
        <w:rPr>
          <w:rFonts w:hint="eastAsia" w:ascii="宋体" w:hAnsi="宋体" w:cs="宋体"/>
          <w:sz w:val="21"/>
          <w:szCs w:val="21"/>
          <w:lang w:val="en-US" w:eastAsia="zh-CN"/>
        </w:rPr>
        <w:t>专用</w:t>
      </w:r>
      <w:r>
        <w:rPr>
          <w:rFonts w:hint="eastAsia" w:ascii="宋体" w:hAnsi="宋体" w:eastAsia="宋体" w:cs="宋体"/>
          <w:sz w:val="21"/>
          <w:szCs w:val="21"/>
        </w:rPr>
        <w:t>发票；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bCs/>
          <w:sz w:val="21"/>
          <w:szCs w:val="21"/>
        </w:rPr>
        <w:t>甲方依法组织验收的验收报告</w:t>
      </w:r>
      <w:r>
        <w:rPr>
          <w:rFonts w:hint="eastAsia" w:ascii="宋体" w:hAnsi="宋体" w:eastAsia="宋体" w:cs="宋体"/>
          <w:sz w:val="21"/>
          <w:szCs w:val="21"/>
        </w:rPr>
        <w:t>（加盖甲方公章）</w:t>
      </w:r>
      <w:r>
        <w:rPr>
          <w:rFonts w:hint="eastAsia" w:ascii="宋体" w:hAnsi="宋体" w:eastAsia="宋体" w:cs="宋体"/>
          <w:sz w:val="21"/>
          <w:szCs w:val="21"/>
          <w:lang w:eastAsia="zh-CN"/>
        </w:rPr>
        <w:t>。</w:t>
      </w:r>
    </w:p>
    <w:p>
      <w:pPr>
        <w:pStyle w:val="171"/>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3、乙方收款账户信息如下：</w:t>
      </w:r>
    </w:p>
    <w:p>
      <w:pPr>
        <w:pStyle w:val="171"/>
        <w:spacing w:line="480" w:lineRule="exact"/>
        <w:ind w:firstLine="420" w:firstLineChars="200"/>
        <w:rPr>
          <w:rFonts w:hint="eastAsia" w:ascii="宋体" w:hAnsi="宋体" w:eastAsia="宋体" w:cs="宋体"/>
          <w:b w:val="0"/>
          <w:bCs/>
          <w:sz w:val="21"/>
          <w:szCs w:val="21"/>
          <w:u w:val="none"/>
          <w:lang w:val="en-US" w:eastAsia="zh-CN"/>
        </w:rPr>
      </w:pPr>
      <w:r>
        <w:rPr>
          <w:rFonts w:hint="eastAsia" w:ascii="宋体" w:hAnsi="宋体" w:eastAsia="宋体" w:cs="宋体"/>
          <w:sz w:val="21"/>
          <w:szCs w:val="21"/>
          <w:lang w:val="en-US" w:eastAsia="zh-CN"/>
        </w:rPr>
        <w:t>开户名：</w:t>
      </w:r>
      <w:r>
        <w:rPr>
          <w:rFonts w:hint="eastAsia" w:ascii="宋体" w:hAnsi="宋体" w:eastAsia="宋体" w:cs="宋体"/>
          <w:b/>
          <w:sz w:val="21"/>
          <w:szCs w:val="21"/>
          <w:u w:val="single"/>
          <w:lang w:val="en-US" w:eastAsia="zh-CN"/>
        </w:rPr>
        <w:t xml:space="preserve">                      </w:t>
      </w:r>
      <w:r>
        <w:rPr>
          <w:rFonts w:hint="eastAsia" w:ascii="宋体" w:hAnsi="宋体" w:eastAsia="宋体" w:cs="宋体"/>
          <w:b w:val="0"/>
          <w:bCs/>
          <w:sz w:val="21"/>
          <w:szCs w:val="21"/>
          <w:u w:val="none"/>
          <w:lang w:val="en-US" w:eastAsia="zh-CN"/>
        </w:rPr>
        <w:t>，</w:t>
      </w:r>
    </w:p>
    <w:p>
      <w:pPr>
        <w:pStyle w:val="171"/>
        <w:spacing w:line="480" w:lineRule="exact"/>
        <w:ind w:firstLine="420" w:firstLineChars="200"/>
        <w:rPr>
          <w:rFonts w:hint="eastAsia" w:ascii="宋体" w:hAnsi="宋体" w:eastAsia="宋体" w:cs="宋体"/>
          <w:b w:val="0"/>
          <w:bCs/>
          <w:sz w:val="21"/>
          <w:szCs w:val="21"/>
          <w:u w:val="none"/>
          <w:lang w:val="en-US" w:eastAsia="zh-CN"/>
        </w:rPr>
      </w:pPr>
      <w:r>
        <w:rPr>
          <w:rFonts w:hint="eastAsia" w:ascii="宋体" w:hAnsi="宋体" w:eastAsia="宋体" w:cs="宋体"/>
          <w:sz w:val="21"/>
          <w:szCs w:val="21"/>
          <w:lang w:val="en-US" w:eastAsia="zh-CN"/>
        </w:rPr>
        <w:t>开户行：</w:t>
      </w:r>
      <w:r>
        <w:rPr>
          <w:rFonts w:hint="eastAsia" w:ascii="宋体" w:hAnsi="宋体" w:eastAsia="宋体" w:cs="宋体"/>
          <w:b/>
          <w:sz w:val="21"/>
          <w:szCs w:val="21"/>
          <w:u w:val="single"/>
          <w:lang w:val="en-US" w:eastAsia="zh-CN"/>
        </w:rPr>
        <w:t xml:space="preserve">                      </w:t>
      </w:r>
      <w:r>
        <w:rPr>
          <w:rFonts w:hint="eastAsia" w:ascii="宋体" w:hAnsi="宋体" w:eastAsia="宋体" w:cs="宋体"/>
          <w:b w:val="0"/>
          <w:bCs/>
          <w:sz w:val="21"/>
          <w:szCs w:val="21"/>
          <w:u w:val="none"/>
          <w:lang w:val="en-US" w:eastAsia="zh-CN"/>
        </w:rPr>
        <w:t>，</w:t>
      </w:r>
    </w:p>
    <w:p>
      <w:pPr>
        <w:pStyle w:val="171"/>
        <w:spacing w:line="4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帐号：</w:t>
      </w:r>
      <w:r>
        <w:rPr>
          <w:rFonts w:hint="eastAsia" w:ascii="宋体" w:hAnsi="宋体" w:eastAsia="宋体" w:cs="宋体"/>
          <w:b/>
          <w:sz w:val="21"/>
          <w:szCs w:val="21"/>
          <w:u w:val="single"/>
          <w:lang w:val="en-US" w:eastAsia="zh-CN"/>
        </w:rPr>
        <w:t xml:space="preserve">                        </w:t>
      </w:r>
      <w:r>
        <w:rPr>
          <w:rFonts w:hint="eastAsia" w:ascii="宋体" w:hAnsi="宋体" w:eastAsia="宋体" w:cs="宋体"/>
          <w:b w:val="0"/>
          <w:bCs/>
          <w:sz w:val="21"/>
          <w:szCs w:val="21"/>
          <w:u w:val="none"/>
          <w:lang w:val="en-US" w:eastAsia="zh-CN"/>
        </w:rPr>
        <w:t>。</w:t>
      </w:r>
    </w:p>
    <w:p>
      <w:pPr>
        <w:pStyle w:val="171"/>
        <w:spacing w:line="48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八</w:t>
      </w:r>
      <w:r>
        <w:rPr>
          <w:rFonts w:hint="eastAsia" w:ascii="宋体" w:hAnsi="宋体" w:eastAsia="宋体" w:cs="宋体"/>
          <w:b/>
          <w:color w:val="000000"/>
          <w:sz w:val="21"/>
          <w:szCs w:val="21"/>
        </w:rPr>
        <w:t>、违约责任与赔偿损失</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1.乙方交付的货物、工程或提供的服务不符合</w:t>
      </w:r>
      <w:r>
        <w:rPr>
          <w:rFonts w:hint="eastAsia" w:ascii="宋体" w:hAnsi="宋体" w:eastAsia="宋体" w:cs="宋体"/>
          <w:color w:val="000000"/>
          <w:sz w:val="21"/>
          <w:szCs w:val="21"/>
          <w:lang w:val="en-US" w:eastAsia="zh-CN"/>
        </w:rPr>
        <w:t>招标</w:t>
      </w:r>
      <w:r>
        <w:rPr>
          <w:rFonts w:hint="eastAsia" w:ascii="宋体" w:hAnsi="宋体" w:eastAsia="宋体" w:cs="宋体"/>
          <w:color w:val="000000"/>
          <w:sz w:val="21"/>
          <w:szCs w:val="21"/>
        </w:rPr>
        <w:t>文件的要求、</w:t>
      </w:r>
      <w:r>
        <w:rPr>
          <w:rFonts w:hint="eastAsia" w:ascii="宋体" w:hAnsi="宋体" w:eastAsia="宋体" w:cs="宋体"/>
          <w:color w:val="000000"/>
          <w:sz w:val="21"/>
          <w:szCs w:val="21"/>
          <w:lang w:val="en-US" w:eastAsia="zh-CN"/>
        </w:rPr>
        <w:t>投标</w:t>
      </w:r>
      <w:r>
        <w:rPr>
          <w:rFonts w:hint="eastAsia" w:ascii="宋体" w:hAnsi="宋体" w:eastAsia="宋体" w:cs="宋体"/>
          <w:color w:val="000000"/>
          <w:sz w:val="21"/>
          <w:szCs w:val="21"/>
        </w:rPr>
        <w:t>文件的承诺或本合同规定的，乙方必须在甲方规定的时间内更换，否则甲方有权终止合同或作其他处理，并且乙方须向甲方支付该合同总价5％的违约金。</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2.乙方未能按本合同规定的交货时间交付货物或提供服务，从逾期之日起每日按本合同总价3‰的数额向甲方支付违约金；逾期半个月以上的，甲方有权终止合同，由此造成的甲方经济损失由乙方承担。</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sz w:val="21"/>
          <w:szCs w:val="21"/>
        </w:rPr>
        <w:t xml:space="preserve"> </w:t>
      </w:r>
      <w:r>
        <w:rPr>
          <w:rFonts w:hint="eastAsia" w:ascii="宋体" w:hAnsi="宋体" w:eastAsia="宋体" w:cs="宋体"/>
          <w:color w:val="000000"/>
          <w:sz w:val="21"/>
          <w:szCs w:val="21"/>
        </w:rPr>
        <w:t>甲方无正当理由拒收货物或</w:t>
      </w:r>
      <w:r>
        <w:rPr>
          <w:rFonts w:hint="eastAsia" w:ascii="宋体" w:hAnsi="宋体" w:eastAsia="宋体" w:cs="宋体"/>
          <w:color w:val="000000"/>
          <w:sz w:val="21"/>
          <w:szCs w:val="21"/>
          <w:lang w:val="en-US" w:eastAsia="zh-CN"/>
        </w:rPr>
        <w:t>拒绝</w:t>
      </w:r>
      <w:r>
        <w:rPr>
          <w:rFonts w:hint="eastAsia" w:ascii="宋体" w:hAnsi="宋体" w:eastAsia="宋体" w:cs="宋体"/>
          <w:color w:val="000000"/>
          <w:sz w:val="21"/>
          <w:szCs w:val="21"/>
        </w:rPr>
        <w:t>接受服务，甲方向乙方偿付本合同总价5%的违约金。逾期支付款项的，从逾期之日起按每日欠付金额3‰的数额向乙方支付违约金，但违约金累计不超过欠付金额的5%。</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sz w:val="21"/>
          <w:szCs w:val="21"/>
        </w:rPr>
        <w:t xml:space="preserve"> </w:t>
      </w:r>
      <w:r>
        <w:rPr>
          <w:rFonts w:hint="eastAsia" w:ascii="宋体" w:hAnsi="宋体" w:eastAsia="宋体" w:cs="宋体"/>
          <w:color w:val="000000"/>
          <w:sz w:val="21"/>
          <w:szCs w:val="21"/>
        </w:rPr>
        <w:t xml:space="preserve">任一方违约，相对方有权根据实际情况单方中止、解除合同或要求违约方继续履行合同。同时，因一方违约造成相对方损失的，违约方应当赔偿相对方损失，损失包括但不限于直接损失和间接损失、律师费、诉讼费（仲裁费）、保全费、担保费、保险费、差旅费等损失。本合同其他条款对违约责任还有约定的，同时适用该约定。                 </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5.其它违约责任按《中华人民共和国民法典》处理。</w:t>
      </w:r>
    </w:p>
    <w:p>
      <w:pPr>
        <w:pStyle w:val="171"/>
        <w:spacing w:line="48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九</w:t>
      </w:r>
      <w:r>
        <w:rPr>
          <w:rFonts w:hint="eastAsia" w:ascii="宋体" w:hAnsi="宋体" w:eastAsia="宋体" w:cs="宋体"/>
          <w:b/>
          <w:bCs/>
          <w:color w:val="000000"/>
          <w:sz w:val="21"/>
          <w:szCs w:val="21"/>
        </w:rPr>
        <w:t>、争议的解决</w:t>
      </w:r>
    </w:p>
    <w:p>
      <w:pPr>
        <w:pStyle w:val="171"/>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合同执行过程中发生的任何争议，如双方不能通过友好协商解决，</w:t>
      </w:r>
      <w:r>
        <w:rPr>
          <w:rFonts w:hint="eastAsia" w:ascii="宋体" w:hAnsi="宋体" w:eastAsia="宋体" w:cs="宋体"/>
          <w:sz w:val="21"/>
          <w:szCs w:val="21"/>
          <w:shd w:val="clear" w:color="auto" w:fill="FFFFFF"/>
        </w:rPr>
        <w:t>任一方均应向甲方住所地人民法院提起诉讼</w:t>
      </w:r>
      <w:r>
        <w:rPr>
          <w:rFonts w:hint="eastAsia" w:ascii="宋体" w:hAnsi="宋体" w:eastAsia="宋体" w:cs="宋体"/>
          <w:sz w:val="21"/>
          <w:szCs w:val="21"/>
        </w:rPr>
        <w:t>。</w:t>
      </w:r>
    </w:p>
    <w:p>
      <w:pPr>
        <w:pStyle w:val="171"/>
        <w:spacing w:line="48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十</w:t>
      </w:r>
      <w:r>
        <w:rPr>
          <w:rFonts w:hint="eastAsia" w:ascii="宋体" w:hAnsi="宋体" w:eastAsia="宋体" w:cs="宋体"/>
          <w:b/>
          <w:bCs/>
          <w:color w:val="000000"/>
          <w:sz w:val="21"/>
          <w:szCs w:val="21"/>
        </w:rPr>
        <w:t>、不可抗力</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171"/>
        <w:spacing w:line="480" w:lineRule="exact"/>
        <w:ind w:firstLine="422" w:firstLineChars="200"/>
        <w:rPr>
          <w:rFonts w:hint="eastAsia" w:ascii="宋体" w:hAnsi="宋体" w:eastAsia="宋体" w:cs="宋体"/>
          <w:color w:val="000000"/>
          <w:sz w:val="21"/>
          <w:szCs w:val="21"/>
        </w:rPr>
      </w:pPr>
      <w:r>
        <w:rPr>
          <w:rFonts w:hint="eastAsia" w:ascii="宋体" w:hAnsi="宋体" w:eastAsia="宋体" w:cs="宋体"/>
          <w:b/>
          <w:bCs/>
          <w:color w:val="000000"/>
          <w:sz w:val="21"/>
          <w:szCs w:val="21"/>
        </w:rPr>
        <w:t>十</w:t>
      </w:r>
      <w:r>
        <w:rPr>
          <w:rFonts w:hint="eastAsia" w:ascii="宋体" w:hAnsi="宋体" w:eastAsia="宋体" w:cs="宋体"/>
          <w:b/>
          <w:bCs/>
          <w:color w:val="000000"/>
          <w:sz w:val="21"/>
          <w:szCs w:val="21"/>
          <w:lang w:val="en-US" w:eastAsia="zh-CN"/>
        </w:rPr>
        <w:t>一</w:t>
      </w:r>
      <w:r>
        <w:rPr>
          <w:rFonts w:hint="eastAsia" w:ascii="宋体" w:hAnsi="宋体" w:eastAsia="宋体" w:cs="宋体"/>
          <w:b/>
          <w:bCs/>
          <w:color w:val="000000"/>
          <w:sz w:val="21"/>
          <w:szCs w:val="21"/>
        </w:rPr>
        <w:t>、税费</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与本合同执行有关的一切税费均由乙方负担。</w:t>
      </w:r>
    </w:p>
    <w:p>
      <w:pPr>
        <w:pStyle w:val="171"/>
        <w:spacing w:line="48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十</w:t>
      </w:r>
      <w:r>
        <w:rPr>
          <w:rFonts w:hint="eastAsia" w:ascii="宋体" w:hAnsi="宋体" w:eastAsia="宋体" w:cs="宋体"/>
          <w:b/>
          <w:bCs/>
          <w:color w:val="000000"/>
          <w:sz w:val="21"/>
          <w:szCs w:val="21"/>
          <w:lang w:val="en-US" w:eastAsia="zh-CN"/>
        </w:rPr>
        <w:t>二</w:t>
      </w:r>
      <w:r>
        <w:rPr>
          <w:rFonts w:hint="eastAsia" w:ascii="宋体" w:hAnsi="宋体" w:eastAsia="宋体" w:cs="宋体"/>
          <w:b/>
          <w:bCs/>
          <w:color w:val="000000"/>
          <w:sz w:val="21"/>
          <w:szCs w:val="21"/>
        </w:rPr>
        <w:t>、其它</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在执行本合同的过程中，所有经双方签署确认的文件(包括会议纪要、补充协议、往来信函)即成为本合同的有效组成部分。</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如一方地址、电话、传真号码有变更，应在变更当日内书面通知对方，否则，应承担相应责任。</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本合同书条款解释权在甲方。</w:t>
      </w:r>
    </w:p>
    <w:p>
      <w:pPr>
        <w:pStyle w:val="171"/>
        <w:spacing w:line="480" w:lineRule="exact"/>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十</w:t>
      </w:r>
      <w:r>
        <w:rPr>
          <w:rFonts w:hint="eastAsia" w:ascii="宋体" w:hAnsi="宋体" w:eastAsia="宋体" w:cs="宋体"/>
          <w:b/>
          <w:color w:val="000000"/>
          <w:sz w:val="21"/>
          <w:szCs w:val="21"/>
          <w:lang w:val="en-US" w:eastAsia="zh-CN"/>
        </w:rPr>
        <w:t>三</w:t>
      </w:r>
      <w:r>
        <w:rPr>
          <w:rFonts w:hint="eastAsia" w:ascii="宋体" w:hAnsi="宋体" w:eastAsia="宋体" w:cs="宋体"/>
          <w:b/>
          <w:color w:val="000000"/>
          <w:sz w:val="21"/>
          <w:szCs w:val="21"/>
        </w:rPr>
        <w:t>、合同生效</w:t>
      </w:r>
    </w:p>
    <w:p>
      <w:pPr>
        <w:pStyle w:val="171"/>
        <w:spacing w:line="48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1、本合同在甲乙双方法定代表人或授权代表签字及盖章后生效。</w:t>
      </w:r>
    </w:p>
    <w:p>
      <w:pPr>
        <w:pStyle w:val="171"/>
        <w:spacing w:line="480" w:lineRule="exact"/>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2、本合同一式</w:t>
      </w:r>
      <w:r>
        <w:rPr>
          <w:rFonts w:hint="eastAsia" w:ascii="宋体" w:hAnsi="宋体" w:eastAsia="宋体" w:cs="宋体"/>
          <w:color w:val="000000"/>
          <w:sz w:val="21"/>
          <w:szCs w:val="21"/>
          <w:lang w:val="en-US" w:eastAsia="zh-CN"/>
        </w:rPr>
        <w:t>肆</w:t>
      </w:r>
      <w:r>
        <w:rPr>
          <w:rFonts w:hint="eastAsia" w:ascii="宋体" w:hAnsi="宋体" w:eastAsia="宋体" w:cs="宋体"/>
          <w:color w:val="000000"/>
          <w:sz w:val="21"/>
          <w:szCs w:val="21"/>
        </w:rPr>
        <w:t>份，甲方执贰份、乙方执</w:t>
      </w:r>
      <w:r>
        <w:rPr>
          <w:rFonts w:hint="eastAsia" w:ascii="宋体" w:hAnsi="宋体" w:eastAsia="宋体" w:cs="宋体"/>
          <w:color w:val="000000"/>
          <w:sz w:val="21"/>
          <w:szCs w:val="21"/>
          <w:lang w:val="en-US" w:eastAsia="zh-CN"/>
        </w:rPr>
        <w:t>贰</w:t>
      </w:r>
      <w:r>
        <w:rPr>
          <w:rFonts w:hint="eastAsia" w:ascii="宋体" w:hAnsi="宋体" w:eastAsia="宋体" w:cs="宋体"/>
          <w:color w:val="000000"/>
          <w:sz w:val="21"/>
          <w:szCs w:val="21"/>
        </w:rPr>
        <w:t>份，均具同等法律效力。合同自签字之日起即时</w:t>
      </w:r>
      <w:r>
        <w:rPr>
          <w:rFonts w:hint="eastAsia" w:ascii="宋体" w:hAnsi="宋体" w:eastAsia="宋体" w:cs="宋体"/>
          <w:sz w:val="21"/>
          <w:szCs w:val="21"/>
        </w:rPr>
        <w:t>生效。</w:t>
      </w:r>
    </w:p>
    <w:p>
      <w:pPr>
        <w:pStyle w:val="171"/>
        <w:spacing w:line="480" w:lineRule="exact"/>
        <w:ind w:firstLine="420" w:firstLineChars="200"/>
        <w:rPr>
          <w:rFonts w:hint="eastAsia" w:ascii="宋体" w:hAnsi="宋体" w:eastAsia="宋体" w:cs="宋体"/>
          <w:color w:val="000000"/>
          <w:sz w:val="21"/>
          <w:szCs w:val="21"/>
          <w:lang w:val="en-US" w:eastAsia="zh-CN"/>
        </w:rPr>
      </w:pPr>
    </w:p>
    <w:p>
      <w:pPr>
        <w:pStyle w:val="171"/>
        <w:spacing w:line="48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（以下无正文）</w:t>
      </w:r>
    </w:p>
    <w:p>
      <w:pPr>
        <w:rPr>
          <w:rFonts w:hint="eastAsia" w:ascii="宋体" w:hAnsi="宋体" w:eastAsia="宋体" w:cs="宋体"/>
          <w:sz w:val="21"/>
          <w:szCs w:val="21"/>
        </w:rPr>
      </w:pPr>
    </w:p>
    <w:p>
      <w:pPr>
        <w:pStyle w:val="170"/>
        <w:rPr>
          <w:rFonts w:hint="eastAsia" w:ascii="宋体" w:hAnsi="宋体" w:eastAsia="宋体" w:cs="宋体"/>
          <w:sz w:val="21"/>
          <w:szCs w:val="21"/>
        </w:rPr>
      </w:pPr>
    </w:p>
    <w:p>
      <w:pPr>
        <w:pStyle w:val="170"/>
        <w:rPr>
          <w:rFonts w:hint="eastAsia" w:ascii="宋体" w:hAnsi="宋体" w:eastAsia="宋体" w:cs="宋体"/>
          <w:sz w:val="21"/>
          <w:szCs w:val="21"/>
        </w:rPr>
      </w:pPr>
    </w:p>
    <w:p>
      <w:pPr>
        <w:pStyle w:val="170"/>
        <w:rPr>
          <w:rFonts w:hint="eastAsia" w:ascii="宋体" w:hAnsi="宋体" w:eastAsia="宋体" w:cs="宋体"/>
          <w:sz w:val="21"/>
          <w:szCs w:val="21"/>
        </w:rPr>
      </w:pPr>
    </w:p>
    <w:p>
      <w:pPr>
        <w:pStyle w:val="170"/>
        <w:rPr>
          <w:rFonts w:hint="eastAsia" w:ascii="宋体" w:hAnsi="宋体" w:eastAsia="宋体" w:cs="宋体"/>
          <w:sz w:val="21"/>
          <w:szCs w:val="21"/>
        </w:rPr>
      </w:pPr>
    </w:p>
    <w:p>
      <w:pPr>
        <w:pStyle w:val="170"/>
        <w:rPr>
          <w:rFonts w:hint="eastAsia" w:ascii="宋体" w:hAnsi="宋体" w:eastAsia="宋体" w:cs="宋体"/>
          <w:sz w:val="21"/>
          <w:szCs w:val="21"/>
        </w:rPr>
      </w:pPr>
    </w:p>
    <w:p>
      <w:pPr>
        <w:pStyle w:val="170"/>
        <w:rPr>
          <w:rFonts w:hint="eastAsia" w:ascii="宋体" w:hAnsi="宋体" w:eastAsia="宋体" w:cs="宋体"/>
          <w:sz w:val="21"/>
          <w:szCs w:val="21"/>
        </w:rPr>
      </w:pPr>
    </w:p>
    <w:p>
      <w:pPr>
        <w:autoSpaceDE w:val="0"/>
        <w:autoSpaceDN w:val="0"/>
        <w:adjustRightInd w:val="0"/>
        <w:snapToGrid w:val="0"/>
        <w:spacing w:line="480" w:lineRule="exact"/>
        <w:ind w:left="248" w:leftChars="118"/>
        <w:rPr>
          <w:rFonts w:hint="eastAsia" w:ascii="宋体" w:hAnsi="宋体" w:eastAsia="宋体" w:cs="宋体"/>
          <w:kern w:val="0"/>
          <w:sz w:val="21"/>
          <w:szCs w:val="21"/>
          <w:lang w:eastAsia="zh-CN"/>
        </w:rPr>
      </w:pPr>
      <w:r>
        <w:rPr>
          <w:rFonts w:hint="eastAsia" w:ascii="宋体" w:hAnsi="宋体" w:eastAsia="宋体" w:cs="宋体"/>
          <w:kern w:val="0"/>
          <w:sz w:val="21"/>
          <w:szCs w:val="21"/>
        </w:rPr>
        <w:t>甲方（盖章）：</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乙方（盖章）：</w:t>
      </w:r>
      <w:r>
        <w:rPr>
          <w:rFonts w:hint="eastAsia" w:ascii="宋体" w:hAnsi="宋体" w:eastAsia="宋体" w:cs="宋体"/>
          <w:kern w:val="0"/>
          <w:sz w:val="21"/>
          <w:szCs w:val="21"/>
          <w:lang w:val="en-US" w:eastAsia="zh-CN"/>
        </w:rPr>
        <w:t xml:space="preserve"> </w:t>
      </w:r>
    </w:p>
    <w:p>
      <w:pPr>
        <w:autoSpaceDE w:val="0"/>
        <w:autoSpaceDN w:val="0"/>
        <w:adjustRightInd w:val="0"/>
        <w:snapToGrid w:val="0"/>
        <w:spacing w:line="480" w:lineRule="exact"/>
        <w:ind w:left="248" w:leftChars="118"/>
        <w:rPr>
          <w:rFonts w:hint="eastAsia" w:ascii="宋体" w:hAnsi="宋体" w:eastAsia="宋体" w:cs="宋体"/>
          <w:kern w:val="0"/>
          <w:sz w:val="21"/>
          <w:szCs w:val="21"/>
        </w:rPr>
      </w:pPr>
      <w:r>
        <w:rPr>
          <w:rFonts w:hint="eastAsia" w:ascii="宋体" w:hAnsi="宋体" w:eastAsia="宋体" w:cs="宋体"/>
          <w:kern w:val="0"/>
          <w:sz w:val="21"/>
          <w:szCs w:val="21"/>
        </w:rPr>
        <w:t xml:space="preserve">法定代表人或授权代表：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法定代表人或授权代表：</w:t>
      </w:r>
    </w:p>
    <w:p>
      <w:pPr>
        <w:autoSpaceDE w:val="0"/>
        <w:autoSpaceDN w:val="0"/>
        <w:adjustRightInd w:val="0"/>
        <w:snapToGrid w:val="0"/>
        <w:spacing w:line="480" w:lineRule="exact"/>
        <w:ind w:left="248" w:leftChars="118"/>
        <w:rPr>
          <w:rFonts w:hint="eastAsia" w:ascii="宋体" w:hAnsi="宋体" w:eastAsia="宋体" w:cs="宋体"/>
          <w:kern w:val="0"/>
          <w:sz w:val="21"/>
          <w:szCs w:val="21"/>
        </w:rPr>
      </w:pPr>
      <w:r>
        <w:rPr>
          <w:rFonts w:hint="eastAsia" w:ascii="宋体" w:hAnsi="宋体" w:eastAsia="宋体" w:cs="宋体"/>
          <w:kern w:val="0"/>
          <w:sz w:val="21"/>
          <w:szCs w:val="21"/>
        </w:rPr>
        <w:t>签订日期：    年   月   日</w:t>
      </w:r>
      <w:r>
        <w:rPr>
          <w:rFonts w:hint="eastAsia" w:ascii="宋体" w:hAnsi="宋体" w:eastAsia="宋体" w:cs="宋体"/>
          <w:kern w:val="0"/>
          <w:sz w:val="21"/>
          <w:szCs w:val="21"/>
        </w:rPr>
        <w:tab/>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签订日期：    年   月   日 </w:t>
      </w:r>
      <w:r>
        <w:rPr>
          <w:rFonts w:hint="eastAsia" w:ascii="宋体" w:hAnsi="宋体" w:eastAsia="宋体" w:cs="宋体"/>
          <w:kern w:val="0"/>
          <w:sz w:val="21"/>
          <w:szCs w:val="21"/>
        </w:rPr>
        <w:br w:type="page"/>
      </w:r>
    </w:p>
    <w:p>
      <w:pPr>
        <w:pStyle w:val="75"/>
        <w:spacing w:before="240" w:after="120"/>
        <w:rPr>
          <w:rFonts w:ascii="宋体" w:hAnsi="宋体" w:eastAsia="宋体" w:cs="宋体"/>
          <w:b/>
          <w:bCs w:val="0"/>
          <w:color w:val="auto"/>
          <w:kern w:val="0"/>
          <w:sz w:val="28"/>
          <w:szCs w:val="28"/>
        </w:rPr>
      </w:pPr>
      <w:bookmarkStart w:id="478" w:name="_Toc14202"/>
      <w:bookmarkStart w:id="479" w:name="_Toc4094"/>
      <w:r>
        <w:rPr>
          <w:rFonts w:hint="eastAsia" w:ascii="宋体" w:hAnsi="宋体" w:eastAsia="宋体" w:cs="宋体"/>
          <w:b/>
          <w:bCs w:val="0"/>
          <w:color w:val="auto"/>
          <w:kern w:val="0"/>
          <w:sz w:val="28"/>
          <w:szCs w:val="28"/>
        </w:rPr>
        <w:t>第五章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采购需求书</w:t>
      </w:r>
      <w:bookmarkEnd w:id="470"/>
      <w:bookmarkEnd w:id="471"/>
      <w:bookmarkEnd w:id="472"/>
      <w:bookmarkEnd w:id="478"/>
      <w:bookmarkEnd w:id="479"/>
    </w:p>
    <w:p>
      <w:pPr>
        <w:spacing w:line="400" w:lineRule="exact"/>
        <w:jc w:val="left"/>
        <w:rPr>
          <w:rFonts w:ascii="宋体" w:hAnsi="宋体"/>
          <w:b/>
          <w:color w:val="auto"/>
          <w:szCs w:val="21"/>
        </w:rPr>
      </w:pPr>
      <w:r>
        <w:rPr>
          <w:rFonts w:hint="eastAsia" w:ascii="宋体" w:hAnsi="宋体"/>
          <w:b/>
          <w:color w:val="auto"/>
          <w:szCs w:val="21"/>
        </w:rPr>
        <w:t>总则</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1.1本节为招标人向投标人提出的最低要求，作为投标人填写采购需求条款偏离表的依据，根据投标人的投标书完善后，将作为商务合同的附件之一。</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1.2对于本节提出的有关要求，投标人应填写“采购需求条款偏离表”。如存在偏离应提出充分理由并加以详尽说明。</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 xml:space="preserve">1.3对于本节中未能提出的指标和不合理的要求等，投标人应在建议书中加以补充说明，并提供有关详细资料。 </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1.4投标人应根据招标项目的要求提出完整的实施方案，如有缺漏，由投标人免费补足。</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1.5招标人有权在签订最终合同前，根据需要修改本章内容。技术标准和要求的最终解释权在招标人。</w:t>
      </w:r>
    </w:p>
    <w:p>
      <w:pPr>
        <w:spacing w:before="62" w:beforeLines="20" w:after="62" w:afterLines="20" w:line="400" w:lineRule="exact"/>
        <w:ind w:firstLine="422" w:firstLineChars="200"/>
        <w:textAlignment w:val="baseline"/>
        <w:rPr>
          <w:rFonts w:ascii="宋体" w:hAnsi="宋体"/>
          <w:b/>
          <w:color w:val="auto"/>
        </w:rPr>
      </w:pPr>
      <w:r>
        <w:rPr>
          <w:rFonts w:hint="eastAsia" w:ascii="宋体" w:hAnsi="宋体"/>
          <w:b/>
          <w:color w:val="auto"/>
        </w:rPr>
        <w:t>投标人须对《采购需求书》全部条款理解清楚，并填写《采购需求偏离表》（格式见第六章）。</w:t>
      </w:r>
    </w:p>
    <w:p>
      <w:pPr>
        <w:widowControl/>
        <w:jc w:val="left"/>
        <w:rPr>
          <w:rFonts w:ascii="宋体" w:hAnsi="宋体"/>
          <w:b/>
          <w:color w:val="auto"/>
        </w:rPr>
      </w:pPr>
      <w:r>
        <w:rPr>
          <w:rFonts w:ascii="宋体" w:hAnsi="宋体"/>
          <w:b/>
          <w:color w:val="auto"/>
        </w:rPr>
        <w:br w:type="page"/>
      </w:r>
    </w:p>
    <w:p>
      <w:pPr>
        <w:spacing w:before="156" w:beforeLines="50" w:after="156" w:afterLines="50" w:line="360" w:lineRule="auto"/>
        <w:jc w:val="center"/>
        <w:rPr>
          <w:rFonts w:asciiTheme="minorEastAsia" w:hAnsiTheme="minorEastAsia" w:eastAsiaTheme="minorEastAsia"/>
          <w:color w:val="auto"/>
          <w:sz w:val="32"/>
          <w:szCs w:val="32"/>
        </w:rPr>
      </w:pPr>
      <w:bookmarkStart w:id="480" w:name="_Toc26541"/>
      <w:bookmarkStart w:id="481" w:name="_Toc32130"/>
      <w:bookmarkStart w:id="482" w:name="_Toc70434247"/>
      <w:bookmarkStart w:id="483" w:name="_Toc5272"/>
      <w:bookmarkStart w:id="484" w:name="_Toc18739"/>
      <w:bookmarkStart w:id="485" w:name="_Toc68684318"/>
      <w:bookmarkStart w:id="486" w:name="_Toc16752"/>
      <w:r>
        <w:rPr>
          <w:rFonts w:hint="eastAsia" w:asciiTheme="minorEastAsia" w:hAnsiTheme="minorEastAsia" w:eastAsiaTheme="minorEastAsia"/>
          <w:color w:val="auto"/>
          <w:sz w:val="32"/>
          <w:szCs w:val="32"/>
          <w:lang w:eastAsia="zh-CN"/>
        </w:rPr>
        <w:t>广东南都娱乐企业文化综合服务项目</w:t>
      </w:r>
      <w:r>
        <w:rPr>
          <w:rFonts w:hint="eastAsia" w:asciiTheme="minorEastAsia" w:hAnsiTheme="minorEastAsia" w:eastAsiaTheme="minorEastAsia"/>
          <w:color w:val="auto"/>
          <w:sz w:val="32"/>
          <w:szCs w:val="32"/>
          <w:lang w:eastAsia="zh-Hans"/>
        </w:rPr>
        <w:t>采购</w:t>
      </w:r>
      <w:r>
        <w:rPr>
          <w:rFonts w:hint="eastAsia" w:asciiTheme="minorEastAsia" w:hAnsiTheme="minorEastAsia" w:eastAsiaTheme="minorEastAsia"/>
          <w:color w:val="auto"/>
          <w:sz w:val="32"/>
          <w:szCs w:val="32"/>
        </w:rPr>
        <w:t>需求</w:t>
      </w:r>
      <w:r>
        <w:rPr>
          <w:rFonts w:hint="eastAsia" w:asciiTheme="minorEastAsia" w:hAnsiTheme="minorEastAsia" w:eastAsiaTheme="minorEastAsia"/>
          <w:color w:val="auto"/>
          <w:sz w:val="32"/>
          <w:szCs w:val="32"/>
          <w:lang w:eastAsia="zh-Hans"/>
        </w:rPr>
        <w:t>书</w:t>
      </w:r>
      <w:bookmarkEnd w:id="480"/>
      <w:bookmarkEnd w:id="481"/>
      <w:bookmarkEnd w:id="482"/>
      <w:bookmarkEnd w:id="483"/>
      <w:bookmarkEnd w:id="484"/>
      <w:bookmarkEnd w:id="485"/>
    </w:p>
    <w:p>
      <w:pPr>
        <w:keepNext w:val="0"/>
        <w:keepLines w:val="0"/>
        <w:pageBreakBefore w:val="0"/>
        <w:numPr>
          <w:ilvl w:val="0"/>
          <w:numId w:val="10"/>
        </w:numPr>
        <w:kinsoku/>
        <w:wordWrap/>
        <w:overflowPunct/>
        <w:topLinePunct w:val="0"/>
        <w:autoSpaceDE/>
        <w:autoSpaceDN/>
        <w:bidi w:val="0"/>
        <w:adjustRightInd/>
        <w:snapToGrid/>
        <w:spacing w:line="360" w:lineRule="auto"/>
        <w:ind w:firstLine="602"/>
        <w:textAlignment w:val="auto"/>
        <w:rPr>
          <w:b/>
          <w:bCs/>
          <w:sz w:val="30"/>
          <w:szCs w:val="30"/>
        </w:rPr>
      </w:pPr>
      <w:r>
        <w:rPr>
          <w:rFonts w:hint="eastAsia"/>
          <w:b/>
          <w:bCs/>
          <w:sz w:val="30"/>
          <w:szCs w:val="30"/>
        </w:rPr>
        <w:t>项目目标</w:t>
      </w:r>
    </w:p>
    <w:p>
      <w:pPr>
        <w:keepNext w:val="0"/>
        <w:keepLines w:val="0"/>
        <w:pageBreakBefore w:val="0"/>
        <w:kinsoku/>
        <w:wordWrap/>
        <w:overflowPunct/>
        <w:topLinePunct w:val="0"/>
        <w:autoSpaceDE/>
        <w:autoSpaceDN/>
        <w:bidi w:val="0"/>
        <w:adjustRightInd/>
        <w:snapToGrid/>
        <w:spacing w:line="360" w:lineRule="auto"/>
        <w:ind w:firstLine="560"/>
        <w:textAlignment w:val="auto"/>
      </w:pPr>
      <w:r>
        <w:t>建设与现代企业相适应、具有特色的企业文化，是当前</w:t>
      </w:r>
      <w:r>
        <w:rPr>
          <w:rFonts w:hint="eastAsia"/>
        </w:rPr>
        <w:t>每一个企业</w:t>
      </w:r>
      <w:r>
        <w:t>一项十分重要的工作，是实现跨越式发展，打造</w:t>
      </w:r>
      <w:r>
        <w:rPr>
          <w:rFonts w:hint="eastAsia"/>
        </w:rPr>
        <w:t>企业品牌</w:t>
      </w:r>
      <w:r>
        <w:t>的重要保证。为了巩固并加强企业文化建设成果，系统性、全面性地开展企业文化工作，促使全员统一思想，并在实际工作行为中践行，打造并推广品牌，结合</w:t>
      </w:r>
      <w:r>
        <w:rPr>
          <w:rFonts w:hint="eastAsia"/>
        </w:rPr>
        <w:t>招标人对特色</w:t>
      </w:r>
      <w:r>
        <w:t>企业文化建设实际状况和目标需求</w:t>
      </w:r>
      <w:r>
        <w:rPr>
          <w:rFonts w:hint="eastAsia"/>
        </w:rPr>
        <w:t>，特招标一家供应商提供相关企业文化综合服务，丰富相关企业文化活动，打造相关企业品牌矩阵，形成企业文化影响力。</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602"/>
        <w:textAlignment w:val="auto"/>
        <w:rPr>
          <w:b/>
          <w:bCs/>
          <w:sz w:val="30"/>
          <w:szCs w:val="30"/>
        </w:rPr>
      </w:pPr>
      <w:r>
        <w:rPr>
          <w:rFonts w:hint="eastAsia"/>
          <w:b/>
          <w:bCs/>
          <w:sz w:val="30"/>
          <w:szCs w:val="30"/>
        </w:rPr>
        <w:t>服务内容</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Chars="0"/>
        <w:textAlignment w:val="auto"/>
        <w:rPr>
          <w:b/>
          <w:bCs/>
        </w:rPr>
      </w:pPr>
      <w:r>
        <w:rPr>
          <w:rFonts w:hint="eastAsia"/>
          <w:b/>
          <w:bCs/>
        </w:rPr>
        <w:t>企业文化活动建设服务</w:t>
      </w:r>
    </w:p>
    <w:p>
      <w:pPr>
        <w:keepNext w:val="0"/>
        <w:keepLines w:val="0"/>
        <w:pageBreakBefore w:val="0"/>
        <w:kinsoku/>
        <w:wordWrap/>
        <w:overflowPunct/>
        <w:topLinePunct w:val="0"/>
        <w:autoSpaceDE/>
        <w:autoSpaceDN/>
        <w:bidi w:val="0"/>
        <w:adjustRightInd/>
        <w:snapToGrid/>
        <w:spacing w:line="360" w:lineRule="auto"/>
        <w:ind w:firstLine="560"/>
        <w:textAlignment w:val="auto"/>
      </w:pPr>
      <w:r>
        <w:rPr>
          <w:rFonts w:hint="eastAsia"/>
        </w:rPr>
        <w:t>供应商根据招标人需求，为指定企业策划执行不少于10场线下创意企业文化活动，策划执行不少于6场线上创意企业文化活动，丰富企业文化活动，营造企业文化氛围。</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Chars="0"/>
        <w:textAlignment w:val="auto"/>
        <w:rPr>
          <w:b/>
          <w:bCs/>
        </w:rPr>
      </w:pPr>
      <w:r>
        <w:rPr>
          <w:rFonts w:hint="eastAsia"/>
          <w:b/>
          <w:bCs/>
        </w:rPr>
        <w:t>线上文化品牌内容服务</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hint="eastAsia"/>
        </w:rPr>
        <w:t>1、供应商根据招标人的要求，在招标人指定地点（全国范围内）拍摄不少于30场活动的相关照片，照片类型包括但不限于人物、景物、现场图等。</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hint="eastAsia"/>
        </w:rPr>
        <w:t>2、供应商根据招标人微信及相关运营需求，保质保量完成不少于30项设计服务，包括3D建模设计、VI设计、H5、条漫、插画、图片处理等。</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hint="eastAsia"/>
        </w:rPr>
        <w:t>3、供应商开展微信KPI数据服务，在合同服务周期内按KPI保质保量完成全年总阅读量≥2980000，平均阅读量≥9600，新增粉丝≥16000，点赞数≥15000，在看数≥6000的任务要求。</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Chars="0"/>
        <w:textAlignment w:val="auto"/>
        <w:rPr>
          <w:b/>
          <w:bCs/>
        </w:rPr>
      </w:pPr>
      <w:r>
        <w:rPr>
          <w:rFonts w:hint="eastAsia"/>
          <w:b/>
          <w:bCs/>
        </w:rPr>
        <w:t>企业文化宣传视频拍摄服务</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highlight w:val="none"/>
        </w:rPr>
      </w:pPr>
      <w:r>
        <w:rPr>
          <w:rFonts w:hint="eastAsia"/>
          <w:highlight w:val="none"/>
          <w:lang w:val="en-US" w:eastAsia="zh-CN"/>
        </w:rPr>
        <w:t>服务期间</w:t>
      </w:r>
      <w:r>
        <w:rPr>
          <w:rFonts w:hint="eastAsia"/>
        </w:rPr>
        <w:t>供应商</w:t>
      </w:r>
      <w:r>
        <w:rPr>
          <w:rFonts w:hint="eastAsia"/>
          <w:highlight w:val="none"/>
        </w:rPr>
        <w:t>根据招标人要求</w:t>
      </w:r>
      <w:r>
        <w:rPr>
          <w:rFonts w:hint="eastAsia"/>
          <w:highlight w:val="none"/>
          <w:lang w:val="en-US" w:eastAsia="zh-CN"/>
        </w:rPr>
        <w:t>预计需</w:t>
      </w:r>
      <w:r>
        <w:rPr>
          <w:rFonts w:hint="eastAsia"/>
          <w:highlight w:val="none"/>
        </w:rPr>
        <w:t>完成拍摄室内短视频拍摄3条，完成</w:t>
      </w:r>
      <w:r>
        <w:rPr>
          <w:rFonts w:hint="eastAsia"/>
          <w:highlight w:val="none"/>
          <w:lang w:val="en-US" w:eastAsia="zh-CN"/>
        </w:rPr>
        <w:t>指定</w:t>
      </w:r>
      <w:r>
        <w:rPr>
          <w:rFonts w:hint="eastAsia"/>
          <w:highlight w:val="none"/>
        </w:rPr>
        <w:t>人物采访3条，</w:t>
      </w:r>
      <w:r>
        <w:rPr>
          <w:rFonts w:hint="eastAsia"/>
          <w:highlight w:val="none"/>
          <w:lang w:val="en-US" w:eastAsia="zh-CN"/>
        </w:rPr>
        <w:t>并</w:t>
      </w:r>
      <w:r>
        <w:rPr>
          <w:rFonts w:hint="eastAsia"/>
          <w:highlight w:val="none"/>
        </w:rPr>
        <w:t>根据全年活动素材剪辑完成反映企业文化的纪录片1条。</w:t>
      </w:r>
      <w:r>
        <w:rPr>
          <w:rFonts w:hint="eastAsia"/>
        </w:rPr>
        <w:t>供应商</w:t>
      </w:r>
      <w:r>
        <w:rPr>
          <w:rFonts w:hint="eastAsia"/>
          <w:highlight w:val="none"/>
        </w:rPr>
        <w:t>接到招标人相关需求需在十天</w:t>
      </w:r>
      <w:r>
        <w:rPr>
          <w:rFonts w:hint="eastAsia"/>
          <w:highlight w:val="none"/>
          <w:lang w:val="en-US" w:eastAsia="zh-CN"/>
        </w:rPr>
        <w:t>内</w:t>
      </w:r>
      <w:r>
        <w:rPr>
          <w:rFonts w:hint="eastAsia"/>
          <w:highlight w:val="none"/>
        </w:rPr>
        <w:t>完成相关文案及后期制作。</w:t>
      </w:r>
      <w:r>
        <w:rPr>
          <w:rFonts w:hint="eastAsia"/>
          <w:highlight w:val="none"/>
          <w:lang w:eastAsia="zh-CN"/>
        </w:rPr>
        <w:t>（</w:t>
      </w:r>
      <w:r>
        <w:rPr>
          <w:rFonts w:hint="eastAsia"/>
          <w:highlight w:val="none"/>
          <w:lang w:val="en-US" w:eastAsia="zh-CN"/>
        </w:rPr>
        <w:t>以上数量为预估数量，最终以招标人实际需求为准</w:t>
      </w:r>
      <w:r>
        <w:rPr>
          <w:rFonts w:hint="eastAsia"/>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560"/>
        <w:textAlignment w:val="auto"/>
      </w:pPr>
      <w:r>
        <w:rPr>
          <w:rFonts w:hint="eastAsia"/>
          <w:highlight w:val="none"/>
          <w:lang w:val="en-US" w:eastAsia="zh-CN"/>
        </w:rPr>
        <w:t>服务期间</w:t>
      </w:r>
      <w:r>
        <w:rPr>
          <w:rFonts w:hint="eastAsia"/>
        </w:rPr>
        <w:t>供应商</w:t>
      </w:r>
      <w:r>
        <w:rPr>
          <w:rFonts w:hint="eastAsia"/>
          <w:lang w:val="en-US" w:eastAsia="zh-CN"/>
        </w:rPr>
        <w:t>需</w:t>
      </w:r>
      <w:r>
        <w:rPr>
          <w:rFonts w:hint="eastAsia"/>
        </w:rPr>
        <w:t>配合拍摄需要，提供服化道服务，包括8次在指定地区（全国范围内）聘请专业化妆师为出镜人员化妆，租赁相关服装及道具，10次在指定服务范围内（指全国范围内）提供车辆租赁服务，为招标人指定工作人员跨城市服务提供高铁或飞机等交通服务及住宿安排服务6次。</w:t>
      </w:r>
    </w:p>
    <w:p>
      <w:pPr>
        <w:keepNext w:val="0"/>
        <w:keepLines w:val="0"/>
        <w:pageBreakBefore w:val="0"/>
        <w:numPr>
          <w:ilvl w:val="0"/>
          <w:numId w:val="11"/>
        </w:numPr>
        <w:kinsoku/>
        <w:wordWrap/>
        <w:overflowPunct/>
        <w:topLinePunct w:val="0"/>
        <w:autoSpaceDE/>
        <w:autoSpaceDN/>
        <w:bidi w:val="0"/>
        <w:adjustRightInd/>
        <w:snapToGrid/>
        <w:spacing w:line="360" w:lineRule="auto"/>
        <w:ind w:firstLineChars="0"/>
        <w:textAlignment w:val="auto"/>
        <w:rPr>
          <w:b/>
          <w:bCs/>
        </w:rPr>
      </w:pPr>
      <w:r>
        <w:rPr>
          <w:rFonts w:hint="eastAsia"/>
          <w:b/>
          <w:bCs/>
        </w:rPr>
        <w:t>企业文创产品及礼品定制</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rPr>
      </w:pPr>
      <w:r>
        <w:rPr>
          <w:rFonts w:hint="eastAsia"/>
        </w:rPr>
        <w:t>1、文创产品定制：根据招标人指定IP形象，开发文创周边产品，产品定制应紧密结合企业文化及员工需求，包括且不限于办公用品、出差用品、车载装饰等，全年定制不少于8件单品，单个产品制作不少于200件。</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hint="eastAsia"/>
        </w:rPr>
        <w:t>2、礼品定制：根据招标人活动需求，定制活动礼品，包括且不限于购物卡、视频网站年卡、水果卡、咖啡</w:t>
      </w:r>
      <w:r>
        <w:rPr>
          <w:rFonts w:hint="eastAsia"/>
          <w:lang w:val="en-US" w:eastAsia="zh-CN"/>
        </w:rPr>
        <w:t>券</w:t>
      </w:r>
      <w:r>
        <w:rPr>
          <w:rFonts w:hint="eastAsia"/>
        </w:rPr>
        <w:t>、电影票、鼠标垫、茶杯、汽车模型、气球、光剑、公仔摆件、多肉、仿真樱花树、装饰礼品盒等。</w:t>
      </w:r>
    </w:p>
    <w:p>
      <w:pPr>
        <w:keepNext w:val="0"/>
        <w:keepLines w:val="0"/>
        <w:pageBreakBefore w:val="0"/>
        <w:numPr>
          <w:ilvl w:val="0"/>
          <w:numId w:val="10"/>
        </w:numPr>
        <w:kinsoku/>
        <w:wordWrap/>
        <w:overflowPunct/>
        <w:topLinePunct w:val="0"/>
        <w:autoSpaceDE/>
        <w:autoSpaceDN/>
        <w:bidi w:val="0"/>
        <w:adjustRightInd/>
        <w:snapToGrid/>
        <w:spacing w:line="360" w:lineRule="auto"/>
        <w:ind w:firstLine="602"/>
        <w:textAlignment w:val="auto"/>
        <w:rPr>
          <w:b/>
          <w:bCs/>
          <w:sz w:val="30"/>
          <w:szCs w:val="30"/>
        </w:rPr>
      </w:pPr>
      <w:r>
        <w:rPr>
          <w:rFonts w:hint="eastAsia"/>
          <w:b/>
          <w:bCs/>
          <w:sz w:val="30"/>
          <w:szCs w:val="30"/>
        </w:rPr>
        <w:t>服务要求</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b/>
          <w:bCs/>
        </w:rPr>
      </w:pPr>
      <w:r>
        <w:rPr>
          <w:b/>
          <w:bCs/>
        </w:rPr>
        <w:t>总体要求</w:t>
      </w:r>
    </w:p>
    <w:p>
      <w:pPr>
        <w:keepNext w:val="0"/>
        <w:keepLines w:val="0"/>
        <w:pageBreakBefore w:val="0"/>
        <w:kinsoku/>
        <w:wordWrap/>
        <w:overflowPunct/>
        <w:topLinePunct w:val="0"/>
        <w:autoSpaceDE/>
        <w:autoSpaceDN/>
        <w:bidi w:val="0"/>
        <w:adjustRightInd/>
        <w:snapToGrid/>
        <w:spacing w:line="360" w:lineRule="auto"/>
        <w:ind w:firstLine="560"/>
        <w:textAlignment w:val="auto"/>
      </w:pPr>
      <w:r>
        <w:t>1</w:t>
      </w:r>
      <w:r>
        <w:rPr>
          <w:rFonts w:hint="eastAsia"/>
        </w:rPr>
        <w:t>、供应商需</w:t>
      </w:r>
      <w:r>
        <w:t>根据招标人的意见和建议确定具体</w:t>
      </w:r>
      <w:r>
        <w:rPr>
          <w:rFonts w:hint="eastAsia"/>
        </w:rPr>
        <w:t>活动执行</w:t>
      </w:r>
      <w:r>
        <w:t>的时间日期，且涉及有关方案编制的服务内容，均必须在完成方案编制后及时提交招标人进行审核，经招标人最终审核并确认通过后方可进行组织实施工作；</w:t>
      </w:r>
    </w:p>
    <w:p>
      <w:pPr>
        <w:keepNext w:val="0"/>
        <w:keepLines w:val="0"/>
        <w:pageBreakBefore w:val="0"/>
        <w:kinsoku/>
        <w:wordWrap/>
        <w:overflowPunct/>
        <w:topLinePunct w:val="0"/>
        <w:autoSpaceDE/>
        <w:autoSpaceDN/>
        <w:bidi w:val="0"/>
        <w:adjustRightInd/>
        <w:snapToGrid/>
        <w:spacing w:line="360" w:lineRule="auto"/>
        <w:ind w:firstLine="560"/>
        <w:textAlignment w:val="auto"/>
      </w:pPr>
      <w:r>
        <w:t>2</w:t>
      </w:r>
      <w:r>
        <w:rPr>
          <w:rFonts w:hint="eastAsia"/>
        </w:rPr>
        <w:t>、供应商</w:t>
      </w:r>
      <w:r>
        <w:t>应该充分理解本项目服务内容的基础上，同时应当积极、主动听取招标人的合理的意见和建议；若因</w:t>
      </w:r>
      <w:r>
        <w:rPr>
          <w:rFonts w:hint="eastAsia"/>
        </w:rPr>
        <w:t>供应商</w:t>
      </w:r>
      <w:r>
        <w:t>自身原因导致服务工作出现失误的，由此而产生的有关法律责任及带来的经济损失均由</w:t>
      </w:r>
      <w:r>
        <w:rPr>
          <w:rFonts w:hint="eastAsia"/>
        </w:rPr>
        <w:t>供应商</w:t>
      </w:r>
      <w:r>
        <w:t>自行负责并承担，若发生重大失误至使项目无法开展的，招标人有权单方面终止合同的履行，所带来的一切损失均由</w:t>
      </w:r>
      <w:r>
        <w:rPr>
          <w:rFonts w:hint="eastAsia"/>
        </w:rPr>
        <w:t>供应商</w:t>
      </w:r>
      <w:r>
        <w:t>自行负责并承担。</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b/>
          <w:bCs/>
        </w:rPr>
      </w:pPr>
      <w:r>
        <w:rPr>
          <w:rFonts w:hint="eastAsia"/>
          <w:b/>
          <w:bCs/>
        </w:rPr>
        <w:t>服务执行要求</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hint="eastAsia"/>
        </w:rPr>
        <w:t>1、在企业文化活动开展方面，供应商需为招标人提供全面的切实可行的线上及线下的活动方案及并完成活动组织实施，落实活动执行过程中涉及的主KV及延伸设计、物料制作、现场搭建、场地租赁、设备器材、数据记录维护、活动咨询等；每次活动需配备2名或以上工作人员，确保活动顺利完成。</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hint="eastAsia"/>
        </w:rPr>
        <w:t>2、在线上文化品牌内容服务方面，需积极快速响应招标人需求，按质按量按时完成相关任务。</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hint="eastAsia"/>
        </w:rPr>
        <w:t>3、在企业文化宣传视频拍摄方面，供应商需承担创意故事脚本及拍摄脚本的撰写、相关演员的聘请、拍摄场地的租赁、供应商自备拍摄服务所需设备，交通住宿的安排等工作，并根据题材选择音乐音效、视频特效、字幕、配音，对视频素材进行剪辑（视频要求：视频格式：MP4或者MOV格式；视频编码：H.264；视频尺寸：1920×1080；视频码率：10Mbps；音频制式：AAC；音频采样率：48KHz；剪辑要求：精剪+达芬奇调色），完成指定数量的符合招标人需求的视频成果展现。</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pPr>
      <w:r>
        <w:rPr>
          <w:rFonts w:hint="eastAsia"/>
        </w:rPr>
        <w:t>4、在企业文创产品及礼品定制方面，供应商需根据招标人要求，充分了解企业需求，保证文创产品及礼品体现企业文化特点，并为招标人提供从设计、开模、打样、制作、配送的全套服务。</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rFonts w:hint="eastAsia"/>
          <w:b/>
          <w:bCs/>
        </w:rPr>
      </w:pPr>
      <w:r>
        <w:rPr>
          <w:rFonts w:hint="eastAsia"/>
          <w:b/>
          <w:bCs/>
        </w:rPr>
        <w:t>服务团队要求</w:t>
      </w:r>
    </w:p>
    <w:p>
      <w:pPr>
        <w:keepNext w:val="0"/>
        <w:keepLines w:val="0"/>
        <w:pageBreakBefore w:val="0"/>
        <w:kinsoku/>
        <w:wordWrap/>
        <w:overflowPunct/>
        <w:topLinePunct w:val="0"/>
        <w:autoSpaceDE/>
        <w:autoSpaceDN/>
        <w:bidi w:val="0"/>
        <w:adjustRightInd/>
        <w:snapToGrid/>
        <w:spacing w:line="360" w:lineRule="auto"/>
        <w:ind w:firstLine="560"/>
        <w:textAlignment w:val="auto"/>
      </w:pPr>
      <w:r>
        <w:rPr>
          <w:rFonts w:hint="eastAsia"/>
        </w:rPr>
        <w:t>供应商应为项目组建专职服务团队，项目负责人要求本科及以上学历，具有5年及以上的同类项目经验，相关从业经验丰富。承诺包括策划、营销、企业文化研究、新媒体运营专职服务团队人员不少于8人（含8人）。要求团队人员服务经验丰富、专业素质高。</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rPr>
      </w:pPr>
      <w:r>
        <w:rPr>
          <w:rFonts w:hint="eastAsia"/>
        </w:rPr>
        <w:t>团队人员须经过招标人认可，如不能达到服务要求，供应商须在招标人提出相应要求后7个工作日内更换服务人员。</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b/>
          <w:bCs/>
        </w:rPr>
      </w:pPr>
      <w:r>
        <w:rPr>
          <w:b/>
          <w:bCs/>
        </w:rPr>
        <w:t>其他要求</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rPr>
      </w:pPr>
      <w:r>
        <w:rPr>
          <w:rFonts w:hint="eastAsia"/>
        </w:rPr>
        <w:t>1、知识产权的要求：供应商应保证本项目提供的所有服务不会产生因第三方提出侵犯其专利权、商标权或其他知识产权而引起的法律和经济纠纷；如因第三方提出其专利权、商标权或其他知识产权的权之诉，则一切法律责任由供应商承担。</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rPr>
      </w:pPr>
      <w:r>
        <w:rPr>
          <w:rFonts w:hint="eastAsia"/>
        </w:rPr>
        <w:t>2、供应商须根据自身服务方案在响应文件中列明需要招标人配合的工作内容</w:t>
      </w:r>
      <w:r>
        <w:rPr>
          <w:rFonts w:hint="eastAsia"/>
          <w:lang w:eastAsia="zh-CN"/>
        </w:rPr>
        <w:t>（</w:t>
      </w:r>
      <w:r>
        <w:rPr>
          <w:rFonts w:hint="eastAsia"/>
          <w:lang w:val="en-US" w:eastAsia="zh-CN"/>
        </w:rPr>
        <w:t>若有</w:t>
      </w:r>
      <w:r>
        <w:rPr>
          <w:rFonts w:hint="eastAsia"/>
          <w:lang w:eastAsia="zh-CN"/>
        </w:rPr>
        <w:t>）</w:t>
      </w:r>
      <w:r>
        <w:rPr>
          <w:rFonts w:hint="eastAsia"/>
        </w:rPr>
        <w:t>。</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rPr>
      </w:pPr>
      <w:r>
        <w:rPr>
          <w:rFonts w:hint="eastAsia"/>
        </w:rPr>
        <w:t>3、供应商应充分运用其拥有的资源和能力，尽职尽责为招标人服务，按时、按质、按量完成招标人委托的业务。</w:t>
      </w:r>
    </w:p>
    <w:p>
      <w:pPr>
        <w:keepNext w:val="0"/>
        <w:keepLines w:val="0"/>
        <w:pageBreakBefore w:val="0"/>
        <w:widowControl/>
        <w:kinsoku/>
        <w:wordWrap/>
        <w:overflowPunct/>
        <w:topLinePunct w:val="0"/>
        <w:autoSpaceDE/>
        <w:autoSpaceDN/>
        <w:bidi w:val="0"/>
        <w:adjustRightInd/>
        <w:snapToGrid/>
        <w:spacing w:line="360" w:lineRule="auto"/>
        <w:ind w:firstLine="560"/>
        <w:textAlignment w:val="auto"/>
        <w:rPr>
          <w:rFonts w:hint="eastAsia"/>
        </w:rPr>
      </w:pPr>
      <w:r>
        <w:rPr>
          <w:rFonts w:hint="eastAsia"/>
        </w:rPr>
        <w:t>4、供应商应尊重和服从招标人的领导和管理，很好的配合招标人的工作安排。</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b/>
          <w:bCs/>
        </w:rPr>
      </w:pPr>
      <w:r>
        <w:rPr>
          <w:b/>
          <w:bCs/>
        </w:rPr>
        <w:t>服务保障</w:t>
      </w:r>
      <w:r>
        <w:rPr>
          <w:rFonts w:hint="eastAsia"/>
          <w:b/>
          <w:bCs/>
        </w:rPr>
        <w:t>要求</w:t>
      </w:r>
    </w:p>
    <w:p>
      <w:pPr>
        <w:keepNext w:val="0"/>
        <w:keepLines w:val="0"/>
        <w:pageBreakBefore w:val="0"/>
        <w:kinsoku/>
        <w:wordWrap/>
        <w:overflowPunct/>
        <w:topLinePunct w:val="0"/>
        <w:autoSpaceDE/>
        <w:autoSpaceDN/>
        <w:bidi w:val="0"/>
        <w:adjustRightInd/>
        <w:snapToGrid/>
        <w:spacing w:line="360" w:lineRule="auto"/>
        <w:ind w:firstLine="560"/>
        <w:textAlignment w:val="auto"/>
      </w:pPr>
      <w:r>
        <w:t>合同有效期内，</w:t>
      </w:r>
      <w:r>
        <w:rPr>
          <w:rFonts w:hint="eastAsia"/>
        </w:rPr>
        <w:t>供应商</w:t>
      </w:r>
      <w:r>
        <w:t>须提供每周7个工作日×12小时热线和长期免费服务支持，无条件响应招标人在该项目上的时间安排，对招标人的服务通知，</w:t>
      </w:r>
      <w:r>
        <w:rPr>
          <w:rFonts w:hint="eastAsia"/>
        </w:rPr>
        <w:t>供应商</w:t>
      </w:r>
      <w:r>
        <w:rPr>
          <w:rFonts w:hint="eastAsia"/>
          <w:lang w:val="en-US" w:eastAsia="zh-CN"/>
        </w:rPr>
        <w:t>需</w:t>
      </w:r>
      <w:r>
        <w:t>在接报后2小时内响应。</w:t>
      </w:r>
    </w:p>
    <w:p>
      <w:pPr>
        <w:keepNext w:val="0"/>
        <w:keepLines w:val="0"/>
        <w:pageBreakBefore w:val="0"/>
        <w:numPr>
          <w:ilvl w:val="0"/>
          <w:numId w:val="12"/>
        </w:numPr>
        <w:kinsoku/>
        <w:wordWrap/>
        <w:overflowPunct/>
        <w:topLinePunct w:val="0"/>
        <w:autoSpaceDE/>
        <w:autoSpaceDN/>
        <w:bidi w:val="0"/>
        <w:adjustRightInd/>
        <w:snapToGrid/>
        <w:spacing w:line="360" w:lineRule="auto"/>
        <w:ind w:firstLineChars="0"/>
        <w:textAlignment w:val="auto"/>
        <w:rPr>
          <w:b/>
          <w:bCs/>
        </w:rPr>
      </w:pPr>
      <w:r>
        <w:rPr>
          <w:rFonts w:hint="eastAsia"/>
          <w:b/>
          <w:bCs/>
        </w:rPr>
        <w:t>报价要求</w:t>
      </w:r>
    </w:p>
    <w:p>
      <w:pPr>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bCs/>
          <w:color w:val="auto"/>
          <w:sz w:val="21"/>
        </w:rPr>
      </w:pPr>
      <w:r>
        <w:rPr>
          <w:rFonts w:hint="eastAsia"/>
        </w:rPr>
        <w:t>供应商报价须包含各项活动及服务的场地租用、人员聘请、器材租赁、设计制作、道具物资、交通餐饮住宿、保险购买、组织及安保措施费用及合同实施过程中应预见和不可预见费用，确定报价是对完成工作的全部偿付。</w:t>
      </w:r>
    </w:p>
    <w:bookmarkEnd w:id="486"/>
    <w:p>
      <w:pPr>
        <w:pStyle w:val="18"/>
        <w:rPr>
          <w:color w:val="auto"/>
        </w:rPr>
      </w:pPr>
    </w:p>
    <w:p>
      <w:pPr>
        <w:widowControl/>
        <w:jc w:val="left"/>
        <w:rPr>
          <w:rFonts w:ascii="宋体" w:hAnsi="宋体" w:cs="宋体"/>
          <w:b/>
          <w:color w:val="auto"/>
          <w:kern w:val="0"/>
          <w:sz w:val="28"/>
          <w:szCs w:val="28"/>
        </w:rPr>
      </w:pPr>
      <w:bookmarkStart w:id="487" w:name="_Toc56432229"/>
      <w:r>
        <w:rPr>
          <w:rFonts w:ascii="宋体" w:hAnsi="宋体" w:cs="宋体"/>
          <w:b/>
          <w:bCs/>
          <w:color w:val="auto"/>
          <w:kern w:val="0"/>
          <w:sz w:val="28"/>
          <w:szCs w:val="28"/>
        </w:rPr>
        <w:br w:type="page"/>
      </w:r>
    </w:p>
    <w:p>
      <w:pPr>
        <w:pStyle w:val="75"/>
        <w:spacing w:before="240" w:after="120"/>
        <w:rPr>
          <w:rFonts w:ascii="宋体" w:hAnsi="宋体" w:eastAsia="宋体" w:cs="宋体"/>
          <w:b/>
          <w:bCs w:val="0"/>
          <w:color w:val="auto"/>
          <w:kern w:val="0"/>
          <w:sz w:val="28"/>
          <w:szCs w:val="28"/>
        </w:rPr>
      </w:pPr>
      <w:bookmarkStart w:id="488" w:name="_Toc21679"/>
      <w:bookmarkStart w:id="489" w:name="_Toc29000"/>
      <w:bookmarkStart w:id="490" w:name="_Toc11693"/>
      <w:r>
        <w:rPr>
          <w:rFonts w:hint="eastAsia" w:ascii="宋体" w:hAnsi="宋体" w:eastAsia="宋体" w:cs="宋体"/>
          <w:b/>
          <w:bCs w:val="0"/>
          <w:color w:val="auto"/>
          <w:kern w:val="0"/>
          <w:sz w:val="28"/>
          <w:szCs w:val="28"/>
        </w:rPr>
        <w:t>第六章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投标文件格式</w:t>
      </w:r>
      <w:bookmarkEnd w:id="473"/>
      <w:bookmarkEnd w:id="474"/>
      <w:bookmarkEnd w:id="475"/>
      <w:bookmarkEnd w:id="487"/>
      <w:bookmarkEnd w:id="488"/>
      <w:bookmarkEnd w:id="489"/>
      <w:bookmarkEnd w:id="490"/>
    </w:p>
    <w:p>
      <w:pPr>
        <w:adjustRightInd w:val="0"/>
        <w:snapToGrid w:val="0"/>
        <w:spacing w:line="440" w:lineRule="exact"/>
        <w:jc w:val="left"/>
        <w:rPr>
          <w:rFonts w:ascii="宋体" w:hAnsi="宋体"/>
          <w:color w:val="auto"/>
          <w:szCs w:val="21"/>
        </w:rPr>
      </w:pPr>
      <w:r>
        <w:rPr>
          <w:rFonts w:ascii="宋体" w:hAnsi="宋体"/>
          <w:color w:val="auto"/>
          <w:szCs w:val="21"/>
        </w:rPr>
        <w:t>[本格式应根据第二章投标人须知前附表3.1条款中关于纸质文件提供顺序进行修改，应与投标文件组成顺序一一对应]</w:t>
      </w:r>
    </w:p>
    <w:p>
      <w:pPr>
        <w:pStyle w:val="76"/>
        <w:tabs>
          <w:tab w:val="left" w:pos="567"/>
          <w:tab w:val="left" w:pos="795"/>
        </w:tabs>
        <w:adjustRightInd w:val="0"/>
        <w:snapToGrid w:val="0"/>
        <w:spacing w:line="440" w:lineRule="exact"/>
        <w:ind w:firstLine="0" w:firstLineChars="0"/>
        <w:jc w:val="left"/>
        <w:rPr>
          <w:rFonts w:ascii="宋体" w:hAnsi="宋体"/>
          <w:b/>
          <w:color w:val="auto"/>
          <w:szCs w:val="21"/>
        </w:rPr>
      </w:pPr>
      <w:r>
        <w:rPr>
          <w:rFonts w:hint="eastAsia" w:ascii="宋体" w:hAnsi="宋体"/>
          <w:b/>
          <w:color w:val="auto"/>
          <w:szCs w:val="21"/>
        </w:rPr>
        <w:t>第一分册</w:t>
      </w:r>
      <w:r>
        <w:rPr>
          <w:rFonts w:ascii="宋体" w:hAnsi="宋体"/>
          <w:b/>
          <w:color w:val="auto"/>
          <w:szCs w:val="21"/>
        </w:rPr>
        <w:t xml:space="preserve"> </w:t>
      </w:r>
      <w:r>
        <w:rPr>
          <w:rFonts w:hint="eastAsia" w:ascii="宋体" w:hAnsi="宋体"/>
          <w:b/>
          <w:color w:val="auto"/>
          <w:szCs w:val="21"/>
        </w:rPr>
        <w:t>商务、</w:t>
      </w:r>
      <w:r>
        <w:rPr>
          <w:rFonts w:ascii="宋体" w:hAnsi="宋体"/>
          <w:b/>
          <w:color w:val="auto"/>
          <w:szCs w:val="21"/>
        </w:rPr>
        <w:t>技术</w:t>
      </w:r>
      <w:r>
        <w:rPr>
          <w:rFonts w:hint="eastAsia" w:ascii="宋体" w:hAnsi="宋体"/>
          <w:b/>
          <w:color w:val="auto"/>
          <w:szCs w:val="21"/>
        </w:rPr>
        <w:t>投标文件</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商务、技术投标文件封面</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评审索引表</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投标函</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法定代表人（负责人）身份证明</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法定代表人（负责人）授权委托书</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资格审查资料</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商务合同条款偏离表</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实质性条款偏离表</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采购需求条款偏离表</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公章对投标专用章授权说明（如有）</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同类业绩表</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拟投入本项目服务人员明细表</w:t>
      </w:r>
    </w:p>
    <w:p>
      <w:pPr>
        <w:pStyle w:val="76"/>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其他资料</w:t>
      </w:r>
    </w:p>
    <w:p>
      <w:pPr>
        <w:pStyle w:val="76"/>
        <w:numPr>
          <w:ilvl w:val="0"/>
          <w:numId w:val="13"/>
        </w:numPr>
        <w:tabs>
          <w:tab w:val="left" w:pos="567"/>
        </w:tabs>
        <w:adjustRightInd w:val="0"/>
        <w:snapToGrid w:val="0"/>
        <w:spacing w:line="440" w:lineRule="exact"/>
        <w:ind w:left="0" w:firstLine="0" w:firstLineChars="0"/>
        <w:rPr>
          <w:rFonts w:ascii="宋体" w:hAnsi="宋体" w:cs="宋体"/>
          <w:b/>
          <w:color w:val="auto"/>
          <w:szCs w:val="21"/>
        </w:rPr>
      </w:pPr>
      <w:r>
        <w:rPr>
          <w:rFonts w:hint="eastAsia" w:ascii="宋体" w:hAnsi="宋体" w:cs="宋体"/>
          <w:b/>
          <w:color w:val="auto"/>
          <w:szCs w:val="21"/>
        </w:rPr>
        <w:t>服务方案</w:t>
      </w:r>
    </w:p>
    <w:p>
      <w:pPr>
        <w:pStyle w:val="76"/>
        <w:numPr>
          <w:ilvl w:val="0"/>
          <w:numId w:val="13"/>
        </w:numPr>
        <w:tabs>
          <w:tab w:val="left" w:pos="567"/>
        </w:tabs>
        <w:adjustRightInd w:val="0"/>
        <w:snapToGrid w:val="0"/>
        <w:spacing w:line="440" w:lineRule="exact"/>
        <w:ind w:left="0" w:firstLine="0" w:firstLineChars="0"/>
        <w:rPr>
          <w:rFonts w:ascii="宋体" w:hAnsi="宋体" w:cs="宋体"/>
          <w:b/>
          <w:color w:val="auto"/>
          <w:szCs w:val="21"/>
        </w:rPr>
      </w:pPr>
      <w:r>
        <w:rPr>
          <w:rFonts w:hint="eastAsia" w:ascii="宋体" w:hAnsi="宋体" w:cs="宋体"/>
          <w:b/>
          <w:color w:val="auto"/>
          <w:szCs w:val="21"/>
        </w:rPr>
        <w:t>投标人认为需要提供的其他资料（格式自拟）</w:t>
      </w:r>
    </w:p>
    <w:p>
      <w:pPr>
        <w:pStyle w:val="76"/>
        <w:numPr>
          <w:ilvl w:val="255"/>
          <w:numId w:val="0"/>
        </w:numPr>
        <w:tabs>
          <w:tab w:val="left" w:pos="567"/>
        </w:tabs>
        <w:adjustRightInd w:val="0"/>
        <w:snapToGrid w:val="0"/>
        <w:spacing w:line="440" w:lineRule="exact"/>
        <w:rPr>
          <w:rFonts w:ascii="宋体" w:hAnsi="宋体" w:cs="宋体"/>
          <w:b/>
          <w:color w:val="auto"/>
          <w:szCs w:val="21"/>
        </w:rPr>
      </w:pPr>
    </w:p>
    <w:p>
      <w:pPr>
        <w:pStyle w:val="76"/>
        <w:tabs>
          <w:tab w:val="left" w:pos="567"/>
          <w:tab w:val="left" w:pos="795"/>
        </w:tabs>
        <w:adjustRightInd w:val="0"/>
        <w:snapToGrid w:val="0"/>
        <w:spacing w:line="440" w:lineRule="exact"/>
        <w:ind w:firstLine="0" w:firstLineChars="0"/>
        <w:jc w:val="left"/>
        <w:rPr>
          <w:rFonts w:ascii="宋体" w:hAnsi="宋体" w:cs="宋体"/>
          <w:b/>
          <w:color w:val="auto"/>
          <w:szCs w:val="21"/>
        </w:rPr>
      </w:pPr>
      <w:r>
        <w:rPr>
          <w:rFonts w:hint="eastAsia" w:ascii="宋体" w:hAnsi="宋体" w:cs="宋体"/>
          <w:b/>
          <w:color w:val="auto"/>
          <w:szCs w:val="21"/>
        </w:rPr>
        <w:t>第二分册</w:t>
      </w:r>
      <w:r>
        <w:rPr>
          <w:rFonts w:ascii="宋体" w:hAnsi="宋体" w:cs="宋体"/>
          <w:b/>
          <w:color w:val="auto"/>
          <w:szCs w:val="21"/>
        </w:rPr>
        <w:t xml:space="preserve"> </w:t>
      </w:r>
      <w:r>
        <w:rPr>
          <w:rFonts w:hint="eastAsia" w:ascii="宋体" w:hAnsi="宋体" w:cs="宋体"/>
          <w:b/>
          <w:color w:val="auto"/>
          <w:szCs w:val="21"/>
        </w:rPr>
        <w:t>报价文件</w:t>
      </w:r>
    </w:p>
    <w:p>
      <w:pPr>
        <w:pStyle w:val="76"/>
        <w:numPr>
          <w:ilvl w:val="0"/>
          <w:numId w:val="14"/>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报价文件封面</w:t>
      </w:r>
    </w:p>
    <w:p>
      <w:pPr>
        <w:pStyle w:val="76"/>
        <w:numPr>
          <w:ilvl w:val="0"/>
          <w:numId w:val="14"/>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报价一览表</w:t>
      </w:r>
    </w:p>
    <w:p>
      <w:pPr>
        <w:pStyle w:val="76"/>
        <w:numPr>
          <w:ilvl w:val="0"/>
          <w:numId w:val="14"/>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招标代理服务费承诺书</w:t>
      </w:r>
    </w:p>
    <w:p>
      <w:pPr>
        <w:pStyle w:val="76"/>
        <w:numPr>
          <w:ilvl w:val="0"/>
          <w:numId w:val="14"/>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投标保证金汇款凭证</w:t>
      </w:r>
    </w:p>
    <w:p>
      <w:pPr>
        <w:rPr>
          <w:rFonts w:ascii="宋体" w:hAnsi="宋体"/>
          <w:color w:val="auto"/>
        </w:rPr>
        <w:sectPr>
          <w:pgSz w:w="11906" w:h="16838"/>
          <w:pgMar w:top="1440" w:right="1800" w:bottom="1440" w:left="1800" w:header="851" w:footer="992" w:gutter="0"/>
          <w:cols w:space="425" w:num="1"/>
          <w:docGrid w:type="lines" w:linePitch="312" w:charSpace="0"/>
        </w:sectPr>
      </w:pPr>
    </w:p>
    <w:p>
      <w:pPr>
        <w:pStyle w:val="37"/>
        <w:tabs>
          <w:tab w:val="left" w:pos="588"/>
        </w:tabs>
        <w:snapToGrid w:val="0"/>
        <w:spacing w:before="120" w:after="120" w:line="440" w:lineRule="exact"/>
        <w:ind w:left="425"/>
        <w:jc w:val="left"/>
        <w:rPr>
          <w:rFonts w:ascii="宋体" w:hAnsi="宋体"/>
          <w:color w:val="auto"/>
          <w:sz w:val="24"/>
          <w:szCs w:val="24"/>
        </w:rPr>
      </w:pPr>
      <w:bookmarkStart w:id="491" w:name="_Toc56432230"/>
      <w:bookmarkStart w:id="492" w:name="_Toc299"/>
      <w:bookmarkStart w:id="493" w:name="_Toc1651894"/>
      <w:bookmarkStart w:id="494" w:name="_Toc8356"/>
      <w:bookmarkStart w:id="495" w:name="_Toc19267"/>
      <w:bookmarkStart w:id="496" w:name="_Toc475472670"/>
      <w:r>
        <w:rPr>
          <w:rFonts w:hint="eastAsia" w:ascii="宋体" w:hAnsi="宋体"/>
          <w:color w:val="auto"/>
          <w:sz w:val="24"/>
          <w:szCs w:val="24"/>
        </w:rPr>
        <w:t>第一分册</w:t>
      </w:r>
      <w:bookmarkEnd w:id="491"/>
      <w:bookmarkEnd w:id="492"/>
      <w:bookmarkEnd w:id="493"/>
      <w:bookmarkEnd w:id="494"/>
      <w:bookmarkEnd w:id="495"/>
    </w:p>
    <w:p>
      <w:pPr>
        <w:pStyle w:val="37"/>
        <w:numPr>
          <w:ilvl w:val="0"/>
          <w:numId w:val="15"/>
        </w:numPr>
        <w:tabs>
          <w:tab w:val="left" w:pos="588"/>
        </w:tabs>
        <w:snapToGrid w:val="0"/>
        <w:spacing w:before="120" w:after="120" w:line="440" w:lineRule="exact"/>
        <w:jc w:val="left"/>
        <w:rPr>
          <w:rFonts w:ascii="宋体" w:hAnsi="宋体"/>
          <w:color w:val="auto"/>
          <w:sz w:val="24"/>
          <w:szCs w:val="24"/>
        </w:rPr>
      </w:pPr>
      <w:bookmarkStart w:id="497" w:name="_Toc32127"/>
      <w:bookmarkStart w:id="498" w:name="_Toc56432231"/>
      <w:bookmarkStart w:id="499" w:name="_Toc24350"/>
      <w:bookmarkStart w:id="500" w:name="_Toc21883"/>
      <w:bookmarkStart w:id="501" w:name="_Toc1651895"/>
      <w:r>
        <w:rPr>
          <w:rFonts w:hint="eastAsia" w:ascii="宋体" w:hAnsi="宋体"/>
          <w:color w:val="auto"/>
          <w:sz w:val="24"/>
          <w:szCs w:val="24"/>
        </w:rPr>
        <w:t>商务、技术投标文件封面</w:t>
      </w:r>
      <w:bookmarkEnd w:id="496"/>
      <w:bookmarkEnd w:id="497"/>
      <w:bookmarkEnd w:id="498"/>
      <w:bookmarkEnd w:id="499"/>
      <w:bookmarkEnd w:id="500"/>
      <w:bookmarkEnd w:id="501"/>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b/>
          <w:color w:val="auto"/>
          <w:sz w:val="30"/>
          <w:szCs w:val="30"/>
        </w:rPr>
      </w:pPr>
      <w:r>
        <w:rPr>
          <w:rFonts w:ascii="宋体" w:hAnsi="宋体"/>
          <w:color w:val="auto"/>
          <w:sz w:val="28"/>
          <w:szCs w:val="28"/>
          <w:u w:val="single"/>
        </w:rPr>
        <w:t xml:space="preserve">           </w:t>
      </w:r>
      <w:r>
        <w:rPr>
          <w:rFonts w:hint="eastAsia" w:ascii="宋体" w:hAnsi="宋体"/>
          <w:color w:val="auto"/>
          <w:sz w:val="28"/>
          <w:szCs w:val="28"/>
        </w:rPr>
        <w:t>（项目名称）</w:t>
      </w:r>
    </w:p>
    <w:p>
      <w:pPr>
        <w:jc w:val="center"/>
        <w:rPr>
          <w:rFonts w:ascii="宋体" w:hAnsi="宋体" w:cs="宋体"/>
          <w:color w:val="auto"/>
          <w:sz w:val="28"/>
          <w:szCs w:val="28"/>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spacing w:after="120"/>
        <w:jc w:val="center"/>
        <w:rPr>
          <w:rFonts w:ascii="宋体" w:hAnsi="宋体" w:cs="宋体"/>
          <w:b/>
          <w:color w:val="auto"/>
          <w:sz w:val="36"/>
          <w:szCs w:val="36"/>
        </w:rPr>
      </w:pPr>
      <w:r>
        <w:rPr>
          <w:rFonts w:hint="eastAsia" w:ascii="宋体" w:hAnsi="宋体" w:cs="宋体"/>
          <w:b/>
          <w:color w:val="auto"/>
          <w:sz w:val="36"/>
          <w:szCs w:val="36"/>
        </w:rPr>
        <w:t>投标文件（商务、技术投标文件）部分</w:t>
      </w: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adjustRightInd w:val="0"/>
        <w:snapToGrid w:val="0"/>
        <w:spacing w:line="440" w:lineRule="exact"/>
        <w:jc w:val="center"/>
        <w:rPr>
          <w:rFonts w:ascii="宋体" w:hAnsi="宋体" w:cs="宋体"/>
          <w:color w:val="auto"/>
          <w:sz w:val="24"/>
        </w:rPr>
      </w:pPr>
      <w:r>
        <w:rPr>
          <w:rFonts w:ascii="宋体" w:hAnsi="宋体" w:cs="宋体"/>
          <w:color w:val="auto"/>
          <w:sz w:val="24"/>
        </w:rPr>
        <w:t xml:space="preserve">   投标人名称：</w:t>
      </w:r>
      <w:r>
        <w:rPr>
          <w:rFonts w:ascii="宋体" w:hAnsi="宋体" w:cs="宋体"/>
          <w:color w:val="auto"/>
          <w:sz w:val="24"/>
          <w:u w:val="single"/>
        </w:rPr>
        <w:t xml:space="preserve">                              </w:t>
      </w:r>
      <w:r>
        <w:rPr>
          <w:rFonts w:hint="eastAsia" w:ascii="宋体" w:hAnsi="宋体" w:cs="宋体"/>
          <w:color w:val="auto"/>
          <w:sz w:val="24"/>
        </w:rPr>
        <w:t>（盖单位公章）</w:t>
      </w:r>
    </w:p>
    <w:p>
      <w:pPr>
        <w:adjustRightInd w:val="0"/>
        <w:snapToGrid w:val="0"/>
        <w:spacing w:line="440" w:lineRule="exact"/>
        <w:ind w:firstLine="1020" w:firstLineChars="425"/>
        <w:rPr>
          <w:rFonts w:ascii="宋体" w:hAnsi="宋体" w:cs="宋体"/>
          <w:color w:val="auto"/>
          <w:sz w:val="24"/>
        </w:rPr>
      </w:pPr>
    </w:p>
    <w:p>
      <w:pPr>
        <w:adjustRightInd w:val="0"/>
        <w:snapToGrid w:val="0"/>
        <w:spacing w:after="120" w:line="440" w:lineRule="exact"/>
        <w:ind w:firstLine="1200" w:firstLineChars="500"/>
        <w:jc w:val="left"/>
        <w:rPr>
          <w:rFonts w:ascii="宋体" w:hAnsi="宋体" w:cs="宋体"/>
          <w:color w:val="auto"/>
          <w:sz w:val="24"/>
        </w:rPr>
      </w:pPr>
    </w:p>
    <w:p>
      <w:pPr>
        <w:adjustRightInd w:val="0"/>
        <w:snapToGrid w:val="0"/>
        <w:spacing w:line="440" w:lineRule="exact"/>
        <w:jc w:val="center"/>
        <w:rPr>
          <w:rFonts w:ascii="宋体" w:hAnsi="宋体" w:cs="宋体"/>
          <w:color w:val="auto"/>
        </w:rPr>
      </w:pP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p>
    <w:p>
      <w:pPr>
        <w:pStyle w:val="75"/>
        <w:snapToGrid w:val="0"/>
        <w:spacing w:before="240" w:after="120" w:line="440" w:lineRule="exact"/>
        <w:rPr>
          <w:rFonts w:ascii="宋体" w:hAnsi="宋体" w:eastAsia="宋体" w:cs="宋体"/>
          <w:b/>
          <w:bCs w:val="0"/>
          <w:color w:val="auto"/>
          <w:kern w:val="0"/>
          <w:sz w:val="28"/>
          <w:szCs w:val="28"/>
        </w:rPr>
        <w:sectPr>
          <w:pgSz w:w="11906" w:h="16838"/>
          <w:pgMar w:top="1440" w:right="1800" w:bottom="1440" w:left="1800" w:header="851" w:footer="992" w:gutter="0"/>
          <w:cols w:space="425" w:num="1"/>
          <w:docGrid w:type="lines" w:linePitch="312" w:charSpace="0"/>
        </w:sectPr>
      </w:pPr>
    </w:p>
    <w:p>
      <w:pPr>
        <w:pStyle w:val="37"/>
        <w:numPr>
          <w:ilvl w:val="0"/>
          <w:numId w:val="15"/>
        </w:numPr>
        <w:tabs>
          <w:tab w:val="left" w:pos="588"/>
        </w:tabs>
        <w:snapToGrid w:val="0"/>
        <w:spacing w:before="120" w:after="120" w:line="440" w:lineRule="exact"/>
        <w:jc w:val="left"/>
        <w:rPr>
          <w:rFonts w:ascii="宋体" w:hAnsi="宋体"/>
          <w:color w:val="auto"/>
          <w:sz w:val="24"/>
          <w:szCs w:val="24"/>
        </w:rPr>
      </w:pPr>
      <w:bookmarkStart w:id="502" w:name="_Toc27545"/>
      <w:bookmarkStart w:id="503" w:name="_Toc56432232"/>
      <w:bookmarkStart w:id="504" w:name="_Toc475472671"/>
      <w:bookmarkStart w:id="505" w:name="_Toc447265603"/>
      <w:bookmarkStart w:id="506" w:name="_Toc28380"/>
      <w:bookmarkStart w:id="507" w:name="_Toc8815"/>
      <w:bookmarkStart w:id="508" w:name="_Toc447265317"/>
      <w:bookmarkStart w:id="509" w:name="_Toc438052118"/>
      <w:bookmarkStart w:id="510" w:name="_Toc1651896"/>
      <w:r>
        <w:rPr>
          <w:rFonts w:hint="eastAsia" w:ascii="宋体" w:hAnsi="宋体"/>
          <w:color w:val="auto"/>
          <w:sz w:val="24"/>
          <w:szCs w:val="24"/>
        </w:rPr>
        <w:t>评审索引表</w:t>
      </w:r>
      <w:bookmarkEnd w:id="502"/>
      <w:bookmarkEnd w:id="503"/>
      <w:bookmarkEnd w:id="504"/>
      <w:bookmarkEnd w:id="505"/>
      <w:bookmarkEnd w:id="506"/>
      <w:bookmarkEnd w:id="507"/>
      <w:bookmarkEnd w:id="508"/>
      <w:bookmarkEnd w:id="509"/>
      <w:bookmarkEnd w:id="510"/>
    </w:p>
    <w:p>
      <w:pPr>
        <w:rPr>
          <w:rFonts w:ascii="宋体" w:hAnsi="宋体"/>
          <w:color w:val="auto"/>
        </w:rPr>
      </w:pPr>
    </w:p>
    <w:p>
      <w:pPr>
        <w:jc w:val="center"/>
        <w:rPr>
          <w:rFonts w:ascii="宋体" w:hAnsi="宋体"/>
          <w:b/>
          <w:color w:val="auto"/>
          <w:sz w:val="24"/>
        </w:rPr>
      </w:pPr>
      <w:r>
        <w:rPr>
          <w:rFonts w:hint="eastAsia" w:ascii="宋体" w:hAnsi="宋体"/>
          <w:b/>
          <w:color w:val="auto"/>
          <w:sz w:val="24"/>
        </w:rPr>
        <w:t>评审索引表</w:t>
      </w:r>
    </w:p>
    <w:p>
      <w:pPr>
        <w:jc w:val="center"/>
        <w:rPr>
          <w:rFonts w:ascii="宋体" w:hAnsi="宋体"/>
          <w:b/>
          <w:color w:val="auto"/>
        </w:rPr>
      </w:pPr>
    </w:p>
    <w:p>
      <w:pPr>
        <w:jc w:val="left"/>
        <w:rPr>
          <w:rFonts w:ascii="宋体" w:hAnsi="宋体"/>
          <w:color w:val="auto"/>
          <w:szCs w:val="21"/>
        </w:rPr>
      </w:pPr>
      <w:r>
        <w:rPr>
          <w:rFonts w:hint="eastAsia" w:ascii="宋体" w:hAnsi="宋体"/>
          <w:color w:val="auto"/>
          <w:szCs w:val="21"/>
        </w:rPr>
        <w:t>此部分内容建议按照第三章评审办法中的评审标准的顺序一一罗列</w:t>
      </w:r>
    </w:p>
    <w:p>
      <w:pPr>
        <w:jc w:val="center"/>
        <w:rPr>
          <w:rFonts w:ascii="宋体" w:hAnsi="宋体"/>
          <w:color w:val="auto"/>
          <w:sz w:val="22"/>
          <w:szCs w:val="22"/>
        </w:rPr>
      </w:pPr>
      <w:r>
        <w:rPr>
          <w:rFonts w:hint="eastAsia" w:ascii="宋体" w:hAnsi="宋体"/>
          <w:color w:val="auto"/>
          <w:sz w:val="22"/>
          <w:szCs w:val="22"/>
        </w:rPr>
        <w:t>资格审查索引表</w:t>
      </w:r>
    </w:p>
    <w:tbl>
      <w:tblPr>
        <w:tblStyle w:val="40"/>
        <w:tblW w:w="830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506"/>
        <w:gridCol w:w="2197"/>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jc w:val="center"/>
              <w:rPr>
                <w:rFonts w:ascii="宋体" w:hAnsi="宋体"/>
                <w:color w:val="auto"/>
                <w:szCs w:val="21"/>
              </w:rPr>
            </w:pPr>
            <w:r>
              <w:rPr>
                <w:rFonts w:ascii="宋体" w:hAnsi="宋体"/>
                <w:color w:val="auto"/>
                <w:szCs w:val="21"/>
              </w:rPr>
              <w:t>条款号</w:t>
            </w:r>
          </w:p>
        </w:tc>
        <w:tc>
          <w:tcPr>
            <w:tcW w:w="2506" w:type="dxa"/>
            <w:vAlign w:val="center"/>
          </w:tcPr>
          <w:p>
            <w:pPr>
              <w:jc w:val="center"/>
              <w:rPr>
                <w:rFonts w:ascii="宋体" w:hAnsi="宋体"/>
                <w:color w:val="auto"/>
                <w:szCs w:val="21"/>
              </w:rPr>
            </w:pPr>
            <w:r>
              <w:rPr>
                <w:rFonts w:ascii="宋体" w:hAnsi="宋体"/>
                <w:color w:val="auto"/>
                <w:szCs w:val="21"/>
              </w:rPr>
              <w:t>评审因素</w:t>
            </w:r>
          </w:p>
        </w:tc>
        <w:tc>
          <w:tcPr>
            <w:tcW w:w="2197" w:type="dxa"/>
            <w:vAlign w:val="center"/>
          </w:tcPr>
          <w:p>
            <w:pPr>
              <w:jc w:val="center"/>
              <w:rPr>
                <w:rFonts w:ascii="宋体" w:hAnsi="宋体"/>
                <w:color w:val="auto"/>
                <w:szCs w:val="21"/>
              </w:rPr>
            </w:pPr>
            <w:r>
              <w:rPr>
                <w:rFonts w:hint="eastAsia" w:ascii="宋体" w:hAnsi="宋体"/>
                <w:color w:val="auto"/>
                <w:szCs w:val="21"/>
              </w:rPr>
              <w:t>对应页码</w:t>
            </w:r>
          </w:p>
        </w:tc>
        <w:tc>
          <w:tcPr>
            <w:tcW w:w="2366"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ind w:left="-2" w:firstLine="1"/>
              <w:jc w:val="center"/>
              <w:rPr>
                <w:rFonts w:ascii="宋体" w:hAnsi="宋体"/>
                <w:color w:val="auto"/>
                <w:szCs w:val="21"/>
              </w:rPr>
            </w:pPr>
            <w:r>
              <w:rPr>
                <w:rFonts w:ascii="宋体" w:hAnsi="宋体"/>
                <w:color w:val="auto"/>
                <w:szCs w:val="21"/>
              </w:rPr>
              <w:t>1</w:t>
            </w:r>
          </w:p>
        </w:tc>
        <w:tc>
          <w:tcPr>
            <w:tcW w:w="2506" w:type="dxa"/>
            <w:vAlign w:val="center"/>
          </w:tcPr>
          <w:p>
            <w:pPr>
              <w:tabs>
                <w:tab w:val="left" w:pos="720"/>
              </w:tabs>
              <w:spacing w:line="360" w:lineRule="auto"/>
              <w:ind w:left="-2" w:firstLine="1"/>
              <w:jc w:val="center"/>
              <w:rPr>
                <w:rFonts w:ascii="宋体" w:hAnsi="宋体"/>
                <w:color w:val="auto"/>
                <w:szCs w:val="21"/>
              </w:rPr>
            </w:pPr>
            <w:r>
              <w:rPr>
                <w:rFonts w:hint="eastAsia" w:ascii="宋体" w:hAnsi="宋体"/>
                <w:color w:val="auto"/>
                <w:szCs w:val="21"/>
              </w:rPr>
              <w:t>投标人名称</w:t>
            </w:r>
          </w:p>
        </w:tc>
        <w:tc>
          <w:tcPr>
            <w:tcW w:w="2197"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w:t>
            </w: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2</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法人代表证明书及法人授权书</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3</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投标报价</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4</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投标保证金</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5</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商务合同条款偏离表</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6</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采购需求条款偏离表</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7</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投标文件的签署和盖章</w:t>
            </w:r>
          </w:p>
        </w:tc>
        <w:tc>
          <w:tcPr>
            <w:tcW w:w="2197" w:type="dxa"/>
            <w:vAlign w:val="center"/>
          </w:tcPr>
          <w:p>
            <w:pPr>
              <w:spacing w:line="360" w:lineRule="auto"/>
              <w:jc w:val="center"/>
              <w:rPr>
                <w:rFonts w:ascii="宋体" w:hAnsi="宋体"/>
                <w:color w:val="auto"/>
                <w:szCs w:val="21"/>
              </w:rPr>
            </w:pPr>
            <w:r>
              <w:rPr>
                <w:rFonts w:ascii="宋体" w:hAnsi="宋体"/>
                <w:color w:val="auto"/>
                <w:szCs w:val="21"/>
              </w:rPr>
              <w:t>/</w:t>
            </w:r>
          </w:p>
        </w:tc>
        <w:tc>
          <w:tcPr>
            <w:tcW w:w="2366" w:type="dxa"/>
            <w:vAlign w:val="center"/>
          </w:tcPr>
          <w:p>
            <w:pPr>
              <w:tabs>
                <w:tab w:val="left" w:pos="720"/>
              </w:tabs>
              <w:spacing w:line="360" w:lineRule="auto"/>
              <w:ind w:left="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8</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资格要求</w:t>
            </w:r>
          </w:p>
        </w:tc>
        <w:tc>
          <w:tcPr>
            <w:tcW w:w="2197" w:type="dxa"/>
            <w:vAlign w:val="center"/>
          </w:tcPr>
          <w:p>
            <w:pPr>
              <w:tabs>
                <w:tab w:val="left" w:pos="720"/>
              </w:tabs>
              <w:spacing w:line="360" w:lineRule="auto"/>
              <w:ind w:left="420"/>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bl>
    <w:p>
      <w:pPr>
        <w:rPr>
          <w:color w:val="auto"/>
        </w:rPr>
      </w:pPr>
    </w:p>
    <w:p>
      <w:pPr>
        <w:jc w:val="center"/>
        <w:rPr>
          <w:color w:val="auto"/>
          <w:sz w:val="22"/>
          <w:szCs w:val="28"/>
        </w:rPr>
      </w:pPr>
      <w:r>
        <w:rPr>
          <w:rFonts w:hint="eastAsia"/>
          <w:color w:val="auto"/>
          <w:sz w:val="22"/>
          <w:szCs w:val="28"/>
        </w:rPr>
        <w:t>技术评审索引表</w:t>
      </w:r>
    </w:p>
    <w:tbl>
      <w:tblPr>
        <w:tblStyle w:val="40"/>
        <w:tblpPr w:leftFromText="180" w:rightFromText="180" w:vertAnchor="text" w:horzAnchor="page" w:tblpX="1892" w:tblpY="319"/>
        <w:tblOverlap w:val="never"/>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96"/>
        <w:gridCol w:w="172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46" w:type="dxa"/>
            <w:vAlign w:val="center"/>
          </w:tcPr>
          <w:p>
            <w:pPr>
              <w:jc w:val="center"/>
              <w:rPr>
                <w:rFonts w:ascii="宋体" w:hAnsi="宋体"/>
                <w:color w:val="auto"/>
                <w:szCs w:val="21"/>
              </w:rPr>
            </w:pPr>
            <w:r>
              <w:rPr>
                <w:rFonts w:ascii="宋体" w:hAnsi="宋体"/>
                <w:color w:val="auto"/>
                <w:szCs w:val="21"/>
              </w:rPr>
              <w:t>条款号</w:t>
            </w:r>
          </w:p>
        </w:tc>
        <w:tc>
          <w:tcPr>
            <w:tcW w:w="3996" w:type="dxa"/>
            <w:vAlign w:val="center"/>
          </w:tcPr>
          <w:p>
            <w:pPr>
              <w:jc w:val="center"/>
              <w:rPr>
                <w:rFonts w:ascii="宋体" w:hAnsi="宋体"/>
                <w:color w:val="auto"/>
                <w:szCs w:val="21"/>
              </w:rPr>
            </w:pPr>
            <w:r>
              <w:rPr>
                <w:rFonts w:ascii="宋体" w:hAnsi="宋体"/>
                <w:color w:val="auto"/>
                <w:szCs w:val="21"/>
              </w:rPr>
              <w:t>评审因素</w:t>
            </w:r>
          </w:p>
        </w:tc>
        <w:tc>
          <w:tcPr>
            <w:tcW w:w="1724" w:type="dxa"/>
            <w:vAlign w:val="center"/>
          </w:tcPr>
          <w:p>
            <w:pPr>
              <w:jc w:val="center"/>
              <w:rPr>
                <w:rFonts w:ascii="宋体" w:hAnsi="宋体"/>
                <w:color w:val="auto"/>
                <w:szCs w:val="21"/>
              </w:rPr>
            </w:pPr>
            <w:r>
              <w:rPr>
                <w:rFonts w:hint="eastAsia" w:ascii="宋体" w:hAnsi="宋体"/>
                <w:color w:val="auto"/>
                <w:szCs w:val="21"/>
              </w:rPr>
              <w:t>对应页码</w:t>
            </w:r>
          </w:p>
        </w:tc>
        <w:tc>
          <w:tcPr>
            <w:tcW w:w="1761"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ascii="宋体" w:hAnsi="宋体"/>
                <w:color w:val="auto"/>
                <w:szCs w:val="21"/>
              </w:rPr>
            </w:pPr>
            <w:r>
              <w:rPr>
                <w:rFonts w:ascii="宋体" w:hAnsi="宋体"/>
                <w:color w:val="auto"/>
                <w:szCs w:val="21"/>
              </w:rPr>
              <w:t>1</w:t>
            </w:r>
          </w:p>
        </w:tc>
        <w:tc>
          <w:tcPr>
            <w:tcW w:w="3996" w:type="dxa"/>
            <w:vAlign w:val="center"/>
          </w:tcPr>
          <w:p>
            <w:pPr>
              <w:jc w:val="center"/>
              <w:rPr>
                <w:rFonts w:ascii="宋体" w:hAnsi="宋体" w:cs="宋体"/>
                <w:color w:val="auto"/>
                <w:szCs w:val="21"/>
              </w:rPr>
            </w:pPr>
            <w:r>
              <w:rPr>
                <w:rFonts w:hint="eastAsia" w:ascii="宋体" w:hAnsi="宋体" w:cs="宋体"/>
                <w:b w:val="0"/>
                <w:bCs w:val="0"/>
                <w:color w:val="auto"/>
                <w:szCs w:val="21"/>
                <w:lang w:val="en-US" w:eastAsia="zh-CN"/>
              </w:rPr>
              <w:t>项目重点、难点理解分析</w:t>
            </w: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2</w:t>
            </w:r>
          </w:p>
        </w:tc>
        <w:tc>
          <w:tcPr>
            <w:tcW w:w="3996" w:type="dxa"/>
            <w:vAlign w:val="center"/>
          </w:tcPr>
          <w:p>
            <w:pPr>
              <w:jc w:val="center"/>
              <w:rPr>
                <w:rFonts w:ascii="宋体" w:hAnsi="宋体" w:cs="宋体"/>
                <w:color w:val="auto"/>
                <w:szCs w:val="21"/>
              </w:rPr>
            </w:pPr>
            <w:r>
              <w:rPr>
                <w:rFonts w:hint="eastAsia" w:ascii="宋体" w:hAnsi="宋体" w:cs="宋体"/>
                <w:color w:val="auto"/>
                <w:szCs w:val="21"/>
              </w:rPr>
              <w:t>企业文化活动建设方案</w:t>
            </w: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3</w:t>
            </w:r>
          </w:p>
        </w:tc>
        <w:tc>
          <w:tcPr>
            <w:tcW w:w="3996" w:type="dxa"/>
            <w:vAlign w:val="center"/>
          </w:tcPr>
          <w:p>
            <w:pPr>
              <w:jc w:val="center"/>
              <w:rPr>
                <w:rFonts w:ascii="宋体" w:hAnsi="宋体" w:cs="宋体"/>
                <w:color w:val="auto"/>
                <w:szCs w:val="21"/>
              </w:rPr>
            </w:pPr>
            <w:r>
              <w:rPr>
                <w:rFonts w:hint="eastAsia" w:ascii="宋体" w:hAnsi="宋体" w:cs="宋体"/>
                <w:color w:val="auto"/>
                <w:szCs w:val="21"/>
              </w:rPr>
              <w:t>线上文化品牌服务方案</w:t>
            </w: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4</w:t>
            </w:r>
          </w:p>
        </w:tc>
        <w:tc>
          <w:tcPr>
            <w:tcW w:w="3996" w:type="dxa"/>
            <w:vAlign w:val="center"/>
          </w:tcPr>
          <w:p>
            <w:pPr>
              <w:jc w:val="center"/>
              <w:rPr>
                <w:rFonts w:ascii="宋体" w:hAnsi="宋体" w:cs="宋体"/>
                <w:color w:val="auto"/>
                <w:szCs w:val="21"/>
              </w:rPr>
            </w:pPr>
            <w:r>
              <w:rPr>
                <w:rFonts w:hint="eastAsia" w:ascii="宋体" w:hAnsi="宋体" w:cs="宋体"/>
                <w:color w:val="auto"/>
                <w:szCs w:val="21"/>
              </w:rPr>
              <w:t>企业文化宣传视频拍摄方案</w:t>
            </w: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hint="eastAsia" w:ascii="宋体" w:hAnsi="宋体" w:eastAsia="宋体"/>
                <w:color w:val="auto"/>
                <w:szCs w:val="21"/>
                <w:lang w:val="en-US" w:eastAsia="zh-CN"/>
              </w:rPr>
            </w:pPr>
            <w:r>
              <w:rPr>
                <w:rFonts w:hint="eastAsia" w:ascii="宋体" w:hAnsi="宋体"/>
                <w:color w:val="auto"/>
                <w:szCs w:val="21"/>
                <w:lang w:val="en-US" w:eastAsia="zh-CN"/>
              </w:rPr>
              <w:t>5</w:t>
            </w:r>
          </w:p>
        </w:tc>
        <w:tc>
          <w:tcPr>
            <w:tcW w:w="3996" w:type="dxa"/>
            <w:vAlign w:val="center"/>
          </w:tcPr>
          <w:p>
            <w:pPr>
              <w:jc w:val="center"/>
              <w:rPr>
                <w:rFonts w:hint="eastAsia" w:ascii="宋体" w:hAnsi="宋体" w:cs="宋体"/>
                <w:color w:val="auto"/>
                <w:szCs w:val="21"/>
              </w:rPr>
            </w:pPr>
            <w:r>
              <w:rPr>
                <w:rFonts w:hint="eastAsia" w:ascii="宋体" w:hAnsi="宋体" w:cs="宋体"/>
                <w:color w:val="auto"/>
                <w:szCs w:val="21"/>
              </w:rPr>
              <w:t>企业文创产品及礼品定制方案</w:t>
            </w: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3996" w:type="dxa"/>
            <w:vAlign w:val="center"/>
          </w:tcPr>
          <w:p>
            <w:pPr>
              <w:jc w:val="center"/>
              <w:rPr>
                <w:rFonts w:ascii="宋体" w:hAnsi="宋体" w:cs="宋体"/>
                <w:color w:val="auto"/>
                <w:szCs w:val="21"/>
              </w:rPr>
            </w:pPr>
            <w:r>
              <w:rPr>
                <w:rFonts w:hint="eastAsia"/>
                <w:color w:val="auto"/>
              </w:rPr>
              <w:t>项目实施</w:t>
            </w:r>
            <w:r>
              <w:rPr>
                <w:color w:val="auto"/>
              </w:rPr>
              <w:t>保障方案</w:t>
            </w: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bl>
    <w:p>
      <w:pPr>
        <w:rPr>
          <w:color w:val="auto"/>
        </w:rPr>
      </w:pPr>
    </w:p>
    <w:p>
      <w:pPr>
        <w:jc w:val="center"/>
        <w:rPr>
          <w:color w:val="auto"/>
          <w:sz w:val="22"/>
          <w:szCs w:val="28"/>
        </w:rPr>
      </w:pPr>
      <w:r>
        <w:rPr>
          <w:color w:val="auto"/>
        </w:rPr>
        <w:br w:type="page"/>
      </w:r>
      <w:r>
        <w:rPr>
          <w:rFonts w:hint="eastAsia"/>
          <w:color w:val="auto"/>
          <w:sz w:val="22"/>
          <w:szCs w:val="28"/>
        </w:rPr>
        <w:t>商务评审索引表</w:t>
      </w:r>
    </w:p>
    <w:tbl>
      <w:tblPr>
        <w:tblStyle w:val="40"/>
        <w:tblW w:w="838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132"/>
        <w:gridCol w:w="131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jc w:val="center"/>
              <w:rPr>
                <w:rFonts w:ascii="宋体" w:hAnsi="宋体"/>
                <w:color w:val="auto"/>
                <w:szCs w:val="21"/>
              </w:rPr>
            </w:pPr>
            <w:r>
              <w:rPr>
                <w:rFonts w:ascii="宋体" w:hAnsi="宋体"/>
                <w:color w:val="auto"/>
                <w:szCs w:val="21"/>
              </w:rPr>
              <w:t>条款号</w:t>
            </w:r>
          </w:p>
        </w:tc>
        <w:tc>
          <w:tcPr>
            <w:tcW w:w="4132" w:type="dxa"/>
            <w:vAlign w:val="center"/>
          </w:tcPr>
          <w:p>
            <w:pPr>
              <w:jc w:val="center"/>
              <w:rPr>
                <w:rFonts w:ascii="宋体" w:hAnsi="宋体"/>
                <w:color w:val="auto"/>
                <w:szCs w:val="21"/>
              </w:rPr>
            </w:pPr>
            <w:r>
              <w:rPr>
                <w:rFonts w:ascii="宋体" w:hAnsi="宋体"/>
                <w:color w:val="auto"/>
                <w:szCs w:val="21"/>
              </w:rPr>
              <w:t>评审因素</w:t>
            </w:r>
          </w:p>
        </w:tc>
        <w:tc>
          <w:tcPr>
            <w:tcW w:w="1316" w:type="dxa"/>
            <w:vAlign w:val="center"/>
          </w:tcPr>
          <w:p>
            <w:pPr>
              <w:jc w:val="center"/>
              <w:rPr>
                <w:rFonts w:ascii="宋体" w:hAnsi="宋体"/>
                <w:color w:val="auto"/>
                <w:szCs w:val="21"/>
              </w:rPr>
            </w:pPr>
            <w:r>
              <w:rPr>
                <w:rFonts w:hint="eastAsia" w:ascii="宋体" w:hAnsi="宋体"/>
                <w:color w:val="auto"/>
                <w:szCs w:val="21"/>
              </w:rPr>
              <w:t>对应页码</w:t>
            </w:r>
          </w:p>
        </w:tc>
        <w:tc>
          <w:tcPr>
            <w:tcW w:w="1887"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ascii="宋体" w:hAnsi="宋体"/>
                <w:color w:val="auto"/>
                <w:szCs w:val="21"/>
              </w:rPr>
            </w:pPr>
            <w:r>
              <w:rPr>
                <w:rFonts w:ascii="宋体" w:hAnsi="宋体"/>
                <w:color w:val="auto"/>
                <w:szCs w:val="21"/>
              </w:rPr>
              <w:t>1</w:t>
            </w:r>
          </w:p>
        </w:tc>
        <w:tc>
          <w:tcPr>
            <w:tcW w:w="4132" w:type="dxa"/>
            <w:vAlign w:val="center"/>
          </w:tcPr>
          <w:p>
            <w:pPr>
              <w:spacing w:line="240" w:lineRule="exact"/>
              <w:jc w:val="center"/>
              <w:rPr>
                <w:rFonts w:ascii="宋体" w:hAnsi="宋体" w:cs="宋体"/>
                <w:color w:val="auto"/>
                <w:szCs w:val="21"/>
              </w:rPr>
            </w:pPr>
            <w:r>
              <w:rPr>
                <w:rFonts w:hint="eastAsia" w:ascii="宋体" w:hAnsi="宋体" w:cs="宋体"/>
                <w:color w:val="auto"/>
                <w:szCs w:val="21"/>
              </w:rPr>
              <w:t>企业综合实力</w:t>
            </w: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ascii="宋体" w:hAnsi="宋体"/>
                <w:color w:val="auto"/>
                <w:szCs w:val="21"/>
              </w:rPr>
            </w:pPr>
            <w:r>
              <w:rPr>
                <w:rFonts w:hint="eastAsia" w:ascii="宋体" w:hAnsi="宋体"/>
                <w:color w:val="auto"/>
                <w:szCs w:val="21"/>
              </w:rPr>
              <w:t>2</w:t>
            </w:r>
          </w:p>
        </w:tc>
        <w:tc>
          <w:tcPr>
            <w:tcW w:w="4132" w:type="dxa"/>
            <w:vAlign w:val="center"/>
          </w:tcPr>
          <w:p>
            <w:pPr>
              <w:jc w:val="center"/>
              <w:rPr>
                <w:color w:val="auto"/>
                <w:szCs w:val="21"/>
              </w:rPr>
            </w:pPr>
            <w:r>
              <w:rPr>
                <w:rFonts w:hint="eastAsia" w:ascii="宋体" w:hAnsi="宋体" w:cs="宋体"/>
                <w:color w:val="auto"/>
                <w:szCs w:val="21"/>
              </w:rPr>
              <w:t>同类项目经验</w:t>
            </w: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autoSpaceDE w:val="0"/>
              <w:autoSpaceDN w:val="0"/>
              <w:adjustRightInd w:val="0"/>
              <w:spacing w:before="100" w:after="100" w:line="360" w:lineRule="auto"/>
              <w:ind w:left="360" w:right="360"/>
              <w:jc w:val="center"/>
              <w:rPr>
                <w:rFonts w:ascii="宋体" w:hAnsi="宋体"/>
                <w:color w:val="auto"/>
                <w:szCs w:val="21"/>
              </w:rPr>
            </w:pPr>
            <w:r>
              <w:rPr>
                <w:rFonts w:hint="eastAsia" w:ascii="宋体" w:hAnsi="宋体"/>
                <w:color w:val="auto"/>
                <w:szCs w:val="21"/>
              </w:rPr>
              <w:t>3</w:t>
            </w:r>
          </w:p>
        </w:tc>
        <w:tc>
          <w:tcPr>
            <w:tcW w:w="4132" w:type="dxa"/>
            <w:vAlign w:val="center"/>
          </w:tcPr>
          <w:p>
            <w:pPr>
              <w:jc w:val="center"/>
              <w:rPr>
                <w:rFonts w:ascii="宋体" w:hAnsi="宋体" w:cs="宋体"/>
                <w:color w:val="auto"/>
                <w:szCs w:val="21"/>
              </w:rPr>
            </w:pPr>
            <w:r>
              <w:rPr>
                <w:rFonts w:hint="eastAsia" w:ascii="宋体" w:hAnsi="宋体" w:cs="宋体"/>
                <w:color w:val="auto"/>
                <w:szCs w:val="21"/>
              </w:rPr>
              <w:t>服务评价</w:t>
            </w: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autoSpaceDE w:val="0"/>
              <w:autoSpaceDN w:val="0"/>
              <w:adjustRightInd w:val="0"/>
              <w:spacing w:before="100" w:after="100" w:line="360" w:lineRule="auto"/>
              <w:ind w:left="360" w:right="360"/>
              <w:jc w:val="center"/>
              <w:rPr>
                <w:rFonts w:ascii="宋体" w:hAnsi="宋体"/>
                <w:color w:val="auto"/>
                <w:szCs w:val="21"/>
              </w:rPr>
            </w:pPr>
            <w:r>
              <w:rPr>
                <w:rFonts w:hint="eastAsia" w:ascii="宋体" w:hAnsi="宋体"/>
                <w:color w:val="auto"/>
                <w:szCs w:val="21"/>
              </w:rPr>
              <w:t>4</w:t>
            </w:r>
          </w:p>
        </w:tc>
        <w:tc>
          <w:tcPr>
            <w:tcW w:w="4132" w:type="dxa"/>
            <w:vAlign w:val="center"/>
          </w:tcPr>
          <w:p>
            <w:pPr>
              <w:jc w:val="center"/>
              <w:rPr>
                <w:rFonts w:ascii="宋体" w:hAnsi="宋体" w:cs="宋体"/>
                <w:color w:val="auto"/>
                <w:szCs w:val="21"/>
              </w:rPr>
            </w:pPr>
            <w:r>
              <w:rPr>
                <w:rFonts w:hint="eastAsia" w:ascii="宋体" w:hAnsi="宋体" w:cs="宋体"/>
                <w:color w:val="auto"/>
                <w:szCs w:val="21"/>
              </w:rPr>
              <w:t>拟投入本项目的团队人员配置情况</w:t>
            </w: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bl>
    <w:p>
      <w:pPr>
        <w:pStyle w:val="14"/>
        <w:ind w:firstLine="0"/>
        <w:rPr>
          <w:rFonts w:ascii="Times New Roman" w:eastAsia="宋体"/>
          <w:color w:val="auto"/>
          <w:kern w:val="2"/>
          <w:sz w:val="21"/>
          <w:szCs w:val="24"/>
        </w:rPr>
      </w:pPr>
    </w:p>
    <w:p>
      <w:pPr>
        <w:pStyle w:val="14"/>
        <w:rPr>
          <w:color w:val="auto"/>
        </w:rPr>
      </w:pPr>
      <w:r>
        <w:rPr>
          <w:color w:val="auto"/>
        </w:rPr>
        <w:br w:type="page"/>
      </w:r>
    </w:p>
    <w:p>
      <w:pPr>
        <w:pStyle w:val="37"/>
        <w:numPr>
          <w:ilvl w:val="0"/>
          <w:numId w:val="15"/>
        </w:numPr>
        <w:tabs>
          <w:tab w:val="left" w:pos="588"/>
        </w:tabs>
        <w:snapToGrid w:val="0"/>
        <w:spacing w:before="120" w:after="120" w:line="440" w:lineRule="exact"/>
        <w:jc w:val="left"/>
        <w:rPr>
          <w:rFonts w:ascii="宋体" w:hAnsi="宋体"/>
          <w:color w:val="auto"/>
          <w:sz w:val="24"/>
          <w:szCs w:val="24"/>
        </w:rPr>
      </w:pPr>
      <w:bookmarkStart w:id="511" w:name="_Toc56432233"/>
      <w:bookmarkStart w:id="512" w:name="_Toc25766"/>
      <w:bookmarkStart w:id="513" w:name="_Toc9656"/>
      <w:bookmarkStart w:id="514" w:name="_Toc31516"/>
      <w:r>
        <w:rPr>
          <w:rFonts w:hint="eastAsia" w:ascii="宋体" w:hAnsi="宋体"/>
          <w:color w:val="auto"/>
          <w:sz w:val="24"/>
          <w:szCs w:val="24"/>
        </w:rPr>
        <w:t>投标函</w:t>
      </w:r>
      <w:bookmarkEnd w:id="511"/>
      <w:bookmarkEnd w:id="512"/>
      <w:bookmarkEnd w:id="513"/>
      <w:bookmarkEnd w:id="514"/>
    </w:p>
    <w:p>
      <w:pPr>
        <w:pStyle w:val="76"/>
        <w:spacing w:line="360" w:lineRule="auto"/>
        <w:ind w:firstLine="0" w:firstLineChars="0"/>
        <w:jc w:val="center"/>
        <w:rPr>
          <w:rFonts w:ascii="宋体" w:hAnsi="宋体"/>
          <w:b/>
          <w:color w:val="auto"/>
          <w:sz w:val="24"/>
        </w:rPr>
      </w:pPr>
      <w:r>
        <w:rPr>
          <w:rFonts w:hint="eastAsia" w:ascii="宋体" w:hAnsi="宋体"/>
          <w:b/>
          <w:color w:val="auto"/>
          <w:sz w:val="24"/>
        </w:rPr>
        <w:t>投标函</w:t>
      </w:r>
    </w:p>
    <w:p>
      <w:pPr>
        <w:adjustRightInd w:val="0"/>
        <w:snapToGrid w:val="0"/>
        <w:spacing w:line="360" w:lineRule="auto"/>
        <w:jc w:val="left"/>
        <w:rPr>
          <w:rFonts w:ascii="宋体" w:hAnsi="宋体" w:cs="宋体"/>
          <w:color w:val="auto"/>
          <w:sz w:val="20"/>
          <w:szCs w:val="20"/>
        </w:rPr>
      </w:pPr>
      <w:r>
        <w:rPr>
          <w:rFonts w:hint="eastAsia" w:ascii="宋体" w:hAnsi="宋体" w:cs="宋体"/>
          <w:color w:val="auto"/>
          <w:sz w:val="20"/>
          <w:szCs w:val="20"/>
        </w:rPr>
        <w:t>致：</w:t>
      </w:r>
      <w:r>
        <w:rPr>
          <w:rFonts w:hint="eastAsia" w:ascii="宋体" w:hAnsi="宋体"/>
          <w:color w:val="auto"/>
          <w:sz w:val="20"/>
          <w:szCs w:val="22"/>
          <w:u w:val="single"/>
          <w:lang w:eastAsia="zh-CN"/>
        </w:rPr>
        <w:t>广东南都娱乐传媒股份有限公司</w:t>
      </w:r>
      <w:r>
        <w:rPr>
          <w:rFonts w:ascii="宋体" w:hAnsi="宋体"/>
          <w:color w:val="auto"/>
          <w:sz w:val="20"/>
          <w:szCs w:val="22"/>
          <w:u w:val="single"/>
        </w:rPr>
        <w:t>[招标人名称]</w:t>
      </w:r>
      <w:r>
        <w:rPr>
          <w:rFonts w:ascii="宋体" w:hAnsi="宋体" w:cs="宋体"/>
          <w:color w:val="auto"/>
          <w:sz w:val="20"/>
          <w:szCs w:val="20"/>
        </w:rPr>
        <w:t>：</w:t>
      </w:r>
    </w:p>
    <w:p>
      <w:pPr>
        <w:spacing w:line="360" w:lineRule="auto"/>
        <w:ind w:firstLine="400" w:firstLineChars="200"/>
        <w:rPr>
          <w:rFonts w:ascii="宋体" w:hAnsi="宋体"/>
          <w:color w:val="auto"/>
          <w:sz w:val="20"/>
          <w:szCs w:val="20"/>
        </w:rPr>
      </w:pPr>
      <w:r>
        <w:rPr>
          <w:rFonts w:ascii="宋体" w:hAnsi="宋体"/>
          <w:color w:val="auto"/>
          <w:sz w:val="20"/>
          <w:szCs w:val="20"/>
          <w:u w:val="single"/>
        </w:rPr>
        <w:t xml:space="preserve">      （投标人名称）</w:t>
      </w:r>
      <w:r>
        <w:rPr>
          <w:rFonts w:hint="eastAsia" w:ascii="宋体" w:hAnsi="宋体"/>
          <w:color w:val="auto"/>
          <w:sz w:val="20"/>
          <w:szCs w:val="20"/>
        </w:rPr>
        <w:t>（以下称“我方”）</w:t>
      </w:r>
      <w:r>
        <w:rPr>
          <w:rFonts w:ascii="宋体" w:hAnsi="宋体"/>
          <w:color w:val="auto"/>
          <w:sz w:val="20"/>
          <w:szCs w:val="20"/>
        </w:rPr>
        <w:t>已仔细研究了</w:t>
      </w:r>
      <w:r>
        <w:rPr>
          <w:rFonts w:hint="eastAsia" w:ascii="宋体" w:hAnsi="宋体"/>
          <w:color w:val="auto"/>
          <w:sz w:val="20"/>
          <w:szCs w:val="20"/>
          <w:u w:val="single"/>
          <w:lang w:eastAsia="zh-CN"/>
        </w:rPr>
        <w:t>广东南都娱乐企业文化综合服务项目</w:t>
      </w:r>
      <w:r>
        <w:rPr>
          <w:rFonts w:hint="eastAsia" w:ascii="宋体" w:hAnsi="宋体"/>
          <w:color w:val="auto"/>
          <w:sz w:val="20"/>
          <w:szCs w:val="20"/>
        </w:rPr>
        <w:t>（招标代理编号：</w:t>
      </w:r>
      <w:r>
        <w:rPr>
          <w:rFonts w:hint="eastAsia" w:ascii="宋体" w:hAnsi="宋体"/>
          <w:color w:val="auto"/>
          <w:sz w:val="20"/>
          <w:szCs w:val="20"/>
          <w:u w:val="single"/>
          <w:lang w:eastAsia="zh-CN"/>
        </w:rPr>
        <w:t>WJS-202301130002</w:t>
      </w:r>
      <w:r>
        <w:rPr>
          <w:rFonts w:ascii="宋体" w:hAnsi="宋体"/>
          <w:color w:val="auto"/>
          <w:sz w:val="20"/>
          <w:szCs w:val="20"/>
        </w:rPr>
        <w:t>）招标文件的全部内容</w:t>
      </w:r>
      <w:r>
        <w:rPr>
          <w:rFonts w:hint="eastAsia" w:ascii="宋体" w:hAnsi="宋体"/>
          <w:color w:val="auto"/>
          <w:sz w:val="20"/>
          <w:szCs w:val="20"/>
        </w:rPr>
        <w:t>，</w:t>
      </w:r>
      <w:r>
        <w:rPr>
          <w:rFonts w:ascii="宋体" w:hAnsi="宋体"/>
          <w:bCs/>
          <w:color w:val="auto"/>
          <w:sz w:val="20"/>
          <w:szCs w:val="20"/>
        </w:rPr>
        <w:t>包括</w:t>
      </w:r>
      <w:r>
        <w:rPr>
          <w:rFonts w:hint="eastAsia" w:ascii="宋体" w:hAnsi="宋体"/>
          <w:bCs/>
          <w:color w:val="auto"/>
          <w:sz w:val="20"/>
          <w:szCs w:val="20"/>
        </w:rPr>
        <w:t>澄清或者</w:t>
      </w:r>
      <w:r>
        <w:rPr>
          <w:rFonts w:ascii="宋体" w:hAnsi="宋体"/>
          <w:bCs/>
          <w:color w:val="auto"/>
          <w:sz w:val="20"/>
          <w:szCs w:val="20"/>
        </w:rPr>
        <w:t>修改文件</w:t>
      </w:r>
      <w:r>
        <w:rPr>
          <w:rFonts w:hint="eastAsia" w:ascii="宋体" w:hAnsi="宋体"/>
          <w:bCs/>
          <w:color w:val="auto"/>
          <w:sz w:val="20"/>
          <w:szCs w:val="20"/>
        </w:rPr>
        <w:t>以及</w:t>
      </w:r>
      <w:r>
        <w:rPr>
          <w:rFonts w:ascii="宋体" w:hAnsi="宋体"/>
          <w:bCs/>
          <w:color w:val="auto"/>
          <w:sz w:val="20"/>
          <w:szCs w:val="20"/>
        </w:rPr>
        <w:t>有关附件</w:t>
      </w:r>
      <w:r>
        <w:rPr>
          <w:rFonts w:ascii="宋体" w:hAnsi="宋体"/>
          <w:color w:val="auto"/>
          <w:sz w:val="20"/>
          <w:szCs w:val="20"/>
        </w:rPr>
        <w:t>，</w:t>
      </w:r>
      <w:r>
        <w:rPr>
          <w:rFonts w:hint="eastAsia" w:ascii="宋体" w:hAnsi="宋体"/>
          <w:color w:val="auto"/>
          <w:sz w:val="20"/>
          <w:szCs w:val="20"/>
        </w:rPr>
        <w:t>我方将严格按照招标文件要求递交符合要求的全部投标文件。</w:t>
      </w:r>
    </w:p>
    <w:p>
      <w:pPr>
        <w:spacing w:line="360" w:lineRule="auto"/>
        <w:ind w:firstLine="400" w:firstLineChars="200"/>
        <w:rPr>
          <w:rFonts w:ascii="宋体" w:hAnsi="宋体"/>
          <w:color w:val="auto"/>
          <w:sz w:val="20"/>
          <w:szCs w:val="20"/>
        </w:rPr>
      </w:pPr>
      <w:r>
        <w:rPr>
          <w:rFonts w:hint="eastAsia" w:ascii="宋体" w:hAnsi="宋体"/>
          <w:color w:val="auto"/>
          <w:sz w:val="20"/>
          <w:szCs w:val="20"/>
        </w:rPr>
        <w:t>我方承诺如下内容：</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我方的投标文件包含第二章“投标人须知”第</w:t>
      </w:r>
      <w:r>
        <w:rPr>
          <w:rFonts w:ascii="宋体" w:hAnsi="宋体"/>
          <w:color w:val="auto"/>
          <w:sz w:val="20"/>
          <w:szCs w:val="20"/>
        </w:rPr>
        <w:t>3.1款规定的全部内容。</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我方承诺在</w:t>
      </w:r>
      <w:r>
        <w:rPr>
          <w:rFonts w:hint="eastAsia" w:ascii="宋体" w:hAnsi="宋体"/>
          <w:color w:val="auto"/>
          <w:sz w:val="20"/>
          <w:szCs w:val="20"/>
        </w:rPr>
        <w:t>招标文件规定的投标</w:t>
      </w:r>
      <w:r>
        <w:rPr>
          <w:rFonts w:ascii="宋体" w:hAnsi="宋体"/>
          <w:color w:val="auto"/>
          <w:sz w:val="20"/>
          <w:szCs w:val="20"/>
        </w:rPr>
        <w:t>有效期</w:t>
      </w:r>
      <w:r>
        <w:rPr>
          <w:rFonts w:hint="eastAsia" w:ascii="宋体" w:hAnsi="宋体"/>
          <w:color w:val="auto"/>
          <w:sz w:val="20"/>
          <w:szCs w:val="20"/>
        </w:rPr>
        <w:t>（投标有效期为</w:t>
      </w:r>
      <w:r>
        <w:rPr>
          <w:rFonts w:ascii="宋体" w:hAnsi="宋体"/>
          <w:color w:val="auto"/>
          <w:sz w:val="20"/>
          <w:szCs w:val="20"/>
          <w:u w:val="single"/>
        </w:rPr>
        <w:t xml:space="preserve"> </w:t>
      </w:r>
      <w:r>
        <w:rPr>
          <w:rFonts w:hint="eastAsia" w:ascii="宋体" w:hAnsi="宋体"/>
          <w:color w:val="auto"/>
          <w:sz w:val="20"/>
          <w:szCs w:val="20"/>
          <w:u w:val="single"/>
        </w:rPr>
        <w:t>90</w:t>
      </w:r>
      <w:r>
        <w:rPr>
          <w:rFonts w:hint="eastAsia" w:ascii="宋体" w:hAnsi="宋体"/>
          <w:color w:val="auto"/>
          <w:sz w:val="20"/>
          <w:szCs w:val="20"/>
        </w:rPr>
        <w:t>天）</w:t>
      </w:r>
      <w:r>
        <w:rPr>
          <w:rFonts w:ascii="宋体" w:hAnsi="宋体"/>
          <w:color w:val="auto"/>
          <w:sz w:val="20"/>
          <w:szCs w:val="20"/>
        </w:rPr>
        <w:t>内不修改、撤销</w:t>
      </w:r>
      <w:r>
        <w:rPr>
          <w:rFonts w:hint="eastAsia" w:ascii="宋体" w:hAnsi="宋体"/>
          <w:color w:val="auto"/>
          <w:sz w:val="20"/>
          <w:szCs w:val="20"/>
        </w:rPr>
        <w:t>投标</w:t>
      </w:r>
      <w:r>
        <w:rPr>
          <w:rFonts w:ascii="宋体" w:hAnsi="宋体"/>
          <w:color w:val="auto"/>
          <w:sz w:val="20"/>
          <w:szCs w:val="20"/>
        </w:rPr>
        <w:t>文件。</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随同本</w:t>
      </w:r>
      <w:r>
        <w:rPr>
          <w:rFonts w:hint="eastAsia" w:ascii="宋体" w:hAnsi="宋体"/>
          <w:color w:val="auto"/>
          <w:sz w:val="20"/>
          <w:szCs w:val="20"/>
        </w:rPr>
        <w:t>投标</w:t>
      </w:r>
      <w:r>
        <w:rPr>
          <w:rFonts w:ascii="宋体" w:hAnsi="宋体"/>
          <w:color w:val="auto"/>
          <w:sz w:val="20"/>
          <w:szCs w:val="20"/>
        </w:rPr>
        <w:t>函递交</w:t>
      </w:r>
      <w:r>
        <w:rPr>
          <w:rFonts w:hint="eastAsia" w:ascii="宋体" w:hAnsi="宋体"/>
          <w:color w:val="auto"/>
          <w:sz w:val="20"/>
          <w:szCs w:val="20"/>
        </w:rPr>
        <w:t>投标</w:t>
      </w:r>
      <w:r>
        <w:rPr>
          <w:rFonts w:ascii="宋体" w:hAnsi="宋体"/>
          <w:color w:val="auto"/>
          <w:sz w:val="20"/>
          <w:szCs w:val="20"/>
        </w:rPr>
        <w:t>保证金一份，金额为人民币（大写）</w:t>
      </w:r>
      <w:r>
        <w:rPr>
          <w:rFonts w:ascii="宋体" w:hAnsi="宋体"/>
          <w:color w:val="auto"/>
          <w:sz w:val="20"/>
          <w:szCs w:val="20"/>
          <w:u w:val="single"/>
        </w:rPr>
        <w:t xml:space="preserve">    </w:t>
      </w:r>
      <w:r>
        <w:rPr>
          <w:rFonts w:ascii="宋体" w:hAnsi="宋体"/>
          <w:color w:val="auto"/>
          <w:sz w:val="20"/>
          <w:szCs w:val="20"/>
        </w:rPr>
        <w:t>（¥</w:t>
      </w:r>
      <w:r>
        <w:rPr>
          <w:rFonts w:ascii="宋体" w:hAnsi="宋体"/>
          <w:color w:val="auto"/>
          <w:sz w:val="20"/>
          <w:szCs w:val="20"/>
          <w:u w:val="single"/>
        </w:rPr>
        <w:t xml:space="preserve">   </w:t>
      </w:r>
      <w:r>
        <w:rPr>
          <w:rFonts w:hint="eastAsia" w:ascii="宋体" w:hAnsi="宋体"/>
          <w:b/>
          <w:color w:val="auto"/>
          <w:sz w:val="20"/>
          <w:szCs w:val="20"/>
          <w:u w:val="single"/>
        </w:rPr>
        <w:t>元</w:t>
      </w:r>
      <w:r>
        <w:rPr>
          <w:rFonts w:ascii="宋体" w:hAnsi="宋体"/>
          <w:color w:val="auto"/>
          <w:sz w:val="20"/>
          <w:szCs w:val="20"/>
        </w:rPr>
        <w:t>）。</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我方承诺如果在规定的唱价时间后，在投标有效期内撤回投标文件，投标保证金将被贵方没收。</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我方已经详细地阅读了全部招标文件及其附件，包括澄清及参考文件</w:t>
      </w:r>
      <w:r>
        <w:rPr>
          <w:rFonts w:ascii="宋体" w:hAnsi="宋体"/>
          <w:color w:val="auto"/>
          <w:sz w:val="20"/>
          <w:szCs w:val="20"/>
        </w:rPr>
        <w:t>(如果有的话)。我方已完全清晰理解招标文件的要求，不存在任何含糊不清和误解之处，同意放弃对这些文件所提出的异议和质疑的权利</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我方在评审过程中根据评标委员会要求提供的符合相关规定的澄清文件，构成投标文件的组成部分。</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我方为本次报价所提交的所有证明其合格和资格的文件是真实的和正确的，并愿为其真实性和正确性承担法律责任。</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我方为中华人民共和国境内的合法经营主体，具有独立的民事行为能力；我方具备履行合同所必需的设备和专业技术能力；我方</w:t>
      </w:r>
      <w:r>
        <w:rPr>
          <w:rFonts w:hint="eastAsia"/>
          <w:color w:val="auto"/>
          <w:sz w:val="20"/>
          <w:szCs w:val="20"/>
        </w:rPr>
        <w:t>有依法缴纳税收和社会保障资金的良好记录</w:t>
      </w:r>
      <w:r>
        <w:rPr>
          <w:rFonts w:hint="eastAsia" w:ascii="宋体" w:hAnsi="宋体"/>
          <w:color w:val="auto"/>
          <w:sz w:val="20"/>
          <w:szCs w:val="20"/>
        </w:rPr>
        <w:t>。</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我方同意提供贵方可能要求的与投标有关的一切数据或者资料，并完全理解贵方不一定接受最低价的投标。</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我方承诺不向第三方透露与招标相关的所有信息。</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我方承诺不存在财产被接管或冻结或破产清算状况，遵守国家有关的法律、法令和条例。</w:t>
      </w:r>
    </w:p>
    <w:p>
      <w:pPr>
        <w:pStyle w:val="76"/>
        <w:numPr>
          <w:ilvl w:val="3"/>
          <w:numId w:val="16"/>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如我方中标：</w:t>
      </w:r>
    </w:p>
    <w:p>
      <w:pPr>
        <w:pStyle w:val="76"/>
        <w:numPr>
          <w:ilvl w:val="0"/>
          <w:numId w:val="17"/>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我方承诺在收到中标通知书后，在中标通知书规定的期限内与</w:t>
      </w:r>
      <w:r>
        <w:rPr>
          <w:rFonts w:hint="eastAsia" w:ascii="宋体" w:hAnsi="宋体"/>
          <w:color w:val="auto"/>
          <w:sz w:val="20"/>
          <w:szCs w:val="20"/>
        </w:rPr>
        <w:t>贵</w:t>
      </w:r>
      <w:r>
        <w:rPr>
          <w:rFonts w:ascii="宋体" w:hAnsi="宋体"/>
          <w:color w:val="auto"/>
          <w:sz w:val="20"/>
          <w:szCs w:val="20"/>
        </w:rPr>
        <w:t>方签订合同。</w:t>
      </w:r>
    </w:p>
    <w:p>
      <w:pPr>
        <w:pStyle w:val="76"/>
        <w:numPr>
          <w:ilvl w:val="0"/>
          <w:numId w:val="17"/>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我方承诺按照招标文件规定递交履约</w:t>
      </w:r>
      <w:r>
        <w:rPr>
          <w:rFonts w:hint="eastAsia" w:ascii="宋体" w:hAnsi="宋体"/>
          <w:color w:val="auto"/>
          <w:sz w:val="20"/>
          <w:szCs w:val="20"/>
        </w:rPr>
        <w:t>保证金、支付招标代理服务费和文交所综合服务费</w:t>
      </w:r>
      <w:r>
        <w:rPr>
          <w:rFonts w:ascii="宋体" w:hAnsi="宋体"/>
          <w:color w:val="auto"/>
          <w:sz w:val="20"/>
          <w:szCs w:val="20"/>
        </w:rPr>
        <w:t>。</w:t>
      </w:r>
    </w:p>
    <w:p>
      <w:pPr>
        <w:pStyle w:val="76"/>
        <w:numPr>
          <w:ilvl w:val="0"/>
          <w:numId w:val="17"/>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w:t>
      </w:r>
      <w:r>
        <w:rPr>
          <w:rFonts w:hint="eastAsia" w:ascii="宋体" w:hAnsi="宋体"/>
          <w:color w:val="auto"/>
          <w:sz w:val="20"/>
          <w:szCs w:val="20"/>
        </w:rPr>
        <w:t>按照招标文件的规定及合同约定履行相关责任和义务。</w:t>
      </w:r>
    </w:p>
    <w:p>
      <w:pPr>
        <w:pStyle w:val="76"/>
        <w:numPr>
          <w:ilvl w:val="0"/>
          <w:numId w:val="17"/>
        </w:numPr>
        <w:tabs>
          <w:tab w:val="left" w:pos="993"/>
        </w:tabs>
        <w:spacing w:line="360" w:lineRule="auto"/>
        <w:ind w:left="0" w:firstLine="426" w:firstLineChars="0"/>
        <w:rPr>
          <w:rFonts w:ascii="宋体" w:hAnsi="宋体"/>
          <w:color w:val="auto"/>
          <w:sz w:val="20"/>
          <w:szCs w:val="20"/>
        </w:rPr>
      </w:pPr>
      <w:r>
        <w:rPr>
          <w:rFonts w:hint="eastAsia" w:ascii="宋体" w:hAnsi="宋体"/>
          <w:color w:val="auto"/>
          <w:sz w:val="20"/>
          <w:szCs w:val="20"/>
        </w:rPr>
        <w:t>我方承诺提供的产品或服务符合国家对网络与信息安全的相关要求。如违反国家对对网络与信息安全的相关要求，责任完全由我方承担。</w:t>
      </w:r>
    </w:p>
    <w:p>
      <w:pPr>
        <w:pStyle w:val="76"/>
        <w:numPr>
          <w:ilvl w:val="0"/>
          <w:numId w:val="17"/>
        </w:numPr>
        <w:spacing w:line="360" w:lineRule="auto"/>
        <w:ind w:left="993" w:hanging="573" w:firstLineChars="0"/>
        <w:rPr>
          <w:rFonts w:ascii="宋体" w:hAnsi="宋体"/>
          <w:color w:val="auto"/>
          <w:sz w:val="20"/>
          <w:szCs w:val="20"/>
        </w:rPr>
      </w:pPr>
      <w:r>
        <w:rPr>
          <w:rFonts w:hint="eastAsia" w:ascii="宋体" w:hAnsi="宋体"/>
          <w:color w:val="auto"/>
          <w:sz w:val="20"/>
          <w:szCs w:val="20"/>
        </w:rPr>
        <w:t>我方承诺按照招标文件的规定及合同约定开具增值税专用发票。</w:t>
      </w:r>
    </w:p>
    <w:p>
      <w:pPr>
        <w:pStyle w:val="76"/>
        <w:numPr>
          <w:ilvl w:val="0"/>
          <w:numId w:val="17"/>
        </w:numPr>
        <w:spacing w:line="360" w:lineRule="auto"/>
        <w:ind w:left="993" w:hanging="573" w:firstLineChars="0"/>
        <w:rPr>
          <w:rFonts w:ascii="宋体" w:hAnsi="宋体"/>
          <w:color w:val="auto"/>
          <w:sz w:val="20"/>
          <w:szCs w:val="20"/>
        </w:rPr>
      </w:pPr>
      <w:r>
        <w:rPr>
          <w:rFonts w:hint="eastAsia" w:ascii="宋体" w:hAnsi="宋体"/>
          <w:color w:val="auto"/>
          <w:sz w:val="20"/>
          <w:szCs w:val="20"/>
        </w:rPr>
        <w:t>我方承诺中标后不转包、不分包。</w:t>
      </w:r>
    </w:p>
    <w:p>
      <w:pPr>
        <w:spacing w:line="360" w:lineRule="auto"/>
        <w:ind w:firstLine="400" w:firstLineChars="200"/>
        <w:rPr>
          <w:rFonts w:ascii="宋体" w:hAnsi="宋体"/>
          <w:color w:val="auto"/>
          <w:sz w:val="20"/>
          <w:szCs w:val="20"/>
        </w:rPr>
      </w:pPr>
      <w:r>
        <w:rPr>
          <w:rFonts w:hint="eastAsia" w:ascii="宋体" w:hAnsi="宋体"/>
          <w:color w:val="auto"/>
          <w:sz w:val="20"/>
          <w:szCs w:val="20"/>
        </w:rPr>
        <w:t>我方在此声明，所递交的投标文件及有关资料内容完整、真实和准确，且不存在第二章“投标人须知”第</w:t>
      </w:r>
      <w:r>
        <w:rPr>
          <w:rFonts w:ascii="宋体" w:hAnsi="宋体"/>
          <w:color w:val="auto"/>
          <w:sz w:val="20"/>
          <w:szCs w:val="20"/>
        </w:rPr>
        <w:t>1.8款规定的任何一种情形。如有弄虚作假，将承担相应的法律责任，并赔偿由此造成的一切损失。</w:t>
      </w:r>
    </w:p>
    <w:p>
      <w:pPr>
        <w:pStyle w:val="76"/>
        <w:numPr>
          <w:ilvl w:val="3"/>
          <w:numId w:val="16"/>
        </w:numPr>
        <w:tabs>
          <w:tab w:val="left" w:pos="709"/>
        </w:tabs>
        <w:spacing w:line="360" w:lineRule="auto"/>
        <w:ind w:left="851" w:firstLineChars="0"/>
        <w:rPr>
          <w:rFonts w:ascii="宋体" w:hAnsi="宋体"/>
          <w:color w:val="auto"/>
          <w:sz w:val="20"/>
          <w:szCs w:val="20"/>
        </w:rPr>
      </w:pPr>
      <w:r>
        <w:rPr>
          <w:rFonts w:hint="eastAsia" w:ascii="宋体" w:hAnsi="宋体"/>
          <w:color w:val="auto"/>
          <w:sz w:val="20"/>
          <w:szCs w:val="20"/>
        </w:rPr>
        <w:t>与本次公开招标的有关的一切正式往来通讯请寄：</w:t>
      </w:r>
    </w:p>
    <w:p>
      <w:pPr>
        <w:pStyle w:val="76"/>
        <w:tabs>
          <w:tab w:val="left" w:pos="709"/>
        </w:tabs>
        <w:spacing w:line="360" w:lineRule="auto"/>
        <w:ind w:left="709" w:firstLine="0" w:firstLineChars="0"/>
        <w:rPr>
          <w:rFonts w:ascii="宋体" w:hAnsi="宋体"/>
          <w:color w:val="auto"/>
          <w:sz w:val="20"/>
          <w:szCs w:val="20"/>
        </w:rPr>
      </w:pPr>
      <w:r>
        <w:rPr>
          <w:rFonts w:hint="eastAsia" w:ascii="宋体" w:hAnsi="宋体"/>
          <w:color w:val="auto"/>
          <w:sz w:val="20"/>
          <w:szCs w:val="20"/>
        </w:rPr>
        <w:t>地址：</w:t>
      </w:r>
      <w:r>
        <w:rPr>
          <w:rFonts w:ascii="宋体" w:hAnsi="宋体"/>
          <w:color w:val="auto"/>
          <w:sz w:val="20"/>
          <w:szCs w:val="20"/>
        </w:rPr>
        <w:t xml:space="preserve">_____________________  </w:t>
      </w:r>
      <w:r>
        <w:rPr>
          <w:rFonts w:hint="eastAsia" w:ascii="宋体" w:hAnsi="宋体"/>
          <w:color w:val="auto"/>
          <w:sz w:val="20"/>
          <w:szCs w:val="20"/>
        </w:rPr>
        <w:t>传真：</w:t>
      </w:r>
      <w:r>
        <w:rPr>
          <w:rFonts w:ascii="宋体" w:hAnsi="宋体"/>
          <w:color w:val="auto"/>
          <w:sz w:val="20"/>
          <w:szCs w:val="20"/>
        </w:rPr>
        <w:t>_________________________</w:t>
      </w:r>
    </w:p>
    <w:p>
      <w:pPr>
        <w:pStyle w:val="76"/>
        <w:tabs>
          <w:tab w:val="left" w:pos="709"/>
        </w:tabs>
        <w:spacing w:line="360" w:lineRule="auto"/>
        <w:ind w:left="709" w:firstLine="0" w:firstLineChars="0"/>
        <w:rPr>
          <w:rFonts w:ascii="宋体" w:hAnsi="宋体"/>
          <w:color w:val="auto"/>
          <w:sz w:val="20"/>
          <w:szCs w:val="20"/>
        </w:rPr>
      </w:pPr>
      <w:r>
        <w:rPr>
          <w:rFonts w:hint="eastAsia" w:ascii="宋体" w:hAnsi="宋体"/>
          <w:color w:val="auto"/>
          <w:sz w:val="20"/>
          <w:szCs w:val="20"/>
        </w:rPr>
        <w:t>电话：</w:t>
      </w:r>
      <w:r>
        <w:rPr>
          <w:rFonts w:ascii="宋体" w:hAnsi="宋体"/>
          <w:color w:val="auto"/>
          <w:sz w:val="20"/>
          <w:szCs w:val="20"/>
        </w:rPr>
        <w:t xml:space="preserve">_____________________  </w:t>
      </w:r>
      <w:r>
        <w:rPr>
          <w:rFonts w:hint="eastAsia" w:ascii="宋体" w:hAnsi="宋体"/>
          <w:color w:val="auto"/>
          <w:sz w:val="20"/>
          <w:szCs w:val="20"/>
        </w:rPr>
        <w:t>电子邮箱：</w:t>
      </w:r>
      <w:r>
        <w:rPr>
          <w:rFonts w:ascii="宋体" w:hAnsi="宋体"/>
          <w:color w:val="auto"/>
          <w:sz w:val="20"/>
          <w:szCs w:val="20"/>
        </w:rPr>
        <w:t>_____________________</w:t>
      </w:r>
    </w:p>
    <w:p>
      <w:pPr>
        <w:spacing w:line="360" w:lineRule="auto"/>
        <w:ind w:firstLine="2700" w:firstLineChars="1350"/>
        <w:rPr>
          <w:rFonts w:ascii="宋体" w:hAnsi="宋体"/>
          <w:color w:val="auto"/>
          <w:sz w:val="20"/>
          <w:szCs w:val="20"/>
        </w:rPr>
      </w:pPr>
      <w:r>
        <w:rPr>
          <w:rFonts w:ascii="宋体" w:hAnsi="宋体"/>
          <w:color w:val="auto"/>
          <w:sz w:val="20"/>
          <w:szCs w:val="20"/>
        </w:rPr>
        <w:t>投标人</w:t>
      </w:r>
      <w:r>
        <w:rPr>
          <w:rFonts w:hint="eastAsia" w:ascii="宋体" w:hAnsi="宋体"/>
          <w:color w:val="auto"/>
          <w:sz w:val="20"/>
          <w:szCs w:val="20"/>
        </w:rPr>
        <w:t>名称</w:t>
      </w:r>
      <w:r>
        <w:rPr>
          <w:rFonts w:ascii="宋体" w:hAnsi="宋体"/>
          <w:color w:val="auto"/>
          <w:sz w:val="20"/>
          <w:szCs w:val="20"/>
        </w:rPr>
        <w:t>：</w:t>
      </w:r>
      <w:r>
        <w:rPr>
          <w:rFonts w:ascii="宋体" w:hAnsi="宋体"/>
          <w:color w:val="auto"/>
          <w:sz w:val="20"/>
          <w:szCs w:val="20"/>
          <w:u w:val="single"/>
        </w:rPr>
        <w:t xml:space="preserve">                     </w:t>
      </w:r>
      <w:r>
        <w:rPr>
          <w:rFonts w:ascii="宋体" w:hAnsi="宋体"/>
          <w:color w:val="auto"/>
          <w:sz w:val="20"/>
          <w:szCs w:val="20"/>
        </w:rPr>
        <w:t>（盖单位公章）</w:t>
      </w:r>
    </w:p>
    <w:p>
      <w:pPr>
        <w:spacing w:line="360" w:lineRule="auto"/>
        <w:jc w:val="right"/>
        <w:rPr>
          <w:rFonts w:ascii="宋体" w:hAnsi="宋体"/>
          <w:color w:val="auto"/>
          <w:sz w:val="20"/>
          <w:szCs w:val="20"/>
        </w:rPr>
      </w:pPr>
      <w:r>
        <w:rPr>
          <w:rFonts w:ascii="宋体" w:hAnsi="宋体"/>
          <w:color w:val="auto"/>
          <w:sz w:val="20"/>
          <w:szCs w:val="20"/>
        </w:rPr>
        <w:t>法定代表人</w:t>
      </w:r>
      <w:r>
        <w:rPr>
          <w:rFonts w:hint="eastAsia" w:ascii="宋体" w:hAnsi="宋体"/>
          <w:color w:val="auto"/>
          <w:sz w:val="20"/>
          <w:szCs w:val="20"/>
        </w:rPr>
        <w:t>（负责人）</w:t>
      </w:r>
      <w:r>
        <w:rPr>
          <w:rFonts w:ascii="宋体" w:hAnsi="宋体"/>
          <w:color w:val="auto"/>
          <w:sz w:val="20"/>
          <w:szCs w:val="20"/>
        </w:rPr>
        <w:t>或者其委托代理人：</w:t>
      </w:r>
      <w:r>
        <w:rPr>
          <w:rFonts w:ascii="宋体" w:hAnsi="宋体"/>
          <w:color w:val="auto"/>
          <w:sz w:val="20"/>
          <w:szCs w:val="20"/>
          <w:u w:val="single"/>
        </w:rPr>
        <w:t xml:space="preserve">         </w:t>
      </w:r>
      <w:r>
        <w:rPr>
          <w:rFonts w:ascii="宋体" w:hAnsi="宋体"/>
          <w:color w:val="auto"/>
          <w:sz w:val="20"/>
          <w:szCs w:val="20"/>
        </w:rPr>
        <w:t>（签字</w:t>
      </w:r>
      <w:r>
        <w:rPr>
          <w:rFonts w:hint="eastAsia" w:ascii="宋体" w:hAnsi="宋体"/>
          <w:color w:val="auto"/>
          <w:sz w:val="20"/>
          <w:szCs w:val="20"/>
        </w:rPr>
        <w:t>或盖章</w:t>
      </w:r>
      <w:r>
        <w:rPr>
          <w:rFonts w:ascii="宋体" w:hAnsi="宋体"/>
          <w:color w:val="auto"/>
          <w:sz w:val="20"/>
          <w:szCs w:val="20"/>
        </w:rPr>
        <w:t>）</w:t>
      </w:r>
    </w:p>
    <w:p>
      <w:pPr>
        <w:topLinePunct/>
        <w:spacing w:line="360" w:lineRule="auto"/>
        <w:jc w:val="right"/>
        <w:rPr>
          <w:rFonts w:hint="eastAsia" w:ascii="宋体" w:hAnsi="宋体" w:eastAsia="宋体"/>
          <w:color w:val="auto"/>
          <w:sz w:val="20"/>
          <w:szCs w:val="22"/>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auto"/>
          <w:sz w:val="20"/>
          <w:szCs w:val="22"/>
        </w:rPr>
        <w:t>日期：</w:t>
      </w:r>
      <w:r>
        <w:rPr>
          <w:rFonts w:ascii="宋体" w:hAnsi="宋体"/>
          <w:color w:val="auto"/>
          <w:sz w:val="20"/>
          <w:szCs w:val="22"/>
        </w:rPr>
        <w:t>XX年XX月XX</w:t>
      </w:r>
      <w:r>
        <w:rPr>
          <w:rFonts w:hint="eastAsia" w:ascii="宋体" w:hAnsi="宋体"/>
          <w:color w:val="auto"/>
          <w:sz w:val="20"/>
          <w:szCs w:val="22"/>
          <w:lang w:val="en-US" w:eastAsia="zh-CN"/>
        </w:rPr>
        <w:t>日</w:t>
      </w:r>
    </w:p>
    <w:p>
      <w:pPr>
        <w:pStyle w:val="37"/>
        <w:numPr>
          <w:ilvl w:val="0"/>
          <w:numId w:val="15"/>
        </w:numPr>
        <w:tabs>
          <w:tab w:val="left" w:pos="588"/>
        </w:tabs>
        <w:snapToGrid w:val="0"/>
        <w:spacing w:before="120" w:after="120" w:line="440" w:lineRule="exact"/>
        <w:jc w:val="left"/>
        <w:rPr>
          <w:rFonts w:ascii="宋体" w:hAnsi="宋体"/>
          <w:color w:val="auto"/>
          <w:sz w:val="24"/>
          <w:szCs w:val="24"/>
        </w:rPr>
      </w:pPr>
      <w:bookmarkStart w:id="515" w:name="_Toc28376"/>
      <w:bookmarkStart w:id="516" w:name="_Toc1651899"/>
      <w:bookmarkStart w:id="517" w:name="_Toc475472674"/>
      <w:bookmarkStart w:id="518" w:name="_Toc27818"/>
      <w:bookmarkStart w:id="519" w:name="_Toc56432234"/>
      <w:bookmarkStart w:id="520" w:name="_Toc29078"/>
      <w:r>
        <w:rPr>
          <w:rFonts w:ascii="宋体" w:hAnsi="宋体"/>
          <w:color w:val="auto"/>
          <w:sz w:val="24"/>
          <w:szCs w:val="24"/>
        </w:rPr>
        <w:t>法定代表人</w:t>
      </w:r>
      <w:r>
        <w:rPr>
          <w:rFonts w:hint="eastAsia" w:ascii="宋体" w:hAnsi="宋体"/>
          <w:color w:val="auto"/>
          <w:sz w:val="24"/>
          <w:szCs w:val="24"/>
        </w:rPr>
        <w:t>（负责人）</w:t>
      </w:r>
      <w:r>
        <w:rPr>
          <w:rFonts w:ascii="宋体" w:hAnsi="宋体"/>
          <w:color w:val="auto"/>
          <w:sz w:val="24"/>
          <w:szCs w:val="24"/>
        </w:rPr>
        <w:t>身份证明</w:t>
      </w:r>
      <w:bookmarkEnd w:id="515"/>
      <w:bookmarkEnd w:id="516"/>
      <w:bookmarkEnd w:id="517"/>
      <w:bookmarkEnd w:id="518"/>
      <w:bookmarkEnd w:id="519"/>
      <w:bookmarkEnd w:id="520"/>
    </w:p>
    <w:p>
      <w:pPr>
        <w:jc w:val="center"/>
        <w:rPr>
          <w:rFonts w:ascii="宋体" w:hAnsi="宋体" w:cs="宋体"/>
          <w:b/>
          <w:color w:val="auto"/>
          <w:sz w:val="24"/>
        </w:rPr>
      </w:pPr>
    </w:p>
    <w:p>
      <w:pPr>
        <w:jc w:val="center"/>
        <w:rPr>
          <w:rFonts w:ascii="宋体" w:hAnsi="宋体" w:cs="宋体"/>
          <w:b/>
          <w:color w:val="auto"/>
          <w:sz w:val="24"/>
        </w:rPr>
      </w:pPr>
      <w:r>
        <w:rPr>
          <w:rFonts w:hint="eastAsia" w:ascii="宋体" w:hAnsi="宋体" w:cs="宋体"/>
          <w:b/>
          <w:color w:val="auto"/>
          <w:sz w:val="24"/>
        </w:rPr>
        <w:t>法定代表人（负责人）身份证明</w:t>
      </w:r>
    </w:p>
    <w:p>
      <w:pPr>
        <w:spacing w:line="440" w:lineRule="exact"/>
        <w:rPr>
          <w:rFonts w:ascii="宋体" w:hAnsi="宋体"/>
          <w:color w:val="auto"/>
          <w:szCs w:val="21"/>
        </w:rPr>
      </w:pPr>
    </w:p>
    <w:p>
      <w:pPr>
        <w:topLinePunct/>
        <w:snapToGrid w:val="0"/>
        <w:spacing w:line="440" w:lineRule="exact"/>
        <w:rPr>
          <w:rFonts w:ascii="宋体" w:hAnsi="宋体"/>
          <w:bCs/>
          <w:color w:val="auto"/>
          <w:szCs w:val="21"/>
          <w:u w:val="single"/>
        </w:rPr>
      </w:pPr>
      <w:r>
        <w:rPr>
          <w:rFonts w:hint="eastAsia" w:ascii="宋体" w:hAnsi="宋体"/>
          <w:bCs/>
          <w:color w:val="auto"/>
          <w:szCs w:val="21"/>
        </w:rPr>
        <w:t>投标人</w:t>
      </w:r>
      <w:r>
        <w:rPr>
          <w:rFonts w:ascii="宋体" w:hAnsi="宋体"/>
          <w:bCs/>
          <w:color w:val="auto"/>
          <w:szCs w:val="21"/>
        </w:rPr>
        <w:t>名称：</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单位性质：</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成立时间：</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w:t>
      </w:r>
    </w:p>
    <w:p>
      <w:pPr>
        <w:topLinePunct/>
        <w:snapToGrid w:val="0"/>
        <w:spacing w:line="440" w:lineRule="exact"/>
        <w:rPr>
          <w:rFonts w:ascii="宋体" w:hAnsi="宋体"/>
          <w:bCs/>
          <w:color w:val="auto"/>
          <w:szCs w:val="21"/>
        </w:rPr>
      </w:pPr>
      <w:r>
        <w:rPr>
          <w:rFonts w:ascii="宋体" w:hAnsi="宋体"/>
          <w:bCs/>
          <w:color w:val="auto"/>
          <w:szCs w:val="21"/>
        </w:rPr>
        <w:t>经营期限：</w:t>
      </w:r>
      <w:r>
        <w:rPr>
          <w:rFonts w:ascii="宋体" w:hAnsi="宋体"/>
          <w:bCs/>
          <w:color w:val="auto"/>
          <w:szCs w:val="21"/>
          <w:u w:val="single"/>
        </w:rPr>
        <w:t xml:space="preserve">            </w:t>
      </w:r>
    </w:p>
    <w:p>
      <w:pPr>
        <w:topLinePunct/>
        <w:snapToGrid w:val="0"/>
        <w:spacing w:line="440" w:lineRule="exact"/>
        <w:rPr>
          <w:rFonts w:ascii="宋体" w:hAnsi="宋体"/>
          <w:bCs/>
          <w:color w:val="auto"/>
          <w:szCs w:val="21"/>
          <w:u w:val="single"/>
        </w:rPr>
      </w:pPr>
      <w:r>
        <w:rPr>
          <w:rFonts w:ascii="宋体" w:hAnsi="宋体"/>
          <w:bCs/>
          <w:color w:val="auto"/>
          <w:szCs w:val="21"/>
        </w:rPr>
        <w:t>姓名：</w:t>
      </w:r>
      <w:r>
        <w:rPr>
          <w:rFonts w:ascii="宋体" w:hAnsi="宋体"/>
          <w:bCs/>
          <w:color w:val="auto"/>
          <w:szCs w:val="21"/>
          <w:u w:val="single"/>
        </w:rPr>
        <w:t xml:space="preserve">         </w:t>
      </w:r>
      <w:r>
        <w:rPr>
          <w:rFonts w:ascii="宋体" w:hAnsi="宋体"/>
          <w:bCs/>
          <w:color w:val="auto"/>
          <w:szCs w:val="21"/>
        </w:rPr>
        <w:t>性别：</w:t>
      </w:r>
      <w:r>
        <w:rPr>
          <w:rFonts w:ascii="宋体" w:hAnsi="宋体"/>
          <w:bCs/>
          <w:color w:val="auto"/>
          <w:szCs w:val="21"/>
          <w:u w:val="single"/>
        </w:rPr>
        <w:t xml:space="preserve">          </w:t>
      </w:r>
      <w:r>
        <w:rPr>
          <w:rFonts w:ascii="宋体" w:hAnsi="宋体"/>
          <w:bCs/>
          <w:color w:val="auto"/>
          <w:szCs w:val="21"/>
        </w:rPr>
        <w:t>年龄：</w:t>
      </w:r>
      <w:r>
        <w:rPr>
          <w:rFonts w:ascii="宋体" w:hAnsi="宋体"/>
          <w:bCs/>
          <w:color w:val="auto"/>
          <w:szCs w:val="21"/>
          <w:u w:val="single"/>
        </w:rPr>
        <w:t xml:space="preserve">         </w:t>
      </w:r>
      <w:r>
        <w:rPr>
          <w:rFonts w:ascii="宋体" w:hAnsi="宋体"/>
          <w:bCs/>
          <w:color w:val="auto"/>
          <w:szCs w:val="21"/>
        </w:rPr>
        <w:t>职务：</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系</w:t>
      </w:r>
      <w:r>
        <w:rPr>
          <w:rFonts w:ascii="宋体" w:hAnsi="宋体"/>
          <w:color w:val="auto"/>
          <w:u w:val="single"/>
        </w:rPr>
        <w:t>XX公司</w:t>
      </w:r>
      <w:r>
        <w:rPr>
          <w:rFonts w:ascii="宋体" w:hAnsi="宋体"/>
          <w:color w:val="auto"/>
          <w:szCs w:val="21"/>
          <w:u w:val="single"/>
        </w:rPr>
        <w:t>[投标人单位名称]</w:t>
      </w:r>
      <w:r>
        <w:rPr>
          <w:rFonts w:ascii="宋体" w:hAnsi="宋体"/>
          <w:bCs/>
          <w:color w:val="auto"/>
          <w:szCs w:val="21"/>
        </w:rPr>
        <w:t>的法定代表人。</w:t>
      </w:r>
    </w:p>
    <w:p>
      <w:pPr>
        <w:topLinePunct/>
        <w:snapToGrid w:val="0"/>
        <w:spacing w:line="440" w:lineRule="exact"/>
        <w:ind w:firstLine="420" w:firstLineChars="200"/>
        <w:rPr>
          <w:rFonts w:ascii="宋体" w:hAnsi="宋体"/>
          <w:bCs/>
          <w:color w:val="auto"/>
          <w:szCs w:val="21"/>
        </w:rPr>
      </w:pPr>
      <w:r>
        <w:rPr>
          <w:rFonts w:ascii="宋体" w:hAnsi="宋体"/>
          <w:bCs/>
          <w:color w:val="auto"/>
          <w:szCs w:val="21"/>
        </w:rPr>
        <w:t>特此证明。</w:t>
      </w:r>
    </w:p>
    <w:p>
      <w:pPr>
        <w:topLinePunct/>
        <w:snapToGrid w:val="0"/>
        <w:spacing w:line="440" w:lineRule="exact"/>
        <w:ind w:firstLine="420" w:firstLineChars="200"/>
        <w:rPr>
          <w:rFonts w:ascii="宋体" w:hAnsi="宋体"/>
          <w:bCs/>
          <w:color w:val="auto"/>
          <w:szCs w:val="21"/>
        </w:rPr>
      </w:pPr>
    </w:p>
    <w:p>
      <w:pPr>
        <w:topLinePunct/>
        <w:snapToGrid w:val="0"/>
        <w:spacing w:line="440" w:lineRule="exact"/>
        <w:rPr>
          <w:rFonts w:ascii="宋体" w:hAnsi="宋体"/>
          <w:color w:val="auto"/>
        </w:rPr>
      </w:pPr>
      <w:r>
        <w:rPr>
          <w:rFonts w:ascii="宋体" w:hAnsi="宋体"/>
          <w:color w:val="auto"/>
        </w:rPr>
        <w:t>附：法定代表人身份证复印件</w:t>
      </w:r>
      <w:r>
        <w:rPr>
          <w:rFonts w:ascii="宋体" w:hAnsi="宋体"/>
          <w:bCs/>
          <w:color w:val="auto"/>
          <w:szCs w:val="21"/>
        </w:rPr>
        <w:t>(需同时提供正面及背面)</w:t>
      </w:r>
    </w:p>
    <w:p>
      <w:pPr>
        <w:spacing w:line="500" w:lineRule="exact"/>
        <w:rPr>
          <w:rFonts w:ascii="宋体" w:hAnsi="宋体"/>
          <w:color w:val="auto"/>
          <w:szCs w:val="21"/>
        </w:rPr>
      </w:pPr>
      <w:r>
        <w:rPr>
          <w:color w:val="auto"/>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r>
        <w:rPr>
          <w:rFonts w:ascii="宋体" w:hAnsi="宋体"/>
          <w:color w:val="auto"/>
          <w:szCs w:val="21"/>
        </w:rPr>
        <w:t xml:space="preserve">                          </w:t>
      </w:r>
    </w:p>
    <w:p>
      <w:pPr>
        <w:spacing w:line="500" w:lineRule="exact"/>
        <w:rPr>
          <w:rFonts w:ascii="宋体" w:hAnsi="宋体"/>
          <w:color w:val="auto"/>
          <w:szCs w:val="21"/>
        </w:rPr>
      </w:pPr>
    </w:p>
    <w:p>
      <w:pPr>
        <w:spacing w:line="440" w:lineRule="exact"/>
        <w:rPr>
          <w:rFonts w:ascii="宋体" w:hAnsi="宋体"/>
          <w:color w:val="auto"/>
          <w:szCs w:val="21"/>
        </w:rPr>
      </w:pP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r>
        <w:rPr>
          <w:rFonts w:ascii="宋体" w:hAnsi="宋体"/>
          <w:color w:val="auto"/>
          <w:szCs w:val="21"/>
        </w:rPr>
        <w:t xml:space="preserve">                          </w:t>
      </w:r>
    </w:p>
    <w:p>
      <w:pPr>
        <w:spacing w:line="440" w:lineRule="exact"/>
        <w:jc w:val="right"/>
        <w:rPr>
          <w:rFonts w:ascii="宋体" w:hAnsi="宋体"/>
          <w:color w:val="auto"/>
          <w:szCs w:val="21"/>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（盖单位公章）</w:t>
      </w:r>
    </w:p>
    <w:p>
      <w:pPr>
        <w:spacing w:line="440" w:lineRule="exact"/>
        <w:ind w:firstLine="4305" w:firstLineChars="2050"/>
        <w:rPr>
          <w:rFonts w:ascii="宋体" w:hAnsi="宋体"/>
          <w:color w:val="auto"/>
          <w:szCs w:val="21"/>
        </w:rPr>
      </w:pPr>
    </w:p>
    <w:p>
      <w:pPr>
        <w:spacing w:line="440" w:lineRule="exact"/>
        <w:jc w:val="right"/>
        <w:rPr>
          <w:rFonts w:ascii="宋体" w:hAnsi="宋体"/>
          <w:color w:val="auto"/>
          <w:szCs w:val="21"/>
        </w:rPr>
      </w:pPr>
      <w:r>
        <w:rPr>
          <w:rFonts w:ascii="宋体" w:hAnsi="宋体"/>
          <w:color w:val="auto"/>
          <w:szCs w:val="21"/>
        </w:rPr>
        <w:t xml:space="preserve">                                         </w:t>
      </w:r>
      <w:r>
        <w:rPr>
          <w:rFonts w:hint="eastAsia" w:ascii="宋体" w:hAnsi="宋体"/>
          <w:color w:val="auto"/>
        </w:rPr>
        <w:t>日期：</w:t>
      </w:r>
      <w:r>
        <w:rPr>
          <w:rFonts w:ascii="宋体" w:hAnsi="宋体"/>
          <w:color w:val="auto"/>
        </w:rPr>
        <w:t>XX年XX月XX日</w:t>
      </w:r>
    </w:p>
    <w:p>
      <w:pPr>
        <w:topLinePunct/>
        <w:spacing w:line="440" w:lineRule="exact"/>
        <w:ind w:left="422"/>
        <w:jc w:val="left"/>
        <w:rPr>
          <w:rFonts w:ascii="宋体" w:hAnsi="宋体"/>
          <w:color w:val="auto"/>
        </w:rPr>
      </w:pPr>
    </w:p>
    <w:p>
      <w:pPr>
        <w:pStyle w:val="37"/>
        <w:numPr>
          <w:ilvl w:val="0"/>
          <w:numId w:val="15"/>
        </w:numPr>
        <w:tabs>
          <w:tab w:val="left" w:pos="588"/>
        </w:tabs>
        <w:snapToGrid w:val="0"/>
        <w:spacing w:before="120" w:after="120" w:line="440" w:lineRule="exact"/>
        <w:jc w:val="left"/>
        <w:rPr>
          <w:rFonts w:ascii="宋体" w:hAnsi="宋体"/>
          <w:color w:val="auto"/>
          <w:sz w:val="24"/>
          <w:szCs w:val="24"/>
        </w:rPr>
      </w:pPr>
      <w:r>
        <w:rPr>
          <w:rFonts w:ascii="宋体" w:hAnsi="宋体"/>
          <w:color w:val="auto"/>
          <w:szCs w:val="21"/>
        </w:rPr>
        <w:br w:type="page"/>
      </w:r>
      <w:bookmarkStart w:id="521" w:name="_Toc29191"/>
      <w:bookmarkStart w:id="522" w:name="_Toc14000"/>
      <w:bookmarkStart w:id="523" w:name="_Toc5243"/>
      <w:bookmarkStart w:id="524" w:name="_Toc475472675"/>
      <w:bookmarkStart w:id="525" w:name="_Toc56432235"/>
      <w:bookmarkStart w:id="526" w:name="_Toc438052122"/>
      <w:bookmarkStart w:id="527" w:name="_Toc1651900"/>
      <w:r>
        <w:rPr>
          <w:rFonts w:ascii="宋体" w:hAnsi="宋体"/>
          <w:color w:val="auto"/>
          <w:sz w:val="24"/>
          <w:szCs w:val="24"/>
        </w:rPr>
        <w:t>法定代表人</w:t>
      </w:r>
      <w:r>
        <w:rPr>
          <w:rFonts w:hint="eastAsia" w:ascii="宋体" w:hAnsi="宋体"/>
          <w:color w:val="auto"/>
          <w:sz w:val="24"/>
          <w:szCs w:val="24"/>
        </w:rPr>
        <w:t>（负责人）</w:t>
      </w:r>
      <w:r>
        <w:rPr>
          <w:rFonts w:ascii="宋体" w:hAnsi="宋体"/>
          <w:color w:val="auto"/>
          <w:sz w:val="24"/>
          <w:szCs w:val="24"/>
        </w:rPr>
        <w:t>授权委托书</w:t>
      </w:r>
      <w:bookmarkEnd w:id="521"/>
      <w:bookmarkEnd w:id="522"/>
      <w:bookmarkEnd w:id="523"/>
      <w:bookmarkEnd w:id="524"/>
      <w:bookmarkEnd w:id="525"/>
      <w:bookmarkEnd w:id="526"/>
      <w:bookmarkEnd w:id="527"/>
    </w:p>
    <w:p>
      <w:pPr>
        <w:jc w:val="center"/>
        <w:rPr>
          <w:rFonts w:ascii="宋体" w:hAnsi="宋体" w:cs="宋体"/>
          <w:b/>
          <w:color w:val="auto"/>
          <w:sz w:val="24"/>
        </w:rPr>
      </w:pPr>
      <w:r>
        <w:rPr>
          <w:rFonts w:hint="eastAsia" w:ascii="宋体" w:hAnsi="宋体" w:cs="宋体"/>
          <w:b/>
          <w:color w:val="auto"/>
          <w:sz w:val="24"/>
        </w:rPr>
        <w:t>法定代表人（负责人）授权委托书</w:t>
      </w:r>
    </w:p>
    <w:p>
      <w:pPr>
        <w:jc w:val="center"/>
        <w:rPr>
          <w:rFonts w:ascii="宋体" w:hAnsi="宋体" w:cs="宋体"/>
          <w:b/>
          <w:color w:val="auto"/>
          <w:sz w:val="24"/>
        </w:rPr>
      </w:pPr>
    </w:p>
    <w:p>
      <w:pPr>
        <w:topLinePunct/>
        <w:snapToGrid w:val="0"/>
        <w:spacing w:line="440" w:lineRule="exact"/>
        <w:ind w:firstLine="420" w:firstLineChars="200"/>
        <w:rPr>
          <w:rFonts w:ascii="宋体" w:hAnsi="宋体"/>
          <w:bCs/>
          <w:color w:val="auto"/>
          <w:szCs w:val="21"/>
        </w:rPr>
      </w:pPr>
      <w:r>
        <w:rPr>
          <w:rFonts w:ascii="宋体" w:hAnsi="宋体"/>
          <w:bCs/>
          <w:color w:val="auto"/>
          <w:szCs w:val="21"/>
        </w:rPr>
        <w:t>本人</w:t>
      </w:r>
      <w:r>
        <w:rPr>
          <w:rFonts w:ascii="宋体" w:hAnsi="宋体"/>
          <w:color w:val="auto"/>
          <w:u w:val="single"/>
        </w:rPr>
        <w:t>XX</w:t>
      </w:r>
      <w:r>
        <w:rPr>
          <w:rFonts w:ascii="宋体" w:hAnsi="宋体"/>
          <w:color w:val="auto"/>
          <w:szCs w:val="21"/>
          <w:u w:val="single"/>
        </w:rPr>
        <w:t xml:space="preserve"> [投标人法定代表人（负责人）姓名]</w:t>
      </w:r>
      <w:r>
        <w:rPr>
          <w:rFonts w:ascii="宋体" w:hAnsi="宋体"/>
          <w:bCs/>
          <w:color w:val="auto"/>
          <w:szCs w:val="21"/>
        </w:rPr>
        <w:t xml:space="preserve">系 </w:t>
      </w:r>
      <w:r>
        <w:rPr>
          <w:rFonts w:ascii="宋体" w:hAnsi="宋体"/>
          <w:color w:val="auto"/>
          <w:u w:val="single"/>
        </w:rPr>
        <w:t>XX公司</w:t>
      </w:r>
      <w:r>
        <w:rPr>
          <w:rFonts w:ascii="宋体" w:hAnsi="宋体"/>
          <w:color w:val="auto"/>
          <w:szCs w:val="21"/>
          <w:u w:val="single"/>
        </w:rPr>
        <w:t>[投标人名称]</w:t>
      </w:r>
      <w:r>
        <w:rPr>
          <w:rFonts w:ascii="宋体" w:hAnsi="宋体"/>
          <w:bCs/>
          <w:color w:val="auto"/>
          <w:szCs w:val="21"/>
        </w:rPr>
        <w:t>的法定代表人，现委托</w:t>
      </w:r>
      <w:r>
        <w:rPr>
          <w:rFonts w:ascii="宋体" w:hAnsi="宋体"/>
          <w:color w:val="auto"/>
          <w:u w:val="single"/>
        </w:rPr>
        <w:t>XX</w:t>
      </w:r>
      <w:r>
        <w:rPr>
          <w:rFonts w:ascii="宋体" w:hAnsi="宋体"/>
          <w:color w:val="auto"/>
          <w:szCs w:val="21"/>
          <w:u w:val="single"/>
        </w:rPr>
        <w:t xml:space="preserve"> [委托代理人姓名]</w:t>
      </w:r>
      <w:r>
        <w:rPr>
          <w:rFonts w:ascii="宋体" w:hAnsi="宋体"/>
          <w:bCs/>
          <w:color w:val="auto"/>
          <w:szCs w:val="21"/>
        </w:rPr>
        <w:t>为我方代理人。代理人根据授权，以我方名义</w:t>
      </w:r>
      <w:r>
        <w:rPr>
          <w:rFonts w:hint="eastAsia" w:ascii="宋体" w:hAnsi="宋体"/>
          <w:bCs/>
          <w:color w:val="auto"/>
          <w:szCs w:val="21"/>
        </w:rPr>
        <w:t>全权处理</w:t>
      </w:r>
      <w:r>
        <w:rPr>
          <w:rFonts w:ascii="宋体" w:hAnsi="宋体"/>
          <w:color w:val="auto"/>
          <w:u w:val="single"/>
        </w:rPr>
        <w:t>XX</w:t>
      </w:r>
      <w:r>
        <w:rPr>
          <w:rFonts w:hint="eastAsia" w:ascii="宋体" w:hAnsi="宋体"/>
          <w:color w:val="auto"/>
          <w:szCs w:val="21"/>
          <w:u w:val="single"/>
        </w:rPr>
        <w:t>项目</w:t>
      </w:r>
      <w:r>
        <w:rPr>
          <w:rFonts w:ascii="宋体" w:hAnsi="宋体"/>
          <w:color w:val="auto"/>
          <w:szCs w:val="21"/>
          <w:u w:val="single"/>
        </w:rPr>
        <w:t>[</w:t>
      </w:r>
      <w:r>
        <w:rPr>
          <w:rFonts w:ascii="宋体" w:hAnsi="宋体"/>
          <w:bCs/>
          <w:color w:val="auto"/>
          <w:szCs w:val="21"/>
          <w:u w:val="single"/>
        </w:rPr>
        <w:t>招标项目名称</w:t>
      </w:r>
      <w:r>
        <w:rPr>
          <w:rFonts w:ascii="宋体" w:hAnsi="宋体"/>
          <w:color w:val="auto"/>
          <w:szCs w:val="21"/>
          <w:u w:val="single"/>
        </w:rPr>
        <w:t>]</w:t>
      </w:r>
      <w:r>
        <w:rPr>
          <w:rFonts w:ascii="宋体" w:hAnsi="宋体"/>
          <w:bCs/>
          <w:color w:val="auto"/>
          <w:szCs w:val="21"/>
          <w:u w:val="single"/>
        </w:rPr>
        <w:t>签署、澄清</w:t>
      </w:r>
      <w:r>
        <w:rPr>
          <w:rFonts w:hint="eastAsia" w:ascii="宋体" w:hAnsi="宋体"/>
          <w:bCs/>
          <w:color w:val="auto"/>
          <w:szCs w:val="21"/>
          <w:u w:val="single"/>
        </w:rPr>
        <w:t>、说明、补正</w:t>
      </w:r>
      <w:r>
        <w:rPr>
          <w:rFonts w:ascii="宋体" w:hAnsi="宋体"/>
          <w:bCs/>
          <w:color w:val="auto"/>
          <w:szCs w:val="21"/>
          <w:u w:val="single"/>
        </w:rPr>
        <w:t>、递交、撤回、修改</w:t>
      </w:r>
      <w:r>
        <w:rPr>
          <w:rFonts w:hint="eastAsia" w:ascii="宋体" w:hAnsi="宋体"/>
          <w:bCs/>
          <w:color w:val="auto"/>
          <w:szCs w:val="21"/>
          <w:u w:val="single"/>
        </w:rPr>
        <w:t>投标</w:t>
      </w:r>
      <w:r>
        <w:rPr>
          <w:rFonts w:ascii="宋体" w:hAnsi="宋体"/>
          <w:bCs/>
          <w:color w:val="auto"/>
          <w:szCs w:val="21"/>
          <w:u w:val="single"/>
        </w:rPr>
        <w:t>文件</w:t>
      </w:r>
      <w:r>
        <w:rPr>
          <w:rFonts w:hint="eastAsia" w:ascii="宋体" w:hAnsi="宋体"/>
          <w:bCs/>
          <w:color w:val="auto"/>
          <w:szCs w:val="21"/>
          <w:u w:val="single"/>
        </w:rPr>
        <w:t>，</w:t>
      </w:r>
      <w:r>
        <w:rPr>
          <w:rFonts w:ascii="宋体" w:hAnsi="宋体"/>
          <w:bCs/>
          <w:color w:val="auto"/>
          <w:szCs w:val="21"/>
          <w:u w:val="single"/>
        </w:rPr>
        <w:t>签订合同和处理</w:t>
      </w:r>
      <w:r>
        <w:rPr>
          <w:rFonts w:hint="eastAsia" w:ascii="宋体" w:hAnsi="宋体"/>
          <w:bCs/>
          <w:color w:val="auto"/>
          <w:szCs w:val="21"/>
          <w:u w:val="single"/>
        </w:rPr>
        <w:t>一切</w:t>
      </w:r>
      <w:r>
        <w:rPr>
          <w:rFonts w:ascii="宋体" w:hAnsi="宋体"/>
          <w:bCs/>
          <w:color w:val="auto"/>
          <w:szCs w:val="21"/>
          <w:u w:val="single"/>
        </w:rPr>
        <w:t>有关事宜</w:t>
      </w:r>
      <w:r>
        <w:rPr>
          <w:rFonts w:ascii="宋体" w:hAnsi="宋体"/>
          <w:bCs/>
          <w:color w:val="auto"/>
          <w:szCs w:val="21"/>
        </w:rPr>
        <w:t xml:space="preserve">，其法律后果由我方承担。 </w:t>
      </w:r>
    </w:p>
    <w:p>
      <w:pPr>
        <w:topLinePunct/>
        <w:snapToGrid w:val="0"/>
        <w:spacing w:line="440" w:lineRule="exact"/>
        <w:ind w:firstLine="420" w:firstLineChars="200"/>
        <w:rPr>
          <w:rFonts w:ascii="宋体" w:hAnsi="宋体"/>
          <w:bCs/>
          <w:color w:val="auto"/>
          <w:szCs w:val="21"/>
        </w:rPr>
      </w:pPr>
      <w:r>
        <w:rPr>
          <w:rFonts w:hint="eastAsia" w:ascii="宋体" w:hAnsi="宋体"/>
          <w:bCs/>
          <w:color w:val="auto"/>
          <w:szCs w:val="21"/>
        </w:rPr>
        <w:t>委托</w:t>
      </w:r>
      <w:r>
        <w:rPr>
          <w:rFonts w:ascii="宋体" w:hAnsi="宋体"/>
          <w:bCs/>
          <w:color w:val="auto"/>
          <w:szCs w:val="21"/>
        </w:rPr>
        <w:t>代理人无转委托权。</w:t>
      </w:r>
    </w:p>
    <w:p>
      <w:pPr>
        <w:spacing w:line="440" w:lineRule="exact"/>
        <w:ind w:firstLine="420" w:firstLineChars="200"/>
        <w:rPr>
          <w:rFonts w:ascii="宋体" w:hAnsi="宋体"/>
          <w:color w:val="auto"/>
          <w:szCs w:val="21"/>
        </w:rPr>
      </w:pPr>
      <w:r>
        <w:rPr>
          <w:rFonts w:hint="eastAsia" w:ascii="宋体" w:hAnsi="宋体"/>
          <w:bCs/>
          <w:color w:val="auto"/>
          <w:szCs w:val="21"/>
        </w:rPr>
        <w:t>附：委托代理人身份证复印件</w:t>
      </w:r>
      <w:r>
        <w:rPr>
          <w:rFonts w:ascii="宋体" w:hAnsi="宋体"/>
          <w:bCs/>
          <w:color w:val="auto"/>
          <w:szCs w:val="21"/>
        </w:rPr>
        <w:t>(需同时提供正面及背面)</w:t>
      </w:r>
    </w:p>
    <w:p>
      <w:pPr>
        <w:topLinePunct/>
        <w:snapToGrid w:val="0"/>
        <w:spacing w:line="440" w:lineRule="exact"/>
        <w:ind w:firstLine="420" w:firstLineChars="200"/>
        <w:jc w:val="right"/>
        <w:rPr>
          <w:rFonts w:ascii="宋体" w:hAnsi="宋体"/>
          <w:bCs/>
          <w:color w:val="auto"/>
          <w:szCs w:val="21"/>
        </w:rPr>
      </w:pPr>
      <w:r>
        <w:rPr>
          <w:rFonts w:ascii="宋体" w:hAnsi="宋体"/>
          <w:bCs/>
          <w:color w:val="auto"/>
          <w:szCs w:val="21"/>
        </w:rPr>
        <w:t xml:space="preserve"> </w:t>
      </w:r>
    </w:p>
    <w:p>
      <w:pPr>
        <w:topLinePunct/>
        <w:snapToGrid w:val="0"/>
        <w:spacing w:line="440" w:lineRule="exact"/>
        <w:ind w:firstLine="420" w:firstLineChars="200"/>
        <w:jc w:val="right"/>
        <w:rPr>
          <w:rFonts w:ascii="宋体" w:hAnsi="宋体"/>
          <w:bCs/>
          <w:color w:val="auto"/>
          <w:szCs w:val="21"/>
        </w:rPr>
      </w:pPr>
      <w:r>
        <w:rPr>
          <w:rFonts w:ascii="宋体" w:hAnsi="宋体"/>
          <w:bCs/>
          <w:color w:val="auto"/>
          <w:szCs w:val="21"/>
        </w:rPr>
        <w:t>投标人</w:t>
      </w:r>
      <w:r>
        <w:rPr>
          <w:rFonts w:hint="eastAsia" w:ascii="宋体" w:hAnsi="宋体"/>
          <w:bCs/>
          <w:color w:val="auto"/>
          <w:szCs w:val="21"/>
        </w:rPr>
        <w:t>名称</w:t>
      </w:r>
      <w:r>
        <w:rPr>
          <w:rFonts w:ascii="宋体" w:hAnsi="宋体"/>
          <w:bCs/>
          <w:color w:val="auto"/>
          <w:szCs w:val="21"/>
        </w:rPr>
        <w:t>：</w:t>
      </w:r>
      <w:r>
        <w:rPr>
          <w:rFonts w:ascii="宋体" w:hAnsi="宋体"/>
          <w:bCs/>
          <w:color w:val="auto"/>
          <w:szCs w:val="21"/>
          <w:u w:val="single"/>
        </w:rPr>
        <w:t xml:space="preserve">                               </w:t>
      </w:r>
      <w:r>
        <w:rPr>
          <w:rFonts w:ascii="宋体" w:hAnsi="宋体"/>
          <w:bCs/>
          <w:color w:val="auto"/>
          <w:szCs w:val="21"/>
        </w:rPr>
        <w:t>（盖单位公章）</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法定代表人</w:t>
      </w:r>
      <w:r>
        <w:rPr>
          <w:rFonts w:hint="eastAsia" w:ascii="宋体" w:hAnsi="宋体"/>
          <w:bCs/>
          <w:color w:val="auto"/>
          <w:szCs w:val="21"/>
        </w:rPr>
        <w:t>（负责人）</w:t>
      </w:r>
      <w:r>
        <w:rPr>
          <w:rFonts w:ascii="宋体" w:hAnsi="宋体"/>
          <w:bCs/>
          <w:color w:val="auto"/>
          <w:szCs w:val="21"/>
        </w:rPr>
        <w:t>：</w:t>
      </w:r>
      <w:r>
        <w:rPr>
          <w:rFonts w:ascii="宋体" w:hAnsi="宋体"/>
          <w:bCs/>
          <w:color w:val="auto"/>
          <w:szCs w:val="21"/>
          <w:u w:val="single"/>
        </w:rPr>
        <w:t xml:space="preserve">                    </w:t>
      </w:r>
      <w:r>
        <w:rPr>
          <w:rFonts w:ascii="宋体" w:hAnsi="宋体"/>
          <w:bCs/>
          <w:color w:val="auto"/>
          <w:szCs w:val="21"/>
        </w:rPr>
        <w:t>（签字</w:t>
      </w:r>
      <w:r>
        <w:rPr>
          <w:rFonts w:hint="eastAsia" w:ascii="宋体" w:hAnsi="宋体"/>
          <w:bCs/>
          <w:color w:val="auto"/>
          <w:szCs w:val="21"/>
        </w:rPr>
        <w:t>或盖章</w:t>
      </w:r>
      <w:r>
        <w:rPr>
          <w:rFonts w:ascii="宋体" w:hAnsi="宋体"/>
          <w:bCs/>
          <w:color w:val="auto"/>
          <w:szCs w:val="21"/>
        </w:rPr>
        <w:t>）</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身份证号码：</w:t>
      </w:r>
      <w:r>
        <w:rPr>
          <w:rFonts w:ascii="宋体" w:hAnsi="宋体"/>
          <w:bCs/>
          <w:color w:val="auto"/>
          <w:szCs w:val="21"/>
          <w:u w:val="single"/>
        </w:rPr>
        <w:t xml:space="preserve">                                </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委托代理人：</w:t>
      </w:r>
      <w:r>
        <w:rPr>
          <w:rFonts w:ascii="宋体" w:hAnsi="宋体"/>
          <w:bCs/>
          <w:color w:val="auto"/>
          <w:szCs w:val="21"/>
          <w:u w:val="single"/>
        </w:rPr>
        <w:t xml:space="preserve">                              </w:t>
      </w:r>
      <w:r>
        <w:rPr>
          <w:rFonts w:ascii="宋体" w:hAnsi="宋体"/>
          <w:bCs/>
          <w:color w:val="auto"/>
          <w:szCs w:val="21"/>
        </w:rPr>
        <w:t>（签字</w:t>
      </w:r>
      <w:r>
        <w:rPr>
          <w:rFonts w:hint="eastAsia" w:ascii="宋体" w:hAnsi="宋体"/>
          <w:bCs/>
          <w:color w:val="auto"/>
          <w:szCs w:val="21"/>
        </w:rPr>
        <w:t>或盖章</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身份证号码：</w:t>
      </w:r>
      <w:r>
        <w:rPr>
          <w:rFonts w:ascii="宋体" w:hAnsi="宋体"/>
          <w:bCs/>
          <w:color w:val="auto"/>
          <w:szCs w:val="21"/>
          <w:u w:val="single"/>
        </w:rPr>
        <w:t xml:space="preserve">                               </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u w:val="single"/>
        </w:rPr>
      </w:pPr>
      <w:r>
        <w:rPr>
          <w:rFonts w:hint="eastAsia" w:ascii="宋体" w:hAnsi="宋体"/>
          <w:bCs/>
          <w:color w:val="auto"/>
          <w:szCs w:val="21"/>
        </w:rPr>
        <w:t>联系方式（手机）：</w:t>
      </w:r>
      <w:r>
        <w:rPr>
          <w:rFonts w:ascii="宋体" w:hAnsi="宋体"/>
          <w:bCs/>
          <w:color w:val="auto"/>
          <w:szCs w:val="21"/>
          <w:u w:val="single"/>
        </w:rPr>
        <w:t xml:space="preserve">                     </w:t>
      </w:r>
    </w:p>
    <w:p>
      <w:pPr>
        <w:topLinePunct/>
        <w:snapToGrid w:val="0"/>
        <w:spacing w:line="440" w:lineRule="exact"/>
        <w:ind w:firstLine="420" w:firstLineChars="200"/>
        <w:rPr>
          <w:rFonts w:ascii="宋体" w:hAnsi="宋体"/>
          <w:color w:val="auto"/>
        </w:rPr>
      </w:pPr>
      <w:r>
        <w:rPr>
          <w:rFonts w:ascii="宋体" w:hAnsi="宋体"/>
          <w:bCs/>
          <w:color w:val="auto"/>
          <w:szCs w:val="21"/>
        </w:rPr>
        <w:t xml:space="preserve">                  </w:t>
      </w:r>
      <w:r>
        <w:rPr>
          <w:rFonts w:hint="eastAsia" w:ascii="宋体" w:hAnsi="宋体"/>
          <w:color w:val="auto"/>
        </w:rPr>
        <w:t>日期：</w:t>
      </w:r>
      <w:r>
        <w:rPr>
          <w:rFonts w:ascii="宋体" w:hAnsi="宋体"/>
          <w:color w:val="auto"/>
        </w:rPr>
        <w:t>XX年XX月XX日</w:t>
      </w:r>
    </w:p>
    <w:p>
      <w:pPr>
        <w:spacing w:line="500" w:lineRule="exact"/>
        <w:rPr>
          <w:rFonts w:ascii="宋体" w:hAnsi="宋体"/>
          <w:color w:val="auto"/>
          <w:szCs w:val="21"/>
        </w:rPr>
      </w:pPr>
      <w:r>
        <w:rPr>
          <w:color w:val="auto"/>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ascii="宋体" w:hAnsi="宋体"/>
          <w:color w:val="auto"/>
          <w:szCs w:val="21"/>
        </w:rPr>
      </w:pPr>
    </w:p>
    <w:p>
      <w:pPr>
        <w:spacing w:line="500" w:lineRule="exact"/>
        <w:rPr>
          <w:rFonts w:ascii="宋体" w:hAnsi="宋体"/>
          <w:color w:val="auto"/>
          <w:szCs w:val="21"/>
        </w:rPr>
      </w:pPr>
    </w:p>
    <w:p>
      <w:pPr>
        <w:spacing w:line="440" w:lineRule="exact"/>
        <w:rPr>
          <w:rFonts w:ascii="宋体" w:hAnsi="宋体"/>
          <w:color w:val="auto"/>
          <w:szCs w:val="21"/>
        </w:rPr>
      </w:pPr>
    </w:p>
    <w:p>
      <w:pPr>
        <w:topLinePunct/>
        <w:snapToGrid w:val="0"/>
        <w:spacing w:line="440" w:lineRule="exact"/>
        <w:rPr>
          <w:rFonts w:ascii="宋体" w:hAnsi="宋体"/>
          <w:color w:val="auto"/>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topLinePunct/>
        <w:spacing w:line="440" w:lineRule="exact"/>
        <w:ind w:left="422"/>
        <w:jc w:val="left"/>
        <w:rPr>
          <w:rFonts w:ascii="宋体" w:hAnsi="宋体"/>
          <w:color w:val="auto"/>
        </w:rPr>
        <w:sectPr>
          <w:pgSz w:w="11906" w:h="16838"/>
          <w:pgMar w:top="1440" w:right="1800" w:bottom="1440" w:left="1800" w:header="851" w:footer="992" w:gutter="0"/>
          <w:cols w:space="425" w:num="1"/>
          <w:docGrid w:type="lines" w:linePitch="312" w:charSpace="0"/>
        </w:sectPr>
      </w:pPr>
    </w:p>
    <w:p>
      <w:pPr>
        <w:pStyle w:val="37"/>
        <w:numPr>
          <w:ilvl w:val="0"/>
          <w:numId w:val="15"/>
        </w:numPr>
        <w:tabs>
          <w:tab w:val="left" w:pos="588"/>
        </w:tabs>
        <w:snapToGrid w:val="0"/>
        <w:spacing w:before="120" w:after="120" w:line="440" w:lineRule="exact"/>
        <w:jc w:val="left"/>
        <w:rPr>
          <w:rFonts w:ascii="宋体" w:hAnsi="宋体"/>
          <w:color w:val="auto"/>
          <w:sz w:val="24"/>
          <w:szCs w:val="24"/>
        </w:rPr>
      </w:pPr>
      <w:bookmarkStart w:id="528" w:name="_Toc2112"/>
      <w:bookmarkStart w:id="529" w:name="_Toc1651901"/>
      <w:bookmarkStart w:id="530" w:name="_Toc56432236"/>
      <w:bookmarkStart w:id="531" w:name="_Toc5595"/>
      <w:bookmarkStart w:id="532" w:name="_Toc30915"/>
      <w:bookmarkStart w:id="533" w:name="_Toc475472676"/>
      <w:r>
        <w:rPr>
          <w:rFonts w:hint="eastAsia" w:ascii="宋体" w:hAnsi="宋体"/>
          <w:color w:val="auto"/>
          <w:sz w:val="24"/>
          <w:szCs w:val="24"/>
        </w:rPr>
        <w:t>资格审查资料</w:t>
      </w:r>
      <w:bookmarkEnd w:id="528"/>
      <w:bookmarkEnd w:id="529"/>
      <w:bookmarkEnd w:id="530"/>
      <w:bookmarkEnd w:id="531"/>
      <w:bookmarkEnd w:id="532"/>
    </w:p>
    <w:p>
      <w:pPr>
        <w:rPr>
          <w:color w:val="auto"/>
        </w:rPr>
      </w:pPr>
      <w:r>
        <w:rPr>
          <w:rFonts w:hint="eastAsia" w:ascii="宋体" w:hAnsi="宋体"/>
          <w:b/>
          <w:color w:val="auto"/>
          <w:szCs w:val="21"/>
        </w:rPr>
        <w:t>注：按照招标公告“</w:t>
      </w:r>
      <w:r>
        <w:rPr>
          <w:rFonts w:ascii="宋体" w:hAnsi="宋体"/>
          <w:b/>
          <w:color w:val="auto"/>
          <w:szCs w:val="21"/>
        </w:rPr>
        <w:t>2.投标人资格要求”资质条件中提到的资格证明文件等相关材料，提供复印件等证明文件。</w:t>
      </w:r>
    </w:p>
    <w:p>
      <w:pPr>
        <w:pStyle w:val="37"/>
        <w:numPr>
          <w:ilvl w:val="1"/>
          <w:numId w:val="15"/>
        </w:numPr>
        <w:tabs>
          <w:tab w:val="left" w:pos="588"/>
        </w:tabs>
        <w:snapToGrid w:val="0"/>
        <w:spacing w:before="120" w:after="120" w:line="440" w:lineRule="exact"/>
        <w:ind w:hanging="992"/>
        <w:jc w:val="left"/>
        <w:rPr>
          <w:rFonts w:ascii="宋体" w:hAnsi="宋体"/>
          <w:color w:val="auto"/>
          <w:sz w:val="24"/>
          <w:szCs w:val="24"/>
        </w:rPr>
      </w:pPr>
      <w:bookmarkStart w:id="534" w:name="_Toc246997116"/>
      <w:bookmarkStart w:id="535" w:name="_Toc326223618"/>
      <w:bookmarkStart w:id="536" w:name="_Toc8601"/>
      <w:bookmarkStart w:id="537" w:name="_Toc332188252"/>
      <w:bookmarkStart w:id="538" w:name="_Toc179632828"/>
      <w:bookmarkStart w:id="539" w:name="_Toc144974876"/>
      <w:bookmarkStart w:id="540" w:name="_Toc946"/>
      <w:bookmarkStart w:id="541" w:name="_Toc246996373"/>
      <w:bookmarkStart w:id="542" w:name="_Toc1651902"/>
      <w:bookmarkStart w:id="543" w:name="_Toc247085891"/>
      <w:bookmarkStart w:id="544" w:name="_Toc152042597"/>
      <w:bookmarkStart w:id="545" w:name="_Toc56432237"/>
      <w:bookmarkStart w:id="546" w:name="_Toc152045808"/>
      <w:bookmarkStart w:id="547" w:name="_Toc10795"/>
      <w:bookmarkStart w:id="548" w:name="_Toc334767003"/>
      <w:r>
        <w:rPr>
          <w:rFonts w:hint="eastAsia" w:ascii="宋体" w:hAnsi="宋体"/>
          <w:color w:val="auto"/>
          <w:sz w:val="24"/>
          <w:szCs w:val="24"/>
        </w:rPr>
        <w:t>投标人</w:t>
      </w:r>
      <w:r>
        <w:rPr>
          <w:rFonts w:ascii="宋体" w:hAnsi="宋体"/>
          <w:color w:val="auto"/>
          <w:sz w:val="24"/>
          <w:szCs w:val="24"/>
        </w:rPr>
        <w:t>基本情况表</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tbl>
      <w:tblPr>
        <w:tblStyle w:val="40"/>
        <w:tblW w:w="8565"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951"/>
        <w:gridCol w:w="840"/>
        <w:gridCol w:w="420"/>
        <w:gridCol w:w="311"/>
        <w:gridCol w:w="1078"/>
        <w:gridCol w:w="490"/>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申请人名称</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网</w:t>
            </w:r>
            <w:r>
              <w:rPr>
                <w:rFonts w:ascii="宋体" w:hAnsi="宋体"/>
                <w:color w:val="auto"/>
                <w:szCs w:val="21"/>
              </w:rPr>
              <w:t xml:space="preserve"> </w:t>
            </w:r>
            <w:r>
              <w:rPr>
                <w:rFonts w:hint="eastAsia" w:ascii="宋体" w:hAnsi="宋体"/>
                <w:color w:val="auto"/>
                <w:szCs w:val="21"/>
              </w:rPr>
              <w:t>址</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组织结构</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法定代表人（负责人）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姓名</w:t>
            </w:r>
          </w:p>
        </w:tc>
        <w:tc>
          <w:tcPr>
            <w:tcW w:w="2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电话</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成立时间</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olor w:val="auto"/>
                <w:szCs w:val="21"/>
              </w:rPr>
            </w:pPr>
            <w:r>
              <w:rPr>
                <w:rFonts w:hint="eastAsia" w:ascii="宋体" w:hAnsi="宋体"/>
                <w:color w:val="auto"/>
                <w:szCs w:val="21"/>
              </w:rPr>
              <w:t>员工人数：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p>
            <w:pPr>
              <w:topLinePunct/>
              <w:spacing w:line="440" w:lineRule="exact"/>
              <w:jc w:val="center"/>
              <w:rPr>
                <w:rFonts w:ascii="宋体" w:hAnsi="宋体"/>
                <w:color w:val="auto"/>
                <w:szCs w:val="21"/>
              </w:rPr>
            </w:pPr>
            <w:r>
              <w:rPr>
                <w:rFonts w:hint="eastAsia" w:ascii="宋体" w:hAnsi="宋体"/>
                <w:color w:val="auto"/>
                <w:szCs w:val="21"/>
              </w:rPr>
              <w:t>统一社会信用代码</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其中</w:t>
            </w: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高级职称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开户银行</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中级职称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账号</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r>
              <w:rPr>
                <w:rFonts w:hint="eastAsia" w:ascii="宋体" w:hAnsi="宋体"/>
                <w:color w:val="auto"/>
                <w:szCs w:val="21"/>
              </w:rPr>
              <w:t>初级职称</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备注</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bl>
    <w:p>
      <w:pPr>
        <w:pStyle w:val="76"/>
        <w:widowControl/>
        <w:ind w:left="425" w:firstLine="0" w:firstLineChars="0"/>
        <w:jc w:val="left"/>
        <w:rPr>
          <w:rFonts w:ascii="宋体" w:hAnsi="宋体"/>
          <w:color w:val="auto"/>
          <w:szCs w:val="21"/>
        </w:rPr>
      </w:pPr>
      <w:r>
        <w:rPr>
          <w:rFonts w:hint="eastAsia" w:ascii="宋体" w:hAnsi="宋体"/>
          <w:color w:val="auto"/>
          <w:szCs w:val="21"/>
        </w:rPr>
        <w:t>以上信息如没有的可以不填写</w:t>
      </w:r>
    </w:p>
    <w:p>
      <w:pPr>
        <w:widowControl/>
        <w:jc w:val="left"/>
        <w:rPr>
          <w:rFonts w:ascii="宋体" w:hAnsi="宋体"/>
          <w:color w:val="auto"/>
          <w:szCs w:val="21"/>
        </w:rPr>
      </w:pPr>
      <w:r>
        <w:rPr>
          <w:rFonts w:ascii="宋体" w:hAnsi="宋体"/>
          <w:color w:val="auto"/>
          <w:szCs w:val="21"/>
        </w:rPr>
        <w:br w:type="page"/>
      </w:r>
    </w:p>
    <w:p>
      <w:pPr>
        <w:pStyle w:val="37"/>
        <w:numPr>
          <w:ilvl w:val="1"/>
          <w:numId w:val="15"/>
        </w:numPr>
        <w:tabs>
          <w:tab w:val="left" w:pos="588"/>
        </w:tabs>
        <w:snapToGrid w:val="0"/>
        <w:spacing w:before="120" w:after="120" w:line="440" w:lineRule="exact"/>
        <w:ind w:hanging="992"/>
        <w:jc w:val="left"/>
        <w:rPr>
          <w:rFonts w:ascii="宋体" w:hAnsi="宋体"/>
          <w:color w:val="auto"/>
          <w:sz w:val="24"/>
          <w:szCs w:val="24"/>
        </w:rPr>
      </w:pPr>
      <w:bookmarkStart w:id="549" w:name="_Toc5638"/>
      <w:bookmarkStart w:id="550" w:name="_Toc5285"/>
      <w:bookmarkStart w:id="551" w:name="_Toc56432238"/>
      <w:bookmarkStart w:id="552" w:name="_Toc8061"/>
      <w:bookmarkStart w:id="553" w:name="_Toc1651903"/>
      <w:bookmarkStart w:id="554" w:name="_Toc34146941"/>
      <w:r>
        <w:rPr>
          <w:rFonts w:hint="eastAsia" w:ascii="宋体" w:hAnsi="宋体"/>
          <w:color w:val="auto"/>
          <w:sz w:val="24"/>
          <w:szCs w:val="24"/>
        </w:rPr>
        <w:t>资格要求材料</w:t>
      </w:r>
      <w:bookmarkEnd w:id="549"/>
      <w:bookmarkEnd w:id="550"/>
      <w:bookmarkEnd w:id="551"/>
      <w:bookmarkEnd w:id="552"/>
    </w:p>
    <w:p>
      <w:pPr>
        <w:spacing w:line="400" w:lineRule="exact"/>
        <w:rPr>
          <w:rFonts w:ascii="宋体" w:hAnsi="宋体"/>
          <w:color w:val="auto"/>
          <w:szCs w:val="21"/>
        </w:rPr>
      </w:pPr>
      <w:r>
        <w:rPr>
          <w:rFonts w:hint="eastAsia" w:ascii="宋体" w:hAnsi="宋体"/>
          <w:color w:val="auto"/>
          <w:szCs w:val="21"/>
        </w:rPr>
        <w:t>注：按照第一章《招标公告》“</w:t>
      </w:r>
      <w:r>
        <w:rPr>
          <w:rFonts w:ascii="宋体" w:hAnsi="宋体"/>
          <w:color w:val="auto"/>
          <w:szCs w:val="21"/>
        </w:rPr>
        <w:t xml:space="preserve">2. </w:t>
      </w:r>
      <w:r>
        <w:rPr>
          <w:rFonts w:hint="eastAsia" w:ascii="宋体" w:hAnsi="宋体"/>
          <w:color w:val="auto"/>
          <w:szCs w:val="21"/>
        </w:rPr>
        <w:t>投标人资格要求”。</w:t>
      </w:r>
    </w:p>
    <w:p>
      <w:pPr>
        <w:pStyle w:val="76"/>
        <w:adjustRightInd w:val="0"/>
        <w:snapToGrid w:val="0"/>
        <w:spacing w:line="440" w:lineRule="exact"/>
        <w:rPr>
          <w:rFonts w:ascii="宋体" w:hAnsi="宋体"/>
          <w:color w:val="auto"/>
          <w:szCs w:val="21"/>
        </w:rPr>
      </w:pPr>
      <w:r>
        <w:rPr>
          <w:rFonts w:ascii="宋体" w:hAnsi="宋体"/>
          <w:color w:val="auto"/>
          <w:szCs w:val="21"/>
        </w:rPr>
        <w:t>1、投标人须在中华人民共和国境内注册的具有独立承担民事责任能力的法人或其他组织，提供营业执照或事业法人证书（分公司投标须得到总公司授权，同时提供总公司营业执照及盖章授权函）；</w:t>
      </w:r>
    </w:p>
    <w:p>
      <w:pPr>
        <w:pStyle w:val="76"/>
        <w:adjustRightInd w:val="0"/>
        <w:snapToGrid w:val="0"/>
        <w:spacing w:line="440" w:lineRule="exact"/>
        <w:rPr>
          <w:rFonts w:ascii="宋体" w:hAnsi="宋体"/>
          <w:color w:val="auto"/>
          <w:szCs w:val="21"/>
        </w:rPr>
      </w:pPr>
    </w:p>
    <w:p>
      <w:pPr>
        <w:pStyle w:val="76"/>
        <w:adjustRightInd w:val="0"/>
        <w:snapToGrid w:val="0"/>
        <w:spacing w:line="440" w:lineRule="exact"/>
        <w:rPr>
          <w:rFonts w:ascii="宋体" w:hAnsi="宋体"/>
          <w:color w:val="auto"/>
          <w:szCs w:val="21"/>
        </w:rPr>
      </w:pPr>
    </w:p>
    <w:p>
      <w:pPr>
        <w:pStyle w:val="76"/>
        <w:adjustRightInd w:val="0"/>
        <w:snapToGrid w:val="0"/>
        <w:spacing w:line="440" w:lineRule="exact"/>
        <w:rPr>
          <w:rFonts w:ascii="宋体" w:hAnsi="宋体"/>
          <w:color w:val="auto"/>
          <w:szCs w:val="21"/>
        </w:rPr>
      </w:pPr>
      <w:r>
        <w:rPr>
          <w:rFonts w:ascii="宋体" w:hAnsi="宋体"/>
          <w:color w:val="auto"/>
          <w:szCs w:val="21"/>
        </w:rPr>
        <w:t>2、投标人在“信用中国”网站（www.creditchina.gov.cn）、中国政府采购网（www.ccgp.gov.cn）没有被列入失信被执行人、重大税收违法失信主体、政府采购严重违法失信行为记录名单（</w:t>
      </w:r>
      <w:r>
        <w:rPr>
          <w:rFonts w:hint="eastAsia" w:ascii="宋体" w:hAnsi="宋体"/>
          <w:color w:val="auto"/>
          <w:szCs w:val="21"/>
        </w:rPr>
        <w:t>投标人需提供查询截图</w:t>
      </w:r>
      <w:r>
        <w:rPr>
          <w:rFonts w:ascii="宋体" w:hAnsi="宋体"/>
          <w:color w:val="auto"/>
          <w:szCs w:val="21"/>
        </w:rPr>
        <w:t>）；</w:t>
      </w:r>
    </w:p>
    <w:p>
      <w:pPr>
        <w:pStyle w:val="76"/>
        <w:adjustRightInd w:val="0"/>
        <w:snapToGrid w:val="0"/>
        <w:spacing w:line="440" w:lineRule="exact"/>
        <w:rPr>
          <w:rFonts w:ascii="宋体" w:hAnsi="宋体"/>
          <w:color w:val="auto"/>
          <w:szCs w:val="21"/>
        </w:rPr>
      </w:pPr>
    </w:p>
    <w:p>
      <w:pPr>
        <w:pStyle w:val="76"/>
        <w:adjustRightInd w:val="0"/>
        <w:snapToGrid w:val="0"/>
        <w:spacing w:line="440" w:lineRule="exact"/>
        <w:rPr>
          <w:rFonts w:ascii="宋体" w:hAnsi="宋体"/>
          <w:color w:val="auto"/>
          <w:szCs w:val="21"/>
        </w:rPr>
      </w:pPr>
      <w:r>
        <w:rPr>
          <w:rFonts w:ascii="宋体" w:hAnsi="宋体"/>
          <w:color w:val="auto"/>
          <w:szCs w:val="21"/>
        </w:rPr>
        <w:t>3、单位负责人为同一人或者存在直接控股、管理关系的不同供应商，不得参加同一合同项下的招标活动，以《</w:t>
      </w:r>
      <w:r>
        <w:rPr>
          <w:rFonts w:hint="eastAsia" w:ascii="宋体" w:hAnsi="宋体"/>
          <w:color w:val="auto"/>
          <w:szCs w:val="21"/>
        </w:rPr>
        <w:t>投标人控股及管理关系情况申报表</w:t>
      </w:r>
      <w:r>
        <w:rPr>
          <w:rFonts w:ascii="宋体" w:hAnsi="宋体"/>
          <w:color w:val="auto"/>
          <w:szCs w:val="21"/>
        </w:rPr>
        <w:t>》填报的内容进行评审；</w:t>
      </w:r>
    </w:p>
    <w:p>
      <w:pPr>
        <w:pStyle w:val="76"/>
        <w:adjustRightInd w:val="0"/>
        <w:snapToGrid w:val="0"/>
        <w:spacing w:line="440" w:lineRule="exact"/>
        <w:rPr>
          <w:rFonts w:ascii="宋体" w:hAnsi="宋体"/>
          <w:color w:val="auto"/>
          <w:szCs w:val="21"/>
        </w:rPr>
      </w:pPr>
    </w:p>
    <w:p>
      <w:pPr>
        <w:pStyle w:val="76"/>
        <w:adjustRightInd w:val="0"/>
        <w:snapToGrid w:val="0"/>
        <w:spacing w:line="440" w:lineRule="exact"/>
        <w:rPr>
          <w:rFonts w:ascii="宋体" w:hAnsi="宋体"/>
          <w:color w:val="auto"/>
          <w:szCs w:val="21"/>
        </w:rPr>
      </w:pPr>
      <w:r>
        <w:rPr>
          <w:rFonts w:hint="eastAsia" w:ascii="宋体" w:hAnsi="宋体"/>
          <w:color w:val="auto"/>
          <w:szCs w:val="21"/>
        </w:rPr>
        <w:t>4、</w:t>
      </w:r>
      <w:r>
        <w:rPr>
          <w:rFonts w:ascii="宋体" w:hAnsi="宋体"/>
          <w:color w:val="auto"/>
          <w:szCs w:val="21"/>
        </w:rPr>
        <w:t>联合体情况：我司为非联合体投标。</w:t>
      </w:r>
    </w:p>
    <w:p>
      <w:pPr>
        <w:pStyle w:val="76"/>
        <w:adjustRightInd w:val="0"/>
        <w:snapToGrid w:val="0"/>
        <w:spacing w:line="440" w:lineRule="exact"/>
        <w:ind w:firstLine="0" w:firstLineChars="0"/>
        <w:rPr>
          <w:rFonts w:ascii="宋体" w:hAnsi="宋体"/>
          <w:color w:val="auto"/>
          <w:szCs w:val="21"/>
        </w:rPr>
      </w:pPr>
    </w:p>
    <w:p>
      <w:pPr>
        <w:pStyle w:val="76"/>
        <w:adjustRightInd w:val="0"/>
        <w:snapToGrid w:val="0"/>
        <w:spacing w:line="440" w:lineRule="exact"/>
        <w:ind w:firstLine="0" w:firstLineChars="0"/>
        <w:rPr>
          <w:rFonts w:ascii="宋体" w:hAnsi="宋体"/>
          <w:color w:val="auto"/>
          <w:szCs w:val="21"/>
        </w:rPr>
      </w:pPr>
    </w:p>
    <w:p>
      <w:pPr>
        <w:spacing w:line="400" w:lineRule="exact"/>
        <w:rPr>
          <w:rFonts w:ascii="宋体" w:hAnsi="宋体"/>
          <w:color w:val="auto"/>
          <w:szCs w:val="21"/>
        </w:rPr>
      </w:pPr>
    </w:p>
    <w:p>
      <w:pPr>
        <w:widowControl/>
        <w:jc w:val="left"/>
        <w:rPr>
          <w:rFonts w:ascii="宋体" w:hAnsi="宋体"/>
          <w:b/>
          <w:bCs/>
          <w:color w:val="auto"/>
          <w:sz w:val="24"/>
        </w:rPr>
      </w:pPr>
      <w:bookmarkStart w:id="555" w:name="_Toc56432239"/>
      <w:r>
        <w:rPr>
          <w:rFonts w:ascii="宋体" w:hAnsi="宋体"/>
          <w:color w:val="auto"/>
          <w:sz w:val="24"/>
        </w:rPr>
        <w:br w:type="page"/>
      </w:r>
    </w:p>
    <w:p>
      <w:pPr>
        <w:pStyle w:val="37"/>
        <w:numPr>
          <w:ilvl w:val="1"/>
          <w:numId w:val="15"/>
        </w:numPr>
        <w:tabs>
          <w:tab w:val="left" w:pos="588"/>
        </w:tabs>
        <w:snapToGrid w:val="0"/>
        <w:spacing w:before="120" w:after="120" w:line="440" w:lineRule="exact"/>
        <w:ind w:hanging="992"/>
        <w:jc w:val="left"/>
        <w:rPr>
          <w:rFonts w:ascii="宋体" w:hAnsi="宋体"/>
          <w:color w:val="auto"/>
          <w:sz w:val="24"/>
          <w:szCs w:val="24"/>
        </w:rPr>
      </w:pPr>
      <w:bookmarkStart w:id="556" w:name="_Toc685"/>
      <w:bookmarkStart w:id="557" w:name="_Toc10886"/>
      <w:bookmarkStart w:id="558" w:name="_Toc8068"/>
      <w:r>
        <w:rPr>
          <w:rFonts w:hint="eastAsia" w:ascii="宋体" w:hAnsi="宋体"/>
          <w:color w:val="auto"/>
          <w:sz w:val="24"/>
          <w:szCs w:val="24"/>
        </w:rPr>
        <w:t>关于资格的声明函</w:t>
      </w:r>
      <w:bookmarkEnd w:id="555"/>
      <w:bookmarkEnd w:id="556"/>
      <w:bookmarkEnd w:id="557"/>
      <w:bookmarkEnd w:id="558"/>
    </w:p>
    <w:p>
      <w:pPr>
        <w:shd w:val="clear" w:color="auto" w:fill="FFFFFF" w:themeFill="background1"/>
        <w:spacing w:line="480" w:lineRule="exact"/>
        <w:jc w:val="center"/>
        <w:rPr>
          <w:color w:val="auto"/>
          <w:sz w:val="24"/>
        </w:rPr>
      </w:pPr>
      <w:r>
        <w:rPr>
          <w:rFonts w:hint="eastAsia"/>
          <w:b/>
          <w:color w:val="auto"/>
          <w:sz w:val="24"/>
        </w:rPr>
        <w:t>资格声明函</w:t>
      </w:r>
    </w:p>
    <w:p>
      <w:pPr>
        <w:shd w:val="clear" w:color="auto" w:fill="FFFFFF" w:themeFill="background1"/>
        <w:spacing w:line="360" w:lineRule="auto"/>
        <w:rPr>
          <w:rFonts w:ascii="宋体" w:hAnsi="宋体"/>
          <w:b/>
          <w:bCs/>
          <w:color w:val="auto"/>
          <w:szCs w:val="21"/>
        </w:rPr>
      </w:pPr>
      <w:r>
        <w:rPr>
          <w:rFonts w:hint="eastAsia" w:ascii="宋体" w:hAnsi="宋体"/>
          <w:b/>
          <w:bCs/>
          <w:color w:val="auto"/>
          <w:szCs w:val="21"/>
          <w:lang w:eastAsia="zh-CN"/>
        </w:rPr>
        <w:t>广东南都娱乐传媒股份有限公司</w:t>
      </w:r>
      <w:r>
        <w:rPr>
          <w:rFonts w:hint="eastAsia" w:ascii="宋体" w:hAnsi="宋体"/>
          <w:b/>
          <w:bCs/>
          <w:color w:val="auto"/>
          <w:szCs w:val="21"/>
        </w:rPr>
        <w:t>、广东省南方文化产权交易所股份有限公司：</w:t>
      </w:r>
    </w:p>
    <w:p>
      <w:pPr>
        <w:shd w:val="clear" w:color="auto" w:fill="FFFFFF" w:themeFill="background1"/>
        <w:spacing w:line="360" w:lineRule="auto"/>
        <w:ind w:firstLine="540"/>
        <w:rPr>
          <w:rFonts w:ascii="宋体" w:hAnsi="宋体"/>
          <w:color w:val="auto"/>
          <w:szCs w:val="21"/>
        </w:rPr>
      </w:pPr>
      <w:r>
        <w:rPr>
          <w:rFonts w:hint="eastAsia" w:ascii="宋体" w:hAnsi="宋体"/>
          <w:color w:val="auto"/>
          <w:szCs w:val="21"/>
        </w:rPr>
        <w:t>我方愿响应你方</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日的（招标代理编号：</w:t>
      </w:r>
      <w:r>
        <w:rPr>
          <w:rFonts w:ascii="宋体" w:hAnsi="宋体"/>
          <w:color w:val="auto"/>
          <w:szCs w:val="21"/>
          <w:u w:val="single"/>
        </w:rPr>
        <w:t xml:space="preserve"> </w:t>
      </w:r>
      <w:r>
        <w:rPr>
          <w:rFonts w:hint="eastAsia" w:ascii="宋体" w:hAnsi="宋体"/>
          <w:color w:val="auto"/>
          <w:szCs w:val="21"/>
          <w:u w:val="single"/>
          <w:lang w:eastAsia="zh-CN"/>
        </w:rPr>
        <w:t>WJS-202301130002</w:t>
      </w:r>
      <w:r>
        <w:rPr>
          <w:rFonts w:hint="eastAsia" w:ascii="宋体" w:hAnsi="宋体"/>
          <w:color w:val="auto"/>
          <w:szCs w:val="21"/>
        </w:rPr>
        <w:t>）报价邀请，参与报价，提供招标人需求中规定的货物或服务，并按采购文件要求提交所附资格文件且声明和保证如下：</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我方为本次报价所提交的所有证明其合格和资格的文件是真实的和正确的，并愿为其真实性和正确性承担法律责任；</w:t>
      </w:r>
    </w:p>
    <w:p>
      <w:pPr>
        <w:widowControl/>
        <w:numPr>
          <w:ilvl w:val="0"/>
          <w:numId w:val="18"/>
        </w:numPr>
        <w:shd w:val="clear" w:color="auto" w:fill="FFFFFF" w:themeFill="background1"/>
        <w:spacing w:line="360" w:lineRule="auto"/>
        <w:jc w:val="left"/>
        <w:rPr>
          <w:rFonts w:ascii="宋体" w:hAnsi="宋体"/>
          <w:color w:val="auto"/>
          <w:szCs w:val="21"/>
        </w:rPr>
      </w:pPr>
      <w:r>
        <w:rPr>
          <w:rFonts w:hint="eastAsia" w:ascii="宋体" w:hAnsi="宋体"/>
          <w:color w:val="auto"/>
          <w:szCs w:val="21"/>
        </w:rPr>
        <w:t>我方为中华人民共和国境内的合法经营主体，具有独立的民事行为能力；具有良好的商业信誉和健全的财务会计制度；我方具备履行合同所必需的专业技术能力。</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企业）具备招标公告中规定的资格条件，并已清楚采购文件的要求及有关文件规定，并承诺在本次招标采购活动中，如有违法、违规、弄虚作假行为，所造成的损失、不良后果及法律责任，一律由我方（企业）承担。</w:t>
      </w:r>
    </w:p>
    <w:p>
      <w:pPr>
        <w:widowControl/>
        <w:numPr>
          <w:ilvl w:val="0"/>
          <w:numId w:val="18"/>
        </w:numPr>
        <w:shd w:val="clear" w:color="auto" w:fill="FFFFFF" w:themeFill="background1"/>
        <w:spacing w:line="360" w:lineRule="auto"/>
        <w:jc w:val="left"/>
        <w:rPr>
          <w:rFonts w:ascii="宋体" w:hAnsi="宋体"/>
          <w:color w:val="auto"/>
          <w:szCs w:val="21"/>
        </w:rPr>
      </w:pPr>
      <w:r>
        <w:rPr>
          <w:rFonts w:hint="eastAsia" w:ascii="宋体" w:hAnsi="宋体"/>
          <w:color w:val="auto"/>
          <w:szCs w:val="21"/>
        </w:rPr>
        <w:t>我方是依法注册的法人，在法律上、财务上和运作上完全独立于</w:t>
      </w:r>
      <w:r>
        <w:rPr>
          <w:rFonts w:hint="eastAsia" w:ascii="宋体" w:hAnsi="宋体"/>
          <w:color w:val="auto"/>
          <w:szCs w:val="21"/>
          <w:u w:val="single"/>
          <w:lang w:eastAsia="zh-CN"/>
        </w:rPr>
        <w:t>广东南都娱乐传媒股份有限公司</w:t>
      </w:r>
      <w:r>
        <w:rPr>
          <w:rFonts w:ascii="宋体" w:hAnsi="宋体"/>
          <w:color w:val="auto"/>
          <w:szCs w:val="21"/>
          <w:u w:val="single"/>
        </w:rPr>
        <w:t xml:space="preserve">   </w:t>
      </w:r>
      <w:r>
        <w:rPr>
          <w:rFonts w:hint="eastAsia" w:ascii="宋体" w:hAnsi="宋体"/>
          <w:color w:val="auto"/>
          <w:szCs w:val="21"/>
        </w:rPr>
        <w:t>（招标人）及</w:t>
      </w:r>
      <w:r>
        <w:rPr>
          <w:rFonts w:hint="eastAsia" w:ascii="宋体" w:hAnsi="宋体"/>
          <w:color w:val="auto"/>
          <w:szCs w:val="21"/>
          <w:u w:val="single"/>
        </w:rPr>
        <w:t>广东省南方文化产权交易所股份有限公司</w:t>
      </w:r>
      <w:r>
        <w:rPr>
          <w:rFonts w:hint="eastAsia" w:ascii="宋体" w:hAnsi="宋体"/>
          <w:color w:val="auto"/>
          <w:szCs w:val="21"/>
        </w:rPr>
        <w:t>（采购代理机构）。</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我方非联合体参与本项目投标。</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我方在参加本次投标前</w:t>
      </w:r>
      <w:r>
        <w:rPr>
          <w:rFonts w:ascii="宋体" w:hAnsi="宋体"/>
          <w:color w:val="auto"/>
          <w:szCs w:val="21"/>
        </w:rPr>
        <w:t>3年内，在经营活动及参与采购活动中没有重大违法活动及涉嫌违规行为，并没有因而被有关部门警告或处分的记录。</w:t>
      </w:r>
    </w:p>
    <w:p>
      <w:pPr>
        <w:widowControl/>
        <w:shd w:val="clear" w:color="auto" w:fill="FFFFFF" w:themeFill="background1"/>
        <w:spacing w:line="360" w:lineRule="auto"/>
        <w:ind w:left="368" w:firstLine="420" w:firstLineChars="200"/>
        <w:jc w:val="left"/>
        <w:rPr>
          <w:rFonts w:ascii="宋体" w:hAnsi="宋体"/>
          <w:color w:val="auto"/>
          <w:szCs w:val="21"/>
        </w:rPr>
      </w:pPr>
      <w:r>
        <w:rPr>
          <w:rFonts w:hint="eastAsia" w:ascii="宋体" w:hAnsi="宋体"/>
          <w:color w:val="auto"/>
          <w:szCs w:val="21"/>
        </w:rPr>
        <w:t>特此声明！</w:t>
      </w:r>
    </w:p>
    <w:p>
      <w:pPr>
        <w:shd w:val="clear" w:color="auto" w:fill="FFFFFF" w:themeFill="background1"/>
        <w:spacing w:line="480" w:lineRule="auto"/>
        <w:ind w:left="-2" w:leftChars="-1" w:firstLine="616" w:firstLineChars="257"/>
        <w:rPr>
          <w:rFonts w:ascii="宋体" w:hAnsi="宋体"/>
          <w:color w:val="auto"/>
          <w:sz w:val="24"/>
        </w:rPr>
      </w:pPr>
    </w:p>
    <w:p>
      <w:pPr>
        <w:shd w:val="clear" w:color="auto" w:fill="FFFFFF" w:themeFill="background1"/>
        <w:spacing w:line="360" w:lineRule="auto"/>
        <w:jc w:val="right"/>
        <w:rPr>
          <w:rFonts w:ascii="宋体" w:hAnsi="宋体"/>
          <w:color w:val="auto"/>
          <w:szCs w:val="21"/>
        </w:rPr>
      </w:pPr>
      <w:r>
        <w:rPr>
          <w:rFonts w:hint="eastAsia" w:ascii="宋体" w:hAnsi="宋体"/>
          <w:color w:val="auto"/>
          <w:szCs w:val="21"/>
        </w:rPr>
        <w:t>投标人名称（加盖公章）</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w:t>
      </w:r>
    </w:p>
    <w:p>
      <w:pPr>
        <w:shd w:val="clear" w:color="auto" w:fill="FFFFFF" w:themeFill="background1"/>
        <w:spacing w:line="360" w:lineRule="auto"/>
        <w:jc w:val="right"/>
        <w:rPr>
          <w:rFonts w:ascii="宋体" w:hAnsi="宋体"/>
          <w:color w:val="auto"/>
          <w:szCs w:val="21"/>
          <w:u w:val="single"/>
        </w:rPr>
      </w:pPr>
      <w:r>
        <w:rPr>
          <w:rFonts w:hint="eastAsia" w:ascii="宋体" w:hAnsi="宋体"/>
          <w:color w:val="auto"/>
          <w:szCs w:val="21"/>
        </w:rPr>
        <w:t>法定代表或其授权代表</w:t>
      </w:r>
      <w:r>
        <w:rPr>
          <w:rFonts w:ascii="宋体" w:hAnsi="宋体"/>
          <w:color w:val="auto"/>
          <w:szCs w:val="21"/>
        </w:rPr>
        <w:t>(签字或盖章)：</w:t>
      </w:r>
      <w:r>
        <w:rPr>
          <w:rFonts w:ascii="宋体" w:hAnsi="宋体"/>
          <w:color w:val="auto"/>
          <w:szCs w:val="21"/>
          <w:u w:val="single"/>
        </w:rPr>
        <w:t xml:space="preserve">              </w:t>
      </w:r>
      <w:r>
        <w:rPr>
          <w:rFonts w:ascii="宋体" w:hAnsi="宋体"/>
          <w:color w:val="auto"/>
          <w:szCs w:val="21"/>
        </w:rPr>
        <w:t>.</w:t>
      </w:r>
    </w:p>
    <w:p>
      <w:pPr>
        <w:shd w:val="clear" w:color="auto" w:fill="FFFFFF" w:themeFill="background1"/>
        <w:jc w:val="right"/>
        <w:rPr>
          <w:color w:val="auto"/>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   月   日</w:t>
      </w:r>
    </w:p>
    <w:p>
      <w:pPr>
        <w:widowControl/>
        <w:jc w:val="left"/>
        <w:rPr>
          <w:color w:val="auto"/>
        </w:rPr>
      </w:pPr>
      <w:r>
        <w:rPr>
          <w:color w:val="auto"/>
        </w:rPr>
        <w:br w:type="page"/>
      </w:r>
    </w:p>
    <w:p>
      <w:pPr>
        <w:rPr>
          <w:color w:val="auto"/>
        </w:rPr>
      </w:pPr>
    </w:p>
    <w:p>
      <w:pPr>
        <w:pStyle w:val="37"/>
        <w:numPr>
          <w:ilvl w:val="1"/>
          <w:numId w:val="15"/>
        </w:numPr>
        <w:tabs>
          <w:tab w:val="left" w:pos="588"/>
        </w:tabs>
        <w:snapToGrid w:val="0"/>
        <w:spacing w:before="120" w:after="120" w:line="440" w:lineRule="exact"/>
        <w:ind w:hanging="992"/>
        <w:jc w:val="left"/>
        <w:rPr>
          <w:rFonts w:ascii="宋体" w:hAnsi="宋体"/>
          <w:color w:val="auto"/>
          <w:sz w:val="24"/>
          <w:szCs w:val="24"/>
        </w:rPr>
      </w:pPr>
      <w:bookmarkStart w:id="559" w:name="_Toc5565"/>
      <w:bookmarkStart w:id="560" w:name="_Toc1421"/>
      <w:bookmarkStart w:id="561" w:name="_Toc29084"/>
      <w:bookmarkStart w:id="562" w:name="_Toc56432240"/>
      <w:r>
        <w:rPr>
          <w:rFonts w:hint="eastAsia" w:ascii="宋体" w:hAnsi="宋体"/>
          <w:color w:val="auto"/>
          <w:sz w:val="24"/>
          <w:szCs w:val="24"/>
        </w:rPr>
        <w:t>投标人控股及管理关系情况申报表</w:t>
      </w:r>
      <w:bookmarkEnd w:id="553"/>
      <w:bookmarkEnd w:id="554"/>
      <w:bookmarkEnd w:id="559"/>
      <w:bookmarkEnd w:id="560"/>
      <w:bookmarkEnd w:id="561"/>
      <w:bookmarkEnd w:id="562"/>
    </w:p>
    <w:p>
      <w:pPr>
        <w:spacing w:line="360" w:lineRule="auto"/>
        <w:rPr>
          <w:rFonts w:ascii="宋体" w:hAnsi="宋体"/>
          <w:color w:val="auto"/>
          <w:szCs w:val="21"/>
        </w:rPr>
      </w:pPr>
      <w:r>
        <w:rPr>
          <w:rFonts w:ascii="宋体" w:hAnsi="宋体"/>
          <w:color w:val="auto"/>
          <w:szCs w:val="21"/>
          <w:u w:val="single"/>
        </w:rPr>
        <w:t xml:space="preserve">致：            </w:t>
      </w:r>
      <w:r>
        <w:rPr>
          <w:rFonts w:hint="eastAsia" w:ascii="宋体" w:hAnsi="宋体"/>
          <w:color w:val="auto"/>
          <w:szCs w:val="21"/>
        </w:rPr>
        <w:t>（招标人名称）：</w:t>
      </w:r>
    </w:p>
    <w:p>
      <w:pPr>
        <w:spacing w:line="440" w:lineRule="exact"/>
        <w:ind w:firstLine="420" w:firstLineChars="200"/>
        <w:rPr>
          <w:color w:val="auto"/>
        </w:rPr>
      </w:pPr>
      <w:r>
        <w:rPr>
          <w:rFonts w:hint="eastAsia"/>
          <w:color w:val="auto"/>
        </w:rPr>
        <w:t>我方参加</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的投标，根据法律法规维护采购公正性的相关规定，特就本单位控股及管理关系情况申报如下，并承担申报不实的责任。</w:t>
      </w:r>
    </w:p>
    <w:tbl>
      <w:tblPr>
        <w:tblStyle w:val="40"/>
        <w:tblW w:w="8315"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2245"/>
        <w:gridCol w:w="36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color w:val="auto"/>
                <w:szCs w:val="21"/>
              </w:rPr>
            </w:pPr>
            <w:r>
              <w:rPr>
                <w:rFonts w:hint="eastAsia" w:ascii="宋体" w:hAnsi="宋体"/>
                <w:color w:val="auto"/>
                <w:szCs w:val="21"/>
              </w:rPr>
              <w:t>申报人名称</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color w:val="auto"/>
                <w:szCs w:val="21"/>
              </w:rPr>
            </w:pPr>
            <w:r>
              <w:rPr>
                <w:rFonts w:hint="eastAsia" w:ascii="宋体" w:hAnsi="宋体"/>
                <w:color w:val="auto"/>
                <w:szCs w:val="21"/>
              </w:rPr>
              <w:t>法定代表人</w:t>
            </w:r>
            <w:r>
              <w:rPr>
                <w:rFonts w:ascii="宋体" w:hAnsi="宋体"/>
                <w:color w:val="auto"/>
                <w:szCs w:val="21"/>
              </w:rPr>
              <w:t>/单位负责人</w:t>
            </w:r>
          </w:p>
        </w:tc>
        <w:tc>
          <w:tcPr>
            <w:tcW w:w="2245" w:type="dxa"/>
            <w:vAlign w:val="center"/>
          </w:tcPr>
          <w:p>
            <w:pPr>
              <w:spacing w:line="360" w:lineRule="auto"/>
              <w:rPr>
                <w:rFonts w:ascii="宋体" w:hAns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ascii="宋体" w:hAnsi="宋体"/>
                <w:color w:val="auto"/>
                <w:szCs w:val="21"/>
              </w:rPr>
            </w:pPr>
          </w:p>
        </w:tc>
        <w:tc>
          <w:tcPr>
            <w:tcW w:w="2245" w:type="dxa"/>
            <w:vAlign w:val="center"/>
          </w:tcPr>
          <w:p>
            <w:pPr>
              <w:spacing w:line="360" w:lineRule="auto"/>
              <w:rPr>
                <w:rFonts w:ascii="宋体" w:hAnsi="宋体"/>
                <w:color w:val="auto"/>
                <w:szCs w:val="21"/>
              </w:rPr>
            </w:pPr>
            <w:r>
              <w:rPr>
                <w:rFonts w:hint="eastAsia" w:ascii="宋体" w:hAnsi="宋体"/>
                <w:color w:val="auto"/>
                <w:szCs w:val="21"/>
              </w:rPr>
              <w:t>身份证号</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color w:val="auto"/>
                <w:szCs w:val="21"/>
              </w:rPr>
            </w:pPr>
            <w:r>
              <w:rPr>
                <w:rFonts w:hint="eastAsia" w:ascii="宋体" w:hAnsi="宋体"/>
                <w:color w:val="auto"/>
                <w:szCs w:val="21"/>
              </w:rPr>
              <w:t>控股股东</w:t>
            </w:r>
            <w:r>
              <w:rPr>
                <w:rFonts w:ascii="宋体" w:hAnsi="宋体"/>
                <w:color w:val="auto"/>
                <w:szCs w:val="21"/>
              </w:rPr>
              <w:t>/投资人名称</w:t>
            </w:r>
          </w:p>
          <w:p>
            <w:pPr>
              <w:spacing w:line="360" w:lineRule="auto"/>
              <w:rPr>
                <w:rFonts w:ascii="宋体" w:hAnsi="宋体"/>
                <w:color w:val="auto"/>
                <w:szCs w:val="21"/>
              </w:rPr>
            </w:pPr>
            <w:r>
              <w:rPr>
                <w:rFonts w:hint="eastAsia" w:ascii="宋体" w:hAnsi="宋体"/>
                <w:color w:val="auto"/>
                <w:szCs w:val="21"/>
              </w:rPr>
              <w:t>及出资比例</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color w:val="auto"/>
                <w:szCs w:val="21"/>
              </w:rPr>
            </w:pPr>
            <w:r>
              <w:rPr>
                <w:rFonts w:hint="eastAsia" w:ascii="宋体" w:hAnsi="宋体"/>
                <w:color w:val="auto"/>
                <w:szCs w:val="21"/>
              </w:rPr>
              <w:t>非控股股东</w:t>
            </w:r>
            <w:r>
              <w:rPr>
                <w:rFonts w:ascii="宋体" w:hAnsi="宋体"/>
                <w:color w:val="auto"/>
                <w:szCs w:val="21"/>
              </w:rPr>
              <w:t>/投资人名称</w:t>
            </w:r>
          </w:p>
          <w:p>
            <w:pPr>
              <w:spacing w:line="360" w:lineRule="auto"/>
              <w:rPr>
                <w:rFonts w:ascii="宋体" w:hAnsi="宋体"/>
                <w:color w:val="auto"/>
                <w:szCs w:val="21"/>
              </w:rPr>
            </w:pPr>
            <w:r>
              <w:rPr>
                <w:rFonts w:hint="eastAsia" w:ascii="宋体" w:hAnsi="宋体"/>
                <w:color w:val="auto"/>
                <w:szCs w:val="21"/>
              </w:rPr>
              <w:t>及出资比例</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color w:val="auto"/>
                <w:szCs w:val="21"/>
              </w:rPr>
            </w:pPr>
            <w:r>
              <w:rPr>
                <w:rFonts w:hint="eastAsia" w:ascii="宋体" w:hAnsi="宋体"/>
                <w:color w:val="auto"/>
                <w:szCs w:val="21"/>
              </w:rPr>
              <w:t>管理关系单位名称</w:t>
            </w:r>
          </w:p>
        </w:tc>
        <w:tc>
          <w:tcPr>
            <w:tcW w:w="2245" w:type="dxa"/>
            <w:vAlign w:val="center"/>
          </w:tcPr>
          <w:p>
            <w:pPr>
              <w:spacing w:line="360" w:lineRule="auto"/>
              <w:rPr>
                <w:rFonts w:ascii="宋体" w:hAnsi="宋体"/>
                <w:color w:val="auto"/>
                <w:szCs w:val="21"/>
              </w:rPr>
            </w:pPr>
            <w:r>
              <w:rPr>
                <w:rFonts w:hint="eastAsia" w:ascii="宋体" w:hAnsi="宋体"/>
                <w:color w:val="auto"/>
                <w:szCs w:val="21"/>
              </w:rPr>
              <w:t>管理关系单位名称</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ascii="宋体" w:hAnsi="宋体"/>
                <w:color w:val="auto"/>
                <w:szCs w:val="21"/>
              </w:rPr>
            </w:pPr>
          </w:p>
        </w:tc>
        <w:tc>
          <w:tcPr>
            <w:tcW w:w="2245" w:type="dxa"/>
            <w:vAlign w:val="center"/>
          </w:tcPr>
          <w:p>
            <w:pPr>
              <w:spacing w:line="360" w:lineRule="auto"/>
              <w:rPr>
                <w:rFonts w:ascii="宋体" w:hAnsi="宋体"/>
                <w:color w:val="auto"/>
                <w:szCs w:val="21"/>
              </w:rPr>
            </w:pPr>
            <w:r>
              <w:rPr>
                <w:rFonts w:hint="eastAsia" w:ascii="宋体" w:hAnsi="宋体"/>
                <w:color w:val="auto"/>
                <w:szCs w:val="21"/>
              </w:rPr>
              <w:t>被管理关系单位名称</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8315" w:type="dxa"/>
            <w:gridSpan w:val="3"/>
            <w:vAlign w:val="center"/>
          </w:tcPr>
          <w:p>
            <w:pPr>
              <w:spacing w:line="360" w:lineRule="auto"/>
              <w:rPr>
                <w:rFonts w:ascii="宋体" w:hAnsi="宋体"/>
                <w:color w:val="auto"/>
                <w:szCs w:val="21"/>
              </w:rPr>
            </w:pPr>
            <w:r>
              <w:rPr>
                <w:rFonts w:hint="eastAsia" w:ascii="宋体" w:hAnsi="宋体"/>
                <w:color w:val="auto"/>
                <w:szCs w:val="21"/>
              </w:rPr>
              <w:t>备注：</w:t>
            </w:r>
          </w:p>
        </w:tc>
      </w:tr>
    </w:tbl>
    <w:p>
      <w:pPr>
        <w:spacing w:line="360" w:lineRule="auto"/>
        <w:rPr>
          <w:rFonts w:ascii="宋体" w:hAnsi="宋体"/>
          <w:color w:val="auto"/>
        </w:rPr>
      </w:pPr>
      <w:r>
        <w:rPr>
          <w:rFonts w:hint="eastAsia" w:ascii="宋体" w:hAnsi="宋体"/>
          <w:color w:val="auto"/>
        </w:rPr>
        <w:t>注：</w:t>
      </w:r>
      <w:r>
        <w:rPr>
          <w:rFonts w:ascii="宋体" w:hAnsi="宋体"/>
          <w:color w:val="auto"/>
        </w:rPr>
        <w:t>1.控股股东/投资人是指出资比例在50%以上，或者出资比例不足50%，但享有公司股东会/董事会控制权的投资方（含单位或者个人）；</w:t>
      </w:r>
    </w:p>
    <w:p>
      <w:pPr>
        <w:spacing w:line="360" w:lineRule="auto"/>
        <w:rPr>
          <w:rFonts w:ascii="宋体" w:hAnsi="宋体"/>
          <w:i/>
          <w:color w:val="auto"/>
        </w:rPr>
      </w:pPr>
      <w:r>
        <w:rPr>
          <w:rFonts w:ascii="宋体" w:hAnsi="宋体"/>
          <w:color w:val="auto"/>
        </w:rPr>
        <w:t xml:space="preserve">    2.管理关系单位是指与不具有出资持股关系的其他单位之间存在管理与被管理关系的单位；</w:t>
      </w:r>
    </w:p>
    <w:p>
      <w:pPr>
        <w:spacing w:line="360" w:lineRule="auto"/>
        <w:rPr>
          <w:rFonts w:ascii="宋体" w:hAnsi="宋体"/>
          <w:color w:val="auto"/>
          <w:kern w:val="0"/>
        </w:rPr>
      </w:pPr>
      <w:r>
        <w:rPr>
          <w:rFonts w:ascii="宋体" w:hAnsi="宋体"/>
          <w:color w:val="auto"/>
        </w:rPr>
        <w:t xml:space="preserve">    3.如未有相关情况，请在相应栏填写“无”。</w:t>
      </w:r>
    </w:p>
    <w:p>
      <w:pPr>
        <w:spacing w:line="360" w:lineRule="auto"/>
        <w:rPr>
          <w:rFonts w:ascii="宋体" w:hAnsi="宋体"/>
          <w:color w:val="auto"/>
          <w:kern w:val="0"/>
        </w:rPr>
      </w:pPr>
    </w:p>
    <w:p>
      <w:pPr>
        <w:spacing w:line="360" w:lineRule="auto"/>
        <w:rPr>
          <w:rFonts w:ascii="宋体" w:hAnsi="宋体"/>
          <w:color w:val="auto"/>
          <w:kern w:val="0"/>
        </w:rPr>
      </w:pPr>
    </w:p>
    <w:p>
      <w:pPr>
        <w:spacing w:line="360" w:lineRule="auto"/>
        <w:jc w:val="right"/>
        <w:rPr>
          <w:rFonts w:ascii="宋体" w:hAnsi="宋体"/>
          <w:color w:val="auto"/>
          <w:kern w:val="0"/>
        </w:rPr>
      </w:pPr>
      <w:bookmarkStart w:id="563" w:name="_Toc334767004"/>
      <w:bookmarkStart w:id="564" w:name="_Toc144974877"/>
      <w:bookmarkStart w:id="565" w:name="_Toc152045809"/>
      <w:bookmarkStart w:id="566" w:name="_Toc247514301"/>
      <w:bookmarkStart w:id="567" w:name="_Toc332188253"/>
      <w:bookmarkStart w:id="568" w:name="_Toc326223619"/>
      <w:bookmarkStart w:id="569" w:name="_Toc247527849"/>
      <w:bookmarkStart w:id="570" w:name="_Toc265953295"/>
      <w:bookmarkStart w:id="571" w:name="_Toc152042598"/>
      <w:r>
        <w:rPr>
          <w:rFonts w:hint="eastAsia" w:ascii="宋体" w:hAnsi="宋体"/>
          <w:color w:val="auto"/>
          <w:kern w:val="0"/>
        </w:rPr>
        <w:t>投标人：</w:t>
      </w:r>
      <w:r>
        <w:rPr>
          <w:rFonts w:ascii="宋体" w:hAnsi="宋体"/>
          <w:color w:val="auto"/>
          <w:kern w:val="0"/>
          <w:u w:val="single"/>
        </w:rPr>
        <w:t xml:space="preserve">              </w:t>
      </w:r>
      <w:r>
        <w:rPr>
          <w:rFonts w:hint="eastAsia" w:ascii="宋体" w:hAnsi="宋体"/>
          <w:color w:val="auto"/>
          <w:kern w:val="0"/>
        </w:rPr>
        <w:t>（盖单位公章）</w:t>
      </w:r>
      <w:r>
        <w:rPr>
          <w:rFonts w:ascii="宋体" w:hAnsi="宋体"/>
          <w:color w:val="auto"/>
          <w:kern w:val="0"/>
        </w:rPr>
        <w:t xml:space="preserve"> </w:t>
      </w:r>
    </w:p>
    <w:p>
      <w:pPr>
        <w:spacing w:line="360" w:lineRule="auto"/>
        <w:ind w:firstLine="4200" w:firstLineChars="2000"/>
        <w:jc w:val="right"/>
        <w:rPr>
          <w:rFonts w:ascii="宋体" w:hAnsi="宋体"/>
          <w:color w:val="auto"/>
          <w:kern w:val="0"/>
        </w:rPr>
      </w:pPr>
      <w:r>
        <w:rPr>
          <w:rFonts w:ascii="宋体" w:hAnsi="宋体"/>
          <w:color w:val="auto"/>
          <w:kern w:val="0"/>
        </w:rPr>
        <w:t xml:space="preserve">                 </w:t>
      </w:r>
      <w:r>
        <w:rPr>
          <w:rFonts w:hint="eastAsia" w:ascii="宋体" w:hAnsi="宋体"/>
          <w:color w:val="auto"/>
          <w:kern w:val="0"/>
        </w:rPr>
        <w:t>年</w:t>
      </w:r>
      <w:r>
        <w:rPr>
          <w:rFonts w:ascii="宋体" w:hAnsi="宋体"/>
          <w:color w:val="auto"/>
          <w:kern w:val="0"/>
        </w:rPr>
        <w:t xml:space="preserve">   </w:t>
      </w:r>
      <w:r>
        <w:rPr>
          <w:rFonts w:hint="eastAsia" w:ascii="宋体" w:hAnsi="宋体"/>
          <w:color w:val="auto"/>
          <w:kern w:val="0"/>
        </w:rPr>
        <w:t>月</w:t>
      </w:r>
      <w:r>
        <w:rPr>
          <w:rFonts w:ascii="宋体" w:hAnsi="宋体"/>
          <w:color w:val="auto"/>
          <w:kern w:val="0"/>
        </w:rPr>
        <w:t xml:space="preserve">   </w:t>
      </w:r>
      <w:r>
        <w:rPr>
          <w:rFonts w:hint="eastAsia" w:ascii="宋体" w:hAnsi="宋体"/>
          <w:color w:val="auto"/>
          <w:kern w:val="0"/>
        </w:rPr>
        <w:t>日</w:t>
      </w:r>
    </w:p>
    <w:p>
      <w:pPr>
        <w:widowControl/>
        <w:jc w:val="left"/>
        <w:rPr>
          <w:color w:val="auto"/>
        </w:rPr>
      </w:pPr>
      <w:r>
        <w:rPr>
          <w:color w:val="auto"/>
        </w:rPr>
        <w:br w:type="page"/>
      </w:r>
      <w:bookmarkEnd w:id="563"/>
      <w:bookmarkEnd w:id="564"/>
      <w:bookmarkEnd w:id="565"/>
      <w:bookmarkEnd w:id="566"/>
      <w:bookmarkEnd w:id="567"/>
      <w:bookmarkEnd w:id="568"/>
      <w:bookmarkEnd w:id="569"/>
      <w:bookmarkEnd w:id="570"/>
      <w:bookmarkEnd w:id="571"/>
    </w:p>
    <w:bookmarkEnd w:id="533"/>
    <w:p>
      <w:pPr>
        <w:pStyle w:val="37"/>
        <w:numPr>
          <w:ilvl w:val="0"/>
          <w:numId w:val="15"/>
        </w:numPr>
        <w:tabs>
          <w:tab w:val="left" w:pos="588"/>
        </w:tabs>
        <w:snapToGrid w:val="0"/>
        <w:spacing w:before="120" w:after="120" w:line="440" w:lineRule="exact"/>
        <w:jc w:val="left"/>
        <w:rPr>
          <w:rFonts w:ascii="宋体" w:hAnsi="宋体"/>
          <w:color w:val="auto"/>
          <w:sz w:val="24"/>
          <w:szCs w:val="24"/>
        </w:rPr>
      </w:pPr>
      <w:bookmarkStart w:id="572" w:name="_Toc477190514"/>
      <w:bookmarkEnd w:id="572"/>
      <w:bookmarkStart w:id="573" w:name="_Toc477190517"/>
      <w:bookmarkEnd w:id="573"/>
      <w:bookmarkStart w:id="574" w:name="_Toc477190417"/>
      <w:bookmarkEnd w:id="574"/>
      <w:bookmarkStart w:id="575" w:name="_Toc477190442"/>
      <w:bookmarkEnd w:id="575"/>
      <w:bookmarkStart w:id="576" w:name="_Toc477190583"/>
      <w:bookmarkEnd w:id="576"/>
      <w:bookmarkStart w:id="577" w:name="_Toc477190651"/>
      <w:bookmarkEnd w:id="577"/>
      <w:bookmarkStart w:id="578" w:name="_Toc477190601"/>
      <w:bookmarkEnd w:id="578"/>
      <w:bookmarkStart w:id="579" w:name="_Toc477190472"/>
      <w:bookmarkEnd w:id="579"/>
      <w:bookmarkStart w:id="580" w:name="_Toc477190512"/>
      <w:bookmarkEnd w:id="580"/>
      <w:bookmarkStart w:id="581" w:name="_Toc477190367"/>
      <w:bookmarkEnd w:id="581"/>
      <w:bookmarkStart w:id="582" w:name="_Toc477190468"/>
      <w:bookmarkEnd w:id="582"/>
      <w:bookmarkStart w:id="583" w:name="_Toc477190575"/>
      <w:bookmarkEnd w:id="583"/>
      <w:bookmarkStart w:id="584" w:name="_Toc477190582"/>
      <w:bookmarkEnd w:id="584"/>
      <w:bookmarkStart w:id="585" w:name="_Toc477190579"/>
      <w:bookmarkEnd w:id="585"/>
      <w:bookmarkStart w:id="586" w:name="_Toc477190562"/>
      <w:bookmarkEnd w:id="586"/>
      <w:bookmarkStart w:id="587" w:name="_Toc477190577"/>
      <w:bookmarkEnd w:id="587"/>
      <w:bookmarkStart w:id="588" w:name="_Toc477190564"/>
      <w:bookmarkEnd w:id="588"/>
      <w:bookmarkStart w:id="589" w:name="_Toc477190429"/>
      <w:bookmarkEnd w:id="589"/>
      <w:bookmarkStart w:id="590" w:name="_Toc477190453"/>
      <w:bookmarkEnd w:id="590"/>
      <w:bookmarkStart w:id="591" w:name="_Toc477190451"/>
      <w:bookmarkEnd w:id="591"/>
      <w:bookmarkStart w:id="592" w:name="_Toc477190454"/>
      <w:bookmarkEnd w:id="592"/>
      <w:bookmarkStart w:id="593" w:name="_Toc477190419"/>
      <w:bookmarkEnd w:id="593"/>
      <w:bookmarkStart w:id="594" w:name="_Toc477190366"/>
      <w:bookmarkEnd w:id="594"/>
      <w:bookmarkStart w:id="595" w:name="_Toc477190425"/>
      <w:bookmarkEnd w:id="595"/>
      <w:bookmarkStart w:id="596" w:name="_Toc477190592"/>
      <w:bookmarkEnd w:id="596"/>
      <w:bookmarkStart w:id="597" w:name="_Toc477190447"/>
      <w:bookmarkEnd w:id="597"/>
      <w:bookmarkStart w:id="598" w:name="_Toc477190438"/>
      <w:bookmarkEnd w:id="598"/>
      <w:bookmarkStart w:id="599" w:name="_Toc477190365"/>
      <w:bookmarkEnd w:id="599"/>
      <w:bookmarkStart w:id="600" w:name="_Toc477190653"/>
      <w:bookmarkEnd w:id="600"/>
      <w:bookmarkStart w:id="601" w:name="_Toc477190426"/>
      <w:bookmarkEnd w:id="601"/>
      <w:bookmarkStart w:id="602" w:name="_Toc477190588"/>
      <w:bookmarkEnd w:id="602"/>
      <w:bookmarkStart w:id="603" w:name="_Toc477190513"/>
      <w:bookmarkEnd w:id="603"/>
      <w:bookmarkStart w:id="604" w:name="_Toc477190598"/>
      <w:bookmarkEnd w:id="604"/>
      <w:bookmarkStart w:id="605" w:name="_Toc477190649"/>
      <w:bookmarkEnd w:id="605"/>
      <w:bookmarkStart w:id="606" w:name="_Toc477190418"/>
      <w:bookmarkEnd w:id="606"/>
      <w:bookmarkStart w:id="607" w:name="_Toc477190467"/>
      <w:bookmarkEnd w:id="607"/>
      <w:bookmarkStart w:id="608" w:name="_Toc477190567"/>
      <w:bookmarkEnd w:id="608"/>
      <w:bookmarkStart w:id="609" w:name="_Toc477190449"/>
      <w:bookmarkEnd w:id="609"/>
      <w:bookmarkStart w:id="610" w:name="_Toc477190531"/>
      <w:bookmarkEnd w:id="610"/>
      <w:bookmarkStart w:id="611" w:name="_Toc477190504"/>
      <w:bookmarkEnd w:id="611"/>
      <w:bookmarkStart w:id="612" w:name="_Toc477190516"/>
      <w:bookmarkEnd w:id="612"/>
      <w:bookmarkStart w:id="613" w:name="_Toc477190508"/>
      <w:bookmarkEnd w:id="613"/>
      <w:bookmarkStart w:id="614" w:name="_Toc477190648"/>
      <w:bookmarkEnd w:id="614"/>
      <w:bookmarkStart w:id="615" w:name="_Toc477190434"/>
      <w:bookmarkEnd w:id="615"/>
      <w:bookmarkStart w:id="616" w:name="_Toc477190470"/>
      <w:bookmarkEnd w:id="616"/>
      <w:bookmarkStart w:id="617" w:name="_Toc477190511"/>
      <w:bookmarkEnd w:id="617"/>
      <w:bookmarkStart w:id="618" w:name="_Toc477190441"/>
      <w:bookmarkEnd w:id="618"/>
      <w:bookmarkStart w:id="619" w:name="_Toc477190420"/>
      <w:bookmarkEnd w:id="619"/>
      <w:bookmarkStart w:id="620" w:name="_Toc477190460"/>
      <w:bookmarkEnd w:id="620"/>
      <w:bookmarkStart w:id="621" w:name="_Toc477190650"/>
      <w:bookmarkEnd w:id="621"/>
      <w:bookmarkStart w:id="622" w:name="_Toc477190600"/>
      <w:bookmarkEnd w:id="622"/>
      <w:bookmarkStart w:id="623" w:name="_Toc477190555"/>
      <w:bookmarkEnd w:id="623"/>
      <w:bookmarkStart w:id="624" w:name="_Toc477190421"/>
      <w:bookmarkEnd w:id="624"/>
      <w:bookmarkStart w:id="625" w:name="_Toc477190415"/>
      <w:bookmarkEnd w:id="625"/>
      <w:bookmarkStart w:id="626" w:name="_Toc477190461"/>
      <w:bookmarkEnd w:id="626"/>
      <w:bookmarkStart w:id="627" w:name="_Toc477190437"/>
      <w:bookmarkEnd w:id="627"/>
      <w:bookmarkStart w:id="628" w:name="_Toc477190563"/>
      <w:bookmarkEnd w:id="628"/>
      <w:bookmarkStart w:id="629" w:name="_Toc477190596"/>
      <w:bookmarkEnd w:id="629"/>
      <w:bookmarkStart w:id="630" w:name="_Toc477190584"/>
      <w:bookmarkEnd w:id="630"/>
      <w:bookmarkStart w:id="631" w:name="_Toc477190581"/>
      <w:bookmarkEnd w:id="631"/>
      <w:bookmarkStart w:id="632" w:name="_Toc477190595"/>
      <w:bookmarkEnd w:id="632"/>
      <w:bookmarkStart w:id="633" w:name="_Toc477190591"/>
      <w:bookmarkEnd w:id="633"/>
      <w:bookmarkStart w:id="634" w:name="_Toc477190507"/>
      <w:bookmarkEnd w:id="634"/>
      <w:bookmarkStart w:id="635" w:name="_Toc477190469"/>
      <w:bookmarkEnd w:id="635"/>
      <w:bookmarkStart w:id="636" w:name="_Toc477190452"/>
      <w:bookmarkEnd w:id="636"/>
      <w:bookmarkStart w:id="637" w:name="_Toc477190647"/>
      <w:bookmarkEnd w:id="637"/>
      <w:bookmarkStart w:id="638" w:name="_Toc477190578"/>
      <w:bookmarkEnd w:id="638"/>
      <w:bookmarkStart w:id="639" w:name="_Toc477190463"/>
      <w:bookmarkEnd w:id="639"/>
      <w:bookmarkStart w:id="640" w:name="_Toc477190444"/>
      <w:bookmarkEnd w:id="640"/>
      <w:bookmarkStart w:id="641" w:name="_Toc477190435"/>
      <w:bookmarkEnd w:id="641"/>
      <w:bookmarkStart w:id="642" w:name="_Toc477190599"/>
      <w:bookmarkEnd w:id="642"/>
      <w:bookmarkStart w:id="643" w:name="_Toc477190568"/>
      <w:bookmarkEnd w:id="643"/>
      <w:bookmarkStart w:id="644" w:name="_Toc477190589"/>
      <w:bookmarkEnd w:id="644"/>
      <w:bookmarkStart w:id="645" w:name="_Toc477190586"/>
      <w:bookmarkEnd w:id="645"/>
      <w:bookmarkStart w:id="646" w:name="_Toc477190436"/>
      <w:bookmarkEnd w:id="646"/>
      <w:bookmarkStart w:id="647" w:name="_Toc477190594"/>
      <w:bookmarkEnd w:id="647"/>
      <w:bookmarkStart w:id="648" w:name="_Toc477190652"/>
      <w:bookmarkEnd w:id="648"/>
      <w:bookmarkStart w:id="649" w:name="_Toc477190510"/>
      <w:bookmarkEnd w:id="649"/>
      <w:bookmarkStart w:id="650" w:name="_Toc477190645"/>
      <w:bookmarkEnd w:id="650"/>
      <w:bookmarkStart w:id="651" w:name="_Toc477190416"/>
      <w:bookmarkEnd w:id="651"/>
      <w:bookmarkStart w:id="652" w:name="_Toc477190549"/>
      <w:bookmarkEnd w:id="652"/>
      <w:bookmarkStart w:id="653" w:name="_Toc477190654"/>
      <w:bookmarkEnd w:id="653"/>
      <w:bookmarkStart w:id="654" w:name="_Toc477190368"/>
      <w:bookmarkEnd w:id="654"/>
      <w:bookmarkStart w:id="655" w:name="_Toc477190612"/>
      <w:bookmarkEnd w:id="655"/>
      <w:bookmarkStart w:id="656" w:name="_Toc477190566"/>
      <w:bookmarkEnd w:id="656"/>
      <w:bookmarkStart w:id="657" w:name="_Toc477190423"/>
      <w:bookmarkEnd w:id="657"/>
      <w:bookmarkStart w:id="658" w:name="_Toc477190572"/>
      <w:bookmarkEnd w:id="658"/>
      <w:bookmarkStart w:id="659" w:name="_Toc477190543"/>
      <w:bookmarkEnd w:id="659"/>
      <w:bookmarkStart w:id="660" w:name="_Toc477190462"/>
      <w:bookmarkEnd w:id="660"/>
      <w:bookmarkStart w:id="661" w:name="_Toc477190515"/>
      <w:bookmarkEnd w:id="661"/>
      <w:bookmarkStart w:id="662" w:name="_Toc477190424"/>
      <w:bookmarkEnd w:id="662"/>
      <w:bookmarkStart w:id="663" w:name="_Toc477190498"/>
      <w:bookmarkEnd w:id="663"/>
      <w:bookmarkStart w:id="664" w:name="_Toc477190505"/>
      <w:bookmarkEnd w:id="664"/>
      <w:bookmarkStart w:id="665" w:name="_Toc477190466"/>
      <w:bookmarkEnd w:id="665"/>
      <w:bookmarkStart w:id="666" w:name="_Toc477190580"/>
      <w:bookmarkEnd w:id="666"/>
      <w:bookmarkStart w:id="667" w:name="_Toc477190458"/>
      <w:bookmarkEnd w:id="667"/>
      <w:bookmarkStart w:id="668" w:name="_Toc477190445"/>
      <w:bookmarkEnd w:id="668"/>
      <w:bookmarkStart w:id="669" w:name="_Toc477190590"/>
      <w:bookmarkEnd w:id="669"/>
      <w:bookmarkStart w:id="670" w:name="_Toc477190446"/>
      <w:bookmarkEnd w:id="670"/>
      <w:bookmarkStart w:id="671" w:name="_Toc477190439"/>
      <w:bookmarkEnd w:id="671"/>
      <w:bookmarkStart w:id="672" w:name="_Toc477190632"/>
      <w:bookmarkEnd w:id="672"/>
      <w:bookmarkStart w:id="673" w:name="_Toc477190473"/>
      <w:bookmarkEnd w:id="673"/>
      <w:bookmarkStart w:id="674" w:name="_Toc477190646"/>
      <w:bookmarkEnd w:id="674"/>
      <w:bookmarkStart w:id="675" w:name="_Toc477190440"/>
      <w:bookmarkEnd w:id="675"/>
      <w:bookmarkStart w:id="676" w:name="_Toc477190430"/>
      <w:bookmarkEnd w:id="676"/>
      <w:bookmarkStart w:id="677" w:name="_Toc477190570"/>
      <w:bookmarkEnd w:id="677"/>
      <w:bookmarkStart w:id="678" w:name="_Toc477190506"/>
      <w:bookmarkEnd w:id="678"/>
      <w:bookmarkStart w:id="679" w:name="_Toc477190585"/>
      <w:bookmarkEnd w:id="679"/>
      <w:bookmarkStart w:id="680" w:name="_Toc477190537"/>
      <w:bookmarkEnd w:id="680"/>
      <w:bookmarkStart w:id="681" w:name="_Toc477190561"/>
      <w:bookmarkEnd w:id="681"/>
      <w:bookmarkStart w:id="682" w:name="_Toc477190576"/>
      <w:bookmarkEnd w:id="682"/>
      <w:bookmarkStart w:id="683" w:name="_Toc477190465"/>
      <w:bookmarkEnd w:id="683"/>
      <w:bookmarkStart w:id="684" w:name="_Toc477190464"/>
      <w:bookmarkEnd w:id="684"/>
      <w:bookmarkStart w:id="685" w:name="_Toc477190569"/>
      <w:bookmarkEnd w:id="685"/>
      <w:bookmarkStart w:id="686" w:name="_Toc477190571"/>
      <w:bookmarkEnd w:id="686"/>
      <w:bookmarkStart w:id="687" w:name="_Toc477190642"/>
      <w:bookmarkEnd w:id="687"/>
      <w:bookmarkStart w:id="688" w:name="_Toc477190593"/>
      <w:bookmarkEnd w:id="688"/>
      <w:bookmarkStart w:id="689" w:name="_Toc477190433"/>
      <w:bookmarkEnd w:id="689"/>
      <w:bookmarkStart w:id="690" w:name="_Toc477190427"/>
      <w:bookmarkEnd w:id="690"/>
      <w:bookmarkStart w:id="691" w:name="_Toc477190443"/>
      <w:bookmarkEnd w:id="691"/>
      <w:bookmarkStart w:id="692" w:name="_Toc477190565"/>
      <w:bookmarkEnd w:id="692"/>
      <w:bookmarkStart w:id="693" w:name="_Toc477190518"/>
      <w:bookmarkEnd w:id="693"/>
      <w:bookmarkStart w:id="694" w:name="_Toc477190622"/>
      <w:bookmarkEnd w:id="694"/>
      <w:bookmarkStart w:id="695" w:name="_Toc477190482"/>
      <w:bookmarkEnd w:id="695"/>
      <w:bookmarkStart w:id="696" w:name="_Toc477190455"/>
      <w:bookmarkEnd w:id="696"/>
      <w:bookmarkStart w:id="697" w:name="_Toc477190448"/>
      <w:bookmarkEnd w:id="697"/>
      <w:bookmarkStart w:id="698" w:name="_Toc477190509"/>
      <w:bookmarkEnd w:id="698"/>
      <w:bookmarkStart w:id="699" w:name="_Toc477190471"/>
      <w:bookmarkEnd w:id="699"/>
      <w:bookmarkStart w:id="700" w:name="_Toc477190587"/>
      <w:bookmarkEnd w:id="700"/>
      <w:bookmarkStart w:id="701" w:name="_Toc477190574"/>
      <w:bookmarkEnd w:id="701"/>
      <w:bookmarkStart w:id="702" w:name="_Toc477190597"/>
      <w:bookmarkEnd w:id="702"/>
      <w:bookmarkStart w:id="703" w:name="_Toc477190456"/>
      <w:bookmarkEnd w:id="703"/>
      <w:bookmarkStart w:id="704" w:name="_Toc477190431"/>
      <w:bookmarkEnd w:id="704"/>
      <w:bookmarkStart w:id="705" w:name="_Toc477190422"/>
      <w:bookmarkEnd w:id="705"/>
      <w:bookmarkStart w:id="706" w:name="_Toc477190457"/>
      <w:bookmarkEnd w:id="706"/>
      <w:bookmarkStart w:id="707" w:name="_Toc477190573"/>
      <w:bookmarkEnd w:id="707"/>
      <w:bookmarkStart w:id="708" w:name="_Toc477190459"/>
      <w:bookmarkEnd w:id="708"/>
      <w:bookmarkStart w:id="709" w:name="_Toc477190474"/>
      <w:bookmarkEnd w:id="709"/>
      <w:bookmarkStart w:id="710" w:name="_Toc477190450"/>
      <w:bookmarkEnd w:id="710"/>
      <w:bookmarkStart w:id="711" w:name="_Toc477190525"/>
      <w:bookmarkEnd w:id="711"/>
      <w:bookmarkStart w:id="712" w:name="_Toc477190428"/>
      <w:bookmarkEnd w:id="712"/>
      <w:bookmarkStart w:id="713" w:name="_Toc477190432"/>
      <w:bookmarkEnd w:id="713"/>
      <w:bookmarkStart w:id="714" w:name="_Toc477190414"/>
      <w:bookmarkEnd w:id="714"/>
      <w:bookmarkStart w:id="715" w:name="_Toc56432242"/>
      <w:bookmarkStart w:id="716" w:name="_Toc27905"/>
      <w:bookmarkStart w:id="717" w:name="_Toc1651912"/>
      <w:bookmarkStart w:id="718" w:name="_Toc14332"/>
      <w:bookmarkStart w:id="719" w:name="_Toc18827"/>
      <w:bookmarkStart w:id="720" w:name="_Toc475472691"/>
      <w:r>
        <w:rPr>
          <w:rFonts w:hint="eastAsia" w:ascii="宋体" w:hAnsi="宋体"/>
          <w:color w:val="auto"/>
          <w:sz w:val="24"/>
          <w:szCs w:val="24"/>
        </w:rPr>
        <w:t>商务合同条款偏离表</w:t>
      </w:r>
      <w:bookmarkEnd w:id="715"/>
      <w:bookmarkEnd w:id="716"/>
      <w:bookmarkEnd w:id="717"/>
      <w:bookmarkEnd w:id="718"/>
      <w:bookmarkEnd w:id="719"/>
    </w:p>
    <w:p>
      <w:pPr>
        <w:pStyle w:val="14"/>
        <w:spacing w:line="240" w:lineRule="auto"/>
        <w:jc w:val="center"/>
        <w:rPr>
          <w:rFonts w:ascii="宋体" w:hAnsi="宋体" w:eastAsia="宋体"/>
          <w:b/>
          <w:bCs/>
          <w:color w:val="auto"/>
          <w:kern w:val="2"/>
          <w:sz w:val="24"/>
          <w:szCs w:val="24"/>
        </w:rPr>
      </w:pPr>
      <w:r>
        <w:rPr>
          <w:rFonts w:hint="eastAsia" w:ascii="宋体" w:hAnsi="宋体" w:eastAsia="宋体"/>
          <w:b/>
          <w:bCs/>
          <w:color w:val="auto"/>
          <w:kern w:val="2"/>
          <w:sz w:val="24"/>
          <w:szCs w:val="24"/>
        </w:rPr>
        <w:t>商务合同条款偏离表</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广东南都娱乐企业文化综合服务项目</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WJS-202301130002</w:t>
      </w:r>
    </w:p>
    <w:tbl>
      <w:tblPr>
        <w:tblStyle w:val="40"/>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5"/>
        <w:gridCol w:w="2431"/>
        <w:gridCol w:w="261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725"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2431"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招标文件的合同条款</w:t>
            </w: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投标文件的合同条款响应</w:t>
            </w: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jc w:val="both"/>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jc w:val="both"/>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jc w:val="both"/>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jc w:val="both"/>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9"/>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（其余条款投标人可根据实际情况自行补充）</w:t>
            </w:r>
          </w:p>
        </w:tc>
        <w:tc>
          <w:tcPr>
            <w:tcW w:w="2431" w:type="dxa"/>
            <w:vAlign w:val="center"/>
          </w:tcPr>
          <w:p>
            <w:pPr>
              <w:pStyle w:val="14"/>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“第四章</w:t>
      </w:r>
      <w:r>
        <w:rPr>
          <w:rFonts w:ascii="宋体" w:hAnsi="宋体"/>
          <w:b/>
          <w:bCs/>
          <w:color w:val="auto"/>
          <w:szCs w:val="21"/>
        </w:rPr>
        <w:t xml:space="preserve"> </w:t>
      </w:r>
      <w:r>
        <w:rPr>
          <w:rFonts w:hint="eastAsia" w:ascii="宋体" w:hAnsi="宋体"/>
          <w:b/>
          <w:bCs/>
          <w:color w:val="auto"/>
          <w:szCs w:val="21"/>
        </w:rPr>
        <w:t>商务合同”：</w:t>
      </w:r>
    </w:p>
    <w:p>
      <w:pPr>
        <w:rPr>
          <w:rFonts w:ascii="宋体" w:hAnsi="宋体"/>
          <w:bCs/>
          <w:color w:val="auto"/>
          <w:szCs w:val="21"/>
        </w:rPr>
      </w:pPr>
      <w:r>
        <w:rPr>
          <w:rFonts w:ascii="宋体" w:hAnsi="宋体"/>
          <w:bCs/>
          <w:color w:val="auto"/>
          <w:szCs w:val="21"/>
        </w:rPr>
        <w:t>1、如有优于招标文件要求的条件或与招标文件要求有偏离的条目应填写“</w:t>
      </w:r>
      <w:r>
        <w:rPr>
          <w:rFonts w:hint="eastAsia" w:ascii="宋体" w:hAnsi="宋体"/>
          <w:b/>
          <w:bCs/>
          <w:color w:val="auto"/>
          <w:szCs w:val="21"/>
        </w:rPr>
        <w:t>商务</w:t>
      </w:r>
      <w:r>
        <w:rPr>
          <w:rFonts w:hint="eastAsia" w:ascii="宋体" w:hAnsi="宋体"/>
          <w:b/>
          <w:color w:val="auto"/>
          <w:szCs w:val="21"/>
        </w:rPr>
        <w:t>合同条款偏离表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保证：除商务</w:t>
      </w:r>
      <w:r>
        <w:rPr>
          <w:rFonts w:hint="eastAsia" w:ascii="宋体" w:hAnsi="宋体"/>
          <w:color w:val="auto"/>
          <w:spacing w:val="-2"/>
          <w:szCs w:val="21"/>
        </w:rPr>
        <w:t>合同条款偏离表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w:t>
      </w:r>
      <w:r>
        <w:rPr>
          <w:rFonts w:hint="eastAsia" w:ascii="宋体" w:hAnsi="宋体"/>
          <w:color w:val="auto"/>
          <w:spacing w:val="-2"/>
          <w:szCs w:val="21"/>
        </w:rPr>
        <w:t>商务合同</w:t>
      </w:r>
      <w:r>
        <w:rPr>
          <w:rFonts w:ascii="宋体" w:hAnsi="宋体"/>
          <w:color w:val="auto"/>
          <w:spacing w:val="-2"/>
          <w:szCs w:val="21"/>
        </w:rPr>
        <w:t>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2、如全部无偏离在“商务</w:t>
      </w:r>
      <w:r>
        <w:rPr>
          <w:rFonts w:hint="eastAsia" w:ascii="宋体" w:hAnsi="宋体"/>
          <w:b/>
          <w:color w:val="auto"/>
          <w:szCs w:val="21"/>
        </w:rPr>
        <w:t>合同条款偏离表</w:t>
      </w:r>
      <w:r>
        <w:rPr>
          <w:rFonts w:hint="eastAsia" w:ascii="宋体" w:hAnsi="宋体"/>
          <w:bCs/>
          <w:color w:val="auto"/>
          <w:szCs w:val="21"/>
        </w:rPr>
        <w:t>”中“投标</w:t>
      </w:r>
      <w:r>
        <w:rPr>
          <w:rFonts w:hint="eastAsia" w:ascii="宋体" w:hAnsi="宋体"/>
          <w:color w:val="auto"/>
          <w:szCs w:val="21"/>
        </w:rPr>
        <w:t>文件的合同条款响应</w:t>
      </w:r>
      <w:r>
        <w:rPr>
          <w:rFonts w:hint="eastAsia" w:ascii="宋体" w:hAnsi="宋体"/>
          <w:bCs/>
          <w:color w:val="auto"/>
          <w:szCs w:val="21"/>
        </w:rPr>
        <w:t>”一栏中填写“全部条款无偏离”。若投标人提供空白表格，则视为“</w:t>
      </w:r>
      <w:r>
        <w:rPr>
          <w:rFonts w:ascii="宋体" w:hAnsi="宋体"/>
          <w:b/>
          <w:color w:val="auto"/>
          <w:szCs w:val="21"/>
        </w:rPr>
        <w:t>商务</w:t>
      </w:r>
      <w:r>
        <w:rPr>
          <w:rFonts w:hint="eastAsia" w:ascii="宋体" w:hAnsi="宋体"/>
          <w:b/>
          <w:color w:val="auto"/>
          <w:szCs w:val="21"/>
        </w:rPr>
        <w:t>合同条款全部响应无偏离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“商务</w:t>
      </w:r>
      <w:r>
        <w:rPr>
          <w:rFonts w:hint="eastAsia" w:ascii="宋体" w:hAnsi="宋体"/>
          <w:b/>
          <w:color w:val="auto"/>
          <w:szCs w:val="21"/>
        </w:rPr>
        <w:t>合同条款偏离表</w:t>
      </w:r>
      <w:r>
        <w:rPr>
          <w:rFonts w:hint="eastAsia" w:ascii="宋体" w:hAnsi="宋体"/>
          <w:b/>
          <w:bCs/>
          <w:color w:val="auto"/>
          <w:szCs w:val="21"/>
        </w:rPr>
        <w:t>”需加盖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14"/>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rPr>
          <w:rFonts w:ascii="宋体" w:hAnsi="宋体"/>
          <w:bCs/>
          <w:color w:val="auto"/>
          <w:szCs w:val="21"/>
        </w:rPr>
      </w:pPr>
    </w:p>
    <w:p>
      <w:pPr>
        <w:pStyle w:val="14"/>
        <w:spacing w:line="240" w:lineRule="auto"/>
        <w:jc w:val="right"/>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widowControl/>
        <w:jc w:val="left"/>
        <w:rPr>
          <w:color w:val="auto"/>
        </w:rPr>
      </w:pPr>
      <w:r>
        <w:rPr>
          <w:color w:val="auto"/>
        </w:rPr>
        <w:br w:type="page"/>
      </w:r>
    </w:p>
    <w:p>
      <w:pPr>
        <w:pStyle w:val="37"/>
        <w:numPr>
          <w:ilvl w:val="0"/>
          <w:numId w:val="15"/>
        </w:numPr>
        <w:tabs>
          <w:tab w:val="left" w:pos="588"/>
        </w:tabs>
        <w:snapToGrid w:val="0"/>
        <w:spacing w:before="120" w:after="120" w:line="440" w:lineRule="exact"/>
        <w:jc w:val="left"/>
        <w:rPr>
          <w:rFonts w:ascii="宋体" w:hAnsi="宋体"/>
          <w:color w:val="auto"/>
          <w:sz w:val="24"/>
          <w:szCs w:val="24"/>
        </w:rPr>
      </w:pPr>
      <w:bookmarkStart w:id="721" w:name="_Toc32264"/>
      <w:bookmarkStart w:id="722" w:name="_Toc9628"/>
      <w:bookmarkStart w:id="723" w:name="_Toc18418"/>
      <w:bookmarkStart w:id="724" w:name="_Toc56432243"/>
      <w:r>
        <w:rPr>
          <w:rFonts w:hint="eastAsia" w:ascii="宋体" w:hAnsi="宋体"/>
          <w:color w:val="auto"/>
          <w:sz w:val="24"/>
          <w:szCs w:val="24"/>
        </w:rPr>
        <w:t>实质性条款偏离表</w:t>
      </w:r>
      <w:bookmarkEnd w:id="721"/>
      <w:bookmarkEnd w:id="722"/>
      <w:bookmarkEnd w:id="723"/>
    </w:p>
    <w:p>
      <w:pPr>
        <w:pStyle w:val="14"/>
        <w:spacing w:line="240" w:lineRule="auto"/>
        <w:jc w:val="center"/>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sz w:val="24"/>
          <w:szCs w:val="24"/>
        </w:rPr>
        <w:t>实质性条款偏离表（★条款）</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广东南都娱乐企业文化综合服务项目</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WJS-202301130002</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4"/>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3221"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招标文件的实质性采购需求条款</w:t>
            </w: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投标文件的实质性采购需求响应</w:t>
            </w: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spacing w:line="240" w:lineRule="auto"/>
              <w:ind w:left="46" w:hanging="46" w:hangingChars="22"/>
              <w:jc w:val="center"/>
              <w:rPr>
                <w:rFonts w:ascii="宋体" w:hAnsi="宋体" w:eastAsia="宋体"/>
                <w:color w:val="auto"/>
                <w:sz w:val="21"/>
                <w:szCs w:val="21"/>
              </w:rPr>
            </w:pPr>
            <w:r>
              <w:rPr>
                <w:rFonts w:ascii="宋体" w:hAnsi="宋体" w:eastAsia="宋体"/>
                <w:color w:val="auto"/>
                <w:sz w:val="21"/>
                <w:szCs w:val="21"/>
              </w:rPr>
              <w:t>1</w:t>
            </w:r>
          </w:p>
        </w:tc>
        <w:tc>
          <w:tcPr>
            <w:tcW w:w="1566" w:type="dxa"/>
            <w:vAlign w:val="center"/>
          </w:tcPr>
          <w:p>
            <w:pPr>
              <w:pStyle w:val="14"/>
              <w:spacing w:line="240" w:lineRule="auto"/>
              <w:ind w:left="46" w:hanging="46" w:hangingChars="22"/>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61" w:type="dxa"/>
            <w:vAlign w:val="center"/>
          </w:tcPr>
          <w:p>
            <w:pPr>
              <w:pStyle w:val="14"/>
              <w:spacing w:line="240" w:lineRule="auto"/>
              <w:ind w:left="46" w:hanging="46" w:hangingChars="22"/>
              <w:jc w:val="center"/>
              <w:rPr>
                <w:rFonts w:ascii="宋体" w:hAnsi="宋体" w:eastAsia="宋体"/>
                <w:color w:val="auto"/>
                <w:sz w:val="21"/>
                <w:szCs w:val="21"/>
              </w:rPr>
            </w:pPr>
            <w:r>
              <w:rPr>
                <w:rFonts w:ascii="宋体" w:hAnsi="宋体" w:eastAsia="宋体"/>
                <w:color w:val="auto"/>
                <w:sz w:val="21"/>
                <w:szCs w:val="21"/>
              </w:rPr>
              <w:t>2</w:t>
            </w: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“第五章</w:t>
      </w:r>
      <w:r>
        <w:rPr>
          <w:rFonts w:ascii="宋体" w:hAnsi="宋体"/>
          <w:b/>
          <w:bCs/>
          <w:color w:val="auto"/>
          <w:szCs w:val="21"/>
        </w:rPr>
        <w:t xml:space="preserve"> </w:t>
      </w:r>
      <w:r>
        <w:rPr>
          <w:rFonts w:hint="eastAsia" w:ascii="宋体" w:hAnsi="宋体"/>
          <w:b/>
          <w:bCs/>
          <w:color w:val="auto"/>
          <w:szCs w:val="21"/>
        </w:rPr>
        <w:t>采购需求书”：</w:t>
      </w:r>
    </w:p>
    <w:p>
      <w:pPr>
        <w:rPr>
          <w:rFonts w:ascii="宋体" w:hAnsi="宋体"/>
          <w:bCs/>
          <w:color w:val="auto"/>
          <w:szCs w:val="21"/>
        </w:rPr>
      </w:pPr>
      <w:r>
        <w:rPr>
          <w:rFonts w:ascii="宋体" w:hAnsi="宋体"/>
          <w:bCs/>
          <w:color w:val="auto"/>
          <w:szCs w:val="21"/>
        </w:rPr>
        <w:t>1、如有优于招标文件★条款要求的条件或与招标文件★条款要求有偏离的条目应填写</w:t>
      </w:r>
      <w:r>
        <w:rPr>
          <w:rFonts w:hint="eastAsia" w:ascii="宋体" w:hAnsi="宋体"/>
          <w:b/>
          <w:bCs/>
          <w:color w:val="auto"/>
          <w:szCs w:val="21"/>
        </w:rPr>
        <w:t>“实质性条款偏离表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w:t>
      </w:r>
      <w:r>
        <w:rPr>
          <w:rFonts w:hint="eastAsia" w:ascii="宋体" w:hAnsi="宋体"/>
          <w:color w:val="auto"/>
          <w:spacing w:val="-2"/>
          <w:szCs w:val="21"/>
        </w:rPr>
        <w:t>实质性条款偏离表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w:t>
      </w:r>
      <w:r>
        <w:rPr>
          <w:rFonts w:hint="eastAsia" w:ascii="宋体" w:hAnsi="宋体"/>
          <w:b/>
          <w:bCs/>
          <w:color w:val="auto"/>
          <w:szCs w:val="21"/>
        </w:rPr>
        <w:t>“实质性条款偏离表</w:t>
      </w:r>
      <w:r>
        <w:rPr>
          <w:rFonts w:hint="eastAsia" w:ascii="宋体" w:hAnsi="宋体"/>
          <w:bCs/>
          <w:color w:val="auto"/>
          <w:szCs w:val="21"/>
        </w:rPr>
        <w:t>”中“</w:t>
      </w:r>
      <w:r>
        <w:rPr>
          <w:rFonts w:hint="eastAsia" w:ascii="宋体" w:hAnsi="宋体"/>
          <w:color w:val="auto"/>
          <w:szCs w:val="21"/>
        </w:rPr>
        <w:t>投标文件的实质性采购需求响应</w:t>
      </w:r>
      <w:r>
        <w:rPr>
          <w:rFonts w:hint="eastAsia" w:ascii="宋体" w:hAnsi="宋体"/>
          <w:bCs/>
          <w:color w:val="auto"/>
          <w:szCs w:val="21"/>
        </w:rPr>
        <w:t>”一栏中填写“全部条款无偏离”。若投标人提供空白表格，则视为“</w:t>
      </w:r>
      <w:r>
        <w:rPr>
          <w:rFonts w:hint="eastAsia" w:ascii="宋体" w:hAnsi="宋体"/>
          <w:b/>
          <w:color w:val="auto"/>
          <w:szCs w:val="21"/>
        </w:rPr>
        <w:t>实质性采购需求条款全部响应无偏离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“实质性条款偏离表”需加盖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14"/>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pStyle w:val="14"/>
        <w:spacing w:line="240" w:lineRule="auto"/>
        <w:jc w:val="right"/>
        <w:rPr>
          <w:rFonts w:ascii="宋体" w:hAnsi="宋体" w:eastAsia="宋体"/>
          <w:color w:val="auto"/>
          <w:sz w:val="21"/>
          <w:szCs w:val="21"/>
          <w:u w:val="single"/>
        </w:rPr>
      </w:pPr>
    </w:p>
    <w:p>
      <w:pPr>
        <w:pStyle w:val="14"/>
        <w:spacing w:line="240" w:lineRule="auto"/>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rPr>
          <w:rFonts w:ascii="宋体" w:hAnsi="宋体"/>
          <w:color w:val="auto"/>
          <w:sz w:val="24"/>
        </w:rPr>
      </w:pPr>
      <w:r>
        <w:rPr>
          <w:rFonts w:ascii="宋体" w:hAnsi="宋体"/>
          <w:color w:val="auto"/>
          <w:sz w:val="24"/>
        </w:rPr>
        <w:br w:type="page"/>
      </w:r>
    </w:p>
    <w:p>
      <w:pPr>
        <w:pStyle w:val="37"/>
        <w:numPr>
          <w:ilvl w:val="0"/>
          <w:numId w:val="15"/>
        </w:numPr>
        <w:tabs>
          <w:tab w:val="left" w:pos="588"/>
        </w:tabs>
        <w:snapToGrid w:val="0"/>
        <w:spacing w:before="120" w:after="120" w:line="440" w:lineRule="exact"/>
        <w:jc w:val="left"/>
        <w:rPr>
          <w:rFonts w:ascii="宋体" w:hAnsi="宋体"/>
          <w:color w:val="auto"/>
          <w:sz w:val="24"/>
          <w:szCs w:val="24"/>
        </w:rPr>
      </w:pPr>
      <w:bookmarkStart w:id="725" w:name="_Toc25312"/>
      <w:bookmarkStart w:id="726" w:name="_Toc9875"/>
      <w:bookmarkStart w:id="727" w:name="_Toc28138"/>
      <w:r>
        <w:rPr>
          <w:rFonts w:hint="eastAsia" w:ascii="宋体" w:hAnsi="宋体"/>
          <w:color w:val="auto"/>
          <w:sz w:val="24"/>
          <w:szCs w:val="24"/>
        </w:rPr>
        <w:t>采购需求条款偏离表</w:t>
      </w:r>
      <w:bookmarkEnd w:id="724"/>
      <w:bookmarkEnd w:id="725"/>
      <w:bookmarkEnd w:id="726"/>
      <w:bookmarkEnd w:id="727"/>
    </w:p>
    <w:p>
      <w:pPr>
        <w:pStyle w:val="14"/>
        <w:spacing w:line="240" w:lineRule="auto"/>
        <w:jc w:val="center"/>
        <w:rPr>
          <w:rFonts w:ascii="宋体" w:hAnsi="宋体" w:eastAsia="宋体"/>
          <w:b/>
          <w:bCs/>
          <w:color w:val="auto"/>
          <w:kern w:val="2"/>
          <w:sz w:val="24"/>
          <w:szCs w:val="24"/>
        </w:rPr>
      </w:pPr>
      <w:r>
        <w:rPr>
          <w:rFonts w:hint="eastAsia" w:ascii="宋体" w:hAnsi="宋体" w:eastAsia="宋体"/>
          <w:b/>
          <w:bCs/>
          <w:color w:val="auto"/>
          <w:kern w:val="2"/>
          <w:sz w:val="24"/>
          <w:szCs w:val="24"/>
        </w:rPr>
        <w:t>采购需求条款偏离表</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广东南都娱乐企业文化综合服务项目</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WJS-202301130002</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4"/>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3221"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招标文件的采购需求条款</w:t>
            </w: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投标文件的采购需求响应</w:t>
            </w: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0"/>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0"/>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0"/>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0"/>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0"/>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0"/>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spacing w:line="240" w:lineRule="auto"/>
              <w:ind w:left="46" w:hanging="46" w:hangingChars="22"/>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Theme="minorEastAsia" w:hAnsiTheme="minorEastAsia" w:eastAsiaTheme="minorEastAsia"/>
                <w:color w:val="auto"/>
                <w:sz w:val="24"/>
                <w:szCs w:val="32"/>
              </w:rPr>
            </w:pPr>
            <w:r>
              <w:rPr>
                <w:rFonts w:hint="eastAsia" w:ascii="宋体" w:hAnsi="宋体" w:eastAsia="宋体"/>
                <w:color w:val="auto"/>
                <w:sz w:val="21"/>
                <w:szCs w:val="21"/>
              </w:rPr>
              <w:t>（其余条款投标人可根据实际情况自行补充）</w:t>
            </w:r>
          </w:p>
        </w:tc>
        <w:tc>
          <w:tcPr>
            <w:tcW w:w="3221" w:type="dxa"/>
            <w:vAlign w:val="center"/>
          </w:tcPr>
          <w:p>
            <w:pPr>
              <w:pStyle w:val="14"/>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“第五章</w:t>
      </w:r>
      <w:r>
        <w:rPr>
          <w:rFonts w:ascii="宋体" w:hAnsi="宋体"/>
          <w:b/>
          <w:bCs/>
          <w:color w:val="auto"/>
          <w:szCs w:val="21"/>
        </w:rPr>
        <w:t xml:space="preserve"> </w:t>
      </w:r>
      <w:r>
        <w:rPr>
          <w:rFonts w:hint="eastAsia" w:ascii="宋体" w:hAnsi="宋体"/>
          <w:b/>
          <w:bCs/>
          <w:color w:val="auto"/>
          <w:szCs w:val="21"/>
        </w:rPr>
        <w:t>采购需求书”：</w:t>
      </w:r>
    </w:p>
    <w:p>
      <w:pPr>
        <w:rPr>
          <w:rFonts w:ascii="宋体" w:hAnsi="宋体"/>
          <w:bCs/>
          <w:color w:val="auto"/>
          <w:szCs w:val="21"/>
        </w:rPr>
      </w:pPr>
      <w:r>
        <w:rPr>
          <w:rFonts w:ascii="宋体" w:hAnsi="宋体"/>
          <w:bCs/>
          <w:color w:val="auto"/>
          <w:szCs w:val="21"/>
        </w:rPr>
        <w:t>1、如有优于招标文件要求的条件或与招标文件要求有偏离的条目应填写</w:t>
      </w:r>
      <w:r>
        <w:rPr>
          <w:rFonts w:hint="eastAsia" w:ascii="宋体" w:hAnsi="宋体"/>
          <w:b/>
          <w:bCs/>
          <w:color w:val="auto"/>
          <w:szCs w:val="21"/>
        </w:rPr>
        <w:t>“采购需求条款偏离表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w:t>
      </w:r>
      <w:r>
        <w:rPr>
          <w:rFonts w:hint="eastAsia" w:ascii="宋体" w:hAnsi="宋体"/>
          <w:color w:val="auto"/>
          <w:spacing w:val="-2"/>
          <w:szCs w:val="21"/>
        </w:rPr>
        <w:t>采购需求条款偏离表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w:t>
      </w:r>
      <w:r>
        <w:rPr>
          <w:rFonts w:hint="eastAsia" w:ascii="宋体" w:hAnsi="宋体"/>
          <w:b/>
          <w:bCs/>
          <w:color w:val="auto"/>
          <w:szCs w:val="21"/>
        </w:rPr>
        <w:t>“采购需求条款偏离表</w:t>
      </w:r>
      <w:r>
        <w:rPr>
          <w:rFonts w:hint="eastAsia" w:ascii="宋体" w:hAnsi="宋体"/>
          <w:bCs/>
          <w:color w:val="auto"/>
          <w:szCs w:val="21"/>
        </w:rPr>
        <w:t>”中“</w:t>
      </w:r>
      <w:r>
        <w:rPr>
          <w:rFonts w:hint="eastAsia" w:ascii="宋体" w:hAnsi="宋体"/>
          <w:color w:val="auto"/>
          <w:szCs w:val="21"/>
        </w:rPr>
        <w:t>投标文件的采购需求响应</w:t>
      </w:r>
      <w:r>
        <w:rPr>
          <w:rFonts w:hint="eastAsia" w:ascii="宋体" w:hAnsi="宋体"/>
          <w:bCs/>
          <w:color w:val="auto"/>
          <w:szCs w:val="21"/>
        </w:rPr>
        <w:t>”一栏中填写“全部条款无偏离”。若投标人提供空白表格，则视为“</w:t>
      </w:r>
      <w:r>
        <w:rPr>
          <w:rFonts w:hint="eastAsia" w:ascii="宋体" w:hAnsi="宋体"/>
          <w:b/>
          <w:color w:val="auto"/>
          <w:szCs w:val="21"/>
        </w:rPr>
        <w:t>采购需求条款全部响应无偏离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“采购需求条款偏离表”需加盖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14"/>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rPr>
          <w:rFonts w:ascii="宋体" w:hAnsi="宋体"/>
          <w:bCs/>
          <w:color w:val="auto"/>
          <w:szCs w:val="21"/>
        </w:rPr>
      </w:pPr>
    </w:p>
    <w:p>
      <w:pPr>
        <w:pStyle w:val="14"/>
        <w:spacing w:line="240" w:lineRule="auto"/>
        <w:jc w:val="right"/>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widowControl/>
        <w:jc w:val="left"/>
        <w:rPr>
          <w:rFonts w:ascii="宋体" w:hAnsi="宋体"/>
          <w:color w:val="auto"/>
          <w:kern w:val="0"/>
          <w:szCs w:val="21"/>
        </w:rPr>
      </w:pPr>
      <w:r>
        <w:rPr>
          <w:rFonts w:ascii="宋体" w:hAnsi="宋体"/>
          <w:color w:val="auto"/>
          <w:szCs w:val="21"/>
        </w:rPr>
        <w:br w:type="page"/>
      </w:r>
    </w:p>
    <w:p>
      <w:pPr>
        <w:pStyle w:val="37"/>
        <w:numPr>
          <w:ilvl w:val="0"/>
          <w:numId w:val="15"/>
        </w:numPr>
        <w:tabs>
          <w:tab w:val="left" w:pos="588"/>
        </w:tabs>
        <w:snapToGrid w:val="0"/>
        <w:spacing w:before="120" w:after="120" w:line="440" w:lineRule="exact"/>
        <w:jc w:val="left"/>
        <w:rPr>
          <w:rFonts w:ascii="宋体" w:hAnsi="宋体"/>
          <w:color w:val="auto"/>
          <w:sz w:val="24"/>
        </w:rPr>
      </w:pPr>
      <w:bookmarkStart w:id="728" w:name="_Toc13150"/>
      <w:bookmarkStart w:id="729" w:name="_Toc19736"/>
      <w:bookmarkStart w:id="730" w:name="_Toc56432244"/>
      <w:bookmarkStart w:id="731" w:name="_Toc16146"/>
      <w:r>
        <w:rPr>
          <w:rFonts w:hint="eastAsia" w:ascii="宋体" w:hAnsi="宋体"/>
          <w:color w:val="auto"/>
          <w:sz w:val="24"/>
        </w:rPr>
        <w:t>公章对投标专用章授权说明（如有）</w:t>
      </w:r>
      <w:bookmarkEnd w:id="728"/>
      <w:bookmarkEnd w:id="729"/>
      <w:bookmarkEnd w:id="730"/>
      <w:bookmarkEnd w:id="731"/>
    </w:p>
    <w:p>
      <w:pPr>
        <w:rPr>
          <w:rFonts w:ascii="宋体" w:hAnsi="宋体"/>
          <w:b/>
          <w:bCs/>
          <w:color w:val="auto"/>
          <w:sz w:val="24"/>
        </w:rPr>
      </w:pPr>
    </w:p>
    <w:p>
      <w:pPr>
        <w:adjustRightInd w:val="0"/>
        <w:snapToGrid w:val="0"/>
        <w:spacing w:line="440" w:lineRule="exact"/>
        <w:jc w:val="left"/>
        <w:rPr>
          <w:rFonts w:ascii="宋体" w:hAnsi="宋体" w:cs="宋体"/>
          <w:color w:val="auto"/>
          <w:szCs w:val="21"/>
        </w:rPr>
      </w:pPr>
      <w:r>
        <w:rPr>
          <w:rFonts w:hint="eastAsia" w:ascii="宋体" w:hAnsi="宋体" w:cs="宋体"/>
          <w:color w:val="auto"/>
          <w:szCs w:val="21"/>
        </w:rPr>
        <w:t>致：</w:t>
      </w:r>
      <w:r>
        <w:rPr>
          <w:rFonts w:ascii="宋体" w:hAnsi="宋体" w:cs="宋体"/>
          <w:color w:val="auto"/>
          <w:szCs w:val="21"/>
          <w:u w:val="single"/>
        </w:rPr>
        <w:t xml:space="preserve">    （</w:t>
      </w:r>
      <w:r>
        <w:rPr>
          <w:rFonts w:hint="eastAsia" w:ascii="宋体" w:hAnsi="宋体" w:cs="宋体"/>
          <w:color w:val="auto"/>
          <w:szCs w:val="21"/>
          <w:u w:val="single"/>
        </w:rPr>
        <w:t>招标人</w:t>
      </w:r>
      <w:r>
        <w:rPr>
          <w:rFonts w:ascii="宋体" w:hAnsi="宋体" w:cs="宋体"/>
          <w:color w:val="auto"/>
          <w:szCs w:val="21"/>
          <w:u w:val="single"/>
        </w:rPr>
        <w:t xml:space="preserve">名称）        </w:t>
      </w:r>
      <w:r>
        <w:rPr>
          <w:rFonts w:ascii="宋体" w:hAnsi="宋体" w:cs="宋体"/>
          <w:color w:val="auto"/>
          <w:szCs w:val="21"/>
        </w:rPr>
        <w:t>：</w:t>
      </w:r>
    </w:p>
    <w:p>
      <w:pPr>
        <w:spacing w:line="360" w:lineRule="auto"/>
        <w:ind w:firstLine="420" w:firstLineChars="200"/>
        <w:rPr>
          <w:color w:val="auto"/>
        </w:rPr>
      </w:pPr>
      <w:r>
        <w:rPr>
          <w:rFonts w:hint="eastAsia"/>
          <w:color w:val="auto"/>
          <w:u w:val="single"/>
        </w:rPr>
        <w:t>（投标单位）</w:t>
      </w:r>
      <w:r>
        <w:rPr>
          <w:rFonts w:hint="eastAsia"/>
          <w:color w:val="auto"/>
        </w:rPr>
        <w:t>，是中华人民共和国依法登记注册的合法企业，注册地址：</w:t>
      </w:r>
      <w:r>
        <w:rPr>
          <w:color w:val="auto"/>
          <w:u w:val="single"/>
        </w:rPr>
        <w:t xml:space="preserve">          </w:t>
      </w:r>
      <w:r>
        <w:rPr>
          <w:rFonts w:hint="eastAsia"/>
          <w:color w:val="auto"/>
        </w:rPr>
        <w:t>，法定代表人：</w:t>
      </w:r>
      <w:r>
        <w:rPr>
          <w:color w:val="auto"/>
        </w:rPr>
        <w:t>__________</w:t>
      </w:r>
      <w:r>
        <w:rPr>
          <w:rFonts w:hint="eastAsia"/>
          <w:color w:val="auto"/>
        </w:rPr>
        <w:t>。</w:t>
      </w:r>
    </w:p>
    <w:p>
      <w:pPr>
        <w:spacing w:line="360" w:lineRule="auto"/>
        <w:ind w:firstLine="420" w:firstLineChars="200"/>
        <w:rPr>
          <w:color w:val="auto"/>
        </w:rPr>
      </w:pPr>
      <w:r>
        <w:rPr>
          <w:rFonts w:hint="eastAsia"/>
          <w:color w:val="auto"/>
        </w:rPr>
        <w:t>在贵单位采购项目：</w:t>
      </w:r>
      <w:r>
        <w:rPr>
          <w:color w:val="auto"/>
        </w:rPr>
        <w:t>_____________________</w:t>
      </w:r>
      <w:r>
        <w:rPr>
          <w:rFonts w:hint="eastAsia"/>
          <w:color w:val="auto"/>
        </w:rPr>
        <w:t>，招标代理编号：</w:t>
      </w:r>
      <w:r>
        <w:rPr>
          <w:color w:val="auto"/>
        </w:rPr>
        <w:t>___________</w:t>
      </w:r>
      <w:r>
        <w:rPr>
          <w:rFonts w:hint="eastAsia"/>
          <w:color w:val="auto"/>
        </w:rPr>
        <w:t>，投标单位针对以上招投标项目活动，在此作如下说明： </w:t>
      </w:r>
    </w:p>
    <w:p>
      <w:pPr>
        <w:spacing w:line="360" w:lineRule="auto"/>
        <w:ind w:firstLine="420" w:firstLineChars="200"/>
        <w:rPr>
          <w:color w:val="auto"/>
        </w:rPr>
      </w:pPr>
      <w:r>
        <w:rPr>
          <w:rFonts w:hint="eastAsia"/>
          <w:color w:val="auto"/>
        </w:rPr>
        <w:t>在此次招投标中，投标单位所使用的“投标专用章”与投标单位公章具有同等的法律效力，投标单位对所使用“投标专用章”的行为和相应责任予以完全承认。特此说明。</w:t>
      </w:r>
    </w:p>
    <w:p>
      <w:pPr>
        <w:spacing w:line="360" w:lineRule="auto"/>
        <w:ind w:firstLine="4638" w:firstLineChars="2200"/>
        <w:rPr>
          <w:b/>
          <w:color w:val="auto"/>
        </w:rPr>
      </w:pPr>
      <w:r>
        <w:rPr>
          <w:rFonts w:hint="eastAsia"/>
          <w:b/>
          <w:color w:val="auto"/>
        </w:rPr>
        <w:t>投标单位（单位公章）：</w:t>
      </w:r>
    </w:p>
    <w:p>
      <w:pPr>
        <w:spacing w:line="360" w:lineRule="auto"/>
        <w:ind w:firstLine="4620" w:firstLineChars="2200"/>
        <w:rPr>
          <w:color w:val="auto"/>
        </w:rPr>
      </w:pPr>
      <w:r>
        <w:rPr>
          <w:rFonts w:hint="eastAsia"/>
          <w:color w:val="auto"/>
        </w:rPr>
        <w:t>法定代表人签字或盖章：</w:t>
      </w:r>
    </w:p>
    <w:p>
      <w:pPr>
        <w:spacing w:line="360" w:lineRule="auto"/>
        <w:ind w:firstLine="4620" w:firstLineChars="2200"/>
        <w:rPr>
          <w:color w:val="auto"/>
        </w:rPr>
      </w:pPr>
      <w:r>
        <w:rPr>
          <w:rFonts w:hint="eastAsia"/>
          <w:color w:val="auto"/>
        </w:rPr>
        <w:t>日</w:t>
      </w:r>
      <w:r>
        <w:rPr>
          <w:color w:val="auto"/>
        </w:rPr>
        <w:t xml:space="preserve"> </w:t>
      </w:r>
      <w:r>
        <w:rPr>
          <w:rFonts w:hint="eastAsia"/>
          <w:color w:val="auto"/>
        </w:rPr>
        <w:t>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pPr>
        <w:spacing w:line="360" w:lineRule="auto"/>
        <w:rPr>
          <w:color w:val="auto"/>
        </w:rPr>
      </w:pPr>
      <w:r>
        <w:rPr>
          <w:rFonts w:hint="eastAsia"/>
          <w:color w:val="auto"/>
        </w:rPr>
        <w:t>附：</w:t>
      </w:r>
    </w:p>
    <w:p>
      <w:pPr>
        <w:spacing w:line="360" w:lineRule="auto"/>
        <w:rPr>
          <w:color w:val="auto"/>
        </w:rPr>
      </w:pPr>
      <w:r>
        <w:rPr>
          <w:rFonts w:hint="eastAsia" w:ascii="宋体" w:hAnsi="宋体"/>
          <w:b/>
          <w:color w:val="auto"/>
          <w:szCs w:val="21"/>
        </w:rPr>
        <w:t>同时</w:t>
      </w:r>
      <w:r>
        <w:rPr>
          <w:rFonts w:hint="eastAsia"/>
          <w:b/>
          <w:color w:val="auto"/>
        </w:rPr>
        <w:t>提供投标专用章在公安、工商等部门的备案手续复印件（加盖单位公章）</w:t>
      </w:r>
    </w:p>
    <w:p>
      <w:pPr>
        <w:spacing w:line="360" w:lineRule="auto"/>
        <w:rPr>
          <w:color w:val="auto"/>
        </w:rPr>
      </w:pPr>
      <w:r>
        <w:rPr>
          <w:rFonts w:hint="eastAsia"/>
          <w:color w:val="auto"/>
        </w:rPr>
        <w:t>投标单位公章（印模）</w:t>
      </w:r>
      <w:r>
        <w:rPr>
          <w:color w:val="auto"/>
        </w:rPr>
        <w:t xml:space="preserve">                             </w:t>
      </w:r>
      <w:r>
        <w:rPr>
          <w:rFonts w:hint="eastAsia"/>
          <w:color w:val="auto"/>
        </w:rPr>
        <w:t>投标单位投标专用章（印模）</w:t>
      </w:r>
      <w:r>
        <w:rPr>
          <w:color w:val="auto"/>
        </w:rPr>
        <mc:AlternateContent>
          <mc:Choice Requires="wps">
            <w:drawing>
              <wp:anchor distT="0" distB="0" distL="114300" distR="114300" simplePos="0" relativeHeight="251664384" behindDoc="0" locked="0" layoutInCell="1" allowOverlap="1">
                <wp:simplePos x="0" y="0"/>
                <wp:positionH relativeFrom="column">
                  <wp:posOffset>2937510</wp:posOffset>
                </wp:positionH>
                <wp:positionV relativeFrom="paragraph">
                  <wp:posOffset>267335</wp:posOffset>
                </wp:positionV>
                <wp:extent cx="2665730" cy="1966595"/>
                <wp:effectExtent l="6350" t="6350" r="20320" b="8255"/>
                <wp:wrapNone/>
                <wp:docPr id="7" name="矩形 8"/>
                <wp:cNvGraphicFramePr/>
                <a:graphic xmlns:a="http://schemas.openxmlformats.org/drawingml/2006/main">
                  <a:graphicData uri="http://schemas.microsoft.com/office/word/2010/wordprocessingShape">
                    <wps:wsp>
                      <wps:cNvSpPr/>
                      <wps:spPr>
                        <a:xfrm>
                          <a:off x="0" y="0"/>
                          <a:ext cx="2665730"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8" o:spid="_x0000_s1026" o:spt="1" style="position:absolute;left:0pt;margin-left:231.3pt;margin-top:21.05pt;height:154.85pt;width:209.9pt;z-index:251664384;v-text-anchor:middle;mso-width-relative:page;mso-height-relative:page;" filled="f" stroked="t" coordsize="21600,21600" o:gfxdata="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pcWnbAAAACgEAAA8AAAAA&#10;AAAAAQAgAAAAIgAAAGRycy9kb3ducmV2LnhtbFBLAQIUABQAAAAIAIdO4kDNDw7DEQIAACsEAAAO&#10;AAAAAAAAAAEAIAAAACoBAABkcnMvZTJvRG9jLnhtbFBLBQYAAAAABgAGAFkBAACtBQAAAAA=&#10;">
                <v:fill on="f" focussize="0,0"/>
                <v:stroke weight="1pt" color="#41719C" joinstyle="miter"/>
                <v:imagedata o:title=""/>
                <o:lock v:ext="edit" aspectratio="f"/>
                <v:textbox>
                  <w:txbxContent>
                    <w:p>
                      <w:pPr>
                        <w:jc w:val="center"/>
                      </w:pPr>
                    </w:p>
                  </w:txbxContent>
                </v:textbox>
              </v:rect>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267335</wp:posOffset>
                </wp:positionV>
                <wp:extent cx="2380615" cy="1966595"/>
                <wp:effectExtent l="6350" t="6350" r="26035" b="8255"/>
                <wp:wrapNone/>
                <wp:docPr id="6" name="矩形 7"/>
                <wp:cNvGraphicFramePr/>
                <a:graphic xmlns:a="http://schemas.openxmlformats.org/drawingml/2006/main">
                  <a:graphicData uri="http://schemas.microsoft.com/office/word/2010/wordprocessingShape">
                    <wps:wsp>
                      <wps:cNvSpPr/>
                      <wps:spPr>
                        <a:xfrm>
                          <a:off x="0" y="0"/>
                          <a:ext cx="2380615"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7" o:spid="_x0000_s1026" o:spt="1" style="position:absolute;left:0pt;margin-left:-3.05pt;margin-top:21.05pt;height:154.85pt;width:187.45pt;z-index:251663360;v-text-anchor:middle;mso-width-relative:page;mso-height-relative:page;" filled="f" stroked="t" coordsize="21600,21600" o:gfxdata="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WD0E2gAAAAkBAAAPAAAA&#10;AAAAAAEAIAAAACIAAABkcnMvZG93bnJldi54bWxQSwECFAAUAAAACACHTuJAifcCTBMCAAArBAAA&#10;DgAAAAAAAAABACAAAAApAQAAZHJzL2Uyb0RvYy54bWxQSwUGAAAAAAYABgBZAQAArgUAAAAA&#10;">
                <v:fill on="f" focussize="0,0"/>
                <v:stroke weight="1pt" color="#41719C" joinstyle="miter"/>
                <v:imagedata o:title=""/>
                <o:lock v:ext="edit" aspectratio="f"/>
                <v:textbox>
                  <w:txbxContent>
                    <w:p>
                      <w:pPr>
                        <w:jc w:val="center"/>
                      </w:pPr>
                    </w:p>
                  </w:txbxContent>
                </v:textbox>
              </v:rect>
            </w:pict>
          </mc:Fallback>
        </mc:AlternateContent>
      </w:r>
    </w:p>
    <w:p>
      <w:pPr>
        <w:spacing w:line="360" w:lineRule="auto"/>
        <w:rPr>
          <w:color w:val="auto"/>
        </w:rPr>
      </w:pPr>
    </w:p>
    <w:p>
      <w:pPr>
        <w:pStyle w:val="14"/>
        <w:spacing w:line="360" w:lineRule="auto"/>
        <w:rPr>
          <w:rFonts w:ascii="仿宋_GB2312" w:hAnsi="宋体" w:eastAsia="仿宋_GB2312"/>
          <w:bCs/>
          <w:color w:val="auto"/>
          <w:szCs w:val="21"/>
        </w:rPr>
      </w:pPr>
    </w:p>
    <w:p>
      <w:pPr>
        <w:spacing w:line="360" w:lineRule="auto"/>
        <w:rPr>
          <w:color w:val="auto"/>
          <w:kern w:val="0"/>
        </w:rPr>
      </w:pPr>
    </w:p>
    <w:p>
      <w:pPr>
        <w:spacing w:line="360" w:lineRule="auto"/>
        <w:ind w:left="2879" w:leftChars="1371"/>
        <w:jc w:val="right"/>
        <w:rPr>
          <w:rFonts w:ascii="宋体" w:hAnsi="宋体"/>
          <w:color w:val="auto"/>
          <w:sz w:val="24"/>
        </w:rPr>
      </w:pPr>
    </w:p>
    <w:p>
      <w:pPr>
        <w:widowControl/>
        <w:jc w:val="left"/>
        <w:rPr>
          <w:rFonts w:ascii="宋体" w:hAnsi="宋体" w:cs="宋体"/>
          <w:color w:val="auto"/>
          <w:szCs w:val="21"/>
        </w:rPr>
      </w:pPr>
      <w:r>
        <w:rPr>
          <w:color w:val="auto"/>
        </w:rPr>
        <w:br w:type="page"/>
      </w:r>
    </w:p>
    <w:p>
      <w:pPr>
        <w:pStyle w:val="37"/>
        <w:tabs>
          <w:tab w:val="left" w:pos="588"/>
        </w:tabs>
        <w:snapToGrid w:val="0"/>
        <w:spacing w:before="120" w:after="120" w:line="440" w:lineRule="exact"/>
        <w:jc w:val="left"/>
        <w:rPr>
          <w:rFonts w:ascii="宋体" w:hAnsi="宋体"/>
          <w:color w:val="auto"/>
          <w:sz w:val="24"/>
          <w:szCs w:val="24"/>
        </w:rPr>
      </w:pPr>
      <w:bookmarkStart w:id="732" w:name="_Toc3110"/>
      <w:bookmarkStart w:id="733" w:name="_Toc20183"/>
      <w:bookmarkStart w:id="734" w:name="_Toc2178"/>
      <w:bookmarkStart w:id="735" w:name="_Toc1651914"/>
      <w:r>
        <w:rPr>
          <w:rFonts w:hint="eastAsia" w:ascii="宋体" w:hAnsi="宋体"/>
          <w:color w:val="auto"/>
          <w:sz w:val="24"/>
          <w:szCs w:val="24"/>
        </w:rPr>
        <w:t>11.同类业绩表</w:t>
      </w:r>
      <w:bookmarkEnd w:id="732"/>
      <w:bookmarkEnd w:id="733"/>
    </w:p>
    <w:p>
      <w:pPr>
        <w:jc w:val="center"/>
        <w:rPr>
          <w:color w:val="auto"/>
        </w:rPr>
      </w:pPr>
      <w:r>
        <w:rPr>
          <w:color w:val="auto"/>
        </w:rPr>
        <w:t>20</w:t>
      </w:r>
      <w:r>
        <w:rPr>
          <w:rFonts w:hint="eastAsia"/>
          <w:color w:val="auto"/>
          <w:lang w:val="en-US" w:eastAsia="zh-CN"/>
        </w:rPr>
        <w:t>19</w:t>
      </w:r>
      <w:r>
        <w:rPr>
          <w:rFonts w:hint="eastAsia"/>
          <w:color w:val="auto"/>
        </w:rPr>
        <w:t>年</w:t>
      </w:r>
      <w:r>
        <w:rPr>
          <w:color w:val="auto"/>
        </w:rPr>
        <w:t>1</w:t>
      </w:r>
      <w:r>
        <w:rPr>
          <w:rFonts w:hint="eastAsia"/>
          <w:color w:val="auto"/>
        </w:rPr>
        <w:t>月</w:t>
      </w:r>
      <w:r>
        <w:rPr>
          <w:color w:val="auto"/>
        </w:rPr>
        <w:t>1</w:t>
      </w:r>
      <w:r>
        <w:rPr>
          <w:rFonts w:hint="eastAsia"/>
          <w:color w:val="auto"/>
        </w:rPr>
        <w:t>日（含）至今具备的同类项目情况表</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00"/>
        <w:gridCol w:w="1324"/>
        <w:gridCol w:w="951"/>
        <w:gridCol w:w="951"/>
        <w:gridCol w:w="951"/>
        <w:gridCol w:w="703"/>
        <w:gridCol w:w="703"/>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73" w:type="pct"/>
            <w:vAlign w:val="center"/>
          </w:tcPr>
          <w:p>
            <w:pPr>
              <w:jc w:val="center"/>
              <w:rPr>
                <w:rFonts w:ascii="宋体" w:hAnsi="宋体"/>
                <w:bCs/>
                <w:color w:val="auto"/>
                <w:szCs w:val="21"/>
              </w:rPr>
            </w:pPr>
            <w:r>
              <w:rPr>
                <w:rFonts w:hint="eastAsia" w:ascii="宋体" w:hAnsi="宋体"/>
                <w:bCs/>
                <w:color w:val="auto"/>
                <w:szCs w:val="21"/>
              </w:rPr>
              <w:t>序号</w:t>
            </w:r>
          </w:p>
        </w:tc>
        <w:tc>
          <w:tcPr>
            <w:tcW w:w="703" w:type="pct"/>
            <w:vAlign w:val="center"/>
          </w:tcPr>
          <w:p>
            <w:pPr>
              <w:jc w:val="center"/>
              <w:rPr>
                <w:rFonts w:ascii="宋体" w:hAnsi="宋体"/>
                <w:bCs/>
                <w:color w:val="auto"/>
                <w:szCs w:val="21"/>
              </w:rPr>
            </w:pPr>
            <w:r>
              <w:rPr>
                <w:rFonts w:hint="eastAsia" w:ascii="宋体" w:hAnsi="宋体"/>
                <w:bCs/>
                <w:color w:val="auto"/>
                <w:szCs w:val="21"/>
                <w:lang w:val="en-US" w:eastAsia="zh-CN"/>
              </w:rPr>
              <w:t>合同</w:t>
            </w:r>
            <w:r>
              <w:rPr>
                <w:rFonts w:hint="eastAsia" w:ascii="宋体" w:hAnsi="宋体"/>
                <w:bCs/>
                <w:color w:val="auto"/>
                <w:szCs w:val="21"/>
              </w:rPr>
              <w:t>名称</w:t>
            </w:r>
          </w:p>
        </w:tc>
        <w:tc>
          <w:tcPr>
            <w:tcW w:w="776" w:type="pct"/>
            <w:vAlign w:val="center"/>
          </w:tcPr>
          <w:p>
            <w:pPr>
              <w:jc w:val="center"/>
              <w:rPr>
                <w:rFonts w:ascii="宋体" w:hAnsi="宋体"/>
                <w:bCs/>
                <w:color w:val="auto"/>
                <w:szCs w:val="21"/>
              </w:rPr>
            </w:pPr>
            <w:r>
              <w:rPr>
                <w:rFonts w:hint="eastAsia" w:ascii="宋体" w:hAnsi="宋体"/>
                <w:bCs/>
                <w:color w:val="auto"/>
                <w:szCs w:val="21"/>
              </w:rPr>
              <w:t>业绩类型</w:t>
            </w:r>
          </w:p>
        </w:tc>
        <w:tc>
          <w:tcPr>
            <w:tcW w:w="557" w:type="pct"/>
            <w:vAlign w:val="center"/>
          </w:tcPr>
          <w:p>
            <w:pPr>
              <w:jc w:val="center"/>
              <w:rPr>
                <w:rFonts w:ascii="宋体" w:hAnsi="宋体"/>
                <w:bCs/>
                <w:color w:val="auto"/>
                <w:szCs w:val="21"/>
              </w:rPr>
            </w:pPr>
            <w:r>
              <w:rPr>
                <w:rFonts w:hint="eastAsia" w:ascii="宋体" w:hAnsi="宋体"/>
                <w:bCs/>
                <w:color w:val="auto"/>
                <w:szCs w:val="21"/>
              </w:rPr>
              <w:t>合同金额</w:t>
            </w:r>
          </w:p>
        </w:tc>
        <w:tc>
          <w:tcPr>
            <w:tcW w:w="557" w:type="pct"/>
            <w:vAlign w:val="center"/>
          </w:tcPr>
          <w:p>
            <w:pPr>
              <w:jc w:val="center"/>
              <w:rPr>
                <w:rFonts w:ascii="宋体" w:hAnsi="宋体"/>
                <w:bCs/>
                <w:color w:val="auto"/>
                <w:szCs w:val="21"/>
              </w:rPr>
            </w:pPr>
            <w:r>
              <w:rPr>
                <w:rFonts w:hint="eastAsia" w:ascii="宋体" w:hAnsi="宋体"/>
                <w:bCs/>
                <w:color w:val="auto"/>
                <w:szCs w:val="21"/>
              </w:rPr>
              <w:t>甲方名称</w:t>
            </w:r>
          </w:p>
        </w:tc>
        <w:tc>
          <w:tcPr>
            <w:tcW w:w="557" w:type="pct"/>
            <w:vAlign w:val="center"/>
          </w:tcPr>
          <w:p>
            <w:pPr>
              <w:jc w:val="center"/>
              <w:rPr>
                <w:rFonts w:ascii="宋体" w:hAnsi="宋体"/>
                <w:bCs/>
                <w:color w:val="auto"/>
                <w:szCs w:val="21"/>
              </w:rPr>
            </w:pPr>
            <w:r>
              <w:rPr>
                <w:rFonts w:hint="eastAsia" w:ascii="宋体" w:hAnsi="宋体"/>
                <w:bCs/>
                <w:color w:val="auto"/>
                <w:szCs w:val="21"/>
              </w:rPr>
              <w:t>签订合同时间</w:t>
            </w:r>
          </w:p>
        </w:tc>
        <w:tc>
          <w:tcPr>
            <w:tcW w:w="412" w:type="pct"/>
            <w:vAlign w:val="center"/>
          </w:tcPr>
          <w:p>
            <w:pPr>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是否获得甲方服务评价</w:t>
            </w:r>
          </w:p>
        </w:tc>
        <w:tc>
          <w:tcPr>
            <w:tcW w:w="412" w:type="pct"/>
            <w:vAlign w:val="center"/>
          </w:tcPr>
          <w:p>
            <w:pPr>
              <w:jc w:val="center"/>
              <w:rPr>
                <w:rFonts w:ascii="宋体" w:hAnsi="宋体"/>
                <w:bCs/>
                <w:color w:val="auto"/>
                <w:szCs w:val="21"/>
              </w:rPr>
            </w:pPr>
            <w:r>
              <w:rPr>
                <w:rFonts w:hint="eastAsia" w:ascii="宋体" w:hAnsi="宋体"/>
                <w:bCs/>
                <w:color w:val="auto"/>
                <w:szCs w:val="21"/>
              </w:rPr>
              <w:t>项目负责人</w:t>
            </w:r>
          </w:p>
        </w:tc>
        <w:tc>
          <w:tcPr>
            <w:tcW w:w="647" w:type="pct"/>
            <w:vAlign w:val="center"/>
          </w:tcPr>
          <w:p>
            <w:pPr>
              <w:jc w:val="center"/>
              <w:rPr>
                <w:rFonts w:ascii="宋体" w:hAnsi="宋体"/>
                <w:bCs/>
                <w:color w:val="auto"/>
                <w:szCs w:val="21"/>
              </w:rPr>
            </w:pPr>
            <w:r>
              <w:rPr>
                <w:rFonts w:hint="eastAsia" w:ascii="Verdana" w:hAnsi="Verdana"/>
                <w:color w:val="auto"/>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 w:type="pct"/>
            <w:vAlign w:val="center"/>
          </w:tcPr>
          <w:p>
            <w:pPr>
              <w:jc w:val="center"/>
              <w:rPr>
                <w:rFonts w:ascii="宋体" w:hAnsi="宋体"/>
                <w:color w:val="auto"/>
                <w:szCs w:val="21"/>
              </w:rPr>
            </w:pPr>
            <w:r>
              <w:rPr>
                <w:rFonts w:hint="eastAsia" w:ascii="宋体" w:hAnsi="宋体"/>
                <w:color w:val="auto"/>
                <w:szCs w:val="21"/>
                <w:lang w:val="en-US" w:eastAsia="zh-CN"/>
              </w:rPr>
              <w:t>1</w:t>
            </w:r>
          </w:p>
        </w:tc>
        <w:tc>
          <w:tcPr>
            <w:tcW w:w="703" w:type="pct"/>
            <w:vAlign w:val="center"/>
          </w:tcPr>
          <w:p>
            <w:pPr>
              <w:widowControl/>
              <w:jc w:val="center"/>
              <w:rPr>
                <w:rFonts w:ascii="宋体" w:hAnsi="宋体"/>
                <w:color w:val="auto"/>
                <w:szCs w:val="21"/>
              </w:rPr>
            </w:pPr>
          </w:p>
          <w:p>
            <w:pPr>
              <w:jc w:val="center"/>
              <w:rPr>
                <w:rFonts w:ascii="宋体" w:hAnsi="宋体"/>
                <w:color w:val="auto"/>
                <w:szCs w:val="21"/>
              </w:rPr>
            </w:pPr>
          </w:p>
        </w:tc>
        <w:tc>
          <w:tcPr>
            <w:tcW w:w="776" w:type="pct"/>
            <w:vAlign w:val="center"/>
          </w:tcPr>
          <w:p>
            <w:pPr>
              <w:jc w:val="center"/>
              <w:rPr>
                <w:rFonts w:ascii="宋体" w:hAnsi="宋体"/>
                <w:color w:val="auto"/>
                <w:szCs w:val="21"/>
              </w:rPr>
            </w:pPr>
            <w:r>
              <w:rPr>
                <w:rFonts w:hint="eastAsia" w:ascii="宋体" w:hAnsi="宋体"/>
                <w:i/>
                <w:iCs/>
                <w:color w:val="auto"/>
                <w:sz w:val="18"/>
                <w:szCs w:val="18"/>
                <w:u w:val="single"/>
              </w:rPr>
              <w:t>（请选填：</w:t>
            </w:r>
            <w:r>
              <w:rPr>
                <w:rFonts w:hint="eastAsia" w:ascii="宋体" w:hAnsi="宋体"/>
                <w:i/>
                <w:iCs/>
                <w:color w:val="auto"/>
                <w:sz w:val="18"/>
                <w:szCs w:val="18"/>
                <w:u w:val="single"/>
                <w:lang w:val="en-US" w:eastAsia="zh-CN"/>
              </w:rPr>
              <w:t>文</w:t>
            </w:r>
            <w:r>
              <w:rPr>
                <w:rFonts w:hint="eastAsia" w:ascii="宋体" w:hAnsi="宋体"/>
                <w:i/>
                <w:iCs/>
                <w:color w:val="auto"/>
                <w:sz w:val="18"/>
                <w:szCs w:val="18"/>
                <w:u w:val="single"/>
              </w:rPr>
              <w:t>化类活动策划执行/文化类线上平台运营服务/文化类视频拍摄）</w:t>
            </w:r>
          </w:p>
        </w:tc>
        <w:tc>
          <w:tcPr>
            <w:tcW w:w="557"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412" w:type="pct"/>
            <w:vAlign w:val="center"/>
          </w:tcPr>
          <w:p>
            <w:pPr>
              <w:jc w:val="center"/>
              <w:rPr>
                <w:rFonts w:hint="default" w:ascii="宋体" w:hAnsi="宋体" w:eastAsia="宋体"/>
                <w:color w:val="auto"/>
                <w:szCs w:val="21"/>
                <w:lang w:val="en-US" w:eastAsia="zh-CN"/>
              </w:rPr>
            </w:pPr>
            <w:r>
              <w:rPr>
                <w:rFonts w:hint="eastAsia" w:ascii="宋体" w:hAnsi="宋体"/>
                <w:i/>
                <w:iCs/>
                <w:color w:val="auto"/>
                <w:sz w:val="18"/>
                <w:szCs w:val="18"/>
                <w:u w:val="single"/>
              </w:rPr>
              <w:t>（请选填：</w:t>
            </w:r>
            <w:r>
              <w:rPr>
                <w:rFonts w:hint="eastAsia" w:ascii="宋体" w:hAnsi="宋体"/>
                <w:i/>
                <w:iCs/>
                <w:color w:val="auto"/>
                <w:sz w:val="18"/>
                <w:szCs w:val="18"/>
                <w:u w:val="single"/>
                <w:lang w:val="en-US" w:eastAsia="zh-CN"/>
              </w:rPr>
              <w:t>是/否）</w:t>
            </w:r>
          </w:p>
        </w:tc>
        <w:tc>
          <w:tcPr>
            <w:tcW w:w="412" w:type="pct"/>
            <w:vAlign w:val="center"/>
          </w:tcPr>
          <w:p>
            <w:pPr>
              <w:jc w:val="center"/>
              <w:rPr>
                <w:rFonts w:ascii="宋体" w:hAnsi="宋体"/>
                <w:color w:val="auto"/>
                <w:szCs w:val="21"/>
              </w:rPr>
            </w:pPr>
          </w:p>
        </w:tc>
        <w:tc>
          <w:tcPr>
            <w:tcW w:w="647" w:type="pct"/>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73" w:type="pct"/>
            <w:vAlign w:val="center"/>
          </w:tcPr>
          <w:p>
            <w:pPr>
              <w:jc w:val="center"/>
              <w:rPr>
                <w:rFonts w:ascii="宋体" w:hAnsi="宋体"/>
                <w:color w:val="auto"/>
                <w:szCs w:val="21"/>
              </w:rPr>
            </w:pPr>
            <w:r>
              <w:rPr>
                <w:rFonts w:hint="eastAsia" w:ascii="宋体" w:hAnsi="宋体"/>
                <w:color w:val="auto"/>
                <w:szCs w:val="21"/>
                <w:lang w:val="en-US" w:eastAsia="zh-CN"/>
              </w:rPr>
              <w:t>2</w:t>
            </w:r>
          </w:p>
        </w:tc>
        <w:tc>
          <w:tcPr>
            <w:tcW w:w="703" w:type="pct"/>
            <w:vAlign w:val="center"/>
          </w:tcPr>
          <w:p>
            <w:pPr>
              <w:widowControl/>
              <w:jc w:val="center"/>
              <w:rPr>
                <w:rFonts w:ascii="宋体" w:hAnsi="宋体"/>
                <w:color w:val="auto"/>
                <w:szCs w:val="21"/>
              </w:rPr>
            </w:pPr>
          </w:p>
          <w:p>
            <w:pPr>
              <w:jc w:val="center"/>
              <w:rPr>
                <w:rFonts w:ascii="宋体" w:hAnsi="宋体"/>
                <w:color w:val="auto"/>
                <w:szCs w:val="21"/>
              </w:rPr>
            </w:pPr>
          </w:p>
        </w:tc>
        <w:tc>
          <w:tcPr>
            <w:tcW w:w="776"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412" w:type="pct"/>
            <w:vAlign w:val="center"/>
          </w:tcPr>
          <w:p>
            <w:pPr>
              <w:jc w:val="center"/>
              <w:rPr>
                <w:rFonts w:ascii="宋体" w:hAnsi="宋体"/>
                <w:color w:val="auto"/>
                <w:szCs w:val="21"/>
              </w:rPr>
            </w:pPr>
          </w:p>
        </w:tc>
        <w:tc>
          <w:tcPr>
            <w:tcW w:w="412" w:type="pct"/>
            <w:vAlign w:val="center"/>
          </w:tcPr>
          <w:p>
            <w:pPr>
              <w:jc w:val="center"/>
              <w:rPr>
                <w:rFonts w:ascii="宋体" w:hAnsi="宋体"/>
                <w:color w:val="auto"/>
                <w:szCs w:val="21"/>
              </w:rPr>
            </w:pPr>
          </w:p>
        </w:tc>
        <w:tc>
          <w:tcPr>
            <w:tcW w:w="647" w:type="pct"/>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 w:type="pct"/>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703" w:type="pct"/>
            <w:vAlign w:val="center"/>
          </w:tcPr>
          <w:p>
            <w:pPr>
              <w:widowControl/>
              <w:jc w:val="center"/>
              <w:rPr>
                <w:rFonts w:ascii="宋体" w:hAnsi="宋体"/>
                <w:color w:val="auto"/>
                <w:szCs w:val="21"/>
              </w:rPr>
            </w:pPr>
          </w:p>
          <w:p>
            <w:pPr>
              <w:jc w:val="center"/>
              <w:rPr>
                <w:rFonts w:ascii="宋体" w:hAnsi="宋体"/>
                <w:color w:val="auto"/>
                <w:szCs w:val="21"/>
              </w:rPr>
            </w:pPr>
          </w:p>
        </w:tc>
        <w:tc>
          <w:tcPr>
            <w:tcW w:w="776"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412" w:type="pct"/>
            <w:vAlign w:val="center"/>
          </w:tcPr>
          <w:p>
            <w:pPr>
              <w:jc w:val="center"/>
              <w:rPr>
                <w:rFonts w:ascii="宋体" w:hAnsi="宋体"/>
                <w:color w:val="auto"/>
                <w:szCs w:val="21"/>
              </w:rPr>
            </w:pPr>
          </w:p>
        </w:tc>
        <w:tc>
          <w:tcPr>
            <w:tcW w:w="412" w:type="pct"/>
            <w:vAlign w:val="center"/>
          </w:tcPr>
          <w:p>
            <w:pPr>
              <w:jc w:val="center"/>
              <w:rPr>
                <w:rFonts w:ascii="宋体" w:hAnsi="宋体"/>
                <w:color w:val="auto"/>
                <w:szCs w:val="21"/>
              </w:rPr>
            </w:pPr>
          </w:p>
        </w:tc>
        <w:tc>
          <w:tcPr>
            <w:tcW w:w="647" w:type="pct"/>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73" w:type="pct"/>
            <w:vAlign w:val="center"/>
          </w:tcPr>
          <w:p>
            <w:pPr>
              <w:jc w:val="center"/>
              <w:rPr>
                <w:rFonts w:ascii="宋体" w:hAnsi="宋体"/>
                <w:color w:val="auto"/>
                <w:szCs w:val="21"/>
              </w:rPr>
            </w:pPr>
            <w:r>
              <w:rPr>
                <w:rFonts w:hint="eastAsia" w:ascii="宋体" w:hAnsi="宋体"/>
                <w:color w:val="auto"/>
                <w:szCs w:val="21"/>
                <w:lang w:val="en-US" w:eastAsia="zh-CN"/>
              </w:rPr>
              <w:t>4</w:t>
            </w:r>
          </w:p>
        </w:tc>
        <w:tc>
          <w:tcPr>
            <w:tcW w:w="703" w:type="pct"/>
            <w:vAlign w:val="center"/>
          </w:tcPr>
          <w:p>
            <w:pPr>
              <w:widowControl/>
              <w:jc w:val="center"/>
              <w:rPr>
                <w:rFonts w:ascii="宋体" w:hAnsi="宋体"/>
                <w:color w:val="auto"/>
                <w:szCs w:val="21"/>
              </w:rPr>
            </w:pPr>
          </w:p>
          <w:p>
            <w:pPr>
              <w:jc w:val="center"/>
              <w:rPr>
                <w:rFonts w:ascii="宋体" w:hAnsi="宋体"/>
                <w:color w:val="auto"/>
                <w:szCs w:val="21"/>
              </w:rPr>
            </w:pPr>
          </w:p>
        </w:tc>
        <w:tc>
          <w:tcPr>
            <w:tcW w:w="776"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412" w:type="pct"/>
            <w:vAlign w:val="center"/>
          </w:tcPr>
          <w:p>
            <w:pPr>
              <w:jc w:val="center"/>
              <w:rPr>
                <w:rFonts w:ascii="宋体" w:hAnsi="宋体"/>
                <w:color w:val="auto"/>
                <w:szCs w:val="21"/>
              </w:rPr>
            </w:pPr>
          </w:p>
        </w:tc>
        <w:tc>
          <w:tcPr>
            <w:tcW w:w="412" w:type="pct"/>
            <w:vAlign w:val="center"/>
          </w:tcPr>
          <w:p>
            <w:pPr>
              <w:jc w:val="center"/>
              <w:rPr>
                <w:rFonts w:ascii="宋体" w:hAnsi="宋体"/>
                <w:color w:val="auto"/>
                <w:szCs w:val="21"/>
              </w:rPr>
            </w:pPr>
          </w:p>
        </w:tc>
        <w:tc>
          <w:tcPr>
            <w:tcW w:w="647" w:type="pct"/>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373" w:type="pct"/>
            <w:vAlign w:val="center"/>
          </w:tcPr>
          <w:p>
            <w:pPr>
              <w:jc w:val="center"/>
              <w:rPr>
                <w:rFonts w:ascii="宋体" w:hAnsi="宋体"/>
                <w:color w:val="auto"/>
                <w:szCs w:val="21"/>
              </w:rPr>
            </w:pPr>
            <w:r>
              <w:rPr>
                <w:rFonts w:hint="eastAsia" w:ascii="宋体" w:hAnsi="宋体"/>
                <w:color w:val="auto"/>
                <w:szCs w:val="21"/>
                <w:lang w:val="en-US" w:eastAsia="zh-CN"/>
              </w:rPr>
              <w:t>5</w:t>
            </w:r>
          </w:p>
        </w:tc>
        <w:tc>
          <w:tcPr>
            <w:tcW w:w="703" w:type="pct"/>
            <w:vAlign w:val="center"/>
          </w:tcPr>
          <w:p>
            <w:pPr>
              <w:widowControl/>
              <w:jc w:val="center"/>
              <w:rPr>
                <w:rFonts w:ascii="宋体" w:hAnsi="宋体"/>
                <w:color w:val="auto"/>
                <w:szCs w:val="21"/>
              </w:rPr>
            </w:pPr>
          </w:p>
          <w:p>
            <w:pPr>
              <w:jc w:val="center"/>
              <w:rPr>
                <w:rFonts w:ascii="宋体" w:hAnsi="宋体"/>
                <w:color w:val="auto"/>
                <w:szCs w:val="21"/>
              </w:rPr>
            </w:pPr>
          </w:p>
        </w:tc>
        <w:tc>
          <w:tcPr>
            <w:tcW w:w="776"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557" w:type="pct"/>
            <w:vAlign w:val="center"/>
          </w:tcPr>
          <w:p>
            <w:pPr>
              <w:jc w:val="center"/>
              <w:rPr>
                <w:rFonts w:ascii="宋体" w:hAnsi="宋体"/>
                <w:color w:val="auto"/>
                <w:szCs w:val="21"/>
              </w:rPr>
            </w:pPr>
          </w:p>
        </w:tc>
        <w:tc>
          <w:tcPr>
            <w:tcW w:w="412" w:type="pct"/>
            <w:vAlign w:val="center"/>
          </w:tcPr>
          <w:p>
            <w:pPr>
              <w:jc w:val="center"/>
              <w:rPr>
                <w:rFonts w:ascii="宋体" w:hAnsi="宋体"/>
                <w:color w:val="auto"/>
                <w:szCs w:val="21"/>
              </w:rPr>
            </w:pPr>
          </w:p>
        </w:tc>
        <w:tc>
          <w:tcPr>
            <w:tcW w:w="412" w:type="pct"/>
            <w:vAlign w:val="center"/>
          </w:tcPr>
          <w:p>
            <w:pPr>
              <w:jc w:val="center"/>
              <w:rPr>
                <w:rFonts w:ascii="宋体" w:hAnsi="宋体"/>
                <w:color w:val="auto"/>
                <w:szCs w:val="21"/>
              </w:rPr>
            </w:pPr>
          </w:p>
        </w:tc>
        <w:tc>
          <w:tcPr>
            <w:tcW w:w="647" w:type="pct"/>
            <w:vAlign w:val="center"/>
          </w:tcPr>
          <w:p>
            <w:pPr>
              <w:jc w:val="center"/>
              <w:rPr>
                <w:rFonts w:ascii="宋体" w:hAnsi="宋体"/>
                <w:color w:val="auto"/>
                <w:szCs w:val="21"/>
              </w:rPr>
            </w:pPr>
          </w:p>
        </w:tc>
      </w:tr>
    </w:tbl>
    <w:p>
      <w:pPr>
        <w:rPr>
          <w:rFonts w:ascii="宋体" w:hAnsi="宋体"/>
          <w:bCs/>
          <w:color w:val="auto"/>
          <w:szCs w:val="21"/>
          <w:u w:val="single"/>
        </w:rPr>
      </w:pPr>
      <w:r>
        <w:rPr>
          <w:rFonts w:hint="eastAsia" w:ascii="宋体" w:hAnsi="宋体"/>
          <w:bCs/>
          <w:color w:val="auto"/>
          <w:szCs w:val="21"/>
          <w:u w:val="single"/>
        </w:rPr>
        <w:t>备注：投标人必须如实填写，须按第三章评审办法中的“商务评分表”评审纬度的要求提供证明材料，否则不予认可。</w:t>
      </w:r>
    </w:p>
    <w:p>
      <w:pPr>
        <w:rPr>
          <w:rFonts w:ascii="宋体" w:hAnsi="宋体"/>
          <w:bCs/>
          <w:color w:val="auto"/>
          <w:szCs w:val="21"/>
          <w:u w:val="single"/>
        </w:rPr>
      </w:pPr>
      <w:r>
        <w:rPr>
          <w:rFonts w:hint="eastAsia" w:ascii="宋体" w:hAnsi="宋体"/>
          <w:bCs/>
          <w:color w:val="auto"/>
          <w:szCs w:val="21"/>
          <w:u w:val="single"/>
        </w:rPr>
        <w:br w:type="page"/>
      </w:r>
    </w:p>
    <w:p>
      <w:pPr>
        <w:pStyle w:val="37"/>
        <w:tabs>
          <w:tab w:val="left" w:pos="588"/>
        </w:tabs>
        <w:snapToGrid w:val="0"/>
        <w:spacing w:before="120" w:after="120" w:line="440" w:lineRule="exact"/>
        <w:ind w:left="142"/>
        <w:jc w:val="left"/>
        <w:rPr>
          <w:rFonts w:ascii="宋体" w:hAnsi="宋体"/>
          <w:color w:val="auto"/>
          <w:sz w:val="24"/>
          <w:szCs w:val="24"/>
        </w:rPr>
      </w:pPr>
      <w:bookmarkStart w:id="736" w:name="_Toc14964"/>
      <w:r>
        <w:rPr>
          <w:rFonts w:hint="eastAsia" w:ascii="宋体" w:hAnsi="宋体"/>
          <w:color w:val="auto"/>
          <w:sz w:val="24"/>
          <w:szCs w:val="24"/>
        </w:rPr>
        <w:t>1</w:t>
      </w:r>
      <w:r>
        <w:rPr>
          <w:rFonts w:hint="eastAsia" w:ascii="宋体" w:hAnsi="宋体"/>
          <w:color w:val="auto"/>
          <w:sz w:val="24"/>
          <w:szCs w:val="24"/>
          <w:lang w:val="en-US" w:eastAsia="zh-CN"/>
        </w:rPr>
        <w:t>2</w:t>
      </w:r>
      <w:r>
        <w:rPr>
          <w:rFonts w:hint="eastAsia" w:ascii="宋体" w:hAnsi="宋体"/>
          <w:color w:val="auto"/>
          <w:sz w:val="24"/>
          <w:szCs w:val="24"/>
        </w:rPr>
        <w:t>.拟投入本项目服务人员明细表</w:t>
      </w:r>
      <w:bookmarkEnd w:id="734"/>
      <w:bookmarkEnd w:id="736"/>
    </w:p>
    <w:p>
      <w:pPr>
        <w:spacing w:line="360" w:lineRule="auto"/>
        <w:rPr>
          <w:rFonts w:asciiTheme="minorEastAsia" w:hAnsiTheme="minorEastAsia"/>
          <w:color w:val="auto"/>
        </w:rPr>
      </w:pPr>
      <w:r>
        <w:rPr>
          <w:rFonts w:hint="eastAsia" w:asciiTheme="minorEastAsia" w:hAnsiTheme="minorEastAsia"/>
          <w:color w:val="auto"/>
        </w:rPr>
        <w:t>投标人名称：</w:t>
      </w:r>
      <w:r>
        <w:rPr>
          <w:rFonts w:asciiTheme="minorEastAsia" w:hAnsiTheme="minorEastAsia"/>
          <w:color w:val="auto"/>
        </w:rPr>
        <w:t xml:space="preserve">                                                </w:t>
      </w:r>
      <w:r>
        <w:rPr>
          <w:rFonts w:hint="eastAsia" w:asciiTheme="minorEastAsia" w:hAnsiTheme="minorEastAsia"/>
          <w:color w:val="auto"/>
        </w:rPr>
        <w:t>招标代理编号：</w:t>
      </w:r>
    </w:p>
    <w:p>
      <w:pPr>
        <w:spacing w:line="360" w:lineRule="auto"/>
        <w:rPr>
          <w:rFonts w:asciiTheme="minorEastAsia" w:hAnsiTheme="minorEastAsia"/>
          <w:b/>
          <w:bCs/>
          <w:color w:val="auto"/>
          <w:sz w:val="22"/>
          <w:szCs w:val="28"/>
        </w:rPr>
      </w:pPr>
      <w:r>
        <w:rPr>
          <w:rFonts w:asciiTheme="minorEastAsia" w:hAnsiTheme="minorEastAsia"/>
          <w:b/>
          <w:bCs/>
          <w:color w:val="auto"/>
          <w:sz w:val="22"/>
          <w:szCs w:val="28"/>
        </w:rPr>
        <w:t>1、</w:t>
      </w:r>
      <w:r>
        <w:rPr>
          <w:rFonts w:hint="eastAsia" w:asciiTheme="minorEastAsia" w:hAnsiTheme="minorEastAsia"/>
          <w:b/>
          <w:bCs/>
          <w:color w:val="auto"/>
          <w:sz w:val="22"/>
          <w:szCs w:val="28"/>
        </w:rPr>
        <w:t>项目负责人情况表</w:t>
      </w:r>
    </w:p>
    <w:tbl>
      <w:tblPr>
        <w:tblStyle w:val="40"/>
        <w:tblW w:w="87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471"/>
        <w:gridCol w:w="1124"/>
        <w:gridCol w:w="579"/>
        <w:gridCol w:w="480"/>
        <w:gridCol w:w="40"/>
        <w:gridCol w:w="1190"/>
        <w:gridCol w:w="1345"/>
        <w:gridCol w:w="441"/>
        <w:gridCol w:w="124"/>
        <w:gridCol w:w="470"/>
        <w:gridCol w:w="1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tcPr>
          <w:p>
            <w:pPr>
              <w:spacing w:line="360" w:lineRule="auto"/>
              <w:jc w:val="center"/>
              <w:rPr>
                <w:rFonts w:cs="Arial" w:asciiTheme="minorEastAsia" w:hAnsiTheme="minorEastAsia"/>
                <w:color w:val="auto"/>
                <w:szCs w:val="21"/>
              </w:rPr>
            </w:pPr>
            <w:r>
              <w:rPr>
                <w:rFonts w:cs="Arial" w:asciiTheme="minorEastAsia" w:hAnsiTheme="minorEastAsia"/>
                <w:color w:val="auto"/>
                <w:szCs w:val="21"/>
              </w:rPr>
              <w:t>姓名</w:t>
            </w:r>
          </w:p>
        </w:tc>
        <w:tc>
          <w:tcPr>
            <w:tcW w:w="1595" w:type="dxa"/>
            <w:gridSpan w:val="2"/>
          </w:tcPr>
          <w:p>
            <w:pPr>
              <w:spacing w:line="360" w:lineRule="auto"/>
              <w:rPr>
                <w:rFonts w:cs="Arial" w:asciiTheme="minorEastAsia" w:hAnsiTheme="minorEastAsia"/>
                <w:color w:val="auto"/>
                <w:szCs w:val="21"/>
              </w:rPr>
            </w:pPr>
          </w:p>
        </w:tc>
        <w:tc>
          <w:tcPr>
            <w:tcW w:w="1059" w:type="dxa"/>
            <w:gridSpan w:val="2"/>
          </w:tcPr>
          <w:p>
            <w:pPr>
              <w:spacing w:line="360" w:lineRule="auto"/>
              <w:jc w:val="center"/>
              <w:rPr>
                <w:rFonts w:cs="Arial" w:asciiTheme="minorEastAsia" w:hAnsiTheme="minorEastAsia"/>
                <w:color w:val="auto"/>
                <w:szCs w:val="21"/>
              </w:rPr>
            </w:pPr>
            <w:r>
              <w:rPr>
                <w:rFonts w:hint="eastAsia" w:cs="Arial" w:asciiTheme="minorEastAsia" w:hAnsiTheme="minorEastAsia"/>
                <w:color w:val="auto"/>
                <w:szCs w:val="21"/>
              </w:rPr>
              <w:t>身份证号</w:t>
            </w:r>
          </w:p>
        </w:tc>
        <w:tc>
          <w:tcPr>
            <w:tcW w:w="2575" w:type="dxa"/>
            <w:gridSpan w:val="3"/>
          </w:tcPr>
          <w:p>
            <w:pPr>
              <w:spacing w:line="360" w:lineRule="auto"/>
              <w:rPr>
                <w:rFonts w:cs="Arial" w:asciiTheme="minorEastAsia" w:hAnsiTheme="minorEastAsia"/>
                <w:color w:val="auto"/>
                <w:szCs w:val="21"/>
              </w:rPr>
            </w:pPr>
          </w:p>
        </w:tc>
        <w:tc>
          <w:tcPr>
            <w:tcW w:w="1035" w:type="dxa"/>
            <w:gridSpan w:val="3"/>
          </w:tcPr>
          <w:p>
            <w:pPr>
              <w:spacing w:line="360" w:lineRule="auto"/>
              <w:jc w:val="center"/>
              <w:rPr>
                <w:rFonts w:cs="Arial" w:asciiTheme="minorEastAsia" w:hAnsiTheme="minorEastAsia"/>
                <w:color w:val="auto"/>
                <w:szCs w:val="21"/>
              </w:rPr>
            </w:pPr>
            <w:r>
              <w:rPr>
                <w:rFonts w:cs="Arial" w:asciiTheme="minorEastAsia" w:hAnsiTheme="minorEastAsia"/>
                <w:color w:val="auto"/>
                <w:szCs w:val="21"/>
              </w:rPr>
              <w:t>年龄</w:t>
            </w:r>
          </w:p>
        </w:tc>
        <w:tc>
          <w:tcPr>
            <w:tcW w:w="1221" w:type="dxa"/>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tcPr>
          <w:p>
            <w:pPr>
              <w:spacing w:line="360" w:lineRule="auto"/>
              <w:jc w:val="center"/>
              <w:rPr>
                <w:rFonts w:cs="Arial" w:asciiTheme="minorEastAsia" w:hAnsiTheme="minorEastAsia"/>
                <w:color w:val="auto"/>
                <w:szCs w:val="21"/>
              </w:rPr>
            </w:pPr>
            <w:r>
              <w:rPr>
                <w:rFonts w:cs="Arial" w:asciiTheme="minorEastAsia" w:hAnsiTheme="minorEastAsia"/>
                <w:color w:val="auto"/>
                <w:szCs w:val="21"/>
              </w:rPr>
              <w:t>职务</w:t>
            </w:r>
          </w:p>
        </w:tc>
        <w:tc>
          <w:tcPr>
            <w:tcW w:w="1595" w:type="dxa"/>
            <w:gridSpan w:val="2"/>
          </w:tcPr>
          <w:p>
            <w:pPr>
              <w:spacing w:line="360" w:lineRule="auto"/>
              <w:rPr>
                <w:rFonts w:cs="Arial" w:asciiTheme="minorEastAsia" w:hAnsiTheme="minorEastAsia"/>
                <w:color w:val="auto"/>
                <w:szCs w:val="21"/>
              </w:rPr>
            </w:pPr>
          </w:p>
        </w:tc>
        <w:tc>
          <w:tcPr>
            <w:tcW w:w="1059" w:type="dxa"/>
            <w:gridSpan w:val="2"/>
          </w:tcPr>
          <w:p>
            <w:pPr>
              <w:spacing w:line="360" w:lineRule="auto"/>
              <w:jc w:val="center"/>
              <w:rPr>
                <w:rFonts w:cs="Arial" w:asciiTheme="minorEastAsia" w:hAnsiTheme="minorEastAsia"/>
                <w:color w:val="auto"/>
                <w:szCs w:val="21"/>
              </w:rPr>
            </w:pPr>
            <w:r>
              <w:rPr>
                <w:rFonts w:cs="Arial" w:asciiTheme="minorEastAsia" w:hAnsiTheme="minorEastAsia"/>
                <w:color w:val="auto"/>
                <w:szCs w:val="21"/>
              </w:rPr>
              <w:t>职称</w:t>
            </w:r>
          </w:p>
        </w:tc>
        <w:tc>
          <w:tcPr>
            <w:tcW w:w="2575" w:type="dxa"/>
            <w:gridSpan w:val="3"/>
          </w:tcPr>
          <w:p>
            <w:pPr>
              <w:spacing w:line="360" w:lineRule="auto"/>
              <w:rPr>
                <w:rFonts w:cs="Arial" w:asciiTheme="minorEastAsia" w:hAnsiTheme="minorEastAsia"/>
                <w:color w:val="auto"/>
                <w:szCs w:val="21"/>
              </w:rPr>
            </w:pPr>
          </w:p>
        </w:tc>
        <w:tc>
          <w:tcPr>
            <w:tcW w:w="1035" w:type="dxa"/>
            <w:gridSpan w:val="3"/>
          </w:tcPr>
          <w:p>
            <w:pPr>
              <w:spacing w:line="360" w:lineRule="auto"/>
              <w:jc w:val="center"/>
              <w:rPr>
                <w:rFonts w:cs="Arial" w:asciiTheme="minorEastAsia" w:hAnsiTheme="minorEastAsia"/>
                <w:color w:val="auto"/>
                <w:szCs w:val="21"/>
              </w:rPr>
            </w:pPr>
            <w:r>
              <w:rPr>
                <w:rFonts w:cs="Arial" w:asciiTheme="minorEastAsia" w:hAnsiTheme="minorEastAsia"/>
                <w:color w:val="auto"/>
                <w:szCs w:val="21"/>
              </w:rPr>
              <w:t>学历</w:t>
            </w:r>
          </w:p>
        </w:tc>
        <w:tc>
          <w:tcPr>
            <w:tcW w:w="1221" w:type="dxa"/>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42" w:type="dxa"/>
          </w:tcPr>
          <w:p>
            <w:pPr>
              <w:spacing w:line="360" w:lineRule="auto"/>
              <w:jc w:val="center"/>
              <w:rPr>
                <w:rFonts w:cs="Arial" w:asciiTheme="minorEastAsia" w:hAnsiTheme="minorEastAsia"/>
                <w:color w:val="auto"/>
                <w:szCs w:val="21"/>
              </w:rPr>
            </w:pPr>
            <w:r>
              <w:rPr>
                <w:rFonts w:hint="eastAsia" w:cs="Arial" w:asciiTheme="minorEastAsia" w:hAnsiTheme="minorEastAsia"/>
                <w:color w:val="auto"/>
                <w:szCs w:val="21"/>
              </w:rPr>
              <w:t>专业</w:t>
            </w:r>
          </w:p>
        </w:tc>
        <w:tc>
          <w:tcPr>
            <w:tcW w:w="1595" w:type="dxa"/>
            <w:gridSpan w:val="2"/>
          </w:tcPr>
          <w:p>
            <w:pPr>
              <w:spacing w:line="360" w:lineRule="auto"/>
              <w:rPr>
                <w:rFonts w:cs="Arial" w:asciiTheme="minorEastAsia" w:hAnsiTheme="minorEastAsia"/>
                <w:color w:val="auto"/>
                <w:szCs w:val="21"/>
              </w:rPr>
            </w:pPr>
          </w:p>
        </w:tc>
        <w:tc>
          <w:tcPr>
            <w:tcW w:w="1059" w:type="dxa"/>
            <w:gridSpan w:val="2"/>
          </w:tcPr>
          <w:p>
            <w:pPr>
              <w:spacing w:line="360" w:lineRule="auto"/>
              <w:jc w:val="center"/>
              <w:rPr>
                <w:rFonts w:cs="Arial" w:asciiTheme="minorEastAsia" w:hAnsiTheme="minorEastAsia"/>
                <w:color w:val="auto"/>
                <w:szCs w:val="21"/>
              </w:rPr>
            </w:pPr>
            <w:r>
              <w:rPr>
                <w:rFonts w:cs="Arial" w:asciiTheme="minorEastAsia" w:hAnsiTheme="minorEastAsia"/>
                <w:color w:val="auto"/>
                <w:szCs w:val="21"/>
              </w:rPr>
              <w:t>移动电话</w:t>
            </w:r>
          </w:p>
        </w:tc>
        <w:tc>
          <w:tcPr>
            <w:tcW w:w="2575" w:type="dxa"/>
            <w:gridSpan w:val="3"/>
          </w:tcPr>
          <w:p>
            <w:pPr>
              <w:spacing w:line="360" w:lineRule="auto"/>
              <w:rPr>
                <w:rFonts w:cs="Arial" w:asciiTheme="minorEastAsia" w:hAnsiTheme="minorEastAsia"/>
                <w:color w:val="auto"/>
                <w:szCs w:val="21"/>
              </w:rPr>
            </w:pPr>
          </w:p>
        </w:tc>
        <w:tc>
          <w:tcPr>
            <w:tcW w:w="1035" w:type="dxa"/>
            <w:gridSpan w:val="3"/>
          </w:tcPr>
          <w:p>
            <w:pPr>
              <w:spacing w:line="360" w:lineRule="auto"/>
              <w:jc w:val="center"/>
              <w:rPr>
                <w:rFonts w:cs="Arial" w:asciiTheme="minorEastAsia" w:hAnsiTheme="minorEastAsia"/>
                <w:color w:val="auto"/>
                <w:szCs w:val="21"/>
              </w:rPr>
            </w:pPr>
            <w:r>
              <w:rPr>
                <w:rFonts w:cs="Arial" w:asciiTheme="minorEastAsia" w:hAnsiTheme="minorEastAsia"/>
                <w:color w:val="auto"/>
                <w:szCs w:val="21"/>
              </w:rPr>
              <w:t>E-mail</w:t>
            </w:r>
          </w:p>
        </w:tc>
        <w:tc>
          <w:tcPr>
            <w:tcW w:w="1221" w:type="dxa"/>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13" w:type="dxa"/>
            <w:gridSpan w:val="2"/>
          </w:tcPr>
          <w:p>
            <w:pPr>
              <w:spacing w:line="360" w:lineRule="auto"/>
              <w:rPr>
                <w:rFonts w:cs="Arial" w:asciiTheme="minorEastAsia" w:hAnsiTheme="minorEastAsia"/>
                <w:color w:val="auto"/>
                <w:szCs w:val="21"/>
              </w:rPr>
            </w:pPr>
            <w:r>
              <w:rPr>
                <w:rFonts w:cs="Arial" w:asciiTheme="minorEastAsia" w:hAnsiTheme="minorEastAsia"/>
                <w:color w:val="auto"/>
                <w:szCs w:val="21"/>
              </w:rPr>
              <w:t>参加工作时间</w:t>
            </w:r>
          </w:p>
        </w:tc>
        <w:tc>
          <w:tcPr>
            <w:tcW w:w="2223" w:type="dxa"/>
            <w:gridSpan w:val="4"/>
          </w:tcPr>
          <w:p>
            <w:pPr>
              <w:spacing w:line="360" w:lineRule="auto"/>
              <w:rPr>
                <w:rFonts w:cs="Arial" w:asciiTheme="minorEastAsia" w:hAnsiTheme="minorEastAsia"/>
                <w:color w:val="auto"/>
                <w:szCs w:val="21"/>
              </w:rPr>
            </w:pPr>
          </w:p>
        </w:tc>
        <w:tc>
          <w:tcPr>
            <w:tcW w:w="2976" w:type="dxa"/>
            <w:gridSpan w:val="3"/>
          </w:tcPr>
          <w:p>
            <w:pPr>
              <w:spacing w:line="360" w:lineRule="auto"/>
              <w:ind w:firstLine="210" w:firstLineChars="100"/>
              <w:rPr>
                <w:rFonts w:cs="Arial" w:asciiTheme="minorEastAsia" w:hAnsiTheme="minorEastAsia"/>
                <w:color w:val="auto"/>
                <w:szCs w:val="21"/>
              </w:rPr>
            </w:pPr>
            <w:r>
              <w:rPr>
                <w:rFonts w:hint="eastAsia" w:cs="Arial" w:asciiTheme="minorEastAsia" w:hAnsiTheme="minorEastAsia"/>
                <w:color w:val="auto"/>
                <w:szCs w:val="21"/>
              </w:rPr>
              <w:t>任职</w:t>
            </w:r>
            <w:r>
              <w:rPr>
                <w:rFonts w:cs="Arial" w:asciiTheme="minorEastAsia" w:hAnsiTheme="minorEastAsia"/>
                <w:color w:val="auto"/>
                <w:szCs w:val="21"/>
              </w:rPr>
              <w:t>年限</w:t>
            </w:r>
          </w:p>
        </w:tc>
        <w:tc>
          <w:tcPr>
            <w:tcW w:w="1815" w:type="dxa"/>
            <w:gridSpan w:val="3"/>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713" w:type="dxa"/>
            <w:gridSpan w:val="2"/>
          </w:tcPr>
          <w:p>
            <w:pPr>
              <w:spacing w:line="360" w:lineRule="auto"/>
              <w:rPr>
                <w:rFonts w:cs="Arial" w:asciiTheme="minorEastAsia" w:hAnsiTheme="minorEastAsia"/>
                <w:color w:val="auto"/>
                <w:szCs w:val="21"/>
              </w:rPr>
            </w:pPr>
            <w:r>
              <w:rPr>
                <w:rFonts w:hint="eastAsia" w:cs="Arial" w:asciiTheme="minorEastAsia" w:hAnsiTheme="minorEastAsia"/>
                <w:color w:val="auto"/>
                <w:szCs w:val="21"/>
              </w:rPr>
              <w:t>获得资质情况</w:t>
            </w:r>
          </w:p>
        </w:tc>
        <w:tc>
          <w:tcPr>
            <w:tcW w:w="7014" w:type="dxa"/>
            <w:gridSpan w:val="10"/>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8727" w:type="dxa"/>
            <w:gridSpan w:val="12"/>
          </w:tcPr>
          <w:p>
            <w:pPr>
              <w:spacing w:line="360" w:lineRule="auto"/>
              <w:jc w:val="center"/>
              <w:rPr>
                <w:rFonts w:cs="Arial" w:asciiTheme="minorEastAsia" w:hAnsiTheme="minorEastAsia"/>
                <w:color w:val="auto"/>
                <w:szCs w:val="21"/>
              </w:rPr>
            </w:pPr>
            <w:r>
              <w:rPr>
                <w:rFonts w:hint="eastAsia" w:cs="Arial" w:asciiTheme="minorEastAsia" w:hAnsiTheme="minorEastAsia"/>
                <w:color w:val="auto"/>
                <w:szCs w:val="21"/>
              </w:rPr>
              <w:t>参与过的同类</w:t>
            </w:r>
            <w:r>
              <w:rPr>
                <w:rFonts w:cs="Arial" w:asciiTheme="minorEastAsia" w:hAnsiTheme="minorEastAsia"/>
                <w:color w:val="auto"/>
                <w:szCs w:val="21"/>
              </w:rPr>
              <w:t>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3" w:type="dxa"/>
            <w:gridSpan w:val="2"/>
          </w:tcPr>
          <w:p>
            <w:pPr>
              <w:spacing w:line="360" w:lineRule="auto"/>
              <w:jc w:val="center"/>
              <w:rPr>
                <w:rFonts w:cs="Arial" w:asciiTheme="minorEastAsia" w:hAnsiTheme="minorEastAsia"/>
                <w:color w:val="auto"/>
                <w:szCs w:val="21"/>
              </w:rPr>
            </w:pPr>
            <w:r>
              <w:rPr>
                <w:rFonts w:hint="eastAsia" w:cs="Arial" w:asciiTheme="minorEastAsia" w:hAnsiTheme="minorEastAsia"/>
                <w:color w:val="auto"/>
                <w:szCs w:val="21"/>
              </w:rPr>
              <w:t>用户单位</w:t>
            </w:r>
          </w:p>
        </w:tc>
        <w:tc>
          <w:tcPr>
            <w:tcW w:w="1703" w:type="dxa"/>
            <w:gridSpan w:val="2"/>
          </w:tcPr>
          <w:p>
            <w:pPr>
              <w:spacing w:line="360" w:lineRule="auto"/>
              <w:jc w:val="center"/>
              <w:rPr>
                <w:rFonts w:cs="Arial" w:asciiTheme="minorEastAsia" w:hAnsiTheme="minorEastAsia"/>
                <w:color w:val="auto"/>
                <w:szCs w:val="21"/>
              </w:rPr>
            </w:pPr>
            <w:r>
              <w:rPr>
                <w:rFonts w:cs="Arial" w:asciiTheme="minorEastAsia" w:hAnsiTheme="minorEastAsia"/>
                <w:color w:val="auto"/>
                <w:szCs w:val="21"/>
              </w:rPr>
              <w:t>项目名称</w:t>
            </w:r>
          </w:p>
        </w:tc>
        <w:tc>
          <w:tcPr>
            <w:tcW w:w="1710" w:type="dxa"/>
            <w:gridSpan w:val="3"/>
          </w:tcPr>
          <w:p>
            <w:pPr>
              <w:spacing w:line="360" w:lineRule="auto"/>
              <w:jc w:val="center"/>
              <w:rPr>
                <w:rFonts w:cs="Arial" w:asciiTheme="minorEastAsia" w:hAnsiTheme="minorEastAsia"/>
                <w:color w:val="auto"/>
                <w:szCs w:val="21"/>
              </w:rPr>
            </w:pPr>
            <w:r>
              <w:rPr>
                <w:rFonts w:hint="eastAsia" w:asciiTheme="minorEastAsia" w:hAnsiTheme="minorEastAsia"/>
                <w:color w:val="auto"/>
              </w:rPr>
              <w:t>担任职务或承担工作内容</w:t>
            </w:r>
          </w:p>
        </w:tc>
        <w:tc>
          <w:tcPr>
            <w:tcW w:w="1910" w:type="dxa"/>
            <w:gridSpan w:val="3"/>
          </w:tcPr>
          <w:p>
            <w:pPr>
              <w:spacing w:line="360" w:lineRule="auto"/>
              <w:jc w:val="center"/>
              <w:rPr>
                <w:rFonts w:cs="Arial" w:asciiTheme="minorEastAsia" w:hAnsiTheme="minorEastAsia"/>
                <w:color w:val="auto"/>
                <w:szCs w:val="21"/>
              </w:rPr>
            </w:pPr>
            <w:r>
              <w:rPr>
                <w:rFonts w:hint="eastAsia" w:cs="Arial" w:asciiTheme="minorEastAsia" w:hAnsiTheme="minorEastAsia"/>
                <w:color w:val="auto"/>
                <w:szCs w:val="21"/>
              </w:rPr>
              <w:t>服务期限</w:t>
            </w:r>
          </w:p>
        </w:tc>
        <w:tc>
          <w:tcPr>
            <w:tcW w:w="1691" w:type="dxa"/>
            <w:gridSpan w:val="2"/>
          </w:tcPr>
          <w:p>
            <w:pPr>
              <w:spacing w:line="360" w:lineRule="auto"/>
              <w:jc w:val="center"/>
              <w:rPr>
                <w:rFonts w:cs="Arial" w:asciiTheme="minorEastAsia" w:hAnsiTheme="minorEastAsia"/>
                <w:color w:val="auto"/>
                <w:szCs w:val="21"/>
              </w:rPr>
            </w:pPr>
            <w:r>
              <w:rPr>
                <w:rFonts w:hint="eastAsia" w:cs="Arial" w:asciiTheme="minorEastAsia" w:hAnsiTheme="minorEastAsia"/>
                <w:color w:val="auto"/>
                <w:szCs w:val="21"/>
              </w:rPr>
              <w:t>项目效果简述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3" w:type="dxa"/>
            <w:gridSpan w:val="2"/>
          </w:tcPr>
          <w:p>
            <w:pPr>
              <w:spacing w:line="360" w:lineRule="auto"/>
              <w:rPr>
                <w:rFonts w:cs="Arial" w:asciiTheme="minorEastAsia" w:hAnsiTheme="minorEastAsia"/>
                <w:color w:val="auto"/>
                <w:szCs w:val="21"/>
              </w:rPr>
            </w:pPr>
          </w:p>
        </w:tc>
        <w:tc>
          <w:tcPr>
            <w:tcW w:w="1703" w:type="dxa"/>
            <w:gridSpan w:val="2"/>
          </w:tcPr>
          <w:p>
            <w:pPr>
              <w:spacing w:line="360" w:lineRule="auto"/>
              <w:rPr>
                <w:rFonts w:cs="Arial" w:asciiTheme="minorEastAsia" w:hAnsiTheme="minorEastAsia"/>
                <w:color w:val="auto"/>
                <w:szCs w:val="21"/>
              </w:rPr>
            </w:pPr>
          </w:p>
        </w:tc>
        <w:tc>
          <w:tcPr>
            <w:tcW w:w="1710" w:type="dxa"/>
            <w:gridSpan w:val="3"/>
          </w:tcPr>
          <w:p>
            <w:pPr>
              <w:spacing w:line="360" w:lineRule="auto"/>
              <w:rPr>
                <w:rFonts w:cs="Arial" w:asciiTheme="minorEastAsia" w:hAnsiTheme="minorEastAsia"/>
                <w:color w:val="auto"/>
                <w:szCs w:val="21"/>
              </w:rPr>
            </w:pPr>
          </w:p>
        </w:tc>
        <w:tc>
          <w:tcPr>
            <w:tcW w:w="1910" w:type="dxa"/>
            <w:gridSpan w:val="3"/>
          </w:tcPr>
          <w:p>
            <w:pPr>
              <w:spacing w:line="360" w:lineRule="auto"/>
              <w:rPr>
                <w:rFonts w:cs="Arial" w:asciiTheme="minorEastAsia" w:hAnsiTheme="minorEastAsia"/>
                <w:color w:val="auto"/>
                <w:szCs w:val="21"/>
              </w:rPr>
            </w:pPr>
          </w:p>
        </w:tc>
        <w:tc>
          <w:tcPr>
            <w:tcW w:w="1691" w:type="dxa"/>
            <w:gridSpan w:val="2"/>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3" w:type="dxa"/>
            <w:gridSpan w:val="2"/>
          </w:tcPr>
          <w:p>
            <w:pPr>
              <w:spacing w:line="360" w:lineRule="auto"/>
              <w:rPr>
                <w:rFonts w:cs="Arial" w:asciiTheme="minorEastAsia" w:hAnsiTheme="minorEastAsia"/>
                <w:color w:val="auto"/>
                <w:szCs w:val="21"/>
              </w:rPr>
            </w:pPr>
          </w:p>
        </w:tc>
        <w:tc>
          <w:tcPr>
            <w:tcW w:w="1703" w:type="dxa"/>
            <w:gridSpan w:val="2"/>
          </w:tcPr>
          <w:p>
            <w:pPr>
              <w:spacing w:line="360" w:lineRule="auto"/>
              <w:rPr>
                <w:rFonts w:cs="Arial" w:asciiTheme="minorEastAsia" w:hAnsiTheme="minorEastAsia"/>
                <w:color w:val="auto"/>
                <w:szCs w:val="21"/>
              </w:rPr>
            </w:pPr>
          </w:p>
        </w:tc>
        <w:tc>
          <w:tcPr>
            <w:tcW w:w="1710" w:type="dxa"/>
            <w:gridSpan w:val="3"/>
          </w:tcPr>
          <w:p>
            <w:pPr>
              <w:spacing w:line="360" w:lineRule="auto"/>
              <w:rPr>
                <w:rFonts w:cs="Arial" w:asciiTheme="minorEastAsia" w:hAnsiTheme="minorEastAsia"/>
                <w:color w:val="auto"/>
                <w:szCs w:val="21"/>
              </w:rPr>
            </w:pPr>
          </w:p>
        </w:tc>
        <w:tc>
          <w:tcPr>
            <w:tcW w:w="1910" w:type="dxa"/>
            <w:gridSpan w:val="3"/>
          </w:tcPr>
          <w:p>
            <w:pPr>
              <w:spacing w:line="360" w:lineRule="auto"/>
              <w:rPr>
                <w:rFonts w:cs="Arial" w:asciiTheme="minorEastAsia" w:hAnsiTheme="minorEastAsia"/>
                <w:color w:val="auto"/>
                <w:szCs w:val="21"/>
              </w:rPr>
            </w:pPr>
          </w:p>
        </w:tc>
        <w:tc>
          <w:tcPr>
            <w:tcW w:w="1691" w:type="dxa"/>
            <w:gridSpan w:val="2"/>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3" w:type="dxa"/>
            <w:gridSpan w:val="2"/>
          </w:tcPr>
          <w:p>
            <w:pPr>
              <w:spacing w:line="360" w:lineRule="auto"/>
              <w:rPr>
                <w:rFonts w:cs="Arial" w:asciiTheme="minorEastAsia" w:hAnsiTheme="minorEastAsia"/>
                <w:color w:val="auto"/>
                <w:szCs w:val="21"/>
              </w:rPr>
            </w:pPr>
          </w:p>
        </w:tc>
        <w:tc>
          <w:tcPr>
            <w:tcW w:w="1703" w:type="dxa"/>
            <w:gridSpan w:val="2"/>
          </w:tcPr>
          <w:p>
            <w:pPr>
              <w:spacing w:line="360" w:lineRule="auto"/>
              <w:rPr>
                <w:rFonts w:cs="Arial" w:asciiTheme="minorEastAsia" w:hAnsiTheme="minorEastAsia"/>
                <w:color w:val="auto"/>
                <w:szCs w:val="21"/>
              </w:rPr>
            </w:pPr>
          </w:p>
        </w:tc>
        <w:tc>
          <w:tcPr>
            <w:tcW w:w="1710" w:type="dxa"/>
            <w:gridSpan w:val="3"/>
          </w:tcPr>
          <w:p>
            <w:pPr>
              <w:spacing w:line="360" w:lineRule="auto"/>
              <w:rPr>
                <w:rFonts w:cs="Arial" w:asciiTheme="minorEastAsia" w:hAnsiTheme="minorEastAsia"/>
                <w:color w:val="auto"/>
                <w:szCs w:val="21"/>
              </w:rPr>
            </w:pPr>
          </w:p>
        </w:tc>
        <w:tc>
          <w:tcPr>
            <w:tcW w:w="1910" w:type="dxa"/>
            <w:gridSpan w:val="3"/>
          </w:tcPr>
          <w:p>
            <w:pPr>
              <w:spacing w:line="360" w:lineRule="auto"/>
              <w:rPr>
                <w:rFonts w:cs="Arial" w:asciiTheme="minorEastAsia" w:hAnsiTheme="minorEastAsia"/>
                <w:color w:val="auto"/>
                <w:szCs w:val="21"/>
              </w:rPr>
            </w:pPr>
          </w:p>
        </w:tc>
        <w:tc>
          <w:tcPr>
            <w:tcW w:w="1691" w:type="dxa"/>
            <w:gridSpan w:val="2"/>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3" w:type="dxa"/>
            <w:gridSpan w:val="2"/>
          </w:tcPr>
          <w:p>
            <w:pPr>
              <w:spacing w:line="360" w:lineRule="auto"/>
              <w:rPr>
                <w:rFonts w:cs="Arial" w:asciiTheme="minorEastAsia" w:hAnsiTheme="minorEastAsia"/>
                <w:color w:val="auto"/>
                <w:szCs w:val="21"/>
              </w:rPr>
            </w:pPr>
          </w:p>
        </w:tc>
        <w:tc>
          <w:tcPr>
            <w:tcW w:w="1703" w:type="dxa"/>
            <w:gridSpan w:val="2"/>
          </w:tcPr>
          <w:p>
            <w:pPr>
              <w:spacing w:line="360" w:lineRule="auto"/>
              <w:rPr>
                <w:rFonts w:cs="Arial" w:asciiTheme="minorEastAsia" w:hAnsiTheme="minorEastAsia"/>
                <w:color w:val="auto"/>
                <w:szCs w:val="21"/>
              </w:rPr>
            </w:pPr>
          </w:p>
        </w:tc>
        <w:tc>
          <w:tcPr>
            <w:tcW w:w="1710" w:type="dxa"/>
            <w:gridSpan w:val="3"/>
          </w:tcPr>
          <w:p>
            <w:pPr>
              <w:spacing w:line="360" w:lineRule="auto"/>
              <w:rPr>
                <w:rFonts w:cs="Arial" w:asciiTheme="minorEastAsia" w:hAnsiTheme="minorEastAsia"/>
                <w:color w:val="auto"/>
                <w:szCs w:val="21"/>
              </w:rPr>
            </w:pPr>
          </w:p>
        </w:tc>
        <w:tc>
          <w:tcPr>
            <w:tcW w:w="1910" w:type="dxa"/>
            <w:gridSpan w:val="3"/>
          </w:tcPr>
          <w:p>
            <w:pPr>
              <w:spacing w:line="360" w:lineRule="auto"/>
              <w:rPr>
                <w:rFonts w:cs="Arial" w:asciiTheme="minorEastAsia" w:hAnsiTheme="minorEastAsia"/>
                <w:color w:val="auto"/>
                <w:szCs w:val="21"/>
              </w:rPr>
            </w:pPr>
          </w:p>
        </w:tc>
        <w:tc>
          <w:tcPr>
            <w:tcW w:w="1691" w:type="dxa"/>
            <w:gridSpan w:val="2"/>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3" w:type="dxa"/>
            <w:gridSpan w:val="2"/>
          </w:tcPr>
          <w:p>
            <w:pPr>
              <w:spacing w:line="360" w:lineRule="auto"/>
              <w:rPr>
                <w:rFonts w:cs="Arial" w:asciiTheme="minorEastAsia" w:hAnsiTheme="minorEastAsia"/>
                <w:color w:val="auto"/>
                <w:szCs w:val="21"/>
              </w:rPr>
            </w:pPr>
          </w:p>
        </w:tc>
        <w:tc>
          <w:tcPr>
            <w:tcW w:w="1703" w:type="dxa"/>
            <w:gridSpan w:val="2"/>
          </w:tcPr>
          <w:p>
            <w:pPr>
              <w:spacing w:line="360" w:lineRule="auto"/>
              <w:rPr>
                <w:rFonts w:cs="Arial" w:asciiTheme="minorEastAsia" w:hAnsiTheme="minorEastAsia"/>
                <w:color w:val="auto"/>
                <w:szCs w:val="21"/>
              </w:rPr>
            </w:pPr>
          </w:p>
        </w:tc>
        <w:tc>
          <w:tcPr>
            <w:tcW w:w="1710" w:type="dxa"/>
            <w:gridSpan w:val="3"/>
          </w:tcPr>
          <w:p>
            <w:pPr>
              <w:spacing w:line="360" w:lineRule="auto"/>
              <w:rPr>
                <w:rFonts w:cs="Arial" w:asciiTheme="minorEastAsia" w:hAnsiTheme="minorEastAsia"/>
                <w:color w:val="auto"/>
                <w:szCs w:val="21"/>
              </w:rPr>
            </w:pPr>
          </w:p>
        </w:tc>
        <w:tc>
          <w:tcPr>
            <w:tcW w:w="1910" w:type="dxa"/>
            <w:gridSpan w:val="3"/>
          </w:tcPr>
          <w:p>
            <w:pPr>
              <w:spacing w:line="360" w:lineRule="auto"/>
              <w:rPr>
                <w:rFonts w:cs="Arial" w:asciiTheme="minorEastAsia" w:hAnsiTheme="minorEastAsia"/>
                <w:color w:val="auto"/>
                <w:szCs w:val="21"/>
              </w:rPr>
            </w:pPr>
          </w:p>
        </w:tc>
        <w:tc>
          <w:tcPr>
            <w:tcW w:w="1691" w:type="dxa"/>
            <w:gridSpan w:val="2"/>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3" w:type="dxa"/>
            <w:gridSpan w:val="2"/>
          </w:tcPr>
          <w:p>
            <w:pPr>
              <w:spacing w:line="360" w:lineRule="auto"/>
              <w:rPr>
                <w:rFonts w:cs="Arial" w:asciiTheme="minorEastAsia" w:hAnsiTheme="minorEastAsia"/>
                <w:color w:val="auto"/>
                <w:szCs w:val="21"/>
              </w:rPr>
            </w:pPr>
          </w:p>
        </w:tc>
        <w:tc>
          <w:tcPr>
            <w:tcW w:w="1703" w:type="dxa"/>
            <w:gridSpan w:val="2"/>
          </w:tcPr>
          <w:p>
            <w:pPr>
              <w:spacing w:line="360" w:lineRule="auto"/>
              <w:rPr>
                <w:rFonts w:cs="Arial" w:asciiTheme="minorEastAsia" w:hAnsiTheme="minorEastAsia"/>
                <w:color w:val="auto"/>
                <w:szCs w:val="21"/>
              </w:rPr>
            </w:pPr>
          </w:p>
        </w:tc>
        <w:tc>
          <w:tcPr>
            <w:tcW w:w="1710" w:type="dxa"/>
            <w:gridSpan w:val="3"/>
          </w:tcPr>
          <w:p>
            <w:pPr>
              <w:spacing w:line="360" w:lineRule="auto"/>
              <w:rPr>
                <w:rFonts w:cs="Arial" w:asciiTheme="minorEastAsia" w:hAnsiTheme="minorEastAsia"/>
                <w:color w:val="auto"/>
                <w:szCs w:val="21"/>
              </w:rPr>
            </w:pPr>
          </w:p>
        </w:tc>
        <w:tc>
          <w:tcPr>
            <w:tcW w:w="1910" w:type="dxa"/>
            <w:gridSpan w:val="3"/>
          </w:tcPr>
          <w:p>
            <w:pPr>
              <w:spacing w:line="360" w:lineRule="auto"/>
              <w:rPr>
                <w:rFonts w:cs="Arial" w:asciiTheme="minorEastAsia" w:hAnsiTheme="minorEastAsia"/>
                <w:color w:val="auto"/>
                <w:szCs w:val="21"/>
              </w:rPr>
            </w:pPr>
          </w:p>
        </w:tc>
        <w:tc>
          <w:tcPr>
            <w:tcW w:w="1691" w:type="dxa"/>
            <w:gridSpan w:val="2"/>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3" w:type="dxa"/>
            <w:gridSpan w:val="2"/>
          </w:tcPr>
          <w:p>
            <w:pPr>
              <w:spacing w:line="360" w:lineRule="auto"/>
              <w:rPr>
                <w:rFonts w:cs="Arial" w:asciiTheme="minorEastAsia" w:hAnsiTheme="minorEastAsia"/>
                <w:color w:val="auto"/>
                <w:szCs w:val="21"/>
              </w:rPr>
            </w:pPr>
          </w:p>
        </w:tc>
        <w:tc>
          <w:tcPr>
            <w:tcW w:w="1703" w:type="dxa"/>
            <w:gridSpan w:val="2"/>
          </w:tcPr>
          <w:p>
            <w:pPr>
              <w:spacing w:line="360" w:lineRule="auto"/>
              <w:rPr>
                <w:rFonts w:cs="Arial" w:asciiTheme="minorEastAsia" w:hAnsiTheme="minorEastAsia"/>
                <w:color w:val="auto"/>
                <w:szCs w:val="21"/>
              </w:rPr>
            </w:pPr>
          </w:p>
        </w:tc>
        <w:tc>
          <w:tcPr>
            <w:tcW w:w="1710" w:type="dxa"/>
            <w:gridSpan w:val="3"/>
          </w:tcPr>
          <w:p>
            <w:pPr>
              <w:spacing w:line="360" w:lineRule="auto"/>
              <w:rPr>
                <w:rFonts w:cs="Arial" w:asciiTheme="minorEastAsia" w:hAnsiTheme="minorEastAsia"/>
                <w:color w:val="auto"/>
                <w:szCs w:val="21"/>
              </w:rPr>
            </w:pPr>
          </w:p>
        </w:tc>
        <w:tc>
          <w:tcPr>
            <w:tcW w:w="1910" w:type="dxa"/>
            <w:gridSpan w:val="3"/>
          </w:tcPr>
          <w:p>
            <w:pPr>
              <w:spacing w:line="360" w:lineRule="auto"/>
              <w:rPr>
                <w:rFonts w:cs="Arial" w:asciiTheme="minorEastAsia" w:hAnsiTheme="minorEastAsia"/>
                <w:color w:val="auto"/>
                <w:szCs w:val="21"/>
              </w:rPr>
            </w:pPr>
          </w:p>
        </w:tc>
        <w:tc>
          <w:tcPr>
            <w:tcW w:w="1691" w:type="dxa"/>
            <w:gridSpan w:val="2"/>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3" w:type="dxa"/>
            <w:gridSpan w:val="2"/>
          </w:tcPr>
          <w:p>
            <w:pPr>
              <w:spacing w:line="360" w:lineRule="auto"/>
              <w:rPr>
                <w:rFonts w:cs="Arial" w:asciiTheme="minorEastAsia" w:hAnsiTheme="minorEastAsia"/>
                <w:color w:val="auto"/>
                <w:szCs w:val="21"/>
              </w:rPr>
            </w:pPr>
          </w:p>
        </w:tc>
        <w:tc>
          <w:tcPr>
            <w:tcW w:w="1703" w:type="dxa"/>
            <w:gridSpan w:val="2"/>
          </w:tcPr>
          <w:p>
            <w:pPr>
              <w:spacing w:line="360" w:lineRule="auto"/>
              <w:rPr>
                <w:rFonts w:cs="Arial" w:asciiTheme="minorEastAsia" w:hAnsiTheme="minorEastAsia"/>
                <w:color w:val="auto"/>
                <w:szCs w:val="21"/>
              </w:rPr>
            </w:pPr>
          </w:p>
        </w:tc>
        <w:tc>
          <w:tcPr>
            <w:tcW w:w="1710" w:type="dxa"/>
            <w:gridSpan w:val="3"/>
          </w:tcPr>
          <w:p>
            <w:pPr>
              <w:spacing w:line="360" w:lineRule="auto"/>
              <w:rPr>
                <w:rFonts w:cs="Arial" w:asciiTheme="minorEastAsia" w:hAnsiTheme="minorEastAsia"/>
                <w:color w:val="auto"/>
                <w:szCs w:val="21"/>
              </w:rPr>
            </w:pPr>
          </w:p>
        </w:tc>
        <w:tc>
          <w:tcPr>
            <w:tcW w:w="1910" w:type="dxa"/>
            <w:gridSpan w:val="3"/>
          </w:tcPr>
          <w:p>
            <w:pPr>
              <w:spacing w:line="360" w:lineRule="auto"/>
              <w:rPr>
                <w:rFonts w:cs="Arial" w:asciiTheme="minorEastAsia" w:hAnsiTheme="minorEastAsia"/>
                <w:color w:val="auto"/>
                <w:szCs w:val="21"/>
              </w:rPr>
            </w:pPr>
          </w:p>
        </w:tc>
        <w:tc>
          <w:tcPr>
            <w:tcW w:w="1691" w:type="dxa"/>
            <w:gridSpan w:val="2"/>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3" w:type="dxa"/>
            <w:gridSpan w:val="2"/>
          </w:tcPr>
          <w:p>
            <w:pPr>
              <w:spacing w:line="360" w:lineRule="auto"/>
              <w:rPr>
                <w:rFonts w:cs="Arial" w:asciiTheme="minorEastAsia" w:hAnsiTheme="minorEastAsia"/>
                <w:color w:val="auto"/>
                <w:szCs w:val="21"/>
              </w:rPr>
            </w:pPr>
          </w:p>
        </w:tc>
        <w:tc>
          <w:tcPr>
            <w:tcW w:w="1703" w:type="dxa"/>
            <w:gridSpan w:val="2"/>
          </w:tcPr>
          <w:p>
            <w:pPr>
              <w:spacing w:line="360" w:lineRule="auto"/>
              <w:rPr>
                <w:rFonts w:cs="Arial" w:asciiTheme="minorEastAsia" w:hAnsiTheme="minorEastAsia"/>
                <w:color w:val="auto"/>
                <w:szCs w:val="21"/>
              </w:rPr>
            </w:pPr>
          </w:p>
        </w:tc>
        <w:tc>
          <w:tcPr>
            <w:tcW w:w="1710" w:type="dxa"/>
            <w:gridSpan w:val="3"/>
          </w:tcPr>
          <w:p>
            <w:pPr>
              <w:spacing w:line="360" w:lineRule="auto"/>
              <w:rPr>
                <w:rFonts w:cs="Arial" w:asciiTheme="minorEastAsia" w:hAnsiTheme="minorEastAsia"/>
                <w:color w:val="auto"/>
                <w:szCs w:val="21"/>
              </w:rPr>
            </w:pPr>
          </w:p>
        </w:tc>
        <w:tc>
          <w:tcPr>
            <w:tcW w:w="1910" w:type="dxa"/>
            <w:gridSpan w:val="3"/>
          </w:tcPr>
          <w:p>
            <w:pPr>
              <w:spacing w:line="360" w:lineRule="auto"/>
              <w:rPr>
                <w:rFonts w:cs="Arial" w:asciiTheme="minorEastAsia" w:hAnsiTheme="minorEastAsia"/>
                <w:color w:val="auto"/>
                <w:szCs w:val="21"/>
              </w:rPr>
            </w:pPr>
          </w:p>
        </w:tc>
        <w:tc>
          <w:tcPr>
            <w:tcW w:w="1691" w:type="dxa"/>
            <w:gridSpan w:val="2"/>
          </w:tcPr>
          <w:p>
            <w:pPr>
              <w:spacing w:line="360" w:lineRule="auto"/>
              <w:rPr>
                <w:rFonts w:cs="Arial" w:asciiTheme="minorEastAsia" w:hAnsi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13" w:type="dxa"/>
            <w:gridSpan w:val="2"/>
          </w:tcPr>
          <w:p>
            <w:pPr>
              <w:spacing w:line="360" w:lineRule="auto"/>
              <w:rPr>
                <w:rFonts w:cs="Arial" w:asciiTheme="minorEastAsia" w:hAnsiTheme="minorEastAsia"/>
                <w:color w:val="auto"/>
                <w:szCs w:val="21"/>
              </w:rPr>
            </w:pPr>
          </w:p>
        </w:tc>
        <w:tc>
          <w:tcPr>
            <w:tcW w:w="1703" w:type="dxa"/>
            <w:gridSpan w:val="2"/>
          </w:tcPr>
          <w:p>
            <w:pPr>
              <w:spacing w:line="360" w:lineRule="auto"/>
              <w:rPr>
                <w:rFonts w:cs="Arial" w:asciiTheme="minorEastAsia" w:hAnsiTheme="minorEastAsia"/>
                <w:color w:val="auto"/>
                <w:szCs w:val="21"/>
              </w:rPr>
            </w:pPr>
          </w:p>
        </w:tc>
        <w:tc>
          <w:tcPr>
            <w:tcW w:w="1710" w:type="dxa"/>
            <w:gridSpan w:val="3"/>
          </w:tcPr>
          <w:p>
            <w:pPr>
              <w:spacing w:line="360" w:lineRule="auto"/>
              <w:rPr>
                <w:rFonts w:cs="Arial" w:asciiTheme="minorEastAsia" w:hAnsiTheme="minorEastAsia"/>
                <w:color w:val="auto"/>
                <w:szCs w:val="21"/>
              </w:rPr>
            </w:pPr>
          </w:p>
        </w:tc>
        <w:tc>
          <w:tcPr>
            <w:tcW w:w="1910" w:type="dxa"/>
            <w:gridSpan w:val="3"/>
          </w:tcPr>
          <w:p>
            <w:pPr>
              <w:spacing w:line="360" w:lineRule="auto"/>
              <w:rPr>
                <w:rFonts w:cs="Arial" w:asciiTheme="minorEastAsia" w:hAnsiTheme="minorEastAsia"/>
                <w:color w:val="auto"/>
                <w:szCs w:val="21"/>
              </w:rPr>
            </w:pPr>
          </w:p>
        </w:tc>
        <w:tc>
          <w:tcPr>
            <w:tcW w:w="1691" w:type="dxa"/>
            <w:gridSpan w:val="2"/>
          </w:tcPr>
          <w:p>
            <w:pPr>
              <w:spacing w:line="360" w:lineRule="auto"/>
              <w:rPr>
                <w:rFonts w:cs="Arial" w:asciiTheme="minorEastAsia" w:hAnsiTheme="minorEastAsia"/>
                <w:color w:val="auto"/>
                <w:szCs w:val="21"/>
              </w:rPr>
            </w:pPr>
          </w:p>
        </w:tc>
      </w:tr>
    </w:tbl>
    <w:p>
      <w:pPr>
        <w:spacing w:line="440" w:lineRule="exact"/>
        <w:rPr>
          <w:rFonts w:asciiTheme="minorEastAsia" w:hAnsiTheme="minorEastAsia"/>
          <w:b/>
          <w:bCs/>
          <w:color w:val="auto"/>
          <w:sz w:val="24"/>
        </w:rPr>
      </w:pPr>
      <w:r>
        <w:rPr>
          <w:rFonts w:hint="eastAsia" w:asciiTheme="minorEastAsia" w:hAnsiTheme="minorEastAsia"/>
          <w:b/>
          <w:bCs/>
          <w:color w:val="auto"/>
        </w:rPr>
        <w:t>备注</w:t>
      </w:r>
      <w:r>
        <w:rPr>
          <w:rFonts w:asciiTheme="minorEastAsia" w:hAnsiTheme="minorEastAsia"/>
          <w:b/>
          <w:bCs/>
          <w:color w:val="auto"/>
        </w:rPr>
        <w:t xml:space="preserve">: </w:t>
      </w:r>
      <w:r>
        <w:rPr>
          <w:rFonts w:hint="eastAsia" w:asciiTheme="minorEastAsia" w:hAnsiTheme="minorEastAsia"/>
          <w:b/>
          <w:bCs/>
          <w:color w:val="auto"/>
          <w:u w:val="double"/>
        </w:rPr>
        <w:t>投标人需附上以上人员的身份证复印件、社保证明</w:t>
      </w:r>
      <w:r>
        <w:rPr>
          <w:rFonts w:hint="eastAsia" w:asciiTheme="minorEastAsia" w:hAnsiTheme="minorEastAsia"/>
          <w:b/>
          <w:bCs/>
          <w:color w:val="auto"/>
          <w:u w:val="double"/>
          <w:lang w:val="en-US" w:eastAsia="zh-CN"/>
        </w:rPr>
        <w:t>及投标人根据对项目需求理解自行提供的其他</w:t>
      </w:r>
      <w:r>
        <w:rPr>
          <w:rFonts w:hint="eastAsia" w:asciiTheme="minorEastAsia" w:hAnsiTheme="minorEastAsia"/>
          <w:b/>
          <w:bCs/>
          <w:color w:val="auto"/>
          <w:u w:val="double"/>
        </w:rPr>
        <w:t>证明文件复印件</w:t>
      </w:r>
      <w:r>
        <w:rPr>
          <w:rFonts w:hint="eastAsia" w:asciiTheme="minorEastAsia" w:hAnsiTheme="minorEastAsia"/>
          <w:b/>
          <w:bCs/>
          <w:color w:val="auto"/>
        </w:rPr>
        <w:t>。</w:t>
      </w:r>
    </w:p>
    <w:p>
      <w:pPr>
        <w:spacing w:line="500" w:lineRule="exact"/>
        <w:ind w:firstLine="436" w:firstLineChars="200"/>
        <w:rPr>
          <w:rFonts w:asciiTheme="minorEastAsia" w:hAnsiTheme="minorEastAsia"/>
          <w:color w:val="auto"/>
          <w:spacing w:val="4"/>
        </w:rPr>
      </w:pPr>
    </w:p>
    <w:p>
      <w:pPr>
        <w:ind w:firstLine="420" w:firstLineChars="200"/>
        <w:jc w:val="right"/>
        <w:rPr>
          <w:rFonts w:asciiTheme="minorEastAsia" w:hAnsiTheme="minorEastAsia"/>
          <w:color w:val="auto"/>
          <w:u w:val="single"/>
        </w:rPr>
      </w:pPr>
      <w:r>
        <w:rPr>
          <w:rFonts w:hint="eastAsia" w:asciiTheme="minorEastAsia" w:hAnsiTheme="minorEastAsia"/>
          <w:color w:val="auto"/>
        </w:rPr>
        <w:t>投标人</w:t>
      </w:r>
      <w:r>
        <w:rPr>
          <w:rFonts w:hint="eastAsia" w:asciiTheme="minorEastAsia" w:hAnsiTheme="minorEastAsia"/>
          <w:color w:val="auto"/>
          <w:spacing w:val="4"/>
        </w:rPr>
        <w:t>名称（盖公章）：</w:t>
      </w:r>
    </w:p>
    <w:p>
      <w:pPr>
        <w:ind w:firstLine="420" w:firstLineChars="200"/>
        <w:jc w:val="right"/>
        <w:rPr>
          <w:rFonts w:asciiTheme="minorEastAsia" w:hAnsiTheme="minorEastAsia"/>
          <w:color w:val="auto"/>
          <w:u w:val="single"/>
        </w:rPr>
      </w:pPr>
    </w:p>
    <w:p>
      <w:pPr>
        <w:ind w:firstLine="420" w:firstLineChars="200"/>
        <w:jc w:val="right"/>
        <w:rPr>
          <w:rFonts w:asciiTheme="minorEastAsia" w:hAnsiTheme="minorEastAsia"/>
          <w:color w:val="auto"/>
          <w:spacing w:val="4"/>
        </w:rPr>
      </w:pPr>
      <w:r>
        <w:rPr>
          <w:rFonts w:hint="eastAsia" w:asciiTheme="minorEastAsia" w:hAnsiTheme="minorEastAsia"/>
          <w:color w:val="auto"/>
        </w:rPr>
        <w:t>投标人授权</w:t>
      </w:r>
      <w:r>
        <w:rPr>
          <w:rFonts w:hint="eastAsia" w:asciiTheme="minorEastAsia" w:hAnsiTheme="minorEastAsia"/>
          <w:color w:val="auto"/>
          <w:spacing w:val="4"/>
        </w:rPr>
        <w:t>代表（签字或盖章）：</w:t>
      </w:r>
    </w:p>
    <w:p>
      <w:pPr>
        <w:ind w:firstLine="436" w:firstLineChars="200"/>
        <w:jc w:val="right"/>
        <w:rPr>
          <w:rFonts w:asciiTheme="minorEastAsia" w:hAnsiTheme="minorEastAsia"/>
          <w:color w:val="auto"/>
          <w:spacing w:val="4"/>
          <w:u w:val="single"/>
        </w:rPr>
      </w:pPr>
      <w:r>
        <w:rPr>
          <w:rFonts w:hint="eastAsia" w:asciiTheme="minorEastAsia" w:hAnsiTheme="minorEastAsia"/>
          <w:color w:val="auto"/>
          <w:spacing w:val="4"/>
        </w:rPr>
        <w:t>日期：</w:t>
      </w:r>
    </w:p>
    <w:p>
      <w:pPr>
        <w:widowControl/>
        <w:jc w:val="left"/>
        <w:rPr>
          <w:rFonts w:ascii="宋体" w:hAnsi="宋体" w:cs="Arial"/>
          <w:b/>
          <w:bCs/>
          <w:color w:val="auto"/>
          <w:sz w:val="28"/>
          <w:szCs w:val="28"/>
        </w:rPr>
      </w:pPr>
      <w:r>
        <w:rPr>
          <w:color w:val="auto"/>
        </w:rPr>
        <w:br w:type="page"/>
      </w:r>
      <w:bookmarkStart w:id="737" w:name="_Toc431216919"/>
      <w:bookmarkStart w:id="738" w:name="_Toc425779708"/>
      <w:bookmarkStart w:id="739" w:name="_Toc323199841"/>
      <w:bookmarkStart w:id="740" w:name="_Toc50737332"/>
      <w:bookmarkStart w:id="741" w:name="_Toc52165084"/>
      <w:bookmarkStart w:id="742" w:name="_Toc50736480"/>
      <w:bookmarkStart w:id="743" w:name="_Toc50691042"/>
      <w:bookmarkStart w:id="744" w:name="_Toc50737300"/>
      <w:r>
        <w:rPr>
          <w:rFonts w:ascii="宋体" w:hAnsi="宋体" w:cs="Arial"/>
          <w:b/>
          <w:bCs/>
          <w:color w:val="auto"/>
          <w:sz w:val="28"/>
          <w:szCs w:val="28"/>
        </w:rPr>
        <w:t>2、团队成员情况表</w:t>
      </w:r>
      <w:bookmarkEnd w:id="737"/>
      <w:bookmarkEnd w:id="738"/>
      <w:bookmarkEnd w:id="739"/>
      <w:bookmarkEnd w:id="740"/>
      <w:bookmarkEnd w:id="741"/>
      <w:bookmarkEnd w:id="742"/>
      <w:bookmarkEnd w:id="743"/>
      <w:bookmarkEnd w:id="744"/>
    </w:p>
    <w:tbl>
      <w:tblPr>
        <w:tblStyle w:val="40"/>
        <w:tblW w:w="85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73"/>
        <w:gridCol w:w="813"/>
        <w:gridCol w:w="960"/>
        <w:gridCol w:w="1252"/>
        <w:gridCol w:w="1778"/>
        <w:gridCol w:w="1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7"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序号</w:t>
            </w:r>
          </w:p>
        </w:tc>
        <w:tc>
          <w:tcPr>
            <w:tcW w:w="1173"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姓名</w:t>
            </w:r>
          </w:p>
        </w:tc>
        <w:tc>
          <w:tcPr>
            <w:tcW w:w="813"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性别</w:t>
            </w:r>
          </w:p>
        </w:tc>
        <w:tc>
          <w:tcPr>
            <w:tcW w:w="960"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年龄</w:t>
            </w:r>
          </w:p>
        </w:tc>
        <w:tc>
          <w:tcPr>
            <w:tcW w:w="1252"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学历、专业</w:t>
            </w:r>
          </w:p>
        </w:tc>
        <w:tc>
          <w:tcPr>
            <w:tcW w:w="1778"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cs="Arial" w:asciiTheme="minorEastAsia" w:hAnsiTheme="minorEastAsia"/>
                <w:color w:val="auto"/>
                <w:szCs w:val="21"/>
              </w:rPr>
              <w:t>行业经验年限</w:t>
            </w:r>
          </w:p>
        </w:tc>
        <w:tc>
          <w:tcPr>
            <w:tcW w:w="1570" w:type="dxa"/>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tcBorders>
              <w:top w:val="double" w:color="auto" w:sz="4" w:space="0"/>
            </w:tcBorders>
            <w:vAlign w:val="center"/>
          </w:tcPr>
          <w:p>
            <w:pPr>
              <w:spacing w:line="400" w:lineRule="exact"/>
              <w:jc w:val="center"/>
              <w:rPr>
                <w:rFonts w:asciiTheme="minorEastAsia" w:hAnsiTheme="minorEastAsia"/>
                <w:color w:val="auto"/>
              </w:rPr>
            </w:pPr>
          </w:p>
        </w:tc>
        <w:tc>
          <w:tcPr>
            <w:tcW w:w="1173" w:type="dxa"/>
            <w:tcBorders>
              <w:top w:val="double" w:color="auto" w:sz="4" w:space="0"/>
            </w:tcBorders>
            <w:vAlign w:val="center"/>
          </w:tcPr>
          <w:p>
            <w:pPr>
              <w:spacing w:line="400" w:lineRule="exact"/>
              <w:jc w:val="center"/>
              <w:rPr>
                <w:rFonts w:asciiTheme="minorEastAsia" w:hAnsiTheme="minorEastAsia"/>
                <w:color w:val="auto"/>
              </w:rPr>
            </w:pPr>
          </w:p>
        </w:tc>
        <w:tc>
          <w:tcPr>
            <w:tcW w:w="813" w:type="dxa"/>
            <w:tcBorders>
              <w:top w:val="double" w:color="auto" w:sz="4" w:space="0"/>
            </w:tcBorders>
            <w:vAlign w:val="center"/>
          </w:tcPr>
          <w:p>
            <w:pPr>
              <w:spacing w:line="400" w:lineRule="exact"/>
              <w:jc w:val="center"/>
              <w:rPr>
                <w:rFonts w:asciiTheme="minorEastAsia" w:hAnsiTheme="minorEastAsia"/>
                <w:color w:val="auto"/>
              </w:rPr>
            </w:pPr>
          </w:p>
        </w:tc>
        <w:tc>
          <w:tcPr>
            <w:tcW w:w="960" w:type="dxa"/>
            <w:tcBorders>
              <w:top w:val="double" w:color="auto" w:sz="4" w:space="0"/>
            </w:tcBorders>
            <w:vAlign w:val="center"/>
          </w:tcPr>
          <w:p>
            <w:pPr>
              <w:spacing w:line="400" w:lineRule="exact"/>
              <w:jc w:val="center"/>
              <w:rPr>
                <w:rFonts w:asciiTheme="minorEastAsia" w:hAnsiTheme="minorEastAsia"/>
                <w:color w:val="auto"/>
              </w:rPr>
            </w:pPr>
          </w:p>
        </w:tc>
        <w:tc>
          <w:tcPr>
            <w:tcW w:w="1252" w:type="dxa"/>
            <w:tcBorders>
              <w:top w:val="double" w:color="auto" w:sz="4" w:space="0"/>
            </w:tcBorders>
            <w:vAlign w:val="center"/>
          </w:tcPr>
          <w:p>
            <w:pPr>
              <w:spacing w:line="400" w:lineRule="exact"/>
              <w:jc w:val="center"/>
              <w:rPr>
                <w:rFonts w:asciiTheme="minorEastAsia" w:hAnsiTheme="minorEastAsia"/>
                <w:color w:val="auto"/>
              </w:rPr>
            </w:pPr>
          </w:p>
        </w:tc>
        <w:tc>
          <w:tcPr>
            <w:tcW w:w="1778" w:type="dxa"/>
            <w:tcBorders>
              <w:top w:val="double" w:color="auto" w:sz="4" w:space="0"/>
            </w:tcBorders>
            <w:vAlign w:val="center"/>
          </w:tcPr>
          <w:p>
            <w:pPr>
              <w:spacing w:line="400" w:lineRule="exact"/>
              <w:jc w:val="center"/>
              <w:rPr>
                <w:rFonts w:asciiTheme="minorEastAsia" w:hAnsiTheme="minorEastAsia"/>
                <w:color w:val="auto"/>
              </w:rPr>
            </w:pPr>
          </w:p>
        </w:tc>
        <w:tc>
          <w:tcPr>
            <w:tcW w:w="1570" w:type="dxa"/>
            <w:tcBorders>
              <w:top w:val="double" w:color="auto" w:sz="4" w:space="0"/>
            </w:tcBorders>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color w:val="auto"/>
              </w:rPr>
            </w:pPr>
          </w:p>
        </w:tc>
        <w:tc>
          <w:tcPr>
            <w:tcW w:w="1173" w:type="dxa"/>
            <w:vAlign w:val="center"/>
          </w:tcPr>
          <w:p>
            <w:pPr>
              <w:spacing w:line="400" w:lineRule="exact"/>
              <w:jc w:val="center"/>
              <w:rPr>
                <w:rFonts w:asciiTheme="minorEastAsia" w:hAnsiTheme="minorEastAsia"/>
                <w:color w:val="auto"/>
              </w:rPr>
            </w:pPr>
          </w:p>
        </w:tc>
        <w:tc>
          <w:tcPr>
            <w:tcW w:w="813" w:type="dxa"/>
            <w:vAlign w:val="center"/>
          </w:tcPr>
          <w:p>
            <w:pPr>
              <w:spacing w:line="400" w:lineRule="exact"/>
              <w:jc w:val="center"/>
              <w:rPr>
                <w:rFonts w:asciiTheme="minorEastAsia" w:hAnsiTheme="minorEastAsia"/>
                <w:color w:val="auto"/>
              </w:rPr>
            </w:pPr>
          </w:p>
        </w:tc>
        <w:tc>
          <w:tcPr>
            <w:tcW w:w="960" w:type="dxa"/>
            <w:vAlign w:val="center"/>
          </w:tcPr>
          <w:p>
            <w:pPr>
              <w:spacing w:line="400" w:lineRule="exact"/>
              <w:jc w:val="center"/>
              <w:rPr>
                <w:rFonts w:asciiTheme="minorEastAsia" w:hAnsiTheme="minorEastAsia"/>
                <w:color w:val="auto"/>
              </w:rPr>
            </w:pPr>
          </w:p>
        </w:tc>
        <w:tc>
          <w:tcPr>
            <w:tcW w:w="1252" w:type="dxa"/>
            <w:vAlign w:val="center"/>
          </w:tcPr>
          <w:p>
            <w:pPr>
              <w:spacing w:line="400" w:lineRule="exact"/>
              <w:jc w:val="center"/>
              <w:rPr>
                <w:rFonts w:asciiTheme="minorEastAsia" w:hAnsiTheme="minorEastAsia"/>
                <w:color w:val="auto"/>
              </w:rPr>
            </w:pPr>
          </w:p>
        </w:tc>
        <w:tc>
          <w:tcPr>
            <w:tcW w:w="1778" w:type="dxa"/>
            <w:vAlign w:val="center"/>
          </w:tcPr>
          <w:p>
            <w:pPr>
              <w:spacing w:line="400" w:lineRule="exact"/>
              <w:jc w:val="center"/>
              <w:rPr>
                <w:rFonts w:asciiTheme="minorEastAsia" w:hAnsiTheme="minorEastAsia"/>
                <w:color w:val="auto"/>
              </w:rPr>
            </w:pPr>
          </w:p>
        </w:tc>
        <w:tc>
          <w:tcPr>
            <w:tcW w:w="1570" w:type="dxa"/>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color w:val="auto"/>
              </w:rPr>
            </w:pPr>
          </w:p>
        </w:tc>
        <w:tc>
          <w:tcPr>
            <w:tcW w:w="1173" w:type="dxa"/>
            <w:vAlign w:val="center"/>
          </w:tcPr>
          <w:p>
            <w:pPr>
              <w:spacing w:line="400" w:lineRule="exact"/>
              <w:jc w:val="center"/>
              <w:rPr>
                <w:rFonts w:asciiTheme="minorEastAsia" w:hAnsiTheme="minorEastAsia"/>
                <w:color w:val="auto"/>
              </w:rPr>
            </w:pPr>
          </w:p>
        </w:tc>
        <w:tc>
          <w:tcPr>
            <w:tcW w:w="813" w:type="dxa"/>
            <w:vAlign w:val="center"/>
          </w:tcPr>
          <w:p>
            <w:pPr>
              <w:spacing w:line="400" w:lineRule="exact"/>
              <w:jc w:val="center"/>
              <w:rPr>
                <w:rFonts w:asciiTheme="minorEastAsia" w:hAnsiTheme="minorEastAsia"/>
                <w:color w:val="auto"/>
              </w:rPr>
            </w:pPr>
          </w:p>
        </w:tc>
        <w:tc>
          <w:tcPr>
            <w:tcW w:w="960" w:type="dxa"/>
            <w:vAlign w:val="center"/>
          </w:tcPr>
          <w:p>
            <w:pPr>
              <w:spacing w:line="400" w:lineRule="exact"/>
              <w:jc w:val="center"/>
              <w:rPr>
                <w:rFonts w:asciiTheme="minorEastAsia" w:hAnsiTheme="minorEastAsia"/>
                <w:color w:val="auto"/>
              </w:rPr>
            </w:pPr>
          </w:p>
        </w:tc>
        <w:tc>
          <w:tcPr>
            <w:tcW w:w="1252" w:type="dxa"/>
            <w:vAlign w:val="center"/>
          </w:tcPr>
          <w:p>
            <w:pPr>
              <w:spacing w:line="400" w:lineRule="exact"/>
              <w:jc w:val="center"/>
              <w:rPr>
                <w:rFonts w:asciiTheme="minorEastAsia" w:hAnsiTheme="minorEastAsia"/>
                <w:color w:val="auto"/>
              </w:rPr>
            </w:pPr>
          </w:p>
        </w:tc>
        <w:tc>
          <w:tcPr>
            <w:tcW w:w="1778" w:type="dxa"/>
            <w:vAlign w:val="center"/>
          </w:tcPr>
          <w:p>
            <w:pPr>
              <w:spacing w:line="400" w:lineRule="exact"/>
              <w:jc w:val="center"/>
              <w:rPr>
                <w:rFonts w:asciiTheme="minorEastAsia" w:hAnsiTheme="minorEastAsia"/>
                <w:color w:val="auto"/>
              </w:rPr>
            </w:pPr>
          </w:p>
        </w:tc>
        <w:tc>
          <w:tcPr>
            <w:tcW w:w="1570" w:type="dxa"/>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color w:val="auto"/>
              </w:rPr>
            </w:pPr>
          </w:p>
        </w:tc>
        <w:tc>
          <w:tcPr>
            <w:tcW w:w="1173" w:type="dxa"/>
            <w:vAlign w:val="center"/>
          </w:tcPr>
          <w:p>
            <w:pPr>
              <w:spacing w:line="400" w:lineRule="exact"/>
              <w:jc w:val="center"/>
              <w:rPr>
                <w:rFonts w:asciiTheme="minorEastAsia" w:hAnsiTheme="minorEastAsia"/>
                <w:color w:val="auto"/>
              </w:rPr>
            </w:pPr>
          </w:p>
        </w:tc>
        <w:tc>
          <w:tcPr>
            <w:tcW w:w="813" w:type="dxa"/>
            <w:vAlign w:val="center"/>
          </w:tcPr>
          <w:p>
            <w:pPr>
              <w:spacing w:line="400" w:lineRule="exact"/>
              <w:jc w:val="center"/>
              <w:rPr>
                <w:rFonts w:asciiTheme="minorEastAsia" w:hAnsiTheme="minorEastAsia"/>
                <w:color w:val="auto"/>
              </w:rPr>
            </w:pPr>
          </w:p>
        </w:tc>
        <w:tc>
          <w:tcPr>
            <w:tcW w:w="960" w:type="dxa"/>
            <w:vAlign w:val="center"/>
          </w:tcPr>
          <w:p>
            <w:pPr>
              <w:spacing w:line="400" w:lineRule="exact"/>
              <w:jc w:val="center"/>
              <w:rPr>
                <w:rFonts w:asciiTheme="minorEastAsia" w:hAnsiTheme="minorEastAsia"/>
                <w:color w:val="auto"/>
              </w:rPr>
            </w:pPr>
          </w:p>
        </w:tc>
        <w:tc>
          <w:tcPr>
            <w:tcW w:w="1252" w:type="dxa"/>
            <w:vAlign w:val="center"/>
          </w:tcPr>
          <w:p>
            <w:pPr>
              <w:spacing w:line="400" w:lineRule="exact"/>
              <w:jc w:val="center"/>
              <w:rPr>
                <w:rFonts w:asciiTheme="minorEastAsia" w:hAnsiTheme="minorEastAsia"/>
                <w:color w:val="auto"/>
              </w:rPr>
            </w:pPr>
          </w:p>
        </w:tc>
        <w:tc>
          <w:tcPr>
            <w:tcW w:w="1778" w:type="dxa"/>
            <w:vAlign w:val="center"/>
          </w:tcPr>
          <w:p>
            <w:pPr>
              <w:spacing w:line="400" w:lineRule="exact"/>
              <w:jc w:val="center"/>
              <w:rPr>
                <w:rFonts w:asciiTheme="minorEastAsia" w:hAnsiTheme="minorEastAsia"/>
                <w:color w:val="auto"/>
              </w:rPr>
            </w:pPr>
          </w:p>
        </w:tc>
        <w:tc>
          <w:tcPr>
            <w:tcW w:w="1570" w:type="dxa"/>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color w:val="auto"/>
              </w:rPr>
            </w:pPr>
          </w:p>
        </w:tc>
        <w:tc>
          <w:tcPr>
            <w:tcW w:w="1173" w:type="dxa"/>
            <w:vAlign w:val="center"/>
          </w:tcPr>
          <w:p>
            <w:pPr>
              <w:spacing w:line="400" w:lineRule="exact"/>
              <w:jc w:val="center"/>
              <w:rPr>
                <w:rFonts w:asciiTheme="minorEastAsia" w:hAnsiTheme="minorEastAsia"/>
                <w:color w:val="auto"/>
              </w:rPr>
            </w:pPr>
          </w:p>
        </w:tc>
        <w:tc>
          <w:tcPr>
            <w:tcW w:w="813" w:type="dxa"/>
            <w:vAlign w:val="center"/>
          </w:tcPr>
          <w:p>
            <w:pPr>
              <w:spacing w:line="400" w:lineRule="exact"/>
              <w:jc w:val="center"/>
              <w:rPr>
                <w:rFonts w:asciiTheme="minorEastAsia" w:hAnsiTheme="minorEastAsia"/>
                <w:color w:val="auto"/>
              </w:rPr>
            </w:pPr>
          </w:p>
        </w:tc>
        <w:tc>
          <w:tcPr>
            <w:tcW w:w="960" w:type="dxa"/>
            <w:vAlign w:val="center"/>
          </w:tcPr>
          <w:p>
            <w:pPr>
              <w:spacing w:line="400" w:lineRule="exact"/>
              <w:jc w:val="center"/>
              <w:rPr>
                <w:rFonts w:asciiTheme="minorEastAsia" w:hAnsiTheme="minorEastAsia"/>
                <w:color w:val="auto"/>
              </w:rPr>
            </w:pPr>
          </w:p>
        </w:tc>
        <w:tc>
          <w:tcPr>
            <w:tcW w:w="1252" w:type="dxa"/>
            <w:vAlign w:val="center"/>
          </w:tcPr>
          <w:p>
            <w:pPr>
              <w:spacing w:line="400" w:lineRule="exact"/>
              <w:jc w:val="center"/>
              <w:rPr>
                <w:rFonts w:asciiTheme="minorEastAsia" w:hAnsiTheme="minorEastAsia"/>
                <w:color w:val="auto"/>
              </w:rPr>
            </w:pPr>
          </w:p>
        </w:tc>
        <w:tc>
          <w:tcPr>
            <w:tcW w:w="1778" w:type="dxa"/>
            <w:vAlign w:val="center"/>
          </w:tcPr>
          <w:p>
            <w:pPr>
              <w:spacing w:line="400" w:lineRule="exact"/>
              <w:jc w:val="center"/>
              <w:rPr>
                <w:rFonts w:asciiTheme="minorEastAsia" w:hAnsiTheme="minorEastAsia"/>
                <w:color w:val="auto"/>
              </w:rPr>
            </w:pPr>
          </w:p>
        </w:tc>
        <w:tc>
          <w:tcPr>
            <w:tcW w:w="1570" w:type="dxa"/>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color w:val="auto"/>
              </w:rPr>
            </w:pPr>
          </w:p>
        </w:tc>
        <w:tc>
          <w:tcPr>
            <w:tcW w:w="1173" w:type="dxa"/>
            <w:vAlign w:val="center"/>
          </w:tcPr>
          <w:p>
            <w:pPr>
              <w:spacing w:line="400" w:lineRule="exact"/>
              <w:jc w:val="center"/>
              <w:rPr>
                <w:rFonts w:asciiTheme="minorEastAsia" w:hAnsiTheme="minorEastAsia"/>
                <w:color w:val="auto"/>
              </w:rPr>
            </w:pPr>
          </w:p>
        </w:tc>
        <w:tc>
          <w:tcPr>
            <w:tcW w:w="813" w:type="dxa"/>
            <w:vAlign w:val="center"/>
          </w:tcPr>
          <w:p>
            <w:pPr>
              <w:spacing w:line="400" w:lineRule="exact"/>
              <w:jc w:val="center"/>
              <w:rPr>
                <w:rFonts w:asciiTheme="minorEastAsia" w:hAnsiTheme="minorEastAsia"/>
                <w:color w:val="auto"/>
              </w:rPr>
            </w:pPr>
          </w:p>
        </w:tc>
        <w:tc>
          <w:tcPr>
            <w:tcW w:w="960" w:type="dxa"/>
            <w:vAlign w:val="center"/>
          </w:tcPr>
          <w:p>
            <w:pPr>
              <w:spacing w:line="400" w:lineRule="exact"/>
              <w:jc w:val="center"/>
              <w:rPr>
                <w:rFonts w:asciiTheme="minorEastAsia" w:hAnsiTheme="minorEastAsia"/>
                <w:color w:val="auto"/>
              </w:rPr>
            </w:pPr>
          </w:p>
        </w:tc>
        <w:tc>
          <w:tcPr>
            <w:tcW w:w="1252" w:type="dxa"/>
            <w:vAlign w:val="center"/>
          </w:tcPr>
          <w:p>
            <w:pPr>
              <w:spacing w:line="400" w:lineRule="exact"/>
              <w:jc w:val="center"/>
              <w:rPr>
                <w:rFonts w:asciiTheme="minorEastAsia" w:hAnsiTheme="minorEastAsia"/>
                <w:color w:val="auto"/>
              </w:rPr>
            </w:pPr>
          </w:p>
        </w:tc>
        <w:tc>
          <w:tcPr>
            <w:tcW w:w="1778" w:type="dxa"/>
            <w:vAlign w:val="center"/>
          </w:tcPr>
          <w:p>
            <w:pPr>
              <w:spacing w:line="400" w:lineRule="exact"/>
              <w:jc w:val="center"/>
              <w:rPr>
                <w:rFonts w:asciiTheme="minorEastAsia" w:hAnsiTheme="minorEastAsia"/>
                <w:color w:val="auto"/>
              </w:rPr>
            </w:pPr>
          </w:p>
        </w:tc>
        <w:tc>
          <w:tcPr>
            <w:tcW w:w="1570" w:type="dxa"/>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color w:val="auto"/>
              </w:rPr>
            </w:pPr>
          </w:p>
        </w:tc>
        <w:tc>
          <w:tcPr>
            <w:tcW w:w="1173" w:type="dxa"/>
            <w:vAlign w:val="center"/>
          </w:tcPr>
          <w:p>
            <w:pPr>
              <w:spacing w:line="400" w:lineRule="exact"/>
              <w:jc w:val="center"/>
              <w:rPr>
                <w:rFonts w:asciiTheme="minorEastAsia" w:hAnsiTheme="minorEastAsia"/>
                <w:color w:val="auto"/>
              </w:rPr>
            </w:pPr>
          </w:p>
        </w:tc>
        <w:tc>
          <w:tcPr>
            <w:tcW w:w="813" w:type="dxa"/>
            <w:vAlign w:val="center"/>
          </w:tcPr>
          <w:p>
            <w:pPr>
              <w:spacing w:line="400" w:lineRule="exact"/>
              <w:jc w:val="center"/>
              <w:rPr>
                <w:rFonts w:asciiTheme="minorEastAsia" w:hAnsiTheme="minorEastAsia"/>
                <w:color w:val="auto"/>
              </w:rPr>
            </w:pPr>
          </w:p>
        </w:tc>
        <w:tc>
          <w:tcPr>
            <w:tcW w:w="960" w:type="dxa"/>
            <w:vAlign w:val="center"/>
          </w:tcPr>
          <w:p>
            <w:pPr>
              <w:spacing w:line="400" w:lineRule="exact"/>
              <w:jc w:val="center"/>
              <w:rPr>
                <w:rFonts w:asciiTheme="minorEastAsia" w:hAnsiTheme="minorEastAsia"/>
                <w:color w:val="auto"/>
              </w:rPr>
            </w:pPr>
          </w:p>
        </w:tc>
        <w:tc>
          <w:tcPr>
            <w:tcW w:w="1252" w:type="dxa"/>
            <w:vAlign w:val="center"/>
          </w:tcPr>
          <w:p>
            <w:pPr>
              <w:spacing w:line="400" w:lineRule="exact"/>
              <w:jc w:val="center"/>
              <w:rPr>
                <w:rFonts w:asciiTheme="minorEastAsia" w:hAnsiTheme="minorEastAsia"/>
                <w:color w:val="auto"/>
              </w:rPr>
            </w:pPr>
          </w:p>
        </w:tc>
        <w:tc>
          <w:tcPr>
            <w:tcW w:w="1778" w:type="dxa"/>
            <w:vAlign w:val="center"/>
          </w:tcPr>
          <w:p>
            <w:pPr>
              <w:spacing w:line="400" w:lineRule="exact"/>
              <w:jc w:val="center"/>
              <w:rPr>
                <w:rFonts w:asciiTheme="minorEastAsia" w:hAnsiTheme="minorEastAsia"/>
                <w:color w:val="auto"/>
              </w:rPr>
            </w:pPr>
          </w:p>
        </w:tc>
        <w:tc>
          <w:tcPr>
            <w:tcW w:w="1570" w:type="dxa"/>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7" w:type="dxa"/>
            <w:vAlign w:val="center"/>
          </w:tcPr>
          <w:p>
            <w:pPr>
              <w:spacing w:line="400" w:lineRule="exact"/>
              <w:jc w:val="center"/>
              <w:rPr>
                <w:rFonts w:asciiTheme="minorEastAsia" w:hAnsiTheme="minorEastAsia"/>
                <w:color w:val="auto"/>
              </w:rPr>
            </w:pPr>
          </w:p>
        </w:tc>
        <w:tc>
          <w:tcPr>
            <w:tcW w:w="1173" w:type="dxa"/>
            <w:vAlign w:val="center"/>
          </w:tcPr>
          <w:p>
            <w:pPr>
              <w:spacing w:line="400" w:lineRule="exact"/>
              <w:jc w:val="center"/>
              <w:rPr>
                <w:rFonts w:asciiTheme="minorEastAsia" w:hAnsiTheme="minorEastAsia"/>
                <w:color w:val="auto"/>
              </w:rPr>
            </w:pPr>
          </w:p>
        </w:tc>
        <w:tc>
          <w:tcPr>
            <w:tcW w:w="813" w:type="dxa"/>
            <w:vAlign w:val="center"/>
          </w:tcPr>
          <w:p>
            <w:pPr>
              <w:spacing w:line="400" w:lineRule="exact"/>
              <w:jc w:val="center"/>
              <w:rPr>
                <w:rFonts w:asciiTheme="minorEastAsia" w:hAnsiTheme="minorEastAsia"/>
                <w:color w:val="auto"/>
              </w:rPr>
            </w:pPr>
          </w:p>
        </w:tc>
        <w:tc>
          <w:tcPr>
            <w:tcW w:w="960" w:type="dxa"/>
            <w:vAlign w:val="center"/>
          </w:tcPr>
          <w:p>
            <w:pPr>
              <w:spacing w:line="400" w:lineRule="exact"/>
              <w:jc w:val="center"/>
              <w:rPr>
                <w:rFonts w:asciiTheme="minorEastAsia" w:hAnsiTheme="minorEastAsia"/>
                <w:color w:val="auto"/>
              </w:rPr>
            </w:pPr>
          </w:p>
        </w:tc>
        <w:tc>
          <w:tcPr>
            <w:tcW w:w="1252" w:type="dxa"/>
            <w:vAlign w:val="center"/>
          </w:tcPr>
          <w:p>
            <w:pPr>
              <w:spacing w:line="400" w:lineRule="exact"/>
              <w:jc w:val="center"/>
              <w:rPr>
                <w:rFonts w:asciiTheme="minorEastAsia" w:hAnsiTheme="minorEastAsia"/>
                <w:color w:val="auto"/>
              </w:rPr>
            </w:pPr>
          </w:p>
        </w:tc>
        <w:tc>
          <w:tcPr>
            <w:tcW w:w="1778" w:type="dxa"/>
            <w:vAlign w:val="center"/>
          </w:tcPr>
          <w:p>
            <w:pPr>
              <w:spacing w:line="400" w:lineRule="exact"/>
              <w:jc w:val="center"/>
              <w:rPr>
                <w:rFonts w:asciiTheme="minorEastAsia" w:hAnsiTheme="minorEastAsia"/>
                <w:color w:val="auto"/>
              </w:rPr>
            </w:pPr>
          </w:p>
        </w:tc>
        <w:tc>
          <w:tcPr>
            <w:tcW w:w="1570" w:type="dxa"/>
          </w:tcPr>
          <w:p>
            <w:pPr>
              <w:spacing w:line="400" w:lineRule="exact"/>
              <w:jc w:val="center"/>
              <w:rPr>
                <w:rFonts w:asciiTheme="minorEastAsia" w:hAnsiTheme="minorEastAsia"/>
                <w:color w:val="auto"/>
              </w:rPr>
            </w:pPr>
          </w:p>
        </w:tc>
      </w:tr>
    </w:tbl>
    <w:p>
      <w:pPr>
        <w:spacing w:line="500" w:lineRule="exact"/>
        <w:ind w:left="413" w:hanging="413" w:hangingChars="196"/>
        <w:rPr>
          <w:rFonts w:asciiTheme="minorEastAsia" w:hAnsiTheme="minorEastAsia"/>
          <w:b/>
          <w:bCs/>
          <w:color w:val="auto"/>
        </w:rPr>
      </w:pPr>
      <w:r>
        <w:rPr>
          <w:rFonts w:hint="eastAsia" w:asciiTheme="minorEastAsia" w:hAnsiTheme="minorEastAsia"/>
          <w:b/>
          <w:bCs/>
          <w:color w:val="auto"/>
        </w:rPr>
        <w:t>注：</w:t>
      </w:r>
      <w:r>
        <w:rPr>
          <w:rFonts w:hint="eastAsia" w:asciiTheme="minorEastAsia" w:hAnsiTheme="minorEastAsia"/>
          <w:b/>
          <w:bCs/>
          <w:color w:val="auto"/>
          <w:u w:val="double"/>
        </w:rPr>
        <w:t>投标人需附上人员的身份证复印件、社保证明</w:t>
      </w:r>
      <w:r>
        <w:rPr>
          <w:rFonts w:hint="eastAsia" w:asciiTheme="minorEastAsia" w:hAnsiTheme="minorEastAsia"/>
          <w:b/>
          <w:bCs/>
          <w:color w:val="auto"/>
          <w:u w:val="double"/>
          <w:lang w:val="en-US" w:eastAsia="zh-CN"/>
        </w:rPr>
        <w:t>及投标人根据对项目需求理解自行提供的其他</w:t>
      </w:r>
      <w:r>
        <w:rPr>
          <w:rFonts w:hint="eastAsia" w:asciiTheme="minorEastAsia" w:hAnsiTheme="minorEastAsia"/>
          <w:b/>
          <w:bCs/>
          <w:color w:val="auto"/>
          <w:u w:val="double"/>
        </w:rPr>
        <w:t>证明文件复印件</w:t>
      </w:r>
      <w:r>
        <w:rPr>
          <w:rFonts w:hint="eastAsia" w:asciiTheme="minorEastAsia" w:hAnsiTheme="minorEastAsia"/>
          <w:b/>
          <w:bCs/>
          <w:color w:val="auto"/>
        </w:rPr>
        <w:t>。</w:t>
      </w:r>
    </w:p>
    <w:p>
      <w:pPr>
        <w:spacing w:line="500" w:lineRule="exact"/>
        <w:rPr>
          <w:rFonts w:asciiTheme="minorEastAsia" w:hAnsiTheme="minorEastAsia"/>
          <w:b/>
          <w:bCs/>
          <w:color w:val="auto"/>
          <w:u w:val="double"/>
        </w:rPr>
      </w:pPr>
      <w:r>
        <w:rPr>
          <w:rFonts w:hint="eastAsia" w:asciiTheme="minorEastAsia" w:hAnsiTheme="minorEastAsia"/>
          <w:b/>
          <w:bCs/>
          <w:color w:val="auto"/>
          <w:u w:val="double"/>
        </w:rPr>
        <w:t>以上人员将作为本次项目实施人员，未经招标人项目负责人签名确认，不允许随意变更。</w:t>
      </w:r>
    </w:p>
    <w:p>
      <w:pPr>
        <w:spacing w:line="500" w:lineRule="exact"/>
        <w:jc w:val="right"/>
        <w:rPr>
          <w:rFonts w:asciiTheme="minorEastAsia" w:hAnsiTheme="minorEastAsia"/>
          <w:color w:val="auto"/>
        </w:rPr>
      </w:pPr>
      <w:r>
        <w:rPr>
          <w:rFonts w:hint="eastAsia" w:asciiTheme="minorEastAsia" w:hAnsiTheme="minorEastAsia"/>
          <w:color w:val="auto"/>
        </w:rPr>
        <w:t>投标人全称（盖章）：</w:t>
      </w:r>
    </w:p>
    <w:p>
      <w:pPr>
        <w:spacing w:line="500" w:lineRule="exact"/>
        <w:jc w:val="right"/>
        <w:rPr>
          <w:rFonts w:asciiTheme="minorEastAsia" w:hAnsiTheme="minorEastAsia"/>
          <w:color w:val="auto"/>
        </w:rPr>
      </w:pPr>
      <w:r>
        <w:rPr>
          <w:rFonts w:hint="eastAsia" w:asciiTheme="minorEastAsia" w:hAnsiTheme="minorEastAsia"/>
          <w:color w:val="auto"/>
        </w:rPr>
        <w:t>投标人授权代表</w:t>
      </w:r>
      <w:r>
        <w:rPr>
          <w:rFonts w:hint="eastAsia" w:asciiTheme="minorEastAsia" w:hAnsiTheme="minorEastAsia"/>
          <w:color w:val="auto"/>
          <w:spacing w:val="4"/>
        </w:rPr>
        <w:t>（签字或盖章）</w:t>
      </w:r>
      <w:r>
        <w:rPr>
          <w:rFonts w:hint="eastAsia" w:asciiTheme="minorEastAsia" w:hAnsiTheme="minorEastAsia"/>
          <w:color w:val="auto"/>
        </w:rPr>
        <w:t>：</w:t>
      </w:r>
    </w:p>
    <w:p>
      <w:pPr>
        <w:widowControl/>
        <w:jc w:val="right"/>
        <w:rPr>
          <w:rFonts w:asciiTheme="minorEastAsia" w:hAnsiTheme="minorEastAsia"/>
          <w:color w:val="auto"/>
        </w:rPr>
      </w:pPr>
      <w:r>
        <w:rPr>
          <w:rFonts w:hint="eastAsia" w:asciiTheme="minorEastAsia" w:hAnsiTheme="minorEastAsia"/>
          <w:color w:val="auto"/>
        </w:rPr>
        <w:t>日</w:t>
      </w:r>
      <w:r>
        <w:rPr>
          <w:rFonts w:asciiTheme="minorEastAsia" w:hAnsiTheme="minorEastAsia"/>
          <w:color w:val="auto"/>
        </w:rPr>
        <w:t xml:space="preserve">    </w:t>
      </w:r>
      <w:r>
        <w:rPr>
          <w:rFonts w:hint="eastAsia" w:asciiTheme="minorEastAsia" w:hAnsiTheme="minorEastAsia"/>
          <w:color w:val="auto"/>
        </w:rPr>
        <w:t>期：</w:t>
      </w:r>
      <w:r>
        <w:rPr>
          <w:rFonts w:asciiTheme="minorEastAsia" w:hAnsiTheme="minorEastAsia"/>
          <w:color w:val="auto"/>
        </w:rPr>
        <w:t xml:space="preserve">     </w:t>
      </w:r>
      <w:r>
        <w:rPr>
          <w:rFonts w:hint="eastAsia" w:asciiTheme="minorEastAsia" w:hAnsiTheme="minorEastAsia"/>
          <w:color w:val="auto"/>
        </w:rPr>
        <w:t>年</w:t>
      </w:r>
      <w:r>
        <w:rPr>
          <w:rFonts w:asciiTheme="minorEastAsia" w:hAnsiTheme="minorEastAsia"/>
          <w:color w:val="auto"/>
        </w:rPr>
        <w:t xml:space="preserve">   </w:t>
      </w:r>
      <w:r>
        <w:rPr>
          <w:rFonts w:hint="eastAsia" w:asciiTheme="minorEastAsia" w:hAnsiTheme="minorEastAsia"/>
          <w:color w:val="auto"/>
        </w:rPr>
        <w:t>月</w:t>
      </w:r>
      <w:r>
        <w:rPr>
          <w:rFonts w:asciiTheme="minorEastAsia" w:hAnsiTheme="minorEastAsia"/>
          <w:color w:val="auto"/>
        </w:rPr>
        <w:t xml:space="preserve">   </w:t>
      </w:r>
      <w:r>
        <w:rPr>
          <w:rFonts w:hint="eastAsia" w:asciiTheme="minorEastAsia" w:hAnsiTheme="minorEastAsia"/>
          <w:color w:val="auto"/>
        </w:rPr>
        <w:t>日</w:t>
      </w:r>
    </w:p>
    <w:p>
      <w:pPr>
        <w:widowControl/>
        <w:jc w:val="right"/>
        <w:rPr>
          <w:rFonts w:asciiTheme="minorEastAsia" w:hAnsiTheme="minorEastAsia"/>
          <w:color w:val="auto"/>
        </w:rPr>
      </w:pPr>
    </w:p>
    <w:p>
      <w:pPr>
        <w:rPr>
          <w:rFonts w:ascii="宋体" w:hAnsi="宋体"/>
          <w:color w:val="auto"/>
          <w:sz w:val="24"/>
        </w:rPr>
      </w:pPr>
      <w:bookmarkStart w:id="745" w:name="_Toc56432246"/>
      <w:r>
        <w:rPr>
          <w:rFonts w:ascii="宋体" w:hAnsi="宋体"/>
          <w:color w:val="auto"/>
          <w:sz w:val="24"/>
        </w:rPr>
        <w:br w:type="page"/>
      </w:r>
    </w:p>
    <w:p>
      <w:pPr>
        <w:pStyle w:val="37"/>
        <w:tabs>
          <w:tab w:val="left" w:pos="588"/>
        </w:tabs>
        <w:snapToGrid w:val="0"/>
        <w:spacing w:before="120" w:after="120" w:line="440" w:lineRule="exact"/>
        <w:ind w:left="142"/>
        <w:jc w:val="left"/>
        <w:rPr>
          <w:rFonts w:ascii="宋体" w:hAnsi="宋体"/>
          <w:color w:val="auto"/>
          <w:sz w:val="24"/>
          <w:szCs w:val="24"/>
        </w:rPr>
      </w:pPr>
      <w:bookmarkStart w:id="746" w:name="_Toc9929"/>
      <w:bookmarkStart w:id="747" w:name="_Toc808"/>
      <w:bookmarkStart w:id="748" w:name="_Toc10584"/>
      <w:r>
        <w:rPr>
          <w:rFonts w:hint="eastAsia" w:ascii="宋体" w:hAnsi="宋体"/>
          <w:color w:val="auto"/>
          <w:sz w:val="24"/>
          <w:szCs w:val="24"/>
        </w:rPr>
        <w:t>1</w:t>
      </w:r>
      <w:r>
        <w:rPr>
          <w:rFonts w:hint="eastAsia" w:ascii="宋体" w:hAnsi="宋体"/>
          <w:color w:val="auto"/>
          <w:sz w:val="24"/>
          <w:szCs w:val="24"/>
          <w:lang w:val="en-US" w:eastAsia="zh-CN"/>
        </w:rPr>
        <w:t>3</w:t>
      </w:r>
      <w:r>
        <w:rPr>
          <w:rFonts w:hint="eastAsia" w:ascii="宋体" w:hAnsi="宋体"/>
          <w:color w:val="auto"/>
          <w:sz w:val="24"/>
          <w:szCs w:val="24"/>
        </w:rPr>
        <w:t>.其他资料</w:t>
      </w:r>
      <w:bookmarkEnd w:id="735"/>
      <w:bookmarkEnd w:id="745"/>
      <w:bookmarkEnd w:id="746"/>
      <w:bookmarkEnd w:id="747"/>
      <w:r>
        <w:rPr>
          <w:rFonts w:hint="eastAsia" w:ascii="宋体" w:hAnsi="宋体"/>
          <w:color w:val="auto"/>
          <w:sz w:val="24"/>
          <w:szCs w:val="24"/>
        </w:rPr>
        <w:t>（若有）</w:t>
      </w:r>
      <w:bookmarkEnd w:id="748"/>
    </w:p>
    <w:p>
      <w:pPr>
        <w:ind w:firstLine="420" w:firstLineChars="200"/>
        <w:outlineLvl w:val="1"/>
        <w:rPr>
          <w:color w:val="auto"/>
        </w:rPr>
      </w:pPr>
      <w:bookmarkStart w:id="749" w:name="_Toc32757"/>
      <w:bookmarkStart w:id="750" w:name="_Toc528"/>
      <w:r>
        <w:rPr>
          <w:color w:val="auto"/>
        </w:rPr>
        <w:t>1</w:t>
      </w:r>
      <w:r>
        <w:rPr>
          <w:rFonts w:hint="eastAsia"/>
          <w:color w:val="auto"/>
          <w:lang w:val="en-US" w:eastAsia="zh-CN"/>
        </w:rPr>
        <w:t>3</w:t>
      </w:r>
      <w:r>
        <w:rPr>
          <w:color w:val="auto"/>
        </w:rPr>
        <w:t>.1</w:t>
      </w:r>
      <w:r>
        <w:rPr>
          <w:rFonts w:hint="eastAsia"/>
          <w:color w:val="auto"/>
        </w:rPr>
        <w:t>企业综合实力</w:t>
      </w:r>
      <w:bookmarkEnd w:id="749"/>
    </w:p>
    <w:tbl>
      <w:tblPr>
        <w:tblStyle w:val="40"/>
        <w:tblW w:w="8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651"/>
        <w:gridCol w:w="2665"/>
        <w:gridCol w:w="2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87" w:type="dxa"/>
            <w:tcBorders>
              <w:top w:val="single" w:color="auto" w:sz="4" w:space="0"/>
              <w:left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序号</w:t>
            </w:r>
          </w:p>
        </w:tc>
        <w:tc>
          <w:tcPr>
            <w:tcW w:w="2651" w:type="dxa"/>
            <w:tcBorders>
              <w:top w:val="single" w:color="auto" w:sz="4" w:space="0"/>
              <w:bottom w:val="single" w:color="auto" w:sz="4" w:space="0"/>
            </w:tcBorders>
            <w:shd w:val="clear" w:color="auto" w:fill="EEECE1"/>
            <w:vAlign w:val="center"/>
          </w:tcPr>
          <w:p>
            <w:pPr>
              <w:spacing w:line="400" w:lineRule="exact"/>
              <w:jc w:val="center"/>
              <w:rPr>
                <w:rFonts w:hint="default" w:eastAsia="宋体" w:asciiTheme="minorEastAsia" w:hAnsiTheme="minorEastAsia"/>
                <w:color w:val="auto"/>
                <w:lang w:val="en-US" w:eastAsia="zh-CN"/>
              </w:rPr>
            </w:pPr>
            <w:r>
              <w:rPr>
                <w:rFonts w:hint="eastAsia" w:asciiTheme="minorEastAsia" w:hAnsiTheme="minorEastAsia"/>
                <w:color w:val="auto"/>
                <w:lang w:val="en-US" w:eastAsia="zh-CN"/>
              </w:rPr>
              <w:t>企业ISO管理认证证书</w:t>
            </w:r>
          </w:p>
        </w:tc>
        <w:tc>
          <w:tcPr>
            <w:tcW w:w="2665" w:type="dxa"/>
            <w:tcBorders>
              <w:top w:val="single" w:color="auto" w:sz="4" w:space="0"/>
              <w:bottom w:val="single" w:color="auto" w:sz="4" w:space="0"/>
            </w:tcBorders>
            <w:shd w:val="clear" w:color="auto" w:fill="EEECE1"/>
            <w:vAlign w:val="center"/>
          </w:tcPr>
          <w:p>
            <w:pPr>
              <w:spacing w:line="400" w:lineRule="exact"/>
              <w:jc w:val="center"/>
              <w:rPr>
                <w:rFonts w:hint="default" w:asciiTheme="minorEastAsia" w:hAnsiTheme="minorEastAsia"/>
                <w:color w:val="auto"/>
                <w:lang w:val="en-US"/>
              </w:rPr>
            </w:pPr>
            <w:r>
              <w:rPr>
                <w:rFonts w:hint="eastAsia" w:asciiTheme="minorEastAsia" w:hAnsiTheme="minorEastAsia"/>
                <w:color w:val="auto"/>
              </w:rPr>
              <w:t>证明材料</w:t>
            </w:r>
            <w:r>
              <w:rPr>
                <w:rFonts w:hint="eastAsia" w:asciiTheme="minorEastAsia" w:hAnsiTheme="minorEastAsia"/>
                <w:color w:val="auto"/>
                <w:lang w:val="en-US" w:eastAsia="zh-CN"/>
              </w:rPr>
              <w:t>有效期截止日期</w:t>
            </w:r>
          </w:p>
        </w:tc>
        <w:tc>
          <w:tcPr>
            <w:tcW w:w="2122" w:type="dxa"/>
            <w:tcBorders>
              <w:top w:val="single" w:color="auto" w:sz="4" w:space="0"/>
              <w:bottom w:val="single" w:color="auto" w:sz="4" w:space="0"/>
              <w:right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Verdana" w:hAnsi="Verdana"/>
                <w:color w:val="auto"/>
                <w:szCs w:val="21"/>
              </w:rPr>
              <w:t>投标文件对应页码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hint="eastAsia" w:eastAsia="宋体" w:asciiTheme="minorEastAsia" w:hAnsiTheme="minorEastAsia"/>
                <w:color w:val="auto"/>
                <w:lang w:val="en-US" w:eastAsia="zh-CN"/>
              </w:rPr>
            </w:pPr>
            <w:r>
              <w:rPr>
                <w:rFonts w:hint="eastAsia" w:asciiTheme="minorEastAsia" w:hAnsiTheme="minorEastAsia"/>
                <w:color w:val="auto"/>
                <w:lang w:val="en-US" w:eastAsia="zh-CN"/>
              </w:rPr>
              <w:t>1</w:t>
            </w: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hint="eastAsia" w:eastAsia="宋体" w:asciiTheme="minorEastAsia" w:hAnsiTheme="minorEastAsia"/>
                <w:color w:val="auto"/>
                <w:lang w:val="en-US" w:eastAsia="zh-CN"/>
              </w:rPr>
            </w:pPr>
            <w:r>
              <w:rPr>
                <w:rFonts w:hint="eastAsia" w:asciiTheme="minorEastAsia" w:hAnsiTheme="minorEastAsia"/>
                <w:color w:val="auto"/>
                <w:lang w:val="en-US" w:eastAsia="zh-CN"/>
              </w:rPr>
              <w:t>2</w:t>
            </w: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hint="eastAsia" w:eastAsia="宋体" w:asciiTheme="minorEastAsia" w:hAnsiTheme="minorEastAsia"/>
                <w:color w:val="auto"/>
                <w:lang w:val="en-US" w:eastAsia="zh-CN"/>
              </w:rPr>
            </w:pPr>
            <w:r>
              <w:rPr>
                <w:rFonts w:hint="eastAsia" w:asciiTheme="minorEastAsia" w:hAnsiTheme="minorEastAsia"/>
                <w:color w:val="auto"/>
                <w:lang w:val="en-US" w:eastAsia="zh-CN"/>
              </w:rPr>
              <w:t>3</w:t>
            </w: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hint="eastAsia" w:asciiTheme="minorEastAsia" w:hAnsiTheme="minorEastAsia"/>
                <w:color w:val="auto"/>
                <w:lang w:val="en-US" w:eastAsia="zh-CN"/>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bl>
    <w:p>
      <w:pPr>
        <w:ind w:firstLine="420" w:firstLineChars="200"/>
        <w:rPr>
          <w:color w:val="auto"/>
        </w:rPr>
      </w:pPr>
      <w:r>
        <w:rPr>
          <w:rFonts w:hint="eastAsia"/>
          <w:color w:val="auto"/>
        </w:rPr>
        <w:t>注：须提供符合第三章 评审办法：商务评分表“企业综合实力”评审项要求的相关证书证明材料复印件。</w:t>
      </w:r>
    </w:p>
    <w:p>
      <w:pPr>
        <w:pStyle w:val="18"/>
        <w:rPr>
          <w:color w:val="auto"/>
        </w:rPr>
      </w:pPr>
    </w:p>
    <w:p>
      <w:pPr>
        <w:ind w:firstLine="420" w:firstLineChars="200"/>
        <w:outlineLvl w:val="1"/>
        <w:rPr>
          <w:color w:val="auto"/>
        </w:rPr>
      </w:pPr>
      <w:bookmarkStart w:id="751" w:name="_Toc8237"/>
      <w:r>
        <w:rPr>
          <w:color w:val="auto"/>
        </w:rPr>
        <w:t>1</w:t>
      </w:r>
      <w:r>
        <w:rPr>
          <w:rFonts w:hint="eastAsia"/>
          <w:color w:val="auto"/>
          <w:lang w:val="en-US" w:eastAsia="zh-CN"/>
        </w:rPr>
        <w:t>3</w:t>
      </w:r>
      <w:r>
        <w:rPr>
          <w:color w:val="auto"/>
        </w:rPr>
        <w:t>.</w:t>
      </w:r>
      <w:r>
        <w:rPr>
          <w:rFonts w:hint="eastAsia"/>
          <w:color w:val="auto"/>
        </w:rPr>
        <w:t>2企业行业荣誉证书</w:t>
      </w:r>
      <w:bookmarkEnd w:id="750"/>
      <w:bookmarkEnd w:id="751"/>
    </w:p>
    <w:tbl>
      <w:tblPr>
        <w:tblStyle w:val="40"/>
        <w:tblW w:w="8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651"/>
        <w:gridCol w:w="2665"/>
        <w:gridCol w:w="2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87" w:type="dxa"/>
            <w:tcBorders>
              <w:top w:val="single" w:color="auto" w:sz="4" w:space="0"/>
              <w:left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序号</w:t>
            </w:r>
          </w:p>
        </w:tc>
        <w:tc>
          <w:tcPr>
            <w:tcW w:w="2651"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企业</w:t>
            </w:r>
            <w:r>
              <w:rPr>
                <w:rFonts w:hint="eastAsia"/>
                <w:color w:val="auto"/>
              </w:rPr>
              <w:t>行业荣誉</w:t>
            </w:r>
            <w:r>
              <w:rPr>
                <w:rFonts w:hint="eastAsia" w:asciiTheme="minorEastAsia" w:hAnsiTheme="minorEastAsia"/>
                <w:color w:val="auto"/>
              </w:rPr>
              <w:t>证书</w:t>
            </w:r>
          </w:p>
        </w:tc>
        <w:tc>
          <w:tcPr>
            <w:tcW w:w="2665"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证书获取时间</w:t>
            </w:r>
          </w:p>
        </w:tc>
        <w:tc>
          <w:tcPr>
            <w:tcW w:w="2122" w:type="dxa"/>
            <w:tcBorders>
              <w:top w:val="single" w:color="auto" w:sz="4" w:space="0"/>
              <w:bottom w:val="single" w:color="auto" w:sz="4" w:space="0"/>
              <w:right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Verdana" w:hAnsi="Verdana"/>
                <w:color w:val="auto"/>
                <w:szCs w:val="21"/>
              </w:rPr>
              <w:t>投标文件对应页码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bl>
    <w:p>
      <w:pPr>
        <w:ind w:firstLine="420" w:firstLineChars="200"/>
        <w:rPr>
          <w:color w:val="auto"/>
        </w:rPr>
      </w:pPr>
      <w:r>
        <w:rPr>
          <w:rFonts w:hint="eastAsia"/>
          <w:color w:val="auto"/>
        </w:rPr>
        <w:t>注：须提供相关证书证明材料复印件。</w:t>
      </w:r>
    </w:p>
    <w:p>
      <w:pPr>
        <w:ind w:firstLine="420" w:firstLineChars="200"/>
        <w:rPr>
          <w:color w:val="auto"/>
        </w:rPr>
      </w:pPr>
    </w:p>
    <w:p>
      <w:pPr>
        <w:pStyle w:val="18"/>
        <w:rPr>
          <w:color w:val="auto"/>
        </w:rPr>
      </w:pPr>
    </w:p>
    <w:p>
      <w:pPr>
        <w:ind w:firstLine="420" w:firstLineChars="200"/>
        <w:outlineLvl w:val="1"/>
        <w:rPr>
          <w:color w:val="auto"/>
        </w:rPr>
      </w:pPr>
      <w:bookmarkStart w:id="752" w:name="_Toc27014"/>
      <w:r>
        <w:rPr>
          <w:rFonts w:hint="eastAsia"/>
          <w:color w:val="auto"/>
        </w:rPr>
        <w:t>1</w:t>
      </w:r>
      <w:r>
        <w:rPr>
          <w:rFonts w:hint="eastAsia"/>
          <w:color w:val="auto"/>
          <w:lang w:val="en-US" w:eastAsia="zh-CN"/>
        </w:rPr>
        <w:t>3</w:t>
      </w:r>
      <w:r>
        <w:rPr>
          <w:rFonts w:hint="eastAsia"/>
          <w:color w:val="auto"/>
        </w:rPr>
        <w:t>.</w:t>
      </w:r>
      <w:r>
        <w:rPr>
          <w:rFonts w:hint="eastAsia"/>
          <w:color w:val="auto"/>
          <w:lang w:val="en-US" w:eastAsia="zh-CN"/>
        </w:rPr>
        <w:t>3</w:t>
      </w:r>
      <w:r>
        <w:rPr>
          <w:rFonts w:hint="eastAsia"/>
          <w:color w:val="auto"/>
        </w:rPr>
        <w:t>服务团队无犯罪记录承诺函</w:t>
      </w:r>
      <w:bookmarkEnd w:id="752"/>
    </w:p>
    <w:p>
      <w:pPr>
        <w:numPr>
          <w:ilvl w:val="255"/>
          <w:numId w:val="0"/>
        </w:numPr>
        <w:spacing w:line="360" w:lineRule="auto"/>
        <w:jc w:val="left"/>
        <w:rPr>
          <w:rFonts w:ascii="宋体" w:hAnsi="宋体"/>
          <w:color w:val="auto"/>
          <w:szCs w:val="21"/>
        </w:rPr>
      </w:pPr>
      <w:r>
        <w:rPr>
          <w:rFonts w:hint="eastAsia" w:ascii="宋体" w:hAnsi="宋体"/>
          <w:color w:val="auto"/>
          <w:szCs w:val="21"/>
        </w:rPr>
        <w:t>致：</w:t>
      </w:r>
      <w:r>
        <w:rPr>
          <w:rFonts w:hint="eastAsia" w:ascii="宋体" w:hAnsi="宋体"/>
          <w:color w:val="auto"/>
          <w:szCs w:val="21"/>
          <w:lang w:eastAsia="zh-CN"/>
        </w:rPr>
        <w:t>广东南都娱乐传媒股份有限公司</w:t>
      </w:r>
      <w:r>
        <w:rPr>
          <w:rFonts w:hint="eastAsia" w:ascii="宋体" w:hAnsi="宋体"/>
          <w:color w:val="auto"/>
          <w:szCs w:val="21"/>
        </w:rPr>
        <w:t>：</w:t>
      </w:r>
    </w:p>
    <w:p>
      <w:pPr>
        <w:numPr>
          <w:ilvl w:val="255"/>
          <w:numId w:val="0"/>
        </w:numPr>
        <w:spacing w:line="360" w:lineRule="auto"/>
        <w:ind w:firstLine="840" w:firstLineChars="400"/>
        <w:jc w:val="left"/>
        <w:rPr>
          <w:rFonts w:ascii="宋体" w:hAnsi="宋体"/>
          <w:color w:val="auto"/>
          <w:szCs w:val="21"/>
        </w:rPr>
      </w:pPr>
      <w:r>
        <w:rPr>
          <w:rFonts w:hint="eastAsia" w:ascii="宋体" w:hAnsi="宋体"/>
          <w:color w:val="auto"/>
          <w:szCs w:val="21"/>
          <w:u w:val="single"/>
        </w:rPr>
        <w:t>（投标人名称）</w:t>
      </w:r>
      <w:r>
        <w:rPr>
          <w:rFonts w:hint="eastAsia" w:ascii="宋体" w:hAnsi="宋体"/>
          <w:color w:val="auto"/>
          <w:szCs w:val="21"/>
        </w:rPr>
        <w:t>（以下称“我方”）参与</w:t>
      </w:r>
      <w:r>
        <w:rPr>
          <w:rFonts w:hint="eastAsia" w:ascii="宋体" w:hAnsi="宋体"/>
          <w:color w:val="auto"/>
          <w:szCs w:val="21"/>
          <w:lang w:eastAsia="zh-CN"/>
        </w:rPr>
        <w:t>广东南都娱乐企业文化综合服务项目</w:t>
      </w:r>
      <w:r>
        <w:rPr>
          <w:rFonts w:hint="eastAsia" w:ascii="宋体" w:hAnsi="宋体"/>
          <w:color w:val="auto"/>
          <w:szCs w:val="21"/>
        </w:rPr>
        <w:t>（招标代理编号：</w:t>
      </w:r>
      <w:r>
        <w:rPr>
          <w:rFonts w:hint="eastAsia" w:ascii="宋体" w:hAnsi="宋体"/>
          <w:color w:val="auto"/>
          <w:szCs w:val="21"/>
          <w:lang w:eastAsia="zh-CN"/>
        </w:rPr>
        <w:t>WJS-202301130002</w:t>
      </w:r>
      <w:r>
        <w:rPr>
          <w:rFonts w:ascii="宋体" w:hAnsi="宋体"/>
          <w:color w:val="auto"/>
          <w:szCs w:val="21"/>
        </w:rPr>
        <w:t>）的投标，现针对我司提供的服务团队人员承诺如下：</w:t>
      </w:r>
    </w:p>
    <w:p>
      <w:pPr>
        <w:numPr>
          <w:ilvl w:val="255"/>
          <w:numId w:val="0"/>
        </w:numPr>
        <w:spacing w:line="360" w:lineRule="auto"/>
        <w:ind w:firstLine="840" w:firstLineChars="400"/>
        <w:jc w:val="left"/>
        <w:rPr>
          <w:rFonts w:ascii="宋体" w:hAnsi="宋体"/>
          <w:color w:val="auto"/>
          <w:szCs w:val="21"/>
        </w:rPr>
      </w:pPr>
      <w:r>
        <w:rPr>
          <w:rFonts w:hint="eastAsia" w:ascii="宋体" w:hAnsi="宋体"/>
          <w:color w:val="auto"/>
          <w:szCs w:val="21"/>
        </w:rPr>
        <w:t>我司所提供的项目服务团队成员符合以下要求：</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1）具有中华人民共和国国籍，拥护中华人民共和国宪法。</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2）遵纪守法，具有良好的品行。</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3）政治可靠</w:t>
      </w:r>
      <w:r>
        <w:rPr>
          <w:rFonts w:hint="eastAsia" w:ascii="宋体" w:hAnsi="宋体"/>
          <w:color w:val="auto"/>
          <w:szCs w:val="21"/>
        </w:rPr>
        <w:t>，具有良好的政治素质。</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4）所有成员均无以下情况：曾因犯罪受过刑事处罚的，受处分期间或正在接受审计、纪律审查、司法侦查的。</w:t>
      </w:r>
    </w:p>
    <w:p>
      <w:pPr>
        <w:spacing w:line="360" w:lineRule="auto"/>
        <w:ind w:firstLine="2835" w:firstLineChars="1350"/>
        <w:rPr>
          <w:rFonts w:ascii="宋体" w:hAnsi="宋体"/>
          <w:color w:val="auto"/>
          <w:szCs w:val="21"/>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（盖单位公章）</w:t>
      </w:r>
    </w:p>
    <w:p>
      <w:pPr>
        <w:ind w:firstLine="420" w:firstLineChars="200"/>
        <w:jc w:val="right"/>
        <w:rPr>
          <w:rFonts w:ascii="宋体" w:hAnsi="宋体"/>
          <w:color w:val="auto"/>
          <w:szCs w:val="21"/>
        </w:rPr>
      </w:pPr>
      <w:r>
        <w:rPr>
          <w:rFonts w:hint="eastAsia" w:ascii="宋体" w:hAnsi="宋体"/>
          <w:color w:val="auto"/>
          <w:szCs w:val="21"/>
        </w:rPr>
        <w:t>日期：</w:t>
      </w:r>
      <w:r>
        <w:rPr>
          <w:rFonts w:ascii="宋体" w:hAnsi="宋体"/>
          <w:color w:val="auto"/>
          <w:szCs w:val="21"/>
        </w:rPr>
        <w:t>XX年XX月XX日</w:t>
      </w:r>
    </w:p>
    <w:p>
      <w:pPr>
        <w:pStyle w:val="48"/>
        <w:rPr>
          <w:rFonts w:ascii="宋体" w:hAnsi="宋体"/>
          <w:color w:val="auto"/>
        </w:rPr>
      </w:pPr>
    </w:p>
    <w:p>
      <w:pPr>
        <w:pStyle w:val="48"/>
        <w:rPr>
          <w:rFonts w:ascii="宋体" w:hAnsi="宋体"/>
          <w:color w:val="auto"/>
        </w:rPr>
      </w:pPr>
    </w:p>
    <w:p>
      <w:pPr>
        <w:pStyle w:val="48"/>
        <w:rPr>
          <w:rFonts w:ascii="宋体" w:hAnsi="宋体"/>
          <w:color w:val="auto"/>
        </w:rPr>
      </w:pPr>
    </w:p>
    <w:p>
      <w:pPr>
        <w:pStyle w:val="48"/>
        <w:rPr>
          <w:rFonts w:ascii="宋体" w:hAnsi="宋体"/>
          <w:color w:val="auto"/>
        </w:rPr>
      </w:pPr>
    </w:p>
    <w:p>
      <w:pPr>
        <w:pStyle w:val="48"/>
        <w:rPr>
          <w:rFonts w:ascii="宋体" w:hAnsi="宋体"/>
          <w:color w:val="auto"/>
        </w:rPr>
      </w:pPr>
    </w:p>
    <w:bookmarkEnd w:id="720"/>
    <w:p>
      <w:pPr>
        <w:pStyle w:val="37"/>
        <w:tabs>
          <w:tab w:val="left" w:pos="588"/>
        </w:tabs>
        <w:snapToGrid w:val="0"/>
        <w:spacing w:before="120" w:after="120" w:line="440" w:lineRule="exact"/>
        <w:jc w:val="left"/>
        <w:rPr>
          <w:rFonts w:ascii="宋体" w:hAnsi="宋体"/>
          <w:color w:val="auto"/>
          <w:sz w:val="24"/>
          <w:szCs w:val="24"/>
        </w:rPr>
      </w:pPr>
      <w:bookmarkStart w:id="753" w:name="_Toc18931"/>
      <w:bookmarkStart w:id="754" w:name="_Toc32536"/>
      <w:bookmarkStart w:id="755" w:name="_Toc3306"/>
      <w:bookmarkStart w:id="756" w:name="_Toc56432248"/>
      <w:bookmarkStart w:id="757" w:name="_Toc475472692"/>
      <w:bookmarkStart w:id="758" w:name="_Toc1651920"/>
      <w:r>
        <w:rPr>
          <w:rFonts w:hint="eastAsia" w:ascii="宋体" w:hAnsi="宋体"/>
          <w:color w:val="auto"/>
          <w:sz w:val="24"/>
          <w:szCs w:val="24"/>
        </w:rPr>
        <w:t>1</w:t>
      </w:r>
      <w:r>
        <w:rPr>
          <w:rFonts w:hint="eastAsia" w:ascii="宋体" w:hAnsi="宋体"/>
          <w:color w:val="auto"/>
          <w:sz w:val="24"/>
          <w:szCs w:val="24"/>
          <w:lang w:val="en-US" w:eastAsia="zh-CN"/>
        </w:rPr>
        <w:t>4</w:t>
      </w:r>
      <w:r>
        <w:rPr>
          <w:rFonts w:hint="eastAsia" w:ascii="宋体" w:hAnsi="宋体"/>
          <w:color w:val="auto"/>
          <w:sz w:val="24"/>
          <w:szCs w:val="24"/>
        </w:rPr>
        <w:t>.</w:t>
      </w:r>
      <w:r>
        <w:rPr>
          <w:rFonts w:ascii="宋体" w:hAnsi="宋体"/>
          <w:color w:val="auto"/>
          <w:sz w:val="24"/>
          <w:szCs w:val="24"/>
        </w:rPr>
        <w:t>服务方案</w:t>
      </w:r>
      <w:bookmarkEnd w:id="753"/>
      <w:bookmarkEnd w:id="754"/>
      <w:r>
        <w:rPr>
          <w:rFonts w:hint="eastAsia" w:ascii="宋体" w:hAnsi="宋体"/>
          <w:color w:val="auto"/>
          <w:sz w:val="24"/>
          <w:szCs w:val="24"/>
        </w:rPr>
        <w:t>（格式自拟）</w:t>
      </w:r>
      <w:bookmarkEnd w:id="755"/>
    </w:p>
    <w:p>
      <w:pPr>
        <w:rPr>
          <w:rFonts w:ascii="宋体" w:hAnsi="宋体"/>
          <w:color w:val="auto"/>
          <w:szCs w:val="21"/>
        </w:rPr>
      </w:pPr>
      <w:r>
        <w:rPr>
          <w:rFonts w:ascii="宋体" w:hAnsi="宋体"/>
          <w:color w:val="auto"/>
          <w:szCs w:val="21"/>
        </w:rPr>
        <w:t>(</w:t>
      </w:r>
      <w:r>
        <w:rPr>
          <w:rFonts w:hint="eastAsia" w:ascii="宋体" w:hAnsi="宋体"/>
          <w:color w:val="auto"/>
          <w:szCs w:val="21"/>
        </w:rPr>
        <w:t>建议按第三章 评审办法“技术评分表”纬度编制相关内容，投标人也</w:t>
      </w:r>
      <w:r>
        <w:rPr>
          <w:rFonts w:ascii="宋体" w:hAnsi="宋体"/>
          <w:color w:val="auto"/>
          <w:szCs w:val="21"/>
        </w:rPr>
        <w:t>可自行根据实际情况补充)</w:t>
      </w:r>
      <w:bookmarkEnd w:id="756"/>
    </w:p>
    <w:p>
      <w:pPr>
        <w:rPr>
          <w:rFonts w:ascii="宋体" w:hAnsi="宋体"/>
          <w:color w:val="auto"/>
          <w:szCs w:val="21"/>
        </w:rPr>
      </w:pPr>
    </w:p>
    <w:p>
      <w:pPr>
        <w:rPr>
          <w:rFonts w:ascii="宋体" w:hAnsi="宋体"/>
          <w:color w:val="auto"/>
          <w:sz w:val="24"/>
        </w:rPr>
      </w:pPr>
    </w:p>
    <w:p>
      <w:pPr>
        <w:pStyle w:val="37"/>
        <w:tabs>
          <w:tab w:val="left" w:pos="588"/>
        </w:tabs>
        <w:snapToGrid w:val="0"/>
        <w:spacing w:before="120" w:after="120" w:line="440" w:lineRule="exact"/>
        <w:jc w:val="left"/>
        <w:rPr>
          <w:rFonts w:ascii="宋体" w:hAnsi="宋体"/>
          <w:color w:val="auto"/>
          <w:sz w:val="24"/>
          <w:szCs w:val="24"/>
        </w:rPr>
      </w:pPr>
      <w:bookmarkStart w:id="759" w:name="_Toc27684"/>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.投标人认为需要提供的其他资料</w:t>
      </w:r>
      <w:r>
        <w:rPr>
          <w:rFonts w:hint="eastAsia" w:ascii="宋体" w:hAnsi="宋体"/>
          <w:color w:val="auto"/>
          <w:sz w:val="24"/>
          <w:szCs w:val="24"/>
        </w:rPr>
        <w:br w:type="page"/>
      </w:r>
      <w:bookmarkEnd w:id="759"/>
    </w:p>
    <w:bookmarkEnd w:id="757"/>
    <w:bookmarkEnd w:id="758"/>
    <w:p>
      <w:pPr>
        <w:pStyle w:val="37"/>
        <w:tabs>
          <w:tab w:val="left" w:pos="588"/>
        </w:tabs>
        <w:snapToGrid w:val="0"/>
        <w:spacing w:before="120" w:after="120" w:line="440" w:lineRule="exact"/>
        <w:ind w:left="425"/>
        <w:jc w:val="left"/>
        <w:rPr>
          <w:rFonts w:ascii="宋体" w:hAnsi="宋体"/>
          <w:color w:val="auto"/>
          <w:sz w:val="24"/>
          <w:szCs w:val="24"/>
        </w:rPr>
      </w:pPr>
      <w:bookmarkStart w:id="760" w:name="_Toc24158"/>
      <w:bookmarkStart w:id="761" w:name="_Toc1651921"/>
      <w:bookmarkStart w:id="762" w:name="_Toc23349"/>
      <w:bookmarkStart w:id="763" w:name="_Toc9532"/>
      <w:bookmarkStart w:id="764" w:name="_Toc56432252"/>
      <w:bookmarkStart w:id="765" w:name="_Toc475472693"/>
      <w:r>
        <w:rPr>
          <w:rFonts w:hint="eastAsia" w:ascii="宋体" w:hAnsi="宋体"/>
          <w:color w:val="auto"/>
          <w:sz w:val="24"/>
          <w:szCs w:val="24"/>
        </w:rPr>
        <w:t>第二分册</w:t>
      </w:r>
      <w:bookmarkEnd w:id="760"/>
      <w:bookmarkEnd w:id="761"/>
      <w:bookmarkEnd w:id="762"/>
      <w:bookmarkEnd w:id="763"/>
      <w:bookmarkEnd w:id="764"/>
    </w:p>
    <w:p>
      <w:pPr>
        <w:pStyle w:val="37"/>
        <w:numPr>
          <w:ilvl w:val="0"/>
          <w:numId w:val="21"/>
        </w:numPr>
        <w:tabs>
          <w:tab w:val="left" w:pos="588"/>
        </w:tabs>
        <w:snapToGrid w:val="0"/>
        <w:spacing w:before="120" w:after="120" w:line="440" w:lineRule="exact"/>
        <w:jc w:val="left"/>
        <w:rPr>
          <w:rFonts w:ascii="宋体" w:hAnsi="宋体"/>
          <w:color w:val="auto"/>
          <w:sz w:val="24"/>
          <w:szCs w:val="24"/>
        </w:rPr>
      </w:pPr>
      <w:bookmarkStart w:id="766" w:name="_Toc27892"/>
      <w:bookmarkStart w:id="767" w:name="_Toc56432253"/>
      <w:bookmarkStart w:id="768" w:name="_Toc25276"/>
      <w:bookmarkStart w:id="769" w:name="_Toc1651922"/>
      <w:bookmarkStart w:id="770" w:name="_Toc3918"/>
      <w:r>
        <w:rPr>
          <w:rFonts w:hint="eastAsia" w:ascii="宋体" w:hAnsi="宋体"/>
          <w:color w:val="auto"/>
          <w:sz w:val="24"/>
          <w:szCs w:val="24"/>
          <w:lang w:val="en-US" w:eastAsia="zh-CN"/>
        </w:rPr>
        <w:t>经济</w:t>
      </w:r>
      <w:r>
        <w:rPr>
          <w:rFonts w:hint="eastAsia" w:ascii="宋体" w:hAnsi="宋体"/>
          <w:color w:val="auto"/>
          <w:sz w:val="24"/>
          <w:szCs w:val="24"/>
        </w:rPr>
        <w:t>文件封面</w:t>
      </w:r>
      <w:bookmarkEnd w:id="765"/>
      <w:bookmarkEnd w:id="766"/>
      <w:bookmarkEnd w:id="767"/>
      <w:bookmarkEnd w:id="768"/>
      <w:bookmarkEnd w:id="769"/>
      <w:bookmarkEnd w:id="770"/>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b/>
          <w:color w:val="auto"/>
          <w:sz w:val="30"/>
          <w:szCs w:val="30"/>
        </w:rPr>
      </w:pPr>
      <w:r>
        <w:rPr>
          <w:rFonts w:ascii="宋体" w:hAnsi="宋体"/>
          <w:color w:val="auto"/>
          <w:sz w:val="28"/>
          <w:szCs w:val="28"/>
          <w:u w:val="single"/>
        </w:rPr>
        <w:t xml:space="preserve">           </w:t>
      </w:r>
      <w:r>
        <w:rPr>
          <w:rFonts w:hint="eastAsia" w:ascii="宋体" w:hAnsi="宋体"/>
          <w:color w:val="auto"/>
          <w:sz w:val="28"/>
          <w:szCs w:val="28"/>
        </w:rPr>
        <w:t>（项目名称）</w:t>
      </w:r>
    </w:p>
    <w:p>
      <w:pPr>
        <w:jc w:val="center"/>
        <w:rPr>
          <w:rFonts w:ascii="宋体" w:hAnsi="宋体" w:cs="宋体"/>
          <w:color w:val="auto"/>
          <w:sz w:val="28"/>
          <w:szCs w:val="28"/>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spacing w:after="120"/>
        <w:jc w:val="center"/>
        <w:rPr>
          <w:rFonts w:ascii="宋体" w:hAnsi="宋体" w:cs="宋体"/>
          <w:b/>
          <w:color w:val="auto"/>
          <w:sz w:val="36"/>
          <w:szCs w:val="36"/>
        </w:rPr>
      </w:pPr>
      <w:r>
        <w:rPr>
          <w:rFonts w:hint="eastAsia" w:ascii="宋体" w:hAnsi="宋体" w:cs="宋体"/>
          <w:b/>
          <w:color w:val="auto"/>
          <w:sz w:val="36"/>
          <w:szCs w:val="36"/>
        </w:rPr>
        <w:t>投标文件（</w:t>
      </w:r>
      <w:r>
        <w:rPr>
          <w:rFonts w:hint="eastAsia" w:ascii="宋体" w:hAnsi="宋体" w:cs="宋体"/>
          <w:b/>
          <w:color w:val="auto"/>
          <w:sz w:val="36"/>
          <w:szCs w:val="36"/>
          <w:lang w:val="en-US" w:eastAsia="zh-CN"/>
        </w:rPr>
        <w:t>经济</w:t>
      </w:r>
      <w:r>
        <w:rPr>
          <w:rFonts w:hint="eastAsia" w:ascii="宋体" w:hAnsi="宋体" w:cs="宋体"/>
          <w:b/>
          <w:color w:val="auto"/>
          <w:sz w:val="36"/>
          <w:szCs w:val="36"/>
        </w:rPr>
        <w:t>文件）部分</w:t>
      </w: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adjustRightInd w:val="0"/>
        <w:snapToGrid w:val="0"/>
        <w:spacing w:line="440" w:lineRule="exact"/>
        <w:jc w:val="center"/>
        <w:rPr>
          <w:rFonts w:ascii="宋体" w:hAnsi="宋体" w:cs="宋体"/>
          <w:color w:val="auto"/>
          <w:sz w:val="24"/>
        </w:rPr>
      </w:pPr>
      <w:r>
        <w:rPr>
          <w:rFonts w:ascii="宋体" w:hAnsi="宋体" w:cs="宋体"/>
          <w:color w:val="auto"/>
          <w:sz w:val="24"/>
        </w:rPr>
        <w:t xml:space="preserve">   投标人名称：</w:t>
      </w:r>
      <w:r>
        <w:rPr>
          <w:rFonts w:ascii="宋体" w:hAnsi="宋体" w:cs="宋体"/>
          <w:color w:val="auto"/>
          <w:sz w:val="24"/>
          <w:u w:val="single"/>
        </w:rPr>
        <w:t xml:space="preserve">                              </w:t>
      </w:r>
      <w:r>
        <w:rPr>
          <w:rFonts w:hint="eastAsia" w:ascii="宋体" w:hAnsi="宋体" w:cs="宋体"/>
          <w:color w:val="auto"/>
          <w:sz w:val="24"/>
        </w:rPr>
        <w:t>（盖单位公章）</w:t>
      </w:r>
    </w:p>
    <w:p>
      <w:pPr>
        <w:adjustRightInd w:val="0"/>
        <w:snapToGrid w:val="0"/>
        <w:spacing w:line="440" w:lineRule="exact"/>
        <w:ind w:firstLine="1020" w:firstLineChars="425"/>
        <w:rPr>
          <w:rFonts w:ascii="宋体" w:hAnsi="宋体" w:cs="宋体"/>
          <w:color w:val="auto"/>
          <w:sz w:val="24"/>
        </w:rPr>
      </w:pPr>
    </w:p>
    <w:p>
      <w:pPr>
        <w:adjustRightInd w:val="0"/>
        <w:snapToGrid w:val="0"/>
        <w:spacing w:after="120" w:line="440" w:lineRule="exact"/>
        <w:ind w:firstLine="1200" w:firstLineChars="500"/>
        <w:jc w:val="left"/>
        <w:rPr>
          <w:rFonts w:ascii="宋体" w:hAnsi="宋体" w:cs="宋体"/>
          <w:color w:val="auto"/>
          <w:sz w:val="24"/>
        </w:rPr>
      </w:pPr>
    </w:p>
    <w:p>
      <w:pPr>
        <w:adjustRightInd w:val="0"/>
        <w:snapToGrid w:val="0"/>
        <w:spacing w:line="440" w:lineRule="exact"/>
        <w:jc w:val="center"/>
        <w:rPr>
          <w:rFonts w:ascii="宋体" w:hAnsi="宋体"/>
          <w:color w:val="auto"/>
        </w:rPr>
      </w:pP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p>
    <w:p>
      <w:pPr>
        <w:pStyle w:val="37"/>
        <w:tabs>
          <w:tab w:val="left" w:pos="588"/>
        </w:tabs>
        <w:snapToGrid w:val="0"/>
        <w:spacing w:before="120" w:after="120" w:line="440" w:lineRule="exact"/>
        <w:ind w:left="425"/>
        <w:jc w:val="left"/>
        <w:rPr>
          <w:rFonts w:ascii="宋体" w:hAnsi="宋体"/>
          <w:color w:val="auto"/>
          <w:sz w:val="24"/>
          <w:szCs w:val="24"/>
        </w:rPr>
        <w:sectPr>
          <w:pgSz w:w="11906" w:h="16838"/>
          <w:pgMar w:top="1440" w:right="1797" w:bottom="1440" w:left="1797" w:header="851" w:footer="992" w:gutter="0"/>
          <w:cols w:space="425" w:num="1"/>
          <w:docGrid w:type="lines" w:linePitch="312" w:charSpace="0"/>
        </w:sectPr>
      </w:pPr>
    </w:p>
    <w:p>
      <w:pPr>
        <w:pStyle w:val="37"/>
        <w:numPr>
          <w:ilvl w:val="0"/>
          <w:numId w:val="21"/>
        </w:numPr>
        <w:tabs>
          <w:tab w:val="left" w:pos="588"/>
        </w:tabs>
        <w:snapToGrid w:val="0"/>
        <w:spacing w:before="120" w:after="120" w:line="440" w:lineRule="exact"/>
        <w:jc w:val="left"/>
        <w:rPr>
          <w:rFonts w:ascii="宋体" w:hAnsi="宋体"/>
          <w:color w:val="auto"/>
          <w:sz w:val="24"/>
          <w:szCs w:val="24"/>
        </w:rPr>
      </w:pPr>
      <w:bookmarkStart w:id="771" w:name="_Toc29538"/>
      <w:bookmarkStart w:id="772" w:name="_Toc1651923"/>
      <w:bookmarkStart w:id="773" w:name="_Toc28564"/>
      <w:bookmarkStart w:id="774" w:name="_Toc56432254"/>
      <w:bookmarkStart w:id="775" w:name="_Toc19284"/>
      <w:bookmarkStart w:id="776" w:name="_Toc10481"/>
      <w:bookmarkStart w:id="777" w:name="_Toc56432256"/>
      <w:bookmarkStart w:id="778" w:name="_Toc1651925"/>
      <w:bookmarkStart w:id="779" w:name="_Toc2828"/>
      <w:r>
        <w:rPr>
          <w:rFonts w:hint="eastAsia" w:ascii="宋体" w:hAnsi="宋体"/>
          <w:color w:val="auto"/>
          <w:sz w:val="24"/>
          <w:szCs w:val="24"/>
        </w:rPr>
        <w:t>报价一览表</w:t>
      </w:r>
      <w:bookmarkEnd w:id="771"/>
      <w:bookmarkEnd w:id="772"/>
      <w:bookmarkEnd w:id="773"/>
      <w:bookmarkEnd w:id="774"/>
      <w:bookmarkEnd w:id="775"/>
    </w:p>
    <w:p>
      <w:pPr>
        <w:topLinePunct/>
        <w:spacing w:line="440" w:lineRule="exact"/>
        <w:jc w:val="left"/>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广东南都娱乐企业文化综合服务项目</w:t>
      </w:r>
    </w:p>
    <w:p>
      <w:pPr>
        <w:topLinePunct/>
        <w:spacing w:line="440" w:lineRule="exact"/>
        <w:jc w:val="left"/>
        <w:rPr>
          <w:rFonts w:ascii="宋体" w:hAnsi="宋体" w:cs="宋体"/>
          <w:color w:val="auto"/>
          <w:szCs w:val="21"/>
        </w:rPr>
      </w:pPr>
      <w:r>
        <w:rPr>
          <w:rFonts w:hint="eastAsia" w:ascii="宋体" w:hAnsi="宋体" w:cs="宋体"/>
          <w:color w:val="auto"/>
          <w:szCs w:val="21"/>
        </w:rPr>
        <w:t>招标代理编号：</w:t>
      </w:r>
      <w:r>
        <w:rPr>
          <w:rFonts w:hint="eastAsia" w:ascii="宋体" w:hAnsi="宋体" w:cs="宋体"/>
          <w:color w:val="auto"/>
          <w:szCs w:val="21"/>
          <w:lang w:eastAsia="zh-CN"/>
        </w:rPr>
        <w:t>WJS-202301130002</w:t>
      </w:r>
      <w:r>
        <w:rPr>
          <w:rFonts w:ascii="宋体" w:hAnsi="宋体" w:cs="宋体"/>
          <w:color w:val="auto"/>
          <w:szCs w:val="21"/>
        </w:rPr>
        <w:t xml:space="preserve">  </w:t>
      </w:r>
    </w:p>
    <w:tbl>
      <w:tblPr>
        <w:tblStyle w:val="4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325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79"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hAnsi="宋体" w:cs="宋体"/>
                <w:color w:val="auto"/>
                <w:kern w:val="0"/>
                <w:szCs w:val="21"/>
              </w:rPr>
              <w:t>报价内容</w:t>
            </w:r>
          </w:p>
        </w:tc>
        <w:tc>
          <w:tcPr>
            <w:tcW w:w="3254"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cs="宋体"/>
                <w:color w:val="auto"/>
                <w:kern w:val="0"/>
                <w:szCs w:val="21"/>
              </w:rPr>
              <w:t>含税总报价（元）</w:t>
            </w:r>
          </w:p>
        </w:tc>
        <w:tc>
          <w:tcPr>
            <w:tcW w:w="1886"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3379" w:type="dxa"/>
            <w:shd w:val="clear" w:color="auto" w:fill="auto"/>
            <w:vAlign w:val="center"/>
          </w:tcPr>
          <w:p>
            <w:pPr>
              <w:widowControl/>
              <w:shd w:val="clear" w:color="auto" w:fill="FFFFFF" w:themeFill="background1"/>
              <w:jc w:val="center"/>
              <w:rPr>
                <w:rFonts w:hint="eastAsia" w:ascii="宋体" w:hAnsi="宋体" w:eastAsia="宋体" w:cs="宋体"/>
                <w:color w:val="auto"/>
                <w:kern w:val="0"/>
                <w:szCs w:val="21"/>
                <w:lang w:eastAsia="zh-CN"/>
              </w:rPr>
            </w:pPr>
            <w:r>
              <w:rPr>
                <w:rFonts w:hint="eastAsia" w:ascii="宋体" w:hAnsi="宋体" w:cs="宋体"/>
                <w:color w:val="auto"/>
                <w:szCs w:val="21"/>
                <w:lang w:eastAsia="zh-CN"/>
              </w:rPr>
              <w:t>广东南都娱乐企业文化综合服务项目</w:t>
            </w:r>
          </w:p>
        </w:tc>
        <w:tc>
          <w:tcPr>
            <w:tcW w:w="3254" w:type="dxa"/>
            <w:shd w:val="clear" w:color="auto" w:fill="auto"/>
            <w:vAlign w:val="center"/>
          </w:tcPr>
          <w:p>
            <w:pPr>
              <w:shd w:val="clear" w:color="auto" w:fill="FFFFFF" w:themeFill="background1"/>
              <w:jc w:val="left"/>
              <w:rPr>
                <w:color w:val="auto"/>
              </w:rPr>
            </w:pPr>
            <w:r>
              <w:rPr>
                <w:rFonts w:hint="eastAsia"/>
                <w:color w:val="auto"/>
                <w:lang w:val="en-US" w:eastAsia="zh-CN"/>
              </w:rPr>
              <w:t>大写</w:t>
            </w:r>
            <w:r>
              <w:rPr>
                <w:rFonts w:hint="eastAsia"/>
                <w:color w:val="auto"/>
              </w:rPr>
              <w:t>：</w:t>
            </w:r>
          </w:p>
          <w:p>
            <w:pPr>
              <w:pStyle w:val="14"/>
              <w:ind w:firstLine="0"/>
              <w:rPr>
                <w:color w:val="auto"/>
              </w:rPr>
            </w:pPr>
            <w:r>
              <w:rPr>
                <w:rFonts w:hint="eastAsia" w:ascii="Times New Roman" w:eastAsia="宋体"/>
                <w:color w:val="auto"/>
                <w:kern w:val="2"/>
                <w:sz w:val="21"/>
                <w:szCs w:val="24"/>
              </w:rPr>
              <w:t>小写：</w:t>
            </w:r>
          </w:p>
        </w:tc>
        <w:tc>
          <w:tcPr>
            <w:tcW w:w="1886" w:type="dxa"/>
            <w:shd w:val="clear" w:color="auto" w:fill="auto"/>
            <w:vAlign w:val="center"/>
          </w:tcPr>
          <w:p>
            <w:pPr>
              <w:shd w:val="clear" w:color="auto" w:fill="FFFFFF" w:themeFill="background1"/>
              <w:jc w:val="center"/>
              <w:rPr>
                <w:rFonts w:ascii="宋体" w:hAnsi="宋体" w:cs="宋体"/>
                <w:color w:val="auto"/>
                <w:kern w:val="0"/>
                <w:szCs w:val="21"/>
              </w:rPr>
            </w:pPr>
          </w:p>
        </w:tc>
      </w:tr>
    </w:tbl>
    <w:p>
      <w:pPr>
        <w:rPr>
          <w:rFonts w:hAnsi="宋体"/>
          <w:bCs/>
          <w:color w:val="auto"/>
          <w:szCs w:val="21"/>
        </w:rPr>
      </w:pPr>
    </w:p>
    <w:p>
      <w:pPr>
        <w:rPr>
          <w:bCs/>
          <w:color w:val="auto"/>
          <w:szCs w:val="21"/>
        </w:rPr>
      </w:pPr>
      <w:r>
        <w:rPr>
          <w:rFonts w:hAnsi="宋体"/>
          <w:bCs/>
          <w:color w:val="auto"/>
          <w:szCs w:val="21"/>
        </w:rPr>
        <w:t>说明：</w:t>
      </w:r>
    </w:p>
    <w:p>
      <w:pPr>
        <w:spacing w:line="440" w:lineRule="exact"/>
        <w:rPr>
          <w:bCs/>
          <w:color w:val="auto"/>
          <w:szCs w:val="21"/>
        </w:rPr>
      </w:pPr>
      <w:r>
        <w:rPr>
          <w:bCs/>
          <w:color w:val="auto"/>
          <w:szCs w:val="21"/>
        </w:rPr>
        <w:t>1</w:t>
      </w:r>
      <w:r>
        <w:rPr>
          <w:rFonts w:hint="eastAsia" w:hAnsi="宋体"/>
          <w:bCs/>
          <w:color w:val="auto"/>
          <w:szCs w:val="21"/>
        </w:rPr>
        <w:t>．</w:t>
      </w:r>
      <w:r>
        <w:rPr>
          <w:rFonts w:hAnsi="宋体"/>
          <w:bCs/>
          <w:color w:val="auto"/>
          <w:szCs w:val="21"/>
        </w:rPr>
        <w:t>以上内容为实质性响应内容，投标人漏写或</w:t>
      </w:r>
      <w:r>
        <w:rPr>
          <w:rFonts w:hint="eastAsia" w:hAnsi="宋体"/>
          <w:bCs/>
          <w:color w:val="auto"/>
          <w:szCs w:val="21"/>
        </w:rPr>
        <w:t>者</w:t>
      </w:r>
      <w:r>
        <w:rPr>
          <w:rFonts w:hAnsi="宋体"/>
          <w:bCs/>
          <w:color w:val="auto"/>
          <w:szCs w:val="21"/>
        </w:rPr>
        <w:t>错写，将导致</w:t>
      </w:r>
      <w:r>
        <w:rPr>
          <w:rFonts w:hint="eastAsia" w:hAnsi="宋体"/>
          <w:bCs/>
          <w:color w:val="auto"/>
          <w:szCs w:val="21"/>
        </w:rPr>
        <w:t>被否决投标；</w:t>
      </w:r>
    </w:p>
    <w:p>
      <w:pPr>
        <w:spacing w:line="440" w:lineRule="exact"/>
        <w:rPr>
          <w:rFonts w:hAnsi="宋体"/>
          <w:color w:val="auto"/>
          <w:szCs w:val="21"/>
        </w:rPr>
      </w:pPr>
      <w:r>
        <w:rPr>
          <w:bCs/>
          <w:color w:val="auto"/>
          <w:szCs w:val="21"/>
        </w:rPr>
        <w:t>2</w:t>
      </w:r>
      <w:r>
        <w:rPr>
          <w:rFonts w:hint="eastAsia" w:hAnsi="宋体"/>
          <w:bCs/>
          <w:color w:val="auto"/>
          <w:szCs w:val="21"/>
        </w:rPr>
        <w:t>．</w:t>
      </w:r>
      <w:r>
        <w:rPr>
          <w:rFonts w:hAnsi="宋体"/>
          <w:bCs/>
          <w:color w:val="auto"/>
          <w:szCs w:val="21"/>
        </w:rPr>
        <w:t>投标总报价</w:t>
      </w:r>
      <w:r>
        <w:rPr>
          <w:rFonts w:hint="eastAsia" w:hAnsi="宋体"/>
          <w:bCs/>
          <w:color w:val="auto"/>
          <w:szCs w:val="21"/>
        </w:rPr>
        <w:t>（含税）元应与报价明细中的总价一致，</w:t>
      </w:r>
      <w:r>
        <w:rPr>
          <w:rFonts w:hint="eastAsia" w:ascii="宋体" w:cs="宋体"/>
          <w:b/>
          <w:bCs/>
          <w:color w:val="auto"/>
          <w:kern w:val="0"/>
          <w:szCs w:val="21"/>
        </w:rPr>
        <w:t>含税总报价</w:t>
      </w:r>
      <w:r>
        <w:rPr>
          <w:rFonts w:hint="eastAsia" w:hAnsi="宋体"/>
          <w:b/>
          <w:bCs/>
          <w:color w:val="auto"/>
          <w:szCs w:val="21"/>
        </w:rPr>
        <w:t>不得超过本项目的最高限价：含税</w:t>
      </w:r>
      <w:r>
        <w:rPr>
          <w:rFonts w:hint="eastAsia" w:hAnsi="宋体"/>
          <w:b/>
          <w:bCs/>
          <w:color w:val="auto"/>
          <w:szCs w:val="21"/>
          <w:lang w:eastAsia="zh-CN"/>
        </w:rPr>
        <w:t>1447000.00</w:t>
      </w:r>
      <w:r>
        <w:rPr>
          <w:rFonts w:hint="eastAsia" w:hAnsi="宋体"/>
          <w:b/>
          <w:bCs/>
          <w:color w:val="auto"/>
          <w:szCs w:val="21"/>
        </w:rPr>
        <w:t>元人民币，若投标人报价超出最高限价，作否决投标处理</w:t>
      </w:r>
      <w:r>
        <w:rPr>
          <w:rFonts w:hAnsi="宋体"/>
          <w:color w:val="auto"/>
          <w:szCs w:val="21"/>
        </w:rPr>
        <w:t>。</w:t>
      </w:r>
    </w:p>
    <w:p>
      <w:pPr>
        <w:spacing w:line="440" w:lineRule="exact"/>
        <w:rPr>
          <w:rFonts w:hAnsi="宋体"/>
          <w:bCs/>
          <w:color w:val="auto"/>
          <w:szCs w:val="21"/>
        </w:rPr>
      </w:pPr>
    </w:p>
    <w:p>
      <w:pPr>
        <w:snapToGrid w:val="0"/>
        <w:spacing w:line="440" w:lineRule="exact"/>
        <w:jc w:val="right"/>
        <w:rPr>
          <w:rFonts w:ascii="宋体" w:hAnsi="宋体" w:cs="宋体"/>
          <w:color w:val="auto"/>
          <w:szCs w:val="21"/>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盖单位公章</w:t>
      </w:r>
      <w:r>
        <w:rPr>
          <w:rFonts w:ascii="宋体" w:hAnsi="宋体" w:cs="宋体"/>
          <w:color w:val="auto"/>
          <w:szCs w:val="21"/>
        </w:rPr>
        <w:t>）</w:t>
      </w:r>
    </w:p>
    <w:p>
      <w:pPr>
        <w:widowControl/>
        <w:snapToGrid w:val="0"/>
        <w:spacing w:line="440" w:lineRule="exact"/>
        <w:ind w:right="420" w:firstLine="1260" w:firstLineChars="600"/>
        <w:jc w:val="right"/>
        <w:rPr>
          <w:rFonts w:ascii="宋体" w:hAnsi="宋体" w:cs="宋体"/>
          <w:color w:val="auto"/>
          <w:szCs w:val="21"/>
        </w:rPr>
      </w:pPr>
      <w:r>
        <w:rPr>
          <w:rFonts w:hint="eastAsia" w:ascii="宋体" w:hAnsi="宋体" w:cs="宋体"/>
          <w:color w:val="auto"/>
          <w:szCs w:val="21"/>
        </w:rPr>
        <w:t>法定代表人</w:t>
      </w:r>
      <w:r>
        <w:rPr>
          <w:rFonts w:ascii="宋体" w:hAnsi="宋体" w:cs="宋体"/>
          <w:color w:val="auto"/>
          <w:szCs w:val="21"/>
        </w:rPr>
        <w:t>或者其委托代理人：</w:t>
      </w:r>
      <w:r>
        <w:rPr>
          <w:rFonts w:ascii="宋体" w:hAnsi="宋体" w:cs="宋体"/>
          <w:color w:val="auto"/>
          <w:szCs w:val="21"/>
          <w:u w:val="single"/>
        </w:rPr>
        <w:t xml:space="preserve">               </w:t>
      </w:r>
      <w:r>
        <w:rPr>
          <w:rFonts w:hint="eastAsia" w:ascii="宋体" w:hAnsi="宋体" w:cs="宋体"/>
          <w:color w:val="auto"/>
          <w:szCs w:val="21"/>
        </w:rPr>
        <w:t>（签字或盖章）</w:t>
      </w:r>
    </w:p>
    <w:p>
      <w:pPr>
        <w:widowControl/>
        <w:snapToGrid w:val="0"/>
        <w:spacing w:line="440" w:lineRule="exact"/>
        <w:ind w:right="420" w:firstLine="1260" w:firstLineChars="600"/>
        <w:jc w:val="right"/>
        <w:rPr>
          <w:rFonts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topLinePunct/>
        <w:spacing w:line="440" w:lineRule="exact"/>
        <w:jc w:val="left"/>
        <w:rPr>
          <w:rFonts w:ascii="宋体" w:hAnsi="宋体" w:cs="宋体"/>
          <w:color w:val="auto"/>
          <w:szCs w:val="21"/>
        </w:rPr>
      </w:pPr>
    </w:p>
    <w:p>
      <w:pPr>
        <w:topLinePunct/>
        <w:spacing w:line="440" w:lineRule="exact"/>
        <w:jc w:val="left"/>
        <w:rPr>
          <w:rFonts w:ascii="宋体" w:hAnsi="宋体" w:cs="宋体"/>
          <w:color w:val="auto"/>
          <w:szCs w:val="21"/>
        </w:rPr>
      </w:pPr>
    </w:p>
    <w:p>
      <w:pPr>
        <w:topLinePunct/>
        <w:spacing w:line="440" w:lineRule="exact"/>
        <w:jc w:val="left"/>
        <w:rPr>
          <w:rFonts w:ascii="宋体" w:hAnsi="宋体" w:cs="宋体"/>
          <w:color w:val="auto"/>
          <w:szCs w:val="21"/>
        </w:rPr>
      </w:pPr>
    </w:p>
    <w:p>
      <w:pPr>
        <w:widowControl/>
        <w:jc w:val="left"/>
        <w:rPr>
          <w:rFonts w:ascii="宋体" w:hAnsi="宋体" w:cs="宋体"/>
          <w:color w:val="auto"/>
          <w:szCs w:val="21"/>
        </w:rPr>
      </w:pPr>
      <w:r>
        <w:rPr>
          <w:rFonts w:ascii="宋体" w:hAnsi="宋体" w:cs="宋体"/>
          <w:color w:val="auto"/>
          <w:szCs w:val="21"/>
        </w:rPr>
        <w:br w:type="page"/>
      </w:r>
    </w:p>
    <w:p>
      <w:pPr>
        <w:pStyle w:val="37"/>
        <w:numPr>
          <w:ilvl w:val="0"/>
          <w:numId w:val="21"/>
        </w:numPr>
        <w:tabs>
          <w:tab w:val="left" w:pos="588"/>
        </w:tabs>
        <w:snapToGrid w:val="0"/>
        <w:spacing w:before="120" w:after="120" w:line="440" w:lineRule="exact"/>
        <w:jc w:val="left"/>
        <w:rPr>
          <w:rFonts w:ascii="宋体" w:hAnsi="宋体"/>
          <w:color w:val="auto"/>
          <w:sz w:val="24"/>
          <w:szCs w:val="24"/>
        </w:rPr>
      </w:pPr>
      <w:bookmarkStart w:id="780" w:name="_Toc9231"/>
      <w:r>
        <w:rPr>
          <w:rFonts w:hint="eastAsia" w:ascii="宋体" w:hAnsi="宋体"/>
          <w:color w:val="auto"/>
          <w:sz w:val="24"/>
          <w:szCs w:val="24"/>
        </w:rPr>
        <w:t>分项一览表（格式自拟）</w:t>
      </w:r>
      <w:bookmarkEnd w:id="776"/>
      <w:bookmarkEnd w:id="780"/>
    </w:p>
    <w:p>
      <w:pPr>
        <w:spacing w:line="360" w:lineRule="auto"/>
        <w:rPr>
          <w:rFonts w:hint="eastAsia" w:ascii="宋体" w:hAnsi="宋体" w:eastAsia="宋体"/>
          <w:color w:val="auto"/>
          <w:u w:val="single"/>
          <w:lang w:eastAsia="zh-CN"/>
        </w:rPr>
      </w:pPr>
      <w:r>
        <w:rPr>
          <w:rFonts w:hint="eastAsia" w:ascii="宋体" w:hAnsi="宋体"/>
          <w:color w:val="auto"/>
        </w:rPr>
        <w:t>项目名称：</w:t>
      </w:r>
      <w:r>
        <w:rPr>
          <w:rFonts w:hint="eastAsia" w:ascii="宋体" w:hAnsi="宋体" w:cs="宋体"/>
          <w:color w:val="auto"/>
          <w:szCs w:val="21"/>
          <w:lang w:eastAsia="zh-CN"/>
        </w:rPr>
        <w:t>广东南都娱乐企业文化综合服务项目</w:t>
      </w:r>
    </w:p>
    <w:p>
      <w:pPr>
        <w:autoSpaceDE w:val="0"/>
        <w:autoSpaceDN w:val="0"/>
        <w:adjustRightInd w:val="0"/>
        <w:ind w:left="424" w:hanging="424" w:hangingChars="202"/>
        <w:jc w:val="left"/>
        <w:rPr>
          <w:rFonts w:hint="eastAsia" w:ascii="宋体" w:hAnsi="宋体" w:eastAsia="宋体"/>
          <w:color w:val="auto"/>
          <w:szCs w:val="21"/>
          <w:lang w:eastAsia="zh-CN"/>
        </w:rPr>
      </w:pPr>
      <w:r>
        <w:rPr>
          <w:rFonts w:hint="eastAsia" w:ascii="宋体" w:hAnsi="宋体"/>
          <w:color w:val="auto"/>
        </w:rPr>
        <w:t>招标代理机构编号：</w:t>
      </w:r>
      <w:r>
        <w:rPr>
          <w:rFonts w:hint="eastAsia" w:ascii="宋体" w:hAnsi="宋体" w:cs="宋体"/>
          <w:color w:val="auto"/>
          <w:szCs w:val="21"/>
          <w:lang w:eastAsia="zh-CN"/>
        </w:rPr>
        <w:t>WJS-202301130002</w:t>
      </w:r>
    </w:p>
    <w:p>
      <w:pPr>
        <w:pStyle w:val="18"/>
        <w:rPr>
          <w:color w:val="auto"/>
        </w:rPr>
      </w:pPr>
    </w:p>
    <w:p>
      <w:pPr>
        <w:pStyle w:val="18"/>
        <w:rPr>
          <w:color w:val="auto"/>
        </w:rPr>
      </w:pPr>
    </w:p>
    <w:p>
      <w:pPr>
        <w:pStyle w:val="18"/>
        <w:rPr>
          <w:color w:val="auto"/>
        </w:rPr>
      </w:pPr>
    </w:p>
    <w:p>
      <w:pPr>
        <w:pStyle w:val="18"/>
        <w:rPr>
          <w:color w:val="auto"/>
        </w:rPr>
      </w:pPr>
    </w:p>
    <w:p>
      <w:pPr>
        <w:pStyle w:val="18"/>
        <w:rPr>
          <w:rFonts w:ascii="宋体" w:hAnsi="宋体"/>
          <w:color w:val="auto"/>
          <w:sz w:val="21"/>
          <w:szCs w:val="21"/>
        </w:rPr>
      </w:pPr>
      <w:r>
        <w:rPr>
          <w:rFonts w:ascii="宋体" w:hAnsi="宋体"/>
          <w:color w:val="auto"/>
          <w:sz w:val="21"/>
          <w:szCs w:val="21"/>
        </w:rPr>
        <w:t xml:space="preserve">1、投标报价为投标人最终的投标报价，包含《第五章 </w:t>
      </w:r>
      <w:r>
        <w:rPr>
          <w:rFonts w:hint="eastAsia" w:ascii="宋体" w:hAnsi="宋体"/>
          <w:color w:val="auto"/>
          <w:sz w:val="21"/>
          <w:szCs w:val="21"/>
        </w:rPr>
        <w:t>采购需求书》所述服务需要的全部费用。如果投标人在中标并签署合同后，在项目实施过程中出现任何遗漏，均由中标单位免费提供，采购人将不再支付任何费用。</w:t>
      </w:r>
    </w:p>
    <w:p>
      <w:pPr>
        <w:pStyle w:val="18"/>
        <w:rPr>
          <w:rFonts w:ascii="宋体" w:hAnsi="宋体"/>
          <w:color w:val="auto"/>
          <w:sz w:val="21"/>
          <w:szCs w:val="21"/>
        </w:rPr>
      </w:pPr>
      <w:r>
        <w:rPr>
          <w:rFonts w:ascii="宋体" w:hAnsi="宋体"/>
          <w:color w:val="auto"/>
          <w:sz w:val="21"/>
          <w:szCs w:val="21"/>
        </w:rPr>
        <w:t>2、请投标人进行详细的报价分析。（格式自拟）</w:t>
      </w:r>
    </w:p>
    <w:p>
      <w:pPr>
        <w:pStyle w:val="18"/>
        <w:rPr>
          <w:rFonts w:ascii="宋体" w:hAnsi="宋体"/>
          <w:color w:val="auto"/>
          <w:sz w:val="21"/>
          <w:szCs w:val="21"/>
        </w:rPr>
      </w:pPr>
      <w:r>
        <w:rPr>
          <w:rFonts w:ascii="宋体" w:hAnsi="宋体"/>
          <w:color w:val="auto"/>
          <w:sz w:val="21"/>
          <w:szCs w:val="21"/>
        </w:rPr>
        <w:t>3、分项报价表合计总价应与报价一览表的含税总报价一致。</w:t>
      </w:r>
    </w:p>
    <w:p>
      <w:pPr>
        <w:pStyle w:val="18"/>
        <w:rPr>
          <w:rFonts w:ascii="宋体" w:hAnsi="宋体"/>
          <w:color w:val="auto"/>
          <w:sz w:val="21"/>
          <w:szCs w:val="21"/>
        </w:rPr>
      </w:pPr>
    </w:p>
    <w:p>
      <w:pPr>
        <w:pStyle w:val="18"/>
        <w:rPr>
          <w:rFonts w:ascii="宋体" w:hAnsi="宋体"/>
          <w:color w:val="auto"/>
          <w:sz w:val="21"/>
          <w:szCs w:val="21"/>
        </w:rPr>
      </w:pPr>
    </w:p>
    <w:p>
      <w:pPr>
        <w:pStyle w:val="18"/>
        <w:rPr>
          <w:rFonts w:ascii="宋体" w:hAnsi="宋体"/>
          <w:color w:val="auto"/>
          <w:sz w:val="21"/>
          <w:szCs w:val="21"/>
        </w:rPr>
      </w:pPr>
    </w:p>
    <w:p>
      <w:pPr>
        <w:pStyle w:val="18"/>
        <w:rPr>
          <w:color w:val="auto"/>
        </w:rPr>
      </w:pPr>
    </w:p>
    <w:p>
      <w:pPr>
        <w:pStyle w:val="18"/>
        <w:rPr>
          <w:color w:val="auto"/>
        </w:rPr>
      </w:pPr>
    </w:p>
    <w:p>
      <w:pPr>
        <w:wordWrap w:val="0"/>
        <w:spacing w:line="300" w:lineRule="auto"/>
        <w:ind w:right="120"/>
        <w:jc w:val="right"/>
        <w:rPr>
          <w:color w:val="auto"/>
          <w:szCs w:val="21"/>
        </w:rPr>
      </w:pPr>
      <w:r>
        <w:rPr>
          <w:color w:val="auto"/>
          <w:sz w:val="24"/>
          <w:szCs w:val="21"/>
        </w:rPr>
        <w:t xml:space="preserve"> </w:t>
      </w:r>
      <w:r>
        <w:rPr>
          <w:rFonts w:hint="eastAsia"/>
          <w:color w:val="auto"/>
          <w:szCs w:val="21"/>
        </w:rPr>
        <w:t>投标人名称：</w:t>
      </w:r>
      <w:r>
        <w:rPr>
          <w:color w:val="auto"/>
          <w:szCs w:val="21"/>
          <w:u w:val="single"/>
        </w:rPr>
        <w:t xml:space="preserve">                           </w:t>
      </w:r>
      <w:r>
        <w:rPr>
          <w:rFonts w:hint="eastAsia"/>
          <w:color w:val="auto"/>
          <w:szCs w:val="21"/>
        </w:rPr>
        <w:t>（盖单位公章）</w:t>
      </w:r>
    </w:p>
    <w:p>
      <w:pPr>
        <w:spacing w:line="300" w:lineRule="auto"/>
        <w:ind w:right="120"/>
        <w:jc w:val="right"/>
        <w:rPr>
          <w:color w:val="auto"/>
          <w:szCs w:val="21"/>
        </w:rPr>
      </w:pPr>
      <w:r>
        <w:rPr>
          <w:rFonts w:hint="eastAsia"/>
          <w:color w:val="auto"/>
          <w:szCs w:val="21"/>
        </w:rPr>
        <w:t>法定代表人或者其委托代理人：</w:t>
      </w:r>
      <w:r>
        <w:rPr>
          <w:color w:val="auto"/>
          <w:szCs w:val="21"/>
          <w:u w:val="single"/>
        </w:rPr>
        <w:t xml:space="preserve">               </w:t>
      </w:r>
      <w:r>
        <w:rPr>
          <w:rFonts w:hint="eastAsia"/>
          <w:color w:val="auto"/>
          <w:szCs w:val="21"/>
        </w:rPr>
        <w:t>（签字或盖章）</w:t>
      </w:r>
    </w:p>
    <w:p>
      <w:pPr>
        <w:spacing w:line="300" w:lineRule="auto"/>
        <w:ind w:right="120"/>
        <w:jc w:val="right"/>
        <w:rPr>
          <w:color w:val="auto"/>
          <w:szCs w:val="21"/>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pPr>
        <w:rPr>
          <w:rFonts w:ascii="宋体" w:hAnsi="宋体"/>
          <w:color w:val="auto"/>
          <w:sz w:val="24"/>
        </w:rPr>
      </w:pPr>
      <w:r>
        <w:rPr>
          <w:rFonts w:ascii="宋体" w:hAnsi="宋体"/>
          <w:color w:val="auto"/>
          <w:sz w:val="24"/>
        </w:rPr>
        <w:br w:type="page"/>
      </w:r>
    </w:p>
    <w:p>
      <w:pPr>
        <w:pStyle w:val="37"/>
        <w:numPr>
          <w:ilvl w:val="0"/>
          <w:numId w:val="21"/>
        </w:numPr>
        <w:tabs>
          <w:tab w:val="left" w:pos="588"/>
        </w:tabs>
        <w:snapToGrid w:val="0"/>
        <w:spacing w:before="120" w:after="120" w:line="440" w:lineRule="exact"/>
        <w:jc w:val="left"/>
        <w:rPr>
          <w:rFonts w:ascii="宋体" w:hAnsi="宋体"/>
          <w:color w:val="auto"/>
          <w:sz w:val="24"/>
          <w:szCs w:val="24"/>
        </w:rPr>
      </w:pPr>
      <w:bookmarkStart w:id="781" w:name="_Toc5120"/>
      <w:bookmarkStart w:id="782" w:name="_Toc29242"/>
      <w:r>
        <w:rPr>
          <w:rFonts w:hint="eastAsia" w:ascii="宋体" w:hAnsi="宋体"/>
          <w:color w:val="auto"/>
          <w:sz w:val="24"/>
          <w:szCs w:val="24"/>
        </w:rPr>
        <w:t>招标代理服务费承诺书</w:t>
      </w:r>
      <w:bookmarkEnd w:id="777"/>
      <w:bookmarkEnd w:id="778"/>
      <w:bookmarkEnd w:id="779"/>
      <w:bookmarkEnd w:id="781"/>
      <w:bookmarkEnd w:id="782"/>
    </w:p>
    <w:p>
      <w:pPr>
        <w:spacing w:line="360" w:lineRule="auto"/>
        <w:rPr>
          <w:rFonts w:hint="eastAsia" w:ascii="宋体" w:hAnsi="宋体" w:eastAsia="宋体"/>
          <w:color w:val="auto"/>
          <w:szCs w:val="21"/>
          <w:lang w:eastAsia="zh-CN"/>
        </w:rPr>
      </w:pPr>
      <w:bookmarkStart w:id="783" w:name="_Toc1651926"/>
      <w:r>
        <w:rPr>
          <w:rFonts w:hint="eastAsia" w:ascii="宋体" w:hAnsi="宋体"/>
          <w:color w:val="auto"/>
          <w:szCs w:val="21"/>
        </w:rPr>
        <w:t>致：广东省南方文化产权交易所股份有限公司、</w:t>
      </w:r>
      <w:r>
        <w:rPr>
          <w:rFonts w:hint="eastAsia" w:ascii="宋体" w:hAnsi="宋体"/>
          <w:color w:val="auto"/>
          <w:szCs w:val="21"/>
          <w:lang w:eastAsia="zh-CN"/>
        </w:rPr>
        <w:t>广东南都娱乐传媒股份有限公司</w:t>
      </w:r>
    </w:p>
    <w:p>
      <w:pPr>
        <w:spacing w:line="360" w:lineRule="auto"/>
        <w:ind w:firstLine="420" w:firstLineChars="200"/>
        <w:rPr>
          <w:rFonts w:ascii="宋体" w:hAnsi="宋体"/>
          <w:color w:val="auto"/>
          <w:szCs w:val="21"/>
        </w:rPr>
      </w:pPr>
      <w:r>
        <w:rPr>
          <w:rFonts w:hint="eastAsia" w:ascii="宋体" w:hAnsi="宋体"/>
          <w:color w:val="auto"/>
          <w:szCs w:val="21"/>
        </w:rPr>
        <w:t>我公司同意招标人不向贵公司支付任何费用，而由中标人向贵公司支付招标代理服务费。我公司承诺如下：</w:t>
      </w:r>
    </w:p>
    <w:p>
      <w:pPr>
        <w:spacing w:line="360" w:lineRule="auto"/>
        <w:ind w:firstLine="420" w:firstLineChars="200"/>
        <w:rPr>
          <w:rFonts w:ascii="宋体" w:hAnsi="宋体"/>
          <w:color w:val="auto"/>
          <w:szCs w:val="21"/>
        </w:rPr>
      </w:pPr>
      <w:r>
        <w:rPr>
          <w:rFonts w:hint="eastAsia" w:ascii="宋体" w:hAnsi="宋体"/>
          <w:color w:val="auto"/>
        </w:rPr>
        <w:t>如若我司在</w:t>
      </w:r>
      <w:r>
        <w:rPr>
          <w:rFonts w:hint="eastAsia" w:ascii="宋体" w:hAnsi="宋体"/>
          <w:color w:val="auto"/>
          <w:szCs w:val="21"/>
        </w:rPr>
        <w:t>广东省南方文化产权交易所股份有限公司</w:t>
      </w:r>
      <w:r>
        <w:rPr>
          <w:rFonts w:hint="eastAsia" w:ascii="宋体" w:hAnsi="宋体"/>
          <w:color w:val="auto"/>
        </w:rPr>
        <w:t>组织的“</w:t>
      </w:r>
      <w:r>
        <w:rPr>
          <w:rFonts w:hint="eastAsia" w:ascii="宋体" w:hAnsi="宋体"/>
          <w:color w:val="auto"/>
          <w:lang w:eastAsia="zh-CN"/>
        </w:rPr>
        <w:t>广东南都娱乐企业文化综合服务项目</w:t>
      </w:r>
      <w:r>
        <w:rPr>
          <w:rFonts w:hint="eastAsia" w:ascii="宋体" w:hAnsi="宋体"/>
          <w:color w:val="auto"/>
        </w:rPr>
        <w:t>”招标中获中标（招标代理编号：</w:t>
      </w:r>
      <w:r>
        <w:rPr>
          <w:rFonts w:hint="eastAsia" w:ascii="宋体" w:hAnsi="宋体"/>
          <w:color w:val="auto"/>
          <w:lang w:eastAsia="zh-CN"/>
        </w:rPr>
        <w:t>WJS-202301130002</w:t>
      </w:r>
      <w:r>
        <w:rPr>
          <w:rFonts w:ascii="宋体" w:hAnsi="宋体"/>
          <w:color w:val="auto"/>
        </w:rPr>
        <w:t>）。我公司保证在贵公司发出中标通知书15天内按以下方式“备注（3）”向贵公司，即向</w:t>
      </w:r>
      <w:r>
        <w:rPr>
          <w:rFonts w:hint="eastAsia" w:ascii="宋体" w:hAnsi="宋体"/>
          <w:color w:val="auto"/>
          <w:szCs w:val="21"/>
        </w:rPr>
        <w:t>广东省南方文化产权交易所股份有限公司</w:t>
      </w:r>
      <w:r>
        <w:rPr>
          <w:rFonts w:hint="eastAsia" w:ascii="宋体" w:hAnsi="宋体"/>
          <w:color w:val="auto"/>
        </w:rPr>
        <w:t>缴交按招标文件规定的招标代理服务费。</w:t>
      </w:r>
    </w:p>
    <w:p>
      <w:pPr>
        <w:spacing w:line="360" w:lineRule="auto"/>
        <w:ind w:firstLine="420" w:firstLineChars="200"/>
        <w:rPr>
          <w:rFonts w:ascii="宋体" w:hAnsi="宋体"/>
          <w:color w:val="auto"/>
        </w:rPr>
      </w:pPr>
      <w:r>
        <w:rPr>
          <w:rFonts w:hint="eastAsia" w:ascii="宋体" w:hAnsi="宋体"/>
          <w:color w:val="auto"/>
        </w:rPr>
        <w:t>特此承诺！</w:t>
      </w:r>
    </w:p>
    <w:p>
      <w:pPr>
        <w:spacing w:line="360" w:lineRule="auto"/>
        <w:rPr>
          <w:rFonts w:ascii="宋体" w:hAnsi="宋体"/>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36830</wp:posOffset>
                </wp:positionV>
                <wp:extent cx="5410200" cy="0"/>
                <wp:effectExtent l="0" t="0" r="0" b="0"/>
                <wp:wrapNone/>
                <wp:docPr id="8" name="直接箭头连接符 5"/>
                <wp:cNvGraphicFramePr/>
                <a:graphic xmlns:a="http://schemas.openxmlformats.org/drawingml/2006/main">
                  <a:graphicData uri="http://schemas.microsoft.com/office/word/2010/wordprocessingShape">
                    <wps:wsp>
                      <wps:cNvCnPr/>
                      <wps:spPr>
                        <a:xfrm>
                          <a:off x="0" y="0"/>
                          <a:ext cx="5410200" cy="0"/>
                        </a:xfrm>
                        <a:prstGeom prst="straightConnector1">
                          <a:avLst/>
                        </a:prstGeom>
                        <a:ln w="9525" cap="flat" cmpd="sng">
                          <a:solidFill>
                            <a:srgbClr val="000000"/>
                          </a:solidFill>
                          <a:prstDash val="sysDot"/>
                          <a:headEnd type="none" w="med" len="med"/>
                          <a:tailEnd type="none" w="med" len="med"/>
                        </a:ln>
                        <a:effectLst/>
                      </wps:spPr>
                      <wps:bodyPr/>
                    </wps:wsp>
                  </a:graphicData>
                </a:graphic>
              </wp:anchor>
            </w:drawing>
          </mc:Choice>
          <mc:Fallback>
            <w:pict>
              <v:shape id="直接箭头连接符 5" o:spid="_x0000_s1026" o:spt="32" type="#_x0000_t32" style="position:absolute;left:0pt;margin-left:-0.6pt;margin-top:2.9pt;height:0pt;width:426pt;z-index:251665408;mso-width-relative:page;mso-height-relative:page;" filled="f" stroked="t" coordsize="21600,21600" o:gfxdata="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TGHUAAAABgEAAA8AAAAAAAAAAQAgAAAAIgAAAGRycy9kb3du&#10;cmV2LnhtbFBLAQIUABQAAAAIAIdO4kAGOjUYAwIAAPsDAAAOAAAAAAAAAAEAIAAAACMBAABkcnMv&#10;ZTJvRG9jLnhtbFBLBQYAAAAABgAGAFkBAACYBQAAAAA=&#10;">
                <v:fill on="f" focussize="0,0"/>
                <v:stroke color="#000000" joinstyle="round" dashstyle="1 1"/>
                <v:imagedata o:title=""/>
                <o:lock v:ext="edit" aspectratio="f"/>
              </v:shape>
            </w:pict>
          </mc:Fallback>
        </mc:AlternateContent>
      </w:r>
      <w:r>
        <w:rPr>
          <w:rFonts w:hint="eastAsia" w:ascii="宋体" w:hAnsi="宋体"/>
          <w:color w:val="auto"/>
        </w:rPr>
        <w:t xml:space="preserve">  备注（</w:t>
      </w:r>
      <w:r>
        <w:rPr>
          <w:rFonts w:ascii="宋体" w:hAnsi="宋体"/>
          <w:color w:val="auto"/>
        </w:rPr>
        <w:t>1）为保证投标保证金的顺利退还，请准确填写以下信息：</w:t>
      </w:r>
    </w:p>
    <w:tbl>
      <w:tblPr>
        <w:tblStyle w:val="40"/>
        <w:tblW w:w="9184" w:type="dxa"/>
        <w:jc w:val="center"/>
        <w:tblLayout w:type="fixed"/>
        <w:tblCellMar>
          <w:top w:w="0" w:type="dxa"/>
          <w:left w:w="108" w:type="dxa"/>
          <w:bottom w:w="0" w:type="dxa"/>
          <w:right w:w="108" w:type="dxa"/>
        </w:tblCellMar>
      </w:tblPr>
      <w:tblGrid>
        <w:gridCol w:w="1208"/>
        <w:gridCol w:w="4072"/>
        <w:gridCol w:w="3904"/>
      </w:tblGrid>
      <w:tr>
        <w:tblPrEx>
          <w:tblCellMar>
            <w:top w:w="0" w:type="dxa"/>
            <w:left w:w="108" w:type="dxa"/>
            <w:bottom w:w="0" w:type="dxa"/>
            <w:right w:w="108" w:type="dxa"/>
          </w:tblCellMar>
        </w:tblPrEx>
        <w:trPr>
          <w:trHeight w:val="5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银行信息</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szCs w:val="21"/>
              </w:rPr>
              <w:t>收款银行信息</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仅限填写供应商银行信息</w:t>
            </w: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开</w:t>
            </w:r>
            <w:r>
              <w:rPr>
                <w:rFonts w:ascii="宋体" w:hAnsi="宋体"/>
                <w:color w:val="auto"/>
                <w:szCs w:val="21"/>
              </w:rPr>
              <w:t xml:space="preserve"> </w:t>
            </w:r>
            <w:r>
              <w:rPr>
                <w:rFonts w:hint="eastAsia" w:ascii="宋体" w:hAnsi="宋体"/>
                <w:color w:val="auto"/>
                <w:szCs w:val="21"/>
              </w:rPr>
              <w:t>户</w:t>
            </w:r>
            <w:r>
              <w:rPr>
                <w:rFonts w:ascii="宋体" w:hAnsi="宋体"/>
                <w:color w:val="auto"/>
                <w:szCs w:val="21"/>
              </w:rPr>
              <w:t xml:space="preserve"> </w:t>
            </w:r>
            <w:r>
              <w:rPr>
                <w:rFonts w:hint="eastAsia" w:ascii="宋体" w:hAnsi="宋体"/>
                <w:color w:val="auto"/>
                <w:szCs w:val="21"/>
              </w:rPr>
              <w:t>名</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rPr>
              <w:t>广东省南方文化产权交易所股份有限公司</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开户银行</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rPr>
              <w:t>民生银行广州环市支行</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帐</w:t>
            </w:r>
            <w:r>
              <w:rPr>
                <w:rFonts w:ascii="宋体" w:hAnsi="宋体"/>
                <w:color w:val="auto"/>
                <w:szCs w:val="21"/>
              </w:rPr>
              <w:t xml:space="preserve">    </w:t>
            </w:r>
            <w:r>
              <w:rPr>
                <w:rFonts w:hint="eastAsia" w:ascii="宋体" w:hAnsi="宋体"/>
                <w:color w:val="auto"/>
                <w:szCs w:val="21"/>
              </w:rPr>
              <w:t>号</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ascii="宋体" w:hAnsi="宋体"/>
                <w:color w:val="auto"/>
              </w:rPr>
              <w:t>683001288</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bl>
    <w:p>
      <w:pPr>
        <w:spacing w:line="360" w:lineRule="auto"/>
        <w:rPr>
          <w:rFonts w:ascii="宋体" w:hAnsi="宋体"/>
          <w:color w:val="auto"/>
        </w:rPr>
      </w:pPr>
      <w:r>
        <w:rPr>
          <w:rFonts w:hint="eastAsia" w:ascii="宋体" w:hAnsi="宋体"/>
          <w:color w:val="auto"/>
        </w:rPr>
        <w:t>备注（</w:t>
      </w:r>
      <w:r>
        <w:rPr>
          <w:rFonts w:ascii="宋体" w:hAnsi="宋体"/>
          <w:color w:val="auto"/>
        </w:rPr>
        <w:t>2）如需邮寄服务费发票，请填写以下信息：</w:t>
      </w:r>
    </w:p>
    <w:p>
      <w:pPr>
        <w:rPr>
          <w:rFonts w:ascii="宋体" w:hAnsi="宋体"/>
          <w:color w:val="auto"/>
          <w:szCs w:val="21"/>
          <w:u w:val="single"/>
        </w:rPr>
      </w:pPr>
      <w:r>
        <w:rPr>
          <w:rFonts w:hint="eastAsia" w:ascii="宋体" w:hAnsi="宋体"/>
          <w:color w:val="auto"/>
          <w:szCs w:val="21"/>
        </w:rPr>
        <w:t>收件人姓名及电话：</w:t>
      </w:r>
      <w:r>
        <w:rPr>
          <w:rFonts w:ascii="宋体" w:hAnsi="宋体"/>
          <w:color w:val="auto"/>
          <w:szCs w:val="21"/>
          <w:u w:val="single"/>
        </w:rPr>
        <w:t xml:space="preserve">                                 </w:t>
      </w:r>
    </w:p>
    <w:p>
      <w:pPr>
        <w:spacing w:line="360" w:lineRule="auto"/>
        <w:rPr>
          <w:rFonts w:ascii="宋体" w:hAnsi="宋体"/>
          <w:color w:val="auto"/>
        </w:rPr>
      </w:pPr>
      <w:r>
        <w:rPr>
          <w:rFonts w:hint="eastAsia" w:ascii="宋体" w:hAnsi="宋体"/>
          <w:color w:val="auto"/>
          <w:szCs w:val="21"/>
        </w:rPr>
        <w:t>收</w:t>
      </w:r>
      <w:r>
        <w:rPr>
          <w:rFonts w:ascii="宋体" w:hAnsi="宋体"/>
          <w:color w:val="auto"/>
          <w:szCs w:val="21"/>
        </w:rPr>
        <w:t xml:space="preserve">  </w:t>
      </w:r>
      <w:r>
        <w:rPr>
          <w:rFonts w:hint="eastAsia" w:ascii="宋体" w:hAnsi="宋体"/>
          <w:color w:val="auto"/>
          <w:szCs w:val="21"/>
        </w:rPr>
        <w:t>件</w:t>
      </w:r>
      <w:r>
        <w:rPr>
          <w:rFonts w:ascii="宋体" w:hAnsi="宋体"/>
          <w:color w:val="auto"/>
          <w:szCs w:val="21"/>
        </w:rPr>
        <w:t xml:space="preserve">  </w:t>
      </w: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ascii="宋体" w:hAnsi="宋体"/>
          <w:color w:val="auto"/>
          <w:szCs w:val="21"/>
        </w:rPr>
        <w:t xml:space="preserve">  </w:t>
      </w:r>
      <w:r>
        <w:rPr>
          <w:rFonts w:hint="eastAsia" w:ascii="宋体" w:hAnsi="宋体"/>
          <w:color w:val="auto"/>
          <w:szCs w:val="21"/>
        </w:rPr>
        <w:t>：</w:t>
      </w:r>
      <w:r>
        <w:rPr>
          <w:rFonts w:ascii="宋体" w:hAnsi="宋体"/>
          <w:color w:val="auto"/>
          <w:szCs w:val="21"/>
          <w:u w:val="single"/>
        </w:rPr>
        <w:t xml:space="preserve">                                 </w:t>
      </w:r>
    </w:p>
    <w:p>
      <w:pPr>
        <w:spacing w:line="360" w:lineRule="auto"/>
        <w:rPr>
          <w:rFonts w:ascii="宋体" w:hAnsi="宋体"/>
          <w:color w:val="auto"/>
        </w:rPr>
      </w:pPr>
      <w:r>
        <w:rPr>
          <w:rFonts w:hint="eastAsia" w:ascii="宋体" w:hAnsi="宋体"/>
          <w:color w:val="auto"/>
        </w:rPr>
        <w:t>备注（</w:t>
      </w:r>
      <w:r>
        <w:rPr>
          <w:rFonts w:ascii="宋体" w:hAnsi="宋体"/>
          <w:color w:val="auto"/>
        </w:rPr>
        <w:t>3）</w:t>
      </w:r>
    </w:p>
    <w:p>
      <w:pPr>
        <w:spacing w:line="360" w:lineRule="auto"/>
        <w:rPr>
          <w:rFonts w:ascii="宋体" w:hAnsi="宋体"/>
          <w:color w:val="auto"/>
          <w:u w:val="single"/>
        </w:rPr>
      </w:pPr>
      <w:r>
        <w:rPr>
          <w:rFonts w:hint="eastAsia" w:ascii="宋体" w:hAnsi="宋体"/>
          <w:color w:val="auto"/>
        </w:rPr>
        <w:t>中标服务费收取方式（必须且只能选择其中一种，否则默认同意第一种收取方式）：</w:t>
      </w:r>
      <w:r>
        <w:rPr>
          <w:rFonts w:ascii="宋体" w:hAnsi="宋体"/>
          <w:color w:val="auto"/>
          <w:u w:val="single"/>
        </w:rPr>
        <w:t xml:space="preserve">      </w:t>
      </w:r>
    </w:p>
    <w:p>
      <w:pPr>
        <w:spacing w:line="360" w:lineRule="auto"/>
        <w:rPr>
          <w:rFonts w:ascii="宋体" w:hAnsi="宋体"/>
          <w:color w:val="auto"/>
        </w:rPr>
      </w:pPr>
      <w:r>
        <w:rPr>
          <w:rFonts w:ascii="宋体" w:hAnsi="宋体"/>
          <w:color w:val="auto"/>
        </w:rPr>
        <w:t>A：直接抵扣方式-在本次招标项目的投标保证金中直接扣除（如扣除服务费后仍有余款，将在开具发票后退还）；</w:t>
      </w:r>
    </w:p>
    <w:p>
      <w:pPr>
        <w:spacing w:line="360" w:lineRule="auto"/>
        <w:rPr>
          <w:rFonts w:ascii="宋体" w:hAnsi="宋体"/>
          <w:color w:val="auto"/>
        </w:rPr>
      </w:pPr>
      <w:r>
        <w:rPr>
          <w:rFonts w:ascii="宋体" w:hAnsi="宋体"/>
          <w:color w:val="auto"/>
        </w:rPr>
        <w:t>B：另外支付方式（银行电汇）-不在投标保证金中抵扣（投标保证金将在中标服务费交纳后退还）。</w:t>
      </w:r>
    </w:p>
    <w:p>
      <w:pPr>
        <w:spacing w:line="360" w:lineRule="auto"/>
        <w:ind w:right="840" w:firstLine="4620" w:firstLineChars="2200"/>
        <w:rPr>
          <w:rFonts w:ascii="宋体" w:hAnsi="宋体"/>
          <w:color w:val="auto"/>
        </w:rPr>
      </w:pPr>
      <w:r>
        <w:rPr>
          <w:rFonts w:hint="eastAsia" w:ascii="宋体" w:hAnsi="宋体"/>
          <w:color w:val="auto"/>
        </w:rPr>
        <w:t>承诺方授权代表签字：</w:t>
      </w:r>
      <w:r>
        <w:rPr>
          <w:rFonts w:ascii="宋体" w:hAnsi="宋体"/>
          <w:color w:val="auto"/>
          <w:u w:val="single"/>
        </w:rPr>
        <w:t xml:space="preserve">               </w:t>
      </w:r>
    </w:p>
    <w:p>
      <w:pPr>
        <w:spacing w:line="360" w:lineRule="auto"/>
        <w:ind w:right="840"/>
        <w:jc w:val="center"/>
        <w:rPr>
          <w:rFonts w:ascii="宋体" w:hAnsi="宋体"/>
          <w:color w:val="auto"/>
          <w:u w:val="single"/>
        </w:rPr>
      </w:pPr>
      <w:r>
        <w:rPr>
          <w:rFonts w:ascii="宋体" w:hAnsi="宋体"/>
          <w:color w:val="auto"/>
        </w:rPr>
        <w:t xml:space="preserve">                           </w:t>
      </w:r>
      <w:r>
        <w:rPr>
          <w:rFonts w:hint="eastAsia" w:ascii="宋体" w:hAnsi="宋体"/>
          <w:color w:val="auto"/>
        </w:rPr>
        <w:t>承诺日期：</w:t>
      </w:r>
      <w:r>
        <w:rPr>
          <w:rFonts w:ascii="宋体" w:hAnsi="宋体"/>
          <w:color w:val="auto"/>
          <w:u w:val="single"/>
        </w:rPr>
        <w:t xml:space="preserve">             </w:t>
      </w:r>
    </w:p>
    <w:p>
      <w:pPr>
        <w:spacing w:line="360" w:lineRule="auto"/>
        <w:ind w:right="840" w:firstLine="4620" w:firstLineChars="2200"/>
        <w:rPr>
          <w:rFonts w:ascii="宋体" w:hAnsi="宋体"/>
          <w:color w:val="auto"/>
          <w:u w:val="single"/>
        </w:rPr>
      </w:pPr>
      <w:r>
        <w:rPr>
          <w:rFonts w:hint="eastAsia" w:ascii="宋体" w:hAnsi="宋体"/>
          <w:color w:val="auto"/>
        </w:rPr>
        <w:t>承诺方盖章：</w:t>
      </w:r>
      <w:r>
        <w:rPr>
          <w:rFonts w:ascii="宋体" w:hAnsi="宋体"/>
          <w:color w:val="auto"/>
          <w:u w:val="single"/>
        </w:rPr>
        <w:t xml:space="preserve">               </w:t>
      </w:r>
    </w:p>
    <w:p>
      <w:pPr>
        <w:ind w:right="840"/>
        <w:rPr>
          <w:color w:val="auto"/>
        </w:rPr>
      </w:pPr>
      <w:r>
        <w:rPr>
          <w:rFonts w:hint="eastAsia" w:ascii="宋体" w:hAnsi="宋体"/>
          <w:color w:val="auto"/>
          <w:szCs w:val="21"/>
          <w:u w:val="single"/>
        </w:rPr>
        <w:t>注：承诺书内容必须填写，否则视为非响应性投标。</w:t>
      </w:r>
    </w:p>
    <w:p>
      <w:pPr>
        <w:spacing w:line="360" w:lineRule="auto"/>
        <w:rPr>
          <w:rFonts w:ascii="宋体" w:hAnsi="宋体"/>
          <w:color w:val="auto"/>
        </w:rPr>
      </w:pPr>
      <w:r>
        <w:rPr>
          <w:rFonts w:hint="eastAsia" w:ascii="宋体" w:hAnsi="宋体"/>
          <w:color w:val="auto"/>
        </w:rPr>
        <w:t>若我司未按前述期限支付服务费，贵司有权直接在应付我司任何一笔款项中直接扣除。</w:t>
      </w:r>
    </w:p>
    <w:p>
      <w:pPr>
        <w:rPr>
          <w:rFonts w:ascii="宋体" w:hAnsi="宋体"/>
          <w:color w:val="auto"/>
        </w:rPr>
      </w:pPr>
      <w:r>
        <w:rPr>
          <w:rFonts w:hint="eastAsia" w:ascii="宋体" w:hAnsi="宋体"/>
          <w:color w:val="auto"/>
        </w:rPr>
        <w:t>因前述事项发生争议，我方同意将争议提交法院仲裁解决。</w:t>
      </w:r>
    </w:p>
    <w:p>
      <w:pPr>
        <w:rPr>
          <w:rFonts w:ascii="宋体" w:hAnsi="宋体"/>
          <w:color w:val="auto"/>
          <w:sz w:val="22"/>
        </w:rPr>
      </w:pPr>
    </w:p>
    <w:p>
      <w:pPr>
        <w:pStyle w:val="37"/>
        <w:numPr>
          <w:ilvl w:val="0"/>
          <w:numId w:val="21"/>
        </w:numPr>
        <w:tabs>
          <w:tab w:val="left" w:pos="588"/>
        </w:tabs>
        <w:snapToGrid w:val="0"/>
        <w:spacing w:before="120" w:after="120" w:line="440" w:lineRule="exact"/>
        <w:jc w:val="left"/>
        <w:rPr>
          <w:rFonts w:ascii="宋体" w:hAnsi="宋体"/>
          <w:color w:val="auto"/>
          <w:sz w:val="24"/>
          <w:szCs w:val="24"/>
        </w:rPr>
      </w:pPr>
      <w:bookmarkStart w:id="784" w:name="_Toc23630"/>
      <w:bookmarkStart w:id="785" w:name="_Toc56432257"/>
      <w:bookmarkStart w:id="786" w:name="_Toc8920"/>
      <w:bookmarkStart w:id="787" w:name="_Toc17761"/>
      <w:r>
        <w:rPr>
          <w:rFonts w:hint="eastAsia" w:ascii="宋体" w:hAnsi="宋体"/>
          <w:color w:val="auto"/>
          <w:sz w:val="24"/>
          <w:szCs w:val="24"/>
        </w:rPr>
        <w:t>投标保证金汇款凭证</w:t>
      </w:r>
      <w:bookmarkEnd w:id="783"/>
      <w:bookmarkEnd w:id="784"/>
      <w:bookmarkEnd w:id="785"/>
      <w:bookmarkEnd w:id="786"/>
      <w:bookmarkEnd w:id="787"/>
    </w:p>
    <w:p>
      <w:pPr>
        <w:rPr>
          <w:color w:val="auto"/>
        </w:rPr>
      </w:pPr>
      <w:r>
        <w:rPr>
          <w:rFonts w:hint="eastAsia"/>
          <w:color w:val="auto"/>
        </w:rPr>
        <w:t>清晰的投标保证金付款凭证</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spacing w:line="360" w:lineRule="auto"/>
        <w:rPr>
          <w:rFonts w:ascii="宋体" w:hAnsi="宋体"/>
          <w:color w:val="auto"/>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323643"/>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687946"/>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587626"/>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33</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153583"/>
    </w:sdtPr>
    <w:sdtContent>
      <w:p>
        <w:pPr>
          <w:pStyle w:val="27"/>
          <w:jc w:val="center"/>
        </w:pPr>
        <w:r>
          <w:fldChar w:fldCharType="begin"/>
        </w:r>
        <w:r>
          <w:instrText xml:space="preserve">PAGE   \* MERGEFORMAT</w:instrText>
        </w:r>
        <w:r>
          <w:fldChar w:fldCharType="separate"/>
        </w:r>
        <w:r>
          <w:rPr>
            <w:lang w:val="zh-CN"/>
          </w:rPr>
          <w:t>4</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1DB73"/>
    <w:multiLevelType w:val="singleLevel"/>
    <w:tmpl w:val="C461DB73"/>
    <w:lvl w:ilvl="0" w:tentative="0">
      <w:start w:val="1"/>
      <w:numFmt w:val="decimal"/>
      <w:lvlText w:val="%1."/>
      <w:lvlJc w:val="left"/>
      <w:pPr>
        <w:ind w:left="425" w:hanging="425"/>
      </w:pPr>
      <w:rPr>
        <w:rFonts w:hint="default"/>
      </w:rPr>
    </w:lvl>
  </w:abstractNum>
  <w:abstractNum w:abstractNumId="1">
    <w:nsid w:val="FB1D9CA5"/>
    <w:multiLevelType w:val="singleLevel"/>
    <w:tmpl w:val="FB1D9CA5"/>
    <w:lvl w:ilvl="0" w:tentative="0">
      <w:start w:val="1"/>
      <w:numFmt w:val="chineseCounting"/>
      <w:suff w:val="nothing"/>
      <w:lvlText w:val="%1、"/>
      <w:lvlJc w:val="left"/>
      <w:pPr>
        <w:ind w:left="0" w:firstLine="420"/>
      </w:pPr>
      <w:rPr>
        <w:rFonts w:hint="eastAsia"/>
      </w:rPr>
    </w:lvl>
  </w:abstractNum>
  <w:abstractNum w:abstractNumId="2">
    <w:nsid w:val="00000010"/>
    <w:multiLevelType w:val="multilevel"/>
    <w:tmpl w:val="00000010"/>
    <w:lvl w:ilvl="0" w:tentative="0">
      <w:start w:val="1"/>
      <w:numFmt w:val="decimal"/>
      <w:lvlText w:val="%1."/>
      <w:lvlJc w:val="left"/>
      <w:pPr>
        <w:tabs>
          <w:tab w:val="left" w:pos="846"/>
        </w:tabs>
        <w:ind w:left="630" w:hanging="420"/>
      </w:pPr>
    </w:lvl>
    <w:lvl w:ilvl="1" w:tentative="0">
      <w:start w:val="1"/>
      <w:numFmt w:val="lowerLetter"/>
      <w:lvlText w:val="%2)"/>
      <w:lvlJc w:val="left"/>
      <w:pPr>
        <w:tabs>
          <w:tab w:val="left" w:pos="1380"/>
        </w:tabs>
        <w:ind w:left="1164" w:hanging="420"/>
      </w:pPr>
    </w:lvl>
    <w:lvl w:ilvl="2" w:tentative="0">
      <w:start w:val="1"/>
      <w:numFmt w:val="lowerRoman"/>
      <w:lvlText w:val="%3."/>
      <w:lvlJc w:val="right"/>
      <w:pPr>
        <w:tabs>
          <w:tab w:val="left" w:pos="1800"/>
        </w:tabs>
        <w:ind w:left="1584" w:hanging="420"/>
      </w:pPr>
    </w:lvl>
    <w:lvl w:ilvl="3" w:tentative="0">
      <w:start w:val="1"/>
      <w:numFmt w:val="decimal"/>
      <w:lvlText w:val="%4."/>
      <w:lvlJc w:val="left"/>
      <w:pPr>
        <w:tabs>
          <w:tab w:val="left" w:pos="2220"/>
        </w:tabs>
        <w:ind w:left="2004" w:hanging="420"/>
      </w:pPr>
    </w:lvl>
    <w:lvl w:ilvl="4" w:tentative="0">
      <w:start w:val="1"/>
      <w:numFmt w:val="lowerLetter"/>
      <w:lvlText w:val="%5)"/>
      <w:lvlJc w:val="left"/>
      <w:pPr>
        <w:tabs>
          <w:tab w:val="left" w:pos="2640"/>
        </w:tabs>
        <w:ind w:left="2424" w:hanging="420"/>
      </w:pPr>
    </w:lvl>
    <w:lvl w:ilvl="5" w:tentative="0">
      <w:start w:val="1"/>
      <w:numFmt w:val="lowerRoman"/>
      <w:lvlText w:val="%6."/>
      <w:lvlJc w:val="right"/>
      <w:pPr>
        <w:tabs>
          <w:tab w:val="left" w:pos="3060"/>
        </w:tabs>
        <w:ind w:left="2844" w:hanging="420"/>
      </w:pPr>
    </w:lvl>
    <w:lvl w:ilvl="6" w:tentative="0">
      <w:start w:val="1"/>
      <w:numFmt w:val="decimal"/>
      <w:lvlText w:val="%7."/>
      <w:lvlJc w:val="left"/>
      <w:pPr>
        <w:tabs>
          <w:tab w:val="left" w:pos="3480"/>
        </w:tabs>
        <w:ind w:left="3264" w:hanging="420"/>
      </w:pPr>
    </w:lvl>
    <w:lvl w:ilvl="7" w:tentative="0">
      <w:start w:val="1"/>
      <w:numFmt w:val="lowerLetter"/>
      <w:lvlText w:val="%8)"/>
      <w:lvlJc w:val="left"/>
      <w:pPr>
        <w:tabs>
          <w:tab w:val="left" w:pos="3900"/>
        </w:tabs>
        <w:ind w:left="3684" w:hanging="420"/>
      </w:pPr>
    </w:lvl>
    <w:lvl w:ilvl="8" w:tentative="0">
      <w:start w:val="1"/>
      <w:numFmt w:val="lowerRoman"/>
      <w:lvlText w:val="%9."/>
      <w:lvlJc w:val="right"/>
      <w:pPr>
        <w:tabs>
          <w:tab w:val="left" w:pos="4320"/>
        </w:tabs>
        <w:ind w:left="4104" w:hanging="420"/>
      </w:pPr>
    </w:lvl>
  </w:abstractNum>
  <w:abstractNum w:abstractNumId="3">
    <w:nsid w:val="013151E9"/>
    <w:multiLevelType w:val="multilevel"/>
    <w:tmpl w:val="013151E9"/>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5CC020D"/>
    <w:multiLevelType w:val="multilevel"/>
    <w:tmpl w:val="05CC020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0C6A218E"/>
    <w:multiLevelType w:val="singleLevel"/>
    <w:tmpl w:val="0C6A218E"/>
    <w:lvl w:ilvl="0" w:tentative="0">
      <w:start w:val="1"/>
      <w:numFmt w:val="chineseCounting"/>
      <w:suff w:val="nothing"/>
      <w:lvlText w:val="（%1）"/>
      <w:lvlJc w:val="left"/>
      <w:pPr>
        <w:ind w:left="0" w:firstLine="420"/>
      </w:pPr>
      <w:rPr>
        <w:rFonts w:hint="eastAsia"/>
      </w:rPr>
    </w:lvl>
  </w:abstractNum>
  <w:abstractNum w:abstractNumId="6">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54A6C66"/>
    <w:multiLevelType w:val="multilevel"/>
    <w:tmpl w:val="154A6C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3DDF5A31"/>
    <w:multiLevelType w:val="multilevel"/>
    <w:tmpl w:val="3DDF5A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1">
    <w:nsid w:val="5B877A1D"/>
    <w:multiLevelType w:val="singleLevel"/>
    <w:tmpl w:val="5B877A1D"/>
    <w:lvl w:ilvl="0" w:tentative="0">
      <w:start w:val="1"/>
      <w:numFmt w:val="chineseCounting"/>
      <w:suff w:val="nothing"/>
      <w:lvlText w:val="（%1）"/>
      <w:lvlJc w:val="left"/>
      <w:pPr>
        <w:ind w:left="0" w:firstLine="420"/>
      </w:pPr>
      <w:rPr>
        <w:rFonts w:hint="eastAsia"/>
      </w:rPr>
    </w:lvl>
  </w:abstractNum>
  <w:abstractNum w:abstractNumId="12">
    <w:nsid w:val="63DE7ADE"/>
    <w:multiLevelType w:val="multilevel"/>
    <w:tmpl w:val="63DE7ADE"/>
    <w:lvl w:ilvl="0" w:tentative="0">
      <w:start w:val="1"/>
      <w:numFmt w:val="decimal"/>
      <w:lvlText w:val="%1."/>
      <w:lvlJc w:val="left"/>
      <w:pPr>
        <w:ind w:left="567"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41"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E6F60E7"/>
    <w:multiLevelType w:val="multilevel"/>
    <w:tmpl w:val="6E6F60E7"/>
    <w:lvl w:ilvl="0" w:tentative="0">
      <w:start w:val="1"/>
      <w:numFmt w:val="decimal"/>
      <w:lvlText w:val="2.3.5.%1"/>
      <w:lvlJc w:val="left"/>
      <w:pPr>
        <w:tabs>
          <w:tab w:val="left" w:pos="1440"/>
        </w:tabs>
        <w:ind w:left="0" w:firstLine="0"/>
      </w:pPr>
      <w:rPr>
        <w:rFonts w:hint="eastAsia"/>
        <w:b/>
        <w:i w:val="0"/>
        <w:sz w:val="36"/>
      </w:rPr>
    </w:lvl>
    <w:lvl w:ilvl="1" w:tentative="0">
      <w:start w:val="1"/>
      <w:numFmt w:val="decimal"/>
      <w:lvlText w:val="第 %2 章 "/>
      <w:lvlJc w:val="left"/>
      <w:pPr>
        <w:tabs>
          <w:tab w:val="left" w:pos="1932"/>
        </w:tabs>
        <w:ind w:left="852" w:firstLine="0"/>
      </w:pPr>
      <w:rPr>
        <w:rFonts w:hint="eastAsia" w:eastAsia="黑体"/>
        <w:b/>
        <w:i w:val="0"/>
        <w:sz w:val="30"/>
      </w:rPr>
    </w:lvl>
    <w:lvl w:ilvl="2" w:tentative="0">
      <w:start w:val="1"/>
      <w:numFmt w:val="decimal"/>
      <w:pStyle w:val="147"/>
      <w:lvlText w:val="%2.%3"/>
      <w:lvlJc w:val="left"/>
      <w:pPr>
        <w:tabs>
          <w:tab w:val="left" w:pos="2880"/>
        </w:tabs>
        <w:ind w:left="2160" w:firstLine="0"/>
      </w:pPr>
      <w:rPr>
        <w:rFonts w:hint="default" w:ascii="Times New Roman" w:hAnsi="Times New Roman" w:eastAsia="黑体" w:cs="Times New Roman"/>
        <w:b/>
        <w:i w:val="0"/>
        <w:sz w:val="28"/>
      </w:rPr>
    </w:lvl>
    <w:lvl w:ilvl="3" w:tentative="0">
      <w:start w:val="1"/>
      <w:numFmt w:val="decimal"/>
      <w:lvlText w:val="%2.%3.%4"/>
      <w:lvlJc w:val="left"/>
      <w:pPr>
        <w:tabs>
          <w:tab w:val="left" w:pos="720"/>
        </w:tabs>
        <w:ind w:left="0" w:firstLine="0"/>
      </w:pPr>
      <w:rPr>
        <w:rFonts w:hint="default" w:ascii="Times New Roman" w:hAnsi="Times New Roman" w:eastAsia="黑体" w:cs="Times New Roman"/>
        <w:b/>
        <w:i w:val="0"/>
        <w:sz w:val="24"/>
        <w:lang w:val="en-US"/>
      </w:rPr>
    </w:lvl>
    <w:lvl w:ilvl="4" w:tentative="0">
      <w:start w:val="1"/>
      <w:numFmt w:val="decimal"/>
      <w:lvlText w:val="%2.%3.%4.%5"/>
      <w:lvlJc w:val="left"/>
      <w:pPr>
        <w:tabs>
          <w:tab w:val="left" w:pos="1080"/>
        </w:tabs>
        <w:ind w:left="0" w:firstLine="0"/>
      </w:pPr>
      <w:rPr>
        <w:rFonts w:hint="eastAsia" w:eastAsia="宋体"/>
        <w:b/>
        <w:i w:val="0"/>
        <w:sz w:val="24"/>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Text w:val="%2.%3.%4.%5.%6.%7.%8"/>
      <w:lvlJc w:val="left"/>
      <w:pPr>
        <w:tabs>
          <w:tab w:val="left" w:pos="1800"/>
        </w:tabs>
        <w:ind w:left="0" w:firstLine="0"/>
      </w:pPr>
      <w:rPr>
        <w:rFonts w:hint="eastAsia"/>
      </w:rPr>
    </w:lvl>
    <w:lvl w:ilvl="8" w:tentative="0">
      <w:start w:val="1"/>
      <w:numFmt w:val="decimal"/>
      <w:lvlText w:val="%2.%3.%4.%5.%6.%7.%8.%9"/>
      <w:lvlJc w:val="left"/>
      <w:pPr>
        <w:tabs>
          <w:tab w:val="left" w:pos="2160"/>
        </w:tabs>
        <w:ind w:left="0" w:firstLine="0"/>
      </w:pPr>
      <w:rPr>
        <w:rFonts w:hint="eastAsia"/>
      </w:rPr>
    </w:lvl>
  </w:abstractNum>
  <w:abstractNum w:abstractNumId="16">
    <w:nsid w:val="6EBD111E"/>
    <w:multiLevelType w:val="multilevel"/>
    <w:tmpl w:val="6EBD111E"/>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2F57E24"/>
    <w:multiLevelType w:val="multilevel"/>
    <w:tmpl w:val="72F57E2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39B461F"/>
    <w:multiLevelType w:val="singleLevel"/>
    <w:tmpl w:val="739B461F"/>
    <w:lvl w:ilvl="0" w:tentative="0">
      <w:start w:val="1"/>
      <w:numFmt w:val="decimal"/>
      <w:lvlText w:val="%1."/>
      <w:lvlJc w:val="left"/>
      <w:pPr>
        <w:ind w:left="425" w:hanging="425"/>
      </w:pPr>
      <w:rPr>
        <w:rFonts w:hint="default"/>
      </w:rPr>
    </w:lvl>
  </w:abstractNum>
  <w:abstractNum w:abstractNumId="19">
    <w:nsid w:val="75F46A0E"/>
    <w:multiLevelType w:val="multilevel"/>
    <w:tmpl w:val="75F46A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7413C4D"/>
    <w:multiLevelType w:val="multilevel"/>
    <w:tmpl w:val="77413C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8"/>
  </w:num>
  <w:num w:numId="3">
    <w:abstractNumId w:val="19"/>
  </w:num>
  <w:num w:numId="4">
    <w:abstractNumId w:val="9"/>
  </w:num>
  <w:num w:numId="5">
    <w:abstractNumId w:val="10"/>
  </w:num>
  <w:num w:numId="6">
    <w:abstractNumId w:val="7"/>
  </w:num>
  <w:num w:numId="7">
    <w:abstractNumId w:val="20"/>
  </w:num>
  <w:num w:numId="8">
    <w:abstractNumId w:val="13"/>
  </w:num>
  <w:num w:numId="9">
    <w:abstractNumId w:val="4"/>
  </w:num>
  <w:num w:numId="10">
    <w:abstractNumId w:val="1"/>
  </w:num>
  <w:num w:numId="11">
    <w:abstractNumId w:val="11"/>
  </w:num>
  <w:num w:numId="12">
    <w:abstractNumId w:val="5"/>
  </w:num>
  <w:num w:numId="13">
    <w:abstractNumId w:val="3"/>
  </w:num>
  <w:num w:numId="14">
    <w:abstractNumId w:val="16"/>
  </w:num>
  <w:num w:numId="15">
    <w:abstractNumId w:val="12"/>
  </w:num>
  <w:num w:numId="16">
    <w:abstractNumId w:val="14"/>
  </w:num>
  <w:num w:numId="17">
    <w:abstractNumId w:val="6"/>
  </w:num>
  <w:num w:numId="18">
    <w:abstractNumId w:val="2"/>
  </w:num>
  <w:num w:numId="19">
    <w:abstractNumId w:val="18"/>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ZGVkMzI3M2M1NDhkYWU0NGJkNDM1ZTYzNzBjMmEifQ=="/>
  </w:docVars>
  <w:rsids>
    <w:rsidRoot w:val="006D1E24"/>
    <w:rsid w:val="00000937"/>
    <w:rsid w:val="0000160A"/>
    <w:rsid w:val="00001D14"/>
    <w:rsid w:val="000034D2"/>
    <w:rsid w:val="00004907"/>
    <w:rsid w:val="00005295"/>
    <w:rsid w:val="00005869"/>
    <w:rsid w:val="0000597B"/>
    <w:rsid w:val="00006FC6"/>
    <w:rsid w:val="00010968"/>
    <w:rsid w:val="0001147D"/>
    <w:rsid w:val="0001194C"/>
    <w:rsid w:val="000124DB"/>
    <w:rsid w:val="00013089"/>
    <w:rsid w:val="00013768"/>
    <w:rsid w:val="000160B5"/>
    <w:rsid w:val="0001622F"/>
    <w:rsid w:val="00016B34"/>
    <w:rsid w:val="00016CB3"/>
    <w:rsid w:val="000170B1"/>
    <w:rsid w:val="000209C2"/>
    <w:rsid w:val="00020D9C"/>
    <w:rsid w:val="0002129D"/>
    <w:rsid w:val="00021317"/>
    <w:rsid w:val="00021A02"/>
    <w:rsid w:val="00021A11"/>
    <w:rsid w:val="00021A6A"/>
    <w:rsid w:val="00022786"/>
    <w:rsid w:val="00022C0A"/>
    <w:rsid w:val="000233AE"/>
    <w:rsid w:val="0002398D"/>
    <w:rsid w:val="0002403D"/>
    <w:rsid w:val="000240BD"/>
    <w:rsid w:val="00024E09"/>
    <w:rsid w:val="000263A1"/>
    <w:rsid w:val="00027253"/>
    <w:rsid w:val="00027794"/>
    <w:rsid w:val="00027BA3"/>
    <w:rsid w:val="00030009"/>
    <w:rsid w:val="0003018F"/>
    <w:rsid w:val="00031090"/>
    <w:rsid w:val="000314B1"/>
    <w:rsid w:val="00033025"/>
    <w:rsid w:val="00033ED9"/>
    <w:rsid w:val="00034D5C"/>
    <w:rsid w:val="00036202"/>
    <w:rsid w:val="0003775A"/>
    <w:rsid w:val="00041066"/>
    <w:rsid w:val="0004206C"/>
    <w:rsid w:val="0004255D"/>
    <w:rsid w:val="00042C2B"/>
    <w:rsid w:val="0004440A"/>
    <w:rsid w:val="000445C6"/>
    <w:rsid w:val="00044F4F"/>
    <w:rsid w:val="00047CB9"/>
    <w:rsid w:val="00047E9C"/>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2F4A"/>
    <w:rsid w:val="00063079"/>
    <w:rsid w:val="00064630"/>
    <w:rsid w:val="00064CCA"/>
    <w:rsid w:val="00065FCA"/>
    <w:rsid w:val="00066687"/>
    <w:rsid w:val="000676BC"/>
    <w:rsid w:val="0006789B"/>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750"/>
    <w:rsid w:val="000835FA"/>
    <w:rsid w:val="000846CA"/>
    <w:rsid w:val="000856CB"/>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3D14"/>
    <w:rsid w:val="000A4808"/>
    <w:rsid w:val="000A4F8D"/>
    <w:rsid w:val="000A5194"/>
    <w:rsid w:val="000A6B60"/>
    <w:rsid w:val="000A71E6"/>
    <w:rsid w:val="000B0B41"/>
    <w:rsid w:val="000B16C1"/>
    <w:rsid w:val="000B256E"/>
    <w:rsid w:val="000B262F"/>
    <w:rsid w:val="000B4277"/>
    <w:rsid w:val="000B49A3"/>
    <w:rsid w:val="000B55EC"/>
    <w:rsid w:val="000B6EB8"/>
    <w:rsid w:val="000B731B"/>
    <w:rsid w:val="000C0284"/>
    <w:rsid w:val="000C04F4"/>
    <w:rsid w:val="000C09BF"/>
    <w:rsid w:val="000C0E81"/>
    <w:rsid w:val="000C111F"/>
    <w:rsid w:val="000C1A26"/>
    <w:rsid w:val="000C1E9B"/>
    <w:rsid w:val="000C2F6A"/>
    <w:rsid w:val="000C3138"/>
    <w:rsid w:val="000C37EF"/>
    <w:rsid w:val="000C3D1F"/>
    <w:rsid w:val="000C3E63"/>
    <w:rsid w:val="000C44DA"/>
    <w:rsid w:val="000C4C17"/>
    <w:rsid w:val="000C5446"/>
    <w:rsid w:val="000D02B7"/>
    <w:rsid w:val="000D08CC"/>
    <w:rsid w:val="000D090B"/>
    <w:rsid w:val="000D0F64"/>
    <w:rsid w:val="000D1E52"/>
    <w:rsid w:val="000D2C2A"/>
    <w:rsid w:val="000D4214"/>
    <w:rsid w:val="000D43D9"/>
    <w:rsid w:val="000D74EC"/>
    <w:rsid w:val="000D7AC4"/>
    <w:rsid w:val="000E0247"/>
    <w:rsid w:val="000E045B"/>
    <w:rsid w:val="000E098F"/>
    <w:rsid w:val="000E1C06"/>
    <w:rsid w:val="000E1DFA"/>
    <w:rsid w:val="000E220A"/>
    <w:rsid w:val="000E2523"/>
    <w:rsid w:val="000E28EF"/>
    <w:rsid w:val="000E2DD2"/>
    <w:rsid w:val="000E4B58"/>
    <w:rsid w:val="000E5F8C"/>
    <w:rsid w:val="000E6427"/>
    <w:rsid w:val="000E649C"/>
    <w:rsid w:val="000E65C0"/>
    <w:rsid w:val="000E68A1"/>
    <w:rsid w:val="000E6CB7"/>
    <w:rsid w:val="000E78D4"/>
    <w:rsid w:val="000F0346"/>
    <w:rsid w:val="000F1501"/>
    <w:rsid w:val="000F1B76"/>
    <w:rsid w:val="000F4585"/>
    <w:rsid w:val="000F6AD7"/>
    <w:rsid w:val="000F6C5A"/>
    <w:rsid w:val="001003DA"/>
    <w:rsid w:val="001006B1"/>
    <w:rsid w:val="00100F7D"/>
    <w:rsid w:val="00102BE9"/>
    <w:rsid w:val="00102CC8"/>
    <w:rsid w:val="00104246"/>
    <w:rsid w:val="00104542"/>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2700"/>
    <w:rsid w:val="00122ED6"/>
    <w:rsid w:val="00123DD0"/>
    <w:rsid w:val="00124FFB"/>
    <w:rsid w:val="00125EC5"/>
    <w:rsid w:val="00126C0B"/>
    <w:rsid w:val="001306E5"/>
    <w:rsid w:val="00130D49"/>
    <w:rsid w:val="00132D5B"/>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23B"/>
    <w:rsid w:val="001564B8"/>
    <w:rsid w:val="00156AD9"/>
    <w:rsid w:val="00157E10"/>
    <w:rsid w:val="00162177"/>
    <w:rsid w:val="001627EE"/>
    <w:rsid w:val="00163CA6"/>
    <w:rsid w:val="00166761"/>
    <w:rsid w:val="001672F8"/>
    <w:rsid w:val="00167FF3"/>
    <w:rsid w:val="00170760"/>
    <w:rsid w:val="001712B8"/>
    <w:rsid w:val="001739AA"/>
    <w:rsid w:val="00173C41"/>
    <w:rsid w:val="00174AD1"/>
    <w:rsid w:val="00174CD7"/>
    <w:rsid w:val="00174F8F"/>
    <w:rsid w:val="00175880"/>
    <w:rsid w:val="00176386"/>
    <w:rsid w:val="00176E83"/>
    <w:rsid w:val="00176F7E"/>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2A5E"/>
    <w:rsid w:val="001A4CC4"/>
    <w:rsid w:val="001A5BFE"/>
    <w:rsid w:val="001A607F"/>
    <w:rsid w:val="001A7549"/>
    <w:rsid w:val="001A7B9F"/>
    <w:rsid w:val="001A7C37"/>
    <w:rsid w:val="001B0424"/>
    <w:rsid w:val="001B109E"/>
    <w:rsid w:val="001B1E47"/>
    <w:rsid w:val="001B2099"/>
    <w:rsid w:val="001B2883"/>
    <w:rsid w:val="001B2AC2"/>
    <w:rsid w:val="001B2B07"/>
    <w:rsid w:val="001B3F0F"/>
    <w:rsid w:val="001B57D1"/>
    <w:rsid w:val="001B5B09"/>
    <w:rsid w:val="001B641A"/>
    <w:rsid w:val="001B66D2"/>
    <w:rsid w:val="001B79BF"/>
    <w:rsid w:val="001C03ED"/>
    <w:rsid w:val="001C162C"/>
    <w:rsid w:val="001C17D9"/>
    <w:rsid w:val="001C189C"/>
    <w:rsid w:val="001C1A61"/>
    <w:rsid w:val="001C1E3D"/>
    <w:rsid w:val="001C228D"/>
    <w:rsid w:val="001C2359"/>
    <w:rsid w:val="001C2649"/>
    <w:rsid w:val="001C2B03"/>
    <w:rsid w:val="001C3630"/>
    <w:rsid w:val="001C374D"/>
    <w:rsid w:val="001C3F5C"/>
    <w:rsid w:val="001C412B"/>
    <w:rsid w:val="001C4386"/>
    <w:rsid w:val="001C5001"/>
    <w:rsid w:val="001C5464"/>
    <w:rsid w:val="001C560E"/>
    <w:rsid w:val="001C59FC"/>
    <w:rsid w:val="001C5D49"/>
    <w:rsid w:val="001C7B94"/>
    <w:rsid w:val="001D0369"/>
    <w:rsid w:val="001D0D90"/>
    <w:rsid w:val="001D0D9F"/>
    <w:rsid w:val="001D0DDC"/>
    <w:rsid w:val="001D1275"/>
    <w:rsid w:val="001D1D9C"/>
    <w:rsid w:val="001D201F"/>
    <w:rsid w:val="001D3099"/>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E7D"/>
    <w:rsid w:val="001E3F05"/>
    <w:rsid w:val="001E4B1F"/>
    <w:rsid w:val="001E5650"/>
    <w:rsid w:val="001E640A"/>
    <w:rsid w:val="001E66A9"/>
    <w:rsid w:val="001E7596"/>
    <w:rsid w:val="001E7788"/>
    <w:rsid w:val="001F07E9"/>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5DA1"/>
    <w:rsid w:val="00206268"/>
    <w:rsid w:val="00207A8F"/>
    <w:rsid w:val="00207C31"/>
    <w:rsid w:val="00207C73"/>
    <w:rsid w:val="00210392"/>
    <w:rsid w:val="0021081A"/>
    <w:rsid w:val="002109CC"/>
    <w:rsid w:val="00210EED"/>
    <w:rsid w:val="00210FE3"/>
    <w:rsid w:val="00211BFA"/>
    <w:rsid w:val="002125A4"/>
    <w:rsid w:val="00213454"/>
    <w:rsid w:val="00213470"/>
    <w:rsid w:val="002166C1"/>
    <w:rsid w:val="00217911"/>
    <w:rsid w:val="00217BF5"/>
    <w:rsid w:val="00217C16"/>
    <w:rsid w:val="0022246C"/>
    <w:rsid w:val="00222817"/>
    <w:rsid w:val="00224C6B"/>
    <w:rsid w:val="002255BE"/>
    <w:rsid w:val="00227847"/>
    <w:rsid w:val="00227F7C"/>
    <w:rsid w:val="00230F6A"/>
    <w:rsid w:val="00230FFD"/>
    <w:rsid w:val="002315C9"/>
    <w:rsid w:val="00231C47"/>
    <w:rsid w:val="00232E61"/>
    <w:rsid w:val="00233045"/>
    <w:rsid w:val="00233E6B"/>
    <w:rsid w:val="00234542"/>
    <w:rsid w:val="00234EA4"/>
    <w:rsid w:val="0023604B"/>
    <w:rsid w:val="002369FE"/>
    <w:rsid w:val="00237DDB"/>
    <w:rsid w:val="00242938"/>
    <w:rsid w:val="00243101"/>
    <w:rsid w:val="002434D9"/>
    <w:rsid w:val="0024422F"/>
    <w:rsid w:val="00246597"/>
    <w:rsid w:val="00247E71"/>
    <w:rsid w:val="00250163"/>
    <w:rsid w:val="00251F31"/>
    <w:rsid w:val="002533A7"/>
    <w:rsid w:val="00254C4F"/>
    <w:rsid w:val="00254CB1"/>
    <w:rsid w:val="00254DD5"/>
    <w:rsid w:val="002569D6"/>
    <w:rsid w:val="0025745F"/>
    <w:rsid w:val="00257670"/>
    <w:rsid w:val="00257772"/>
    <w:rsid w:val="00257BA4"/>
    <w:rsid w:val="00257D77"/>
    <w:rsid w:val="00260CC4"/>
    <w:rsid w:val="00261B96"/>
    <w:rsid w:val="00261C39"/>
    <w:rsid w:val="00261D39"/>
    <w:rsid w:val="00263504"/>
    <w:rsid w:val="00263D8B"/>
    <w:rsid w:val="00264853"/>
    <w:rsid w:val="002649EF"/>
    <w:rsid w:val="00264F8F"/>
    <w:rsid w:val="00265137"/>
    <w:rsid w:val="002653E4"/>
    <w:rsid w:val="0026596A"/>
    <w:rsid w:val="00265D3C"/>
    <w:rsid w:val="00266376"/>
    <w:rsid w:val="0026656B"/>
    <w:rsid w:val="00266DAC"/>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2972"/>
    <w:rsid w:val="002830EC"/>
    <w:rsid w:val="0028403A"/>
    <w:rsid w:val="002854FF"/>
    <w:rsid w:val="002857E7"/>
    <w:rsid w:val="0028594B"/>
    <w:rsid w:val="00286425"/>
    <w:rsid w:val="002864CD"/>
    <w:rsid w:val="00287A8C"/>
    <w:rsid w:val="00287C4F"/>
    <w:rsid w:val="00287F56"/>
    <w:rsid w:val="002911F1"/>
    <w:rsid w:val="0029151D"/>
    <w:rsid w:val="00291EAF"/>
    <w:rsid w:val="00291EFA"/>
    <w:rsid w:val="00292157"/>
    <w:rsid w:val="00292689"/>
    <w:rsid w:val="00293222"/>
    <w:rsid w:val="002933A4"/>
    <w:rsid w:val="00293652"/>
    <w:rsid w:val="00293C7A"/>
    <w:rsid w:val="00294025"/>
    <w:rsid w:val="00294153"/>
    <w:rsid w:val="00294F3F"/>
    <w:rsid w:val="00295D81"/>
    <w:rsid w:val="00296112"/>
    <w:rsid w:val="00296535"/>
    <w:rsid w:val="00297635"/>
    <w:rsid w:val="002A0120"/>
    <w:rsid w:val="002A411E"/>
    <w:rsid w:val="002A4BF5"/>
    <w:rsid w:val="002A50BE"/>
    <w:rsid w:val="002A5F03"/>
    <w:rsid w:val="002A5F70"/>
    <w:rsid w:val="002A6DBF"/>
    <w:rsid w:val="002A6E2F"/>
    <w:rsid w:val="002A6F11"/>
    <w:rsid w:val="002A7107"/>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564D"/>
    <w:rsid w:val="002C5E1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1A4E"/>
    <w:rsid w:val="002E2131"/>
    <w:rsid w:val="002E2446"/>
    <w:rsid w:val="002E2A86"/>
    <w:rsid w:val="002E3181"/>
    <w:rsid w:val="002E31E7"/>
    <w:rsid w:val="002E32AA"/>
    <w:rsid w:val="002E398E"/>
    <w:rsid w:val="002E3D8B"/>
    <w:rsid w:val="002E46B7"/>
    <w:rsid w:val="002E5528"/>
    <w:rsid w:val="002E55B4"/>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63B8"/>
    <w:rsid w:val="002F67EF"/>
    <w:rsid w:val="002F6854"/>
    <w:rsid w:val="002F6CEC"/>
    <w:rsid w:val="002F758B"/>
    <w:rsid w:val="002F7B43"/>
    <w:rsid w:val="00300CCB"/>
    <w:rsid w:val="003019EF"/>
    <w:rsid w:val="00303312"/>
    <w:rsid w:val="00303B14"/>
    <w:rsid w:val="0030400F"/>
    <w:rsid w:val="00304B7C"/>
    <w:rsid w:val="003051BE"/>
    <w:rsid w:val="00305E5F"/>
    <w:rsid w:val="00306195"/>
    <w:rsid w:val="00306EB1"/>
    <w:rsid w:val="00307F24"/>
    <w:rsid w:val="00310C54"/>
    <w:rsid w:val="00311579"/>
    <w:rsid w:val="003116CF"/>
    <w:rsid w:val="00312E67"/>
    <w:rsid w:val="00313178"/>
    <w:rsid w:val="00313C13"/>
    <w:rsid w:val="0031454E"/>
    <w:rsid w:val="00314673"/>
    <w:rsid w:val="003151A7"/>
    <w:rsid w:val="0031612A"/>
    <w:rsid w:val="0031700A"/>
    <w:rsid w:val="0031734A"/>
    <w:rsid w:val="00317B40"/>
    <w:rsid w:val="00320956"/>
    <w:rsid w:val="003221CE"/>
    <w:rsid w:val="00322665"/>
    <w:rsid w:val="00322D96"/>
    <w:rsid w:val="0032418D"/>
    <w:rsid w:val="0032552A"/>
    <w:rsid w:val="00325834"/>
    <w:rsid w:val="00326DB4"/>
    <w:rsid w:val="00330A21"/>
    <w:rsid w:val="00331C2B"/>
    <w:rsid w:val="00331E14"/>
    <w:rsid w:val="003330C2"/>
    <w:rsid w:val="00333A44"/>
    <w:rsid w:val="00335852"/>
    <w:rsid w:val="00336072"/>
    <w:rsid w:val="00337135"/>
    <w:rsid w:val="00337BFB"/>
    <w:rsid w:val="0034044C"/>
    <w:rsid w:val="003416B1"/>
    <w:rsid w:val="003424C5"/>
    <w:rsid w:val="00342C93"/>
    <w:rsid w:val="00342D42"/>
    <w:rsid w:val="00343DAF"/>
    <w:rsid w:val="00343FD9"/>
    <w:rsid w:val="00344BCE"/>
    <w:rsid w:val="003456D0"/>
    <w:rsid w:val="00345EF8"/>
    <w:rsid w:val="003469D9"/>
    <w:rsid w:val="00346D3F"/>
    <w:rsid w:val="00347031"/>
    <w:rsid w:val="0035050E"/>
    <w:rsid w:val="00350628"/>
    <w:rsid w:val="00350963"/>
    <w:rsid w:val="0035366E"/>
    <w:rsid w:val="00355398"/>
    <w:rsid w:val="0035687C"/>
    <w:rsid w:val="00356B01"/>
    <w:rsid w:val="00356F98"/>
    <w:rsid w:val="00357AC3"/>
    <w:rsid w:val="00361C00"/>
    <w:rsid w:val="00361EDB"/>
    <w:rsid w:val="003620DF"/>
    <w:rsid w:val="003627D2"/>
    <w:rsid w:val="00363D4F"/>
    <w:rsid w:val="0036458A"/>
    <w:rsid w:val="00367944"/>
    <w:rsid w:val="003707B6"/>
    <w:rsid w:val="00370B66"/>
    <w:rsid w:val="00370FFF"/>
    <w:rsid w:val="00372139"/>
    <w:rsid w:val="00372779"/>
    <w:rsid w:val="00372D5B"/>
    <w:rsid w:val="0037342B"/>
    <w:rsid w:val="00373F68"/>
    <w:rsid w:val="003744A2"/>
    <w:rsid w:val="0037478D"/>
    <w:rsid w:val="00375A09"/>
    <w:rsid w:val="00381A65"/>
    <w:rsid w:val="00381BC0"/>
    <w:rsid w:val="00381F10"/>
    <w:rsid w:val="00382D7B"/>
    <w:rsid w:val="0038375C"/>
    <w:rsid w:val="00385016"/>
    <w:rsid w:val="003850A8"/>
    <w:rsid w:val="00385140"/>
    <w:rsid w:val="00385730"/>
    <w:rsid w:val="00386842"/>
    <w:rsid w:val="003869B6"/>
    <w:rsid w:val="00386F7B"/>
    <w:rsid w:val="00387AB5"/>
    <w:rsid w:val="00387E4C"/>
    <w:rsid w:val="00387FCF"/>
    <w:rsid w:val="0039040B"/>
    <w:rsid w:val="00390BDE"/>
    <w:rsid w:val="00391035"/>
    <w:rsid w:val="00391474"/>
    <w:rsid w:val="003918C6"/>
    <w:rsid w:val="00392F4F"/>
    <w:rsid w:val="003935C5"/>
    <w:rsid w:val="00394DFC"/>
    <w:rsid w:val="00396D2D"/>
    <w:rsid w:val="00397815"/>
    <w:rsid w:val="00397BE2"/>
    <w:rsid w:val="003A006E"/>
    <w:rsid w:val="003A119C"/>
    <w:rsid w:val="003A12E8"/>
    <w:rsid w:val="003A166E"/>
    <w:rsid w:val="003A1F65"/>
    <w:rsid w:val="003A2C04"/>
    <w:rsid w:val="003A2C0F"/>
    <w:rsid w:val="003A2D7F"/>
    <w:rsid w:val="003A3719"/>
    <w:rsid w:val="003A500C"/>
    <w:rsid w:val="003A62D8"/>
    <w:rsid w:val="003A71C4"/>
    <w:rsid w:val="003B09CC"/>
    <w:rsid w:val="003B1BFF"/>
    <w:rsid w:val="003B3325"/>
    <w:rsid w:val="003B3418"/>
    <w:rsid w:val="003B34FF"/>
    <w:rsid w:val="003B3C91"/>
    <w:rsid w:val="003B3CC3"/>
    <w:rsid w:val="003B6288"/>
    <w:rsid w:val="003B654E"/>
    <w:rsid w:val="003B7A52"/>
    <w:rsid w:val="003C0EF7"/>
    <w:rsid w:val="003C169E"/>
    <w:rsid w:val="003C1BD2"/>
    <w:rsid w:val="003C2639"/>
    <w:rsid w:val="003C32CB"/>
    <w:rsid w:val="003C3666"/>
    <w:rsid w:val="003C3983"/>
    <w:rsid w:val="003C4255"/>
    <w:rsid w:val="003C4FC0"/>
    <w:rsid w:val="003C51A7"/>
    <w:rsid w:val="003C5CE8"/>
    <w:rsid w:val="003C5EDB"/>
    <w:rsid w:val="003C6389"/>
    <w:rsid w:val="003C6727"/>
    <w:rsid w:val="003C74B6"/>
    <w:rsid w:val="003C7B23"/>
    <w:rsid w:val="003D0802"/>
    <w:rsid w:val="003D149E"/>
    <w:rsid w:val="003D247C"/>
    <w:rsid w:val="003D2EE1"/>
    <w:rsid w:val="003D7616"/>
    <w:rsid w:val="003D7FD8"/>
    <w:rsid w:val="003E1168"/>
    <w:rsid w:val="003E2D43"/>
    <w:rsid w:val="003E32C0"/>
    <w:rsid w:val="003E5604"/>
    <w:rsid w:val="003E5DAE"/>
    <w:rsid w:val="003E6406"/>
    <w:rsid w:val="003E6D78"/>
    <w:rsid w:val="003E717C"/>
    <w:rsid w:val="003E7A8A"/>
    <w:rsid w:val="003E7E3A"/>
    <w:rsid w:val="003F00CD"/>
    <w:rsid w:val="003F0418"/>
    <w:rsid w:val="003F0C44"/>
    <w:rsid w:val="003F1B43"/>
    <w:rsid w:val="003F227F"/>
    <w:rsid w:val="003F2AF9"/>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A1"/>
    <w:rsid w:val="00404ABE"/>
    <w:rsid w:val="004062F8"/>
    <w:rsid w:val="00407F26"/>
    <w:rsid w:val="004112EF"/>
    <w:rsid w:val="004121C5"/>
    <w:rsid w:val="00412D47"/>
    <w:rsid w:val="0041494B"/>
    <w:rsid w:val="00414E5D"/>
    <w:rsid w:val="004159C7"/>
    <w:rsid w:val="004165A9"/>
    <w:rsid w:val="00416AF9"/>
    <w:rsid w:val="00420FA4"/>
    <w:rsid w:val="00421449"/>
    <w:rsid w:val="0042197E"/>
    <w:rsid w:val="00422D64"/>
    <w:rsid w:val="00423465"/>
    <w:rsid w:val="00423DB6"/>
    <w:rsid w:val="00423DCE"/>
    <w:rsid w:val="00424495"/>
    <w:rsid w:val="00425096"/>
    <w:rsid w:val="004250FC"/>
    <w:rsid w:val="00425128"/>
    <w:rsid w:val="00425CE3"/>
    <w:rsid w:val="00426094"/>
    <w:rsid w:val="0042656E"/>
    <w:rsid w:val="00426B48"/>
    <w:rsid w:val="00426CB9"/>
    <w:rsid w:val="004277D7"/>
    <w:rsid w:val="004307EB"/>
    <w:rsid w:val="00431EED"/>
    <w:rsid w:val="00432010"/>
    <w:rsid w:val="00432214"/>
    <w:rsid w:val="00432F0C"/>
    <w:rsid w:val="00433686"/>
    <w:rsid w:val="00434F05"/>
    <w:rsid w:val="004352D7"/>
    <w:rsid w:val="00436072"/>
    <w:rsid w:val="004362FE"/>
    <w:rsid w:val="00437C38"/>
    <w:rsid w:val="00440381"/>
    <w:rsid w:val="00440853"/>
    <w:rsid w:val="00441824"/>
    <w:rsid w:val="004423F0"/>
    <w:rsid w:val="00443218"/>
    <w:rsid w:val="00443826"/>
    <w:rsid w:val="004458B1"/>
    <w:rsid w:val="00446E59"/>
    <w:rsid w:val="0044758F"/>
    <w:rsid w:val="00450DE0"/>
    <w:rsid w:val="00450FDB"/>
    <w:rsid w:val="0045173E"/>
    <w:rsid w:val="00451C55"/>
    <w:rsid w:val="00452340"/>
    <w:rsid w:val="00452403"/>
    <w:rsid w:val="00452A98"/>
    <w:rsid w:val="00453834"/>
    <w:rsid w:val="00454D2C"/>
    <w:rsid w:val="0045530D"/>
    <w:rsid w:val="004554D6"/>
    <w:rsid w:val="00456845"/>
    <w:rsid w:val="00456C5A"/>
    <w:rsid w:val="00456CE8"/>
    <w:rsid w:val="0045728D"/>
    <w:rsid w:val="00457F1E"/>
    <w:rsid w:val="0046099A"/>
    <w:rsid w:val="0046130B"/>
    <w:rsid w:val="004613BF"/>
    <w:rsid w:val="004615E7"/>
    <w:rsid w:val="004619CB"/>
    <w:rsid w:val="00461A4C"/>
    <w:rsid w:val="004629BF"/>
    <w:rsid w:val="00462CE0"/>
    <w:rsid w:val="00463CF7"/>
    <w:rsid w:val="00463D6C"/>
    <w:rsid w:val="0046422B"/>
    <w:rsid w:val="0046483A"/>
    <w:rsid w:val="00464A94"/>
    <w:rsid w:val="00464BED"/>
    <w:rsid w:val="0046568F"/>
    <w:rsid w:val="00465707"/>
    <w:rsid w:val="00465C58"/>
    <w:rsid w:val="00465F14"/>
    <w:rsid w:val="0046735C"/>
    <w:rsid w:val="004706A5"/>
    <w:rsid w:val="00470BBF"/>
    <w:rsid w:val="00470DFB"/>
    <w:rsid w:val="00472611"/>
    <w:rsid w:val="0047319A"/>
    <w:rsid w:val="004732B5"/>
    <w:rsid w:val="00474A74"/>
    <w:rsid w:val="00482891"/>
    <w:rsid w:val="00482B1F"/>
    <w:rsid w:val="00482F9B"/>
    <w:rsid w:val="00483139"/>
    <w:rsid w:val="00483BB5"/>
    <w:rsid w:val="00484A5B"/>
    <w:rsid w:val="00484C32"/>
    <w:rsid w:val="00484D35"/>
    <w:rsid w:val="00485149"/>
    <w:rsid w:val="00485FDC"/>
    <w:rsid w:val="00486247"/>
    <w:rsid w:val="00486C53"/>
    <w:rsid w:val="0048715D"/>
    <w:rsid w:val="004876D5"/>
    <w:rsid w:val="004905DE"/>
    <w:rsid w:val="004908F9"/>
    <w:rsid w:val="0049098E"/>
    <w:rsid w:val="0049133B"/>
    <w:rsid w:val="00492A9C"/>
    <w:rsid w:val="00492BFC"/>
    <w:rsid w:val="00493539"/>
    <w:rsid w:val="00494DEE"/>
    <w:rsid w:val="004951C8"/>
    <w:rsid w:val="004954AA"/>
    <w:rsid w:val="00495667"/>
    <w:rsid w:val="00497D45"/>
    <w:rsid w:val="004A02D3"/>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8C4"/>
    <w:rsid w:val="004C3A03"/>
    <w:rsid w:val="004C3BF4"/>
    <w:rsid w:val="004C4628"/>
    <w:rsid w:val="004C48E2"/>
    <w:rsid w:val="004C57EB"/>
    <w:rsid w:val="004C57EF"/>
    <w:rsid w:val="004C7964"/>
    <w:rsid w:val="004D07CA"/>
    <w:rsid w:val="004D13C1"/>
    <w:rsid w:val="004D1552"/>
    <w:rsid w:val="004D1731"/>
    <w:rsid w:val="004D2272"/>
    <w:rsid w:val="004D22F4"/>
    <w:rsid w:val="004D27D7"/>
    <w:rsid w:val="004D3245"/>
    <w:rsid w:val="004D3285"/>
    <w:rsid w:val="004D3651"/>
    <w:rsid w:val="004D3927"/>
    <w:rsid w:val="004D42BF"/>
    <w:rsid w:val="004D4BD2"/>
    <w:rsid w:val="004D4BFE"/>
    <w:rsid w:val="004D602F"/>
    <w:rsid w:val="004D69AC"/>
    <w:rsid w:val="004D7C71"/>
    <w:rsid w:val="004D7C84"/>
    <w:rsid w:val="004E033D"/>
    <w:rsid w:val="004E0925"/>
    <w:rsid w:val="004E0F59"/>
    <w:rsid w:val="004E18C8"/>
    <w:rsid w:val="004E1970"/>
    <w:rsid w:val="004E21C6"/>
    <w:rsid w:val="004E24FF"/>
    <w:rsid w:val="004E3223"/>
    <w:rsid w:val="004E49BC"/>
    <w:rsid w:val="004E6E5B"/>
    <w:rsid w:val="004E70C5"/>
    <w:rsid w:val="004E7D6B"/>
    <w:rsid w:val="004F0F17"/>
    <w:rsid w:val="004F11B4"/>
    <w:rsid w:val="004F1C32"/>
    <w:rsid w:val="004F549E"/>
    <w:rsid w:val="004F5728"/>
    <w:rsid w:val="004F57F0"/>
    <w:rsid w:val="004F5BEE"/>
    <w:rsid w:val="004F6437"/>
    <w:rsid w:val="004F65F8"/>
    <w:rsid w:val="004F6CC5"/>
    <w:rsid w:val="00501229"/>
    <w:rsid w:val="005014EC"/>
    <w:rsid w:val="005018E0"/>
    <w:rsid w:val="00502DF9"/>
    <w:rsid w:val="00503230"/>
    <w:rsid w:val="00505CD4"/>
    <w:rsid w:val="00507658"/>
    <w:rsid w:val="00512167"/>
    <w:rsid w:val="0051241B"/>
    <w:rsid w:val="00512735"/>
    <w:rsid w:val="00513163"/>
    <w:rsid w:val="00514234"/>
    <w:rsid w:val="00514297"/>
    <w:rsid w:val="00514617"/>
    <w:rsid w:val="005154CA"/>
    <w:rsid w:val="00515C1E"/>
    <w:rsid w:val="00515EB1"/>
    <w:rsid w:val="005165FB"/>
    <w:rsid w:val="00516EDF"/>
    <w:rsid w:val="00516FE7"/>
    <w:rsid w:val="00517B5D"/>
    <w:rsid w:val="00520559"/>
    <w:rsid w:val="00520659"/>
    <w:rsid w:val="00522064"/>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0AD"/>
    <w:rsid w:val="00542212"/>
    <w:rsid w:val="00542516"/>
    <w:rsid w:val="0054294C"/>
    <w:rsid w:val="00542A7E"/>
    <w:rsid w:val="00543CA0"/>
    <w:rsid w:val="00543E79"/>
    <w:rsid w:val="00544CFA"/>
    <w:rsid w:val="005465C9"/>
    <w:rsid w:val="005473AE"/>
    <w:rsid w:val="0054749A"/>
    <w:rsid w:val="00550E53"/>
    <w:rsid w:val="00550FB1"/>
    <w:rsid w:val="005514A7"/>
    <w:rsid w:val="00552292"/>
    <w:rsid w:val="00552AB9"/>
    <w:rsid w:val="00553505"/>
    <w:rsid w:val="00554475"/>
    <w:rsid w:val="005547C4"/>
    <w:rsid w:val="00555E86"/>
    <w:rsid w:val="00555F21"/>
    <w:rsid w:val="005567FD"/>
    <w:rsid w:val="0056030C"/>
    <w:rsid w:val="005605AE"/>
    <w:rsid w:val="0056080C"/>
    <w:rsid w:val="00560D74"/>
    <w:rsid w:val="00560E96"/>
    <w:rsid w:val="00561EBB"/>
    <w:rsid w:val="00562124"/>
    <w:rsid w:val="005628C9"/>
    <w:rsid w:val="005632CF"/>
    <w:rsid w:val="0056360F"/>
    <w:rsid w:val="00563B14"/>
    <w:rsid w:val="00564925"/>
    <w:rsid w:val="00564D16"/>
    <w:rsid w:val="00565324"/>
    <w:rsid w:val="00565391"/>
    <w:rsid w:val="00566849"/>
    <w:rsid w:val="005677A4"/>
    <w:rsid w:val="0056789E"/>
    <w:rsid w:val="00567CC0"/>
    <w:rsid w:val="00567F63"/>
    <w:rsid w:val="00571214"/>
    <w:rsid w:val="0057201B"/>
    <w:rsid w:val="00572308"/>
    <w:rsid w:val="0057232D"/>
    <w:rsid w:val="005729DE"/>
    <w:rsid w:val="00572AE9"/>
    <w:rsid w:val="00572BCA"/>
    <w:rsid w:val="00573490"/>
    <w:rsid w:val="005738E9"/>
    <w:rsid w:val="005739E4"/>
    <w:rsid w:val="0057400A"/>
    <w:rsid w:val="00575101"/>
    <w:rsid w:val="005771F3"/>
    <w:rsid w:val="0057736F"/>
    <w:rsid w:val="005774C5"/>
    <w:rsid w:val="00577690"/>
    <w:rsid w:val="005809A2"/>
    <w:rsid w:val="00580D19"/>
    <w:rsid w:val="0058173A"/>
    <w:rsid w:val="00581A41"/>
    <w:rsid w:val="00581B14"/>
    <w:rsid w:val="0058259F"/>
    <w:rsid w:val="0058372C"/>
    <w:rsid w:val="00583873"/>
    <w:rsid w:val="00583ADB"/>
    <w:rsid w:val="00583FB6"/>
    <w:rsid w:val="005849F1"/>
    <w:rsid w:val="00584C9C"/>
    <w:rsid w:val="00584D54"/>
    <w:rsid w:val="00584F2B"/>
    <w:rsid w:val="00585F9E"/>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4590"/>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A09"/>
    <w:rsid w:val="005B5B1D"/>
    <w:rsid w:val="005B5D99"/>
    <w:rsid w:val="005B65E5"/>
    <w:rsid w:val="005B667D"/>
    <w:rsid w:val="005B6BB6"/>
    <w:rsid w:val="005C0710"/>
    <w:rsid w:val="005C1766"/>
    <w:rsid w:val="005C377E"/>
    <w:rsid w:val="005C3928"/>
    <w:rsid w:val="005C4D56"/>
    <w:rsid w:val="005C55D3"/>
    <w:rsid w:val="005C584A"/>
    <w:rsid w:val="005C5B43"/>
    <w:rsid w:val="005C5D21"/>
    <w:rsid w:val="005C5DF9"/>
    <w:rsid w:val="005C5E79"/>
    <w:rsid w:val="005C689F"/>
    <w:rsid w:val="005C7045"/>
    <w:rsid w:val="005C7472"/>
    <w:rsid w:val="005C7874"/>
    <w:rsid w:val="005D06E1"/>
    <w:rsid w:val="005D0E48"/>
    <w:rsid w:val="005D13BE"/>
    <w:rsid w:val="005D26BE"/>
    <w:rsid w:val="005D3114"/>
    <w:rsid w:val="005D335D"/>
    <w:rsid w:val="005D3821"/>
    <w:rsid w:val="005D38A9"/>
    <w:rsid w:val="005D4C85"/>
    <w:rsid w:val="005D4ED8"/>
    <w:rsid w:val="005D4F96"/>
    <w:rsid w:val="005D5404"/>
    <w:rsid w:val="005D59AD"/>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26D"/>
    <w:rsid w:val="005E3394"/>
    <w:rsid w:val="005E40D8"/>
    <w:rsid w:val="005E4FEE"/>
    <w:rsid w:val="005E5131"/>
    <w:rsid w:val="005E6798"/>
    <w:rsid w:val="005E68C1"/>
    <w:rsid w:val="005E7C2F"/>
    <w:rsid w:val="005F002C"/>
    <w:rsid w:val="005F0B8D"/>
    <w:rsid w:val="005F1BA7"/>
    <w:rsid w:val="005F20F9"/>
    <w:rsid w:val="005F216C"/>
    <w:rsid w:val="005F23ED"/>
    <w:rsid w:val="005F2F82"/>
    <w:rsid w:val="005F3889"/>
    <w:rsid w:val="005F466F"/>
    <w:rsid w:val="005F4BAA"/>
    <w:rsid w:val="005F4F0C"/>
    <w:rsid w:val="005F5026"/>
    <w:rsid w:val="005F57B9"/>
    <w:rsid w:val="005F60B4"/>
    <w:rsid w:val="005F612F"/>
    <w:rsid w:val="005F6314"/>
    <w:rsid w:val="005F7249"/>
    <w:rsid w:val="005F728F"/>
    <w:rsid w:val="005F77A0"/>
    <w:rsid w:val="00601C5D"/>
    <w:rsid w:val="0060299F"/>
    <w:rsid w:val="006034F5"/>
    <w:rsid w:val="006041B3"/>
    <w:rsid w:val="0060594D"/>
    <w:rsid w:val="00606456"/>
    <w:rsid w:val="00606804"/>
    <w:rsid w:val="00606B8B"/>
    <w:rsid w:val="00607944"/>
    <w:rsid w:val="006107B3"/>
    <w:rsid w:val="00610E5B"/>
    <w:rsid w:val="00611573"/>
    <w:rsid w:val="00611C60"/>
    <w:rsid w:val="00611CC4"/>
    <w:rsid w:val="00611F8D"/>
    <w:rsid w:val="00612801"/>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7CB"/>
    <w:rsid w:val="00621A1D"/>
    <w:rsid w:val="00621C45"/>
    <w:rsid w:val="00624503"/>
    <w:rsid w:val="00624C79"/>
    <w:rsid w:val="00625629"/>
    <w:rsid w:val="006256CE"/>
    <w:rsid w:val="00625C11"/>
    <w:rsid w:val="00627DB9"/>
    <w:rsid w:val="006300D3"/>
    <w:rsid w:val="00630224"/>
    <w:rsid w:val="00631C8B"/>
    <w:rsid w:val="00631CAC"/>
    <w:rsid w:val="00631E05"/>
    <w:rsid w:val="006325A2"/>
    <w:rsid w:val="006330C0"/>
    <w:rsid w:val="006336B2"/>
    <w:rsid w:val="00633E3E"/>
    <w:rsid w:val="00635155"/>
    <w:rsid w:val="00637451"/>
    <w:rsid w:val="00637613"/>
    <w:rsid w:val="00637FAB"/>
    <w:rsid w:val="00640B13"/>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05F7"/>
    <w:rsid w:val="006514E7"/>
    <w:rsid w:val="00651C60"/>
    <w:rsid w:val="006558F9"/>
    <w:rsid w:val="00656749"/>
    <w:rsid w:val="00656F1A"/>
    <w:rsid w:val="00660400"/>
    <w:rsid w:val="006610FF"/>
    <w:rsid w:val="0066130A"/>
    <w:rsid w:val="00661B94"/>
    <w:rsid w:val="00662671"/>
    <w:rsid w:val="00662BFA"/>
    <w:rsid w:val="00662F8A"/>
    <w:rsid w:val="00663DCA"/>
    <w:rsid w:val="0066477D"/>
    <w:rsid w:val="00664F6A"/>
    <w:rsid w:val="00665735"/>
    <w:rsid w:val="00665D2F"/>
    <w:rsid w:val="00666445"/>
    <w:rsid w:val="00666475"/>
    <w:rsid w:val="00666734"/>
    <w:rsid w:val="00666B01"/>
    <w:rsid w:val="00666D04"/>
    <w:rsid w:val="006675EC"/>
    <w:rsid w:val="00667E25"/>
    <w:rsid w:val="0067082B"/>
    <w:rsid w:val="0067206D"/>
    <w:rsid w:val="006731E3"/>
    <w:rsid w:val="00675619"/>
    <w:rsid w:val="0067638A"/>
    <w:rsid w:val="006765AB"/>
    <w:rsid w:val="00677E41"/>
    <w:rsid w:val="00680BB9"/>
    <w:rsid w:val="00680D0B"/>
    <w:rsid w:val="00680EBD"/>
    <w:rsid w:val="0068278C"/>
    <w:rsid w:val="006830D4"/>
    <w:rsid w:val="00683ED3"/>
    <w:rsid w:val="00685D83"/>
    <w:rsid w:val="006868C0"/>
    <w:rsid w:val="00686D3C"/>
    <w:rsid w:val="00687244"/>
    <w:rsid w:val="00687EDF"/>
    <w:rsid w:val="006912DA"/>
    <w:rsid w:val="006915A9"/>
    <w:rsid w:val="00692529"/>
    <w:rsid w:val="00692DA8"/>
    <w:rsid w:val="00693415"/>
    <w:rsid w:val="00694AAE"/>
    <w:rsid w:val="006958FA"/>
    <w:rsid w:val="00695A73"/>
    <w:rsid w:val="00695BE5"/>
    <w:rsid w:val="0069643C"/>
    <w:rsid w:val="006979BF"/>
    <w:rsid w:val="00697E9A"/>
    <w:rsid w:val="006A05E2"/>
    <w:rsid w:val="006A0B6D"/>
    <w:rsid w:val="006A0B75"/>
    <w:rsid w:val="006A1B5A"/>
    <w:rsid w:val="006A281F"/>
    <w:rsid w:val="006A2C2D"/>
    <w:rsid w:val="006A4251"/>
    <w:rsid w:val="006A44A0"/>
    <w:rsid w:val="006A5B08"/>
    <w:rsid w:val="006A61E8"/>
    <w:rsid w:val="006A66F8"/>
    <w:rsid w:val="006A6AB0"/>
    <w:rsid w:val="006A700D"/>
    <w:rsid w:val="006A7706"/>
    <w:rsid w:val="006A77A9"/>
    <w:rsid w:val="006B1612"/>
    <w:rsid w:val="006B2F38"/>
    <w:rsid w:val="006B45C6"/>
    <w:rsid w:val="006B4BFA"/>
    <w:rsid w:val="006B5212"/>
    <w:rsid w:val="006B548E"/>
    <w:rsid w:val="006B6131"/>
    <w:rsid w:val="006B7EE6"/>
    <w:rsid w:val="006C070D"/>
    <w:rsid w:val="006C0DDA"/>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715"/>
    <w:rsid w:val="006D4B1F"/>
    <w:rsid w:val="006D6C33"/>
    <w:rsid w:val="006D73B0"/>
    <w:rsid w:val="006D763D"/>
    <w:rsid w:val="006E0CE4"/>
    <w:rsid w:val="006E1E5E"/>
    <w:rsid w:val="006E4787"/>
    <w:rsid w:val="006E4FF8"/>
    <w:rsid w:val="006E5A5C"/>
    <w:rsid w:val="006E6538"/>
    <w:rsid w:val="006E6625"/>
    <w:rsid w:val="006F0AEC"/>
    <w:rsid w:val="006F1779"/>
    <w:rsid w:val="006F19F8"/>
    <w:rsid w:val="006F1DA7"/>
    <w:rsid w:val="006F2060"/>
    <w:rsid w:val="006F2801"/>
    <w:rsid w:val="006F3050"/>
    <w:rsid w:val="006F3722"/>
    <w:rsid w:val="006F3B3B"/>
    <w:rsid w:val="006F4D5F"/>
    <w:rsid w:val="006F5741"/>
    <w:rsid w:val="006F6795"/>
    <w:rsid w:val="006F702F"/>
    <w:rsid w:val="006F787A"/>
    <w:rsid w:val="006F79E9"/>
    <w:rsid w:val="00701E8C"/>
    <w:rsid w:val="00702627"/>
    <w:rsid w:val="00702B0D"/>
    <w:rsid w:val="00704F0D"/>
    <w:rsid w:val="00705425"/>
    <w:rsid w:val="0070651A"/>
    <w:rsid w:val="007076CD"/>
    <w:rsid w:val="00707F17"/>
    <w:rsid w:val="00710157"/>
    <w:rsid w:val="00711072"/>
    <w:rsid w:val="00711513"/>
    <w:rsid w:val="007116E4"/>
    <w:rsid w:val="007117C8"/>
    <w:rsid w:val="00711852"/>
    <w:rsid w:val="00712655"/>
    <w:rsid w:val="00712674"/>
    <w:rsid w:val="00713189"/>
    <w:rsid w:val="00714423"/>
    <w:rsid w:val="00714A2F"/>
    <w:rsid w:val="00714CAB"/>
    <w:rsid w:val="00714DD9"/>
    <w:rsid w:val="00714F6F"/>
    <w:rsid w:val="00715132"/>
    <w:rsid w:val="007156F5"/>
    <w:rsid w:val="00715F54"/>
    <w:rsid w:val="007168F6"/>
    <w:rsid w:val="007179FE"/>
    <w:rsid w:val="00717A58"/>
    <w:rsid w:val="007207A0"/>
    <w:rsid w:val="007218C3"/>
    <w:rsid w:val="007228F4"/>
    <w:rsid w:val="007241FC"/>
    <w:rsid w:val="007243F8"/>
    <w:rsid w:val="00724945"/>
    <w:rsid w:val="00725462"/>
    <w:rsid w:val="00726492"/>
    <w:rsid w:val="0072687B"/>
    <w:rsid w:val="00730BE3"/>
    <w:rsid w:val="00732D8D"/>
    <w:rsid w:val="0073308E"/>
    <w:rsid w:val="007341CF"/>
    <w:rsid w:val="0073456F"/>
    <w:rsid w:val="00735EB9"/>
    <w:rsid w:val="00737467"/>
    <w:rsid w:val="00737B4B"/>
    <w:rsid w:val="00737F97"/>
    <w:rsid w:val="00740236"/>
    <w:rsid w:val="00741DD5"/>
    <w:rsid w:val="00743CFC"/>
    <w:rsid w:val="00743F5A"/>
    <w:rsid w:val="00746026"/>
    <w:rsid w:val="00746EE9"/>
    <w:rsid w:val="0074762E"/>
    <w:rsid w:val="0075038D"/>
    <w:rsid w:val="007510C1"/>
    <w:rsid w:val="007511E9"/>
    <w:rsid w:val="00751AE2"/>
    <w:rsid w:val="00751C15"/>
    <w:rsid w:val="00752B7D"/>
    <w:rsid w:val="00753151"/>
    <w:rsid w:val="00753505"/>
    <w:rsid w:val="0075432D"/>
    <w:rsid w:val="007547BB"/>
    <w:rsid w:val="007556E0"/>
    <w:rsid w:val="0075594E"/>
    <w:rsid w:val="00757AF5"/>
    <w:rsid w:val="00757CA4"/>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3781"/>
    <w:rsid w:val="007744AD"/>
    <w:rsid w:val="0077458F"/>
    <w:rsid w:val="007746A1"/>
    <w:rsid w:val="00774C21"/>
    <w:rsid w:val="00777C0A"/>
    <w:rsid w:val="007815E6"/>
    <w:rsid w:val="007817B6"/>
    <w:rsid w:val="0078188A"/>
    <w:rsid w:val="00782DB8"/>
    <w:rsid w:val="00782FEE"/>
    <w:rsid w:val="007832E9"/>
    <w:rsid w:val="00784770"/>
    <w:rsid w:val="00785084"/>
    <w:rsid w:val="00786348"/>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A7FCB"/>
    <w:rsid w:val="007B0491"/>
    <w:rsid w:val="007B057B"/>
    <w:rsid w:val="007B0BAC"/>
    <w:rsid w:val="007B0F68"/>
    <w:rsid w:val="007B16A6"/>
    <w:rsid w:val="007B218E"/>
    <w:rsid w:val="007B29AC"/>
    <w:rsid w:val="007B3149"/>
    <w:rsid w:val="007B432B"/>
    <w:rsid w:val="007B5036"/>
    <w:rsid w:val="007B6278"/>
    <w:rsid w:val="007B6419"/>
    <w:rsid w:val="007B703A"/>
    <w:rsid w:val="007B7131"/>
    <w:rsid w:val="007B7660"/>
    <w:rsid w:val="007C07A8"/>
    <w:rsid w:val="007C0D9D"/>
    <w:rsid w:val="007C3369"/>
    <w:rsid w:val="007C4A06"/>
    <w:rsid w:val="007C4A3F"/>
    <w:rsid w:val="007C4C1C"/>
    <w:rsid w:val="007C5755"/>
    <w:rsid w:val="007C7480"/>
    <w:rsid w:val="007D254F"/>
    <w:rsid w:val="007D38DB"/>
    <w:rsid w:val="007D411F"/>
    <w:rsid w:val="007D43F3"/>
    <w:rsid w:val="007D4699"/>
    <w:rsid w:val="007D55FF"/>
    <w:rsid w:val="007D6736"/>
    <w:rsid w:val="007D702C"/>
    <w:rsid w:val="007D70E5"/>
    <w:rsid w:val="007D7152"/>
    <w:rsid w:val="007D772E"/>
    <w:rsid w:val="007E05A9"/>
    <w:rsid w:val="007E0769"/>
    <w:rsid w:val="007E07B6"/>
    <w:rsid w:val="007E0A86"/>
    <w:rsid w:val="007E0CA3"/>
    <w:rsid w:val="007E12E8"/>
    <w:rsid w:val="007E1A8D"/>
    <w:rsid w:val="007E262A"/>
    <w:rsid w:val="007E2B79"/>
    <w:rsid w:val="007E3150"/>
    <w:rsid w:val="007E51A5"/>
    <w:rsid w:val="007E7E11"/>
    <w:rsid w:val="007F0F41"/>
    <w:rsid w:val="007F169F"/>
    <w:rsid w:val="007F306F"/>
    <w:rsid w:val="007F3375"/>
    <w:rsid w:val="007F6722"/>
    <w:rsid w:val="007F6996"/>
    <w:rsid w:val="007F7554"/>
    <w:rsid w:val="0080007B"/>
    <w:rsid w:val="00800580"/>
    <w:rsid w:val="008009FF"/>
    <w:rsid w:val="0080180B"/>
    <w:rsid w:val="0080185D"/>
    <w:rsid w:val="00801B42"/>
    <w:rsid w:val="0080277F"/>
    <w:rsid w:val="00802FD2"/>
    <w:rsid w:val="008035E3"/>
    <w:rsid w:val="00803645"/>
    <w:rsid w:val="00805C93"/>
    <w:rsid w:val="0080646B"/>
    <w:rsid w:val="008072D4"/>
    <w:rsid w:val="00807B0E"/>
    <w:rsid w:val="00807BCD"/>
    <w:rsid w:val="00810316"/>
    <w:rsid w:val="00810C97"/>
    <w:rsid w:val="00810E84"/>
    <w:rsid w:val="00813087"/>
    <w:rsid w:val="00813C16"/>
    <w:rsid w:val="00815B1A"/>
    <w:rsid w:val="008163A1"/>
    <w:rsid w:val="00816614"/>
    <w:rsid w:val="00816620"/>
    <w:rsid w:val="0081732F"/>
    <w:rsid w:val="008173AA"/>
    <w:rsid w:val="00821B06"/>
    <w:rsid w:val="008227B9"/>
    <w:rsid w:val="00822871"/>
    <w:rsid w:val="00823BA6"/>
    <w:rsid w:val="00823BF8"/>
    <w:rsid w:val="00824B53"/>
    <w:rsid w:val="00825EB1"/>
    <w:rsid w:val="00825F17"/>
    <w:rsid w:val="0082728A"/>
    <w:rsid w:val="00830214"/>
    <w:rsid w:val="00830B76"/>
    <w:rsid w:val="008312B8"/>
    <w:rsid w:val="00832641"/>
    <w:rsid w:val="00832C2E"/>
    <w:rsid w:val="00832E46"/>
    <w:rsid w:val="00833425"/>
    <w:rsid w:val="0083474E"/>
    <w:rsid w:val="00837ECC"/>
    <w:rsid w:val="00840B52"/>
    <w:rsid w:val="00840EA0"/>
    <w:rsid w:val="0084207A"/>
    <w:rsid w:val="008420EB"/>
    <w:rsid w:val="008428D4"/>
    <w:rsid w:val="00843D83"/>
    <w:rsid w:val="00844633"/>
    <w:rsid w:val="0084528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33B2"/>
    <w:rsid w:val="0085545F"/>
    <w:rsid w:val="00855AC3"/>
    <w:rsid w:val="00855DD4"/>
    <w:rsid w:val="00855FA8"/>
    <w:rsid w:val="0085627B"/>
    <w:rsid w:val="0086008B"/>
    <w:rsid w:val="00860BFC"/>
    <w:rsid w:val="00860C7B"/>
    <w:rsid w:val="008611FF"/>
    <w:rsid w:val="00861638"/>
    <w:rsid w:val="00861FB6"/>
    <w:rsid w:val="008629B6"/>
    <w:rsid w:val="00863311"/>
    <w:rsid w:val="00864B0D"/>
    <w:rsid w:val="00866FEA"/>
    <w:rsid w:val="00870002"/>
    <w:rsid w:val="00870F1D"/>
    <w:rsid w:val="008717BD"/>
    <w:rsid w:val="00871F69"/>
    <w:rsid w:val="008722E5"/>
    <w:rsid w:val="0087275B"/>
    <w:rsid w:val="00873FFF"/>
    <w:rsid w:val="008741E8"/>
    <w:rsid w:val="00874B24"/>
    <w:rsid w:val="00874B8A"/>
    <w:rsid w:val="008754EB"/>
    <w:rsid w:val="00875676"/>
    <w:rsid w:val="00875D54"/>
    <w:rsid w:val="00875F68"/>
    <w:rsid w:val="0087618B"/>
    <w:rsid w:val="0087730E"/>
    <w:rsid w:val="008778A2"/>
    <w:rsid w:val="008779E9"/>
    <w:rsid w:val="0088000D"/>
    <w:rsid w:val="00880BE2"/>
    <w:rsid w:val="00880DBE"/>
    <w:rsid w:val="00880FE3"/>
    <w:rsid w:val="00881074"/>
    <w:rsid w:val="008816BF"/>
    <w:rsid w:val="0088341A"/>
    <w:rsid w:val="008837BA"/>
    <w:rsid w:val="00884775"/>
    <w:rsid w:val="008849BF"/>
    <w:rsid w:val="008878CB"/>
    <w:rsid w:val="00887E8A"/>
    <w:rsid w:val="00887F75"/>
    <w:rsid w:val="00890BCD"/>
    <w:rsid w:val="008927D5"/>
    <w:rsid w:val="008932A8"/>
    <w:rsid w:val="00893678"/>
    <w:rsid w:val="00894693"/>
    <w:rsid w:val="00895F3F"/>
    <w:rsid w:val="0089678B"/>
    <w:rsid w:val="008972F7"/>
    <w:rsid w:val="0089787D"/>
    <w:rsid w:val="00897DAC"/>
    <w:rsid w:val="00897F13"/>
    <w:rsid w:val="00897F65"/>
    <w:rsid w:val="008A1733"/>
    <w:rsid w:val="008A1D39"/>
    <w:rsid w:val="008A1E16"/>
    <w:rsid w:val="008A2629"/>
    <w:rsid w:val="008A26F8"/>
    <w:rsid w:val="008A39C4"/>
    <w:rsid w:val="008A5A51"/>
    <w:rsid w:val="008A6502"/>
    <w:rsid w:val="008B18FD"/>
    <w:rsid w:val="008B206D"/>
    <w:rsid w:val="008B2B8D"/>
    <w:rsid w:val="008B3FE6"/>
    <w:rsid w:val="008B4311"/>
    <w:rsid w:val="008B431E"/>
    <w:rsid w:val="008B4FEB"/>
    <w:rsid w:val="008B5708"/>
    <w:rsid w:val="008B5EF5"/>
    <w:rsid w:val="008B6145"/>
    <w:rsid w:val="008B7FE5"/>
    <w:rsid w:val="008C0C67"/>
    <w:rsid w:val="008C111D"/>
    <w:rsid w:val="008C178B"/>
    <w:rsid w:val="008C1BC7"/>
    <w:rsid w:val="008C2A4D"/>
    <w:rsid w:val="008C37BA"/>
    <w:rsid w:val="008C3840"/>
    <w:rsid w:val="008C70AE"/>
    <w:rsid w:val="008C7266"/>
    <w:rsid w:val="008C75BE"/>
    <w:rsid w:val="008C781C"/>
    <w:rsid w:val="008C7855"/>
    <w:rsid w:val="008D0081"/>
    <w:rsid w:val="008D03E0"/>
    <w:rsid w:val="008D0E03"/>
    <w:rsid w:val="008D1946"/>
    <w:rsid w:val="008D1CF6"/>
    <w:rsid w:val="008D2353"/>
    <w:rsid w:val="008D3078"/>
    <w:rsid w:val="008D3A42"/>
    <w:rsid w:val="008D48C8"/>
    <w:rsid w:val="008D5679"/>
    <w:rsid w:val="008D5A1D"/>
    <w:rsid w:val="008D5C77"/>
    <w:rsid w:val="008E0010"/>
    <w:rsid w:val="008E00EE"/>
    <w:rsid w:val="008E0C4F"/>
    <w:rsid w:val="008E1082"/>
    <w:rsid w:val="008E1562"/>
    <w:rsid w:val="008E2F98"/>
    <w:rsid w:val="008E32C0"/>
    <w:rsid w:val="008E3586"/>
    <w:rsid w:val="008E3BE6"/>
    <w:rsid w:val="008E3EE4"/>
    <w:rsid w:val="008E3F6F"/>
    <w:rsid w:val="008E4538"/>
    <w:rsid w:val="008E4874"/>
    <w:rsid w:val="008E49D5"/>
    <w:rsid w:val="008E58DE"/>
    <w:rsid w:val="008E5E74"/>
    <w:rsid w:val="008F004B"/>
    <w:rsid w:val="008F2254"/>
    <w:rsid w:val="008F4E02"/>
    <w:rsid w:val="008F56EC"/>
    <w:rsid w:val="008F5B84"/>
    <w:rsid w:val="008F697F"/>
    <w:rsid w:val="008F777C"/>
    <w:rsid w:val="00900307"/>
    <w:rsid w:val="0090060E"/>
    <w:rsid w:val="00901B48"/>
    <w:rsid w:val="00902408"/>
    <w:rsid w:val="00903041"/>
    <w:rsid w:val="00903101"/>
    <w:rsid w:val="00905185"/>
    <w:rsid w:val="00905370"/>
    <w:rsid w:val="00906503"/>
    <w:rsid w:val="00907680"/>
    <w:rsid w:val="009077E8"/>
    <w:rsid w:val="009077FF"/>
    <w:rsid w:val="009103C1"/>
    <w:rsid w:val="00911BA0"/>
    <w:rsid w:val="00911D21"/>
    <w:rsid w:val="00914503"/>
    <w:rsid w:val="00916C5B"/>
    <w:rsid w:val="00916E62"/>
    <w:rsid w:val="0092084A"/>
    <w:rsid w:val="00921E2A"/>
    <w:rsid w:val="00921E50"/>
    <w:rsid w:val="0092333A"/>
    <w:rsid w:val="009233C8"/>
    <w:rsid w:val="0092350F"/>
    <w:rsid w:val="0092382C"/>
    <w:rsid w:val="009254F1"/>
    <w:rsid w:val="00925D45"/>
    <w:rsid w:val="00925D89"/>
    <w:rsid w:val="0092762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0D99"/>
    <w:rsid w:val="00941D0C"/>
    <w:rsid w:val="00943DA6"/>
    <w:rsid w:val="00945F08"/>
    <w:rsid w:val="0094774A"/>
    <w:rsid w:val="00950C71"/>
    <w:rsid w:val="00951230"/>
    <w:rsid w:val="00952287"/>
    <w:rsid w:val="00952C61"/>
    <w:rsid w:val="00952E75"/>
    <w:rsid w:val="00953518"/>
    <w:rsid w:val="00955CE1"/>
    <w:rsid w:val="00956633"/>
    <w:rsid w:val="00956D35"/>
    <w:rsid w:val="00957742"/>
    <w:rsid w:val="00957C81"/>
    <w:rsid w:val="00962957"/>
    <w:rsid w:val="00962FAF"/>
    <w:rsid w:val="00963822"/>
    <w:rsid w:val="00963E4D"/>
    <w:rsid w:val="00963ED1"/>
    <w:rsid w:val="00965D3C"/>
    <w:rsid w:val="00965DEC"/>
    <w:rsid w:val="0096602C"/>
    <w:rsid w:val="00966182"/>
    <w:rsid w:val="009661FA"/>
    <w:rsid w:val="00966853"/>
    <w:rsid w:val="00966B34"/>
    <w:rsid w:val="00970D3C"/>
    <w:rsid w:val="00971B9D"/>
    <w:rsid w:val="00971CA4"/>
    <w:rsid w:val="009727C5"/>
    <w:rsid w:val="00972928"/>
    <w:rsid w:val="00974FE6"/>
    <w:rsid w:val="00975F09"/>
    <w:rsid w:val="00976D44"/>
    <w:rsid w:val="0098063F"/>
    <w:rsid w:val="00980F02"/>
    <w:rsid w:val="0098201D"/>
    <w:rsid w:val="0098258C"/>
    <w:rsid w:val="009827CB"/>
    <w:rsid w:val="0098340C"/>
    <w:rsid w:val="00983518"/>
    <w:rsid w:val="00983604"/>
    <w:rsid w:val="009838B2"/>
    <w:rsid w:val="009839C4"/>
    <w:rsid w:val="00984F6F"/>
    <w:rsid w:val="009853D3"/>
    <w:rsid w:val="0098572E"/>
    <w:rsid w:val="009863D3"/>
    <w:rsid w:val="00986813"/>
    <w:rsid w:val="0098690A"/>
    <w:rsid w:val="0098733C"/>
    <w:rsid w:val="009873DC"/>
    <w:rsid w:val="009876B2"/>
    <w:rsid w:val="00991447"/>
    <w:rsid w:val="009917AE"/>
    <w:rsid w:val="00991FA2"/>
    <w:rsid w:val="00992E4A"/>
    <w:rsid w:val="00992FA8"/>
    <w:rsid w:val="00993858"/>
    <w:rsid w:val="00993FA5"/>
    <w:rsid w:val="00994596"/>
    <w:rsid w:val="0099463C"/>
    <w:rsid w:val="009946B9"/>
    <w:rsid w:val="00994D79"/>
    <w:rsid w:val="00995B69"/>
    <w:rsid w:val="0099603A"/>
    <w:rsid w:val="009972B7"/>
    <w:rsid w:val="009A0DAC"/>
    <w:rsid w:val="009A0F50"/>
    <w:rsid w:val="009A1129"/>
    <w:rsid w:val="009A184D"/>
    <w:rsid w:val="009A2F08"/>
    <w:rsid w:val="009A31D4"/>
    <w:rsid w:val="009A43F5"/>
    <w:rsid w:val="009A47FB"/>
    <w:rsid w:val="009A5DB0"/>
    <w:rsid w:val="009A61B8"/>
    <w:rsid w:val="009A6F8A"/>
    <w:rsid w:val="009A70FF"/>
    <w:rsid w:val="009A7438"/>
    <w:rsid w:val="009B0C1E"/>
    <w:rsid w:val="009B1E34"/>
    <w:rsid w:val="009B2760"/>
    <w:rsid w:val="009B33ED"/>
    <w:rsid w:val="009B3539"/>
    <w:rsid w:val="009B3775"/>
    <w:rsid w:val="009B409E"/>
    <w:rsid w:val="009B435E"/>
    <w:rsid w:val="009B4749"/>
    <w:rsid w:val="009B5947"/>
    <w:rsid w:val="009B6748"/>
    <w:rsid w:val="009C0737"/>
    <w:rsid w:val="009C0BC2"/>
    <w:rsid w:val="009C1319"/>
    <w:rsid w:val="009C1B32"/>
    <w:rsid w:val="009C26A7"/>
    <w:rsid w:val="009C2E4B"/>
    <w:rsid w:val="009C37E7"/>
    <w:rsid w:val="009C436E"/>
    <w:rsid w:val="009C446B"/>
    <w:rsid w:val="009C4750"/>
    <w:rsid w:val="009C60D0"/>
    <w:rsid w:val="009C654E"/>
    <w:rsid w:val="009C6D08"/>
    <w:rsid w:val="009C6D90"/>
    <w:rsid w:val="009C7E11"/>
    <w:rsid w:val="009D0301"/>
    <w:rsid w:val="009D0828"/>
    <w:rsid w:val="009D0AF9"/>
    <w:rsid w:val="009D1C07"/>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55A"/>
    <w:rsid w:val="009F1A10"/>
    <w:rsid w:val="009F1F93"/>
    <w:rsid w:val="009F2931"/>
    <w:rsid w:val="009F2A36"/>
    <w:rsid w:val="009F2C5C"/>
    <w:rsid w:val="009F2DF8"/>
    <w:rsid w:val="009F34D1"/>
    <w:rsid w:val="009F4A4D"/>
    <w:rsid w:val="009F4EF4"/>
    <w:rsid w:val="009F5E3B"/>
    <w:rsid w:val="009F60E9"/>
    <w:rsid w:val="009F6275"/>
    <w:rsid w:val="009F7F8B"/>
    <w:rsid w:val="00A00023"/>
    <w:rsid w:val="00A003E6"/>
    <w:rsid w:val="00A01134"/>
    <w:rsid w:val="00A027A8"/>
    <w:rsid w:val="00A03872"/>
    <w:rsid w:val="00A03EAC"/>
    <w:rsid w:val="00A05C83"/>
    <w:rsid w:val="00A05EB1"/>
    <w:rsid w:val="00A06708"/>
    <w:rsid w:val="00A0760D"/>
    <w:rsid w:val="00A077D4"/>
    <w:rsid w:val="00A0789E"/>
    <w:rsid w:val="00A10D29"/>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1C1F"/>
    <w:rsid w:val="00A22B78"/>
    <w:rsid w:val="00A238D7"/>
    <w:rsid w:val="00A24095"/>
    <w:rsid w:val="00A240BB"/>
    <w:rsid w:val="00A24819"/>
    <w:rsid w:val="00A24B66"/>
    <w:rsid w:val="00A24ECF"/>
    <w:rsid w:val="00A25EDF"/>
    <w:rsid w:val="00A26F33"/>
    <w:rsid w:val="00A2705E"/>
    <w:rsid w:val="00A3024E"/>
    <w:rsid w:val="00A30C14"/>
    <w:rsid w:val="00A30FAC"/>
    <w:rsid w:val="00A3195D"/>
    <w:rsid w:val="00A31A42"/>
    <w:rsid w:val="00A321DA"/>
    <w:rsid w:val="00A3278D"/>
    <w:rsid w:val="00A327EA"/>
    <w:rsid w:val="00A3280E"/>
    <w:rsid w:val="00A339BF"/>
    <w:rsid w:val="00A3504D"/>
    <w:rsid w:val="00A356D5"/>
    <w:rsid w:val="00A35CBC"/>
    <w:rsid w:val="00A3700C"/>
    <w:rsid w:val="00A37A44"/>
    <w:rsid w:val="00A40440"/>
    <w:rsid w:val="00A41475"/>
    <w:rsid w:val="00A44BCB"/>
    <w:rsid w:val="00A44F6D"/>
    <w:rsid w:val="00A45888"/>
    <w:rsid w:val="00A46D78"/>
    <w:rsid w:val="00A47B91"/>
    <w:rsid w:val="00A50242"/>
    <w:rsid w:val="00A50C0C"/>
    <w:rsid w:val="00A50EB0"/>
    <w:rsid w:val="00A5116D"/>
    <w:rsid w:val="00A514C2"/>
    <w:rsid w:val="00A5164F"/>
    <w:rsid w:val="00A51D6E"/>
    <w:rsid w:val="00A52642"/>
    <w:rsid w:val="00A526BC"/>
    <w:rsid w:val="00A52FDF"/>
    <w:rsid w:val="00A54402"/>
    <w:rsid w:val="00A54998"/>
    <w:rsid w:val="00A54A05"/>
    <w:rsid w:val="00A54ED3"/>
    <w:rsid w:val="00A60A03"/>
    <w:rsid w:val="00A613AC"/>
    <w:rsid w:val="00A62061"/>
    <w:rsid w:val="00A62B95"/>
    <w:rsid w:val="00A6371D"/>
    <w:rsid w:val="00A65011"/>
    <w:rsid w:val="00A6565C"/>
    <w:rsid w:val="00A659D5"/>
    <w:rsid w:val="00A6603F"/>
    <w:rsid w:val="00A66FA9"/>
    <w:rsid w:val="00A708C4"/>
    <w:rsid w:val="00A70DC6"/>
    <w:rsid w:val="00A70DC8"/>
    <w:rsid w:val="00A7289A"/>
    <w:rsid w:val="00A73942"/>
    <w:rsid w:val="00A73B0D"/>
    <w:rsid w:val="00A73B72"/>
    <w:rsid w:val="00A748C4"/>
    <w:rsid w:val="00A74ADB"/>
    <w:rsid w:val="00A758DA"/>
    <w:rsid w:val="00A76420"/>
    <w:rsid w:val="00A81304"/>
    <w:rsid w:val="00A83162"/>
    <w:rsid w:val="00A83D1B"/>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0CA1"/>
    <w:rsid w:val="00AA144F"/>
    <w:rsid w:val="00AA1554"/>
    <w:rsid w:val="00AA209C"/>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3EDB"/>
    <w:rsid w:val="00AB47A2"/>
    <w:rsid w:val="00AB5164"/>
    <w:rsid w:val="00AB56D8"/>
    <w:rsid w:val="00AB5CBB"/>
    <w:rsid w:val="00AB693A"/>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8C5"/>
    <w:rsid w:val="00AD1D93"/>
    <w:rsid w:val="00AD354A"/>
    <w:rsid w:val="00AD392E"/>
    <w:rsid w:val="00AD401E"/>
    <w:rsid w:val="00AD43B2"/>
    <w:rsid w:val="00AD4488"/>
    <w:rsid w:val="00AD501A"/>
    <w:rsid w:val="00AD5EDA"/>
    <w:rsid w:val="00AD67FC"/>
    <w:rsid w:val="00AD7B26"/>
    <w:rsid w:val="00AD7D63"/>
    <w:rsid w:val="00AD7D70"/>
    <w:rsid w:val="00AE0207"/>
    <w:rsid w:val="00AE0D0F"/>
    <w:rsid w:val="00AE1BAA"/>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6711"/>
    <w:rsid w:val="00AF7017"/>
    <w:rsid w:val="00AF76EC"/>
    <w:rsid w:val="00AF7BCF"/>
    <w:rsid w:val="00AF7D5B"/>
    <w:rsid w:val="00B004FA"/>
    <w:rsid w:val="00B00D84"/>
    <w:rsid w:val="00B00EA8"/>
    <w:rsid w:val="00B029E7"/>
    <w:rsid w:val="00B02BDA"/>
    <w:rsid w:val="00B02C8C"/>
    <w:rsid w:val="00B02F92"/>
    <w:rsid w:val="00B032A1"/>
    <w:rsid w:val="00B04192"/>
    <w:rsid w:val="00B04F08"/>
    <w:rsid w:val="00B06B80"/>
    <w:rsid w:val="00B077CC"/>
    <w:rsid w:val="00B07FB7"/>
    <w:rsid w:val="00B1038B"/>
    <w:rsid w:val="00B1092D"/>
    <w:rsid w:val="00B11232"/>
    <w:rsid w:val="00B11587"/>
    <w:rsid w:val="00B11A67"/>
    <w:rsid w:val="00B12648"/>
    <w:rsid w:val="00B13203"/>
    <w:rsid w:val="00B13CB7"/>
    <w:rsid w:val="00B13DFA"/>
    <w:rsid w:val="00B15480"/>
    <w:rsid w:val="00B15580"/>
    <w:rsid w:val="00B15768"/>
    <w:rsid w:val="00B15ACE"/>
    <w:rsid w:val="00B16686"/>
    <w:rsid w:val="00B17C93"/>
    <w:rsid w:val="00B17CF1"/>
    <w:rsid w:val="00B20DE6"/>
    <w:rsid w:val="00B21C42"/>
    <w:rsid w:val="00B222E0"/>
    <w:rsid w:val="00B23364"/>
    <w:rsid w:val="00B2362D"/>
    <w:rsid w:val="00B23EA6"/>
    <w:rsid w:val="00B24183"/>
    <w:rsid w:val="00B249FB"/>
    <w:rsid w:val="00B24C1D"/>
    <w:rsid w:val="00B2525B"/>
    <w:rsid w:val="00B25905"/>
    <w:rsid w:val="00B27B02"/>
    <w:rsid w:val="00B305FA"/>
    <w:rsid w:val="00B30A50"/>
    <w:rsid w:val="00B31BDC"/>
    <w:rsid w:val="00B31F4F"/>
    <w:rsid w:val="00B33CC1"/>
    <w:rsid w:val="00B33D5B"/>
    <w:rsid w:val="00B33EDC"/>
    <w:rsid w:val="00B3411C"/>
    <w:rsid w:val="00B341D2"/>
    <w:rsid w:val="00B342EB"/>
    <w:rsid w:val="00B34320"/>
    <w:rsid w:val="00B35E7A"/>
    <w:rsid w:val="00B3659D"/>
    <w:rsid w:val="00B37948"/>
    <w:rsid w:val="00B405CE"/>
    <w:rsid w:val="00B42701"/>
    <w:rsid w:val="00B43E52"/>
    <w:rsid w:val="00B448F1"/>
    <w:rsid w:val="00B45217"/>
    <w:rsid w:val="00B46456"/>
    <w:rsid w:val="00B464A3"/>
    <w:rsid w:val="00B46DB4"/>
    <w:rsid w:val="00B4723C"/>
    <w:rsid w:val="00B50005"/>
    <w:rsid w:val="00B511F9"/>
    <w:rsid w:val="00B52EB1"/>
    <w:rsid w:val="00B53C37"/>
    <w:rsid w:val="00B53FB6"/>
    <w:rsid w:val="00B54425"/>
    <w:rsid w:val="00B54BA5"/>
    <w:rsid w:val="00B550DB"/>
    <w:rsid w:val="00B55476"/>
    <w:rsid w:val="00B555B8"/>
    <w:rsid w:val="00B56479"/>
    <w:rsid w:val="00B578BD"/>
    <w:rsid w:val="00B57FC2"/>
    <w:rsid w:val="00B606C1"/>
    <w:rsid w:val="00B607F1"/>
    <w:rsid w:val="00B614B8"/>
    <w:rsid w:val="00B61E6B"/>
    <w:rsid w:val="00B628CF"/>
    <w:rsid w:val="00B6403A"/>
    <w:rsid w:val="00B6416B"/>
    <w:rsid w:val="00B64A0F"/>
    <w:rsid w:val="00B6581E"/>
    <w:rsid w:val="00B65A77"/>
    <w:rsid w:val="00B65D23"/>
    <w:rsid w:val="00B66093"/>
    <w:rsid w:val="00B668A7"/>
    <w:rsid w:val="00B66BD4"/>
    <w:rsid w:val="00B67910"/>
    <w:rsid w:val="00B70F37"/>
    <w:rsid w:val="00B712C7"/>
    <w:rsid w:val="00B71D6D"/>
    <w:rsid w:val="00B72274"/>
    <w:rsid w:val="00B727C3"/>
    <w:rsid w:val="00B72935"/>
    <w:rsid w:val="00B74869"/>
    <w:rsid w:val="00B75177"/>
    <w:rsid w:val="00B75A97"/>
    <w:rsid w:val="00B75DB6"/>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069"/>
    <w:rsid w:val="00B937BD"/>
    <w:rsid w:val="00B93FC6"/>
    <w:rsid w:val="00B9448A"/>
    <w:rsid w:val="00B953A0"/>
    <w:rsid w:val="00B959E5"/>
    <w:rsid w:val="00B96D4B"/>
    <w:rsid w:val="00B97A37"/>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4392"/>
    <w:rsid w:val="00BD2655"/>
    <w:rsid w:val="00BD3614"/>
    <w:rsid w:val="00BD49A3"/>
    <w:rsid w:val="00BD6921"/>
    <w:rsid w:val="00BD73CB"/>
    <w:rsid w:val="00BD7441"/>
    <w:rsid w:val="00BD7E4F"/>
    <w:rsid w:val="00BE0793"/>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3BA8"/>
    <w:rsid w:val="00BF57DC"/>
    <w:rsid w:val="00BF580F"/>
    <w:rsid w:val="00BF6218"/>
    <w:rsid w:val="00BF6455"/>
    <w:rsid w:val="00BF7A38"/>
    <w:rsid w:val="00C00EB6"/>
    <w:rsid w:val="00C011F7"/>
    <w:rsid w:val="00C017D3"/>
    <w:rsid w:val="00C0187E"/>
    <w:rsid w:val="00C018EF"/>
    <w:rsid w:val="00C01D62"/>
    <w:rsid w:val="00C0357B"/>
    <w:rsid w:val="00C04680"/>
    <w:rsid w:val="00C04AC0"/>
    <w:rsid w:val="00C057FD"/>
    <w:rsid w:val="00C05B0D"/>
    <w:rsid w:val="00C07AC6"/>
    <w:rsid w:val="00C10007"/>
    <w:rsid w:val="00C10682"/>
    <w:rsid w:val="00C10A73"/>
    <w:rsid w:val="00C1202B"/>
    <w:rsid w:val="00C12155"/>
    <w:rsid w:val="00C12723"/>
    <w:rsid w:val="00C12A84"/>
    <w:rsid w:val="00C12D62"/>
    <w:rsid w:val="00C131DB"/>
    <w:rsid w:val="00C138CF"/>
    <w:rsid w:val="00C1455E"/>
    <w:rsid w:val="00C15CA0"/>
    <w:rsid w:val="00C15CF0"/>
    <w:rsid w:val="00C17208"/>
    <w:rsid w:val="00C17D62"/>
    <w:rsid w:val="00C2016C"/>
    <w:rsid w:val="00C22172"/>
    <w:rsid w:val="00C228D1"/>
    <w:rsid w:val="00C2356D"/>
    <w:rsid w:val="00C2375F"/>
    <w:rsid w:val="00C23B89"/>
    <w:rsid w:val="00C2471B"/>
    <w:rsid w:val="00C249E9"/>
    <w:rsid w:val="00C24E26"/>
    <w:rsid w:val="00C25075"/>
    <w:rsid w:val="00C2513F"/>
    <w:rsid w:val="00C251EA"/>
    <w:rsid w:val="00C257C1"/>
    <w:rsid w:val="00C267AF"/>
    <w:rsid w:val="00C26CB0"/>
    <w:rsid w:val="00C2738A"/>
    <w:rsid w:val="00C31337"/>
    <w:rsid w:val="00C31B6E"/>
    <w:rsid w:val="00C33550"/>
    <w:rsid w:val="00C33810"/>
    <w:rsid w:val="00C33A8B"/>
    <w:rsid w:val="00C350EB"/>
    <w:rsid w:val="00C356ED"/>
    <w:rsid w:val="00C35ECE"/>
    <w:rsid w:val="00C40F7C"/>
    <w:rsid w:val="00C41D3C"/>
    <w:rsid w:val="00C43FE2"/>
    <w:rsid w:val="00C4439C"/>
    <w:rsid w:val="00C4654C"/>
    <w:rsid w:val="00C466B2"/>
    <w:rsid w:val="00C46E3F"/>
    <w:rsid w:val="00C47153"/>
    <w:rsid w:val="00C4789D"/>
    <w:rsid w:val="00C47A25"/>
    <w:rsid w:val="00C511C4"/>
    <w:rsid w:val="00C52262"/>
    <w:rsid w:val="00C53E65"/>
    <w:rsid w:val="00C53F57"/>
    <w:rsid w:val="00C55321"/>
    <w:rsid w:val="00C55E81"/>
    <w:rsid w:val="00C561AE"/>
    <w:rsid w:val="00C569DF"/>
    <w:rsid w:val="00C57ACB"/>
    <w:rsid w:val="00C57DF4"/>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129"/>
    <w:rsid w:val="00C8392C"/>
    <w:rsid w:val="00C8504B"/>
    <w:rsid w:val="00C855D9"/>
    <w:rsid w:val="00C87453"/>
    <w:rsid w:val="00C90BDF"/>
    <w:rsid w:val="00C91390"/>
    <w:rsid w:val="00C92FA0"/>
    <w:rsid w:val="00C94864"/>
    <w:rsid w:val="00C94AB6"/>
    <w:rsid w:val="00C95BFA"/>
    <w:rsid w:val="00C97552"/>
    <w:rsid w:val="00C97925"/>
    <w:rsid w:val="00CA05D2"/>
    <w:rsid w:val="00CA1669"/>
    <w:rsid w:val="00CA17DD"/>
    <w:rsid w:val="00CA2E38"/>
    <w:rsid w:val="00CA2E53"/>
    <w:rsid w:val="00CA441A"/>
    <w:rsid w:val="00CA4BB3"/>
    <w:rsid w:val="00CA5C62"/>
    <w:rsid w:val="00CA61E5"/>
    <w:rsid w:val="00CA6243"/>
    <w:rsid w:val="00CA6FB0"/>
    <w:rsid w:val="00CA70A7"/>
    <w:rsid w:val="00CA71BC"/>
    <w:rsid w:val="00CA7501"/>
    <w:rsid w:val="00CB0191"/>
    <w:rsid w:val="00CB0E6B"/>
    <w:rsid w:val="00CB109F"/>
    <w:rsid w:val="00CB1484"/>
    <w:rsid w:val="00CB1A96"/>
    <w:rsid w:val="00CB1DD0"/>
    <w:rsid w:val="00CB28CF"/>
    <w:rsid w:val="00CB5C83"/>
    <w:rsid w:val="00CB5FE5"/>
    <w:rsid w:val="00CB69F2"/>
    <w:rsid w:val="00CB6DE0"/>
    <w:rsid w:val="00CB6F03"/>
    <w:rsid w:val="00CB7445"/>
    <w:rsid w:val="00CC02EB"/>
    <w:rsid w:val="00CC0981"/>
    <w:rsid w:val="00CC1C16"/>
    <w:rsid w:val="00CC20F9"/>
    <w:rsid w:val="00CC2798"/>
    <w:rsid w:val="00CC48A5"/>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1B5"/>
    <w:rsid w:val="00CE420C"/>
    <w:rsid w:val="00CE4D9B"/>
    <w:rsid w:val="00CE5A8C"/>
    <w:rsid w:val="00CE5ABD"/>
    <w:rsid w:val="00CE61C7"/>
    <w:rsid w:val="00CE634F"/>
    <w:rsid w:val="00CE69F2"/>
    <w:rsid w:val="00CE706E"/>
    <w:rsid w:val="00CF00D4"/>
    <w:rsid w:val="00CF071E"/>
    <w:rsid w:val="00CF0727"/>
    <w:rsid w:val="00CF1F05"/>
    <w:rsid w:val="00CF2712"/>
    <w:rsid w:val="00CF36EF"/>
    <w:rsid w:val="00CF3761"/>
    <w:rsid w:val="00CF39D2"/>
    <w:rsid w:val="00CF3C2A"/>
    <w:rsid w:val="00CF4BC2"/>
    <w:rsid w:val="00CF4DAF"/>
    <w:rsid w:val="00CF4E71"/>
    <w:rsid w:val="00CF55A0"/>
    <w:rsid w:val="00CF5FB9"/>
    <w:rsid w:val="00CF6DD8"/>
    <w:rsid w:val="00CF7D8C"/>
    <w:rsid w:val="00D00E7A"/>
    <w:rsid w:val="00D0113F"/>
    <w:rsid w:val="00D01BC1"/>
    <w:rsid w:val="00D02C3A"/>
    <w:rsid w:val="00D0457F"/>
    <w:rsid w:val="00D05260"/>
    <w:rsid w:val="00D055E9"/>
    <w:rsid w:val="00D05D79"/>
    <w:rsid w:val="00D05E22"/>
    <w:rsid w:val="00D06433"/>
    <w:rsid w:val="00D06B19"/>
    <w:rsid w:val="00D06F1A"/>
    <w:rsid w:val="00D077AE"/>
    <w:rsid w:val="00D078C8"/>
    <w:rsid w:val="00D10552"/>
    <w:rsid w:val="00D1056B"/>
    <w:rsid w:val="00D10F74"/>
    <w:rsid w:val="00D12A4E"/>
    <w:rsid w:val="00D12AF4"/>
    <w:rsid w:val="00D13E87"/>
    <w:rsid w:val="00D1412D"/>
    <w:rsid w:val="00D14875"/>
    <w:rsid w:val="00D14CEE"/>
    <w:rsid w:val="00D15F70"/>
    <w:rsid w:val="00D16979"/>
    <w:rsid w:val="00D16BAC"/>
    <w:rsid w:val="00D17477"/>
    <w:rsid w:val="00D178E8"/>
    <w:rsid w:val="00D200E4"/>
    <w:rsid w:val="00D2193A"/>
    <w:rsid w:val="00D21A57"/>
    <w:rsid w:val="00D230A6"/>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0CDE"/>
    <w:rsid w:val="00D31049"/>
    <w:rsid w:val="00D31464"/>
    <w:rsid w:val="00D3325F"/>
    <w:rsid w:val="00D346D4"/>
    <w:rsid w:val="00D3584A"/>
    <w:rsid w:val="00D35CF8"/>
    <w:rsid w:val="00D36070"/>
    <w:rsid w:val="00D36514"/>
    <w:rsid w:val="00D36C7D"/>
    <w:rsid w:val="00D36FBF"/>
    <w:rsid w:val="00D40444"/>
    <w:rsid w:val="00D4076B"/>
    <w:rsid w:val="00D40D44"/>
    <w:rsid w:val="00D425D7"/>
    <w:rsid w:val="00D43824"/>
    <w:rsid w:val="00D4393B"/>
    <w:rsid w:val="00D43AD9"/>
    <w:rsid w:val="00D44CBE"/>
    <w:rsid w:val="00D44D13"/>
    <w:rsid w:val="00D44D2A"/>
    <w:rsid w:val="00D44FAC"/>
    <w:rsid w:val="00D45617"/>
    <w:rsid w:val="00D47E9A"/>
    <w:rsid w:val="00D50023"/>
    <w:rsid w:val="00D5014D"/>
    <w:rsid w:val="00D510DA"/>
    <w:rsid w:val="00D51109"/>
    <w:rsid w:val="00D52AF0"/>
    <w:rsid w:val="00D52E3B"/>
    <w:rsid w:val="00D53511"/>
    <w:rsid w:val="00D54A61"/>
    <w:rsid w:val="00D5535D"/>
    <w:rsid w:val="00D57460"/>
    <w:rsid w:val="00D57AD2"/>
    <w:rsid w:val="00D60656"/>
    <w:rsid w:val="00D6111F"/>
    <w:rsid w:val="00D61791"/>
    <w:rsid w:val="00D61EEA"/>
    <w:rsid w:val="00D627F2"/>
    <w:rsid w:val="00D62B98"/>
    <w:rsid w:val="00D62CEE"/>
    <w:rsid w:val="00D63E3C"/>
    <w:rsid w:val="00D63F85"/>
    <w:rsid w:val="00D6546D"/>
    <w:rsid w:val="00D65B14"/>
    <w:rsid w:val="00D65D0D"/>
    <w:rsid w:val="00D66C40"/>
    <w:rsid w:val="00D70D57"/>
    <w:rsid w:val="00D71A2C"/>
    <w:rsid w:val="00D71E2A"/>
    <w:rsid w:val="00D72483"/>
    <w:rsid w:val="00D727D8"/>
    <w:rsid w:val="00D73B08"/>
    <w:rsid w:val="00D74CBB"/>
    <w:rsid w:val="00D751EB"/>
    <w:rsid w:val="00D75E7A"/>
    <w:rsid w:val="00D76D9A"/>
    <w:rsid w:val="00D77249"/>
    <w:rsid w:val="00D77377"/>
    <w:rsid w:val="00D773C1"/>
    <w:rsid w:val="00D77A92"/>
    <w:rsid w:val="00D77B92"/>
    <w:rsid w:val="00D80FD0"/>
    <w:rsid w:val="00D8104F"/>
    <w:rsid w:val="00D81C77"/>
    <w:rsid w:val="00D81EEC"/>
    <w:rsid w:val="00D8268E"/>
    <w:rsid w:val="00D829CE"/>
    <w:rsid w:val="00D82D0A"/>
    <w:rsid w:val="00D833A5"/>
    <w:rsid w:val="00D84085"/>
    <w:rsid w:val="00D857A8"/>
    <w:rsid w:val="00D8693A"/>
    <w:rsid w:val="00D86977"/>
    <w:rsid w:val="00D86F0F"/>
    <w:rsid w:val="00D87F16"/>
    <w:rsid w:val="00D91433"/>
    <w:rsid w:val="00D91A13"/>
    <w:rsid w:val="00D9288B"/>
    <w:rsid w:val="00D9307E"/>
    <w:rsid w:val="00D95526"/>
    <w:rsid w:val="00D96A88"/>
    <w:rsid w:val="00D96C52"/>
    <w:rsid w:val="00D974F6"/>
    <w:rsid w:val="00D9750E"/>
    <w:rsid w:val="00D976E6"/>
    <w:rsid w:val="00DA0534"/>
    <w:rsid w:val="00DA1831"/>
    <w:rsid w:val="00DA1A45"/>
    <w:rsid w:val="00DA267B"/>
    <w:rsid w:val="00DA45E9"/>
    <w:rsid w:val="00DA53D2"/>
    <w:rsid w:val="00DA560D"/>
    <w:rsid w:val="00DA70B4"/>
    <w:rsid w:val="00DA7B7F"/>
    <w:rsid w:val="00DA7CA8"/>
    <w:rsid w:val="00DA7F6C"/>
    <w:rsid w:val="00DB1CE4"/>
    <w:rsid w:val="00DB2BC7"/>
    <w:rsid w:val="00DB2DE0"/>
    <w:rsid w:val="00DB312B"/>
    <w:rsid w:val="00DB337C"/>
    <w:rsid w:val="00DB5593"/>
    <w:rsid w:val="00DB6102"/>
    <w:rsid w:val="00DB6BF1"/>
    <w:rsid w:val="00DB6CE4"/>
    <w:rsid w:val="00DB6D48"/>
    <w:rsid w:val="00DB7D9F"/>
    <w:rsid w:val="00DC057F"/>
    <w:rsid w:val="00DC0740"/>
    <w:rsid w:val="00DC12A4"/>
    <w:rsid w:val="00DC131E"/>
    <w:rsid w:val="00DC2E29"/>
    <w:rsid w:val="00DC4216"/>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D745C"/>
    <w:rsid w:val="00DE0680"/>
    <w:rsid w:val="00DE18A6"/>
    <w:rsid w:val="00DE2140"/>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238"/>
    <w:rsid w:val="00DF6A02"/>
    <w:rsid w:val="00E00252"/>
    <w:rsid w:val="00E003DE"/>
    <w:rsid w:val="00E01EFE"/>
    <w:rsid w:val="00E033EB"/>
    <w:rsid w:val="00E05429"/>
    <w:rsid w:val="00E05491"/>
    <w:rsid w:val="00E05A24"/>
    <w:rsid w:val="00E05B06"/>
    <w:rsid w:val="00E06598"/>
    <w:rsid w:val="00E067A6"/>
    <w:rsid w:val="00E1015E"/>
    <w:rsid w:val="00E10D3C"/>
    <w:rsid w:val="00E11988"/>
    <w:rsid w:val="00E12476"/>
    <w:rsid w:val="00E128C3"/>
    <w:rsid w:val="00E12ECC"/>
    <w:rsid w:val="00E138AF"/>
    <w:rsid w:val="00E14266"/>
    <w:rsid w:val="00E15243"/>
    <w:rsid w:val="00E15833"/>
    <w:rsid w:val="00E161D2"/>
    <w:rsid w:val="00E169F4"/>
    <w:rsid w:val="00E16F9E"/>
    <w:rsid w:val="00E174DA"/>
    <w:rsid w:val="00E21E6F"/>
    <w:rsid w:val="00E22899"/>
    <w:rsid w:val="00E228B8"/>
    <w:rsid w:val="00E23D0C"/>
    <w:rsid w:val="00E23E50"/>
    <w:rsid w:val="00E25382"/>
    <w:rsid w:val="00E253E0"/>
    <w:rsid w:val="00E259E7"/>
    <w:rsid w:val="00E262E2"/>
    <w:rsid w:val="00E27E5B"/>
    <w:rsid w:val="00E30389"/>
    <w:rsid w:val="00E30500"/>
    <w:rsid w:val="00E30E0B"/>
    <w:rsid w:val="00E32226"/>
    <w:rsid w:val="00E328B1"/>
    <w:rsid w:val="00E342F9"/>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4CB"/>
    <w:rsid w:val="00E527D1"/>
    <w:rsid w:val="00E52D91"/>
    <w:rsid w:val="00E53389"/>
    <w:rsid w:val="00E545E4"/>
    <w:rsid w:val="00E54F9F"/>
    <w:rsid w:val="00E54FC8"/>
    <w:rsid w:val="00E5539D"/>
    <w:rsid w:val="00E553F4"/>
    <w:rsid w:val="00E555BF"/>
    <w:rsid w:val="00E55A02"/>
    <w:rsid w:val="00E600CA"/>
    <w:rsid w:val="00E60AA3"/>
    <w:rsid w:val="00E61D18"/>
    <w:rsid w:val="00E61EC7"/>
    <w:rsid w:val="00E62302"/>
    <w:rsid w:val="00E6275C"/>
    <w:rsid w:val="00E63CF3"/>
    <w:rsid w:val="00E64101"/>
    <w:rsid w:val="00E642E3"/>
    <w:rsid w:val="00E647C6"/>
    <w:rsid w:val="00E64A75"/>
    <w:rsid w:val="00E6516A"/>
    <w:rsid w:val="00E65CA7"/>
    <w:rsid w:val="00E66CB8"/>
    <w:rsid w:val="00E67565"/>
    <w:rsid w:val="00E67E9F"/>
    <w:rsid w:val="00E67F84"/>
    <w:rsid w:val="00E70EA2"/>
    <w:rsid w:val="00E715FF"/>
    <w:rsid w:val="00E71B79"/>
    <w:rsid w:val="00E72CEC"/>
    <w:rsid w:val="00E73CC1"/>
    <w:rsid w:val="00E74706"/>
    <w:rsid w:val="00E75736"/>
    <w:rsid w:val="00E75F05"/>
    <w:rsid w:val="00E76617"/>
    <w:rsid w:val="00E76ADB"/>
    <w:rsid w:val="00E76BAC"/>
    <w:rsid w:val="00E76C13"/>
    <w:rsid w:val="00E76EC2"/>
    <w:rsid w:val="00E76FA4"/>
    <w:rsid w:val="00E7794A"/>
    <w:rsid w:val="00E8015D"/>
    <w:rsid w:val="00E80D27"/>
    <w:rsid w:val="00E83653"/>
    <w:rsid w:val="00E83EA1"/>
    <w:rsid w:val="00E83FAA"/>
    <w:rsid w:val="00E8473F"/>
    <w:rsid w:val="00E85BEA"/>
    <w:rsid w:val="00E85D29"/>
    <w:rsid w:val="00E8697F"/>
    <w:rsid w:val="00E87698"/>
    <w:rsid w:val="00E877B4"/>
    <w:rsid w:val="00E87FDA"/>
    <w:rsid w:val="00E90004"/>
    <w:rsid w:val="00E9098E"/>
    <w:rsid w:val="00E90D5D"/>
    <w:rsid w:val="00E912A3"/>
    <w:rsid w:val="00E91E2D"/>
    <w:rsid w:val="00E945FB"/>
    <w:rsid w:val="00E951A6"/>
    <w:rsid w:val="00E95839"/>
    <w:rsid w:val="00E97396"/>
    <w:rsid w:val="00EA039B"/>
    <w:rsid w:val="00EA0E55"/>
    <w:rsid w:val="00EA1279"/>
    <w:rsid w:val="00EA1457"/>
    <w:rsid w:val="00EA30A6"/>
    <w:rsid w:val="00EA3FAA"/>
    <w:rsid w:val="00EA4E24"/>
    <w:rsid w:val="00EA66E1"/>
    <w:rsid w:val="00EA69B6"/>
    <w:rsid w:val="00EB1364"/>
    <w:rsid w:val="00EB15F0"/>
    <w:rsid w:val="00EB17DA"/>
    <w:rsid w:val="00EB273D"/>
    <w:rsid w:val="00EB2D26"/>
    <w:rsid w:val="00EB306E"/>
    <w:rsid w:val="00EB48A8"/>
    <w:rsid w:val="00EB4D67"/>
    <w:rsid w:val="00EB563B"/>
    <w:rsid w:val="00EB5E79"/>
    <w:rsid w:val="00EB67CA"/>
    <w:rsid w:val="00EB77FA"/>
    <w:rsid w:val="00EC01A9"/>
    <w:rsid w:val="00EC08AF"/>
    <w:rsid w:val="00EC0AF6"/>
    <w:rsid w:val="00EC1B83"/>
    <w:rsid w:val="00EC1F59"/>
    <w:rsid w:val="00EC30C4"/>
    <w:rsid w:val="00EC30CC"/>
    <w:rsid w:val="00EC3688"/>
    <w:rsid w:val="00EC59F0"/>
    <w:rsid w:val="00EC5E85"/>
    <w:rsid w:val="00EC604A"/>
    <w:rsid w:val="00EC61D9"/>
    <w:rsid w:val="00EC7317"/>
    <w:rsid w:val="00EC7E71"/>
    <w:rsid w:val="00EC7F4C"/>
    <w:rsid w:val="00ED0A2D"/>
    <w:rsid w:val="00ED1B8E"/>
    <w:rsid w:val="00ED21E7"/>
    <w:rsid w:val="00ED22AE"/>
    <w:rsid w:val="00ED2F89"/>
    <w:rsid w:val="00ED2FCF"/>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19A"/>
    <w:rsid w:val="00F05298"/>
    <w:rsid w:val="00F05C14"/>
    <w:rsid w:val="00F06ABC"/>
    <w:rsid w:val="00F07504"/>
    <w:rsid w:val="00F07567"/>
    <w:rsid w:val="00F10354"/>
    <w:rsid w:val="00F1115C"/>
    <w:rsid w:val="00F153C6"/>
    <w:rsid w:val="00F155BD"/>
    <w:rsid w:val="00F15659"/>
    <w:rsid w:val="00F16857"/>
    <w:rsid w:val="00F16D7B"/>
    <w:rsid w:val="00F17FD3"/>
    <w:rsid w:val="00F20261"/>
    <w:rsid w:val="00F20689"/>
    <w:rsid w:val="00F20AD1"/>
    <w:rsid w:val="00F20DC5"/>
    <w:rsid w:val="00F2131D"/>
    <w:rsid w:val="00F215D2"/>
    <w:rsid w:val="00F217D4"/>
    <w:rsid w:val="00F2259D"/>
    <w:rsid w:val="00F2262D"/>
    <w:rsid w:val="00F2273E"/>
    <w:rsid w:val="00F22AE3"/>
    <w:rsid w:val="00F23F7D"/>
    <w:rsid w:val="00F26306"/>
    <w:rsid w:val="00F27207"/>
    <w:rsid w:val="00F3060C"/>
    <w:rsid w:val="00F31372"/>
    <w:rsid w:val="00F3188B"/>
    <w:rsid w:val="00F320CE"/>
    <w:rsid w:val="00F32296"/>
    <w:rsid w:val="00F32638"/>
    <w:rsid w:val="00F33854"/>
    <w:rsid w:val="00F33CC0"/>
    <w:rsid w:val="00F34141"/>
    <w:rsid w:val="00F346A3"/>
    <w:rsid w:val="00F34BBE"/>
    <w:rsid w:val="00F34FE0"/>
    <w:rsid w:val="00F35B6D"/>
    <w:rsid w:val="00F36A15"/>
    <w:rsid w:val="00F377DC"/>
    <w:rsid w:val="00F40B5B"/>
    <w:rsid w:val="00F4121F"/>
    <w:rsid w:val="00F417CB"/>
    <w:rsid w:val="00F41B4C"/>
    <w:rsid w:val="00F41BF6"/>
    <w:rsid w:val="00F41CA6"/>
    <w:rsid w:val="00F427ED"/>
    <w:rsid w:val="00F427FC"/>
    <w:rsid w:val="00F42B59"/>
    <w:rsid w:val="00F4340B"/>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56832"/>
    <w:rsid w:val="00F6005E"/>
    <w:rsid w:val="00F6189B"/>
    <w:rsid w:val="00F63C70"/>
    <w:rsid w:val="00F64154"/>
    <w:rsid w:val="00F64945"/>
    <w:rsid w:val="00F64D4C"/>
    <w:rsid w:val="00F6549B"/>
    <w:rsid w:val="00F65C9D"/>
    <w:rsid w:val="00F65F20"/>
    <w:rsid w:val="00F66494"/>
    <w:rsid w:val="00F664B2"/>
    <w:rsid w:val="00F700E3"/>
    <w:rsid w:val="00F702DD"/>
    <w:rsid w:val="00F703AD"/>
    <w:rsid w:val="00F7120A"/>
    <w:rsid w:val="00F715CF"/>
    <w:rsid w:val="00F71E0C"/>
    <w:rsid w:val="00F720E2"/>
    <w:rsid w:val="00F736CB"/>
    <w:rsid w:val="00F73FAA"/>
    <w:rsid w:val="00F74E71"/>
    <w:rsid w:val="00F75D23"/>
    <w:rsid w:val="00F767DF"/>
    <w:rsid w:val="00F76C94"/>
    <w:rsid w:val="00F76CDC"/>
    <w:rsid w:val="00F8315C"/>
    <w:rsid w:val="00F84219"/>
    <w:rsid w:val="00F84A72"/>
    <w:rsid w:val="00F8506F"/>
    <w:rsid w:val="00F854C8"/>
    <w:rsid w:val="00F8594D"/>
    <w:rsid w:val="00F86012"/>
    <w:rsid w:val="00F8643A"/>
    <w:rsid w:val="00F866A8"/>
    <w:rsid w:val="00F87E20"/>
    <w:rsid w:val="00F91887"/>
    <w:rsid w:val="00F91BD8"/>
    <w:rsid w:val="00F92E71"/>
    <w:rsid w:val="00F9319F"/>
    <w:rsid w:val="00F935A4"/>
    <w:rsid w:val="00F938B4"/>
    <w:rsid w:val="00F94247"/>
    <w:rsid w:val="00F9437D"/>
    <w:rsid w:val="00F946D9"/>
    <w:rsid w:val="00F94C14"/>
    <w:rsid w:val="00F94F37"/>
    <w:rsid w:val="00F94FFE"/>
    <w:rsid w:val="00F96A56"/>
    <w:rsid w:val="00F96DA8"/>
    <w:rsid w:val="00FA0183"/>
    <w:rsid w:val="00FA14C0"/>
    <w:rsid w:val="00FA153E"/>
    <w:rsid w:val="00FA178E"/>
    <w:rsid w:val="00FA278D"/>
    <w:rsid w:val="00FA3154"/>
    <w:rsid w:val="00FA320E"/>
    <w:rsid w:val="00FA537A"/>
    <w:rsid w:val="00FA597D"/>
    <w:rsid w:val="00FA5F16"/>
    <w:rsid w:val="00FA74C5"/>
    <w:rsid w:val="00FA79C7"/>
    <w:rsid w:val="00FA7CDB"/>
    <w:rsid w:val="00FB1E63"/>
    <w:rsid w:val="00FB32C2"/>
    <w:rsid w:val="00FB38AF"/>
    <w:rsid w:val="00FB5225"/>
    <w:rsid w:val="00FB5B3F"/>
    <w:rsid w:val="00FB5CD0"/>
    <w:rsid w:val="00FB63C7"/>
    <w:rsid w:val="00FB71C4"/>
    <w:rsid w:val="00FB7358"/>
    <w:rsid w:val="00FB7A3C"/>
    <w:rsid w:val="00FB7D1A"/>
    <w:rsid w:val="00FC0C89"/>
    <w:rsid w:val="00FC1EC1"/>
    <w:rsid w:val="00FC22A6"/>
    <w:rsid w:val="00FC3408"/>
    <w:rsid w:val="00FC3C97"/>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6F0"/>
    <w:rsid w:val="00FE1755"/>
    <w:rsid w:val="00FE1819"/>
    <w:rsid w:val="00FE1B91"/>
    <w:rsid w:val="00FE1DB5"/>
    <w:rsid w:val="00FE28B8"/>
    <w:rsid w:val="00FE2B7D"/>
    <w:rsid w:val="00FE39BB"/>
    <w:rsid w:val="00FE3AFF"/>
    <w:rsid w:val="00FE3B8D"/>
    <w:rsid w:val="00FE4E08"/>
    <w:rsid w:val="00FE5B21"/>
    <w:rsid w:val="00FE5DDF"/>
    <w:rsid w:val="00FE5FEB"/>
    <w:rsid w:val="00FE6B12"/>
    <w:rsid w:val="00FE780D"/>
    <w:rsid w:val="00FE7D09"/>
    <w:rsid w:val="00FF424C"/>
    <w:rsid w:val="00FF4DE0"/>
    <w:rsid w:val="00FF636D"/>
    <w:rsid w:val="00FF64F2"/>
    <w:rsid w:val="00FF6C7B"/>
    <w:rsid w:val="00FF748B"/>
    <w:rsid w:val="01031673"/>
    <w:rsid w:val="015A2F9D"/>
    <w:rsid w:val="016B2414"/>
    <w:rsid w:val="019B6E5B"/>
    <w:rsid w:val="01A572C2"/>
    <w:rsid w:val="01AA7E2D"/>
    <w:rsid w:val="0223372C"/>
    <w:rsid w:val="024E7BB8"/>
    <w:rsid w:val="02724107"/>
    <w:rsid w:val="02873BB9"/>
    <w:rsid w:val="028B00DF"/>
    <w:rsid w:val="02A12EA7"/>
    <w:rsid w:val="03134554"/>
    <w:rsid w:val="03615227"/>
    <w:rsid w:val="036411A9"/>
    <w:rsid w:val="036909A2"/>
    <w:rsid w:val="03770B2F"/>
    <w:rsid w:val="037E62D4"/>
    <w:rsid w:val="03B32626"/>
    <w:rsid w:val="03C44E26"/>
    <w:rsid w:val="044847DB"/>
    <w:rsid w:val="044E4D07"/>
    <w:rsid w:val="048E4E2C"/>
    <w:rsid w:val="04920992"/>
    <w:rsid w:val="04A520D3"/>
    <w:rsid w:val="055F2BD0"/>
    <w:rsid w:val="05812923"/>
    <w:rsid w:val="05876C93"/>
    <w:rsid w:val="05CE051B"/>
    <w:rsid w:val="05F186D1"/>
    <w:rsid w:val="05F53D8C"/>
    <w:rsid w:val="061C162C"/>
    <w:rsid w:val="061C7244"/>
    <w:rsid w:val="068A028B"/>
    <w:rsid w:val="07240178"/>
    <w:rsid w:val="073A3B94"/>
    <w:rsid w:val="07517424"/>
    <w:rsid w:val="078C5B39"/>
    <w:rsid w:val="07BA496F"/>
    <w:rsid w:val="07D7585B"/>
    <w:rsid w:val="07FE3355"/>
    <w:rsid w:val="083C630F"/>
    <w:rsid w:val="0842770C"/>
    <w:rsid w:val="0880670A"/>
    <w:rsid w:val="08C25FDC"/>
    <w:rsid w:val="08F905C3"/>
    <w:rsid w:val="09372EA4"/>
    <w:rsid w:val="09991DF2"/>
    <w:rsid w:val="0A305AF7"/>
    <w:rsid w:val="0A3D0E73"/>
    <w:rsid w:val="0AB045B2"/>
    <w:rsid w:val="0AC576BE"/>
    <w:rsid w:val="0AEF24C8"/>
    <w:rsid w:val="0B0B56B1"/>
    <w:rsid w:val="0B660459"/>
    <w:rsid w:val="0B8C1EB1"/>
    <w:rsid w:val="0BA76793"/>
    <w:rsid w:val="0C4B4CC5"/>
    <w:rsid w:val="0C6002A2"/>
    <w:rsid w:val="0C7F00FE"/>
    <w:rsid w:val="0C803340"/>
    <w:rsid w:val="0CE11D04"/>
    <w:rsid w:val="0CE403CA"/>
    <w:rsid w:val="0D66338C"/>
    <w:rsid w:val="0DA60AB5"/>
    <w:rsid w:val="0DAA0122"/>
    <w:rsid w:val="0DAD20B0"/>
    <w:rsid w:val="0DBF2A6A"/>
    <w:rsid w:val="0E2B27FF"/>
    <w:rsid w:val="0EEE3A8A"/>
    <w:rsid w:val="0F1738A1"/>
    <w:rsid w:val="0F5B6276"/>
    <w:rsid w:val="0F653D3B"/>
    <w:rsid w:val="0F7C18C3"/>
    <w:rsid w:val="0F8A0EB4"/>
    <w:rsid w:val="0FB16810"/>
    <w:rsid w:val="0FC301A2"/>
    <w:rsid w:val="102B2AA8"/>
    <w:rsid w:val="10657B41"/>
    <w:rsid w:val="10714446"/>
    <w:rsid w:val="107E671F"/>
    <w:rsid w:val="10B03A48"/>
    <w:rsid w:val="11294667"/>
    <w:rsid w:val="114556BC"/>
    <w:rsid w:val="11904724"/>
    <w:rsid w:val="11A45C3D"/>
    <w:rsid w:val="11C25DB7"/>
    <w:rsid w:val="11E55183"/>
    <w:rsid w:val="121D7032"/>
    <w:rsid w:val="124401BA"/>
    <w:rsid w:val="12BF1861"/>
    <w:rsid w:val="13000B05"/>
    <w:rsid w:val="136C166A"/>
    <w:rsid w:val="13881016"/>
    <w:rsid w:val="13AC7923"/>
    <w:rsid w:val="13BC5284"/>
    <w:rsid w:val="14277A2E"/>
    <w:rsid w:val="145A16C6"/>
    <w:rsid w:val="14B3232E"/>
    <w:rsid w:val="15556A44"/>
    <w:rsid w:val="15671E2D"/>
    <w:rsid w:val="156D7617"/>
    <w:rsid w:val="15782045"/>
    <w:rsid w:val="15AF35F5"/>
    <w:rsid w:val="15FE489C"/>
    <w:rsid w:val="161F4683"/>
    <w:rsid w:val="165C75B9"/>
    <w:rsid w:val="167116DE"/>
    <w:rsid w:val="167D4E04"/>
    <w:rsid w:val="167D7483"/>
    <w:rsid w:val="16B52C7E"/>
    <w:rsid w:val="177E673D"/>
    <w:rsid w:val="17B02D5B"/>
    <w:rsid w:val="17D276F8"/>
    <w:rsid w:val="17F27F0E"/>
    <w:rsid w:val="184A3AAF"/>
    <w:rsid w:val="187D5CFC"/>
    <w:rsid w:val="188361BF"/>
    <w:rsid w:val="19477264"/>
    <w:rsid w:val="195E21C5"/>
    <w:rsid w:val="19A42F63"/>
    <w:rsid w:val="19C46D56"/>
    <w:rsid w:val="19D90D46"/>
    <w:rsid w:val="19E53D51"/>
    <w:rsid w:val="19F23FD0"/>
    <w:rsid w:val="1A0E783C"/>
    <w:rsid w:val="1A2024D1"/>
    <w:rsid w:val="1AB10FCD"/>
    <w:rsid w:val="1ACE4F42"/>
    <w:rsid w:val="1AE53164"/>
    <w:rsid w:val="1AFD0547"/>
    <w:rsid w:val="1B101C96"/>
    <w:rsid w:val="1B231BC3"/>
    <w:rsid w:val="1B372A94"/>
    <w:rsid w:val="1B3939DF"/>
    <w:rsid w:val="1B744A16"/>
    <w:rsid w:val="1B814123"/>
    <w:rsid w:val="1B8B2B71"/>
    <w:rsid w:val="1BAD66BE"/>
    <w:rsid w:val="1BBC1952"/>
    <w:rsid w:val="1BDA3F76"/>
    <w:rsid w:val="1BE36C4D"/>
    <w:rsid w:val="1C1C5CEC"/>
    <w:rsid w:val="1C5706D9"/>
    <w:rsid w:val="1C9A0F8C"/>
    <w:rsid w:val="1CD8293A"/>
    <w:rsid w:val="1CD96BE2"/>
    <w:rsid w:val="1CF45F16"/>
    <w:rsid w:val="1D2812AE"/>
    <w:rsid w:val="1D4D5877"/>
    <w:rsid w:val="1D590B44"/>
    <w:rsid w:val="1DDC7B43"/>
    <w:rsid w:val="1DEC9A83"/>
    <w:rsid w:val="1E4D32E3"/>
    <w:rsid w:val="1E5C118E"/>
    <w:rsid w:val="1E5E3272"/>
    <w:rsid w:val="1E875225"/>
    <w:rsid w:val="1EAE123E"/>
    <w:rsid w:val="1EB97598"/>
    <w:rsid w:val="1F07796A"/>
    <w:rsid w:val="1F54662A"/>
    <w:rsid w:val="1FA56B94"/>
    <w:rsid w:val="1FBFB32C"/>
    <w:rsid w:val="201B00B0"/>
    <w:rsid w:val="20571A9E"/>
    <w:rsid w:val="205A2AE6"/>
    <w:rsid w:val="20A4177A"/>
    <w:rsid w:val="20AA0BD6"/>
    <w:rsid w:val="20BF70D3"/>
    <w:rsid w:val="21343C17"/>
    <w:rsid w:val="213C5E63"/>
    <w:rsid w:val="21AE40F9"/>
    <w:rsid w:val="22B04D29"/>
    <w:rsid w:val="22F10571"/>
    <w:rsid w:val="233A315C"/>
    <w:rsid w:val="236D2D45"/>
    <w:rsid w:val="239E30F5"/>
    <w:rsid w:val="23CA4AEC"/>
    <w:rsid w:val="23DC2E61"/>
    <w:rsid w:val="24036136"/>
    <w:rsid w:val="24D92454"/>
    <w:rsid w:val="24EB799F"/>
    <w:rsid w:val="252A07EB"/>
    <w:rsid w:val="2535371B"/>
    <w:rsid w:val="25450FC9"/>
    <w:rsid w:val="254A6A83"/>
    <w:rsid w:val="25CB11E0"/>
    <w:rsid w:val="25D54FCA"/>
    <w:rsid w:val="267454C1"/>
    <w:rsid w:val="26D94183"/>
    <w:rsid w:val="26FD297B"/>
    <w:rsid w:val="272F17CB"/>
    <w:rsid w:val="27315DD3"/>
    <w:rsid w:val="27A977C5"/>
    <w:rsid w:val="28390822"/>
    <w:rsid w:val="289664D5"/>
    <w:rsid w:val="28D24539"/>
    <w:rsid w:val="2947366F"/>
    <w:rsid w:val="29B6081C"/>
    <w:rsid w:val="2A092A3C"/>
    <w:rsid w:val="2A2C58AE"/>
    <w:rsid w:val="2A577D69"/>
    <w:rsid w:val="2A9F5945"/>
    <w:rsid w:val="2AA00F59"/>
    <w:rsid w:val="2AD920D9"/>
    <w:rsid w:val="2B6A7885"/>
    <w:rsid w:val="2BA60C8A"/>
    <w:rsid w:val="2BC57D4F"/>
    <w:rsid w:val="2BE41B4A"/>
    <w:rsid w:val="2BF00B4C"/>
    <w:rsid w:val="2C137599"/>
    <w:rsid w:val="2C9A52DB"/>
    <w:rsid w:val="2CD234CF"/>
    <w:rsid w:val="2D1C25B9"/>
    <w:rsid w:val="2D224814"/>
    <w:rsid w:val="2D290A26"/>
    <w:rsid w:val="2D3B1ABA"/>
    <w:rsid w:val="2D995012"/>
    <w:rsid w:val="2DD77B0B"/>
    <w:rsid w:val="2E167AB8"/>
    <w:rsid w:val="2E416E2A"/>
    <w:rsid w:val="2E6D24D3"/>
    <w:rsid w:val="2E7B70DC"/>
    <w:rsid w:val="2EDD5573"/>
    <w:rsid w:val="2FA72901"/>
    <w:rsid w:val="2FAE1404"/>
    <w:rsid w:val="2FAE2AF9"/>
    <w:rsid w:val="2FCA7E7D"/>
    <w:rsid w:val="2FF84ACE"/>
    <w:rsid w:val="301B6F89"/>
    <w:rsid w:val="30234019"/>
    <w:rsid w:val="30C45EC8"/>
    <w:rsid w:val="30E772EF"/>
    <w:rsid w:val="30F4754C"/>
    <w:rsid w:val="312F5073"/>
    <w:rsid w:val="3172701E"/>
    <w:rsid w:val="318F1CB4"/>
    <w:rsid w:val="31BB1DAB"/>
    <w:rsid w:val="31CD7699"/>
    <w:rsid w:val="320F2A7B"/>
    <w:rsid w:val="324C3F04"/>
    <w:rsid w:val="328021DE"/>
    <w:rsid w:val="328107C5"/>
    <w:rsid w:val="328323C6"/>
    <w:rsid w:val="3286219E"/>
    <w:rsid w:val="32BC205E"/>
    <w:rsid w:val="337D24B6"/>
    <w:rsid w:val="33863EA5"/>
    <w:rsid w:val="33AC21EB"/>
    <w:rsid w:val="33E42A56"/>
    <w:rsid w:val="341A77C9"/>
    <w:rsid w:val="345362A0"/>
    <w:rsid w:val="35104918"/>
    <w:rsid w:val="351C0EE5"/>
    <w:rsid w:val="3545073D"/>
    <w:rsid w:val="360B4F40"/>
    <w:rsid w:val="3610620E"/>
    <w:rsid w:val="363B3D8B"/>
    <w:rsid w:val="36AF433D"/>
    <w:rsid w:val="36B43330"/>
    <w:rsid w:val="371A6C37"/>
    <w:rsid w:val="376D3D8A"/>
    <w:rsid w:val="377F85F7"/>
    <w:rsid w:val="3796167F"/>
    <w:rsid w:val="37A313FC"/>
    <w:rsid w:val="37C67E4C"/>
    <w:rsid w:val="37D10366"/>
    <w:rsid w:val="38634262"/>
    <w:rsid w:val="386C7793"/>
    <w:rsid w:val="39361621"/>
    <w:rsid w:val="39A03481"/>
    <w:rsid w:val="3A0A5A94"/>
    <w:rsid w:val="3A0E6C6E"/>
    <w:rsid w:val="3A2122C5"/>
    <w:rsid w:val="3A2908E1"/>
    <w:rsid w:val="3A2E75F3"/>
    <w:rsid w:val="3A3A3961"/>
    <w:rsid w:val="3A3DCE49"/>
    <w:rsid w:val="3A5E059F"/>
    <w:rsid w:val="3AF51D2E"/>
    <w:rsid w:val="3B023329"/>
    <w:rsid w:val="3B0502BE"/>
    <w:rsid w:val="3B1E672F"/>
    <w:rsid w:val="3B7F431D"/>
    <w:rsid w:val="3B7F5CF5"/>
    <w:rsid w:val="3B8B3A23"/>
    <w:rsid w:val="3B990D34"/>
    <w:rsid w:val="3C213FF7"/>
    <w:rsid w:val="3C30419D"/>
    <w:rsid w:val="3C3834BC"/>
    <w:rsid w:val="3C616837"/>
    <w:rsid w:val="3CE24B4C"/>
    <w:rsid w:val="3D73A09B"/>
    <w:rsid w:val="3D8F4E1F"/>
    <w:rsid w:val="3DDE3401"/>
    <w:rsid w:val="3E025257"/>
    <w:rsid w:val="3E3F2FCA"/>
    <w:rsid w:val="3E8A2508"/>
    <w:rsid w:val="3EAC3B39"/>
    <w:rsid w:val="3EE86984"/>
    <w:rsid w:val="3F11417D"/>
    <w:rsid w:val="3F1B309B"/>
    <w:rsid w:val="3F3361BD"/>
    <w:rsid w:val="3F3436FB"/>
    <w:rsid w:val="3F6648D9"/>
    <w:rsid w:val="3F755890"/>
    <w:rsid w:val="3F9C4EB3"/>
    <w:rsid w:val="3FE33CB2"/>
    <w:rsid w:val="3FEF8F70"/>
    <w:rsid w:val="402A221D"/>
    <w:rsid w:val="40733E91"/>
    <w:rsid w:val="40766E08"/>
    <w:rsid w:val="40B83554"/>
    <w:rsid w:val="40DB4042"/>
    <w:rsid w:val="40E373B2"/>
    <w:rsid w:val="40F45458"/>
    <w:rsid w:val="40FD63BF"/>
    <w:rsid w:val="411419D0"/>
    <w:rsid w:val="416D20C1"/>
    <w:rsid w:val="41744039"/>
    <w:rsid w:val="4220325F"/>
    <w:rsid w:val="427C6750"/>
    <w:rsid w:val="428A71F0"/>
    <w:rsid w:val="4294306C"/>
    <w:rsid w:val="42AD5460"/>
    <w:rsid w:val="42BA6C0A"/>
    <w:rsid w:val="42E64558"/>
    <w:rsid w:val="43153834"/>
    <w:rsid w:val="43226E7B"/>
    <w:rsid w:val="434F77FF"/>
    <w:rsid w:val="437C064B"/>
    <w:rsid w:val="43950263"/>
    <w:rsid w:val="43964FA2"/>
    <w:rsid w:val="43C053B1"/>
    <w:rsid w:val="443C5B8E"/>
    <w:rsid w:val="448771F8"/>
    <w:rsid w:val="44BC72E2"/>
    <w:rsid w:val="44E956C1"/>
    <w:rsid w:val="44EE7AE3"/>
    <w:rsid w:val="451929A3"/>
    <w:rsid w:val="454C34AC"/>
    <w:rsid w:val="45902473"/>
    <w:rsid w:val="45AF66F3"/>
    <w:rsid w:val="45F020BA"/>
    <w:rsid w:val="45F67B77"/>
    <w:rsid w:val="461F261F"/>
    <w:rsid w:val="463D180C"/>
    <w:rsid w:val="465157C7"/>
    <w:rsid w:val="46A43BC1"/>
    <w:rsid w:val="476A6995"/>
    <w:rsid w:val="47DD590B"/>
    <w:rsid w:val="47E063AC"/>
    <w:rsid w:val="47EE579B"/>
    <w:rsid w:val="481351B0"/>
    <w:rsid w:val="48622A3D"/>
    <w:rsid w:val="4867497F"/>
    <w:rsid w:val="487E577F"/>
    <w:rsid w:val="48857B56"/>
    <w:rsid w:val="48A40D33"/>
    <w:rsid w:val="48CC36A0"/>
    <w:rsid w:val="49071B2A"/>
    <w:rsid w:val="490B2684"/>
    <w:rsid w:val="491054AA"/>
    <w:rsid w:val="491A508E"/>
    <w:rsid w:val="49861725"/>
    <w:rsid w:val="49E7590E"/>
    <w:rsid w:val="4A037229"/>
    <w:rsid w:val="4A14355C"/>
    <w:rsid w:val="4A3D1F42"/>
    <w:rsid w:val="4A523EC6"/>
    <w:rsid w:val="4A8600EE"/>
    <w:rsid w:val="4AAA0E60"/>
    <w:rsid w:val="4AEA6C89"/>
    <w:rsid w:val="4AEC533E"/>
    <w:rsid w:val="4B3D39E3"/>
    <w:rsid w:val="4B3E6A9E"/>
    <w:rsid w:val="4B402DCD"/>
    <w:rsid w:val="4B576E85"/>
    <w:rsid w:val="4B9832C2"/>
    <w:rsid w:val="4BE54CF1"/>
    <w:rsid w:val="4BF432B8"/>
    <w:rsid w:val="4C0203D7"/>
    <w:rsid w:val="4C2265CD"/>
    <w:rsid w:val="4C3A5D98"/>
    <w:rsid w:val="4C4D2D4A"/>
    <w:rsid w:val="4C8011B4"/>
    <w:rsid w:val="4CA31E28"/>
    <w:rsid w:val="4CB7107B"/>
    <w:rsid w:val="4CBB7E1C"/>
    <w:rsid w:val="4E302DA4"/>
    <w:rsid w:val="4E7C6BB4"/>
    <w:rsid w:val="4ECC7EDB"/>
    <w:rsid w:val="4EFA3E33"/>
    <w:rsid w:val="4F741450"/>
    <w:rsid w:val="4F74614D"/>
    <w:rsid w:val="4F8E54C1"/>
    <w:rsid w:val="4F8E5B53"/>
    <w:rsid w:val="4FA47EEA"/>
    <w:rsid w:val="505521CD"/>
    <w:rsid w:val="51251E41"/>
    <w:rsid w:val="514900B1"/>
    <w:rsid w:val="515208AC"/>
    <w:rsid w:val="51A63CB5"/>
    <w:rsid w:val="51C16649"/>
    <w:rsid w:val="51C56629"/>
    <w:rsid w:val="52484CBE"/>
    <w:rsid w:val="52575082"/>
    <w:rsid w:val="52B7373D"/>
    <w:rsid w:val="52D244AD"/>
    <w:rsid w:val="52D844E6"/>
    <w:rsid w:val="52DB26BC"/>
    <w:rsid w:val="52FA2008"/>
    <w:rsid w:val="53072C41"/>
    <w:rsid w:val="53472D43"/>
    <w:rsid w:val="537E7E86"/>
    <w:rsid w:val="53802D48"/>
    <w:rsid w:val="54275FF2"/>
    <w:rsid w:val="54884F56"/>
    <w:rsid w:val="551A298B"/>
    <w:rsid w:val="555F21B0"/>
    <w:rsid w:val="557B10EC"/>
    <w:rsid w:val="55927092"/>
    <w:rsid w:val="559F7783"/>
    <w:rsid w:val="55C904F4"/>
    <w:rsid w:val="55D31C6A"/>
    <w:rsid w:val="55E036B6"/>
    <w:rsid w:val="55E17DAE"/>
    <w:rsid w:val="564B3B0F"/>
    <w:rsid w:val="566F44BB"/>
    <w:rsid w:val="56A81994"/>
    <w:rsid w:val="56DF6C36"/>
    <w:rsid w:val="56EE4CE0"/>
    <w:rsid w:val="56FD550F"/>
    <w:rsid w:val="57672288"/>
    <w:rsid w:val="58435433"/>
    <w:rsid w:val="58746757"/>
    <w:rsid w:val="5885204F"/>
    <w:rsid w:val="58BB08ED"/>
    <w:rsid w:val="59043705"/>
    <w:rsid w:val="59070F51"/>
    <w:rsid w:val="591E5B38"/>
    <w:rsid w:val="593503BB"/>
    <w:rsid w:val="594124FF"/>
    <w:rsid w:val="594B2301"/>
    <w:rsid w:val="59961C59"/>
    <w:rsid w:val="5A146C55"/>
    <w:rsid w:val="5A783781"/>
    <w:rsid w:val="5A7A6B08"/>
    <w:rsid w:val="5B1000D8"/>
    <w:rsid w:val="5B123B5B"/>
    <w:rsid w:val="5B57B184"/>
    <w:rsid w:val="5B621759"/>
    <w:rsid w:val="5B6323FC"/>
    <w:rsid w:val="5BD14092"/>
    <w:rsid w:val="5BD333AC"/>
    <w:rsid w:val="5BF30816"/>
    <w:rsid w:val="5C3D3EC6"/>
    <w:rsid w:val="5C552651"/>
    <w:rsid w:val="5CC93458"/>
    <w:rsid w:val="5CE31760"/>
    <w:rsid w:val="5DF83818"/>
    <w:rsid w:val="5E2B3502"/>
    <w:rsid w:val="5E5A46B1"/>
    <w:rsid w:val="5E5B259F"/>
    <w:rsid w:val="5EAE7D77"/>
    <w:rsid w:val="5ECB5C87"/>
    <w:rsid w:val="5EDC3512"/>
    <w:rsid w:val="5F3C79EC"/>
    <w:rsid w:val="5F963E59"/>
    <w:rsid w:val="5FAA7CB5"/>
    <w:rsid w:val="5FC16BA1"/>
    <w:rsid w:val="5FCF0583"/>
    <w:rsid w:val="5FEF52B2"/>
    <w:rsid w:val="5FF98581"/>
    <w:rsid w:val="5FFEFAAF"/>
    <w:rsid w:val="600A2A58"/>
    <w:rsid w:val="603A0EE5"/>
    <w:rsid w:val="60413A17"/>
    <w:rsid w:val="605A3989"/>
    <w:rsid w:val="60B57EE1"/>
    <w:rsid w:val="6116361C"/>
    <w:rsid w:val="61556215"/>
    <w:rsid w:val="615A17F1"/>
    <w:rsid w:val="61883264"/>
    <w:rsid w:val="61C12720"/>
    <w:rsid w:val="61CA776D"/>
    <w:rsid w:val="62606AC0"/>
    <w:rsid w:val="62E14864"/>
    <w:rsid w:val="6305308B"/>
    <w:rsid w:val="63420E44"/>
    <w:rsid w:val="63E213BE"/>
    <w:rsid w:val="64891552"/>
    <w:rsid w:val="64942F87"/>
    <w:rsid w:val="64C60513"/>
    <w:rsid w:val="64F6698C"/>
    <w:rsid w:val="654E7056"/>
    <w:rsid w:val="65673DF2"/>
    <w:rsid w:val="657C687A"/>
    <w:rsid w:val="65965811"/>
    <w:rsid w:val="65B5656A"/>
    <w:rsid w:val="65CB3E5D"/>
    <w:rsid w:val="65D73942"/>
    <w:rsid w:val="65DB7995"/>
    <w:rsid w:val="661D24AB"/>
    <w:rsid w:val="6621763B"/>
    <w:rsid w:val="66577AE6"/>
    <w:rsid w:val="666201D0"/>
    <w:rsid w:val="666530F7"/>
    <w:rsid w:val="66A41664"/>
    <w:rsid w:val="66A67B24"/>
    <w:rsid w:val="66C664AB"/>
    <w:rsid w:val="66DF3E29"/>
    <w:rsid w:val="67064B36"/>
    <w:rsid w:val="673F3E2C"/>
    <w:rsid w:val="674E6179"/>
    <w:rsid w:val="67530EA0"/>
    <w:rsid w:val="677683B7"/>
    <w:rsid w:val="678021DF"/>
    <w:rsid w:val="678E4F5D"/>
    <w:rsid w:val="67A02363"/>
    <w:rsid w:val="67A17048"/>
    <w:rsid w:val="67A81B24"/>
    <w:rsid w:val="67B35234"/>
    <w:rsid w:val="67C37D5D"/>
    <w:rsid w:val="67D93482"/>
    <w:rsid w:val="67DE5B76"/>
    <w:rsid w:val="67FC34BB"/>
    <w:rsid w:val="681442AE"/>
    <w:rsid w:val="681F736B"/>
    <w:rsid w:val="68334494"/>
    <w:rsid w:val="68335FDC"/>
    <w:rsid w:val="68406237"/>
    <w:rsid w:val="686434FE"/>
    <w:rsid w:val="68795E76"/>
    <w:rsid w:val="68BF68A9"/>
    <w:rsid w:val="68D32C1E"/>
    <w:rsid w:val="68E96ECE"/>
    <w:rsid w:val="691E3ADB"/>
    <w:rsid w:val="696D6A24"/>
    <w:rsid w:val="6A131E06"/>
    <w:rsid w:val="6A2D5507"/>
    <w:rsid w:val="6A3A4C5F"/>
    <w:rsid w:val="6A471166"/>
    <w:rsid w:val="6A62644C"/>
    <w:rsid w:val="6AD97C6D"/>
    <w:rsid w:val="6B064B96"/>
    <w:rsid w:val="6B100FDF"/>
    <w:rsid w:val="6B22293E"/>
    <w:rsid w:val="6B431148"/>
    <w:rsid w:val="6B670611"/>
    <w:rsid w:val="6B900247"/>
    <w:rsid w:val="6C0C17E7"/>
    <w:rsid w:val="6C1D1A10"/>
    <w:rsid w:val="6C9674AB"/>
    <w:rsid w:val="6CB627B8"/>
    <w:rsid w:val="6CBA06A2"/>
    <w:rsid w:val="6CD550F7"/>
    <w:rsid w:val="6D1159A2"/>
    <w:rsid w:val="6D3F74CE"/>
    <w:rsid w:val="6D455012"/>
    <w:rsid w:val="6D4B0377"/>
    <w:rsid w:val="6D605399"/>
    <w:rsid w:val="6DB84C76"/>
    <w:rsid w:val="6DCF434C"/>
    <w:rsid w:val="6DEA03C6"/>
    <w:rsid w:val="6E4E5C51"/>
    <w:rsid w:val="6ED1430D"/>
    <w:rsid w:val="6F5B358B"/>
    <w:rsid w:val="6F96850C"/>
    <w:rsid w:val="700F4FBB"/>
    <w:rsid w:val="70620BD3"/>
    <w:rsid w:val="707556A3"/>
    <w:rsid w:val="70891654"/>
    <w:rsid w:val="70B04F4F"/>
    <w:rsid w:val="70C8281B"/>
    <w:rsid w:val="711B149B"/>
    <w:rsid w:val="715700E9"/>
    <w:rsid w:val="71AA030C"/>
    <w:rsid w:val="71DB02E2"/>
    <w:rsid w:val="721647D0"/>
    <w:rsid w:val="726F3674"/>
    <w:rsid w:val="72796507"/>
    <w:rsid w:val="728E701B"/>
    <w:rsid w:val="72925A66"/>
    <w:rsid w:val="729279B1"/>
    <w:rsid w:val="72BF552A"/>
    <w:rsid w:val="72E94300"/>
    <w:rsid w:val="731B5CAB"/>
    <w:rsid w:val="731F2A10"/>
    <w:rsid w:val="732771E1"/>
    <w:rsid w:val="73883560"/>
    <w:rsid w:val="738A2DE8"/>
    <w:rsid w:val="73CF54FE"/>
    <w:rsid w:val="73D75975"/>
    <w:rsid w:val="740022F2"/>
    <w:rsid w:val="74012145"/>
    <w:rsid w:val="74416441"/>
    <w:rsid w:val="747D61D5"/>
    <w:rsid w:val="74C81746"/>
    <w:rsid w:val="74DC173A"/>
    <w:rsid w:val="74E91185"/>
    <w:rsid w:val="75273484"/>
    <w:rsid w:val="752B5AB4"/>
    <w:rsid w:val="75B13CF6"/>
    <w:rsid w:val="75F50690"/>
    <w:rsid w:val="76387F19"/>
    <w:rsid w:val="765244C3"/>
    <w:rsid w:val="76AA3287"/>
    <w:rsid w:val="77395ACF"/>
    <w:rsid w:val="773B0084"/>
    <w:rsid w:val="777E0893"/>
    <w:rsid w:val="77E054E8"/>
    <w:rsid w:val="77ECA3E2"/>
    <w:rsid w:val="77F22A44"/>
    <w:rsid w:val="780530EF"/>
    <w:rsid w:val="78316DBD"/>
    <w:rsid w:val="78C625DB"/>
    <w:rsid w:val="78F40B19"/>
    <w:rsid w:val="78FE38F8"/>
    <w:rsid w:val="790931EB"/>
    <w:rsid w:val="791E11CD"/>
    <w:rsid w:val="7945606C"/>
    <w:rsid w:val="795C1CE8"/>
    <w:rsid w:val="796D21F3"/>
    <w:rsid w:val="797A7BCD"/>
    <w:rsid w:val="79EF5E1E"/>
    <w:rsid w:val="7A1D5443"/>
    <w:rsid w:val="7A2F1E3C"/>
    <w:rsid w:val="7A317BB9"/>
    <w:rsid w:val="7A47390F"/>
    <w:rsid w:val="7A60326D"/>
    <w:rsid w:val="7A835A05"/>
    <w:rsid w:val="7AB47064"/>
    <w:rsid w:val="7AF44B97"/>
    <w:rsid w:val="7B306C2F"/>
    <w:rsid w:val="7BBD4F42"/>
    <w:rsid w:val="7BFB4E3F"/>
    <w:rsid w:val="7C225B08"/>
    <w:rsid w:val="7C36A8BC"/>
    <w:rsid w:val="7C535A68"/>
    <w:rsid w:val="7CD65A9A"/>
    <w:rsid w:val="7CE73AD5"/>
    <w:rsid w:val="7D1A3E96"/>
    <w:rsid w:val="7D294122"/>
    <w:rsid w:val="7D615DB9"/>
    <w:rsid w:val="7D792FD6"/>
    <w:rsid w:val="7DA3099F"/>
    <w:rsid w:val="7DF696FE"/>
    <w:rsid w:val="7DFF7D24"/>
    <w:rsid w:val="7E7D2889"/>
    <w:rsid w:val="7EA74C91"/>
    <w:rsid w:val="7EA77352"/>
    <w:rsid w:val="7EEF521D"/>
    <w:rsid w:val="7EEF9A6F"/>
    <w:rsid w:val="7F22122D"/>
    <w:rsid w:val="7F2A517E"/>
    <w:rsid w:val="7F5F2709"/>
    <w:rsid w:val="7F693A59"/>
    <w:rsid w:val="7F7B3B0F"/>
    <w:rsid w:val="7F97E66E"/>
    <w:rsid w:val="7F9F58D6"/>
    <w:rsid w:val="7FB26FEB"/>
    <w:rsid w:val="7FBF6A29"/>
    <w:rsid w:val="7FE1E17D"/>
    <w:rsid w:val="7FEC023B"/>
    <w:rsid w:val="7FEDD3E5"/>
    <w:rsid w:val="7FEFCC8E"/>
    <w:rsid w:val="7FFF334A"/>
    <w:rsid w:val="8FD14F4A"/>
    <w:rsid w:val="9BDD6B49"/>
    <w:rsid w:val="A8DF0A62"/>
    <w:rsid w:val="A93FE687"/>
    <w:rsid w:val="B7FD8F24"/>
    <w:rsid w:val="BCCF6467"/>
    <w:rsid w:val="BDFD82AF"/>
    <w:rsid w:val="BFEE48A2"/>
    <w:rsid w:val="CDFE2331"/>
    <w:rsid w:val="D5BF61B5"/>
    <w:rsid w:val="DED62258"/>
    <w:rsid w:val="DEF34F3F"/>
    <w:rsid w:val="DFAE3685"/>
    <w:rsid w:val="DFF9F571"/>
    <w:rsid w:val="E3CF9AA0"/>
    <w:rsid w:val="E7BBC4E0"/>
    <w:rsid w:val="E7FB6575"/>
    <w:rsid w:val="EDFFA6DC"/>
    <w:rsid w:val="EFDF28BA"/>
    <w:rsid w:val="EFFC1D3A"/>
    <w:rsid w:val="F777C8DF"/>
    <w:rsid w:val="FAE49CD5"/>
    <w:rsid w:val="FBCFA242"/>
    <w:rsid w:val="FEBF37AF"/>
    <w:rsid w:val="FFA70237"/>
    <w:rsid w:val="FFF6FAC1"/>
    <w:rsid w:val="FFFE6758"/>
    <w:rsid w:val="FFFF9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63"/>
    <w:qFormat/>
    <w:uiPriority w:val="0"/>
    <w:pPr>
      <w:autoSpaceDE w:val="0"/>
      <w:autoSpaceDN w:val="0"/>
      <w:adjustRightInd w:val="0"/>
      <w:spacing w:before="120" w:after="120" w:line="416" w:lineRule="atLeast"/>
      <w:outlineLvl w:val="2"/>
    </w:pPr>
    <w:rPr>
      <w:rFonts w:ascii="黑体"/>
      <w:kern w:val="0"/>
      <w:sz w:val="28"/>
      <w:szCs w:val="20"/>
    </w:rPr>
  </w:style>
  <w:style w:type="paragraph" w:styleId="7">
    <w:name w:val="heading 4"/>
    <w:basedOn w:val="1"/>
    <w:next w:val="1"/>
    <w:link w:val="54"/>
    <w:qFormat/>
    <w:uiPriority w:val="0"/>
    <w:pPr>
      <w:keepNext/>
      <w:outlineLvl w:val="3"/>
    </w:pPr>
    <w:rPr>
      <w:sz w:val="28"/>
      <w:szCs w:val="20"/>
    </w:rPr>
  </w:style>
  <w:style w:type="paragraph" w:styleId="8">
    <w:name w:val="heading 5"/>
    <w:basedOn w:val="1"/>
    <w:next w:val="1"/>
    <w:link w:val="55"/>
    <w:qFormat/>
    <w:uiPriority w:val="0"/>
    <w:pPr>
      <w:keepNext/>
      <w:keepLines/>
      <w:spacing w:before="280" w:after="290" w:line="376" w:lineRule="auto"/>
      <w:outlineLvl w:val="4"/>
    </w:pPr>
    <w:rPr>
      <w:b/>
      <w:bCs/>
      <w:sz w:val="28"/>
      <w:szCs w:val="28"/>
    </w:rPr>
  </w:style>
  <w:style w:type="paragraph" w:styleId="9">
    <w:name w:val="heading 6"/>
    <w:basedOn w:val="1"/>
    <w:next w:val="1"/>
    <w:link w:val="56"/>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57"/>
    <w:qFormat/>
    <w:uiPriority w:val="0"/>
    <w:pPr>
      <w:keepNext/>
      <w:keepLines/>
      <w:spacing w:before="240" w:after="64" w:line="320" w:lineRule="auto"/>
      <w:outlineLvl w:val="6"/>
    </w:pPr>
    <w:rPr>
      <w:b/>
      <w:bCs/>
      <w:sz w:val="24"/>
    </w:rPr>
  </w:style>
  <w:style w:type="paragraph" w:styleId="11">
    <w:name w:val="heading 8"/>
    <w:basedOn w:val="1"/>
    <w:next w:val="1"/>
    <w:link w:val="5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59"/>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65"/>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Normal Indent"/>
    <w:basedOn w:val="1"/>
    <w:link w:val="52"/>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5">
    <w:name w:val="Document Map"/>
    <w:basedOn w:val="1"/>
    <w:link w:val="62"/>
    <w:semiHidden/>
    <w:qFormat/>
    <w:uiPriority w:val="0"/>
    <w:rPr>
      <w:rFonts w:ascii="宋体"/>
      <w:sz w:val="18"/>
      <w:szCs w:val="18"/>
    </w:rPr>
  </w:style>
  <w:style w:type="paragraph" w:styleId="16">
    <w:name w:val="annotation text"/>
    <w:basedOn w:val="1"/>
    <w:link w:val="60"/>
    <w:unhideWhenUsed/>
    <w:qFormat/>
    <w:uiPriority w:val="99"/>
    <w:pPr>
      <w:jc w:val="left"/>
    </w:pPr>
  </w:style>
  <w:style w:type="paragraph" w:styleId="17">
    <w:name w:val="Body Text 3"/>
    <w:basedOn w:val="1"/>
    <w:link w:val="63"/>
    <w:unhideWhenUsed/>
    <w:qFormat/>
    <w:uiPriority w:val="99"/>
    <w:pPr>
      <w:spacing w:after="120"/>
    </w:pPr>
    <w:rPr>
      <w:sz w:val="16"/>
      <w:szCs w:val="16"/>
    </w:rPr>
  </w:style>
  <w:style w:type="paragraph" w:styleId="18">
    <w:name w:val="Body Text"/>
    <w:basedOn w:val="1"/>
    <w:next w:val="1"/>
    <w:link w:val="64"/>
    <w:qFormat/>
    <w:uiPriority w:val="99"/>
    <w:rPr>
      <w:sz w:val="28"/>
      <w:szCs w:val="20"/>
    </w:rPr>
  </w:style>
  <w:style w:type="paragraph" w:styleId="19">
    <w:name w:val="List 2"/>
    <w:basedOn w:val="1"/>
    <w:qFormat/>
    <w:uiPriority w:val="0"/>
    <w:pPr>
      <w:ind w:left="100" w:leftChars="200" w:hanging="200" w:hangingChars="2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66"/>
    <w:qFormat/>
    <w:uiPriority w:val="0"/>
    <w:rPr>
      <w:rFonts w:ascii="宋体" w:hAnsi="Courier New"/>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67"/>
    <w:qFormat/>
    <w:uiPriority w:val="0"/>
    <w:pPr>
      <w:ind w:left="100" w:leftChars="2500"/>
    </w:pPr>
    <w:rPr>
      <w:szCs w:val="20"/>
    </w:rPr>
  </w:style>
  <w:style w:type="paragraph" w:styleId="25">
    <w:name w:val="Body Text Indent 2"/>
    <w:basedOn w:val="1"/>
    <w:link w:val="68"/>
    <w:qFormat/>
    <w:uiPriority w:val="0"/>
    <w:pPr>
      <w:spacing w:line="480" w:lineRule="auto"/>
      <w:ind w:firstLine="480" w:firstLineChars="200"/>
    </w:pPr>
    <w:rPr>
      <w:rFonts w:ascii="仿宋_GB2312" w:hAnsi="宋体" w:eastAsia="仿宋_GB2312"/>
      <w:sz w:val="24"/>
    </w:rPr>
  </w:style>
  <w:style w:type="paragraph" w:styleId="26">
    <w:name w:val="Balloon Text"/>
    <w:basedOn w:val="1"/>
    <w:link w:val="69"/>
    <w:unhideWhenUsed/>
    <w:qFormat/>
    <w:uiPriority w:val="0"/>
    <w:rPr>
      <w:sz w:val="18"/>
      <w:szCs w:val="18"/>
    </w:rPr>
  </w:style>
  <w:style w:type="paragraph" w:styleId="27">
    <w:name w:val="footer"/>
    <w:basedOn w:val="1"/>
    <w:link w:val="70"/>
    <w:unhideWhenUsed/>
    <w:qFormat/>
    <w:uiPriority w:val="0"/>
    <w:pPr>
      <w:tabs>
        <w:tab w:val="center" w:pos="4153"/>
        <w:tab w:val="right" w:pos="8306"/>
      </w:tabs>
      <w:snapToGrid w:val="0"/>
      <w:jc w:val="left"/>
    </w:pPr>
    <w:rPr>
      <w:sz w:val="18"/>
      <w:szCs w:val="18"/>
    </w:rPr>
  </w:style>
  <w:style w:type="paragraph" w:styleId="28">
    <w:name w:val="header"/>
    <w:basedOn w:val="1"/>
    <w:link w:val="71"/>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0">
    <w:name w:val="toc 4"/>
    <w:basedOn w:val="1"/>
    <w:next w:val="1"/>
    <w:unhideWhenUsed/>
    <w:qFormat/>
    <w:uiPriority w:val="39"/>
    <w:pPr>
      <w:ind w:left="1260" w:leftChars="600"/>
    </w:pPr>
    <w:rPr>
      <w:rFonts w:ascii="Calibri" w:hAnsi="Calibri"/>
      <w:szCs w:val="22"/>
    </w:rPr>
  </w:style>
  <w:style w:type="paragraph" w:styleId="31">
    <w:name w:val="Subtitle"/>
    <w:basedOn w:val="1"/>
    <w:next w:val="1"/>
    <w:link w:val="72"/>
    <w:qFormat/>
    <w:uiPriority w:val="0"/>
    <w:pPr>
      <w:spacing w:before="240" w:after="60" w:line="312" w:lineRule="auto"/>
      <w:jc w:val="center"/>
      <w:outlineLvl w:val="1"/>
    </w:pPr>
    <w:rPr>
      <w:rFonts w:ascii="Cambria" w:hAnsi="Cambria" w:cs="黑体"/>
      <w:b/>
      <w:bCs/>
      <w:kern w:val="28"/>
      <w:sz w:val="32"/>
      <w:szCs w:val="32"/>
    </w:rPr>
  </w:style>
  <w:style w:type="paragraph" w:styleId="32">
    <w:name w:val="toc 6"/>
    <w:basedOn w:val="1"/>
    <w:next w:val="1"/>
    <w:unhideWhenUsed/>
    <w:qFormat/>
    <w:uiPriority w:val="39"/>
    <w:pPr>
      <w:ind w:left="2100" w:leftChars="1000"/>
    </w:pPr>
    <w:rPr>
      <w:rFonts w:ascii="Calibri" w:hAnsi="Calibri"/>
      <w:szCs w:val="22"/>
    </w:rPr>
  </w:style>
  <w:style w:type="paragraph" w:styleId="33">
    <w:name w:val="Body Text Indent 3"/>
    <w:basedOn w:val="1"/>
    <w:link w:val="73"/>
    <w:qFormat/>
    <w:uiPriority w:val="0"/>
    <w:pPr>
      <w:spacing w:after="120" w:line="360" w:lineRule="atLeast"/>
      <w:ind w:firstLine="720" w:firstLineChars="300"/>
    </w:pPr>
    <w:rPr>
      <w:sz w:val="24"/>
      <w:szCs w:val="20"/>
    </w:rPr>
  </w:style>
  <w:style w:type="paragraph" w:styleId="34">
    <w:name w:val="toc 2"/>
    <w:basedOn w:val="1"/>
    <w:next w:val="1"/>
    <w:qFormat/>
    <w:uiPriority w:val="39"/>
    <w:pPr>
      <w:tabs>
        <w:tab w:val="left" w:pos="567"/>
        <w:tab w:val="right" w:leader="dot" w:pos="8505"/>
        <w:tab w:val="right" w:leader="dot" w:pos="9628"/>
      </w:tabs>
      <w:spacing w:line="440" w:lineRule="exact"/>
    </w:pPr>
  </w:style>
  <w:style w:type="paragraph" w:styleId="35">
    <w:name w:val="toc 9"/>
    <w:basedOn w:val="1"/>
    <w:next w:val="1"/>
    <w:unhideWhenUsed/>
    <w:qFormat/>
    <w:uiPriority w:val="39"/>
    <w:pPr>
      <w:ind w:left="3360" w:leftChars="1600"/>
    </w:pPr>
    <w:rPr>
      <w:rFonts w:ascii="Calibri" w:hAnsi="Calibri"/>
      <w:szCs w:val="22"/>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74"/>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61"/>
    <w:semiHidden/>
    <w:qFormat/>
    <w:uiPriority w:val="0"/>
    <w:rPr>
      <w:b/>
      <w:bCs/>
      <w:szCs w:val="20"/>
    </w:rPr>
  </w:style>
  <w:style w:type="paragraph" w:styleId="39">
    <w:name w:val="Body Text First Indent"/>
    <w:basedOn w:val="18"/>
    <w:next w:val="32"/>
    <w:qFormat/>
    <w:uiPriority w:val="0"/>
    <w:pPr>
      <w:framePr w:wrap="around" w:vAnchor="margin" w:hAnchor="text" w:y="1"/>
      <w:spacing w:after="120"/>
      <w:ind w:firstLine="420"/>
    </w:pPr>
    <w:rPr>
      <w:rFonts w:eastAsia="Arial Unicode MS" w:cs="Arial Unicode MS"/>
      <w:color w:val="000000"/>
      <w:sz w:val="21"/>
      <w:szCs w:val="21"/>
      <w:u w:color="000000"/>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basedOn w:val="42"/>
    <w:qFormat/>
    <w:uiPriority w:val="0"/>
    <w:rPr>
      <w:sz w:val="21"/>
      <w:szCs w:val="21"/>
    </w:rPr>
  </w:style>
  <w:style w:type="paragraph" w:customStyle="1" w:styleId="48">
    <w:name w:val="_Style 2"/>
    <w:basedOn w:val="1"/>
    <w:qFormat/>
    <w:uiPriority w:val="0"/>
    <w:pPr>
      <w:widowControl/>
      <w:ind w:firstLine="420"/>
    </w:pPr>
    <w:rPr>
      <w:kern w:val="0"/>
      <w:szCs w:val="21"/>
    </w:rPr>
  </w:style>
  <w:style w:type="paragraph" w:customStyle="1" w:styleId="49">
    <w:name w:val="标题 60"/>
    <w:basedOn w:val="9"/>
    <w:qFormat/>
    <w:uiPriority w:val="0"/>
    <w:pPr>
      <w:spacing w:line="319" w:lineRule="auto"/>
      <w:ind w:firstLine="200" w:firstLineChars="200"/>
    </w:pPr>
    <w:rPr>
      <w:b w:val="0"/>
      <w:bCs w:val="0"/>
    </w:rPr>
  </w:style>
  <w:style w:type="character" w:customStyle="1" w:styleId="50">
    <w:name w:val="标题 1 字符"/>
    <w:basedOn w:val="42"/>
    <w:link w:val="4"/>
    <w:qFormat/>
    <w:uiPriority w:val="0"/>
    <w:rPr>
      <w:rFonts w:ascii="Times New Roman" w:hAnsi="Times New Roman" w:eastAsia="宋体" w:cs="Times New Roman"/>
      <w:b/>
      <w:bCs/>
      <w:kern w:val="44"/>
      <w:sz w:val="44"/>
      <w:szCs w:val="44"/>
    </w:rPr>
  </w:style>
  <w:style w:type="character" w:customStyle="1" w:styleId="51">
    <w:name w:val="标题 2 字符"/>
    <w:basedOn w:val="42"/>
    <w:link w:val="5"/>
    <w:qFormat/>
    <w:uiPriority w:val="0"/>
    <w:rPr>
      <w:rFonts w:ascii="Arial" w:hAnsi="Arial" w:eastAsia="黑体"/>
      <w:b/>
      <w:bCs/>
      <w:kern w:val="2"/>
      <w:sz w:val="32"/>
      <w:szCs w:val="32"/>
    </w:rPr>
  </w:style>
  <w:style w:type="character" w:customStyle="1" w:styleId="52">
    <w:name w:val="正文缩进 字符"/>
    <w:link w:val="14"/>
    <w:qFormat/>
    <w:uiPriority w:val="0"/>
    <w:rPr>
      <w:rFonts w:ascii="楷体_GB2312" w:eastAsia="楷体_GB2312"/>
      <w:sz w:val="28"/>
    </w:rPr>
  </w:style>
  <w:style w:type="character" w:customStyle="1" w:styleId="53">
    <w:name w:val="标题 3 字符"/>
    <w:basedOn w:val="42"/>
    <w:qFormat/>
    <w:uiPriority w:val="0"/>
    <w:rPr>
      <w:rFonts w:ascii="黑体" w:eastAsia="黑体"/>
      <w:sz w:val="28"/>
    </w:rPr>
  </w:style>
  <w:style w:type="character" w:customStyle="1" w:styleId="54">
    <w:name w:val="标题 4 字符"/>
    <w:basedOn w:val="42"/>
    <w:link w:val="7"/>
    <w:qFormat/>
    <w:uiPriority w:val="0"/>
    <w:rPr>
      <w:rFonts w:ascii="Times New Roman" w:hAnsi="Times New Roman" w:eastAsia="宋体" w:cs="Times New Roman"/>
      <w:sz w:val="28"/>
      <w:szCs w:val="20"/>
    </w:rPr>
  </w:style>
  <w:style w:type="character" w:customStyle="1" w:styleId="55">
    <w:name w:val="标题 5 字符"/>
    <w:basedOn w:val="42"/>
    <w:link w:val="8"/>
    <w:qFormat/>
    <w:uiPriority w:val="0"/>
    <w:rPr>
      <w:rFonts w:ascii="Times New Roman" w:hAnsi="Times New Roman" w:eastAsia="宋体" w:cs="Times New Roman"/>
      <w:b/>
      <w:bCs/>
      <w:sz w:val="28"/>
      <w:szCs w:val="28"/>
    </w:rPr>
  </w:style>
  <w:style w:type="character" w:customStyle="1" w:styleId="56">
    <w:name w:val="标题 6 字符"/>
    <w:basedOn w:val="42"/>
    <w:link w:val="9"/>
    <w:qFormat/>
    <w:uiPriority w:val="0"/>
    <w:rPr>
      <w:rFonts w:ascii="Arial" w:hAnsi="Arial" w:eastAsia="黑体" w:cs="Times New Roman"/>
      <w:b/>
      <w:bCs/>
      <w:sz w:val="24"/>
      <w:szCs w:val="24"/>
    </w:rPr>
  </w:style>
  <w:style w:type="character" w:customStyle="1" w:styleId="57">
    <w:name w:val="标题 7 字符"/>
    <w:basedOn w:val="42"/>
    <w:link w:val="10"/>
    <w:qFormat/>
    <w:uiPriority w:val="0"/>
    <w:rPr>
      <w:rFonts w:ascii="Times New Roman" w:hAnsi="Times New Roman" w:eastAsia="宋体" w:cs="Times New Roman"/>
      <w:b/>
      <w:bCs/>
      <w:sz w:val="24"/>
      <w:szCs w:val="24"/>
    </w:rPr>
  </w:style>
  <w:style w:type="character" w:customStyle="1" w:styleId="58">
    <w:name w:val="标题 8 字符"/>
    <w:basedOn w:val="42"/>
    <w:link w:val="11"/>
    <w:qFormat/>
    <w:uiPriority w:val="0"/>
    <w:rPr>
      <w:rFonts w:ascii="Arial" w:hAnsi="Arial" w:eastAsia="黑体" w:cs="Times New Roman"/>
      <w:sz w:val="24"/>
      <w:szCs w:val="24"/>
    </w:rPr>
  </w:style>
  <w:style w:type="character" w:customStyle="1" w:styleId="59">
    <w:name w:val="标题 9 字符"/>
    <w:basedOn w:val="42"/>
    <w:link w:val="12"/>
    <w:qFormat/>
    <w:uiPriority w:val="0"/>
    <w:rPr>
      <w:rFonts w:ascii="Arial" w:hAnsi="Arial" w:eastAsia="黑体" w:cs="Times New Roman"/>
      <w:szCs w:val="21"/>
    </w:rPr>
  </w:style>
  <w:style w:type="character" w:customStyle="1" w:styleId="60">
    <w:name w:val="批注文字 字符"/>
    <w:basedOn w:val="42"/>
    <w:link w:val="16"/>
    <w:qFormat/>
    <w:uiPriority w:val="99"/>
    <w:rPr>
      <w:rFonts w:ascii="Times New Roman" w:hAnsi="Times New Roman" w:eastAsia="宋体" w:cs="Times New Roman"/>
      <w:szCs w:val="24"/>
    </w:rPr>
  </w:style>
  <w:style w:type="character" w:customStyle="1" w:styleId="61">
    <w:name w:val="批注主题 字符"/>
    <w:basedOn w:val="60"/>
    <w:link w:val="38"/>
    <w:semiHidden/>
    <w:qFormat/>
    <w:uiPriority w:val="0"/>
    <w:rPr>
      <w:rFonts w:ascii="Times New Roman" w:hAnsi="Times New Roman" w:eastAsia="宋体" w:cs="Times New Roman"/>
      <w:b/>
      <w:bCs/>
      <w:szCs w:val="20"/>
    </w:rPr>
  </w:style>
  <w:style w:type="character" w:customStyle="1" w:styleId="62">
    <w:name w:val="文档结构图 字符"/>
    <w:basedOn w:val="42"/>
    <w:link w:val="15"/>
    <w:semiHidden/>
    <w:qFormat/>
    <w:uiPriority w:val="0"/>
    <w:rPr>
      <w:rFonts w:ascii="宋体" w:hAnsi="Times New Roman" w:eastAsia="宋体" w:cs="Times New Roman"/>
      <w:sz w:val="18"/>
      <w:szCs w:val="18"/>
    </w:rPr>
  </w:style>
  <w:style w:type="character" w:customStyle="1" w:styleId="63">
    <w:name w:val="正文文本 3 字符"/>
    <w:basedOn w:val="42"/>
    <w:link w:val="17"/>
    <w:semiHidden/>
    <w:qFormat/>
    <w:uiPriority w:val="99"/>
    <w:rPr>
      <w:rFonts w:ascii="Times New Roman" w:hAnsi="Times New Roman" w:eastAsia="宋体" w:cs="Times New Roman"/>
      <w:sz w:val="16"/>
      <w:szCs w:val="16"/>
    </w:rPr>
  </w:style>
  <w:style w:type="character" w:customStyle="1" w:styleId="64">
    <w:name w:val="正文文本 字符"/>
    <w:basedOn w:val="42"/>
    <w:link w:val="18"/>
    <w:qFormat/>
    <w:uiPriority w:val="0"/>
    <w:rPr>
      <w:rFonts w:ascii="Times New Roman" w:hAnsi="Times New Roman" w:eastAsia="宋体" w:cs="Times New Roman"/>
      <w:sz w:val="28"/>
      <w:szCs w:val="20"/>
    </w:rPr>
  </w:style>
  <w:style w:type="character" w:customStyle="1" w:styleId="65">
    <w:name w:val="正文文本缩进 字符"/>
    <w:basedOn w:val="42"/>
    <w:link w:val="3"/>
    <w:qFormat/>
    <w:uiPriority w:val="0"/>
    <w:rPr>
      <w:rFonts w:ascii="楷体_GB2312" w:hAnsi="Times New Roman" w:eastAsia="楷体_GB2312" w:cs="Times New Roman"/>
      <w:kern w:val="0"/>
      <w:sz w:val="28"/>
      <w:szCs w:val="20"/>
    </w:rPr>
  </w:style>
  <w:style w:type="character" w:customStyle="1" w:styleId="66">
    <w:name w:val="纯文本 字符"/>
    <w:basedOn w:val="42"/>
    <w:link w:val="22"/>
    <w:qFormat/>
    <w:uiPriority w:val="0"/>
    <w:rPr>
      <w:rFonts w:ascii="宋体" w:hAnsi="Courier New" w:eastAsia="宋体" w:cs="Times New Roman"/>
      <w:szCs w:val="20"/>
    </w:rPr>
  </w:style>
  <w:style w:type="character" w:customStyle="1" w:styleId="67">
    <w:name w:val="日期 字符"/>
    <w:basedOn w:val="42"/>
    <w:link w:val="24"/>
    <w:qFormat/>
    <w:uiPriority w:val="0"/>
    <w:rPr>
      <w:rFonts w:ascii="Times New Roman" w:hAnsi="Times New Roman" w:eastAsia="宋体" w:cs="Times New Roman"/>
      <w:szCs w:val="20"/>
    </w:rPr>
  </w:style>
  <w:style w:type="character" w:customStyle="1" w:styleId="68">
    <w:name w:val="正文文本缩进 2 字符"/>
    <w:basedOn w:val="42"/>
    <w:link w:val="25"/>
    <w:qFormat/>
    <w:uiPriority w:val="0"/>
    <w:rPr>
      <w:rFonts w:ascii="仿宋_GB2312" w:hAnsi="宋体" w:eastAsia="仿宋_GB2312" w:cs="Times New Roman"/>
      <w:sz w:val="24"/>
      <w:szCs w:val="24"/>
    </w:rPr>
  </w:style>
  <w:style w:type="character" w:customStyle="1" w:styleId="69">
    <w:name w:val="批注框文本 字符"/>
    <w:basedOn w:val="42"/>
    <w:link w:val="26"/>
    <w:semiHidden/>
    <w:qFormat/>
    <w:uiPriority w:val="0"/>
    <w:rPr>
      <w:rFonts w:ascii="Times New Roman" w:hAnsi="Times New Roman" w:eastAsia="宋体" w:cs="Times New Roman"/>
      <w:sz w:val="18"/>
      <w:szCs w:val="18"/>
    </w:rPr>
  </w:style>
  <w:style w:type="character" w:customStyle="1" w:styleId="70">
    <w:name w:val="页脚 字符"/>
    <w:basedOn w:val="42"/>
    <w:link w:val="27"/>
    <w:qFormat/>
    <w:uiPriority w:val="0"/>
    <w:rPr>
      <w:rFonts w:ascii="Times New Roman" w:hAnsi="Times New Roman" w:eastAsia="宋体" w:cs="Times New Roman"/>
      <w:sz w:val="18"/>
      <w:szCs w:val="18"/>
    </w:rPr>
  </w:style>
  <w:style w:type="character" w:customStyle="1" w:styleId="71">
    <w:name w:val="页眉 字符"/>
    <w:basedOn w:val="42"/>
    <w:link w:val="28"/>
    <w:qFormat/>
    <w:uiPriority w:val="0"/>
    <w:rPr>
      <w:rFonts w:ascii="Times New Roman" w:hAnsi="Times New Roman" w:eastAsia="宋体" w:cs="Times New Roman"/>
      <w:sz w:val="18"/>
      <w:szCs w:val="18"/>
    </w:rPr>
  </w:style>
  <w:style w:type="character" w:customStyle="1" w:styleId="72">
    <w:name w:val="副标题 字符"/>
    <w:basedOn w:val="42"/>
    <w:link w:val="31"/>
    <w:qFormat/>
    <w:uiPriority w:val="0"/>
    <w:rPr>
      <w:rFonts w:ascii="Cambria" w:hAnsi="Cambria" w:eastAsia="宋体" w:cs="黑体"/>
      <w:b/>
      <w:bCs/>
      <w:kern w:val="28"/>
      <w:sz w:val="32"/>
      <w:szCs w:val="32"/>
    </w:rPr>
  </w:style>
  <w:style w:type="character" w:customStyle="1" w:styleId="73">
    <w:name w:val="正文文本缩进 3 字符"/>
    <w:basedOn w:val="42"/>
    <w:link w:val="33"/>
    <w:qFormat/>
    <w:uiPriority w:val="0"/>
    <w:rPr>
      <w:rFonts w:ascii="Times New Roman" w:hAnsi="Times New Roman" w:eastAsia="宋体" w:cs="Times New Roman"/>
      <w:sz w:val="24"/>
      <w:szCs w:val="20"/>
    </w:rPr>
  </w:style>
  <w:style w:type="character" w:customStyle="1" w:styleId="74">
    <w:name w:val="标题 字符"/>
    <w:basedOn w:val="42"/>
    <w:link w:val="37"/>
    <w:qFormat/>
    <w:uiPriority w:val="0"/>
    <w:rPr>
      <w:rFonts w:ascii="Cambria" w:hAnsi="Cambria" w:eastAsia="宋体" w:cs="Times New Roman"/>
      <w:b/>
      <w:bCs/>
      <w:sz w:val="32"/>
      <w:szCs w:val="32"/>
    </w:rPr>
  </w:style>
  <w:style w:type="paragraph" w:customStyle="1" w:styleId="75">
    <w:name w:val="bt1bt1"/>
    <w:basedOn w:val="4"/>
    <w:qFormat/>
    <w:uiPriority w:val="0"/>
    <w:pPr>
      <w:spacing w:line="240" w:lineRule="auto"/>
      <w:jc w:val="center"/>
    </w:pPr>
    <w:rPr>
      <w:rFonts w:eastAsia="黑体"/>
      <w:b w:val="0"/>
      <w:sz w:val="36"/>
      <w:szCs w:val="36"/>
    </w:rPr>
  </w:style>
  <w:style w:type="paragraph" w:customStyle="1" w:styleId="76">
    <w:name w:val="列出段落1"/>
    <w:basedOn w:val="1"/>
    <w:link w:val="77"/>
    <w:unhideWhenUsed/>
    <w:qFormat/>
    <w:uiPriority w:val="0"/>
    <w:pPr>
      <w:ind w:firstLine="420" w:firstLineChars="200"/>
    </w:pPr>
  </w:style>
  <w:style w:type="character" w:customStyle="1" w:styleId="77">
    <w:name w:val="列表段落 字符"/>
    <w:link w:val="76"/>
    <w:qFormat/>
    <w:uiPriority w:val="0"/>
    <w:rPr>
      <w:rFonts w:ascii="Times New Roman" w:hAnsi="Times New Roman" w:eastAsia="宋体" w:cs="Times New Roman"/>
      <w:szCs w:val="24"/>
    </w:rPr>
  </w:style>
  <w:style w:type="paragraph" w:customStyle="1" w:styleId="78">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9">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0">
    <w:name w:val="_Style 36"/>
    <w:basedOn w:val="1"/>
    <w:qFormat/>
    <w:uiPriority w:val="34"/>
    <w:pPr>
      <w:ind w:firstLine="420" w:firstLineChars="200"/>
    </w:pPr>
    <w:rPr>
      <w:szCs w:val="20"/>
    </w:rPr>
  </w:style>
  <w:style w:type="paragraph" w:customStyle="1" w:styleId="81">
    <w:name w:val="Char Char Char Char Char Char Char Char Char Char Char Char Char"/>
    <w:basedOn w:val="15"/>
    <w:qFormat/>
    <w:uiPriority w:val="0"/>
    <w:pPr>
      <w:shd w:val="clear" w:color="auto" w:fill="000080"/>
    </w:pPr>
    <w:rPr>
      <w:rFonts w:ascii="Tahoma" w:hAnsi="Tahoma"/>
      <w:sz w:val="24"/>
      <w:szCs w:val="24"/>
    </w:rPr>
  </w:style>
  <w:style w:type="paragraph" w:customStyle="1" w:styleId="8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4">
    <w:name w:val="新定义正文"/>
    <w:basedOn w:val="1"/>
    <w:qFormat/>
    <w:uiPriority w:val="0"/>
    <w:pPr>
      <w:widowControl/>
    </w:pPr>
    <w:rPr>
      <w:color w:val="000000"/>
      <w:szCs w:val="21"/>
    </w:rPr>
  </w:style>
  <w:style w:type="paragraph" w:customStyle="1" w:styleId="85">
    <w:name w:val="节"/>
    <w:basedOn w:val="5"/>
    <w:qFormat/>
    <w:uiPriority w:val="0"/>
    <w:pPr>
      <w:tabs>
        <w:tab w:val="left" w:pos="432"/>
        <w:tab w:val="left" w:pos="576"/>
      </w:tabs>
      <w:spacing w:line="240" w:lineRule="auto"/>
    </w:pPr>
    <w:rPr>
      <w:rFonts w:ascii="黑体"/>
      <w:b w:val="0"/>
      <w:sz w:val="28"/>
      <w:szCs w:val="28"/>
    </w:rPr>
  </w:style>
  <w:style w:type="paragraph" w:customStyle="1" w:styleId="86">
    <w:name w:val="TOC 标题2"/>
    <w:basedOn w:val="4"/>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7">
    <w:name w:val="列出段落11"/>
    <w:basedOn w:val="1"/>
    <w:qFormat/>
    <w:uiPriority w:val="34"/>
    <w:pPr>
      <w:ind w:firstLine="420" w:firstLineChars="200"/>
    </w:pPr>
    <w:rPr>
      <w:szCs w:val="20"/>
    </w:rPr>
  </w:style>
  <w:style w:type="paragraph" w:customStyle="1" w:styleId="8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9">
    <w:name w:val="Char Char1"/>
    <w:qFormat/>
    <w:uiPriority w:val="0"/>
    <w:rPr>
      <w:rFonts w:ascii="楷体_GB2312" w:eastAsia="楷体_GB2312"/>
      <w:sz w:val="28"/>
    </w:rPr>
  </w:style>
  <w:style w:type="character" w:customStyle="1" w:styleId="90">
    <w:name w:val="Char Char"/>
    <w:qFormat/>
    <w:uiPriority w:val="0"/>
    <w:rPr>
      <w:rFonts w:ascii="宋体"/>
      <w:kern w:val="2"/>
      <w:sz w:val="18"/>
      <w:szCs w:val="18"/>
    </w:rPr>
  </w:style>
  <w:style w:type="paragraph" w:customStyle="1" w:styleId="9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2">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93">
    <w:name w:val="批注文字 Char1"/>
    <w:qFormat/>
    <w:uiPriority w:val="99"/>
    <w:rPr>
      <w:kern w:val="2"/>
      <w:sz w:val="21"/>
    </w:rPr>
  </w:style>
  <w:style w:type="paragraph" w:customStyle="1" w:styleId="9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95">
    <w:name w:val="p0"/>
    <w:basedOn w:val="1"/>
    <w:qFormat/>
    <w:uiPriority w:val="0"/>
    <w:rPr>
      <w:szCs w:val="20"/>
    </w:rPr>
  </w:style>
  <w:style w:type="paragraph" w:customStyle="1" w:styleId="96">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7">
    <w:name w:val="normaltextrun"/>
    <w:basedOn w:val="42"/>
    <w:qFormat/>
    <w:uiPriority w:val="0"/>
  </w:style>
  <w:style w:type="character" w:customStyle="1" w:styleId="98">
    <w:name w:val="eop"/>
    <w:basedOn w:val="42"/>
    <w:qFormat/>
    <w:uiPriority w:val="0"/>
  </w:style>
  <w:style w:type="character" w:customStyle="1" w:styleId="99">
    <w:name w:val="列出段落 Char"/>
    <w:qFormat/>
    <w:uiPriority w:val="34"/>
    <w:rPr>
      <w:kern w:val="2"/>
      <w:sz w:val="21"/>
      <w:szCs w:val="24"/>
    </w:rPr>
  </w:style>
  <w:style w:type="character" w:customStyle="1" w:styleId="100">
    <w:name w:val="未处理的提及1"/>
    <w:basedOn w:val="42"/>
    <w:unhideWhenUsed/>
    <w:qFormat/>
    <w:uiPriority w:val="99"/>
    <w:rPr>
      <w:color w:val="605E5C"/>
      <w:shd w:val="clear" w:color="auto" w:fill="E1DFDD"/>
    </w:rPr>
  </w:style>
  <w:style w:type="paragraph" w:customStyle="1" w:styleId="101">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03">
    <w:name w:val="文一 Char"/>
    <w:link w:val="104"/>
    <w:qFormat/>
    <w:locked/>
    <w:uiPriority w:val="0"/>
    <w:rPr>
      <w:spacing w:val="4"/>
      <w:sz w:val="24"/>
      <w:szCs w:val="24"/>
    </w:rPr>
  </w:style>
  <w:style w:type="paragraph" w:customStyle="1" w:styleId="104">
    <w:name w:val="文一"/>
    <w:basedOn w:val="1"/>
    <w:link w:val="103"/>
    <w:qFormat/>
    <w:uiPriority w:val="0"/>
    <w:pPr>
      <w:topLinePunct/>
      <w:adjustRightInd w:val="0"/>
      <w:snapToGrid w:val="0"/>
      <w:spacing w:line="360" w:lineRule="auto"/>
      <w:ind w:firstLine="200" w:firstLineChars="200"/>
    </w:pPr>
    <w:rPr>
      <w:spacing w:val="4"/>
      <w:kern w:val="0"/>
      <w:sz w:val="24"/>
    </w:rPr>
  </w:style>
  <w:style w:type="character" w:customStyle="1" w:styleId="105">
    <w:name w:val="未处理的提及2"/>
    <w:basedOn w:val="42"/>
    <w:unhideWhenUsed/>
    <w:qFormat/>
    <w:uiPriority w:val="99"/>
    <w:rPr>
      <w:color w:val="605E5C"/>
      <w:shd w:val="clear" w:color="auto" w:fill="E1DFDD"/>
    </w:rPr>
  </w:style>
  <w:style w:type="character" w:customStyle="1" w:styleId="106">
    <w:name w:val="p141"/>
    <w:qFormat/>
    <w:uiPriority w:val="0"/>
    <w:rPr>
      <w:sz w:val="21"/>
      <w:szCs w:val="21"/>
    </w:rPr>
  </w:style>
  <w:style w:type="paragraph" w:customStyle="1" w:styleId="107">
    <w:name w:val="列表段落1"/>
    <w:basedOn w:val="1"/>
    <w:unhideWhenUsed/>
    <w:qFormat/>
    <w:uiPriority w:val="34"/>
    <w:pPr>
      <w:ind w:firstLine="420" w:firstLineChars="200"/>
    </w:pPr>
  </w:style>
  <w:style w:type="paragraph" w:customStyle="1" w:styleId="10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9">
    <w:name w:val="段"/>
    <w:link w:val="1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0">
    <w:name w:val="段 Char"/>
    <w:link w:val="109"/>
    <w:qFormat/>
    <w:uiPriority w:val="0"/>
    <w:rPr>
      <w:rFonts w:ascii="宋体"/>
      <w:sz w:val="21"/>
    </w:rPr>
  </w:style>
  <w:style w:type="paragraph" w:customStyle="1" w:styleId="111">
    <w:name w:val="列出段落2"/>
    <w:basedOn w:val="1"/>
    <w:unhideWhenUsed/>
    <w:qFormat/>
    <w:uiPriority w:val="34"/>
    <w:pPr>
      <w:ind w:firstLine="420" w:firstLineChars="200"/>
    </w:pPr>
  </w:style>
  <w:style w:type="table" w:customStyle="1" w:styleId="112">
    <w:name w:val="网格型1"/>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网格型2"/>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H正_1"/>
    <w:basedOn w:val="115"/>
    <w:qFormat/>
    <w:uiPriority w:val="0"/>
    <w:pPr>
      <w:spacing w:after="0" w:line="420" w:lineRule="auto"/>
      <w:ind w:firstLine="200" w:firstLineChars="200"/>
      <w:jc w:val="left"/>
    </w:pPr>
    <w:rPr>
      <w:bCs/>
      <w:spacing w:val="0"/>
      <w:kern w:val="2"/>
      <w:szCs w:val="24"/>
    </w:rPr>
  </w:style>
  <w:style w:type="paragraph" w:customStyle="1" w:styleId="115">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6">
    <w:name w:val="H标_1"/>
    <w:basedOn w:val="117"/>
    <w:qFormat/>
    <w:uiPriority w:val="0"/>
    <w:pPr>
      <w:keepNext/>
      <w:keepLines/>
      <w:tabs>
        <w:tab w:val="left" w:pos="1300"/>
        <w:tab w:val="left" w:pos="1440"/>
        <w:tab w:val="left" w:pos="1932"/>
        <w:tab w:val="left" w:pos="6184"/>
      </w:tabs>
    </w:pPr>
    <w:rPr>
      <w:sz w:val="32"/>
    </w:rPr>
  </w:style>
  <w:style w:type="paragraph" w:customStyle="1" w:styleId="117">
    <w:name w:val="标题 1_0"/>
    <w:basedOn w:val="115"/>
    <w:next w:val="118"/>
    <w:qFormat/>
    <w:uiPriority w:val="0"/>
    <w:pPr>
      <w:pageBreakBefore/>
      <w:spacing w:before="120" w:after="60"/>
      <w:ind w:firstLine="0"/>
      <w:jc w:val="center"/>
      <w:outlineLvl w:val="0"/>
    </w:pPr>
    <w:rPr>
      <w:rFonts w:eastAsia="黑体"/>
      <w:b/>
      <w:sz w:val="36"/>
    </w:rPr>
  </w:style>
  <w:style w:type="paragraph" w:customStyle="1" w:styleId="118">
    <w:name w:val="方案正文"/>
    <w:basedOn w:val="115"/>
    <w:qFormat/>
    <w:uiPriority w:val="0"/>
    <w:pPr>
      <w:ind w:firstLine="200" w:firstLineChars="200"/>
    </w:pPr>
    <w:rPr>
      <w:bCs/>
    </w:rPr>
  </w:style>
  <w:style w:type="paragraph" w:customStyle="1" w:styleId="119">
    <w:name w:val="H表_1"/>
    <w:basedOn w:val="120"/>
    <w:qFormat/>
    <w:uiPriority w:val="0"/>
    <w:pPr>
      <w:widowControl/>
      <w:spacing w:line="240" w:lineRule="auto"/>
      <w:jc w:val="center"/>
    </w:pPr>
    <w:rPr>
      <w:rFonts w:ascii="宋体" w:hAnsi="宋体"/>
      <w:kern w:val="0"/>
      <w:sz w:val="20"/>
      <w:szCs w:val="20"/>
    </w:rPr>
  </w:style>
  <w:style w:type="paragraph" w:customStyle="1" w:styleId="120">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1">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2">
    <w:name w:val="文本"/>
    <w:basedOn w:val="115"/>
    <w:qFormat/>
    <w:uiPriority w:val="0"/>
    <w:pPr>
      <w:spacing w:after="0"/>
      <w:ind w:firstLine="420" w:firstLineChars="200"/>
      <w:jc w:val="left"/>
    </w:pPr>
    <w:rPr>
      <w:rFonts w:ascii="宋体" w:hAnsi="宋体"/>
      <w:spacing w:val="0"/>
      <w:kern w:val="2"/>
      <w:sz w:val="21"/>
      <w:szCs w:val="22"/>
    </w:rPr>
  </w:style>
  <w:style w:type="paragraph" w:customStyle="1" w:styleId="123">
    <w:name w:val="Table Paragraph"/>
    <w:basedOn w:val="121"/>
    <w:qFormat/>
    <w:uiPriority w:val="1"/>
    <w:pPr>
      <w:wordWrap/>
      <w:spacing w:line="240" w:lineRule="auto"/>
      <w:jc w:val="left"/>
    </w:pPr>
    <w:rPr>
      <w:rFonts w:ascii="等线" w:hAnsi="等线" w:eastAsia="等线"/>
      <w:kern w:val="0"/>
      <w:sz w:val="22"/>
      <w:lang w:eastAsia="en-US"/>
    </w:rPr>
  </w:style>
  <w:style w:type="paragraph" w:customStyle="1" w:styleId="124">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H表正"/>
    <w:basedOn w:val="115"/>
    <w:qFormat/>
    <w:uiPriority w:val="0"/>
    <w:pPr>
      <w:widowControl/>
      <w:spacing w:after="0" w:line="240" w:lineRule="auto"/>
      <w:ind w:firstLine="0"/>
    </w:pPr>
    <w:rPr>
      <w:rFonts w:ascii="宋体" w:hAnsi="宋体"/>
      <w:color w:val="000000"/>
      <w:spacing w:val="0"/>
      <w:sz w:val="21"/>
      <w:szCs w:val="21"/>
    </w:rPr>
  </w:style>
  <w:style w:type="paragraph" w:customStyle="1" w:styleId="127">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8">
    <w:name w:val="正文缩进_0"/>
    <w:basedOn w:val="120"/>
    <w:qFormat/>
    <w:uiPriority w:val="0"/>
    <w:pPr>
      <w:wordWrap/>
      <w:autoSpaceDE w:val="0"/>
      <w:autoSpaceDN w:val="0"/>
      <w:spacing w:line="360" w:lineRule="auto"/>
      <w:ind w:left="181" w:firstLine="420"/>
    </w:pPr>
    <w:rPr>
      <w:kern w:val="0"/>
      <w:sz w:val="24"/>
      <w:szCs w:val="20"/>
    </w:rPr>
  </w:style>
  <w:style w:type="paragraph" w:customStyle="1" w:styleId="12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正文缩进_1"/>
    <w:basedOn w:val="115"/>
    <w:qFormat/>
    <w:uiPriority w:val="0"/>
    <w:pPr>
      <w:spacing w:before="60" w:after="60"/>
      <w:ind w:firstLine="420"/>
    </w:pPr>
    <w:rPr>
      <w:rFonts w:ascii="宋体"/>
      <w:color w:val="000000"/>
      <w:spacing w:val="0"/>
      <w:kern w:val="2"/>
    </w:rPr>
  </w:style>
  <w:style w:type="paragraph" w:customStyle="1" w:styleId="131">
    <w:name w:val="正文首行缩进1"/>
    <w:basedOn w:val="132"/>
    <w:qFormat/>
    <w:uiPriority w:val="0"/>
    <w:pPr>
      <w:spacing w:after="60" w:line="400" w:lineRule="exact"/>
      <w:ind w:firstLine="476"/>
    </w:pPr>
    <w:rPr>
      <w:kern w:val="2"/>
    </w:rPr>
  </w:style>
  <w:style w:type="paragraph" w:customStyle="1" w:styleId="132">
    <w:name w:val="正文文本_0"/>
    <w:basedOn w:val="115"/>
    <w:qFormat/>
    <w:uiPriority w:val="99"/>
  </w:style>
  <w:style w:type="paragraph" w:customStyle="1" w:styleId="133">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列出段落_1"/>
    <w:basedOn w:val="137"/>
    <w:qFormat/>
    <w:uiPriority w:val="0"/>
    <w:pPr>
      <w:ind w:firstLine="420" w:firstLineChars="200"/>
    </w:pPr>
    <w:rPr>
      <w:rFonts w:ascii="Times New Roman" w:hAnsi="Times New Roman"/>
      <w:sz w:val="20"/>
      <w:szCs w:val="24"/>
    </w:rPr>
  </w:style>
  <w:style w:type="paragraph" w:customStyle="1" w:styleId="137">
    <w:name w:val="正文_1_2"/>
    <w:qFormat/>
    <w:uiPriority w:val="0"/>
    <w:rPr>
      <w:rFonts w:ascii="Calibri" w:hAnsi="Calibri" w:eastAsia="宋体" w:cs="Times New Roman"/>
      <w:sz w:val="21"/>
      <w:lang w:val="en-US" w:eastAsia="zh-CN" w:bidi="ar-SA"/>
    </w:rPr>
  </w:style>
  <w:style w:type="paragraph" w:customStyle="1" w:styleId="138">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9">
    <w:name w:val="列出段落_0"/>
    <w:basedOn w:val="137"/>
    <w:qFormat/>
    <w:uiPriority w:val="0"/>
    <w:pPr>
      <w:ind w:firstLine="420" w:firstLineChars="200"/>
    </w:pPr>
    <w:rPr>
      <w:rFonts w:ascii="Times New Roman" w:hAnsi="Times New Roman"/>
      <w:sz w:val="20"/>
      <w:szCs w:val="24"/>
    </w:rPr>
  </w:style>
  <w:style w:type="paragraph" w:customStyle="1" w:styleId="14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1">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42">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4">
    <w:name w:val="列出段落3"/>
    <w:basedOn w:val="1"/>
    <w:unhideWhenUsed/>
    <w:qFormat/>
    <w:uiPriority w:val="99"/>
    <w:pPr>
      <w:ind w:firstLine="420" w:firstLineChars="200"/>
    </w:pPr>
  </w:style>
  <w:style w:type="paragraph" w:customStyle="1" w:styleId="145">
    <w:name w:val="列出段落4"/>
    <w:basedOn w:val="1"/>
    <w:unhideWhenUsed/>
    <w:qFormat/>
    <w:uiPriority w:val="99"/>
    <w:pPr>
      <w:ind w:firstLine="420" w:firstLineChars="200"/>
    </w:pPr>
  </w:style>
  <w:style w:type="paragraph" w:customStyle="1" w:styleId="146">
    <w:name w:val="符号列表"/>
    <w:basedOn w:val="1"/>
    <w:next w:val="76"/>
    <w:qFormat/>
    <w:uiPriority w:val="34"/>
    <w:pPr>
      <w:spacing w:line="500" w:lineRule="exact"/>
      <w:ind w:firstLine="480" w:firstLineChars="200"/>
    </w:pPr>
    <w:rPr>
      <w:rFonts w:eastAsia="仿宋_GB2312"/>
      <w:sz w:val="24"/>
      <w:szCs w:val="20"/>
    </w:rPr>
  </w:style>
  <w:style w:type="paragraph" w:customStyle="1" w:styleId="147">
    <w:name w:val="标题 3_0"/>
    <w:basedOn w:val="117"/>
    <w:next w:val="118"/>
    <w:qFormat/>
    <w:uiPriority w:val="0"/>
    <w:pPr>
      <w:pageBreakBefore w:val="0"/>
      <w:numPr>
        <w:ilvl w:val="2"/>
        <w:numId w:val="1"/>
      </w:numPr>
      <w:spacing w:before="60" w:line="240" w:lineRule="auto"/>
      <w:jc w:val="left"/>
      <w:outlineLvl w:val="2"/>
    </w:pPr>
    <w:rPr>
      <w:rFonts w:ascii="Calibri" w:hAnsi="Calibri"/>
      <w:spacing w:val="0"/>
      <w:kern w:val="2"/>
      <w:sz w:val="28"/>
      <w:szCs w:val="24"/>
      <w:lang w:val="zh-CN"/>
    </w:rPr>
  </w:style>
  <w:style w:type="paragraph" w:customStyle="1" w:styleId="148">
    <w:name w:val="列项●（二级）"/>
    <w:qFormat/>
    <w:uiPriority w:val="0"/>
    <w:pPr>
      <w:tabs>
        <w:tab w:val="left" w:pos="425"/>
        <w:tab w:val="left" w:pos="760"/>
        <w:tab w:val="left" w:pos="840"/>
      </w:tabs>
      <w:ind w:left="425" w:hanging="425"/>
      <w:jc w:val="both"/>
    </w:pPr>
    <w:rPr>
      <w:rFonts w:ascii="宋体" w:hAnsiTheme="minorHAnsi" w:eastAsiaTheme="minorEastAsia" w:cstheme="minorBidi"/>
      <w:sz w:val="21"/>
      <w:szCs w:val="22"/>
      <w:lang w:val="en-US" w:eastAsia="zh-CN" w:bidi="ar-SA"/>
    </w:rPr>
  </w:style>
  <w:style w:type="paragraph" w:customStyle="1" w:styleId="149">
    <w:name w:val="正文缩进1"/>
    <w:basedOn w:val="115"/>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0">
    <w:name w:val="正文缩进11"/>
    <w:basedOn w:val="115"/>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1">
    <w:name w:val="列出段落5"/>
    <w:basedOn w:val="1"/>
    <w:unhideWhenUsed/>
    <w:qFormat/>
    <w:uiPriority w:val="99"/>
    <w:pPr>
      <w:ind w:firstLine="420" w:firstLineChars="200"/>
    </w:pPr>
  </w:style>
  <w:style w:type="paragraph" w:customStyle="1" w:styleId="152">
    <w:name w:val="列出段落6"/>
    <w:basedOn w:val="1"/>
    <w:unhideWhenUsed/>
    <w:qFormat/>
    <w:uiPriority w:val="99"/>
    <w:pPr>
      <w:ind w:firstLine="420" w:firstLineChars="200"/>
    </w:pPr>
  </w:style>
  <w:style w:type="paragraph" w:customStyle="1" w:styleId="153">
    <w:name w:val="修订6"/>
    <w:hidden/>
    <w:unhideWhenUsed/>
    <w:qFormat/>
    <w:uiPriority w:val="99"/>
    <w:rPr>
      <w:rFonts w:ascii="Times New Roman" w:hAnsi="Times New Roman" w:eastAsia="宋体" w:cs="Times New Roman"/>
      <w:kern w:val="2"/>
      <w:sz w:val="21"/>
      <w:szCs w:val="24"/>
      <w:lang w:val="en-US" w:eastAsia="zh-CN" w:bidi="ar-SA"/>
    </w:rPr>
  </w:style>
  <w:style w:type="paragraph" w:styleId="154">
    <w:name w:val="List Paragraph"/>
    <w:basedOn w:val="1"/>
    <w:unhideWhenUsed/>
    <w:qFormat/>
    <w:uiPriority w:val="0"/>
    <w:pPr>
      <w:ind w:firstLine="420" w:firstLineChars="200"/>
    </w:pPr>
  </w:style>
  <w:style w:type="paragraph" w:customStyle="1" w:styleId="155">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5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7">
    <w:name w:val="s11"/>
    <w:qFormat/>
    <w:uiPriority w:val="0"/>
    <w:rPr>
      <w:rFonts w:ascii="ˎ̥" w:hAnsi="ˎ̥" w:cs="宋体"/>
      <w:b/>
      <w:color w:val="51585D"/>
      <w:kern w:val="0"/>
      <w:sz w:val="24"/>
      <w:szCs w:val="18"/>
    </w:rPr>
  </w:style>
  <w:style w:type="character" w:customStyle="1" w:styleId="158">
    <w:name w:val="s41"/>
    <w:basedOn w:val="42"/>
    <w:qFormat/>
    <w:uiPriority w:val="0"/>
    <w:rPr>
      <w:rFonts w:ascii="ˎ̥" w:hAnsi="ˎ̥" w:cs="宋体"/>
      <w:color w:val="51585D"/>
      <w:kern w:val="0"/>
      <w:sz w:val="24"/>
      <w:szCs w:val="18"/>
    </w:rPr>
  </w:style>
  <w:style w:type="paragraph" w:customStyle="1" w:styleId="15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0">
    <w:name w:val="p7"/>
    <w:basedOn w:val="1"/>
    <w:qFormat/>
    <w:uiPriority w:val="0"/>
    <w:pPr>
      <w:spacing w:before="100" w:after="100"/>
      <w:ind w:left="420" w:hanging="420"/>
      <w:jc w:val="left"/>
    </w:pPr>
    <w:rPr>
      <w:rFonts w:ascii="微软雅黑" w:hAnsi="微软雅黑" w:eastAsia="微软雅黑"/>
      <w:kern w:val="0"/>
      <w:sz w:val="32"/>
      <w:szCs w:val="32"/>
    </w:rPr>
  </w:style>
  <w:style w:type="paragraph" w:customStyle="1" w:styleId="161">
    <w:name w:val="缺省文本"/>
    <w:basedOn w:val="1"/>
    <w:qFormat/>
    <w:uiPriority w:val="0"/>
    <w:pPr>
      <w:autoSpaceDE w:val="0"/>
      <w:autoSpaceDN w:val="0"/>
      <w:adjustRightInd w:val="0"/>
      <w:jc w:val="left"/>
    </w:pPr>
    <w:rPr>
      <w:kern w:val="0"/>
      <w:sz w:val="24"/>
    </w:rPr>
  </w:style>
  <w:style w:type="character" w:customStyle="1" w:styleId="162">
    <w:name w:val="无"/>
    <w:qFormat/>
    <w:uiPriority w:val="0"/>
  </w:style>
  <w:style w:type="character" w:customStyle="1" w:styleId="163">
    <w:name w:val="标题 3 字符1"/>
    <w:link w:val="6"/>
    <w:qFormat/>
    <w:uiPriority w:val="0"/>
    <w:rPr>
      <w:b/>
    </w:rPr>
  </w:style>
  <w:style w:type="character" w:customStyle="1" w:styleId="164">
    <w:name w:val="font51"/>
    <w:basedOn w:val="42"/>
    <w:qFormat/>
    <w:uiPriority w:val="0"/>
    <w:rPr>
      <w:rFonts w:hint="eastAsia" w:ascii="宋体" w:hAnsi="宋体" w:eastAsia="宋体" w:cs="宋体"/>
      <w:color w:val="000000"/>
      <w:sz w:val="22"/>
      <w:szCs w:val="22"/>
      <w:u w:val="none"/>
      <w:vertAlign w:val="superscript"/>
    </w:rPr>
  </w:style>
  <w:style w:type="character" w:customStyle="1" w:styleId="165">
    <w:name w:val="p141_0"/>
    <w:qFormat/>
    <w:uiPriority w:val="0"/>
    <w:rPr>
      <w:rFonts w:ascii="Calibri" w:hAnsi="Calibri"/>
      <w:sz w:val="21"/>
      <w:szCs w:val="21"/>
    </w:rPr>
  </w:style>
  <w:style w:type="character" w:customStyle="1" w:styleId="166">
    <w:name w:val="ca-2"/>
    <w:basedOn w:val="42"/>
    <w:qFormat/>
    <w:uiPriority w:val="0"/>
  </w:style>
  <w:style w:type="paragraph" w:customStyle="1" w:styleId="167">
    <w:name w:val="合同条款A"/>
    <w:basedOn w:val="1"/>
    <w:qFormat/>
    <w:uiPriority w:val="0"/>
    <w:pPr>
      <w:tabs>
        <w:tab w:val="left" w:pos="567"/>
      </w:tabs>
      <w:spacing w:after="240"/>
      <w:ind w:left="567" w:hanging="567"/>
      <w:outlineLvl w:val="0"/>
    </w:pPr>
    <w:rPr>
      <w:rFonts w:ascii="黑体" w:eastAsia="黑体"/>
      <w:b/>
      <w:szCs w:val="20"/>
    </w:rPr>
  </w:style>
  <w:style w:type="paragraph" w:customStyle="1" w:styleId="168">
    <w:name w:val="正文（政数局）"/>
    <w:basedOn w:val="1"/>
    <w:qFormat/>
    <w:uiPriority w:val="0"/>
    <w:pPr>
      <w:spacing w:line="400" w:lineRule="exact"/>
      <w:ind w:firstLine="200" w:firstLineChars="200"/>
      <w:contextualSpacing/>
    </w:pPr>
    <w:rPr>
      <w:rFonts w:ascii="仿宋_GB2312" w:hAnsi="仿宋_GB2312" w:eastAsia="仿宋_GB2312" w:cs="仿宋_GB2312"/>
      <w:sz w:val="24"/>
    </w:rPr>
  </w:style>
  <w:style w:type="paragraph" w:customStyle="1" w:styleId="169">
    <w:name w:val="_Style 3"/>
    <w:basedOn w:val="1"/>
    <w:qFormat/>
    <w:uiPriority w:val="0"/>
    <w:pPr>
      <w:ind w:firstLine="420" w:firstLineChars="200"/>
    </w:pPr>
    <w:rPr>
      <w:rFonts w:ascii="Calibri" w:hAnsi="Calibri"/>
      <w:sz w:val="20"/>
    </w:rPr>
  </w:style>
  <w:style w:type="paragraph" w:customStyle="1" w:styleId="170">
    <w:name w:val="表格文字"/>
    <w:basedOn w:val="1"/>
    <w:qFormat/>
    <w:uiPriority w:val="0"/>
    <w:pPr>
      <w:widowControl w:val="0"/>
      <w:spacing w:line="300" w:lineRule="auto"/>
      <w:jc w:val="both"/>
    </w:pPr>
    <w:rPr>
      <w:rFonts w:ascii="宋体" w:hAnsi="宋体"/>
      <w:spacing w:val="10"/>
      <w:sz w:val="24"/>
    </w:rPr>
  </w:style>
  <w:style w:type="paragraph" w:customStyle="1" w:styleId="171">
    <w:name w:val="Normal_11bccbc2-a549-436c-b7ea-a8a44c7c4f49"/>
    <w:next w:val="4"/>
    <w:qFormat/>
    <w:uiPriority w:val="0"/>
    <w:rPr>
      <w:rFonts w:ascii="Calibri" w:hAnsi="Calibri" w:eastAsia="宋体" w:cs="Times New Roman"/>
      <w:sz w:val="21"/>
      <w:lang w:val="en-US" w:eastAsia="zh-CN" w:bidi="ar-SA"/>
    </w:rPr>
  </w:style>
  <w:style w:type="paragraph" w:customStyle="1" w:styleId="172">
    <w:name w:val="Normal_04620d79-14ef-4ef9-8731-1e59b5eedb31"/>
    <w:next w:val="5"/>
    <w:qFormat/>
    <w:uiPriority w:val="0"/>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66</Pages>
  <Words>30425</Words>
  <Characters>32634</Characters>
  <Lines>298</Lines>
  <Paragraphs>84</Paragraphs>
  <TotalTime>3</TotalTime>
  <ScaleCrop>false</ScaleCrop>
  <LinksUpToDate>false</LinksUpToDate>
  <CharactersWithSpaces>34450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2022-12-14T09:38:00Z</dcterms:created>
  <dc:creator>MIIT</dc:creator>
  <cp:lastModifiedBy>张雪健</cp:lastModifiedBy>
  <cp:lastPrinted>2022-12-15T10:11:00Z</cp:lastPrinted>
  <dcterms:modified xsi:type="dcterms:W3CDTF">2023-01-30T09:25:36Z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440B2FA1E2D441A3A3D7FA003E4D7071</vt:lpwstr>
  </property>
</Properties>
</file>