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F0906">
      <w:pPr>
        <w:spacing w:line="360" w:lineRule="auto"/>
        <w:jc w:val="both"/>
      </w:pPr>
      <w:bookmarkStart w:id="16" w:name="_GoBack"/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  <w:lang w:val="en-US" w:eastAsia="zh-CN"/>
        </w:rPr>
        <w:t>附件三：评分标准</w:t>
      </w:r>
    </w:p>
    <w:bookmarkEnd w:id="16"/>
    <w:p w14:paraId="1976B325">
      <w:pPr>
        <w:pStyle w:val="3"/>
        <w:spacing w:before="91" w:line="223" w:lineRule="auto"/>
        <w:ind w:left="558"/>
        <w:outlineLvl w:val="1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（1）</w:t>
      </w:r>
      <w:r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分权值</w:t>
      </w:r>
      <w:r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pacing w:val="-5"/>
          <w:sz w:val="28"/>
          <w:szCs w:val="28"/>
        </w:rPr>
        <w:t>总分为</w:t>
      </w:r>
      <w:r>
        <w:rPr>
          <w:rFonts w:hint="eastAsia" w:ascii="仿宋_GB2312" w:hAnsi="仿宋_GB2312" w:eastAsia="仿宋_GB2312" w:cs="仿宋_GB2312"/>
          <w:b w:val="0"/>
          <w:bCs w:val="0"/>
          <w:spacing w:val="-3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-5"/>
          <w:sz w:val="28"/>
          <w:szCs w:val="28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-5"/>
          <w:sz w:val="28"/>
          <w:szCs w:val="28"/>
        </w:rPr>
        <w:t>分，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评分分值分配如下：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7"/>
        <w:gridCol w:w="2237"/>
        <w:gridCol w:w="2237"/>
        <w:gridCol w:w="2237"/>
      </w:tblGrid>
      <w:tr w14:paraId="21BD1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237" w:type="dxa"/>
            <w:vAlign w:val="center"/>
          </w:tcPr>
          <w:p w14:paraId="7CBBCF6C">
            <w:pPr>
              <w:spacing w:before="201" w:line="223" w:lineRule="auto"/>
              <w:ind w:left="432" w:leftChars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评分项目</w:t>
            </w:r>
          </w:p>
        </w:tc>
        <w:tc>
          <w:tcPr>
            <w:tcW w:w="2237" w:type="dxa"/>
            <w:vAlign w:val="center"/>
          </w:tcPr>
          <w:p w14:paraId="770020C9">
            <w:pPr>
              <w:spacing w:before="201" w:line="223" w:lineRule="auto"/>
              <w:ind w:left="533" w:leftChars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商务评分</w:t>
            </w:r>
          </w:p>
        </w:tc>
        <w:tc>
          <w:tcPr>
            <w:tcW w:w="2237" w:type="dxa"/>
            <w:vAlign w:val="center"/>
          </w:tcPr>
          <w:p w14:paraId="5AF3F8FA">
            <w:pPr>
              <w:spacing w:before="201" w:line="223" w:lineRule="auto"/>
              <w:ind w:left="586" w:leftChars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技术评分</w:t>
            </w:r>
          </w:p>
        </w:tc>
        <w:tc>
          <w:tcPr>
            <w:tcW w:w="2237" w:type="dxa"/>
            <w:vAlign w:val="center"/>
          </w:tcPr>
          <w:p w14:paraId="50283F33">
            <w:pPr>
              <w:spacing w:before="201" w:line="223" w:lineRule="auto"/>
              <w:ind w:left="517" w:leftChars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价格评分</w:t>
            </w:r>
          </w:p>
        </w:tc>
      </w:tr>
      <w:tr w14:paraId="07F3D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237" w:type="dxa"/>
            <w:vAlign w:val="center"/>
          </w:tcPr>
          <w:p w14:paraId="250CBE18">
            <w:pPr>
              <w:spacing w:before="200" w:line="224" w:lineRule="auto"/>
              <w:ind w:left="481" w:leftChars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8"/>
                <w:szCs w:val="28"/>
              </w:rPr>
              <w:t>100</w:t>
            </w:r>
            <w:r>
              <w:rPr>
                <w:rFonts w:hint="eastAsia" w:ascii="仿宋_GB2312" w:hAnsi="仿宋_GB2312" w:eastAsia="仿宋_GB2312" w:cs="仿宋_GB2312"/>
                <w:spacing w:val="-5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8"/>
                <w:szCs w:val="28"/>
              </w:rPr>
              <w:t>分值</w:t>
            </w:r>
          </w:p>
        </w:tc>
        <w:tc>
          <w:tcPr>
            <w:tcW w:w="2237" w:type="dxa"/>
            <w:vAlign w:val="center"/>
          </w:tcPr>
          <w:p w14:paraId="48A13C6E">
            <w:pPr>
              <w:spacing w:before="202" w:line="224" w:lineRule="auto"/>
              <w:ind w:left="767" w:leftChars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50"/>
                <w:sz w:val="28"/>
                <w:szCs w:val="28"/>
                <w:u w:val="single" w:color="auto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pacing w:val="-50"/>
                <w:sz w:val="28"/>
                <w:szCs w:val="28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</w:rPr>
              <w:t>分</w:t>
            </w:r>
          </w:p>
        </w:tc>
        <w:tc>
          <w:tcPr>
            <w:tcW w:w="2237" w:type="dxa"/>
            <w:vAlign w:val="center"/>
          </w:tcPr>
          <w:p w14:paraId="787781B0">
            <w:pPr>
              <w:spacing w:before="202" w:line="224" w:lineRule="auto"/>
              <w:ind w:left="829" w:leftChars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50"/>
                <w:sz w:val="28"/>
                <w:szCs w:val="28"/>
                <w:u w:val="single" w:color="auto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</w:rPr>
              <w:t>分</w:t>
            </w:r>
          </w:p>
        </w:tc>
        <w:tc>
          <w:tcPr>
            <w:tcW w:w="2237" w:type="dxa"/>
            <w:vAlign w:val="center"/>
          </w:tcPr>
          <w:p w14:paraId="784A7FE2">
            <w:pPr>
              <w:spacing w:before="202" w:line="224" w:lineRule="auto"/>
              <w:ind w:left="775" w:leftChars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50"/>
                <w:sz w:val="28"/>
                <w:szCs w:val="28"/>
                <w:u w:val="single" w:color="auto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pacing w:val="-11"/>
                <w:sz w:val="28"/>
                <w:szCs w:val="28"/>
              </w:rPr>
              <w:t>分</w:t>
            </w:r>
          </w:p>
        </w:tc>
      </w:tr>
    </w:tbl>
    <w:p w14:paraId="0C70C07E">
      <w:pPr>
        <w:pStyle w:val="2"/>
      </w:pPr>
    </w:p>
    <w:p w14:paraId="1131CB89">
      <w:pPr>
        <w:pStyle w:val="3"/>
        <w:spacing w:before="91" w:line="223" w:lineRule="auto"/>
        <w:ind w:left="558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商务评分表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7"/>
        <w:gridCol w:w="4733"/>
        <w:gridCol w:w="1167"/>
        <w:gridCol w:w="1011"/>
      </w:tblGrid>
      <w:tr w14:paraId="7F18E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7" w:type="dxa"/>
          </w:tcPr>
          <w:p w14:paraId="770B1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1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0" w:name="_Toc7853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评审项目</w:t>
            </w:r>
            <w:bookmarkEnd w:id="0"/>
          </w:p>
        </w:tc>
        <w:tc>
          <w:tcPr>
            <w:tcW w:w="4733" w:type="dxa"/>
          </w:tcPr>
          <w:p w14:paraId="1F404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1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1" w:name="_Toc17395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评分标准</w:t>
            </w:r>
            <w:bookmarkEnd w:id="1"/>
          </w:p>
        </w:tc>
        <w:tc>
          <w:tcPr>
            <w:tcW w:w="1167" w:type="dxa"/>
          </w:tcPr>
          <w:p w14:paraId="5711F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1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2" w:name="_Toc16603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分值</w:t>
            </w:r>
            <w:bookmarkEnd w:id="2"/>
          </w:p>
        </w:tc>
        <w:tc>
          <w:tcPr>
            <w:tcW w:w="1011" w:type="dxa"/>
          </w:tcPr>
          <w:p w14:paraId="7A270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1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3" w:name="_Toc14247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评分</w:t>
            </w:r>
            <w:bookmarkEnd w:id="3"/>
          </w:p>
        </w:tc>
      </w:tr>
      <w:tr w14:paraId="245B0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7" w:type="dxa"/>
          </w:tcPr>
          <w:p w14:paraId="78A43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4" w:name="_Toc12198"/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val="en-US" w:eastAsia="zh-CN"/>
              </w:rPr>
              <w:t>服务团队情况</w:t>
            </w:r>
            <w:bookmarkEnd w:id="4"/>
          </w:p>
        </w:tc>
        <w:tc>
          <w:tcPr>
            <w:tcW w:w="4733" w:type="dxa"/>
          </w:tcPr>
          <w:p w14:paraId="01152D02">
            <w:pPr>
              <w:spacing w:before="46" w:line="234" w:lineRule="auto"/>
              <w:ind w:right="183"/>
              <w:jc w:val="both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>供应商需配备完善的线下活动服务团队（包含但不限于活动策划、活动执行、文案策划、摄影摄像等人</w:t>
            </w:r>
            <w:r>
              <w:t>不少于10人，少于10人不计分，10人得1分，每多提供一人加3分，共计得分最高10分。</w:t>
            </w:r>
          </w:p>
          <w:p w14:paraId="1C483D6A">
            <w:pPr>
              <w:spacing w:before="46" w:line="234" w:lineRule="auto"/>
              <w:ind w:right="183"/>
              <w:jc w:val="both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>（注：提供上述人员在供应商单位交纳近6个月内任意一个月的社保证明）</w:t>
            </w:r>
          </w:p>
        </w:tc>
        <w:tc>
          <w:tcPr>
            <w:tcW w:w="1167" w:type="dxa"/>
          </w:tcPr>
          <w:p w14:paraId="12630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011" w:type="dxa"/>
          </w:tcPr>
          <w:p w14:paraId="5E008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2990E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037" w:type="dxa"/>
          </w:tcPr>
          <w:p w14:paraId="30BDB5ED">
            <w:pPr>
              <w:spacing w:before="91" w:line="461" w:lineRule="exact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同类业绩情况</w:t>
            </w:r>
          </w:p>
        </w:tc>
        <w:tc>
          <w:tcPr>
            <w:tcW w:w="4733" w:type="dxa"/>
          </w:tcPr>
          <w:p w14:paraId="471F0A0B">
            <w:pPr>
              <w:spacing w:before="46" w:line="234" w:lineRule="auto"/>
              <w:ind w:right="183"/>
              <w:jc w:val="both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>执行团队需有丰富的活动策划执行类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>或宣传推广类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>项目（包括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>国企单位、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>政务单位、媒体单位大型活动项目等）。要求提供合作金额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>以上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>的类似项目合同以及类似项目案例介绍，每提供1个得4分，合作金额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>在10万元以下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>的类似项目合同以及类似项目案例介绍（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>最低金额不得低于3万），每提供1个得2分，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>最高得20分；不提供不得分。</w:t>
            </w:r>
          </w:p>
          <w:p w14:paraId="19EFB936">
            <w:pPr>
              <w:spacing w:before="46" w:line="234" w:lineRule="auto"/>
              <w:ind w:right="183"/>
              <w:jc w:val="both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>（需至少提供合同内容页及盖章页）</w:t>
            </w:r>
          </w:p>
        </w:tc>
        <w:tc>
          <w:tcPr>
            <w:tcW w:w="1167" w:type="dxa"/>
          </w:tcPr>
          <w:p w14:paraId="1748A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011" w:type="dxa"/>
          </w:tcPr>
          <w:p w14:paraId="782DC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34BF3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037" w:type="dxa"/>
            <w:vAlign w:val="center"/>
          </w:tcPr>
          <w:p w14:paraId="5BA5D03B">
            <w:pPr>
              <w:spacing w:before="91" w:line="461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bookmarkStart w:id="5" w:name="_Toc8168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本地化服务支撑能力</w:t>
            </w:r>
          </w:p>
          <w:p w14:paraId="6868BBF7">
            <w:pPr>
              <w:snapToGrid w:val="0"/>
              <w:spacing w:line="46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733" w:type="dxa"/>
            <w:vAlign w:val="center"/>
          </w:tcPr>
          <w:p w14:paraId="3B5F7E92">
            <w:pPr>
              <w:spacing w:before="46" w:line="234" w:lineRule="auto"/>
              <w:ind w:right="183"/>
              <w:jc w:val="both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>具有本地服务支撑能力。响应人总部、分公司或服务团队在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>广东省内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 xml:space="preserve">的，提供承诺函承诺成交后在项目实施地成立本地服务团队的，得10分，否则不得分。 </w:t>
            </w:r>
          </w:p>
          <w:p w14:paraId="1B7341DA">
            <w:pPr>
              <w:spacing w:before="46" w:line="234" w:lineRule="auto"/>
              <w:ind w:right="183"/>
              <w:jc w:val="both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>注：提供营业执照复印件，或有效期内的办公室租赁合同复印件（租赁合同租赁方须为响应人或其分支机构，租赁合同内容须体现租赁用途为写字楼或办公用途），或承诺函等证明文件</w:t>
            </w:r>
          </w:p>
        </w:tc>
        <w:tc>
          <w:tcPr>
            <w:tcW w:w="1167" w:type="dxa"/>
            <w:vAlign w:val="center"/>
          </w:tcPr>
          <w:p w14:paraId="024D5F15">
            <w:pPr>
              <w:snapToGrid w:val="0"/>
              <w:spacing w:line="4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011" w:type="dxa"/>
          </w:tcPr>
          <w:p w14:paraId="30F1D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51EE0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7" w:type="dxa"/>
          </w:tcPr>
          <w:p w14:paraId="79822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合计</w:t>
            </w:r>
            <w:bookmarkEnd w:id="5"/>
          </w:p>
        </w:tc>
        <w:tc>
          <w:tcPr>
            <w:tcW w:w="6911" w:type="dxa"/>
            <w:gridSpan w:val="3"/>
          </w:tcPr>
          <w:p w14:paraId="39582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40</w:t>
            </w:r>
          </w:p>
        </w:tc>
      </w:tr>
    </w:tbl>
    <w:p w14:paraId="3A40D512">
      <w:pPr>
        <w:pStyle w:val="3"/>
        <w:spacing w:before="91" w:line="223" w:lineRule="auto"/>
        <w:ind w:left="558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技术评分表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2"/>
        <w:gridCol w:w="4748"/>
        <w:gridCol w:w="1167"/>
        <w:gridCol w:w="1011"/>
      </w:tblGrid>
      <w:tr w14:paraId="10B24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2" w:type="dxa"/>
          </w:tcPr>
          <w:p w14:paraId="6A8A8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1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6" w:name="_Toc8398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评审项目</w:t>
            </w:r>
            <w:bookmarkEnd w:id="6"/>
          </w:p>
        </w:tc>
        <w:tc>
          <w:tcPr>
            <w:tcW w:w="4748" w:type="dxa"/>
          </w:tcPr>
          <w:p w14:paraId="312E0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1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7" w:name="_Toc5264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评分标准</w:t>
            </w:r>
            <w:bookmarkEnd w:id="7"/>
          </w:p>
        </w:tc>
        <w:tc>
          <w:tcPr>
            <w:tcW w:w="1167" w:type="dxa"/>
          </w:tcPr>
          <w:p w14:paraId="6DC2C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1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8" w:name="_Toc10890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分值</w:t>
            </w:r>
            <w:bookmarkEnd w:id="8"/>
          </w:p>
        </w:tc>
        <w:tc>
          <w:tcPr>
            <w:tcW w:w="1011" w:type="dxa"/>
          </w:tcPr>
          <w:p w14:paraId="6F84E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1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9" w:name="_Toc18057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评分</w:t>
            </w:r>
            <w:bookmarkEnd w:id="9"/>
          </w:p>
        </w:tc>
      </w:tr>
      <w:tr w14:paraId="2A21E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2" w:type="dxa"/>
          </w:tcPr>
          <w:p w14:paraId="5C388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10" w:name="_Toc946"/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val="en-US" w:eastAsia="zh-CN"/>
              </w:rPr>
              <w:t>项目服务方案</w:t>
            </w:r>
            <w:bookmarkEnd w:id="10"/>
          </w:p>
        </w:tc>
        <w:tc>
          <w:tcPr>
            <w:tcW w:w="4748" w:type="dxa"/>
          </w:tcPr>
          <w:p w14:paraId="626A60EA">
            <w:pPr>
              <w:spacing w:before="46" w:line="234" w:lineRule="auto"/>
              <w:ind w:right="183"/>
              <w:jc w:val="both"/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供应商需按照对项目需求的理解，制定详细可靠的策划与执行服务方案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3F08E71A">
            <w:pPr>
              <w:spacing w:before="46" w:line="234" w:lineRule="auto"/>
              <w:ind w:right="183"/>
              <w:jc w:val="both"/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1.完全满足并优于采购需求，得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分；</w:t>
            </w:r>
          </w:p>
          <w:p w14:paraId="2009664B">
            <w:pPr>
              <w:spacing w:before="46" w:line="234" w:lineRule="auto"/>
              <w:ind w:right="183"/>
              <w:jc w:val="both"/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2.满足采购需求，得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分；</w:t>
            </w:r>
          </w:p>
          <w:p w14:paraId="577DF604">
            <w:pPr>
              <w:spacing w:before="46" w:line="234" w:lineRule="auto"/>
              <w:ind w:right="183"/>
              <w:jc w:val="both"/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3.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val="en-US" w:eastAsia="zh-CN"/>
              </w:rPr>
              <w:t>基本</w:t>
            </w: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满足采购需求，得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分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C8BE2C3">
            <w:pPr>
              <w:spacing w:before="46" w:line="234" w:lineRule="auto"/>
              <w:ind w:right="183"/>
              <w:jc w:val="both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val="en-US" w:eastAsia="zh-CN"/>
              </w:rPr>
              <w:t>4.不能满足</w:t>
            </w: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采购需求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val="en-US" w:eastAsia="zh-CN"/>
              </w:rPr>
              <w:t>得0分。</w:t>
            </w:r>
          </w:p>
        </w:tc>
        <w:tc>
          <w:tcPr>
            <w:tcW w:w="1167" w:type="dxa"/>
          </w:tcPr>
          <w:p w14:paraId="27EAD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1011" w:type="dxa"/>
          </w:tcPr>
          <w:p w14:paraId="293D5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7B158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022" w:type="dxa"/>
          </w:tcPr>
          <w:p w14:paraId="6325743F">
            <w:pPr>
              <w:spacing w:before="91" w:line="461" w:lineRule="exact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项目执行进度计划安排</w:t>
            </w:r>
          </w:p>
        </w:tc>
        <w:tc>
          <w:tcPr>
            <w:tcW w:w="4748" w:type="dxa"/>
          </w:tcPr>
          <w:p w14:paraId="27FF0699">
            <w:pPr>
              <w:spacing w:before="46" w:line="234" w:lineRule="auto"/>
              <w:ind w:right="183"/>
              <w:jc w:val="both"/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供应商需根据项目需求，制定详细可靠的项目计划安排，从前期策划、中期执行到后期成果验收的整体实施进度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11840D40">
            <w:pPr>
              <w:spacing w:before="46" w:line="234" w:lineRule="auto"/>
              <w:ind w:right="183"/>
              <w:jc w:val="both"/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完全满足并优于采购需求，得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分；</w:t>
            </w:r>
          </w:p>
          <w:p w14:paraId="155AD64D">
            <w:pPr>
              <w:spacing w:before="46" w:line="234" w:lineRule="auto"/>
              <w:ind w:right="183"/>
              <w:jc w:val="both"/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2.满足采购需求，得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分；</w:t>
            </w:r>
          </w:p>
          <w:p w14:paraId="5385B458">
            <w:pPr>
              <w:spacing w:before="46" w:line="234" w:lineRule="auto"/>
              <w:ind w:right="183"/>
              <w:jc w:val="both"/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3.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val="en-US" w:eastAsia="zh-CN"/>
              </w:rPr>
              <w:t>基本</w:t>
            </w: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满足采购需求，得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分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5319551">
            <w:pPr>
              <w:spacing w:before="46" w:line="234" w:lineRule="auto"/>
              <w:ind w:right="183"/>
              <w:jc w:val="both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val="en-US" w:eastAsia="zh-CN"/>
              </w:rPr>
              <w:t>4.不能满足</w:t>
            </w:r>
            <w:r>
              <w:rPr>
                <w:rFonts w:hint="default" w:ascii="Times New Roman" w:hAnsi="Times New Roman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采购需求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eastAsia="仿宋_GB2312" w:cs="Times New Roman"/>
                <w:spacing w:val="-2"/>
                <w:sz w:val="24"/>
                <w:szCs w:val="24"/>
                <w:highlight w:val="none"/>
                <w:lang w:val="en-US" w:eastAsia="zh-CN"/>
              </w:rPr>
              <w:t>得0分。</w:t>
            </w:r>
          </w:p>
        </w:tc>
        <w:tc>
          <w:tcPr>
            <w:tcW w:w="1167" w:type="dxa"/>
          </w:tcPr>
          <w:p w14:paraId="7EC99A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011" w:type="dxa"/>
          </w:tcPr>
          <w:p w14:paraId="74207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2C214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2" w:type="dxa"/>
          </w:tcPr>
          <w:p w14:paraId="5B8A8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11" w:name="_Toc14945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合计</w:t>
            </w:r>
            <w:bookmarkEnd w:id="11"/>
          </w:p>
        </w:tc>
        <w:tc>
          <w:tcPr>
            <w:tcW w:w="6926" w:type="dxa"/>
            <w:gridSpan w:val="3"/>
          </w:tcPr>
          <w:p w14:paraId="5362E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40</w:t>
            </w:r>
          </w:p>
        </w:tc>
      </w:tr>
    </w:tbl>
    <w:p w14:paraId="5C1F54EE">
      <w:pPr>
        <w:pStyle w:val="3"/>
        <w:spacing w:before="91" w:line="223" w:lineRule="auto"/>
        <w:ind w:left="558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4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价格评分表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7"/>
        <w:gridCol w:w="4750"/>
        <w:gridCol w:w="1167"/>
        <w:gridCol w:w="994"/>
      </w:tblGrid>
      <w:tr w14:paraId="32D14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7" w:type="dxa"/>
          </w:tcPr>
          <w:p w14:paraId="05BB8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1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12" w:name="_Toc6039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评审项目</w:t>
            </w:r>
            <w:bookmarkEnd w:id="12"/>
          </w:p>
        </w:tc>
        <w:tc>
          <w:tcPr>
            <w:tcW w:w="4750" w:type="dxa"/>
          </w:tcPr>
          <w:p w14:paraId="2901D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1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13" w:name="_Toc2856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评分标准</w:t>
            </w:r>
            <w:bookmarkEnd w:id="13"/>
          </w:p>
        </w:tc>
        <w:tc>
          <w:tcPr>
            <w:tcW w:w="1167" w:type="dxa"/>
          </w:tcPr>
          <w:p w14:paraId="29B37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1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14" w:name="_Toc26221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分值</w:t>
            </w:r>
            <w:bookmarkEnd w:id="14"/>
          </w:p>
        </w:tc>
        <w:tc>
          <w:tcPr>
            <w:tcW w:w="994" w:type="dxa"/>
          </w:tcPr>
          <w:p w14:paraId="3FCAA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1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15" w:name="_Toc8804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评分</w:t>
            </w:r>
            <w:bookmarkEnd w:id="15"/>
          </w:p>
        </w:tc>
      </w:tr>
      <w:tr w14:paraId="343F5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7" w:type="dxa"/>
            <w:vAlign w:val="center"/>
          </w:tcPr>
          <w:p w14:paraId="7A3FC866">
            <w:pPr>
              <w:spacing w:before="91" w:line="223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价格部分</w:t>
            </w:r>
          </w:p>
        </w:tc>
        <w:tc>
          <w:tcPr>
            <w:tcW w:w="4750" w:type="dxa"/>
            <w:vAlign w:val="center"/>
          </w:tcPr>
          <w:p w14:paraId="77414F35">
            <w:pPr>
              <w:spacing w:before="46" w:line="234" w:lineRule="auto"/>
              <w:ind w:right="183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计算价格评分：各有效投标供应商的评标</w:t>
            </w:r>
            <w:r>
              <w:rPr>
                <w:rFonts w:hint="eastAsia" w:ascii="仿宋_GB2312" w:hAnsi="仿宋_GB2312" w:eastAsia="仿宋_GB2312" w:cs="仿宋_GB2312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价中，取得最低者作为基准价，各有效投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标供应商的价格评分统一按照下列公式计</w:t>
            </w: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</w:rPr>
              <w:t>算：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价格评分=（基准价／评标价）</w:t>
            </w:r>
            <w:r>
              <w:rPr>
                <w:rFonts w:hint="eastAsia" w:ascii="仿宋_GB2312" w:hAnsi="仿宋_GB2312" w:eastAsia="仿宋_GB2312" w:cs="仿宋_GB2312"/>
                <w:spacing w:val="-73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167" w:type="dxa"/>
            <w:vAlign w:val="center"/>
          </w:tcPr>
          <w:p w14:paraId="328C928C">
            <w:pPr>
              <w:spacing w:before="91" w:line="181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994" w:type="dxa"/>
            <w:vAlign w:val="center"/>
          </w:tcPr>
          <w:p w14:paraId="4B3AB72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 w14:paraId="1B490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</w:p>
    <w:p w14:paraId="793DEEE7">
      <w:pPr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b/>
          <w:sz w:val="32"/>
          <w:szCs w:val="32"/>
          <w:lang w:val="en-US" w:eastAsia="zh-CN"/>
        </w:rPr>
      </w:pPr>
    </w:p>
    <w:p w14:paraId="2ADA4988"/>
    <w:sectPr>
      <w:footerReference r:id="rId3" w:type="default"/>
      <w:pgSz w:w="11906" w:h="16838"/>
      <w:pgMar w:top="2098" w:right="1587" w:bottom="1984" w:left="1587" w:header="851" w:footer="709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0151FD8-E724-46BB-BF0D-3F53DD43938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3EFE2BC-529A-4964-8F35-050840BF40E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58BE4A4-602D-486E-BDDD-A4A407188C0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AE5827A-875C-472B-9FA3-355B4167F23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1008CB"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C001BA">
                          <w:pPr>
                            <w:pStyle w:val="4"/>
                            <w:rPr>
                              <w:rFonts w:hint="eastAsia" w:eastAsia="宋体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AM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C001BA">
                    <w:pPr>
                      <w:pStyle w:val="4"/>
                      <w:rPr>
                        <w:rFonts w:hint="eastAsia" w:eastAsia="宋体"/>
                        <w:color w:val="000000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color w:val="000000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color w:val="000000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color w:val="000000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color w:val="000000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color w:val="000000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color w:val="000000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color w:val="000000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22B0E"/>
    <w:rsid w:val="7F62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2025-03-24T09:21:00Z</dcterms:created>
  <dc:creator>Kiko.希</dc:creator>
  <cp:lastModifiedBy>Kiko.希</cp:lastModifiedBy>
  <dcterms:modified xsi:type="dcterms:W3CDTF">2025-03-24T09:22:29Z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1685564846EA473CA55A6D5DA63FD09F_11</vt:lpwstr>
  </property>
  <property fmtid="{D5CDD505-2E9C-101B-9397-08002B2CF9AE}" pid="4" name="KSOTemplateDocerSaveRecord">
    <vt:lpwstr>eyJoZGlkIjoiOTQ1YThjMWI2ZjYyNjkyZWFmMTk2N2Y3NGM0ODJkNzkiLCJ1c2VySWQiOiI1NTQ5NTM1MTgifQ==</vt:lpwstr>
  </property>
</Properties>
</file>