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cs="Times New Roman"/>
          <w:spacing w:val="40"/>
          <w:sz w:val="48"/>
          <w:szCs w:val="48"/>
          <w:lang w:val="en-US" w:eastAsia="zh-CN"/>
        </w:rPr>
        <w:t>大型文化演出活动服务保障项目（包组二）</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项目编号：ND25090083GZ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lang w:val="en-US" w:eastAsia="zh-CN"/>
        </w:rPr>
        <w:t>大型文化演出活动服务保障项目（包组二）</w:t>
      </w:r>
      <w:r>
        <w:rPr>
          <w:rFonts w:hint="eastAsia"/>
          <w:bCs/>
          <w:sz w:val="24"/>
        </w:rPr>
        <w:t>采购公告及附件（项目编号：</w:t>
      </w:r>
      <w:r>
        <w:rPr>
          <w:rFonts w:hint="eastAsia"/>
          <w:bCs/>
          <w:sz w:val="24"/>
          <w:u w:val="single"/>
        </w:rPr>
        <w:t>ND25090083GZ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2.服务地点：广州市。</w:t>
            </w:r>
          </w:p>
          <w:p>
            <w:pPr>
              <w:ind w:firstLine="480" w:firstLineChars="200"/>
              <w:rPr>
                <w:rFonts w:ascii="宋体" w:hAnsi="宋体" w:cs="仿宋"/>
                <w:color w:val="auto"/>
                <w:sz w:val="24"/>
              </w:rPr>
            </w:pPr>
            <w:r>
              <w:rPr>
                <w:rFonts w:hint="eastAsia" w:ascii="宋体" w:hAnsi="宋体" w:cs="仿宋"/>
                <w:color w:val="auto"/>
                <w:sz w:val="24"/>
              </w:rPr>
              <w:t>3.付款方式：</w:t>
            </w:r>
            <w:r>
              <w:rPr>
                <w:rFonts w:hint="eastAsia" w:ascii="宋体" w:hAnsi="宋体" w:cs="仿宋"/>
                <w:color w:val="auto"/>
                <w:sz w:val="24"/>
                <w:lang w:val="en-US" w:eastAsia="zh-CN"/>
              </w:rPr>
              <w:t>首款30%，尾款70%</w:t>
            </w:r>
            <w:r>
              <w:rPr>
                <w:rFonts w:hint="eastAsia" w:ascii="宋体" w:hAnsi="宋体" w:cs="仿宋"/>
                <w:color w:val="auto"/>
                <w:sz w:val="24"/>
              </w:rPr>
              <w:t>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bookmarkStart w:id="3" w:name="OLE_LINK2"/>
      <w:r>
        <w:rPr>
          <w:rFonts w:hint="eastAsia"/>
          <w:bCs/>
          <w:sz w:val="24"/>
          <w:lang w:val="en-US" w:eastAsia="zh-CN"/>
        </w:rPr>
        <w:t>大型文化演出活动服务保障项目（包组二）</w:t>
      </w:r>
      <w:bookmarkEnd w:id="3"/>
      <w:r>
        <w:rPr>
          <w:rFonts w:hint="eastAsia" w:cs="宋体"/>
          <w:bCs/>
          <w:sz w:val="24"/>
        </w:rPr>
        <w:t>采购公告及附件（项目编号：ND25090083GZ）我方已完全了解本项目的商务与技术要求，承诺按照采购文件的要求提供产品和服务，报价如下。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8333" w:type="dxa"/>
        <w:jc w:val="center"/>
        <w:tblLayout w:type="autofit"/>
        <w:tblCellMar>
          <w:top w:w="15" w:type="dxa"/>
          <w:left w:w="15" w:type="dxa"/>
          <w:bottom w:w="15" w:type="dxa"/>
          <w:right w:w="15" w:type="dxa"/>
        </w:tblCellMar>
      </w:tblPr>
      <w:tblGrid>
        <w:gridCol w:w="669"/>
        <w:gridCol w:w="1486"/>
        <w:gridCol w:w="3267"/>
        <w:gridCol w:w="715"/>
        <w:gridCol w:w="1098"/>
        <w:gridCol w:w="1098"/>
      </w:tblGrid>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486"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267"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71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98"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单价 （元）</w:t>
            </w:r>
          </w:p>
        </w:tc>
        <w:tc>
          <w:tcPr>
            <w:tcW w:w="1098"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hint="eastAsia"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1</w:t>
            </w:r>
          </w:p>
        </w:tc>
        <w:tc>
          <w:tcPr>
            <w:tcW w:w="1486"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textAlignment w:val="center"/>
              <w:rPr>
                <w:rFonts w:hint="eastAsia" w:ascii="仿宋" w:hAnsi="仿宋" w:eastAsia="仿宋" w:cs="仿宋"/>
                <w:b w:val="0"/>
                <w:color w:val="000000"/>
                <w:kern w:val="0"/>
                <w:sz w:val="21"/>
                <w:szCs w:val="21"/>
                <w:u w:val="none"/>
                <w:lang w:eastAsia="zh-CN" w:bidi="ar"/>
              </w:rPr>
            </w:pPr>
            <w:r>
              <w:rPr>
                <w:rFonts w:hint="eastAsia" w:ascii="仿宋" w:hAnsi="仿宋" w:eastAsia="仿宋" w:cs="仿宋"/>
                <w:i w:val="0"/>
                <w:iCs w:val="0"/>
                <w:color w:val="000000"/>
                <w:kern w:val="0"/>
                <w:sz w:val="21"/>
                <w:szCs w:val="21"/>
                <w:u w:val="none"/>
                <w:lang w:val="en-US" w:eastAsia="zh-CN" w:bidi="ar"/>
              </w:rPr>
              <w:t>嘉宾接待及工作人员保障服务</w:t>
            </w:r>
          </w:p>
        </w:tc>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根据采购方需求，按照指定接待标准制定接待方案，包括但不限于策划、资源沟通、执行；本活动服务周期不少于1个月，服务团队至少包含6名专职人员，24名兼职人员：</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1项</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p>
            <w:pPr>
              <w:widowControl/>
              <w:jc w:val="center"/>
              <w:textAlignment w:val="center"/>
              <w:rPr>
                <w:rFonts w:hint="eastAsia" w:ascii="宋体" w:hAnsi="宋体" w:cs="宋体"/>
                <w:b/>
                <w:color w:val="000000"/>
                <w:kern w:val="0"/>
                <w:sz w:val="24"/>
                <w:lang w:eastAsia="zh-Hans" w:bidi="ar"/>
              </w:rPr>
            </w:pP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cs="宋体"/>
                <w:b/>
                <w:color w:val="000000"/>
                <w:kern w:val="0"/>
                <w:sz w:val="24"/>
                <w:lang w:val="en-US" w:eastAsia="zh-CN" w:bidi="ar"/>
              </w:rPr>
            </w:pPr>
            <w:r>
              <w:rPr>
                <w:rFonts w:hint="eastAsia" w:ascii="宋体" w:hAnsi="宋体" w:cs="宋体"/>
                <w:b/>
                <w:color w:val="000000"/>
                <w:kern w:val="0"/>
                <w:sz w:val="24"/>
                <w:lang w:val="en-US" w:eastAsia="zh-CN" w:bidi="ar"/>
              </w:rPr>
              <w:t>2</w:t>
            </w:r>
          </w:p>
        </w:tc>
        <w:tc>
          <w:tcPr>
            <w:tcW w:w="1486" w:type="dxa"/>
            <w:vMerge w:val="continue"/>
            <w:tcBorders>
              <w:left w:val="single" w:color="auto" w:sz="4" w:space="0"/>
              <w:right w:val="single" w:color="auto" w:sz="4" w:space="0"/>
            </w:tcBorders>
            <w:shd w:val="clear" w:color="auto" w:fill="auto"/>
            <w:vAlign w:val="center"/>
          </w:tcPr>
          <w:p>
            <w:pPr>
              <w:widowControl/>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p>
        </w:tc>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numPr>
                <w:ilvl w:val="-1"/>
                <w:numId w:val="0"/>
              </w:numPr>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（1）根据采购方确定的接待方案，提供不少于30车次6座商务车进行24小时交通保障服务，使用周期为2个自然日（根据工作需要安排时间），每辆车次费用不高于2000元/天/辆；</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（2）提供港澳牌照直通商务车辆2辆，使用周期为2个自然日，</w:t>
            </w:r>
            <w:bookmarkStart w:id="4" w:name="OLE_LINK1"/>
            <w:r>
              <w:rPr>
                <w:rFonts w:hint="eastAsia" w:ascii="仿宋" w:hAnsi="仿宋" w:eastAsia="仿宋" w:cs="仿宋"/>
                <w:i w:val="0"/>
                <w:iCs w:val="0"/>
                <w:color w:val="000000"/>
                <w:kern w:val="0"/>
                <w:sz w:val="21"/>
                <w:szCs w:val="21"/>
                <w:u w:val="none"/>
                <w:lang w:val="en-US" w:eastAsia="zh-CN" w:bidi="ar"/>
              </w:rPr>
              <w:t>每辆车次费用不高于5000元/天/辆；</w:t>
            </w:r>
          </w:p>
          <w:bookmarkEnd w:id="4"/>
          <w:p>
            <w:pPr>
              <w:keepNext w:val="0"/>
              <w:keepLines w:val="0"/>
              <w:pageBreakBefore w:val="0"/>
              <w:widowControl/>
              <w:numPr>
                <w:ilvl w:val="-1"/>
                <w:numId w:val="0"/>
              </w:numPr>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（3）提供48座中巴2辆，使用周期为2个自然日，每辆车次费用不高于3500元/天/辆；</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*以上交通保障服务包含司机服务、油费、过路费、司机餐食、停车费等。</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1项</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cs="宋体"/>
                <w:b/>
                <w:color w:val="000000"/>
                <w:kern w:val="0"/>
                <w:sz w:val="24"/>
                <w:lang w:val="en-US" w:eastAsia="zh-CN" w:bidi="ar"/>
              </w:rPr>
            </w:pPr>
            <w:r>
              <w:rPr>
                <w:rFonts w:hint="eastAsia" w:ascii="宋体" w:hAnsi="宋体" w:cs="宋体"/>
                <w:b/>
                <w:color w:val="000000"/>
                <w:kern w:val="0"/>
                <w:sz w:val="24"/>
                <w:lang w:val="en-US" w:eastAsia="zh-CN" w:bidi="ar"/>
              </w:rPr>
              <w:t>3</w:t>
            </w:r>
          </w:p>
        </w:tc>
        <w:tc>
          <w:tcPr>
            <w:tcW w:w="1486" w:type="dxa"/>
            <w:vMerge w:val="continue"/>
            <w:tcBorders>
              <w:left w:val="single" w:color="auto" w:sz="4" w:space="0"/>
              <w:right w:val="single" w:color="auto" w:sz="4" w:space="0"/>
            </w:tcBorders>
            <w:shd w:val="clear" w:color="auto" w:fill="auto"/>
            <w:vAlign w:val="center"/>
          </w:tcPr>
          <w:p>
            <w:pPr>
              <w:widowControl/>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p>
        </w:tc>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根据采购方确定的接待方案，按照200人次嘉宾数量需求，提供广州市核心城区4星级或同等条件以上酒店食宿保障服务，酒店要求距广州大剧院5公里内、房间室内装修不超过6年，住宿时间2天，房费不高于500元/晚，餐费不低于100元/天。</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1项</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cs="宋体"/>
                <w:b/>
                <w:color w:val="000000"/>
                <w:kern w:val="0"/>
                <w:sz w:val="24"/>
                <w:lang w:val="en-US" w:eastAsia="zh-CN" w:bidi="ar"/>
              </w:rPr>
            </w:pPr>
            <w:r>
              <w:rPr>
                <w:rFonts w:hint="eastAsia" w:ascii="宋体" w:hAnsi="宋体" w:cs="宋体"/>
                <w:b/>
                <w:color w:val="000000"/>
                <w:kern w:val="0"/>
                <w:sz w:val="24"/>
                <w:lang w:val="en-US" w:eastAsia="zh-CN" w:bidi="ar"/>
              </w:rPr>
              <w:t>4</w:t>
            </w:r>
          </w:p>
        </w:tc>
        <w:tc>
          <w:tcPr>
            <w:tcW w:w="1486" w:type="dxa"/>
            <w:vMerge w:val="continue"/>
            <w:tcBorders>
              <w:left w:val="single" w:color="auto" w:sz="4" w:space="0"/>
              <w:right w:val="single" w:color="auto" w:sz="4" w:space="0"/>
            </w:tcBorders>
            <w:shd w:val="clear" w:color="auto" w:fill="auto"/>
            <w:vAlign w:val="center"/>
          </w:tcPr>
          <w:p>
            <w:pPr>
              <w:widowControl/>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p>
        </w:tc>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提供30位重要嘉宾的往返机票、火车等大交通费用，人均交通费用不低于3000元/人，包含不可预计情况产生的交通改签费、额外住宿费或租车</w:t>
            </w:r>
            <w:bookmarkStart w:id="11" w:name="_GoBack"/>
            <w:bookmarkEnd w:id="11"/>
            <w:r>
              <w:rPr>
                <w:rFonts w:hint="eastAsia" w:ascii="仿宋" w:hAnsi="仿宋" w:eastAsia="仿宋" w:cs="仿宋"/>
                <w:i w:val="0"/>
                <w:iCs w:val="0"/>
                <w:color w:val="000000"/>
                <w:kern w:val="0"/>
                <w:sz w:val="21"/>
                <w:szCs w:val="21"/>
                <w:u w:val="none"/>
                <w:lang w:val="en-US" w:eastAsia="zh-CN" w:bidi="ar"/>
              </w:rPr>
              <w:t>费用。</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30位</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CellMar>
            <w:top w:w="15" w:type="dxa"/>
            <w:left w:w="15" w:type="dxa"/>
            <w:bottom w:w="15" w:type="dxa"/>
            <w:right w:w="15" w:type="dxa"/>
          </w:tblCellMar>
        </w:tblPrEx>
        <w:trPr>
          <w:trHeight w:val="822" w:hRule="atLeast"/>
          <w:jc w:val="center"/>
        </w:trPr>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cs="宋体"/>
                <w:b/>
                <w:color w:val="000000"/>
                <w:kern w:val="0"/>
                <w:sz w:val="24"/>
                <w:lang w:val="en-US" w:eastAsia="zh-CN" w:bidi="ar"/>
              </w:rPr>
            </w:pPr>
            <w:r>
              <w:rPr>
                <w:rFonts w:hint="eastAsia" w:ascii="宋体" w:hAnsi="宋体" w:cs="宋体"/>
                <w:b/>
                <w:color w:val="000000"/>
                <w:kern w:val="0"/>
                <w:sz w:val="24"/>
                <w:lang w:val="en-US" w:eastAsia="zh-CN" w:bidi="ar"/>
              </w:rPr>
              <w:t>5</w:t>
            </w:r>
          </w:p>
        </w:tc>
        <w:tc>
          <w:tcPr>
            <w:tcW w:w="1486"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p>
        </w:tc>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活动工作人员餐费保障：工作人员为嘉宾提供活动现场服务保障，负责嘉宾接待、签到、酒店入住、现场指引等服务保障，活动实地执行周期为3个自然日，工作人员数量为30人，服务费用不低于100元/人/天。</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*以上包含服务团队人员参与项目的服务费用。</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30人</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5" w:name="_Toc1651899"/>
      <w:bookmarkStart w:id="6" w:name="_Toc475472674"/>
      <w:bookmarkStart w:id="7"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5"/>
      <w:bookmarkEnd w:id="6"/>
      <w:bookmarkEnd w:id="7"/>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cs="Times New Roman"/>
                          <w:b/>
                          <w:sz w:val="24"/>
                          <w:szCs w:val="24"/>
                          <w:u w:val="single"/>
                          <w:lang w:val="en-US" w:eastAsia="zh-CN"/>
                        </w:rPr>
                        <w:t>大型文化演出活动服务保障项目（包组二）</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：ND25090083GZ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8" w:name="_Toc475472676"/>
      <w:bookmarkStart w:id="9" w:name="_Toc1651903"/>
      <w:bookmarkStart w:id="10" w:name="_Toc34146941"/>
      <w:r>
        <w:rPr>
          <w:rFonts w:hint="eastAsia" w:ascii="宋体" w:hAnsi="宋体" w:cs="宋体"/>
          <w:kern w:val="0"/>
          <w:sz w:val="28"/>
          <w:szCs w:val="28"/>
        </w:rPr>
        <w:t>六、供应商项目实施能力证明资料</w:t>
      </w:r>
      <w:bookmarkEnd w:id="8"/>
      <w:bookmarkEnd w:id="9"/>
      <w:bookmarkEnd w:id="10"/>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lang w:val="en-US" w:eastAsia="zh-CN"/>
      </w:rPr>
      <w:t>大型文化演出活动服务保障项目（包组二）</w:t>
    </w:r>
    <w:r>
      <w:rPr>
        <w:rFonts w:hint="eastAsia" w:ascii="宋体" w:hAnsi="宋体" w:cs="宋体"/>
      </w:rPr>
      <w:t>（项目编号：ND25090083GZ）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262D8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0E36DA9"/>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47920"/>
    <w:rsid w:val="1B4B75C9"/>
    <w:rsid w:val="1BB704F8"/>
    <w:rsid w:val="1BE36C4D"/>
    <w:rsid w:val="1C614B16"/>
    <w:rsid w:val="1D6A328E"/>
    <w:rsid w:val="1D960F37"/>
    <w:rsid w:val="1DEC9A83"/>
    <w:rsid w:val="1E377AD8"/>
    <w:rsid w:val="1F455CC3"/>
    <w:rsid w:val="1FB1080F"/>
    <w:rsid w:val="1FD15227"/>
    <w:rsid w:val="20145149"/>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3FA7745"/>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AFF3541"/>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5566A6F"/>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2119</Words>
  <Characters>2142</Characters>
  <Lines>23</Lines>
  <Paragraphs>6</Paragraphs>
  <TotalTime>84</TotalTime>
  <ScaleCrop>false</ScaleCrop>
  <LinksUpToDate>false</LinksUpToDate>
  <CharactersWithSpaces>2170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2021-06-11T08:09:00Z</cp:lastPrinted>
  <dcterms:modified xsi:type="dcterms:W3CDTF">2025-09-04T01:26:47Z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1FFF6B6874B844B68FFD59AF356E7913</vt:lpwstr>
  </property>
  <property fmtid="{D5CDD505-2E9C-101B-9397-08002B2CF9AE}" pid="4" name="KSOTemplateDocerSaveRecord">
    <vt:lpwstr>eyJoZGlkIjoiZTE4Y2U4NmVjNWY4N2Y5NGQ4MDA4MzQ2ZmZmNmVkZmMiLCJ1c2VySWQiOiIyNzg2OTE4NjQifQ==</vt:lpwstr>
  </property>
</Properties>
</file>