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赴欧非亚三国交流活动行程服务项目</w:t>
      </w:r>
    </w:p>
    <w:p>
      <w:pPr>
        <w:pStyle w:val="57"/>
        <w:rPr>
          <w:rFonts w:ascii="宋体" w:hAnsi="宋体" w:cs="宋体"/>
          <w:color w:val="auto"/>
          <w:spacing w:val="40"/>
          <w:sz w:val="44"/>
          <w:szCs w:val="32"/>
        </w:rPr>
      </w:pPr>
    </w:p>
    <w:p>
      <w:pPr>
        <w:pStyle w:val="57"/>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WJS-202310240085</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hint="eastAsia" w:ascii="宋体" w:hAnsi="宋体" w:eastAsia="宋体" w:cs="宋体"/>
          <w:sz w:val="24"/>
          <w:lang w:eastAsia="zh-CN"/>
        </w:rPr>
      </w:pPr>
      <w:r>
        <w:rPr>
          <w:rFonts w:hint="eastAsia" w:ascii="宋体" w:hAnsi="宋体" w:cs="宋体"/>
          <w:sz w:val="24"/>
        </w:rPr>
        <w:t>招标人：</w:t>
      </w:r>
      <w:r>
        <w:rPr>
          <w:rFonts w:hint="eastAsia" w:ascii="宋体" w:hAnsi="宋体" w:cs="宋体"/>
          <w:sz w:val="24"/>
          <w:lang w:eastAsia="zh-CN"/>
        </w:rPr>
        <w:t>广东南方网络信息科技有限公司</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w:t>
      </w:r>
      <w:r>
        <w:rPr>
          <w:rFonts w:hint="eastAsia" w:ascii="宋体" w:hAnsi="宋体" w:cs="宋体"/>
          <w:sz w:val="24"/>
          <w:lang w:val="en-US" w:eastAsia="zh-CN"/>
        </w:rPr>
        <w:t>10</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30"/>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rPr>
          <w:rFonts w:hint="eastAsia" w:cs="宋体"/>
          <w:bCs/>
          <w:szCs w:val="22"/>
        </w:rPr>
        <w:fldChar w:fldCharType="begin"/>
      </w:r>
      <w:r>
        <w:rPr>
          <w:rFonts w:hint="eastAsia" w:cs="宋体"/>
          <w:bCs/>
          <w:szCs w:val="22"/>
        </w:rPr>
        <w:instrText xml:space="preserve"> HYPERLINK \l _Toc2962 </w:instrText>
      </w:r>
      <w:r>
        <w:rPr>
          <w:rFonts w:hint="eastAsia" w:cs="宋体"/>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_Toc2962 \h </w:instrText>
      </w:r>
      <w:r>
        <w:fldChar w:fldCharType="separate"/>
      </w:r>
      <w:r>
        <w:t>1</w:t>
      </w:r>
      <w:r>
        <w:fldChar w:fldCharType="end"/>
      </w:r>
      <w:r>
        <w:rPr>
          <w:rFonts w:hint="eastAsia" w:cs="宋体"/>
          <w:bCs/>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_Toc26303 </w:instrText>
      </w:r>
      <w:r>
        <w:rPr>
          <w:rFonts w:hint="eastAsia" w:ascii="宋体" w:hAnsi="宋体" w:cs="宋体"/>
          <w:szCs w:val="22"/>
        </w:rPr>
        <w:fldChar w:fldCharType="separate"/>
      </w:r>
      <w:r>
        <w:rPr>
          <w:rFonts w:hint="eastAsia" w:ascii="宋体" w:hAnsi="宋体" w:eastAsia="宋体" w:cs="宋体"/>
          <w:bCs w:val="0"/>
          <w:kern w:val="0"/>
          <w:szCs w:val="28"/>
        </w:rPr>
        <w:t>第二章  投标人须知</w:t>
      </w:r>
      <w:r>
        <w:tab/>
      </w:r>
      <w:r>
        <w:fldChar w:fldCharType="begin"/>
      </w:r>
      <w:r>
        <w:instrText xml:space="preserve"> PAGEREF _Toc26303 \h </w:instrText>
      </w:r>
      <w:r>
        <w:fldChar w:fldCharType="separate"/>
      </w:r>
      <w:r>
        <w:t>4</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_Toc13711 </w:instrText>
      </w:r>
      <w:r>
        <w:rPr>
          <w:rFonts w:hint="eastAsia" w:ascii="宋体" w:hAnsi="宋体" w:cs="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_Toc13711 \h </w:instrText>
      </w:r>
      <w:r>
        <w:fldChar w:fldCharType="separate"/>
      </w:r>
      <w:r>
        <w:t>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_Toc30150 </w:instrText>
      </w:r>
      <w:r>
        <w:rPr>
          <w:rFonts w:hint="eastAsia" w:ascii="宋体" w:hAnsi="宋体" w:cs="宋体"/>
          <w:szCs w:val="22"/>
        </w:rPr>
        <w:fldChar w:fldCharType="separate"/>
      </w:r>
      <w:r>
        <w:rPr>
          <w:rFonts w:hint="eastAsia" w:ascii="宋体" w:hAnsi="宋体" w:eastAsia="宋体" w:cs="宋体"/>
          <w:bCs w:val="0"/>
          <w:kern w:val="0"/>
          <w:szCs w:val="28"/>
        </w:rPr>
        <w:t>第三章 评审办法（综合评估法）</w:t>
      </w:r>
      <w:r>
        <w:tab/>
      </w:r>
      <w:r>
        <w:fldChar w:fldCharType="begin"/>
      </w:r>
      <w:r>
        <w:instrText xml:space="preserve"> PAGEREF _Toc30150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_Toc1559 </w:instrText>
      </w:r>
      <w:r>
        <w:rPr>
          <w:rFonts w:hint="eastAsia" w:ascii="宋体" w:hAnsi="宋体" w:cs="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_Toc1559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_Toc7542 </w:instrText>
      </w:r>
      <w:r>
        <w:rPr>
          <w:rFonts w:hint="eastAsia" w:ascii="宋体" w:hAnsi="宋体" w:cs="宋体"/>
          <w:szCs w:val="22"/>
        </w:rPr>
        <w:fldChar w:fldCharType="separate"/>
      </w:r>
      <w:r>
        <w:rPr>
          <w:rFonts w:hint="eastAsia" w:ascii="宋体" w:hAnsi="宋体" w:eastAsia="宋体" w:cs="宋体"/>
        </w:rPr>
        <w:t>1、初步评审表</w:t>
      </w:r>
      <w:r>
        <w:tab/>
      </w:r>
      <w:r>
        <w:fldChar w:fldCharType="begin"/>
      </w:r>
      <w:r>
        <w:instrText xml:space="preserve"> PAGEREF _Toc7542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_Toc3287 </w:instrText>
      </w:r>
      <w:r>
        <w:rPr>
          <w:rFonts w:hint="eastAsia" w:ascii="宋体" w:hAnsi="宋体" w:cs="宋体"/>
          <w:szCs w:val="22"/>
        </w:rPr>
        <w:fldChar w:fldCharType="separate"/>
      </w:r>
      <w:r>
        <w:rPr>
          <w:rFonts w:hint="eastAsia" w:ascii="宋体" w:hAnsi="宋体" w:eastAsia="宋体"/>
        </w:rPr>
        <w:t>2、技术评分表</w:t>
      </w:r>
      <w:r>
        <w:tab/>
      </w:r>
      <w:r>
        <w:fldChar w:fldCharType="begin"/>
      </w:r>
      <w:r>
        <w:instrText xml:space="preserve"> PAGEREF _Toc3287 \h </w:instrText>
      </w:r>
      <w:r>
        <w:fldChar w:fldCharType="separate"/>
      </w:r>
      <w:r>
        <w:t>20</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_Toc13034 </w:instrText>
      </w:r>
      <w:r>
        <w:rPr>
          <w:rFonts w:hint="eastAsia" w:ascii="宋体" w:hAnsi="宋体" w:cs="宋体"/>
          <w:szCs w:val="22"/>
        </w:rPr>
        <w:fldChar w:fldCharType="separate"/>
      </w:r>
      <w:r>
        <w:rPr>
          <w:rFonts w:hint="eastAsia" w:ascii="宋体" w:hAnsi="宋体" w:eastAsia="宋体"/>
        </w:rPr>
        <w:t>3、商务评分表</w:t>
      </w:r>
      <w:r>
        <w:tab/>
      </w:r>
      <w:r>
        <w:fldChar w:fldCharType="begin"/>
      </w:r>
      <w:r>
        <w:instrText xml:space="preserve"> PAGEREF _Toc13034 \h </w:instrText>
      </w:r>
      <w:r>
        <w:fldChar w:fldCharType="separate"/>
      </w:r>
      <w:r>
        <w:t>20</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_Toc26108 </w:instrText>
      </w:r>
      <w:r>
        <w:rPr>
          <w:rFonts w:hint="eastAsia" w:ascii="宋体" w:hAnsi="宋体" w:cs="宋体"/>
          <w:szCs w:val="22"/>
        </w:rPr>
        <w:fldChar w:fldCharType="separate"/>
      </w:r>
      <w:r>
        <w:rPr>
          <w:rFonts w:hint="eastAsia" w:ascii="宋体" w:hAnsi="宋体" w:eastAsia="宋体" w:cs="宋体"/>
        </w:rPr>
        <w:t>4、价格评分表</w:t>
      </w:r>
      <w:r>
        <w:tab/>
      </w:r>
      <w:r>
        <w:fldChar w:fldCharType="begin"/>
      </w:r>
      <w:r>
        <w:instrText xml:space="preserve"> PAGEREF _Toc26108 \h </w:instrText>
      </w:r>
      <w:r>
        <w:fldChar w:fldCharType="separate"/>
      </w:r>
      <w:r>
        <w:t>21</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_Toc5915 </w:instrText>
      </w:r>
      <w:r>
        <w:rPr>
          <w:rFonts w:hint="eastAsia" w:ascii="宋体" w:hAnsi="宋体" w:cs="宋体"/>
          <w:szCs w:val="22"/>
        </w:rPr>
        <w:fldChar w:fldCharType="separate"/>
      </w:r>
      <w:r>
        <w:rPr>
          <w:rFonts w:hint="eastAsia" w:ascii="宋体" w:hAnsi="宋体" w:eastAsia="宋体" w:cs="宋体"/>
          <w:bCs w:val="0"/>
          <w:kern w:val="0"/>
          <w:szCs w:val="28"/>
        </w:rPr>
        <w:t>第四章  商务合同</w:t>
      </w:r>
      <w:r>
        <w:tab/>
      </w:r>
      <w:r>
        <w:fldChar w:fldCharType="begin"/>
      </w:r>
      <w:r>
        <w:instrText xml:space="preserve"> PAGEREF _Toc5915 \h </w:instrText>
      </w:r>
      <w:r>
        <w:fldChar w:fldCharType="separate"/>
      </w:r>
      <w:r>
        <w:t>24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_Toc13868 </w:instrText>
      </w:r>
      <w:r>
        <w:rPr>
          <w:rFonts w:hint="eastAsia" w:ascii="宋体" w:hAnsi="宋体" w:cs="宋体"/>
          <w:szCs w:val="22"/>
        </w:rPr>
        <w:fldChar w:fldCharType="separate"/>
      </w:r>
      <w:r>
        <w:rPr>
          <w:rFonts w:hint="eastAsia" w:ascii="宋体" w:hAnsi="宋体" w:eastAsia="宋体" w:cs="宋体"/>
          <w:bCs w:val="0"/>
          <w:kern w:val="0"/>
          <w:szCs w:val="28"/>
        </w:rPr>
        <w:t>第五章  采购需求书</w:t>
      </w:r>
      <w:r>
        <w:tab/>
      </w:r>
      <w:r>
        <w:fldChar w:fldCharType="begin"/>
      </w:r>
      <w:r>
        <w:instrText xml:space="preserve"> PAGEREF _Toc13868 \h </w:instrText>
      </w:r>
      <w:r>
        <w:fldChar w:fldCharType="separate"/>
      </w:r>
      <w:r>
        <w:t>34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_Toc714 </w:instrText>
      </w:r>
      <w:r>
        <w:rPr>
          <w:rFonts w:hint="eastAsia" w:ascii="宋体" w:hAnsi="宋体" w:cs="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_Toc714 \h </w:instrText>
      </w:r>
      <w:r>
        <w:fldChar w:fldCharType="separate"/>
      </w:r>
      <w:r>
        <w:t>38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_Toc22540 </w:instrText>
      </w:r>
      <w:r>
        <w:rPr>
          <w:rFonts w:hint="eastAsia" w:ascii="宋体" w:hAnsi="宋体" w:cs="宋体"/>
          <w:szCs w:val="22"/>
        </w:rPr>
        <w:fldChar w:fldCharType="separate"/>
      </w:r>
      <w:r>
        <w:rPr>
          <w:rFonts w:hint="eastAsia" w:ascii="宋体" w:hAnsi="宋体" w:cs="宋体"/>
          <w:szCs w:val="24"/>
        </w:rPr>
        <w:t>第一分册</w:t>
      </w:r>
      <w:r>
        <w:tab/>
      </w:r>
      <w:r>
        <w:fldChar w:fldCharType="begin"/>
      </w:r>
      <w:r>
        <w:instrText xml:space="preserve"> PAGEREF _Toc22540 \h </w:instrText>
      </w:r>
      <w:r>
        <w:fldChar w:fldCharType="separate"/>
      </w:r>
      <w:r>
        <w:t>39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_Toc30257 </w:instrText>
      </w:r>
      <w:r>
        <w:rPr>
          <w:rFonts w:hint="eastAsia" w:ascii="宋体" w:hAnsi="宋体" w:cs="宋体"/>
          <w:szCs w:val="22"/>
        </w:rPr>
        <w:fldChar w:fldCharType="separate"/>
      </w:r>
      <w:r>
        <w:rPr>
          <w:rFonts w:hint="eastAsia" w:ascii="宋体" w:hAnsi="宋体" w:cs="宋体"/>
          <w:szCs w:val="24"/>
        </w:rPr>
        <w:t>1. 商务、技术投标文件封面</w:t>
      </w:r>
      <w:r>
        <w:tab/>
      </w:r>
      <w:r>
        <w:fldChar w:fldCharType="begin"/>
      </w:r>
      <w:r>
        <w:instrText xml:space="preserve"> PAGEREF _Toc30257 \h </w:instrText>
      </w:r>
      <w:r>
        <w:fldChar w:fldCharType="separate"/>
      </w:r>
      <w:r>
        <w:t>39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_Toc27127 </w:instrText>
      </w:r>
      <w:r>
        <w:rPr>
          <w:rFonts w:hint="eastAsia" w:ascii="宋体" w:hAnsi="宋体" w:cs="宋体"/>
          <w:szCs w:val="22"/>
        </w:rPr>
        <w:fldChar w:fldCharType="separate"/>
      </w:r>
      <w:r>
        <w:rPr>
          <w:rFonts w:hint="eastAsia" w:ascii="宋体" w:hAnsi="宋体" w:cs="宋体"/>
          <w:szCs w:val="24"/>
        </w:rPr>
        <w:t>2. 评审索引表</w:t>
      </w:r>
      <w:r>
        <w:tab/>
      </w:r>
      <w:r>
        <w:fldChar w:fldCharType="begin"/>
      </w:r>
      <w:r>
        <w:instrText xml:space="preserve"> PAGEREF _Toc27127 \h </w:instrText>
      </w:r>
      <w:r>
        <w:fldChar w:fldCharType="separate"/>
      </w:r>
      <w:r>
        <w:t>40</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_Toc27702 </w:instrText>
      </w:r>
      <w:r>
        <w:rPr>
          <w:rFonts w:hint="eastAsia" w:ascii="宋体" w:hAnsi="宋体" w:cs="宋体"/>
          <w:szCs w:val="22"/>
        </w:rPr>
        <w:fldChar w:fldCharType="separate"/>
      </w:r>
      <w:r>
        <w:rPr>
          <w:rFonts w:hint="eastAsia" w:ascii="宋体" w:hAnsi="宋体" w:cs="宋体"/>
          <w:szCs w:val="24"/>
        </w:rPr>
        <w:t>3. 投标函</w:t>
      </w:r>
      <w:r>
        <w:tab/>
      </w:r>
      <w:r>
        <w:fldChar w:fldCharType="begin"/>
      </w:r>
      <w:r>
        <w:instrText xml:space="preserve"> PAGEREF _Toc27702 \h </w:instrText>
      </w:r>
      <w:r>
        <w:fldChar w:fldCharType="separate"/>
      </w:r>
      <w:r>
        <w:t>41</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_Toc13360 </w:instrText>
      </w:r>
      <w:r>
        <w:rPr>
          <w:rFonts w:hint="eastAsia" w:ascii="宋体" w:hAnsi="宋体" w:cs="宋体"/>
          <w:szCs w:val="22"/>
        </w:rPr>
        <w:fldChar w:fldCharType="separate"/>
      </w:r>
      <w:r>
        <w:rPr>
          <w:rFonts w:hint="eastAsia" w:ascii="宋体" w:hAnsi="宋体" w:cs="宋体"/>
          <w:szCs w:val="24"/>
        </w:rPr>
        <w:t>4. 法定代表人（负责人）身份证明</w:t>
      </w:r>
      <w:r>
        <w:tab/>
      </w:r>
      <w:r>
        <w:fldChar w:fldCharType="begin"/>
      </w:r>
      <w:r>
        <w:instrText xml:space="preserve"> PAGEREF _Toc13360 \h </w:instrText>
      </w:r>
      <w:r>
        <w:fldChar w:fldCharType="separate"/>
      </w:r>
      <w:r>
        <w:t>43</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_Toc31183 </w:instrText>
      </w:r>
      <w:r>
        <w:rPr>
          <w:rFonts w:hint="eastAsia" w:ascii="宋体" w:hAnsi="宋体" w:cs="宋体"/>
          <w:szCs w:val="22"/>
        </w:rPr>
        <w:fldChar w:fldCharType="separate"/>
      </w:r>
      <w:r>
        <w:rPr>
          <w:rFonts w:hint="eastAsia" w:ascii="宋体" w:hAnsi="宋体" w:cs="宋体"/>
          <w:szCs w:val="24"/>
        </w:rPr>
        <w:t>5. 法定代表人（负责人）授权委托书</w:t>
      </w:r>
      <w:r>
        <w:tab/>
      </w:r>
      <w:r>
        <w:fldChar w:fldCharType="begin"/>
      </w:r>
      <w:r>
        <w:instrText xml:space="preserve"> PAGEREF _Toc31183 \h </w:instrText>
      </w:r>
      <w:r>
        <w:fldChar w:fldCharType="separate"/>
      </w:r>
      <w:r>
        <w:t>44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_Toc29502 </w:instrText>
      </w:r>
      <w:r>
        <w:rPr>
          <w:rFonts w:hint="eastAsia" w:ascii="宋体" w:hAnsi="宋体" w:cs="宋体"/>
          <w:szCs w:val="22"/>
        </w:rPr>
        <w:fldChar w:fldCharType="separate"/>
      </w:r>
      <w:r>
        <w:rPr>
          <w:rFonts w:hint="eastAsia" w:ascii="宋体" w:hAnsi="宋体" w:cs="宋体"/>
          <w:szCs w:val="24"/>
        </w:rPr>
        <w:t>6. 资格审查资料</w:t>
      </w:r>
      <w:r>
        <w:tab/>
      </w:r>
      <w:r>
        <w:fldChar w:fldCharType="begin"/>
      </w:r>
      <w:r>
        <w:instrText xml:space="preserve"> PAGEREF _Toc29502 \h </w:instrText>
      </w:r>
      <w:r>
        <w:fldChar w:fldCharType="separate"/>
      </w:r>
      <w:r>
        <w:t>45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_Toc32574 </w:instrText>
      </w:r>
      <w:r>
        <w:rPr>
          <w:rFonts w:hint="eastAsia" w:ascii="宋体" w:hAnsi="宋体" w:cs="宋体"/>
          <w:szCs w:val="22"/>
        </w:rPr>
        <w:fldChar w:fldCharType="separate"/>
      </w:r>
      <w:r>
        <w:rPr>
          <w:rFonts w:hint="eastAsia" w:ascii="宋体" w:hAnsi="宋体" w:cs="宋体"/>
          <w:szCs w:val="24"/>
        </w:rPr>
        <w:t>6.1 投标人基本情况表</w:t>
      </w:r>
      <w:r>
        <w:tab/>
      </w:r>
      <w:r>
        <w:fldChar w:fldCharType="begin"/>
      </w:r>
      <w:r>
        <w:instrText xml:space="preserve"> PAGEREF _Toc32574 \h </w:instrText>
      </w:r>
      <w:r>
        <w:fldChar w:fldCharType="separate"/>
      </w:r>
      <w:r>
        <w:t>45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_Toc11466 </w:instrText>
      </w:r>
      <w:r>
        <w:rPr>
          <w:rFonts w:hint="eastAsia" w:ascii="宋体" w:hAnsi="宋体" w:cs="宋体"/>
          <w:szCs w:val="22"/>
        </w:rPr>
        <w:fldChar w:fldCharType="separate"/>
      </w:r>
      <w:r>
        <w:rPr>
          <w:rFonts w:hint="eastAsia" w:ascii="宋体" w:hAnsi="宋体" w:cs="宋体"/>
          <w:szCs w:val="24"/>
        </w:rPr>
        <w:t>6.2 资格要求材料</w:t>
      </w:r>
      <w:r>
        <w:tab/>
      </w:r>
      <w:r>
        <w:fldChar w:fldCharType="begin"/>
      </w:r>
      <w:r>
        <w:instrText xml:space="preserve"> PAGEREF _Toc11466 \h </w:instrText>
      </w:r>
      <w:r>
        <w:fldChar w:fldCharType="separate"/>
      </w:r>
      <w:r>
        <w:t>46</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_Toc16433 </w:instrText>
      </w:r>
      <w:r>
        <w:rPr>
          <w:rFonts w:hint="eastAsia" w:ascii="宋体" w:hAnsi="宋体" w:cs="宋体"/>
          <w:szCs w:val="22"/>
        </w:rPr>
        <w:fldChar w:fldCharType="separate"/>
      </w:r>
      <w:r>
        <w:rPr>
          <w:rFonts w:hint="eastAsia" w:ascii="宋体" w:hAnsi="宋体" w:cs="宋体"/>
          <w:szCs w:val="24"/>
        </w:rPr>
        <w:t>6.3 关于资格的声明函</w:t>
      </w:r>
      <w:r>
        <w:tab/>
      </w:r>
      <w:r>
        <w:fldChar w:fldCharType="begin"/>
      </w:r>
      <w:r>
        <w:instrText xml:space="preserve"> PAGEREF _Toc16433 \h </w:instrText>
      </w:r>
      <w:r>
        <w:fldChar w:fldCharType="separate"/>
      </w:r>
      <w:r>
        <w:t>47</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_Toc16330 </w:instrText>
      </w:r>
      <w:r>
        <w:rPr>
          <w:rFonts w:hint="eastAsia" w:ascii="宋体" w:hAnsi="宋体" w:cs="宋体"/>
          <w:szCs w:val="22"/>
        </w:rPr>
        <w:fldChar w:fldCharType="separate"/>
      </w:r>
      <w:r>
        <w:rPr>
          <w:rFonts w:hint="eastAsia" w:ascii="宋体" w:hAnsi="宋体" w:cs="宋体"/>
          <w:szCs w:val="24"/>
        </w:rPr>
        <w:t>6.4 投标人控股及管理关系情况申报</w:t>
      </w:r>
      <w:r>
        <w:tab/>
      </w:r>
      <w:r>
        <w:fldChar w:fldCharType="begin"/>
      </w:r>
      <w:r>
        <w:instrText xml:space="preserve"> PAGEREF _Toc16330 \h </w:instrText>
      </w:r>
      <w:r>
        <w:fldChar w:fldCharType="separate"/>
      </w:r>
      <w:r>
        <w:t>48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_Toc10689 </w:instrText>
      </w:r>
      <w:r>
        <w:rPr>
          <w:rFonts w:hint="eastAsia" w:ascii="宋体" w:hAnsi="宋体" w:cs="宋体"/>
          <w:szCs w:val="22"/>
        </w:rPr>
        <w:fldChar w:fldCharType="separate"/>
      </w:r>
      <w:r>
        <w:rPr>
          <w:rFonts w:hint="eastAsia" w:ascii="宋体" w:hAnsi="宋体" w:cs="宋体"/>
          <w:szCs w:val="24"/>
        </w:rPr>
        <w:t>7. 商务合同条款偏离表</w:t>
      </w:r>
      <w:r>
        <w:tab/>
      </w:r>
      <w:r>
        <w:fldChar w:fldCharType="begin"/>
      </w:r>
      <w:r>
        <w:instrText xml:space="preserve"> PAGEREF _Toc10689 \h </w:instrText>
      </w:r>
      <w:r>
        <w:fldChar w:fldCharType="separate"/>
      </w:r>
      <w:r>
        <w:t>49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_Toc12043 </w:instrText>
      </w:r>
      <w:r>
        <w:rPr>
          <w:rFonts w:hint="eastAsia" w:ascii="宋体" w:hAnsi="宋体" w:cs="宋体"/>
          <w:szCs w:val="22"/>
        </w:rPr>
        <w:fldChar w:fldCharType="separate"/>
      </w:r>
      <w:r>
        <w:rPr>
          <w:rFonts w:hint="eastAsia" w:ascii="宋体" w:hAnsi="宋体" w:cs="宋体"/>
          <w:szCs w:val="24"/>
        </w:rPr>
        <w:t>8. 实质性条款偏离表</w:t>
      </w:r>
      <w:r>
        <w:tab/>
      </w:r>
      <w:r>
        <w:fldChar w:fldCharType="begin"/>
      </w:r>
      <w:r>
        <w:instrText xml:space="preserve"> PAGEREF _Toc12043 \h </w:instrText>
      </w:r>
      <w:r>
        <w:fldChar w:fldCharType="separate"/>
      </w:r>
      <w:r>
        <w:t>50</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_Toc7506 </w:instrText>
      </w:r>
      <w:r>
        <w:rPr>
          <w:rFonts w:hint="eastAsia" w:ascii="宋体" w:hAnsi="宋体" w:cs="宋体"/>
          <w:szCs w:val="22"/>
        </w:rPr>
        <w:fldChar w:fldCharType="separate"/>
      </w:r>
      <w:r>
        <w:rPr>
          <w:rFonts w:hint="eastAsia" w:ascii="宋体" w:hAnsi="宋体" w:cs="宋体"/>
          <w:szCs w:val="24"/>
        </w:rPr>
        <w:t>9. 采购需求条款偏离表</w:t>
      </w:r>
      <w:r>
        <w:tab/>
      </w:r>
      <w:r>
        <w:fldChar w:fldCharType="begin"/>
      </w:r>
      <w:r>
        <w:instrText xml:space="preserve"> PAGEREF _Toc7506 \h </w:instrText>
      </w:r>
      <w:r>
        <w:fldChar w:fldCharType="separate"/>
      </w:r>
      <w:r>
        <w:t>51</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_Toc16635 </w:instrText>
      </w:r>
      <w:r>
        <w:rPr>
          <w:rFonts w:hint="eastAsia" w:ascii="宋体" w:hAnsi="宋体" w:cs="宋体"/>
          <w:szCs w:val="22"/>
        </w:rPr>
        <w:fldChar w:fldCharType="separate"/>
      </w:r>
      <w:r>
        <w:rPr>
          <w:rFonts w:hint="eastAsia" w:ascii="宋体" w:hAnsi="宋体" w:cs="宋体"/>
          <w:szCs w:val="24"/>
        </w:rPr>
        <w:t>11.同类业绩表</w:t>
      </w:r>
      <w:r>
        <w:tab/>
      </w:r>
      <w:r>
        <w:fldChar w:fldCharType="begin"/>
      </w:r>
      <w:r>
        <w:instrText xml:space="preserve"> PAGEREF _Toc16635 \h </w:instrText>
      </w:r>
      <w:r>
        <w:fldChar w:fldCharType="separate"/>
      </w:r>
      <w:r>
        <w:t>52</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_Toc4018 </w:instrText>
      </w:r>
      <w:r>
        <w:rPr>
          <w:rFonts w:hint="eastAsia" w:ascii="宋体" w:hAnsi="宋体" w:cs="宋体"/>
          <w:szCs w:val="22"/>
        </w:rPr>
        <w:fldChar w:fldCharType="separate"/>
      </w:r>
      <w:r>
        <w:rPr>
          <w:rFonts w:hint="eastAsia" w:ascii="宋体" w:hAnsi="宋体" w:cs="宋体"/>
          <w:szCs w:val="24"/>
        </w:rPr>
        <w:t>12.拟投入本项目</w:t>
      </w:r>
      <w:r>
        <w:rPr>
          <w:rFonts w:hint="eastAsia" w:ascii="宋体" w:hAnsi="宋体" w:cs="宋体"/>
          <w:szCs w:val="24"/>
          <w:lang w:val="en-US" w:eastAsia="zh-CN"/>
        </w:rPr>
        <w:t>技术</w:t>
      </w:r>
      <w:r>
        <w:rPr>
          <w:rFonts w:hint="eastAsia" w:ascii="宋体" w:hAnsi="宋体" w:cs="宋体"/>
          <w:szCs w:val="24"/>
        </w:rPr>
        <w:t>服务人员明细表</w:t>
      </w:r>
      <w:r>
        <w:tab/>
      </w:r>
      <w:r>
        <w:fldChar w:fldCharType="begin"/>
      </w:r>
      <w:r>
        <w:instrText xml:space="preserve"> PAGEREF _Toc4018 \h </w:instrText>
      </w:r>
      <w:r>
        <w:fldChar w:fldCharType="separate"/>
      </w:r>
      <w:r>
        <w:t>53</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_Toc9960 </w:instrText>
      </w:r>
      <w:r>
        <w:rPr>
          <w:rFonts w:hint="eastAsia" w:ascii="宋体" w:hAnsi="宋体" w:cs="宋体"/>
          <w:szCs w:val="22"/>
        </w:rPr>
        <w:fldChar w:fldCharType="separate"/>
      </w:r>
      <w:r>
        <w:rPr>
          <w:rFonts w:hint="eastAsia" w:ascii="宋体" w:hAnsi="宋体" w:cs="宋体"/>
        </w:rPr>
        <w:t>10. 公章对投标专用章授权说明（如有）</w:t>
      </w:r>
      <w:r>
        <w:tab/>
      </w:r>
      <w:r>
        <w:fldChar w:fldCharType="begin"/>
      </w:r>
      <w:r>
        <w:instrText xml:space="preserve"> PAGEREF _Toc9960 \h </w:instrText>
      </w:r>
      <w:r>
        <w:fldChar w:fldCharType="separate"/>
      </w:r>
      <w:r>
        <w:t>54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_Toc1507 </w:instrText>
      </w:r>
      <w:r>
        <w:rPr>
          <w:rFonts w:hint="eastAsia" w:ascii="宋体" w:hAnsi="宋体" w:cs="宋体"/>
          <w:szCs w:val="22"/>
        </w:rPr>
        <w:fldChar w:fldCharType="separate"/>
      </w:r>
      <w:r>
        <w:rPr>
          <w:rFonts w:hint="eastAsia" w:ascii="宋体" w:hAnsi="宋体" w:cs="宋体"/>
          <w:szCs w:val="24"/>
        </w:rPr>
        <w:t>13.其他资料（若有）</w:t>
      </w:r>
      <w:r>
        <w:tab/>
      </w:r>
      <w:r>
        <w:fldChar w:fldCharType="begin"/>
      </w:r>
      <w:r>
        <w:instrText xml:space="preserve"> PAGEREF _Toc1507 \h </w:instrText>
      </w:r>
      <w:r>
        <w:fldChar w:fldCharType="separate"/>
      </w:r>
      <w:r>
        <w:t>55</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_Toc12045 </w:instrText>
      </w:r>
      <w:r>
        <w:rPr>
          <w:rFonts w:hint="eastAsia" w:ascii="宋体" w:hAnsi="宋体" w:cs="宋体"/>
          <w:szCs w:val="22"/>
        </w:rPr>
        <w:fldChar w:fldCharType="separate"/>
      </w:r>
      <w:r>
        <w:rPr>
          <w:rFonts w:hint="eastAsia" w:ascii="宋体" w:hAnsi="宋体" w:cs="宋体"/>
        </w:rPr>
        <w:t>13.1 企业认证、资质、荣誉证书（若有）</w:t>
      </w:r>
      <w:r>
        <w:tab/>
      </w:r>
      <w:r>
        <w:fldChar w:fldCharType="begin"/>
      </w:r>
      <w:r>
        <w:instrText xml:space="preserve"> PAGEREF _Toc12045 \h </w:instrText>
      </w:r>
      <w:r>
        <w:fldChar w:fldCharType="separate"/>
      </w:r>
      <w:r>
        <w:t>55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_Toc1391 </w:instrText>
      </w:r>
      <w:r>
        <w:rPr>
          <w:rFonts w:hint="eastAsia" w:ascii="宋体" w:hAnsi="宋体" w:cs="宋体"/>
          <w:szCs w:val="22"/>
        </w:rPr>
        <w:fldChar w:fldCharType="separate"/>
      </w:r>
      <w:r>
        <w:rPr>
          <w:rFonts w:hint="eastAsia" w:ascii="宋体" w:hAnsi="宋体" w:cs="宋体"/>
          <w:szCs w:val="24"/>
        </w:rPr>
        <w:t>14.服务方案（格式自拟）</w:t>
      </w:r>
      <w:r>
        <w:tab/>
      </w:r>
      <w:r>
        <w:fldChar w:fldCharType="begin"/>
      </w:r>
      <w:r>
        <w:instrText xml:space="preserve"> PAGEREF _Toc1391 \h </w:instrText>
      </w:r>
      <w:r>
        <w:fldChar w:fldCharType="separate"/>
      </w:r>
      <w:r>
        <w:t>55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_Toc24606 </w:instrText>
      </w:r>
      <w:r>
        <w:rPr>
          <w:rFonts w:hint="eastAsia" w:ascii="宋体" w:hAnsi="宋体" w:cs="宋体"/>
          <w:szCs w:val="22"/>
        </w:rPr>
        <w:fldChar w:fldCharType="separate"/>
      </w:r>
      <w:r>
        <w:rPr>
          <w:rFonts w:hint="eastAsia" w:ascii="宋体" w:hAnsi="宋体" w:cs="宋体"/>
          <w:szCs w:val="24"/>
        </w:rPr>
        <w:t>15.投标人认为需要提供的其他资料</w:t>
      </w:r>
      <w:r>
        <w:tab/>
      </w:r>
      <w:r>
        <w:fldChar w:fldCharType="begin"/>
      </w:r>
      <w:r>
        <w:instrText xml:space="preserve"> PAGEREF _Toc24606 \h </w:instrText>
      </w:r>
      <w:r>
        <w:fldChar w:fldCharType="separate"/>
      </w:r>
      <w:r>
        <w:t>55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_Toc31808 </w:instrText>
      </w:r>
      <w:r>
        <w:rPr>
          <w:rFonts w:hint="eastAsia" w:ascii="宋体" w:hAnsi="宋体" w:cs="宋体"/>
          <w:szCs w:val="22"/>
        </w:rPr>
        <w:fldChar w:fldCharType="separate"/>
      </w:r>
      <w:r>
        <w:rPr>
          <w:rFonts w:hint="eastAsia" w:ascii="宋体" w:hAnsi="宋体" w:cs="宋体"/>
          <w:szCs w:val="24"/>
        </w:rPr>
        <w:t>第二分册</w:t>
      </w:r>
      <w:r>
        <w:tab/>
      </w:r>
      <w:r>
        <w:fldChar w:fldCharType="begin"/>
      </w:r>
      <w:r>
        <w:instrText xml:space="preserve"> PAGEREF _Toc31808 \h </w:instrText>
      </w:r>
      <w:r>
        <w:fldChar w:fldCharType="separate"/>
      </w:r>
      <w:r>
        <w:t>56</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_Toc4668 </w:instrText>
      </w:r>
      <w:r>
        <w:rPr>
          <w:rFonts w:hint="eastAsia" w:ascii="宋体" w:hAnsi="宋体" w:cs="宋体"/>
          <w:szCs w:val="22"/>
        </w:rPr>
        <w:fldChar w:fldCharType="separate"/>
      </w:r>
      <w:r>
        <w:rPr>
          <w:rFonts w:hint="eastAsia" w:ascii="宋体" w:hAnsi="宋体" w:cs="宋体"/>
          <w:szCs w:val="24"/>
        </w:rPr>
        <w:t>1. 经济投标文件封面</w:t>
      </w:r>
      <w:r>
        <w:tab/>
      </w:r>
      <w:r>
        <w:fldChar w:fldCharType="begin"/>
      </w:r>
      <w:r>
        <w:instrText xml:space="preserve"> PAGEREF _Toc4668 \h </w:instrText>
      </w:r>
      <w:r>
        <w:fldChar w:fldCharType="separate"/>
      </w:r>
      <w:r>
        <w:t>56</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_Toc1102 </w:instrText>
      </w:r>
      <w:r>
        <w:rPr>
          <w:rFonts w:hint="eastAsia" w:ascii="宋体" w:hAnsi="宋体" w:cs="宋体"/>
          <w:szCs w:val="22"/>
        </w:rPr>
        <w:fldChar w:fldCharType="separate"/>
      </w:r>
      <w:r>
        <w:rPr>
          <w:rFonts w:hint="eastAsia" w:ascii="宋体" w:hAnsi="宋体" w:cs="宋体"/>
          <w:szCs w:val="24"/>
        </w:rPr>
        <w:t>2. 报价一览表</w:t>
      </w:r>
      <w:r>
        <w:tab/>
      </w:r>
      <w:r>
        <w:fldChar w:fldCharType="begin"/>
      </w:r>
      <w:r>
        <w:instrText xml:space="preserve"> PAGEREF _Toc1102 \h </w:instrText>
      </w:r>
      <w:r>
        <w:fldChar w:fldCharType="separate"/>
      </w:r>
      <w:r>
        <w:t>57</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_Toc30835 </w:instrText>
      </w:r>
      <w:r>
        <w:rPr>
          <w:rFonts w:hint="eastAsia" w:ascii="宋体" w:hAnsi="宋体" w:cs="宋体"/>
          <w:szCs w:val="22"/>
        </w:rPr>
        <w:fldChar w:fldCharType="separate"/>
      </w:r>
      <w:r>
        <w:rPr>
          <w:rFonts w:hint="eastAsia" w:ascii="宋体" w:hAnsi="宋体" w:cs="宋体"/>
          <w:szCs w:val="24"/>
        </w:rPr>
        <w:t>3. 分项一览表</w:t>
      </w:r>
      <w:r>
        <w:rPr>
          <w:rFonts w:hint="eastAsia" w:ascii="宋体" w:hAnsi="宋体" w:cs="宋体"/>
          <w:szCs w:val="24"/>
          <w:lang w:eastAsia="zh-CN"/>
        </w:rPr>
        <w:t>（</w:t>
      </w:r>
      <w:r>
        <w:rPr>
          <w:rFonts w:hint="eastAsia" w:ascii="宋体" w:hAnsi="宋体" w:cs="宋体"/>
          <w:szCs w:val="24"/>
          <w:lang w:val="en-US" w:eastAsia="zh-CN"/>
        </w:rPr>
        <w:t>格式自拟</w:t>
      </w:r>
      <w:r>
        <w:rPr>
          <w:rFonts w:hint="eastAsia" w:ascii="宋体" w:hAnsi="宋体" w:cs="宋体"/>
          <w:szCs w:val="24"/>
          <w:lang w:eastAsia="zh-CN"/>
        </w:rPr>
        <w:t>）</w:t>
      </w:r>
      <w:r>
        <w:tab/>
      </w:r>
      <w:r>
        <w:fldChar w:fldCharType="begin"/>
      </w:r>
      <w:r>
        <w:instrText xml:space="preserve"> PAGEREF _Toc30835 \h </w:instrText>
      </w:r>
      <w:r>
        <w:fldChar w:fldCharType="separate"/>
      </w:r>
      <w:r>
        <w:t>58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_Toc18850 </w:instrText>
      </w:r>
      <w:r>
        <w:rPr>
          <w:rFonts w:hint="eastAsia" w:ascii="宋体" w:hAnsi="宋体" w:cs="宋体"/>
          <w:szCs w:val="22"/>
        </w:rPr>
        <w:fldChar w:fldCharType="separate"/>
      </w:r>
      <w:r>
        <w:rPr>
          <w:rFonts w:hint="eastAsia" w:ascii="宋体" w:hAnsi="宋体" w:cs="宋体"/>
          <w:szCs w:val="24"/>
        </w:rPr>
        <w:t>4. 招标代理服务费承诺书</w:t>
      </w:r>
      <w:r>
        <w:tab/>
      </w:r>
      <w:r>
        <w:fldChar w:fldCharType="begin"/>
      </w:r>
      <w:r>
        <w:instrText xml:space="preserve"> PAGEREF _Toc18850 \h </w:instrText>
      </w:r>
      <w:r>
        <w:fldChar w:fldCharType="separate"/>
      </w:r>
      <w:r>
        <w:t>59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_Toc26412 </w:instrText>
      </w:r>
      <w:r>
        <w:rPr>
          <w:rFonts w:hint="eastAsia" w:ascii="宋体" w:hAnsi="宋体" w:cs="宋体"/>
          <w:szCs w:val="22"/>
        </w:rPr>
        <w:fldChar w:fldCharType="separate"/>
      </w:r>
      <w:r>
        <w:rPr>
          <w:rFonts w:hint="eastAsia" w:ascii="宋体" w:hAnsi="宋体" w:cs="宋体"/>
          <w:szCs w:val="24"/>
        </w:rPr>
        <w:t>5. 投标保证金汇款凭证</w:t>
      </w:r>
      <w:r>
        <w:tab/>
      </w:r>
      <w:r>
        <w:fldChar w:fldCharType="begin"/>
      </w:r>
      <w:r>
        <w:instrText xml:space="preserve"> PAGEREF _Toc26412 \h </w:instrText>
      </w:r>
      <w:r>
        <w:fldChar w:fldCharType="separate"/>
      </w:r>
      <w:r>
        <w:t>60</w:t>
      </w:r>
      <w:r>
        <w:fldChar w:fldCharType="end"/>
      </w:r>
      <w:r>
        <w:rPr>
          <w:rFonts w:hint="eastAsia" w:ascii="宋体" w:hAnsi="宋体" w:cs="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r>
        <w:rPr>
          <w:rFonts w:hint="eastAsia" w:ascii="宋体" w:hAnsi="宋体" w:cs="宋体"/>
          <w:szCs w:val="22"/>
        </w:rPr>
        <w:fldChar w:fldCharType="end"/>
      </w:r>
    </w:p>
    <w:p>
      <w:pPr>
        <w:pStyle w:val="85"/>
        <w:spacing w:before="240" w:after="120"/>
        <w:rPr>
          <w:rFonts w:ascii="宋体" w:hAnsi="宋体" w:eastAsia="宋体" w:cs="宋体"/>
          <w:b/>
          <w:bCs w:val="0"/>
          <w:kern w:val="0"/>
          <w:sz w:val="28"/>
          <w:szCs w:val="28"/>
        </w:rPr>
      </w:pPr>
      <w:bookmarkStart w:id="1" w:name="_Toc7924"/>
      <w:bookmarkStart w:id="2" w:name="_Toc2962"/>
      <w:bookmarkStart w:id="3" w:name="_Toc56432210"/>
      <w:bookmarkStart w:id="4" w:name="_Toc447265497"/>
      <w:bookmarkStart w:id="5" w:name="_Toc447188662"/>
      <w:bookmarkStart w:id="6" w:name="_Toc23697"/>
      <w:bookmarkStart w:id="7" w:name="_Toc447265797"/>
      <w:bookmarkStart w:id="8" w:name="_Toc2882"/>
      <w:bookmarkStart w:id="9" w:name="_Toc447265211"/>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赴欧非亚三国交流活动行程服务项目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赴欧非亚三国交流活动行程服务项目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WJS-202310240085</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lang w:eastAsia="zh-CN"/>
        </w:rPr>
        <w:t>广东南方网络信息科技有限公司</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86"/>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86"/>
        <w:adjustRightInd w:val="0"/>
        <w:snapToGrid w:val="0"/>
        <w:spacing w:line="440" w:lineRule="exact"/>
        <w:rPr>
          <w:rFonts w:ascii="宋体" w:hAnsi="宋体" w:cs="宋体"/>
          <w:szCs w:val="21"/>
        </w:rPr>
      </w:pPr>
      <w:r>
        <w:rPr>
          <w:rFonts w:hint="eastAsia" w:ascii="宋体" w:hAnsi="宋体" w:cs="宋体"/>
          <w:szCs w:val="21"/>
        </w:rPr>
        <w:t>1.1项目预算：</w:t>
      </w:r>
      <w:r>
        <w:rPr>
          <w:rFonts w:hint="eastAsia" w:ascii="宋体" w:hAnsi="宋体" w:cs="宋体"/>
          <w:szCs w:val="21"/>
          <w:lang w:val="en-US" w:eastAsia="zh-CN"/>
        </w:rPr>
        <w:t>1880000.00</w:t>
      </w:r>
      <w:r>
        <w:rPr>
          <w:rFonts w:hint="eastAsia" w:ascii="宋体" w:hAnsi="宋体" w:cs="宋体"/>
          <w:szCs w:val="21"/>
        </w:rPr>
        <w:t>元人民币（含税）。</w:t>
      </w:r>
    </w:p>
    <w:p>
      <w:pPr>
        <w:pStyle w:val="86"/>
        <w:adjustRightInd w:val="0"/>
        <w:snapToGrid w:val="0"/>
        <w:spacing w:line="440" w:lineRule="exact"/>
        <w:rPr>
          <w:rFonts w:hint="eastAsia" w:ascii="宋体" w:hAnsi="宋体" w:cs="宋体"/>
          <w:szCs w:val="21"/>
        </w:rPr>
      </w:pPr>
      <w:r>
        <w:rPr>
          <w:rFonts w:hint="eastAsia" w:ascii="宋体" w:hAnsi="宋体" w:cs="宋体"/>
          <w:szCs w:val="21"/>
        </w:rPr>
        <w:t>1.2项目概况: 本项目拟通过公开招标的方式选取</w:t>
      </w:r>
      <w:r>
        <w:rPr>
          <w:rFonts w:hint="eastAsia" w:ascii="宋体" w:hAnsi="宋体" w:cs="宋体"/>
          <w:szCs w:val="21"/>
          <w:lang w:val="en-US" w:eastAsia="zh-CN"/>
        </w:rPr>
        <w:t>1</w:t>
      </w:r>
      <w:r>
        <w:rPr>
          <w:rFonts w:hint="eastAsia" w:ascii="宋体" w:hAnsi="宋体" w:cs="宋体"/>
          <w:szCs w:val="21"/>
        </w:rPr>
        <w:t>名中标人，</w:t>
      </w:r>
      <w:r>
        <w:rPr>
          <w:rFonts w:hint="eastAsia" w:ascii="宋体" w:hAnsi="宋体" w:cs="宋体"/>
          <w:szCs w:val="21"/>
          <w:lang w:val="en-US" w:eastAsia="zh-CN"/>
        </w:rPr>
        <w:t>中标人在合同期内为招标人赴欧非亚三国交流活动的相关人员提供全程行程服务（含落地线下布展活动执行内容）</w:t>
      </w:r>
      <w:r>
        <w:rPr>
          <w:rFonts w:hint="eastAsia" w:ascii="宋体" w:hAnsi="宋体" w:cs="宋体"/>
          <w:szCs w:val="21"/>
        </w:rPr>
        <w:t>。</w:t>
      </w:r>
    </w:p>
    <w:p>
      <w:pPr>
        <w:pStyle w:val="86"/>
        <w:adjustRightInd w:val="0"/>
        <w:snapToGrid w:val="0"/>
        <w:spacing w:line="440" w:lineRule="exact"/>
        <w:rPr>
          <w:rFonts w:ascii="宋体" w:hAnsi="宋体" w:cs="宋体"/>
          <w:szCs w:val="21"/>
        </w:rPr>
      </w:pPr>
      <w:r>
        <w:rPr>
          <w:rFonts w:hint="eastAsia" w:ascii="宋体" w:hAnsi="宋体" w:cs="宋体"/>
          <w:szCs w:val="21"/>
        </w:rPr>
        <w:t>具体服务要求详见第五章《采购需求书》。</w:t>
      </w:r>
    </w:p>
    <w:p>
      <w:pPr>
        <w:pStyle w:val="86"/>
        <w:adjustRightInd w:val="0"/>
        <w:snapToGrid w:val="0"/>
        <w:spacing w:line="440" w:lineRule="exact"/>
        <w:rPr>
          <w:rFonts w:ascii="宋体" w:hAnsi="宋体" w:cs="宋体"/>
          <w:szCs w:val="21"/>
        </w:rPr>
      </w:pPr>
      <w:r>
        <w:rPr>
          <w:rFonts w:hint="eastAsia" w:ascii="宋体" w:hAnsi="宋体" w:cs="宋体"/>
          <w:szCs w:val="21"/>
        </w:rPr>
        <w:t>1.3 服务期限：</w:t>
      </w:r>
      <w:r>
        <w:rPr>
          <w:rFonts w:hint="eastAsia" w:ascii="宋体" w:hAnsi="宋体" w:eastAsia="宋体" w:cs="宋体"/>
          <w:sz w:val="21"/>
          <w:szCs w:val="21"/>
          <w:highlight w:val="none"/>
          <w:lang w:val="en-US" w:eastAsia="zh-CN"/>
        </w:rPr>
        <w:t>自合同生效之日起</w:t>
      </w:r>
      <w:r>
        <w:rPr>
          <w:rFonts w:hint="eastAsia" w:ascii="宋体" w:hAnsi="宋体" w:cs="宋体"/>
          <w:sz w:val="21"/>
          <w:szCs w:val="21"/>
          <w:highlight w:val="none"/>
          <w:lang w:val="en-US" w:eastAsia="zh-CN"/>
        </w:rPr>
        <w:t>至合同全部权利义务履行完毕之日止</w:t>
      </w:r>
      <w:r>
        <w:rPr>
          <w:rFonts w:hint="eastAsia" w:ascii="宋体" w:hAnsi="宋体" w:cs="宋体"/>
          <w:szCs w:val="21"/>
        </w:rPr>
        <w:t>。</w:t>
      </w:r>
    </w:p>
    <w:p>
      <w:pPr>
        <w:pStyle w:val="86"/>
        <w:adjustRightInd w:val="0"/>
        <w:snapToGrid w:val="0"/>
        <w:spacing w:line="440" w:lineRule="exact"/>
        <w:rPr>
          <w:rFonts w:ascii="宋体" w:hAnsi="宋体" w:cs="宋体"/>
          <w:szCs w:val="21"/>
        </w:rPr>
      </w:pPr>
      <w:r>
        <w:rPr>
          <w:rFonts w:hint="eastAsia" w:ascii="宋体" w:hAnsi="宋体" w:cs="宋体"/>
          <w:szCs w:val="21"/>
        </w:rPr>
        <w:t>1.4服务地点：招标人指定地点。</w:t>
      </w:r>
    </w:p>
    <w:p>
      <w:pPr>
        <w:pStyle w:val="86"/>
        <w:numPr>
          <w:ilvl w:val="0"/>
          <w:numId w:val="3"/>
        </w:numPr>
        <w:adjustRightInd w:val="0"/>
        <w:snapToGrid w:val="0"/>
        <w:spacing w:line="440" w:lineRule="exact"/>
        <w:ind w:firstLineChars="0"/>
        <w:rPr>
          <w:rFonts w:ascii="宋体" w:hAnsi="宋体" w:cs="宋体"/>
          <w:b/>
          <w:szCs w:val="21"/>
        </w:rPr>
      </w:pPr>
      <w:bookmarkStart w:id="10" w:name="_Toc319394714"/>
      <w:bookmarkStart w:id="11" w:name="_Toc319769473"/>
      <w:bookmarkStart w:id="12" w:name="_Toc184704555"/>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86"/>
        <w:adjustRightInd w:val="0"/>
        <w:snapToGrid w:val="0"/>
        <w:spacing w:line="440" w:lineRule="exact"/>
        <w:rPr>
          <w:rFonts w:hint="eastAsia" w:ascii="宋体" w:hAnsi="宋体" w:cs="宋体"/>
          <w:szCs w:val="21"/>
        </w:rPr>
      </w:pPr>
      <w:bookmarkStart w:id="13" w:name="_Toc319394715"/>
      <w:bookmarkStart w:id="14" w:name="_Toc184704556"/>
      <w:bookmarkStart w:id="15" w:name="_Toc319769474"/>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86"/>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86"/>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pStyle w:val="86"/>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本项目不接受联合体投标，不允许转包、违法分包。</w:t>
      </w:r>
    </w:p>
    <w:p>
      <w:pPr>
        <w:pStyle w:val="86"/>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86"/>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86"/>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86"/>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日8时30分到2023年1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日17时30分，通过“广东省文化公共资源服务平台-电子采购交易平台”（网址：https://whggzy.cnscee.com/）获取招标文件。</w:t>
      </w:r>
    </w:p>
    <w:p>
      <w:pPr>
        <w:pStyle w:val="86"/>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86"/>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86"/>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86"/>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86"/>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86"/>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86"/>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86"/>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86"/>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rPr>
          <w:rFonts w:hint="eastAsia" w:ascii="宋体" w:hAnsi="宋体" w:cs="宋体"/>
        </w:rPr>
        <w:fldChar w:fldCharType="begin"/>
      </w:r>
      <w:r>
        <w:rPr>
          <w:rFonts w:hint="eastAsia" w:ascii="宋体" w:hAnsi="宋体" w:cs="宋体"/>
        </w:rPr>
        <w:instrText xml:space="preserve"> HYPERLINK "https://whggzy.cnscee.com/））为本项目获取文件的唯一渠道，其他平台的获取及支付均属无效。" </w:instrText>
      </w:r>
      <w:r>
        <w:rPr>
          <w:rFonts w:hint="eastAsia" w:ascii="宋体" w:hAnsi="宋体" w:cs="宋体"/>
        </w:rP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86"/>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86"/>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时30分</w:t>
      </w:r>
    </w:p>
    <w:p>
      <w:pPr>
        <w:pStyle w:val="86"/>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86"/>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86"/>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86"/>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本次招标公告同时在南方日报、招标人网站（https://zbtb.southcn.com/node_9381c01914）、南方文交所官网（http</w:t>
      </w:r>
      <w:r>
        <w:rPr>
          <w:rFonts w:hint="eastAsia" w:ascii="宋体" w:hAnsi="宋体" w:cs="宋体"/>
          <w:lang w:val="en-US" w:eastAsia="zh-CN"/>
        </w:rPr>
        <w:t>s</w:t>
      </w:r>
      <w:r>
        <w:rPr>
          <w:rFonts w:hint="eastAsia" w:ascii="宋体" w:hAnsi="宋体" w:cs="宋体"/>
        </w:rPr>
        <w:t>://www.cnscee.com/）、广东省文化公共资源服务平台（https://zb.cnscee.com/）、中国招投标公共服务平台（http://www.cebpubservice.com/）发布，其他媒体转载无效。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hint="eastAsia" w:ascii="宋体" w:hAnsi="宋体" w:eastAsia="宋体" w:cs="宋体"/>
          <w:szCs w:val="21"/>
          <w:lang w:eastAsia="zh-CN"/>
        </w:rPr>
      </w:pPr>
      <w:r>
        <w:rPr>
          <w:rFonts w:hint="eastAsia" w:ascii="宋体" w:hAnsi="宋体" w:cs="宋体"/>
          <w:szCs w:val="21"/>
        </w:rPr>
        <w:t>7.2招标人：</w:t>
      </w:r>
      <w:r>
        <w:rPr>
          <w:rFonts w:hint="eastAsia" w:ascii="宋体" w:hAnsi="宋体" w:cs="宋体"/>
          <w:szCs w:val="21"/>
          <w:lang w:eastAsia="zh-CN"/>
        </w:rPr>
        <w:t>广东南方网络信息科技有限公司</w:t>
      </w:r>
    </w:p>
    <w:p>
      <w:pPr>
        <w:spacing w:line="420" w:lineRule="exact"/>
        <w:ind w:firstLine="420" w:firstLineChars="200"/>
        <w:rPr>
          <w:rFonts w:ascii="宋体" w:hAnsi="宋体" w:cs="宋体"/>
          <w:szCs w:val="21"/>
        </w:rPr>
      </w:pPr>
      <w:r>
        <w:rPr>
          <w:rFonts w:hint="eastAsia" w:ascii="宋体" w:hAnsi="宋体" w:cs="宋体"/>
          <w:szCs w:val="21"/>
        </w:rPr>
        <w:t>招标人地址：广州大道中 289 号南方报业传媒集团 A栋</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苏先生</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联系电话：13902309376</w:t>
      </w:r>
    </w:p>
    <w:p>
      <w:pPr>
        <w:pStyle w:val="18"/>
      </w:pPr>
    </w:p>
    <w:p>
      <w:pPr>
        <w:pStyle w:val="86"/>
        <w:spacing w:line="400" w:lineRule="exact"/>
        <w:ind w:left="425" w:right="84" w:firstLine="2692" w:firstLineChars="1282"/>
        <w:jc w:val="right"/>
        <w:rPr>
          <w:rFonts w:hint="eastAsia" w:ascii="宋体" w:hAnsi="宋体" w:eastAsia="宋体" w:cs="宋体"/>
          <w:lang w:eastAsia="zh-CN"/>
        </w:rPr>
      </w:pPr>
      <w:r>
        <w:rPr>
          <w:rFonts w:hint="eastAsia" w:ascii="宋体" w:hAnsi="宋体" w:cs="宋体"/>
        </w:rPr>
        <w:t>招标人：</w:t>
      </w:r>
      <w:r>
        <w:rPr>
          <w:rFonts w:hint="eastAsia" w:ascii="宋体" w:hAnsi="宋体" w:cs="宋体"/>
          <w:szCs w:val="21"/>
          <w:u w:val="single"/>
          <w:lang w:eastAsia="zh-CN"/>
        </w:rPr>
        <w:t>广东南方网络信息科技有限公司</w:t>
      </w:r>
    </w:p>
    <w:p>
      <w:pPr>
        <w:pStyle w:val="86"/>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86"/>
        <w:spacing w:line="400" w:lineRule="exact"/>
        <w:ind w:firstLine="3920" w:firstLineChars="1867"/>
        <w:jc w:val="right"/>
        <w:rPr>
          <w:rFonts w:ascii="宋体" w:hAnsi="宋体" w:cs="宋体"/>
          <w:szCs w:val="21"/>
        </w:rPr>
      </w:pPr>
      <w:bookmarkStart w:id="809" w:name="_GoBack"/>
      <w:bookmarkEnd w:id="809"/>
      <w:r>
        <w:rPr>
          <w:rFonts w:hint="eastAsia" w:ascii="宋体" w:hAnsi="宋体" w:cs="宋体"/>
          <w:szCs w:val="21"/>
        </w:rPr>
        <w:t>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27</w:t>
      </w:r>
      <w:r>
        <w:rPr>
          <w:rFonts w:hint="eastAsia" w:ascii="宋体" w:hAnsi="宋体" w:cs="宋体"/>
          <w:szCs w:val="21"/>
        </w:rPr>
        <w:t>日</w:t>
      </w:r>
    </w:p>
    <w:p>
      <w:pPr>
        <w:pStyle w:val="86"/>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6" w:name="_Toc447265214"/>
      <w:bookmarkStart w:id="17" w:name="_Toc447265500"/>
      <w:bookmarkStart w:id="18" w:name="_Toc447188665"/>
    </w:p>
    <w:p>
      <w:pPr>
        <w:pStyle w:val="85"/>
        <w:spacing w:before="240" w:after="120"/>
        <w:rPr>
          <w:rFonts w:ascii="宋体" w:hAnsi="宋体" w:eastAsia="宋体" w:cs="宋体"/>
          <w:b/>
          <w:sz w:val="28"/>
          <w:szCs w:val="28"/>
        </w:rPr>
      </w:pPr>
      <w:bookmarkStart w:id="19" w:name="_Toc3672"/>
      <w:bookmarkStart w:id="20" w:name="_Toc56432211"/>
      <w:bookmarkStart w:id="21" w:name="_Toc31813"/>
      <w:bookmarkStart w:id="22" w:name="_Toc869"/>
      <w:bookmarkStart w:id="23" w:name="_Toc26303"/>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5"/>
        <w:snapToGrid w:val="0"/>
        <w:spacing w:before="240" w:after="120" w:line="240" w:lineRule="auto"/>
        <w:jc w:val="center"/>
        <w:rPr>
          <w:rFonts w:ascii="宋体" w:hAnsi="宋体" w:eastAsia="宋体" w:cs="宋体"/>
          <w:sz w:val="24"/>
          <w:szCs w:val="24"/>
        </w:rPr>
      </w:pPr>
      <w:bookmarkStart w:id="24" w:name="_Toc13217"/>
      <w:bookmarkStart w:id="25" w:name="_Toc15274"/>
      <w:bookmarkStart w:id="26" w:name="_Toc447188666"/>
      <w:bookmarkStart w:id="27" w:name="_Toc56432212"/>
      <w:bookmarkStart w:id="28" w:name="_Toc447265501"/>
      <w:bookmarkStart w:id="29" w:name="_Toc226969277"/>
      <w:bookmarkStart w:id="30" w:name="_Toc227057884"/>
      <w:bookmarkStart w:id="31" w:name="_Toc447265215"/>
      <w:bookmarkStart w:id="32" w:name="_Toc13711"/>
      <w:bookmarkStart w:id="33" w:name="_Toc28624"/>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1"/>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广东南方网络信息科技有限公司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赴欧非亚三国交流活动行程服务项目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WJS-202310240085</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u w:val="single"/>
                <w:lang w:val="en-US" w:eastAsia="zh-CN"/>
              </w:rPr>
              <w:t>1</w:t>
            </w:r>
            <w:r>
              <w:rPr>
                <w:rFonts w:hint="eastAsia" w:ascii="宋体" w:hAnsi="宋体" w:cs="宋体"/>
                <w:szCs w:val="21"/>
              </w:rPr>
              <w:t>月</w:t>
            </w:r>
            <w:r>
              <w:rPr>
                <w:rFonts w:hint="eastAsia" w:ascii="宋体" w:hAnsi="宋体" w:cs="宋体"/>
                <w:szCs w:val="21"/>
                <w:u w:val="single"/>
                <w:lang w:val="en-US" w:eastAsia="zh-CN"/>
              </w:rPr>
              <w:t>1</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w:t>
            </w:r>
            <w:r>
              <w:rPr>
                <w:rFonts w:hint="eastAsia" w:ascii="宋体" w:hAnsi="宋体" w:cs="宋体"/>
                <w:b/>
                <w:bCs/>
                <w:szCs w:val="21"/>
                <w:lang w:eastAsia="zh-CN"/>
              </w:rPr>
              <w:t>1880000.00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u w:val="single"/>
                <w:lang w:val="en-US" w:eastAsia="zh-CN"/>
              </w:rPr>
              <w:t>12500</w:t>
            </w:r>
            <w:r>
              <w:rPr>
                <w:rFonts w:hint="eastAsia" w:ascii="宋体" w:hAnsi="宋体" w:cs="宋体"/>
                <w:b/>
                <w:szCs w:val="21"/>
                <w:u w:val="single"/>
              </w:rPr>
              <w:t>.00元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广东南方网络信息科技有限公司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pStyle w:val="18"/>
              <w:rPr>
                <w:rFonts w:hint="default" w:eastAsia="宋体"/>
                <w:lang w:val="en-US" w:eastAsia="zh-CN"/>
              </w:rPr>
            </w:pPr>
            <w:r>
              <w:rPr>
                <w:rFonts w:hint="eastAsia" w:ascii="宋体" w:hAnsi="宋体" w:eastAsia="宋体" w:cs="宋体"/>
                <w:b/>
                <w:bCs/>
                <w:kern w:val="2"/>
                <w:sz w:val="21"/>
                <w:szCs w:val="21"/>
                <w:lang w:val="en-US" w:eastAsia="zh-CN" w:bidi="ar-SA"/>
              </w:rPr>
              <w:t>注：若至本项目投标文件递交截止时间，成功递交投标文件的投标人家数＜</w:t>
            </w:r>
            <w:r>
              <w:rPr>
                <w:rFonts w:hint="eastAsia" w:ascii="宋体" w:hAnsi="宋体"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家，则本项目第一次招标失败。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w:t>
            </w:r>
            <w:r>
              <w:rPr>
                <w:rFonts w:hint="eastAsia" w:ascii="宋体" w:hAnsi="宋体" w:cs="宋体"/>
                <w:lang w:val="en-US" w:eastAsia="zh-CN"/>
              </w:rPr>
              <w:t>两</w:t>
            </w:r>
            <w:r>
              <w:rPr>
                <w:rFonts w:hint="eastAsia" w:ascii="宋体" w:hAnsi="宋体" w:cs="宋体"/>
              </w:rPr>
              <w:t>名中标候选人，根据综合得分由高到低排名，第一名为第一中标候选人，第二名为第二中标候选人。</w:t>
            </w:r>
          </w:p>
          <w:p>
            <w:pPr>
              <w:pStyle w:val="18"/>
              <w:rPr>
                <w:rFonts w:hint="default" w:eastAsia="宋体"/>
                <w:lang w:val="en-US" w:eastAsia="zh-CN"/>
              </w:rPr>
            </w:pPr>
            <w:r>
              <w:rPr>
                <w:rFonts w:hint="eastAsia" w:ascii="宋体" w:hAnsi="宋体" w:eastAsia="宋体" w:cs="宋体"/>
                <w:b/>
                <w:bCs/>
                <w:kern w:val="2"/>
                <w:sz w:val="21"/>
                <w:szCs w:val="24"/>
                <w:lang w:val="en-US" w:eastAsia="zh-CN" w:bidi="ar-SA"/>
              </w:rPr>
              <w:t>注：若本项目经评标委员会初步评审，合格投标人家数≤</w:t>
            </w:r>
            <w:r>
              <w:rPr>
                <w:rFonts w:hint="eastAsia" w:ascii="宋体" w:hAnsi="宋体" w:cs="宋体"/>
                <w:b/>
                <w:bCs/>
                <w:kern w:val="2"/>
                <w:sz w:val="21"/>
                <w:szCs w:val="24"/>
                <w:lang w:val="en-US" w:eastAsia="zh-CN" w:bidi="ar-SA"/>
              </w:rPr>
              <w:t>2</w:t>
            </w:r>
            <w:r>
              <w:rPr>
                <w:rFonts w:hint="eastAsia" w:ascii="宋体" w:hAnsi="宋体" w:eastAsia="宋体" w:cs="宋体"/>
                <w:b/>
                <w:bCs/>
                <w:kern w:val="2"/>
                <w:sz w:val="21"/>
                <w:szCs w:val="24"/>
                <w:lang w:val="en-US" w:eastAsia="zh-CN" w:bidi="ar-SA"/>
              </w:rPr>
              <w:t>家时，视为本项目明显缺乏竞争，评标委员会应当否决全部投标，本项目招标失败。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lang w:val="en-US" w:eastAsia="zh-CN"/>
              </w:rPr>
              <w:t>1</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hint="eastAsia" w:ascii="宋体" w:hAnsi="宋体" w:eastAsia="宋体" w:cs="宋体"/>
                <w:szCs w:val="21"/>
                <w:lang w:val="en-US" w:eastAsia="zh-CN"/>
              </w:rPr>
            </w:pPr>
            <w:r>
              <w:rPr>
                <w:rFonts w:hint="eastAsia" w:ascii="宋体" w:hAnsi="宋体" w:cs="宋体"/>
                <w:szCs w:val="21"/>
              </w:rPr>
              <w:t>中标原则如下：综合得分排名第一名为</w:t>
            </w:r>
            <w:r>
              <w:rPr>
                <w:rFonts w:hint="eastAsia" w:ascii="宋体" w:hAnsi="宋体" w:cs="宋体"/>
                <w:szCs w:val="21"/>
                <w:lang w:val="en-US" w:eastAsia="zh-CN"/>
              </w:rPr>
              <w:t>本项目</w:t>
            </w:r>
            <w:r>
              <w:rPr>
                <w:rFonts w:hint="eastAsia" w:ascii="宋体" w:hAnsi="宋体" w:cs="宋体"/>
                <w:szCs w:val="21"/>
              </w:rPr>
              <w:t>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hint="eastAsia" w:ascii="宋体" w:hAnsi="宋体" w:eastAsia="宋体" w:cs="宋体"/>
                <w:szCs w:val="21"/>
                <w:lang w:val="en-US" w:eastAsia="zh-CN"/>
              </w:rPr>
            </w:pPr>
            <w:r>
              <w:rPr>
                <w:rFonts w:hint="eastAsia" w:ascii="宋体" w:hAnsi="宋体" w:cs="宋体"/>
                <w:szCs w:val="21"/>
              </w:rPr>
              <w:t>招标代理服务费约定由中标人支付，</w:t>
            </w:r>
            <w:r>
              <w:rPr>
                <w:rFonts w:hint="eastAsia" w:ascii="宋体" w:hAnsi="宋体" w:cs="宋体"/>
                <w:szCs w:val="21"/>
                <w:lang w:val="en-US" w:eastAsia="zh-CN"/>
              </w:rPr>
              <w:t>招标</w:t>
            </w:r>
            <w:r>
              <w:rPr>
                <w:rFonts w:hint="eastAsia" w:ascii="宋体" w:hAnsi="宋体" w:cs="宋体"/>
                <w:szCs w:val="21"/>
              </w:rPr>
              <w:t>代理服务费金额以</w:t>
            </w:r>
            <w:r>
              <w:rPr>
                <w:rFonts w:hint="eastAsia" w:ascii="宋体" w:hAnsi="宋体" w:cs="宋体"/>
                <w:szCs w:val="21"/>
                <w:lang w:val="en-US" w:eastAsia="zh-CN"/>
              </w:rPr>
              <w:t>项目中标金额为</w:t>
            </w:r>
            <w:r>
              <w:rPr>
                <w:rFonts w:hint="eastAsia" w:ascii="宋体" w:hAnsi="宋体" w:cs="宋体"/>
                <w:szCs w:val="21"/>
              </w:rPr>
              <w:t>基准进行计算，采用差额定率累进计费：</w:t>
            </w:r>
            <w:r>
              <w:rPr>
                <w:rFonts w:hint="eastAsia" w:ascii="宋体" w:hAnsi="宋体" w:cs="宋体"/>
              </w:rPr>
              <w:t>人民币100万元（含）以下部分的收费费率为1.50%，人民币100万元（不含）至500万元（含）部分的收费费率为</w:t>
            </w:r>
            <w:r>
              <w:rPr>
                <w:rFonts w:hint="eastAsia" w:ascii="宋体" w:hAnsi="宋体" w:cs="宋体"/>
                <w:lang w:val="en-US" w:eastAsia="zh-CN"/>
              </w:rPr>
              <w:t>0</w:t>
            </w:r>
            <w:r>
              <w:rPr>
                <w:rFonts w:hint="eastAsia" w:ascii="宋体" w:hAnsi="宋体" w:cs="宋体"/>
              </w:rPr>
              <w:t>.</w:t>
            </w:r>
            <w:r>
              <w:rPr>
                <w:rFonts w:hint="eastAsia" w:ascii="宋体" w:hAnsi="宋体" w:cs="宋体"/>
                <w:lang w:val="en-US" w:eastAsia="zh-CN"/>
              </w:rPr>
              <w:t>8</w:t>
            </w:r>
            <w:r>
              <w:rPr>
                <w:rFonts w:hint="eastAsia" w:ascii="宋体" w:hAnsi="宋体" w:cs="宋体"/>
              </w:rPr>
              <w:t>0%，并在上述</w:t>
            </w:r>
            <w:r>
              <w:rPr>
                <w:rFonts w:hint="eastAsia" w:ascii="宋体" w:hAnsi="宋体" w:cs="宋体"/>
                <w:szCs w:val="21"/>
              </w:rPr>
              <w:t xml:space="preserve">的收费标准基础上下浮 45% </w:t>
            </w:r>
            <w:r>
              <w:rPr>
                <w:rFonts w:hint="eastAsia" w:ascii="宋体" w:hAnsi="宋体" w:cs="宋体"/>
                <w:szCs w:val="21"/>
                <w:lang w:eastAsia="zh-CN"/>
              </w:rPr>
              <w:t>。</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86"/>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7"/>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35" w:name="_Toc447188667"/>
      <w:bookmarkStart w:id="36" w:name="_Toc227057885"/>
      <w:bookmarkStart w:id="37" w:name="_Toc226969278"/>
      <w:bookmarkStart w:id="38" w:name="_Toc107822484"/>
      <w:bookmarkStart w:id="39" w:name="_Toc488655831"/>
    </w:p>
    <w:p>
      <w:pPr>
        <w:numPr>
          <w:ilvl w:val="0"/>
          <w:numId w:val="5"/>
        </w:numPr>
        <w:rPr>
          <w:rFonts w:ascii="宋体" w:hAnsi="宋体" w:cs="宋体"/>
          <w:b/>
          <w:bCs/>
          <w:sz w:val="24"/>
          <w:szCs w:val="32"/>
        </w:rPr>
      </w:pPr>
      <w:bookmarkStart w:id="40" w:name="_Toc447265502"/>
      <w:bookmarkStart w:id="41" w:name="_Toc447265216"/>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296602421"/>
      <w:bookmarkStart w:id="43" w:name="_Toc179632547"/>
      <w:bookmarkStart w:id="44" w:name="_Toc246996176"/>
      <w:bookmarkStart w:id="45" w:name="_Toc152042306"/>
      <w:bookmarkStart w:id="46" w:name="_Toc46496126"/>
      <w:bookmarkStart w:id="47" w:name="_Toc152045530"/>
      <w:bookmarkStart w:id="48" w:name="_Toc247085690"/>
      <w:bookmarkStart w:id="49" w:name="_Toc447265217"/>
      <w:bookmarkStart w:id="50" w:name="_Toc447265503"/>
      <w:bookmarkStart w:id="51" w:name="_Toc144974498"/>
      <w:bookmarkStart w:id="52" w:name="_Toc246996919"/>
      <w:bookmarkStart w:id="53" w:name="_Toc447188668"/>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3"/>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3"/>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447188669"/>
      <w:bookmarkStart w:id="55" w:name="_Toc227057886"/>
      <w:bookmarkStart w:id="56" w:name="_Toc226969279"/>
      <w:bookmarkStart w:id="57" w:name="_Toc447265218"/>
      <w:bookmarkStart w:id="58" w:name="_Toc46496127"/>
      <w:bookmarkStart w:id="59" w:name="_Toc447265504"/>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47265505"/>
      <w:bookmarkStart w:id="61" w:name="_Toc447188670"/>
      <w:bookmarkStart w:id="62" w:name="_Toc447265219"/>
      <w:bookmarkStart w:id="63" w:name="_Toc46496128"/>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3"/>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447265507"/>
      <w:bookmarkStart w:id="66" w:name="_Toc447188672"/>
      <w:bookmarkStart w:id="67" w:name="_Toc447265221"/>
      <w:bookmarkStart w:id="68" w:name="_Toc227057888"/>
      <w:bookmarkStart w:id="69" w:name="_Toc107822486"/>
      <w:bookmarkStart w:id="70" w:name="_Toc46496130"/>
      <w:bookmarkStart w:id="71" w:name="_Toc226969281"/>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3"/>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447265508"/>
      <w:bookmarkStart w:id="73" w:name="_Toc107822485"/>
      <w:bookmarkStart w:id="74" w:name="_Toc447188673"/>
      <w:bookmarkStart w:id="75" w:name="_Toc226969280"/>
      <w:bookmarkStart w:id="76" w:name="_Toc227057887"/>
      <w:bookmarkStart w:id="77" w:name="_Toc46496131"/>
      <w:bookmarkStart w:id="78" w:name="_Toc447265222"/>
      <w:bookmarkStart w:id="79" w:name="_Toc226969282"/>
      <w:bookmarkStart w:id="80" w:name="_Toc227057889"/>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6496132"/>
      <w:bookmarkStart w:id="82" w:name="_Toc447265223"/>
      <w:bookmarkStart w:id="83" w:name="_Toc447265509"/>
      <w:bookmarkStart w:id="84" w:name="_Toc447188674"/>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265224"/>
      <w:bookmarkStart w:id="86" w:name="_Toc447188675"/>
      <w:bookmarkStart w:id="87" w:name="_Toc447265510"/>
      <w:r>
        <w:rPr>
          <w:rFonts w:hint="eastAsia" w:ascii="宋体" w:hAnsi="宋体" w:cs="宋体"/>
          <w:szCs w:val="21"/>
        </w:rPr>
        <w:t>1.7.1本招标项目资格审查方式见投标人须知前附表。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3"/>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3"/>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86"/>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227057890"/>
      <w:bookmarkStart w:id="91" w:name="_Toc447265511"/>
      <w:bookmarkStart w:id="92" w:name="_Toc226969284"/>
      <w:bookmarkStart w:id="93" w:name="_Toc447265225"/>
      <w:bookmarkStart w:id="94" w:name="_Toc447188676"/>
      <w:bookmarkStart w:id="95" w:name="_Toc46496134"/>
      <w:bookmarkStart w:id="96" w:name="_Toc107822487"/>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3"/>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3"/>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3"/>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107822488"/>
      <w:bookmarkStart w:id="98" w:name="_Toc226969285"/>
      <w:bookmarkStart w:id="99" w:name="_Toc227057891"/>
      <w:bookmarkStart w:id="100" w:name="_Toc447265512"/>
      <w:bookmarkStart w:id="101" w:name="_Toc447188677"/>
      <w:bookmarkStart w:id="102" w:name="_Toc447265226"/>
      <w:bookmarkStart w:id="103" w:name="_Toc46496135"/>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6969286"/>
      <w:bookmarkStart w:id="106" w:name="_Toc227057892"/>
    </w:p>
    <w:p>
      <w:pPr>
        <w:rPr>
          <w:rFonts w:ascii="宋体" w:hAnsi="宋体" w:cs="宋体"/>
          <w:b/>
          <w:bCs/>
          <w:sz w:val="24"/>
          <w:szCs w:val="32"/>
        </w:rPr>
      </w:pPr>
      <w:bookmarkStart w:id="107" w:name="_Toc447265513"/>
      <w:bookmarkStart w:id="108" w:name="_Toc447265227"/>
      <w:bookmarkStart w:id="109" w:name="_Toc46496136"/>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6496138"/>
      <w:bookmarkStart w:id="111" w:name="_Toc447265515"/>
      <w:bookmarkStart w:id="112" w:name="_Toc447265229"/>
      <w:bookmarkStart w:id="113" w:name="_Toc447188679"/>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3"/>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3"/>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47265516"/>
      <w:bookmarkStart w:id="115" w:name="_Toc46496139"/>
      <w:bookmarkStart w:id="116" w:name="_Toc447188680"/>
      <w:bookmarkStart w:id="117" w:name="_Toc447265230"/>
      <w:bookmarkStart w:id="118" w:name="_Toc107822490"/>
      <w:bookmarkStart w:id="119" w:name="_Toc226969287"/>
      <w:bookmarkStart w:id="120" w:name="_Toc227057893"/>
      <w:r>
        <w:rPr>
          <w:rFonts w:hint="eastAsia" w:ascii="宋体" w:hAnsi="宋体" w:cs="宋体"/>
          <w:b/>
          <w:bCs/>
          <w:sz w:val="24"/>
          <w:szCs w:val="32"/>
        </w:rPr>
        <w:t>2.2踏勘现场</w:t>
      </w:r>
      <w:bookmarkEnd w:id="114"/>
      <w:bookmarkEnd w:id="115"/>
      <w:bookmarkEnd w:id="116"/>
      <w:bookmarkEnd w:id="117"/>
    </w:p>
    <w:p>
      <w:pPr>
        <w:pStyle w:val="23"/>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3"/>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3"/>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3"/>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47188681"/>
      <w:bookmarkStart w:id="122" w:name="_Toc447265517"/>
      <w:bookmarkStart w:id="123" w:name="_Toc447265231"/>
      <w:bookmarkStart w:id="124" w:name="_Toc46496140"/>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265232"/>
      <w:bookmarkStart w:id="126" w:name="_Toc447188682"/>
      <w:bookmarkStart w:id="127" w:name="_Toc447265518"/>
      <w:bookmarkStart w:id="128" w:name="_Toc46496141"/>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3"/>
        <w:tabs>
          <w:tab w:val="left" w:pos="630"/>
        </w:tabs>
        <w:snapToGrid w:val="0"/>
        <w:spacing w:line="440" w:lineRule="exact"/>
        <w:ind w:firstLine="283" w:firstLineChars="135"/>
        <w:rPr>
          <w:rFonts w:hAnsi="宋体" w:cs="宋体"/>
        </w:rPr>
      </w:pPr>
      <w:bookmarkStart w:id="129" w:name="_Toc447188683"/>
      <w:bookmarkStart w:id="130" w:name="_Toc152042322"/>
      <w:bookmarkStart w:id="131" w:name="_Toc107822492"/>
      <w:bookmarkStart w:id="132" w:name="_Toc246996191"/>
      <w:bookmarkStart w:id="133" w:name="_Toc296602436"/>
      <w:bookmarkStart w:id="134" w:name="_Toc247085705"/>
      <w:bookmarkStart w:id="135" w:name="_Toc226969289"/>
      <w:bookmarkStart w:id="136" w:name="_Toc152045546"/>
      <w:bookmarkStart w:id="137" w:name="_Toc246996934"/>
      <w:bookmarkStart w:id="138" w:name="_Toc179632564"/>
      <w:bookmarkStart w:id="139" w:name="_Toc447265233"/>
      <w:bookmarkStart w:id="140" w:name="_Toc227057895"/>
      <w:bookmarkStart w:id="141" w:name="_Toc447265519"/>
      <w:bookmarkStart w:id="142" w:name="_Toc144974514"/>
      <w:r>
        <w:rPr>
          <w:rFonts w:hint="eastAsia" w:hAnsi="宋体" w:cs="宋体"/>
        </w:rPr>
        <w:t>2.4.1投标人对招标文件有疑问的，应当按照投标人须知前附表规定的时间和方式，要求招标人对招标文件进行澄清。</w:t>
      </w:r>
    </w:p>
    <w:p>
      <w:pPr>
        <w:pStyle w:val="23"/>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3"/>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3"/>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107822493"/>
      <w:bookmarkStart w:id="144" w:name="_Toc227057896"/>
      <w:bookmarkStart w:id="145" w:name="_Toc226969290"/>
      <w:bookmarkStart w:id="146" w:name="_Toc447265234"/>
      <w:bookmarkStart w:id="147" w:name="_Toc450489293"/>
      <w:bookmarkStart w:id="148" w:name="_Toc447265520"/>
      <w:bookmarkStart w:id="149" w:name="_Toc447188684"/>
      <w:bookmarkStart w:id="150" w:name="_Toc46496143"/>
      <w:bookmarkStart w:id="151" w:name="_Toc447265528"/>
      <w:bookmarkStart w:id="152" w:name="_Toc447265242"/>
      <w:bookmarkStart w:id="153" w:name="_Toc184635074"/>
      <w:bookmarkStart w:id="154" w:name="_Toc488655848"/>
      <w:bookmarkStart w:id="155" w:name="_Toc107822503"/>
      <w:bookmarkStart w:id="156" w:name="_Toc227057906"/>
      <w:bookmarkStart w:id="157" w:name="_Toc226969300"/>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6496144"/>
      <w:bookmarkStart w:id="159" w:name="_Toc447188685"/>
      <w:bookmarkStart w:id="160" w:name="_Toc447265235"/>
      <w:bookmarkStart w:id="161" w:name="_Toc447265521"/>
      <w:bookmarkStart w:id="162" w:name="_Toc450489294"/>
      <w:r>
        <w:rPr>
          <w:rFonts w:hint="eastAsia" w:ascii="宋体" w:hAnsi="宋体" w:cs="宋体"/>
          <w:b/>
          <w:bCs/>
          <w:sz w:val="24"/>
          <w:szCs w:val="32"/>
        </w:rPr>
        <w:t>3.2投标文件的编制</w:t>
      </w:r>
      <w:bookmarkEnd w:id="158"/>
      <w:bookmarkEnd w:id="159"/>
      <w:bookmarkEnd w:id="160"/>
      <w:bookmarkEnd w:id="161"/>
      <w:bookmarkEnd w:id="162"/>
    </w:p>
    <w:p>
      <w:pPr>
        <w:pStyle w:val="23"/>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3"/>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3"/>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227057898"/>
      <w:bookmarkStart w:id="164" w:name="_Toc447188686"/>
      <w:bookmarkStart w:id="165" w:name="_Toc450489295"/>
      <w:bookmarkStart w:id="166" w:name="_Toc447265522"/>
      <w:bookmarkStart w:id="167" w:name="_Toc46496145"/>
      <w:bookmarkStart w:id="168" w:name="_Toc107822495"/>
      <w:bookmarkStart w:id="169" w:name="_Toc447265236"/>
      <w:bookmarkStart w:id="170" w:name="_Toc226969292"/>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3"/>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3"/>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3"/>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3"/>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46496146"/>
      <w:bookmarkStart w:id="172" w:name="_Toc227057902"/>
      <w:bookmarkStart w:id="173" w:name="_Toc447265523"/>
      <w:bookmarkStart w:id="174" w:name="_Toc226969296"/>
      <w:bookmarkStart w:id="175" w:name="_Toc447265237"/>
      <w:bookmarkStart w:id="176" w:name="_Toc107822500"/>
      <w:bookmarkStart w:id="177" w:name="_Toc447188687"/>
      <w:bookmarkStart w:id="178" w:name="_Toc450489296"/>
      <w:bookmarkStart w:id="179" w:name="_Toc227057901"/>
      <w:bookmarkStart w:id="180" w:name="_Toc107822499"/>
      <w:bookmarkStart w:id="181" w:name="_Toc226969295"/>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3"/>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3"/>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47188688"/>
      <w:bookmarkStart w:id="183" w:name="_Toc447265524"/>
      <w:bookmarkStart w:id="184" w:name="_Toc447265238"/>
      <w:bookmarkStart w:id="185" w:name="_Toc450489297"/>
      <w:bookmarkStart w:id="186" w:name="_Toc46496147"/>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3"/>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3"/>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3"/>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86"/>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86"/>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86"/>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47265525"/>
      <w:bookmarkStart w:id="188" w:name="_Toc227057903"/>
      <w:bookmarkStart w:id="189" w:name="_Toc450489298"/>
      <w:bookmarkStart w:id="190" w:name="_Toc447188689"/>
      <w:bookmarkStart w:id="191" w:name="_Toc46496148"/>
      <w:bookmarkStart w:id="192" w:name="_Toc447265239"/>
      <w:bookmarkStart w:id="193" w:name="_Toc226969297"/>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3"/>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3"/>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6969298"/>
      <w:bookmarkStart w:id="196" w:name="_Toc227057904"/>
      <w:bookmarkStart w:id="197" w:name="_Toc46496149"/>
      <w:bookmarkStart w:id="198" w:name="_Toc447188690"/>
      <w:bookmarkStart w:id="199" w:name="_Toc447265240"/>
      <w:bookmarkStart w:id="200" w:name="_Toc447265526"/>
      <w:bookmarkStart w:id="201" w:name="_Toc450489299"/>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3"/>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3"/>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3"/>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3"/>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3"/>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3"/>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6"/>
      <w:bookmarkEnd w:id="202"/>
      <w:bookmarkStart w:id="203" w:name="_Toc477190297"/>
      <w:bookmarkEnd w:id="203"/>
      <w:r>
        <w:rPr>
          <w:rFonts w:hint="eastAsia" w:ascii="宋体" w:hAnsi="宋体" w:cs="宋体"/>
          <w:b/>
          <w:bCs/>
          <w:sz w:val="24"/>
          <w:szCs w:val="32"/>
        </w:rPr>
        <w:t>投标</w:t>
      </w:r>
    </w:p>
    <w:p>
      <w:pPr>
        <w:rPr>
          <w:rFonts w:ascii="宋体" w:hAnsi="宋体" w:cs="宋体"/>
          <w:b/>
          <w:bCs/>
          <w:sz w:val="24"/>
          <w:szCs w:val="32"/>
        </w:rPr>
      </w:pPr>
      <w:bookmarkStart w:id="204" w:name="_Toc447188692"/>
      <w:bookmarkStart w:id="205" w:name="_Toc447265529"/>
      <w:bookmarkStart w:id="206" w:name="_Toc447265243"/>
      <w:bookmarkStart w:id="207" w:name="_Toc46496151"/>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3"/>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488655850"/>
      <w:bookmarkStart w:id="211" w:name="_Toc227057907"/>
      <w:bookmarkStart w:id="212" w:name="_Toc226969301"/>
      <w:bookmarkStart w:id="213" w:name="_Toc107822505"/>
      <w:bookmarkStart w:id="214" w:name="_Toc447265530"/>
      <w:bookmarkStart w:id="215" w:name="_Toc447188693"/>
      <w:bookmarkStart w:id="216" w:name="_Toc447265244"/>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3"/>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3"/>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86"/>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86"/>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86"/>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86"/>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3"/>
        <w:tabs>
          <w:tab w:val="left" w:pos="630"/>
        </w:tabs>
        <w:snapToGrid w:val="0"/>
        <w:spacing w:line="440" w:lineRule="exact"/>
        <w:ind w:firstLine="424" w:firstLineChars="202"/>
        <w:rPr>
          <w:rFonts w:hAnsi="宋体" w:cs="宋体"/>
        </w:rPr>
      </w:pPr>
      <w:bookmarkStart w:id="218" w:name="_Toc152045559"/>
      <w:bookmarkStart w:id="219" w:name="_Toc179632577"/>
      <w:bookmarkStart w:id="220" w:name="_Toc296602447"/>
      <w:bookmarkStart w:id="221" w:name="_Toc144974527"/>
      <w:bookmarkStart w:id="222" w:name="_Toc447265245"/>
      <w:bookmarkStart w:id="223" w:name="_Toc247085717"/>
      <w:bookmarkStart w:id="224" w:name="_Toc447265531"/>
      <w:bookmarkStart w:id="225" w:name="_Toc152042335"/>
      <w:bookmarkStart w:id="226" w:name="_Toc246996203"/>
      <w:bookmarkStart w:id="227" w:name="_Toc447188694"/>
      <w:bookmarkStart w:id="228" w:name="_Toc246996946"/>
      <w:bookmarkStart w:id="229" w:name="_Toc227057908"/>
      <w:bookmarkStart w:id="230" w:name="_Toc226969302"/>
      <w:bookmarkStart w:id="231" w:name="_Toc488655852"/>
      <w:bookmarkStart w:id="232" w:name="_Toc107822506"/>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3"/>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3"/>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3"/>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265532"/>
      <w:bookmarkStart w:id="234" w:name="_Toc447188695"/>
      <w:bookmarkStart w:id="235" w:name="_Toc46496154"/>
      <w:bookmarkStart w:id="236" w:name="_Toc447265246"/>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3"/>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188696"/>
      <w:bookmarkStart w:id="238" w:name="_Toc447265247"/>
      <w:bookmarkStart w:id="239" w:name="_Toc46496155"/>
      <w:bookmarkStart w:id="240" w:name="_Toc447265533"/>
      <w:r>
        <w:rPr>
          <w:rFonts w:hint="eastAsia" w:ascii="宋体" w:hAnsi="宋体" w:cs="宋体"/>
          <w:b/>
          <w:bCs/>
          <w:sz w:val="24"/>
          <w:szCs w:val="32"/>
        </w:rPr>
        <w:t>5.2唱价程序</w:t>
      </w:r>
      <w:bookmarkEnd w:id="237"/>
      <w:bookmarkEnd w:id="238"/>
      <w:bookmarkEnd w:id="239"/>
      <w:bookmarkEnd w:id="240"/>
    </w:p>
    <w:p>
      <w:pPr>
        <w:pStyle w:val="23"/>
        <w:tabs>
          <w:tab w:val="left" w:pos="630"/>
        </w:tabs>
        <w:snapToGrid w:val="0"/>
        <w:spacing w:line="440" w:lineRule="exact"/>
        <w:ind w:firstLine="424" w:firstLineChars="202"/>
        <w:rPr>
          <w:rFonts w:hAnsi="宋体" w:cs="宋体"/>
        </w:rPr>
      </w:pPr>
      <w:bookmarkStart w:id="241" w:name="_Toc246996206"/>
      <w:bookmarkStart w:id="242" w:name="_Toc152042338"/>
      <w:bookmarkStart w:id="243" w:name="_Toc144974530"/>
      <w:bookmarkStart w:id="244" w:name="_Toc447265536"/>
      <w:bookmarkStart w:id="245" w:name="_Toc247085720"/>
      <w:bookmarkStart w:id="246" w:name="_Toc447265250"/>
      <w:bookmarkStart w:id="247" w:name="_Toc246996949"/>
      <w:bookmarkStart w:id="248" w:name="_Toc447188699"/>
      <w:bookmarkStart w:id="249" w:name="_Toc296602451"/>
      <w:bookmarkStart w:id="250" w:name="_Toc179632580"/>
      <w:bookmarkStart w:id="251" w:name="_Toc152045562"/>
      <w:bookmarkStart w:id="252" w:name="_Toc226969303"/>
      <w:bookmarkStart w:id="253" w:name="_Toc107822507"/>
      <w:bookmarkStart w:id="254" w:name="_Toc227057909"/>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3"/>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3"/>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6496156"/>
      <w:bookmarkStart w:id="256" w:name="_Toc447265534"/>
      <w:bookmarkStart w:id="257" w:name="_Toc447265248"/>
      <w:bookmarkStart w:id="258" w:name="_Toc450489307"/>
      <w:bookmarkStart w:id="259" w:name="_Toc447188697"/>
      <w:r>
        <w:rPr>
          <w:rFonts w:hint="eastAsia" w:ascii="宋体" w:hAnsi="宋体" w:cs="宋体"/>
          <w:b/>
          <w:bCs/>
          <w:sz w:val="24"/>
          <w:szCs w:val="32"/>
        </w:rPr>
        <w:t>5.3异议</w:t>
      </w:r>
      <w:bookmarkEnd w:id="255"/>
      <w:bookmarkEnd w:id="256"/>
      <w:bookmarkEnd w:id="257"/>
      <w:bookmarkEnd w:id="258"/>
      <w:bookmarkEnd w:id="259"/>
    </w:p>
    <w:p>
      <w:pPr>
        <w:pStyle w:val="23"/>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3"/>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6"/>
      <w:bookmarkEnd w:id="260"/>
      <w:bookmarkStart w:id="261" w:name="_Toc477190305"/>
      <w:bookmarkEnd w:id="261"/>
      <w:r>
        <w:rPr>
          <w:rFonts w:hint="eastAsia" w:ascii="宋体" w:hAnsi="宋体" w:cs="宋体"/>
          <w:b/>
          <w:bCs/>
          <w:sz w:val="24"/>
          <w:szCs w:val="32"/>
        </w:rPr>
        <w:t>评审</w:t>
      </w:r>
    </w:p>
    <w:p>
      <w:pPr>
        <w:rPr>
          <w:rFonts w:ascii="宋体" w:hAnsi="宋体" w:cs="宋体"/>
          <w:b/>
          <w:bCs/>
          <w:sz w:val="24"/>
          <w:szCs w:val="32"/>
        </w:rPr>
      </w:pPr>
      <w:bookmarkStart w:id="262" w:name="_Toc447265251"/>
      <w:bookmarkStart w:id="263" w:name="_Toc447265537"/>
      <w:bookmarkStart w:id="264" w:name="_Toc447188700"/>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3"/>
        <w:tabs>
          <w:tab w:val="left" w:pos="630"/>
        </w:tabs>
        <w:snapToGrid w:val="0"/>
        <w:spacing w:line="440" w:lineRule="exact"/>
        <w:ind w:firstLine="424" w:firstLineChars="202"/>
        <w:rPr>
          <w:rFonts w:hAnsi="宋体" w:cs="宋体"/>
        </w:rPr>
      </w:pPr>
      <w:bookmarkStart w:id="266" w:name="_Toc447265255"/>
      <w:bookmarkStart w:id="267" w:name="_Toc447188703"/>
      <w:bookmarkStart w:id="268" w:name="_Toc447265541"/>
      <w:bookmarkStart w:id="269" w:name="_Toc226969309"/>
      <w:bookmarkStart w:id="270" w:name="_Toc107822516"/>
      <w:bookmarkStart w:id="271" w:name="_Toc227057915"/>
      <w:bookmarkStart w:id="272" w:name="_Toc488655860"/>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3"/>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179632582"/>
      <w:bookmarkStart w:id="274" w:name="_Toc447265252"/>
      <w:bookmarkStart w:id="275" w:name="_Toc447265538"/>
      <w:bookmarkStart w:id="276" w:name="_Toc296602453"/>
      <w:bookmarkStart w:id="277" w:name="_Toc152045564"/>
      <w:bookmarkStart w:id="278" w:name="_Toc246996951"/>
      <w:bookmarkStart w:id="279" w:name="_Toc247085722"/>
      <w:bookmarkStart w:id="280" w:name="_Toc144974532"/>
      <w:bookmarkStart w:id="281" w:name="_Toc46496159"/>
      <w:bookmarkStart w:id="282" w:name="_Toc246996208"/>
      <w:bookmarkStart w:id="283" w:name="_Toc450489311"/>
      <w:bookmarkStart w:id="284" w:name="_Toc152042340"/>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3"/>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3"/>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50489312"/>
      <w:bookmarkStart w:id="286" w:name="_Toc46496160"/>
      <w:bookmarkStart w:id="287" w:name="_Toc447188701"/>
      <w:bookmarkStart w:id="288" w:name="_Toc447265253"/>
      <w:bookmarkStart w:id="289" w:name="_Toc447265539"/>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3"/>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3"/>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3"/>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540"/>
      <w:bookmarkStart w:id="291" w:name="_Toc447188702"/>
      <w:bookmarkStart w:id="292" w:name="_Toc447265254"/>
      <w:bookmarkStart w:id="293" w:name="_Toc247085724"/>
      <w:bookmarkStart w:id="294" w:name="_Toc246996953"/>
      <w:bookmarkStart w:id="295" w:name="_Toc144974534"/>
      <w:bookmarkStart w:id="296" w:name="_Toc246996210"/>
      <w:bookmarkStart w:id="297" w:name="_Toc152042342"/>
      <w:bookmarkStart w:id="298" w:name="_Toc179632584"/>
      <w:bookmarkStart w:id="299" w:name="_Toc152045566"/>
      <w:bookmarkStart w:id="300" w:name="_Toc296602455"/>
    </w:p>
    <w:p>
      <w:pPr>
        <w:rPr>
          <w:rFonts w:ascii="宋体" w:hAnsi="宋体" w:cs="宋体"/>
          <w:b/>
          <w:bCs/>
          <w:sz w:val="24"/>
          <w:szCs w:val="32"/>
        </w:rPr>
      </w:pPr>
      <w:bookmarkStart w:id="301" w:name="_Toc46496161"/>
      <w:bookmarkStart w:id="302" w:name="_Toc450489313"/>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6496162"/>
      <w:bookmarkStart w:id="304" w:name="_Toc450489314"/>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542"/>
      <w:bookmarkStart w:id="306" w:name="_Toc447265256"/>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3"/>
        <w:tabs>
          <w:tab w:val="left" w:pos="630"/>
        </w:tabs>
        <w:snapToGrid w:val="0"/>
        <w:spacing w:line="440" w:lineRule="exact"/>
        <w:ind w:firstLine="424" w:firstLineChars="202"/>
        <w:rPr>
          <w:rFonts w:hAnsi="宋体" w:cs="宋体"/>
        </w:rPr>
      </w:pPr>
      <w:bookmarkStart w:id="309" w:name="_Toc447265545"/>
      <w:bookmarkStart w:id="310" w:name="_Toc447265259"/>
      <w:bookmarkStart w:id="311" w:name="_Toc296602459"/>
      <w:bookmarkStart w:id="312" w:name="_Toc246996956"/>
      <w:bookmarkStart w:id="313" w:name="_Toc152042345"/>
      <w:bookmarkStart w:id="314" w:name="_Toc179632587"/>
      <w:bookmarkStart w:id="315" w:name="_Toc246996213"/>
      <w:bookmarkStart w:id="316" w:name="_Toc152045569"/>
      <w:bookmarkStart w:id="317" w:name="_Toc247085727"/>
      <w:bookmarkStart w:id="318" w:name="_Toc144974537"/>
      <w:bookmarkStart w:id="319" w:name="_Toc226969310"/>
      <w:bookmarkStart w:id="320" w:name="_Toc227057916"/>
      <w:bookmarkStart w:id="321" w:name="_Toc107822517"/>
      <w:r>
        <w:rPr>
          <w:rFonts w:hint="eastAsia" w:hAnsi="宋体" w:cs="宋体"/>
        </w:rPr>
        <w:t>7.1.1招标人依据评标委员会推荐的中标候选人确定中标人，中标人数量见投标人须知前附表。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50489317"/>
      <w:bookmarkStart w:id="323" w:name="_Toc447188705"/>
      <w:bookmarkStart w:id="324" w:name="_Toc447265543"/>
      <w:bookmarkStart w:id="325" w:name="_Toc46496165"/>
      <w:bookmarkStart w:id="326" w:name="_Toc447265257"/>
      <w:r>
        <w:rPr>
          <w:rFonts w:hint="eastAsia" w:ascii="宋体" w:hAnsi="宋体" w:cs="宋体"/>
          <w:b/>
          <w:bCs/>
          <w:sz w:val="24"/>
          <w:szCs w:val="32"/>
        </w:rPr>
        <w:t>7.2中标人公示</w:t>
      </w:r>
      <w:bookmarkEnd w:id="322"/>
      <w:bookmarkEnd w:id="323"/>
      <w:bookmarkEnd w:id="324"/>
      <w:bookmarkEnd w:id="325"/>
      <w:bookmarkEnd w:id="326"/>
    </w:p>
    <w:p>
      <w:pPr>
        <w:pStyle w:val="23"/>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3"/>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246996212"/>
      <w:bookmarkStart w:id="328" w:name="_Toc450489318"/>
      <w:bookmarkStart w:id="329" w:name="_Toc447265258"/>
      <w:bookmarkStart w:id="330" w:name="_Toc296602458"/>
      <w:bookmarkStart w:id="331" w:name="_Toc144974536"/>
      <w:bookmarkStart w:id="332" w:name="_Toc179632586"/>
      <w:bookmarkStart w:id="333" w:name="_Toc447265544"/>
      <w:bookmarkStart w:id="334" w:name="_Toc152042344"/>
      <w:bookmarkStart w:id="335" w:name="_Toc152045568"/>
      <w:bookmarkStart w:id="336" w:name="_Toc46496166"/>
      <w:bookmarkStart w:id="337" w:name="_Toc247085726"/>
      <w:bookmarkStart w:id="338" w:name="_Toc246996955"/>
      <w:bookmarkStart w:id="339" w:name="OLE_LINK7"/>
      <w:bookmarkStart w:id="340" w:name="OLE_LINK6"/>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3"/>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3"/>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3"/>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3"/>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47265546"/>
      <w:bookmarkStart w:id="342" w:name="_Toc447265260"/>
      <w:bookmarkStart w:id="343" w:name="_Toc46496168"/>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3"/>
        <w:tabs>
          <w:tab w:val="left" w:pos="630"/>
        </w:tabs>
        <w:snapToGrid w:val="0"/>
        <w:spacing w:line="440" w:lineRule="exact"/>
        <w:ind w:firstLine="424" w:firstLineChars="202"/>
        <w:rPr>
          <w:rFonts w:hAnsi="宋体" w:cs="宋体"/>
        </w:rPr>
      </w:pPr>
      <w:bookmarkStart w:id="344" w:name="_Toc488655867"/>
      <w:bookmarkStart w:id="345" w:name="_Toc107822519"/>
      <w:bookmarkStart w:id="346" w:name="_Toc226969312"/>
      <w:bookmarkStart w:id="347" w:name="_Toc447265549"/>
      <w:bookmarkStart w:id="348" w:name="_Toc447265263"/>
      <w:bookmarkStart w:id="349" w:name="_Toc227057918"/>
      <w:bookmarkStart w:id="350" w:name="_Toc447188707"/>
      <w:r>
        <w:rPr>
          <w:rFonts w:hint="eastAsia" w:hAnsi="宋体" w:cs="宋体"/>
        </w:rPr>
        <w:t>8.1.1在签订合同前，中标人应当按照“投标人须知前附表”中规定的履约保证金的金额和形式向招标人递交履约保证金。</w:t>
      </w:r>
    </w:p>
    <w:p>
      <w:pPr>
        <w:pStyle w:val="23"/>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6496169"/>
      <w:bookmarkStart w:id="352" w:name="_Toc450489321"/>
      <w:bookmarkStart w:id="353" w:name="_Toc447265547"/>
      <w:bookmarkStart w:id="354" w:name="_Toc447265261"/>
      <w:r>
        <w:rPr>
          <w:rFonts w:hint="eastAsia" w:ascii="宋体" w:hAnsi="宋体" w:cs="宋体"/>
          <w:b/>
          <w:bCs/>
          <w:sz w:val="24"/>
          <w:szCs w:val="32"/>
        </w:rPr>
        <w:t>8.2合同签订</w:t>
      </w:r>
      <w:bookmarkEnd w:id="351"/>
      <w:bookmarkEnd w:id="352"/>
      <w:bookmarkEnd w:id="353"/>
      <w:bookmarkEnd w:id="354"/>
    </w:p>
    <w:p>
      <w:pPr>
        <w:pStyle w:val="23"/>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3"/>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265550"/>
      <w:bookmarkStart w:id="356" w:name="_Toc296602461"/>
      <w:bookmarkStart w:id="357" w:name="_Toc447188708"/>
      <w:bookmarkStart w:id="358" w:name="_Toc447265264"/>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296590983"/>
      <w:bookmarkStart w:id="360" w:name="_Toc296602462"/>
      <w:bookmarkStart w:id="361" w:name="_Toc144974543"/>
      <w:bookmarkStart w:id="362" w:name="_Toc179632593"/>
      <w:bookmarkStart w:id="363" w:name="_Toc152042351"/>
      <w:bookmarkStart w:id="364" w:name="_Toc46496172"/>
      <w:bookmarkStart w:id="365" w:name="_Toc247085733"/>
      <w:bookmarkStart w:id="366" w:name="_Toc447265551"/>
      <w:bookmarkStart w:id="367" w:name="_Toc246996219"/>
      <w:bookmarkStart w:id="368" w:name="_Toc447265265"/>
      <w:bookmarkStart w:id="369" w:name="_Toc152045575"/>
      <w:bookmarkStart w:id="370" w:name="_Toc246996962"/>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152042352"/>
      <w:bookmarkStart w:id="372" w:name="_Toc144974544"/>
      <w:bookmarkStart w:id="373" w:name="_Toc296602463"/>
      <w:bookmarkStart w:id="374" w:name="_Toc179632594"/>
      <w:bookmarkStart w:id="375" w:name="_Toc152045576"/>
      <w:bookmarkStart w:id="376" w:name="_Toc46496173"/>
      <w:bookmarkStart w:id="377" w:name="_Toc247085734"/>
      <w:bookmarkStart w:id="378" w:name="_Toc246996963"/>
      <w:bookmarkStart w:id="379" w:name="_Toc246996220"/>
      <w:bookmarkStart w:id="380" w:name="_Toc447265266"/>
      <w:bookmarkStart w:id="381" w:name="_Toc447265552"/>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447265553"/>
      <w:bookmarkStart w:id="383" w:name="_Toc179632595"/>
      <w:bookmarkStart w:id="384" w:name="_Toc246996964"/>
      <w:bookmarkStart w:id="385" w:name="_Toc144974545"/>
      <w:bookmarkStart w:id="386" w:name="_Toc296602464"/>
      <w:bookmarkStart w:id="387" w:name="_Toc447265267"/>
      <w:bookmarkStart w:id="388" w:name="_Toc247085735"/>
      <w:bookmarkStart w:id="389" w:name="_Toc152045577"/>
      <w:bookmarkStart w:id="390" w:name="_Toc46496174"/>
      <w:bookmarkStart w:id="391" w:name="_Toc246996221"/>
      <w:bookmarkStart w:id="392" w:name="_Toc152042353"/>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152042354"/>
      <w:bookmarkStart w:id="394" w:name="_Toc447265554"/>
      <w:bookmarkStart w:id="395" w:name="_Toc246996965"/>
      <w:bookmarkStart w:id="396" w:name="_Toc179632596"/>
      <w:bookmarkStart w:id="397" w:name="_Toc247085736"/>
      <w:bookmarkStart w:id="398" w:name="_Toc296602465"/>
      <w:bookmarkStart w:id="399" w:name="_Toc447265268"/>
      <w:bookmarkStart w:id="400" w:name="_Toc246996222"/>
      <w:bookmarkStart w:id="401" w:name="_Toc46496175"/>
      <w:bookmarkStart w:id="402" w:name="_Toc152045578"/>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7"/>
      <w:bookmarkEnd w:id="405"/>
      <w:bookmarkStart w:id="406" w:name="_Toc477190326"/>
      <w:bookmarkEnd w:id="406"/>
      <w:bookmarkStart w:id="407" w:name="_Toc477190328"/>
      <w:bookmarkEnd w:id="407"/>
      <w:bookmarkStart w:id="408" w:name="_Toc152045580"/>
      <w:bookmarkStart w:id="409" w:name="_Toc247085738"/>
      <w:bookmarkStart w:id="410" w:name="_Toc447265270"/>
      <w:bookmarkStart w:id="411" w:name="_Toc296602467"/>
      <w:bookmarkStart w:id="412" w:name="_Toc447265556"/>
      <w:bookmarkStart w:id="413" w:name="_Toc152042357"/>
      <w:bookmarkStart w:id="414" w:name="_Toc144974547"/>
      <w:bookmarkStart w:id="415" w:name="_Toc447188709"/>
      <w:bookmarkStart w:id="416" w:name="_Toc179632598"/>
      <w:bookmarkStart w:id="417" w:name="_Toc246996224"/>
      <w:bookmarkStart w:id="418" w:name="_Toc246996967"/>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14006"/>
      <w:bookmarkStart w:id="420" w:name="_Toc447265273"/>
      <w:bookmarkStart w:id="421" w:name="_Toc28913"/>
      <w:bookmarkStart w:id="422" w:name="_Toc447265559"/>
      <w:bookmarkStart w:id="423" w:name="_Toc16927"/>
      <w:bookmarkStart w:id="424" w:name="_Toc56432213"/>
      <w:r>
        <w:rPr>
          <w:rFonts w:hint="eastAsia" w:ascii="宋体" w:hAnsi="宋体" w:cs="宋体"/>
          <w:b/>
          <w:kern w:val="0"/>
          <w:sz w:val="28"/>
          <w:szCs w:val="28"/>
        </w:rPr>
        <w:br w:type="page"/>
      </w:r>
    </w:p>
    <w:p>
      <w:pPr>
        <w:pStyle w:val="85"/>
        <w:spacing w:before="240" w:after="120"/>
        <w:rPr>
          <w:rFonts w:ascii="宋体" w:hAnsi="宋体" w:eastAsia="宋体" w:cs="宋体"/>
          <w:b/>
          <w:bCs w:val="0"/>
          <w:kern w:val="0"/>
          <w:sz w:val="28"/>
          <w:szCs w:val="28"/>
        </w:rPr>
      </w:pPr>
      <w:bookmarkStart w:id="425" w:name="_Toc30150"/>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hint="default" w:ascii="宋体" w:hAnsi="宋体" w:cs="宋体"/>
                <w:b/>
                <w:sz w:val="24"/>
                <w:lang w:val="en-US"/>
              </w:rPr>
            </w:pPr>
            <w:r>
              <w:rPr>
                <w:rFonts w:hint="eastAsia" w:ascii="宋体" w:hAnsi="宋体" w:cs="宋体"/>
                <w:b/>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hint="default" w:ascii="宋体" w:hAnsi="宋体" w:cs="宋体"/>
                <w:b/>
                <w:sz w:val="24"/>
                <w:lang w:val="en-US"/>
              </w:rPr>
            </w:pPr>
            <w:r>
              <w:rPr>
                <w:rFonts w:hint="eastAsia" w:ascii="宋体" w:hAnsi="宋体" w:cs="宋体"/>
                <w:b/>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2</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5"/>
        <w:snapToGrid w:val="0"/>
        <w:spacing w:before="240" w:after="120" w:line="240" w:lineRule="auto"/>
        <w:jc w:val="center"/>
        <w:rPr>
          <w:rFonts w:ascii="宋体" w:hAnsi="宋体" w:eastAsia="宋体" w:cs="宋体"/>
          <w:bCs w:val="0"/>
          <w:sz w:val="21"/>
          <w:szCs w:val="24"/>
        </w:rPr>
      </w:pPr>
      <w:bookmarkStart w:id="426" w:name="_Toc11520"/>
      <w:bookmarkStart w:id="427" w:name="_Toc8100"/>
      <w:bookmarkStart w:id="428" w:name="_Toc1559"/>
      <w:bookmarkStart w:id="429" w:name="_Toc56432214"/>
      <w:bookmarkStart w:id="430" w:name="_Toc11340"/>
      <w:bookmarkStart w:id="431" w:name="_Toc447265562"/>
      <w:bookmarkStart w:id="432" w:name="_Toc227057922"/>
      <w:bookmarkStart w:id="433" w:name="_Toc226969316"/>
      <w:bookmarkStart w:id="434" w:name="_Toc447265276"/>
      <w:bookmarkStart w:id="435" w:name="_Toc107822520"/>
      <w:r>
        <w:rPr>
          <w:rFonts w:hint="eastAsia" w:ascii="宋体" w:hAnsi="宋体" w:eastAsia="宋体" w:cs="宋体"/>
          <w:bCs w:val="0"/>
          <w:sz w:val="21"/>
          <w:szCs w:val="24"/>
        </w:rPr>
        <w:t>评审办法前附表</w:t>
      </w:r>
      <w:bookmarkEnd w:id="426"/>
      <w:bookmarkEnd w:id="427"/>
      <w:bookmarkEnd w:id="428"/>
      <w:bookmarkEnd w:id="429"/>
      <w:bookmarkEnd w:id="430"/>
    </w:p>
    <w:p>
      <w:pPr>
        <w:pStyle w:val="5"/>
        <w:rPr>
          <w:rFonts w:ascii="宋体" w:hAnsi="宋体" w:eastAsia="宋体" w:cs="宋体"/>
          <w:b w:val="0"/>
          <w:sz w:val="24"/>
        </w:rPr>
      </w:pPr>
      <w:bookmarkStart w:id="436" w:name="_Toc56432215"/>
      <w:bookmarkStart w:id="437" w:name="_Toc21818"/>
      <w:bookmarkStart w:id="438" w:name="_Toc7542"/>
      <w:bookmarkStart w:id="439" w:name="_Toc24697"/>
      <w:bookmarkStart w:id="440" w:name="_Toc19724"/>
      <w:r>
        <w:rPr>
          <w:rFonts w:hint="eastAsia" w:ascii="宋体" w:hAnsi="宋体" w:eastAsia="宋体" w:cs="宋体"/>
          <w:b w:val="0"/>
          <w:sz w:val="24"/>
        </w:rPr>
        <w:t>1、初步评审表</w:t>
      </w:r>
      <w:bookmarkEnd w:id="436"/>
      <w:bookmarkEnd w:id="437"/>
      <w:bookmarkEnd w:id="438"/>
      <w:bookmarkEnd w:id="439"/>
      <w:bookmarkEnd w:id="440"/>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4.本项目不接受联合体投标，不允许转包、违法分包。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5"/>
        <w:rPr>
          <w:rFonts w:ascii="宋体" w:hAnsi="宋体" w:eastAsia="宋体"/>
          <w:b w:val="0"/>
          <w:sz w:val="24"/>
        </w:rPr>
      </w:pPr>
      <w:bookmarkStart w:id="441" w:name="_Toc13833"/>
      <w:bookmarkStart w:id="442" w:name="_Toc3287"/>
      <w:r>
        <w:rPr>
          <w:rFonts w:hint="eastAsia" w:ascii="宋体" w:hAnsi="宋体" w:eastAsia="宋体"/>
          <w:b w:val="0"/>
          <w:sz w:val="24"/>
        </w:rPr>
        <w:t>2、技术评分表</w:t>
      </w:r>
      <w:bookmarkEnd w:id="441"/>
      <w:bookmarkEnd w:id="442"/>
    </w:p>
    <w:tbl>
      <w:tblPr>
        <w:tblStyle w:val="41"/>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b/>
                <w:bCs/>
                <w:szCs w:val="21"/>
                <w:lang w:val="en-US"/>
              </w:rPr>
            </w:pPr>
            <w:r>
              <w:rPr>
                <w:rFonts w:hint="eastAsia" w:ascii="宋体" w:hAnsi="宋体" w:cs="宋体"/>
                <w:b/>
                <w:bCs/>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项目整体实施方案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6675" w:type="dxa"/>
            <w:tcBorders>
              <w:top w:val="single" w:color="auto" w:sz="4" w:space="0"/>
              <w:left w:val="single" w:color="auto" w:sz="4" w:space="0"/>
              <w:bottom w:val="single" w:color="auto" w:sz="4" w:space="0"/>
              <w:right w:val="single" w:color="auto" w:sz="4" w:space="0"/>
            </w:tcBorders>
            <w:vAlign w:val="center"/>
          </w:tcPr>
          <w:p>
            <w:pPr>
              <w:pStyle w:val="14"/>
              <w:ind w:firstLine="0" w:firstLineChars="0"/>
              <w:rPr>
                <w:rFonts w:hint="eastAsia" w:ascii="宋体" w:hAnsi="宋体" w:eastAsia="宋体" w:cs="宋体"/>
                <w:sz w:val="21"/>
                <w:szCs w:val="21"/>
              </w:rPr>
            </w:pPr>
            <w:r>
              <w:rPr>
                <w:rFonts w:hint="eastAsia" w:ascii="宋体" w:hAnsi="宋体" w:eastAsia="宋体" w:cs="宋体"/>
                <w:sz w:val="21"/>
                <w:szCs w:val="21"/>
              </w:rPr>
              <w:t>根据投标人针对本项目拟定服务实施方案（包括但不限于项目需求理解、重点难点分析并拟定的对策、服务团队建立</w:t>
            </w:r>
            <w:r>
              <w:rPr>
                <w:rFonts w:hint="eastAsia" w:ascii="宋体" w:hAnsi="宋体" w:eastAsia="宋体" w:cs="宋体"/>
                <w:sz w:val="21"/>
                <w:szCs w:val="21"/>
                <w:lang w:val="en-US" w:eastAsia="zh-CN"/>
              </w:rPr>
              <w:t>及</w:t>
            </w:r>
            <w:r>
              <w:rPr>
                <w:rFonts w:hint="eastAsia" w:ascii="宋体" w:hAnsi="宋体" w:eastAsia="宋体" w:cs="宋体"/>
                <w:sz w:val="21"/>
                <w:szCs w:val="21"/>
              </w:rPr>
              <w:t>团队管理、</w:t>
            </w:r>
            <w:r>
              <w:rPr>
                <w:rFonts w:hint="eastAsia" w:ascii="宋体" w:hAnsi="宋体" w:eastAsia="宋体" w:cs="宋体"/>
                <w:sz w:val="21"/>
                <w:szCs w:val="21"/>
                <w:lang w:val="en-US" w:eastAsia="zh-CN"/>
              </w:rPr>
              <w:t>行程计划安排方案、当地布展活动策划执行方案</w:t>
            </w:r>
            <w:r>
              <w:rPr>
                <w:rFonts w:hint="eastAsia" w:ascii="宋体" w:hAnsi="宋体" w:eastAsia="宋体" w:cs="宋体"/>
                <w:sz w:val="21"/>
                <w:szCs w:val="21"/>
              </w:rPr>
              <w:t>等）进行评审，要求对方案完整，科学可行，针对性强。</w:t>
            </w:r>
          </w:p>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w:t>
            </w:r>
            <w:r>
              <w:t>整体实施方案可行性、针对性强，设置科学，与项目实际情况结合程度高</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25</w:t>
            </w:r>
            <w:r>
              <w:rPr>
                <w:rFonts w:hint="eastAsia" w:ascii="宋体" w:hAnsi="宋体" w:eastAsia="宋体" w:cs="宋体"/>
                <w:color w:val="auto"/>
                <w:kern w:val="2"/>
                <w:sz w:val="21"/>
                <w:szCs w:val="21"/>
                <w:lang w:val="en-US" w:eastAsia="zh-CN"/>
              </w:rPr>
              <w:t>分；</w:t>
            </w:r>
          </w:p>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2.</w:t>
            </w:r>
            <w:r>
              <w:t>整体实施方案可行性、针对性</w:t>
            </w:r>
            <w:r>
              <w:rPr>
                <w:rFonts w:hint="eastAsia"/>
                <w:lang w:val="en-US" w:eastAsia="zh-CN"/>
              </w:rPr>
              <w:t>较</w:t>
            </w:r>
            <w:r>
              <w:t>强，设置</w:t>
            </w:r>
            <w:r>
              <w:rPr>
                <w:rFonts w:hint="eastAsia"/>
                <w:lang w:val="en-US" w:eastAsia="zh-CN"/>
              </w:rPr>
              <w:t>比较</w:t>
            </w:r>
            <w:r>
              <w:t>科学，与项目实际情况结合程度</w:t>
            </w:r>
            <w:r>
              <w:rPr>
                <w:rFonts w:hint="eastAsia"/>
                <w:lang w:val="en-US" w:eastAsia="zh-CN"/>
              </w:rPr>
              <w:t>较好</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20</w:t>
            </w:r>
            <w:r>
              <w:rPr>
                <w:rFonts w:hint="eastAsia" w:ascii="宋体" w:hAnsi="宋体" w:eastAsia="宋体" w:cs="宋体"/>
                <w:color w:val="auto"/>
                <w:kern w:val="2"/>
                <w:sz w:val="21"/>
                <w:szCs w:val="21"/>
                <w:lang w:val="en-US" w:eastAsia="zh-CN"/>
              </w:rPr>
              <w:t>分；</w:t>
            </w:r>
          </w:p>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3.</w:t>
            </w:r>
            <w:r>
              <w:t>整体实施方案可行性、针对性</w:t>
            </w:r>
            <w:r>
              <w:rPr>
                <w:rFonts w:hint="eastAsia"/>
                <w:lang w:val="en-US" w:eastAsia="zh-CN"/>
              </w:rPr>
              <w:t>一般</w:t>
            </w:r>
            <w:r>
              <w:t>，设置科学</w:t>
            </w:r>
            <w:r>
              <w:rPr>
                <w:rFonts w:hint="eastAsia"/>
                <w:lang w:val="en-US" w:eastAsia="zh-CN"/>
              </w:rPr>
              <w:t>性一般</w:t>
            </w:r>
            <w:r>
              <w:t>，与项目实际情况结合程度</w:t>
            </w:r>
            <w:r>
              <w:rPr>
                <w:rFonts w:hint="eastAsia"/>
                <w:lang w:val="en-US" w:eastAsia="zh-CN"/>
              </w:rPr>
              <w:t>一般</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15</w:t>
            </w:r>
            <w:r>
              <w:rPr>
                <w:rFonts w:hint="eastAsia" w:ascii="宋体" w:hAnsi="宋体" w:eastAsia="宋体" w:cs="宋体"/>
                <w:color w:val="auto"/>
                <w:kern w:val="2"/>
                <w:sz w:val="21"/>
                <w:szCs w:val="21"/>
                <w:lang w:val="en-US" w:eastAsia="zh-CN"/>
              </w:rPr>
              <w:t>分；</w:t>
            </w:r>
          </w:p>
          <w:p>
            <w:pPr>
              <w:pStyle w:val="14"/>
              <w:ind w:firstLine="0" w:firstLineChars="0"/>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实施方案详细性、合理性、可操作性较差的，得10分。</w:t>
            </w:r>
          </w:p>
          <w:p>
            <w:pPr>
              <w:pStyle w:val="14"/>
              <w:ind w:firstLine="0" w:firstLineChars="0"/>
              <w:rPr>
                <w:rFonts w:ascii="宋体" w:hAnsi="宋体" w:eastAsia="宋体" w:cs="宋体"/>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项目应急响应措施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6675" w:type="dxa"/>
            <w:tcBorders>
              <w:top w:val="single" w:color="auto" w:sz="4" w:space="0"/>
              <w:left w:val="single" w:color="auto" w:sz="4" w:space="0"/>
              <w:bottom w:val="single" w:color="auto" w:sz="4" w:space="0"/>
              <w:right w:val="single" w:color="auto" w:sz="4" w:space="0"/>
            </w:tcBorders>
          </w:tcPr>
          <w:p>
            <w:pPr>
              <w:pStyle w:val="14"/>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根据投标人针对本项目制定的应急预案（包括但不限于突发事件的预防措施、应急情况的处理措施等）进行评审，要求应急预案具体，可行性高，针对性强。</w:t>
            </w:r>
          </w:p>
          <w:p>
            <w:pPr>
              <w:pStyle w:val="14"/>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1、方案详细、合理、可行，符合项目实际情况，</w:t>
            </w:r>
            <w:r>
              <w:rPr>
                <w:rFonts w:hint="eastAsia" w:ascii="宋体" w:hAnsi="宋体" w:eastAsia="宋体" w:cs="宋体"/>
                <w:kern w:val="2"/>
                <w:sz w:val="21"/>
                <w:szCs w:val="21"/>
                <w:lang w:val="en-US" w:eastAsia="zh-CN"/>
              </w:rPr>
              <w:t>得10</w:t>
            </w:r>
            <w:r>
              <w:rPr>
                <w:rFonts w:hint="eastAsia" w:ascii="宋体" w:hAnsi="宋体" w:eastAsia="宋体" w:cs="宋体"/>
                <w:kern w:val="2"/>
                <w:sz w:val="21"/>
                <w:szCs w:val="21"/>
              </w:rPr>
              <w:t>分；</w:t>
            </w:r>
          </w:p>
          <w:p>
            <w:pPr>
              <w:pStyle w:val="14"/>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2、方案的合理性、可行性、符合情况等一般，</w:t>
            </w:r>
            <w:r>
              <w:rPr>
                <w:rFonts w:hint="eastAsia" w:ascii="宋体" w:hAnsi="宋体" w:eastAsia="宋体" w:cs="宋体"/>
                <w:kern w:val="2"/>
                <w:sz w:val="21"/>
                <w:szCs w:val="21"/>
                <w:lang w:val="en-US" w:eastAsia="zh-CN"/>
              </w:rPr>
              <w:t>得7</w:t>
            </w:r>
            <w:r>
              <w:rPr>
                <w:rFonts w:hint="eastAsia" w:ascii="宋体" w:hAnsi="宋体" w:eastAsia="宋体" w:cs="宋体"/>
                <w:kern w:val="2"/>
                <w:sz w:val="21"/>
                <w:szCs w:val="21"/>
              </w:rPr>
              <w:t>分；</w:t>
            </w:r>
          </w:p>
          <w:p>
            <w:pPr>
              <w:pStyle w:val="14"/>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3、方案的合理性、可行性、符合情况等较差，</w:t>
            </w:r>
            <w:r>
              <w:rPr>
                <w:rFonts w:hint="eastAsia" w:ascii="宋体" w:hAnsi="宋体" w:eastAsia="宋体" w:cs="宋体"/>
                <w:kern w:val="2"/>
                <w:sz w:val="21"/>
                <w:szCs w:val="21"/>
                <w:lang w:val="en-US" w:eastAsia="zh-CN"/>
              </w:rPr>
              <w:t>得4</w:t>
            </w:r>
            <w:r>
              <w:rPr>
                <w:rFonts w:hint="eastAsia" w:ascii="宋体" w:hAnsi="宋体" w:eastAsia="宋体" w:cs="宋体"/>
                <w:kern w:val="2"/>
                <w:sz w:val="21"/>
                <w:szCs w:val="21"/>
              </w:rPr>
              <w:t>分；</w:t>
            </w:r>
          </w:p>
          <w:p>
            <w:pPr>
              <w:pStyle w:val="14"/>
              <w:ind w:firstLine="0" w:firstLineChars="0"/>
              <w:rPr>
                <w:rFonts w:ascii="宋体" w:hAnsi="宋体" w:eastAsia="宋体" w:cs="宋体"/>
                <w:kern w:val="2"/>
                <w:sz w:val="21"/>
                <w:szCs w:val="21"/>
              </w:rPr>
            </w:pPr>
            <w:r>
              <w:rPr>
                <w:rFonts w:hint="eastAsia" w:ascii="宋体" w:hAnsi="宋体" w:eastAsia="宋体" w:cs="宋体"/>
                <w:kern w:val="2"/>
                <w:sz w:val="21"/>
                <w:szCs w:val="21"/>
              </w:rPr>
              <w:t>4、无提供得0分。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cs="宋体"/>
                <w:szCs w:val="21"/>
              </w:rPr>
              <w:t>质量控制方法及</w:t>
            </w:r>
            <w:r>
              <w:rPr>
                <w:rFonts w:hint="eastAsia" w:ascii="宋体" w:hAnsi="宋体" w:cs="宋体"/>
                <w:szCs w:val="21"/>
                <w:lang w:val="en-US" w:eastAsia="zh-CN"/>
              </w:rPr>
              <w:t>安全</w:t>
            </w:r>
            <w:r>
              <w:rPr>
                <w:rFonts w:hint="eastAsia" w:ascii="宋体" w:hAnsi="宋体" w:cs="宋体"/>
                <w:szCs w:val="21"/>
              </w:rPr>
              <w:t>保障措施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en-US" w:eastAsia="zh-CN"/>
              </w:rPr>
            </w:pPr>
            <w:r>
              <w:rPr>
                <w:rFonts w:hint="eastAsia" w:ascii="宋体" w:hAnsi="宋体" w:cs="宋体"/>
                <w:szCs w:val="21"/>
              </w:rPr>
              <w:t>1</w:t>
            </w: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tcPr>
          <w:p>
            <w:pPr>
              <w:pStyle w:val="14"/>
              <w:ind w:firstLine="0" w:firstLineChars="0"/>
              <w:rPr>
                <w:rFonts w:hint="eastAsia" w:ascii="宋体" w:hAnsi="宋体" w:eastAsia="宋体" w:cs="宋体"/>
                <w:sz w:val="21"/>
                <w:szCs w:val="21"/>
              </w:rPr>
            </w:pPr>
            <w:r>
              <w:rPr>
                <w:rFonts w:hint="eastAsia" w:ascii="宋体" w:hAnsi="宋体" w:eastAsia="宋体" w:cs="宋体"/>
                <w:sz w:val="21"/>
                <w:szCs w:val="21"/>
              </w:rPr>
              <w:t>根据投标人提出的质量控制方法及</w:t>
            </w:r>
            <w:r>
              <w:rPr>
                <w:rFonts w:hint="eastAsia" w:ascii="宋体" w:hAnsi="宋体" w:eastAsia="宋体" w:cs="宋体"/>
                <w:sz w:val="21"/>
                <w:szCs w:val="21"/>
                <w:lang w:val="en-US" w:eastAsia="zh-CN"/>
              </w:rPr>
              <w:t>安全</w:t>
            </w:r>
            <w:r>
              <w:rPr>
                <w:rFonts w:hint="eastAsia" w:ascii="宋体" w:hAnsi="宋体" w:eastAsia="宋体" w:cs="宋体"/>
                <w:sz w:val="21"/>
                <w:szCs w:val="21"/>
              </w:rPr>
              <w:t>保障措施进行评审，要求质量控制方法科学合理，满足项目需求；</w:t>
            </w:r>
            <w:r>
              <w:rPr>
                <w:rFonts w:hint="eastAsia" w:ascii="宋体" w:hAnsi="宋体" w:eastAsia="宋体" w:cs="宋体"/>
                <w:sz w:val="21"/>
                <w:szCs w:val="21"/>
                <w:lang w:val="en-US" w:eastAsia="zh-CN"/>
              </w:rPr>
              <w:t>安全</w:t>
            </w:r>
            <w:r>
              <w:rPr>
                <w:rFonts w:hint="eastAsia" w:ascii="宋体" w:hAnsi="宋体" w:eastAsia="宋体" w:cs="宋体"/>
                <w:sz w:val="21"/>
                <w:szCs w:val="21"/>
              </w:rPr>
              <w:t>保障措施科学切实可行、详细具体，针对性强。</w:t>
            </w:r>
          </w:p>
          <w:p>
            <w:pPr>
              <w:pStyle w:val="14"/>
              <w:numPr>
                <w:ilvl w:val="0"/>
                <w:numId w:val="0"/>
              </w:numPr>
              <w:ind w:firstLine="0" w:firstLineChars="0"/>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安全</w:t>
            </w:r>
            <w:r>
              <w:rPr>
                <w:rFonts w:hint="eastAsia" w:ascii="宋体" w:hAnsi="宋体" w:eastAsia="宋体" w:cs="宋体"/>
                <w:kern w:val="2"/>
                <w:sz w:val="21"/>
                <w:szCs w:val="21"/>
              </w:rPr>
              <w:t>保障措施全面、合理，服务承诺好的，得</w:t>
            </w:r>
            <w:r>
              <w:rPr>
                <w:rFonts w:hint="eastAsia" w:ascii="宋体" w:hAnsi="宋体" w:eastAsia="宋体" w:cs="宋体"/>
                <w:kern w:val="2"/>
                <w:sz w:val="21"/>
                <w:szCs w:val="21"/>
                <w:lang w:val="en-US" w:eastAsia="zh-CN"/>
              </w:rPr>
              <w:t>15</w:t>
            </w:r>
            <w:r>
              <w:rPr>
                <w:rFonts w:hint="eastAsia" w:ascii="宋体" w:hAnsi="宋体" w:eastAsia="宋体" w:cs="宋体"/>
                <w:kern w:val="2"/>
                <w:sz w:val="21"/>
                <w:szCs w:val="21"/>
              </w:rPr>
              <w:t xml:space="preserve">分；  </w:t>
            </w:r>
          </w:p>
          <w:p>
            <w:pPr>
              <w:pStyle w:val="14"/>
              <w:numPr>
                <w:ilvl w:val="0"/>
                <w:numId w:val="0"/>
              </w:numPr>
              <w:ind w:firstLine="0" w:firstLineChars="0"/>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2.</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安全</w:t>
            </w:r>
            <w:r>
              <w:rPr>
                <w:rFonts w:hint="eastAsia" w:ascii="宋体" w:hAnsi="宋体" w:eastAsia="宋体" w:cs="宋体"/>
                <w:kern w:val="2"/>
                <w:sz w:val="21"/>
                <w:szCs w:val="21"/>
              </w:rPr>
              <w:t>保障措施较全面、较合理，服务承诺较好的，得</w:t>
            </w:r>
            <w:r>
              <w:rPr>
                <w:rFonts w:hint="eastAsia" w:ascii="宋体" w:hAnsi="宋体" w:eastAsia="宋体" w:cs="宋体"/>
                <w:kern w:val="2"/>
                <w:sz w:val="21"/>
                <w:szCs w:val="21"/>
                <w:lang w:val="en-US" w:eastAsia="zh-CN"/>
              </w:rPr>
              <w:t>12</w:t>
            </w:r>
            <w:r>
              <w:rPr>
                <w:rFonts w:hint="eastAsia" w:ascii="宋体" w:hAnsi="宋体" w:eastAsia="宋体" w:cs="宋体"/>
                <w:kern w:val="2"/>
                <w:sz w:val="21"/>
                <w:szCs w:val="21"/>
              </w:rPr>
              <w:t xml:space="preserve">分；  </w:t>
            </w:r>
          </w:p>
          <w:p>
            <w:pPr>
              <w:pStyle w:val="14"/>
              <w:numPr>
                <w:ilvl w:val="0"/>
                <w:numId w:val="0"/>
              </w:numPr>
              <w:ind w:firstLine="0" w:firstLineChars="0"/>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3.</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安全</w:t>
            </w:r>
            <w:r>
              <w:rPr>
                <w:rFonts w:hint="eastAsia" w:ascii="宋体" w:hAnsi="宋体" w:eastAsia="宋体" w:cs="宋体"/>
                <w:kern w:val="2"/>
                <w:sz w:val="21"/>
                <w:szCs w:val="21"/>
              </w:rPr>
              <w:t>保障措施基本全面、基本合理，服务承诺一般的，得</w:t>
            </w:r>
            <w:r>
              <w:rPr>
                <w:rFonts w:hint="eastAsia" w:ascii="宋体" w:hAnsi="宋体" w:eastAsia="宋体" w:cs="宋体"/>
                <w:kern w:val="2"/>
                <w:sz w:val="21"/>
                <w:szCs w:val="21"/>
                <w:lang w:val="en-US" w:eastAsia="zh-CN"/>
              </w:rPr>
              <w:t>8</w:t>
            </w:r>
            <w:r>
              <w:rPr>
                <w:rFonts w:hint="eastAsia" w:ascii="宋体" w:hAnsi="宋体" w:eastAsia="宋体" w:cs="宋体"/>
                <w:kern w:val="2"/>
                <w:sz w:val="21"/>
                <w:szCs w:val="21"/>
              </w:rPr>
              <w:t xml:space="preserve">分；  </w:t>
            </w:r>
          </w:p>
          <w:p>
            <w:pPr>
              <w:pStyle w:val="14"/>
              <w:numPr>
                <w:ilvl w:val="0"/>
                <w:numId w:val="0"/>
              </w:numPr>
              <w:ind w:firstLine="0" w:firstLineChars="0"/>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4.</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安全</w:t>
            </w:r>
            <w:r>
              <w:rPr>
                <w:rFonts w:hint="eastAsia" w:ascii="宋体" w:hAnsi="宋体" w:eastAsia="宋体" w:cs="宋体"/>
                <w:kern w:val="2"/>
                <w:sz w:val="21"/>
                <w:szCs w:val="21"/>
              </w:rPr>
              <w:t>保障措施不全面、不合理，服务承诺差，得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 xml:space="preserve">分； </w:t>
            </w:r>
          </w:p>
          <w:p>
            <w:pPr>
              <w:pStyle w:val="14"/>
              <w:numPr>
                <w:ilvl w:val="0"/>
                <w:numId w:val="0"/>
              </w:numPr>
              <w:ind w:firstLine="0" w:firstLineChars="0"/>
              <w:rPr>
                <w:rStyle w:val="171"/>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5.</w:t>
            </w:r>
            <w:r>
              <w:rPr>
                <w:rFonts w:hint="eastAsia" w:ascii="宋体" w:hAnsi="宋体" w:eastAsia="宋体" w:cs="宋体"/>
                <w:kern w:val="2"/>
                <w:sz w:val="21"/>
                <w:szCs w:val="21"/>
              </w:rPr>
              <w:t>无提供不得分。</w:t>
            </w:r>
          </w:p>
        </w:tc>
      </w:tr>
    </w:tbl>
    <w:p>
      <w:pPr>
        <w:pStyle w:val="5"/>
        <w:rPr>
          <w:rFonts w:ascii="宋体" w:hAnsi="宋体" w:eastAsia="宋体"/>
          <w:b w:val="0"/>
          <w:sz w:val="24"/>
        </w:rPr>
      </w:pPr>
      <w:bookmarkStart w:id="443" w:name="_Toc13034"/>
      <w:bookmarkStart w:id="444" w:name="_Toc28500"/>
      <w:r>
        <w:rPr>
          <w:rFonts w:hint="eastAsia" w:ascii="宋体" w:hAnsi="宋体" w:eastAsia="宋体"/>
          <w:b w:val="0"/>
          <w:sz w:val="24"/>
        </w:rPr>
        <w:t>3、商务评分表</w:t>
      </w:r>
      <w:bookmarkEnd w:id="443"/>
      <w:bookmarkEnd w:id="444"/>
    </w:p>
    <w:tbl>
      <w:tblPr>
        <w:tblStyle w:val="41"/>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107"/>
        <w:gridCol w:w="704"/>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评分项</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商务</w:t>
            </w:r>
          </w:p>
        </w:tc>
        <w:tc>
          <w:tcPr>
            <w:tcW w:w="3650" w:type="pct"/>
            <w:tcBorders>
              <w:bottom w:val="single" w:color="auto" w:sz="4" w:space="0"/>
            </w:tcBorders>
            <w:vAlign w:val="center"/>
          </w:tcPr>
          <w:p>
            <w:pPr>
              <w:spacing w:line="240" w:lineRule="exact"/>
              <w:jc w:val="center"/>
              <w:rPr>
                <w:rFonts w:hint="default" w:ascii="宋体" w:hAnsi="宋体" w:eastAsia="宋体" w:cs="宋体"/>
                <w:b/>
                <w:bCs/>
                <w:szCs w:val="21"/>
                <w:lang w:val="en-US" w:eastAsia="zh-CN"/>
              </w:rPr>
            </w:pPr>
            <w:r>
              <w:rPr>
                <w:rFonts w:hint="eastAsia" w:ascii="宋体" w:hAnsi="宋体" w:cs="宋体"/>
                <w:b/>
                <w:bCs/>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7"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序号</w:t>
            </w:r>
          </w:p>
        </w:tc>
        <w:tc>
          <w:tcPr>
            <w:tcW w:w="594"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内容</w:t>
            </w:r>
          </w:p>
        </w:tc>
        <w:tc>
          <w:tcPr>
            <w:tcW w:w="377"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分值</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377"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1</w:t>
            </w:r>
          </w:p>
        </w:tc>
        <w:tc>
          <w:tcPr>
            <w:tcW w:w="594" w:type="pct"/>
            <w:vAlign w:val="center"/>
          </w:tcPr>
          <w:p>
            <w:pPr>
              <w:jc w:val="center"/>
              <w:rPr>
                <w:rFonts w:ascii="宋体" w:hAnsi="宋体" w:cs="宋体"/>
                <w:szCs w:val="21"/>
              </w:rPr>
            </w:pPr>
            <w:r>
              <w:rPr>
                <w:rFonts w:hint="eastAsia"/>
                <w:szCs w:val="21"/>
              </w:rPr>
              <w:t>同类项目业绩</w:t>
            </w:r>
          </w:p>
        </w:tc>
        <w:tc>
          <w:tcPr>
            <w:tcW w:w="377" w:type="pct"/>
            <w:vAlign w:val="center"/>
          </w:tcPr>
          <w:p>
            <w:pPr>
              <w:adjustRightInd w:val="0"/>
              <w:snapToGrid w:val="0"/>
              <w:spacing w:line="288" w:lineRule="auto"/>
              <w:jc w:val="center"/>
              <w:rPr>
                <w:rFonts w:hint="default" w:ascii="宋体" w:hAnsi="宋体" w:eastAsia="宋体" w:cs="宋体"/>
                <w:color w:val="000000"/>
                <w:szCs w:val="21"/>
                <w:highlight w:val="none"/>
                <w:lang w:val="en-US" w:eastAsia="zh-CN"/>
              </w:rPr>
            </w:pPr>
            <w:r>
              <w:rPr>
                <w:rFonts w:hint="eastAsia" w:ascii="宋体" w:hAnsi="宋体" w:cs="宋体"/>
                <w:szCs w:val="21"/>
                <w:highlight w:val="none"/>
                <w:lang w:val="en-US" w:eastAsia="zh-CN"/>
              </w:rPr>
              <w:t>20</w:t>
            </w:r>
          </w:p>
        </w:tc>
        <w:tc>
          <w:tcPr>
            <w:tcW w:w="3650" w:type="pct"/>
            <w:vAlign w:val="center"/>
          </w:tcPr>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根据投标人提供20</w:t>
            </w:r>
            <w:r>
              <w:rPr>
                <w:rFonts w:hint="eastAsia" w:ascii="宋体" w:hAnsi="宋体" w:cs="宋体"/>
                <w:szCs w:val="21"/>
                <w:highlight w:val="none"/>
                <w:lang w:val="en-US" w:eastAsia="zh-CN"/>
              </w:rPr>
              <w:t>18</w:t>
            </w:r>
            <w:r>
              <w:rPr>
                <w:rFonts w:hint="eastAsia" w:ascii="宋体" w:hAnsi="宋体" w:cs="宋体"/>
                <w:szCs w:val="21"/>
                <w:highlight w:val="none"/>
              </w:rPr>
              <w:t>年1月1日（含）至今</w:t>
            </w:r>
            <w:r>
              <w:rPr>
                <w:rFonts w:hint="eastAsia" w:ascii="宋体" w:hAnsi="宋体" w:cs="宋体"/>
                <w:szCs w:val="21"/>
                <w:highlight w:val="none"/>
                <w:lang w:eastAsia="zh-CN"/>
              </w:rPr>
              <w:t>具备</w:t>
            </w:r>
            <w:r>
              <w:rPr>
                <w:rFonts w:hint="eastAsia" w:ascii="宋体" w:hAnsi="宋体" w:cs="宋体"/>
                <w:szCs w:val="21"/>
                <w:highlight w:val="none"/>
              </w:rPr>
              <w:t>的</w:t>
            </w:r>
            <w:r>
              <w:rPr>
                <w:rFonts w:hint="eastAsia" w:ascii="宋体" w:hAnsi="宋体" w:cs="宋体"/>
                <w:szCs w:val="21"/>
                <w:highlight w:val="none"/>
                <w:lang w:val="en-US" w:eastAsia="zh-CN"/>
              </w:rPr>
              <w:t>团体出境（国外）旅行或团体出境（国外）行程服务类</w:t>
            </w:r>
            <w:r>
              <w:rPr>
                <w:rFonts w:hint="eastAsia" w:ascii="宋体" w:hAnsi="宋体" w:cs="宋体"/>
                <w:szCs w:val="21"/>
                <w:highlight w:val="none"/>
              </w:rPr>
              <w:t>同类</w:t>
            </w:r>
            <w:r>
              <w:rPr>
                <w:rFonts w:hint="eastAsia" w:ascii="宋体" w:hAnsi="宋体" w:cs="宋体"/>
                <w:szCs w:val="21"/>
                <w:highlight w:val="none"/>
                <w:lang w:eastAsia="zh-CN"/>
              </w:rPr>
              <w:t>项目</w:t>
            </w:r>
            <w:r>
              <w:rPr>
                <w:rFonts w:hint="eastAsia" w:ascii="宋体" w:hAnsi="宋体" w:cs="宋体"/>
                <w:szCs w:val="21"/>
                <w:highlight w:val="none"/>
              </w:rPr>
              <w:t>情况进行评分，每有一个同类业绩，得</w:t>
            </w:r>
            <w:r>
              <w:rPr>
                <w:rFonts w:hint="eastAsia" w:ascii="宋体" w:hAnsi="宋体" w:cs="宋体"/>
                <w:szCs w:val="21"/>
                <w:highlight w:val="none"/>
                <w:lang w:val="en-US" w:eastAsia="zh-CN"/>
              </w:rPr>
              <w:t>4</w:t>
            </w:r>
            <w:r>
              <w:rPr>
                <w:rFonts w:hint="eastAsia" w:ascii="宋体" w:hAnsi="宋体" w:cs="宋体"/>
                <w:szCs w:val="21"/>
                <w:highlight w:val="none"/>
              </w:rPr>
              <w:t>分；最高得</w:t>
            </w:r>
            <w:r>
              <w:rPr>
                <w:rFonts w:hint="eastAsia" w:ascii="宋体" w:hAnsi="宋体" w:cs="宋体"/>
                <w:szCs w:val="21"/>
                <w:highlight w:val="none"/>
                <w:lang w:val="en-US" w:eastAsia="zh-CN"/>
              </w:rPr>
              <w:t>20</w:t>
            </w:r>
            <w:r>
              <w:rPr>
                <w:rFonts w:hint="eastAsia" w:ascii="宋体" w:hAnsi="宋体" w:cs="宋体"/>
                <w:szCs w:val="21"/>
                <w:highlight w:val="none"/>
              </w:rPr>
              <w:t>分。</w:t>
            </w:r>
          </w:p>
          <w:p>
            <w:pPr>
              <w:adjustRightInd w:val="0"/>
              <w:snapToGrid w:val="0"/>
              <w:spacing w:line="288" w:lineRule="auto"/>
              <w:rPr>
                <w:highlight w:val="none"/>
              </w:rPr>
            </w:pPr>
            <w:r>
              <w:rPr>
                <w:rFonts w:hint="eastAsia" w:ascii="宋体" w:hAnsi="宋体" w:cs="宋体"/>
                <w:szCs w:val="21"/>
                <w:highlight w:val="none"/>
                <w:lang w:eastAsia="zh-CN"/>
              </w:rPr>
              <w:t>注：</w:t>
            </w:r>
            <w:r>
              <w:rPr>
                <w:rFonts w:hint="eastAsia" w:ascii="宋体" w:hAnsi="宋体" w:cs="宋体"/>
                <w:szCs w:val="21"/>
                <w:highlight w:val="none"/>
              </w:rPr>
              <w:t>须提供合同关键页（封面</w:t>
            </w:r>
            <w:r>
              <w:rPr>
                <w:rFonts w:hint="eastAsia" w:ascii="宋体" w:hAnsi="宋体" w:cs="宋体"/>
                <w:szCs w:val="21"/>
                <w:highlight w:val="none"/>
                <w:lang w:val="en-US" w:eastAsia="zh-CN"/>
              </w:rPr>
              <w:t>页</w:t>
            </w:r>
            <w:r>
              <w:rPr>
                <w:rFonts w:hint="eastAsia" w:ascii="宋体" w:hAnsi="宋体" w:cs="宋体"/>
                <w:szCs w:val="21"/>
                <w:highlight w:val="none"/>
              </w:rPr>
              <w:t>、合同金额及合同服务内容页</w:t>
            </w:r>
            <w:r>
              <w:rPr>
                <w:rFonts w:hint="eastAsia" w:ascii="宋体" w:hAnsi="宋体" w:cs="宋体"/>
                <w:szCs w:val="21"/>
                <w:highlight w:val="none"/>
                <w:lang w:eastAsia="zh-CN"/>
              </w:rPr>
              <w:t>、</w:t>
            </w:r>
            <w:r>
              <w:rPr>
                <w:rFonts w:hint="eastAsia" w:ascii="宋体" w:hAnsi="宋体" w:cs="宋体"/>
                <w:szCs w:val="21"/>
                <w:highlight w:val="none"/>
              </w:rPr>
              <w:t>签字盖章页）复印件并加盖公章，不提供者或提供材料不完整者不得分。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8" w:hRule="atLeast"/>
          <w:jc w:val="center"/>
        </w:trPr>
        <w:tc>
          <w:tcPr>
            <w:tcW w:w="377" w:type="pct"/>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594" w:type="pct"/>
            <w:vAlign w:val="center"/>
          </w:tcPr>
          <w:p>
            <w:pPr>
              <w:jc w:val="center"/>
              <w:rPr>
                <w:rFonts w:ascii="宋体" w:hAnsi="宋体" w:cs="宋体"/>
                <w:szCs w:val="21"/>
              </w:rPr>
            </w:pPr>
            <w:r>
              <w:rPr>
                <w:rFonts w:hint="eastAsia"/>
                <w:szCs w:val="21"/>
              </w:rPr>
              <w:t>服务团队素质</w:t>
            </w:r>
          </w:p>
        </w:tc>
        <w:tc>
          <w:tcPr>
            <w:tcW w:w="377" w:type="pct"/>
            <w:vAlign w:val="center"/>
          </w:tcPr>
          <w:p>
            <w:pPr>
              <w:adjustRightInd w:val="0"/>
              <w:snapToGrid w:val="0"/>
              <w:spacing w:line="288" w:lineRule="auto"/>
              <w:ind w:firstLine="210" w:firstLineChars="100"/>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10</w:t>
            </w:r>
          </w:p>
        </w:tc>
        <w:tc>
          <w:tcPr>
            <w:tcW w:w="3650" w:type="pct"/>
            <w:vAlign w:val="center"/>
          </w:tcPr>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考察对比投标人拟投入本项目人员的专业素质：</w:t>
            </w:r>
          </w:p>
          <w:p>
            <w:pPr>
              <w:adjustRightInd w:val="0"/>
              <w:snapToGrid w:val="0"/>
              <w:spacing w:line="288" w:lineRule="auto"/>
              <w:rPr>
                <w:rFonts w:hint="eastAsia" w:ascii="宋体" w:hAnsi="宋体" w:cs="宋体"/>
                <w:szCs w:val="21"/>
                <w:highlight w:val="none"/>
                <w:lang w:val="en-US" w:eastAsia="zh-CN"/>
              </w:rPr>
            </w:pPr>
            <w:r>
              <w:rPr>
                <w:rFonts w:hint="eastAsia" w:ascii="宋体" w:hAnsi="宋体" w:cs="宋体"/>
                <w:szCs w:val="21"/>
                <w:highlight w:val="none"/>
                <w:lang w:val="en-US" w:eastAsia="zh-CN"/>
              </w:rPr>
              <w:t>每有1人具备旅游管理相关专业的专科或以上学历或具备导游职业资格证（即导游证），得2分，本小项满分10分。</w:t>
            </w:r>
          </w:p>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lang w:eastAsia="zh-CN"/>
              </w:rPr>
              <w:t>注：</w:t>
            </w:r>
            <w:r>
              <w:rPr>
                <w:rFonts w:hint="eastAsia" w:ascii="宋体" w:hAnsi="宋体" w:cs="宋体"/>
                <w:szCs w:val="21"/>
                <w:highlight w:val="none"/>
              </w:rPr>
              <w:t>提供人员有效证书扫描件及经社保局盖章的</w:t>
            </w:r>
            <w:r>
              <w:rPr>
                <w:rFonts w:hint="eastAsia" w:ascii="宋体" w:hAnsi="宋体" w:cs="宋体"/>
                <w:szCs w:val="21"/>
                <w:highlight w:val="none"/>
                <w:lang w:val="en-US" w:eastAsia="zh-CN"/>
              </w:rPr>
              <w:t>2023年6月至今至少1个月的</w:t>
            </w:r>
            <w:r>
              <w:rPr>
                <w:rFonts w:hint="eastAsia" w:ascii="宋体" w:hAnsi="宋体" w:cs="宋体"/>
                <w:szCs w:val="21"/>
                <w:highlight w:val="none"/>
                <w:lang w:eastAsia="zh-CN"/>
              </w:rPr>
              <w:t>缴纳</w:t>
            </w:r>
            <w:r>
              <w:rPr>
                <w:rFonts w:hint="eastAsia" w:ascii="宋体" w:hAnsi="宋体" w:cs="宋体"/>
                <w:szCs w:val="21"/>
                <w:highlight w:val="none"/>
              </w:rPr>
              <w:t>社保</w:t>
            </w:r>
            <w:r>
              <w:rPr>
                <w:rFonts w:hint="eastAsia" w:ascii="宋体" w:hAnsi="宋体" w:cs="宋体"/>
                <w:szCs w:val="21"/>
                <w:highlight w:val="none"/>
                <w:lang w:eastAsia="zh-CN"/>
              </w:rPr>
              <w:t>的</w:t>
            </w:r>
            <w:r>
              <w:rPr>
                <w:rFonts w:hint="eastAsia" w:ascii="宋体" w:hAnsi="宋体" w:cs="宋体"/>
                <w:szCs w:val="21"/>
                <w:highlight w:val="none"/>
              </w:rPr>
              <w:t>证明</w:t>
            </w:r>
            <w:r>
              <w:rPr>
                <w:rFonts w:hint="eastAsia" w:ascii="宋体" w:hAnsi="宋体" w:cs="宋体"/>
                <w:szCs w:val="21"/>
                <w:highlight w:val="none"/>
                <w:lang w:eastAsia="zh-CN"/>
              </w:rPr>
              <w:t>材料（如为</w:t>
            </w:r>
            <w:r>
              <w:rPr>
                <w:rFonts w:hint="eastAsia" w:ascii="宋体" w:hAnsi="宋体" w:cs="宋体"/>
                <w:szCs w:val="21"/>
                <w:highlight w:val="none"/>
                <w:lang w:val="en-US" w:eastAsia="zh-CN"/>
              </w:rPr>
              <w:t>投标人</w:t>
            </w:r>
            <w:r>
              <w:rPr>
                <w:rFonts w:hint="eastAsia" w:ascii="宋体" w:hAnsi="宋体" w:cs="宋体"/>
                <w:szCs w:val="21"/>
                <w:highlight w:val="none"/>
                <w:lang w:eastAsia="zh-CN"/>
              </w:rPr>
              <w:t>本单位缴纳的：缴纳社保主体名称与</w:t>
            </w:r>
            <w:r>
              <w:rPr>
                <w:rFonts w:hint="eastAsia" w:ascii="宋体" w:hAnsi="宋体" w:cs="宋体"/>
                <w:szCs w:val="21"/>
                <w:highlight w:val="none"/>
                <w:lang w:val="en-US" w:eastAsia="zh-CN"/>
              </w:rPr>
              <w:t>投标人</w:t>
            </w:r>
            <w:r>
              <w:rPr>
                <w:rFonts w:hint="eastAsia" w:ascii="宋体" w:hAnsi="宋体" w:cs="宋体"/>
                <w:szCs w:val="21"/>
                <w:highlight w:val="none"/>
                <w:lang w:eastAsia="zh-CN"/>
              </w:rPr>
              <w:t>名称（或其分支机构）一致。如由专业人事代理机构缴纳，须</w:t>
            </w:r>
            <w:r>
              <w:rPr>
                <w:rFonts w:hint="eastAsia" w:ascii="宋体" w:hAnsi="宋体" w:cs="宋体"/>
                <w:szCs w:val="21"/>
                <w:highlight w:val="none"/>
                <w:lang w:val="en-US" w:eastAsia="zh-CN"/>
              </w:rPr>
              <w:t>额外</w:t>
            </w:r>
            <w:r>
              <w:rPr>
                <w:rFonts w:hint="eastAsia" w:ascii="宋体" w:hAnsi="宋体" w:cs="宋体"/>
                <w:szCs w:val="21"/>
                <w:highlight w:val="none"/>
                <w:lang w:eastAsia="zh-CN"/>
              </w:rPr>
              <w:t>提供人事代理与</w:t>
            </w:r>
            <w:r>
              <w:rPr>
                <w:rFonts w:hint="eastAsia" w:ascii="宋体" w:hAnsi="宋体" w:cs="宋体"/>
                <w:szCs w:val="21"/>
                <w:highlight w:val="none"/>
                <w:lang w:val="en-US" w:eastAsia="zh-CN"/>
              </w:rPr>
              <w:t>投标人</w:t>
            </w:r>
            <w:r>
              <w:rPr>
                <w:rFonts w:hint="eastAsia" w:ascii="宋体" w:hAnsi="宋体" w:cs="宋体"/>
                <w:szCs w:val="21"/>
                <w:highlight w:val="none"/>
                <w:lang w:eastAsia="zh-CN"/>
              </w:rPr>
              <w:t>（或其分支机构）相应合同或协议，且在协议中应明确包含</w:t>
            </w:r>
            <w:r>
              <w:rPr>
                <w:rFonts w:hint="eastAsia" w:ascii="宋体" w:hAnsi="宋体" w:cs="宋体"/>
                <w:szCs w:val="21"/>
                <w:highlight w:val="none"/>
                <w:lang w:val="en-US" w:eastAsia="zh-CN"/>
              </w:rPr>
              <w:t>投标人</w:t>
            </w:r>
            <w:r>
              <w:rPr>
                <w:rFonts w:hint="eastAsia" w:ascii="宋体" w:hAnsi="宋体" w:cs="宋体"/>
                <w:szCs w:val="21"/>
                <w:highlight w:val="none"/>
                <w:lang w:eastAsia="zh-CN"/>
              </w:rPr>
              <w:t>（或其分支机构）所提供的团队成员姓名或有人事代理机构盖章的人员清单证明，如存在没有列明的或不清晰的名单情况，则无效），未按要求提供社保证明的，则</w:t>
            </w:r>
            <w:r>
              <w:rPr>
                <w:rFonts w:hint="eastAsia" w:ascii="宋体" w:hAnsi="宋体" w:cs="宋体"/>
                <w:szCs w:val="21"/>
                <w:highlight w:val="none"/>
                <w:lang w:val="en-US" w:eastAsia="zh-CN"/>
              </w:rPr>
              <w:t>对应人员</w:t>
            </w:r>
            <w:r>
              <w:rPr>
                <w:rFonts w:hint="eastAsia" w:ascii="宋体" w:hAnsi="宋体" w:cs="宋体"/>
                <w:szCs w:val="21"/>
                <w:highlight w:val="none"/>
                <w:lang w:eastAsia="zh-CN"/>
              </w:rPr>
              <w:t>不得分</w:t>
            </w:r>
            <w:r>
              <w:rPr>
                <w:rFonts w:hint="eastAsia" w:ascii="宋体" w:hAnsi="宋体" w:cs="宋体"/>
                <w:szCs w:val="21"/>
                <w:highlight w:val="none"/>
              </w:rPr>
              <w:t>。</w:t>
            </w:r>
          </w:p>
        </w:tc>
      </w:tr>
    </w:tbl>
    <w:p>
      <w:pPr>
        <w:rPr>
          <w:rFonts w:ascii="宋体" w:hAnsi="宋体" w:cs="宋体"/>
        </w:rPr>
      </w:pPr>
    </w:p>
    <w:p>
      <w:pPr>
        <w:pStyle w:val="5"/>
        <w:rPr>
          <w:rFonts w:ascii="宋体" w:hAnsi="宋体" w:eastAsia="宋体" w:cs="宋体"/>
          <w:b w:val="0"/>
          <w:sz w:val="24"/>
        </w:rPr>
      </w:pPr>
      <w:bookmarkStart w:id="445" w:name="_Toc26108"/>
      <w:bookmarkStart w:id="446" w:name="_Toc3273"/>
      <w:bookmarkStart w:id="447" w:name="_Toc20707"/>
      <w:bookmarkStart w:id="448" w:name="_Toc4094"/>
      <w:bookmarkStart w:id="449" w:name="_Toc13412"/>
      <w:bookmarkStart w:id="450" w:name="_Toc59548358"/>
      <w:bookmarkStart w:id="451" w:name="_Toc22795"/>
      <w:r>
        <w:rPr>
          <w:rFonts w:hint="eastAsia" w:ascii="宋体" w:hAnsi="宋体" w:eastAsia="宋体" w:cs="宋体"/>
          <w:b w:val="0"/>
          <w:sz w:val="24"/>
        </w:rPr>
        <w:t>4、价格评分表</w:t>
      </w:r>
      <w:bookmarkEnd w:id="445"/>
    </w:p>
    <w:tbl>
      <w:tblPr>
        <w:tblStyle w:val="4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67"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418"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2</w:t>
            </w:r>
            <w:r>
              <w:rPr>
                <w:rFonts w:hint="eastAsia" w:ascii="宋体" w:hAnsi="宋体" w:cs="宋体"/>
                <w:b/>
                <w:kern w:val="0"/>
                <w:sz w:val="22"/>
                <w:szCs w:val="22"/>
              </w:rPr>
              <w:t>0分）</w:t>
            </w:r>
          </w:p>
        </w:tc>
        <w:tc>
          <w:tcPr>
            <w:tcW w:w="6520"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价格分统一采用低价优先法计算，即满足招标文件要求且最后报价最低的投标人的价格为基准价，其价格分为满分。其他投标人的价格分统一按照下列公式计算： 报价得分=（基准价/评标价）×</w:t>
            </w:r>
            <w:r>
              <w:rPr>
                <w:rFonts w:hint="eastAsia" w:ascii="宋体" w:hAnsi="宋体" w:cs="宋体"/>
                <w:kern w:val="0"/>
                <w:szCs w:val="21"/>
                <w:lang w:val="en-US" w:eastAsia="zh-CN"/>
              </w:rPr>
              <w:t>2</w:t>
            </w:r>
            <w:r>
              <w:rPr>
                <w:rFonts w:hint="eastAsia" w:ascii="宋体" w:hAnsi="宋体" w:cs="宋体"/>
                <w:kern w:val="0"/>
                <w:szCs w:val="21"/>
              </w:rPr>
              <w:t>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9"/>
        </w:numPr>
        <w:rPr>
          <w:rFonts w:ascii="宋体" w:hAnsi="宋体" w:cs="宋体"/>
          <w:b/>
          <w:bCs/>
          <w:sz w:val="24"/>
          <w:szCs w:val="32"/>
        </w:rPr>
      </w:pPr>
      <w:bookmarkStart w:id="452" w:name="_Toc450489345"/>
      <w:r>
        <w:rPr>
          <w:rFonts w:hint="eastAsia" w:ascii="宋体" w:hAnsi="宋体" w:cs="宋体"/>
          <w:b/>
          <w:bCs/>
          <w:sz w:val="24"/>
          <w:szCs w:val="32"/>
        </w:rPr>
        <w:t>评审方法</w:t>
      </w:r>
      <w:bookmarkEnd w:id="45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rFonts w:ascii="宋体" w:hAnsi="宋体" w:cs="宋体"/>
          <w:b/>
          <w:bCs/>
          <w:sz w:val="24"/>
          <w:szCs w:val="32"/>
        </w:rPr>
      </w:pPr>
      <w:bookmarkStart w:id="453" w:name="_Toc450489346"/>
      <w:r>
        <w:rPr>
          <w:rFonts w:hint="eastAsia" w:ascii="宋体" w:hAnsi="宋体" w:cs="宋体"/>
          <w:b/>
          <w:bCs/>
          <w:sz w:val="24"/>
          <w:szCs w:val="32"/>
        </w:rPr>
        <w:t>评审标准</w:t>
      </w:r>
      <w:bookmarkEnd w:id="453"/>
    </w:p>
    <w:p>
      <w:pPr>
        <w:rPr>
          <w:rFonts w:ascii="宋体" w:hAnsi="宋体" w:cs="宋体"/>
          <w:b/>
          <w:bCs/>
          <w:sz w:val="24"/>
          <w:szCs w:val="32"/>
        </w:rPr>
      </w:pPr>
      <w:bookmarkStart w:id="454" w:name="_Toc450489347"/>
      <w:r>
        <w:rPr>
          <w:rFonts w:hint="eastAsia" w:ascii="宋体" w:hAnsi="宋体" w:cs="宋体"/>
          <w:b/>
          <w:bCs/>
          <w:sz w:val="24"/>
          <w:szCs w:val="32"/>
        </w:rPr>
        <w:t>2.1初步评审标准</w:t>
      </w:r>
      <w:bookmarkEnd w:id="45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55" w:name="_Toc450489348"/>
      <w:r>
        <w:rPr>
          <w:rFonts w:hint="eastAsia" w:ascii="宋体" w:hAnsi="宋体" w:cs="宋体"/>
          <w:b/>
          <w:bCs/>
          <w:sz w:val="24"/>
          <w:szCs w:val="32"/>
        </w:rPr>
        <w:t>2.2详细评审标准</w:t>
      </w:r>
      <w:bookmarkEnd w:id="45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rFonts w:ascii="宋体" w:hAnsi="宋体" w:cs="宋体"/>
          <w:b/>
          <w:bCs/>
          <w:sz w:val="24"/>
          <w:szCs w:val="32"/>
        </w:rPr>
      </w:pPr>
      <w:bookmarkStart w:id="456" w:name="_Toc450489349"/>
      <w:r>
        <w:rPr>
          <w:rFonts w:hint="eastAsia" w:ascii="宋体" w:hAnsi="宋体" w:cs="宋体"/>
          <w:b/>
          <w:bCs/>
          <w:sz w:val="24"/>
          <w:szCs w:val="32"/>
        </w:rPr>
        <w:t>评审程序</w:t>
      </w:r>
      <w:bookmarkEnd w:id="456"/>
    </w:p>
    <w:p>
      <w:pPr>
        <w:rPr>
          <w:rFonts w:ascii="宋体" w:hAnsi="宋体" w:cs="宋体"/>
          <w:b/>
          <w:bCs/>
          <w:sz w:val="24"/>
          <w:szCs w:val="32"/>
        </w:rPr>
      </w:pPr>
      <w:bookmarkStart w:id="457" w:name="_Toc450489350"/>
      <w:r>
        <w:rPr>
          <w:rFonts w:hint="eastAsia" w:ascii="宋体" w:hAnsi="宋体" w:cs="宋体"/>
          <w:b/>
          <w:bCs/>
          <w:sz w:val="24"/>
          <w:szCs w:val="32"/>
        </w:rPr>
        <w:t>3.1初步评审</w:t>
      </w:r>
      <w:bookmarkEnd w:id="457"/>
    </w:p>
    <w:p>
      <w:pPr>
        <w:pStyle w:val="23"/>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3"/>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58" w:name="_Toc450489351"/>
      <w:r>
        <w:rPr>
          <w:rFonts w:hint="eastAsia" w:ascii="宋体" w:hAnsi="宋体" w:cs="宋体"/>
          <w:b/>
          <w:bCs/>
          <w:sz w:val="24"/>
          <w:szCs w:val="32"/>
        </w:rPr>
        <w:t>3.2详细评审</w:t>
      </w:r>
      <w:bookmarkEnd w:id="458"/>
    </w:p>
    <w:p>
      <w:pPr>
        <w:pStyle w:val="23"/>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3"/>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59" w:name="_Toc450489352"/>
      <w:bookmarkStart w:id="460" w:name="_Toc447265561"/>
      <w:bookmarkStart w:id="461" w:name="_Toc447265275"/>
      <w:r>
        <w:rPr>
          <w:rFonts w:hint="eastAsia" w:ascii="宋体" w:hAnsi="宋体" w:cs="宋体"/>
          <w:b/>
          <w:bCs/>
          <w:sz w:val="24"/>
          <w:szCs w:val="32"/>
        </w:rPr>
        <w:t>3.3投标文件的澄清</w:t>
      </w:r>
      <w:bookmarkEnd w:id="459"/>
      <w:bookmarkEnd w:id="460"/>
      <w:bookmarkEnd w:id="461"/>
    </w:p>
    <w:p>
      <w:pPr>
        <w:pStyle w:val="23"/>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3"/>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3"/>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3"/>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3"/>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2" w:name="_Toc450489353"/>
      <w:r>
        <w:rPr>
          <w:rFonts w:hint="eastAsia" w:ascii="宋体" w:hAnsi="宋体" w:cs="宋体"/>
          <w:b/>
          <w:bCs/>
          <w:sz w:val="24"/>
          <w:szCs w:val="32"/>
        </w:rPr>
        <w:t>3.4中标候选人推荐原则</w:t>
      </w:r>
      <w:bookmarkEnd w:id="462"/>
    </w:p>
    <w:p>
      <w:pPr>
        <w:pStyle w:val="23"/>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3"/>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63" w:name="_Toc450489354"/>
      <w:r>
        <w:rPr>
          <w:rFonts w:hint="eastAsia" w:ascii="宋体" w:hAnsi="宋体" w:cs="宋体"/>
          <w:b/>
          <w:bCs/>
          <w:sz w:val="24"/>
          <w:szCs w:val="32"/>
        </w:rPr>
        <w:t>3.5评审结果</w:t>
      </w:r>
      <w:bookmarkEnd w:id="463"/>
    </w:p>
    <w:p>
      <w:pPr>
        <w:pStyle w:val="23"/>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46"/>
    <w:bookmarkEnd w:id="447"/>
    <w:bookmarkEnd w:id="448"/>
    <w:bookmarkEnd w:id="449"/>
    <w:bookmarkEnd w:id="450"/>
    <w:bookmarkEnd w:id="451"/>
    <w:p>
      <w:pPr>
        <w:pStyle w:val="85"/>
        <w:spacing w:before="240" w:after="120"/>
        <w:rPr>
          <w:rFonts w:ascii="宋体" w:hAnsi="宋体" w:eastAsia="宋体" w:cs="宋体"/>
          <w:b/>
          <w:bCs w:val="0"/>
          <w:kern w:val="0"/>
          <w:sz w:val="28"/>
          <w:szCs w:val="28"/>
        </w:rPr>
      </w:pPr>
      <w:bookmarkStart w:id="464" w:name="_Toc475472623"/>
      <w:bookmarkStart w:id="465" w:name="_Toc14833"/>
      <w:bookmarkStart w:id="466" w:name="_Toc1774"/>
      <w:bookmarkStart w:id="467" w:name="_Toc5915"/>
      <w:bookmarkStart w:id="468" w:name="_Toc56432219"/>
      <w:bookmarkStart w:id="469" w:name="_Toc11830"/>
      <w:bookmarkStart w:id="470" w:name="_Toc107822570"/>
      <w:bookmarkStart w:id="471" w:name="_Toc447265313"/>
      <w:bookmarkStart w:id="472" w:name="_Toc226969353"/>
      <w:bookmarkStart w:id="473" w:name="_Toc447265599"/>
      <w:bookmarkStart w:id="474" w:name="_Toc227057959"/>
      <w:r>
        <w:rPr>
          <w:rFonts w:hint="eastAsia" w:ascii="宋体" w:hAnsi="宋体" w:eastAsia="宋体" w:cs="宋体"/>
          <w:b/>
          <w:bCs w:val="0"/>
          <w:kern w:val="0"/>
          <w:sz w:val="28"/>
          <w:szCs w:val="28"/>
        </w:rPr>
        <w:t>第四章  商务</w:t>
      </w:r>
      <w:bookmarkEnd w:id="464"/>
      <w:r>
        <w:rPr>
          <w:rFonts w:hint="eastAsia" w:ascii="宋体" w:hAnsi="宋体" w:eastAsia="宋体" w:cs="宋体"/>
          <w:b/>
          <w:bCs w:val="0"/>
          <w:kern w:val="0"/>
          <w:sz w:val="28"/>
          <w:szCs w:val="28"/>
        </w:rPr>
        <w:t>合同</w:t>
      </w:r>
      <w:bookmarkEnd w:id="465"/>
      <w:bookmarkEnd w:id="466"/>
      <w:bookmarkEnd w:id="467"/>
      <w:bookmarkEnd w:id="468"/>
      <w:bookmarkEnd w:id="469"/>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w:t>
      </w:r>
      <w:r>
        <w:rPr>
          <w:rFonts w:hint="eastAsia" w:ascii="宋体" w:hAnsi="宋体" w:cs="宋体"/>
          <w:szCs w:val="21"/>
          <w:lang w:eastAsia="zh-CN"/>
        </w:rPr>
        <w:t>广东南方网络信息科技有限公司</w:t>
      </w:r>
      <w:r>
        <w:rPr>
          <w:rFonts w:hint="eastAsia" w:ascii="宋体" w:hAnsi="宋体" w:cs="宋体"/>
          <w:szCs w:val="21"/>
        </w:rPr>
        <w:t>为合同甲方；中标人为合同乙方。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0"/>
    <w:bookmarkEnd w:id="471"/>
    <w:bookmarkEnd w:id="472"/>
    <w:bookmarkEnd w:id="473"/>
    <w:bookmarkEnd w:id="474"/>
    <w:p>
      <w:pPr>
        <w:jc w:val="center"/>
        <w:rPr>
          <w:rFonts w:ascii="宋体" w:hAnsi="宋体" w:cs="宋体"/>
          <w:b/>
          <w:sz w:val="72"/>
          <w:szCs w:val="72"/>
        </w:rPr>
      </w:pPr>
      <w:bookmarkStart w:id="475" w:name="_Toc14414"/>
      <w:bookmarkStart w:id="476" w:name="_Toc56432221"/>
      <w:bookmarkStart w:id="477" w:name="_Toc475472662"/>
      <w:bookmarkStart w:id="478" w:name="_Toc475472669"/>
      <w:bookmarkStart w:id="479" w:name="_Toc447265602"/>
      <w:bookmarkStart w:id="480" w:name="_Toc447265316"/>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18"/>
        <w:rPr>
          <w:rFonts w:ascii="宋体" w:hAnsi="宋体" w:cs="宋体"/>
        </w:rPr>
      </w:pPr>
    </w:p>
    <w:p>
      <w:pPr>
        <w:pStyle w:val="19"/>
        <w:rPr>
          <w:rFonts w:ascii="宋体" w:hAnsi="宋体" w:eastAsia="宋体" w:cs="宋体"/>
        </w:rPr>
      </w:pPr>
    </w:p>
    <w:p>
      <w:pPr>
        <w:pStyle w:val="19"/>
        <w:rPr>
          <w:rFonts w:ascii="宋体" w:hAnsi="宋体" w:eastAsia="宋体" w:cs="宋体"/>
        </w:rPr>
      </w:pPr>
    </w:p>
    <w:p>
      <w:pPr>
        <w:jc w:val="center"/>
        <w:rPr>
          <w:rFonts w:ascii="宋体" w:hAnsi="宋体" w:cs="宋体"/>
          <w:b/>
          <w:sz w:val="28"/>
          <w:szCs w:val="28"/>
        </w:rPr>
      </w:pPr>
    </w:p>
    <w:p>
      <w:pPr>
        <w:jc w:val="center"/>
        <w:rPr>
          <w:rFonts w:hint="eastAsia" w:ascii="宋体" w:hAnsi="宋体" w:eastAsia="宋体" w:cs="宋体"/>
          <w:b/>
          <w:sz w:val="28"/>
          <w:szCs w:val="28"/>
          <w:lang w:eastAsia="zh-CN"/>
        </w:rPr>
      </w:pPr>
      <w:r>
        <w:rPr>
          <w:rFonts w:hint="eastAsia" w:ascii="宋体" w:hAnsi="宋体" w:cs="宋体"/>
          <w:b/>
          <w:sz w:val="28"/>
          <w:szCs w:val="28"/>
        </w:rPr>
        <w:t>项目名称：</w:t>
      </w:r>
      <w:r>
        <w:rPr>
          <w:rFonts w:hint="eastAsia" w:ascii="宋体" w:hAnsi="宋体" w:cs="宋体"/>
          <w:b/>
          <w:sz w:val="28"/>
          <w:szCs w:val="28"/>
          <w:u w:val="single"/>
        </w:rPr>
        <w:t xml:space="preserve"> </w:t>
      </w:r>
      <w:r>
        <w:rPr>
          <w:rFonts w:hint="eastAsia" w:ascii="宋体" w:hAnsi="宋体" w:cs="宋体"/>
          <w:b/>
          <w:sz w:val="28"/>
          <w:szCs w:val="28"/>
          <w:u w:val="single"/>
          <w:lang w:eastAsia="zh-CN"/>
        </w:rPr>
        <w:t>赴欧非亚三国交流活动行程服务项目</w:t>
      </w:r>
    </w:p>
    <w:p>
      <w:pPr>
        <w:rPr>
          <w:rFonts w:ascii="宋体" w:hAnsi="宋体" w:cs="宋体"/>
          <w:b/>
          <w:sz w:val="28"/>
          <w:szCs w:val="28"/>
        </w:rPr>
      </w:pPr>
    </w:p>
    <w:p>
      <w:pPr>
        <w:pStyle w:val="19"/>
        <w:rPr>
          <w:rFonts w:ascii="宋体" w:hAnsi="宋体" w:eastAsia="宋体" w:cs="宋体"/>
          <w:b/>
          <w:szCs w:val="28"/>
        </w:rPr>
      </w:pPr>
    </w:p>
    <w:p>
      <w:pPr>
        <w:pStyle w:val="19"/>
        <w:ind w:left="0"/>
        <w:rPr>
          <w:rFonts w:ascii="宋体" w:hAnsi="宋体" w:eastAsia="宋体" w:cs="宋体"/>
          <w:b/>
          <w:szCs w:val="28"/>
        </w:rPr>
      </w:pPr>
    </w:p>
    <w:p>
      <w:pPr>
        <w:pStyle w:val="19"/>
        <w:rPr>
          <w:rFonts w:ascii="宋体" w:hAnsi="宋体" w:eastAsia="宋体" w:cs="宋体"/>
          <w:b/>
          <w:szCs w:val="28"/>
        </w:rPr>
      </w:pPr>
    </w:p>
    <w:p>
      <w:pPr>
        <w:pStyle w:val="19"/>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赴欧非亚三国交流活动行程服务合同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甲方：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住所地：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rPr>
        <w:t>乙方：</w:t>
      </w:r>
      <w:r>
        <w:rPr>
          <w:rFonts w:hint="eastAsia" w:ascii="宋体" w:hAnsi="宋体" w:eastAsia="宋体" w:cs="宋体"/>
          <w:b/>
          <w:bCs/>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住所地：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甲方委托乙方承办甲方在赴欧非亚三国交流活动期间的交通、住宿、膳食等服务</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以及按甲方需求据实发生的视觉展服务</w:t>
      </w:r>
      <w:r>
        <w:rPr>
          <w:rFonts w:hint="eastAsia" w:ascii="宋体" w:hAnsi="宋体" w:eastAsia="宋体" w:cs="宋体"/>
          <w:sz w:val="21"/>
          <w:szCs w:val="21"/>
          <w:highlight w:val="none"/>
        </w:rPr>
        <w:t>。为了保障甲、乙双方的合法权益，依据《中华人民共和国</w:t>
      </w:r>
      <w:r>
        <w:rPr>
          <w:rFonts w:hint="eastAsia" w:ascii="宋体" w:hAnsi="宋体" w:eastAsia="宋体" w:cs="宋体"/>
          <w:sz w:val="21"/>
          <w:szCs w:val="21"/>
          <w:highlight w:val="none"/>
          <w:lang w:val="en-US" w:eastAsia="zh-CN"/>
        </w:rPr>
        <w:t>民法典</w:t>
      </w:r>
      <w:r>
        <w:rPr>
          <w:rFonts w:hint="eastAsia" w:ascii="宋体" w:hAnsi="宋体" w:eastAsia="宋体" w:cs="宋体"/>
          <w:sz w:val="21"/>
          <w:szCs w:val="21"/>
          <w:highlight w:val="none"/>
        </w:rPr>
        <w:t>》和有关法规的规定，本着平等互利诚实信用的原则，经双方友好协商，订立本合同，以兹双方共同遵守：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w:t>
      </w:r>
      <w:r>
        <w:rPr>
          <w:rFonts w:hint="eastAsia" w:ascii="宋体" w:hAnsi="宋体" w:eastAsia="宋体" w:cs="宋体"/>
          <w:sz w:val="21"/>
          <w:szCs w:val="21"/>
          <w:highlight w:val="none"/>
          <w:lang w:val="en-US" w:eastAsia="zh-CN"/>
        </w:rPr>
        <w:t xml:space="preserve">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kern w:val="2"/>
          <w:sz w:val="21"/>
          <w:szCs w:val="21"/>
          <w:lang w:val="en-US" w:eastAsia="zh-CN" w:bidi="ar-SA"/>
        </w:rPr>
        <w:t>1、</w:t>
      </w:r>
      <w:r>
        <w:rPr>
          <w:rFonts w:hint="eastAsia" w:ascii="宋体" w:hAnsi="宋体" w:eastAsia="宋体" w:cs="宋体"/>
          <w:sz w:val="21"/>
          <w:szCs w:val="21"/>
          <w:highlight w:val="none"/>
          <w:lang w:val="en-US" w:eastAsia="zh-CN"/>
        </w:rPr>
        <w:t>根据甲方需求，赴意大利、埃及、马来西亚媒体代表团出访行程及在埃及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举办视觉展服务，负责国际差旅（含国际机票、住宿、膳食、公杂、城市间交通、保险服务等）、在埃及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举办视觉展（含</w:t>
      </w:r>
      <w:r>
        <w:rPr>
          <w:rFonts w:hint="eastAsia" w:ascii="宋体" w:hAnsi="宋体" w:cs="宋体"/>
          <w:sz w:val="21"/>
          <w:szCs w:val="21"/>
          <w:highlight w:val="none"/>
          <w:lang w:val="en-US" w:eastAsia="zh-CN"/>
        </w:rPr>
        <w:t>邀请嘉宾、</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、场地租赁、活动物料、配套服务、国际及当地物流等）等工作。具体包括以下服务：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①乙方</w:t>
      </w:r>
      <w:r>
        <w:rPr>
          <w:rFonts w:hint="eastAsia" w:ascii="宋体" w:hAnsi="宋体" w:eastAsia="宋体" w:cs="宋体"/>
          <w:sz w:val="21"/>
          <w:szCs w:val="21"/>
          <w:highlight w:val="none"/>
          <w:lang w:val="en-US" w:eastAsia="zh-CN"/>
        </w:rPr>
        <w:t>负责活动期间的行程安排和视觉展服务工作，具体包括意大利、埃及、马来西亚的交通、住宿等服务，在埃及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举办视觉展（含</w:t>
      </w:r>
      <w:r>
        <w:rPr>
          <w:rFonts w:hint="eastAsia" w:ascii="宋体" w:hAnsi="宋体" w:cs="宋体"/>
          <w:sz w:val="21"/>
          <w:szCs w:val="21"/>
          <w:highlight w:val="none"/>
          <w:lang w:val="en-US" w:eastAsia="zh-CN"/>
        </w:rPr>
        <w:t>邀请嘉宾、</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、场地租赁、活动物料、配套服务、国际及当地物流等）等，</w:t>
      </w:r>
      <w:r>
        <w:rPr>
          <w:rFonts w:hint="eastAsia" w:ascii="宋体" w:hAnsi="宋体" w:cs="宋体"/>
          <w:sz w:val="21"/>
          <w:szCs w:val="21"/>
          <w:highlight w:val="none"/>
          <w:lang w:val="en-US" w:eastAsia="zh-CN"/>
        </w:rPr>
        <w:t>甲方</w:t>
      </w:r>
      <w:r>
        <w:rPr>
          <w:rFonts w:hint="eastAsia" w:ascii="宋体" w:hAnsi="宋体" w:eastAsia="宋体" w:cs="宋体"/>
          <w:sz w:val="21"/>
          <w:szCs w:val="21"/>
          <w:highlight w:val="none"/>
          <w:lang w:val="en-US" w:eastAsia="zh-CN"/>
        </w:rPr>
        <w:t>出行时间</w:t>
      </w:r>
      <w:r>
        <w:rPr>
          <w:rFonts w:hint="eastAsia" w:ascii="宋体" w:hAnsi="宋体" w:cs="宋体"/>
          <w:sz w:val="21"/>
          <w:szCs w:val="21"/>
          <w:highlight w:val="none"/>
          <w:lang w:val="en-US" w:eastAsia="zh-CN"/>
        </w:rPr>
        <w:t>拟</w:t>
      </w:r>
      <w:r>
        <w:rPr>
          <w:rFonts w:hint="eastAsia" w:ascii="宋体" w:hAnsi="宋体" w:eastAsia="宋体" w:cs="宋体"/>
          <w:sz w:val="21"/>
          <w:szCs w:val="21"/>
          <w:highlight w:val="none"/>
          <w:lang w:val="en-US" w:eastAsia="zh-CN"/>
        </w:rPr>
        <w:t>为11月中下旬期间，赴意大利</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天、埃及</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天、马来西亚3天，每个国家拟派</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②</w:t>
      </w:r>
      <w:r>
        <w:rPr>
          <w:rFonts w:hint="eastAsia" w:ascii="宋体" w:hAnsi="宋体" w:eastAsia="宋体" w:cs="宋体"/>
          <w:sz w:val="21"/>
          <w:szCs w:val="21"/>
          <w:highlight w:val="none"/>
          <w:lang w:val="en-US" w:eastAsia="zh-CN"/>
        </w:rPr>
        <w:t>意大利需要广州-罗马、罗马-埃及开罗的机票（经济舱），</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辆7-9座商务车，罗马-博洛尼亚的往返火车票（二等座），罗马酒店（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晚），博洛尼亚酒店（1晚），负责接机、交通、住宿等安排。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③</w:t>
      </w:r>
      <w:r>
        <w:rPr>
          <w:rFonts w:hint="eastAsia" w:ascii="宋体" w:hAnsi="宋体" w:eastAsia="宋体" w:cs="宋体"/>
          <w:sz w:val="21"/>
          <w:szCs w:val="21"/>
          <w:highlight w:val="none"/>
          <w:lang w:val="en-US" w:eastAsia="zh-CN"/>
        </w:rPr>
        <w:t>埃及需要开罗-吉隆坡的机票（经济舱），1辆15-22座中巴、埃及酒店（3晚）。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④</w:t>
      </w:r>
      <w:r>
        <w:rPr>
          <w:rFonts w:hint="eastAsia" w:ascii="宋体" w:hAnsi="宋体" w:eastAsia="宋体" w:cs="宋体"/>
          <w:sz w:val="21"/>
          <w:szCs w:val="21"/>
          <w:highlight w:val="none"/>
          <w:lang w:val="en-US" w:eastAsia="zh-CN"/>
        </w:rPr>
        <w:t>马来西亚需要吉隆坡-广州的机票（经济舱），1辆15-22座中巴、马来西亚酒店（2晚）。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⑤</w:t>
      </w:r>
      <w:r>
        <w:rPr>
          <w:rFonts w:hint="eastAsia" w:ascii="宋体" w:hAnsi="宋体" w:eastAsia="宋体" w:cs="宋体"/>
          <w:sz w:val="21"/>
          <w:szCs w:val="21"/>
          <w:highlight w:val="none"/>
          <w:lang w:val="en-US" w:eastAsia="zh-CN"/>
        </w:rPr>
        <w:t>埃及视觉展</w:t>
      </w:r>
      <w:r>
        <w:rPr>
          <w:rFonts w:hint="eastAsia" w:ascii="宋体" w:hAnsi="宋体" w:cs="宋体"/>
          <w:sz w:val="21"/>
          <w:szCs w:val="21"/>
          <w:highlight w:val="none"/>
          <w:lang w:val="en-US" w:eastAsia="zh-CN"/>
        </w:rPr>
        <w:t>（展期预计为2个日历日内）</w:t>
      </w:r>
      <w:r>
        <w:rPr>
          <w:rFonts w:hint="eastAsia" w:ascii="宋体" w:hAnsi="宋体" w:eastAsia="宋体" w:cs="宋体"/>
          <w:sz w:val="21"/>
          <w:szCs w:val="21"/>
          <w:highlight w:val="none"/>
          <w:lang w:val="en-US" w:eastAsia="zh-CN"/>
        </w:rPr>
        <w:t>需要</w:t>
      </w:r>
      <w:r>
        <w:rPr>
          <w:rFonts w:hint="eastAsia" w:ascii="宋体" w:hAnsi="宋体" w:cs="宋体"/>
          <w:sz w:val="21"/>
          <w:szCs w:val="21"/>
          <w:highlight w:val="none"/>
          <w:lang w:val="en-US" w:eastAsia="zh-CN"/>
        </w:rPr>
        <w:t>邀请嘉宾（具体名单由甲方确定并提供给乙方）、</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（约50份展品）、场地租赁（能容纳200人）、活动物料（</w:t>
      </w:r>
      <w:r>
        <w:rPr>
          <w:rFonts w:hint="eastAsia" w:ascii="宋体" w:hAnsi="宋体" w:cs="宋体"/>
          <w:sz w:val="21"/>
          <w:szCs w:val="21"/>
          <w:highlight w:val="none"/>
          <w:lang w:val="en-US" w:eastAsia="zh-CN"/>
        </w:rPr>
        <w:t>LED租赁</w:t>
      </w: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灯光音响租赁、</w:t>
      </w:r>
      <w:r>
        <w:rPr>
          <w:rFonts w:hint="eastAsia" w:ascii="宋体" w:hAnsi="宋体" w:eastAsia="宋体" w:cs="宋体"/>
          <w:sz w:val="21"/>
          <w:szCs w:val="21"/>
          <w:highlight w:val="none"/>
          <w:lang w:val="en-US" w:eastAsia="zh-CN"/>
        </w:rPr>
        <w:t>展架、指引牌等）、配套服务（约200人的冷餐会）、广州-开罗的国际物流及当地物流等服务。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⑥马来西亚视觉展（展期预计为2个日历日内）需要邀请嘉宾（具体名单由甲方确定并提供给乙方）、布展和撤展（约50份展品）、活动物料（背景板、展架、指引牌等）、广州-吉隆坡的国际物流及当地物流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⑦三地的膳食、公杂、公共交通、保险（境外旅行险）等服务。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2、服务期间，</w:t>
      </w:r>
      <w:r>
        <w:rPr>
          <w:rFonts w:hint="eastAsia" w:ascii="宋体" w:hAnsi="宋体" w:cs="宋体"/>
          <w:sz w:val="21"/>
          <w:szCs w:val="21"/>
          <w:highlight w:val="none"/>
          <w:lang w:val="en-US" w:eastAsia="zh-CN"/>
        </w:rPr>
        <w:t>如</w:t>
      </w:r>
      <w:r>
        <w:rPr>
          <w:rFonts w:hint="eastAsia" w:ascii="宋体" w:hAnsi="宋体" w:eastAsia="宋体" w:cs="宋体"/>
          <w:sz w:val="21"/>
          <w:szCs w:val="21"/>
          <w:highlight w:val="none"/>
          <w:lang w:val="en-US" w:eastAsia="zh-CN"/>
        </w:rPr>
        <w:t>甲方实际需求有变，</w:t>
      </w:r>
      <w:r>
        <w:rPr>
          <w:rFonts w:hint="eastAsia" w:ascii="宋体" w:hAnsi="宋体" w:cs="宋体"/>
          <w:sz w:val="21"/>
          <w:szCs w:val="21"/>
          <w:highlight w:val="none"/>
          <w:lang w:val="en-US" w:eastAsia="zh-CN"/>
        </w:rPr>
        <w:t>在合理变更范围内，</w:t>
      </w:r>
      <w:r>
        <w:rPr>
          <w:rFonts w:hint="eastAsia" w:ascii="宋体" w:hAnsi="宋体" w:eastAsia="宋体" w:cs="宋体"/>
          <w:sz w:val="21"/>
          <w:szCs w:val="21"/>
          <w:highlight w:val="none"/>
          <w:lang w:val="en-US" w:eastAsia="zh-CN"/>
        </w:rPr>
        <w:t>乙方</w:t>
      </w:r>
      <w:r>
        <w:rPr>
          <w:rFonts w:hint="eastAsia" w:ascii="宋体" w:hAnsi="宋体" w:cs="宋体"/>
          <w:sz w:val="21"/>
          <w:szCs w:val="21"/>
          <w:highlight w:val="none"/>
          <w:lang w:val="en-US" w:eastAsia="zh-CN"/>
        </w:rPr>
        <w:t>应</w:t>
      </w:r>
      <w:r>
        <w:rPr>
          <w:rFonts w:hint="eastAsia" w:ascii="宋体" w:hAnsi="宋体" w:eastAsia="宋体" w:cs="宋体"/>
          <w:sz w:val="21"/>
          <w:szCs w:val="21"/>
          <w:highlight w:val="none"/>
          <w:lang w:val="en-US" w:eastAsia="zh-CN"/>
        </w:rPr>
        <w:t>按照</w:t>
      </w:r>
      <w:r>
        <w:rPr>
          <w:rFonts w:hint="eastAsia" w:ascii="宋体" w:hAnsi="宋体" w:cs="宋体"/>
          <w:sz w:val="21"/>
          <w:szCs w:val="21"/>
          <w:highlight w:val="none"/>
          <w:lang w:val="en-US" w:eastAsia="zh-CN"/>
        </w:rPr>
        <w:t>甲方</w:t>
      </w:r>
      <w:r>
        <w:rPr>
          <w:rFonts w:hint="eastAsia" w:ascii="宋体" w:hAnsi="宋体" w:eastAsia="宋体" w:cs="宋体"/>
          <w:sz w:val="21"/>
          <w:szCs w:val="21"/>
          <w:highlight w:val="none"/>
          <w:lang w:val="en-US" w:eastAsia="zh-CN"/>
        </w:rPr>
        <w:t>实际发生的行程提供服务。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、乙方根据甲方要求，在甲方确定行程后5个工作日内提交方案，并经甲方确认后再予以实施。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、双方根据活动的实际需求，指定相关负责人、协调执行人与对方进行工作对接，共同策划、组织、实施活动，做好活动筹备和协调工作。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1.双方同意，本项目采取据实结算的方式。合同总金额（含税）为人民币【】元，大写：人民币【】。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2.付款方式：甲方在合同签订并</w:t>
      </w:r>
      <w:r>
        <w:rPr>
          <w:rFonts w:hint="eastAsia" w:ascii="宋体" w:hAnsi="宋体" w:eastAsia="宋体" w:cs="宋体"/>
          <w:sz w:val="21"/>
          <w:szCs w:val="21"/>
          <w:highlight w:val="none"/>
        </w:rPr>
        <w:t>收到乙方提供等额增值税发票</w:t>
      </w: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0</w:t>
      </w:r>
      <w:r>
        <w:rPr>
          <w:rFonts w:hint="eastAsia" w:ascii="宋体" w:hAnsi="宋体" w:eastAsia="宋体" w:cs="宋体"/>
          <w:sz w:val="21"/>
          <w:szCs w:val="21"/>
          <w:highlight w:val="none"/>
          <w:lang w:val="en-US" w:eastAsia="zh-CN"/>
        </w:rPr>
        <w:t>个工作日内，向乙方支付合同总额的【85】%即人民币【】</w:t>
      </w:r>
      <w:r>
        <w:rPr>
          <w:rFonts w:hint="eastAsia" w:ascii="宋体" w:hAnsi="宋体" w:eastAsia="宋体" w:cs="宋体"/>
          <w:sz w:val="21"/>
          <w:szCs w:val="21"/>
          <w:highlight w:val="none"/>
          <w:u w:val="single"/>
          <w:lang w:val="en-US" w:eastAsia="zh-CN"/>
        </w:rPr>
        <w:t>元</w:t>
      </w:r>
      <w:r>
        <w:rPr>
          <w:rFonts w:hint="eastAsia" w:ascii="宋体" w:hAnsi="宋体" w:eastAsia="宋体" w:cs="宋体"/>
          <w:sz w:val="21"/>
          <w:szCs w:val="21"/>
          <w:highlight w:val="none"/>
          <w:lang w:val="en-US" w:eastAsia="zh-CN"/>
        </w:rPr>
        <w:t>（大写：人民币【】整）。项目验收完成，甲方对最终成果确认无误并</w:t>
      </w:r>
      <w:r>
        <w:rPr>
          <w:rFonts w:hint="eastAsia" w:ascii="宋体" w:hAnsi="宋体" w:eastAsia="宋体" w:cs="宋体"/>
          <w:sz w:val="21"/>
          <w:szCs w:val="21"/>
          <w:highlight w:val="none"/>
        </w:rPr>
        <w:t>收到乙方提供等额增值税发票</w:t>
      </w:r>
      <w:r>
        <w:rPr>
          <w:rFonts w:hint="eastAsia" w:ascii="宋体" w:hAnsi="宋体" w:eastAsia="宋体" w:cs="宋体"/>
          <w:sz w:val="21"/>
          <w:szCs w:val="21"/>
          <w:highlight w:val="none"/>
          <w:lang w:val="en-US" w:eastAsia="zh-CN"/>
        </w:rPr>
        <w:t>10个工作日内</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向乙方支付</w:t>
      </w:r>
      <w:r>
        <w:rPr>
          <w:rFonts w:hint="eastAsia" w:ascii="宋体" w:hAnsi="宋体" w:eastAsia="宋体" w:cs="宋体"/>
          <w:sz w:val="21"/>
          <w:szCs w:val="21"/>
          <w:highlight w:val="none"/>
          <w:lang w:val="en-US" w:eastAsia="zh-CN"/>
        </w:rPr>
        <w:t>尾款</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与本合同相关的税费由乙方承担，本合同总价为含税价。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活动完成，乙方向甲方提供活动履行结算清单，甲方验收无误，按实际结算尾款，活动实际费用超过合同总金额的，甲方支付的费用不超过合同总金额。已支付费用超过实际结算费用的，乙方需向甲方退回超过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3.本合同费用总额已包括甲方就乙方履行本合同所应支付的全部报酬、所需的全部费用。除另有约定外，甲方无需就本合同项下委托事项向乙方支付上述费用之外的任何其他费用。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因乙方原因致使甲方无法付款的，甲方付款期限相应顺延，不承担逾期付款的责任。乙方延期开具发票、开具不合格发票或不开具发票的，甲方有权相应延期付款或不付款，但乙方仍应按期履行本协议及系列合同约定的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5.如项目涉及审计或结算审定的，乙方应积极配合甲方进行相关工作。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6.账户信息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甲方开票信息</w:t>
      </w:r>
      <w:r>
        <w:rPr>
          <w:rFonts w:hint="eastAsia" w:ascii="宋体" w:hAnsi="宋体" w:eastAsia="宋体" w:cs="宋体"/>
          <w:sz w:val="21"/>
          <w:szCs w:val="21"/>
          <w:highlight w:val="none"/>
          <w:lang w:val="en-US" w:eastAsia="zh-CN"/>
        </w:rPr>
        <w:t>如下</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名称：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纳税人识别号：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地址</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开户行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账号：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乙方银行账户信息如下：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银行</w:t>
      </w:r>
      <w:r>
        <w:rPr>
          <w:rFonts w:hint="eastAsia" w:ascii="宋体" w:hAnsi="宋体" w:eastAsia="宋体" w:cs="宋体"/>
          <w:sz w:val="21"/>
          <w:szCs w:val="21"/>
          <w:highlight w:val="none"/>
        </w:rPr>
        <w:t>账号：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rPr>
        <w:t>三、</w:t>
      </w:r>
      <w:r>
        <w:rPr>
          <w:rFonts w:hint="eastAsia" w:ascii="宋体" w:hAnsi="宋体" w:eastAsia="宋体" w:cs="宋体"/>
          <w:b/>
          <w:bCs/>
          <w:sz w:val="21"/>
          <w:szCs w:val="21"/>
          <w:highlight w:val="none"/>
          <w:lang w:val="en-US" w:eastAsia="zh-CN"/>
        </w:rPr>
        <w:t>履行时间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本项目履行期限：</w:t>
      </w:r>
      <w:r>
        <w:rPr>
          <w:rFonts w:hint="eastAsia" w:ascii="宋体" w:hAnsi="宋体" w:eastAsia="宋体" w:cs="宋体"/>
          <w:sz w:val="21"/>
          <w:szCs w:val="21"/>
          <w:highlight w:val="none"/>
          <w:lang w:val="en-US" w:eastAsia="zh-CN"/>
        </w:rPr>
        <w:t>自合同生效之日起</w:t>
      </w:r>
      <w:r>
        <w:rPr>
          <w:rFonts w:hint="eastAsia" w:ascii="宋体" w:hAnsi="宋体" w:cs="宋体"/>
          <w:sz w:val="21"/>
          <w:szCs w:val="21"/>
          <w:highlight w:val="none"/>
          <w:lang w:val="en-US" w:eastAsia="zh-CN"/>
        </w:rPr>
        <w:t>至合同全部权利义务履行完毕之日止</w:t>
      </w:r>
      <w:r>
        <w:rPr>
          <w:rFonts w:hint="eastAsia" w:ascii="宋体" w:hAnsi="宋体" w:eastAsia="宋体"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rPr>
        <w:t>四、知识产权</w:t>
      </w:r>
      <w:r>
        <w:rPr>
          <w:rFonts w:hint="eastAsia" w:ascii="宋体" w:hAnsi="宋体" w:eastAsia="宋体" w:cs="宋体"/>
          <w:b/>
          <w:bCs/>
          <w:sz w:val="21"/>
          <w:szCs w:val="21"/>
          <w:highlight w:val="none"/>
          <w:lang w:val="en-US" w:eastAsia="zh-CN"/>
        </w:rPr>
        <w:t>及侵权处理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乙方因本合同和/或因履行本合同制作的任何工作成果，其全部知识产权等权利和/或权益全部归甲方所有（包括但不限于知识产权、使用、许可第三方使用、收益等权利），未经甲方书面允许，乙方不得自用或者以授权、转让等方式准予第三人使用</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乙方应当保证，其依本合同为甲方提供的服务及成果不侵犯任何第三人的合法权益。若有第三人声称接受乙方提供的产品或服务侵犯了该方的知识产权或其他合法权利，乙方应负责就上述侵权指控进行妥善处理，并承担给甲方及第三方造成的一切损失。甲方先行处理的，或甲方与第三方达成的和解、调解协议或法院生效裁判由甲方承担的责任，费用（包括但不限于保全费、案件受理费、律师费、调查取证费、鉴定费、执行费、差旅费等）一概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权利和义务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（一）甲方权利义务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甲方在项目实施过程中有权自行或委托第三方机构对乙方的工作进行监督、考核和管理，对项目成果进行验收，对乙方的服务进行抽查，并就监督、管理过程中发现的问题提出整改意见，乙方应按甲方的整改意见进行整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2.在乙方无违约且项目验收合格的前提下，甲方应按照约定按期足额向乙方支付服务费用。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3.负责在活动出发前，向乙方提供人员的相关资料，包括但不限于最终人数、团员情况、证件号码等。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4.甲方应及时通知乙方交通类型及活动安排时间、具体的要求等等，以便乙方及时准备，妥善安排各项预订。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5.甲方人员应遵守当地民风民俗和法律，并按时返回。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22" w:firstLineChars="200"/>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乙方</w:t>
      </w:r>
      <w:r>
        <w:rPr>
          <w:rFonts w:hint="eastAsia" w:ascii="宋体" w:hAnsi="宋体" w:eastAsia="宋体" w:cs="宋体"/>
          <w:b/>
          <w:bCs/>
          <w:sz w:val="21"/>
          <w:szCs w:val="21"/>
          <w:highlight w:val="none"/>
        </w:rPr>
        <w:t>的权利义务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    1.乙方应根据项目进度相关要求完成本项目服务任务，交付服务成果。如因乙方原因导致项目工作延迟或停顿的，由乙方承担责任。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2.乙方应配合验收工作，如验收未通过的，乙方应根据验收报告的要求，在甲方给定的合理期限内完成项目的整改,并由乙方自行承担整改费用。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3.乙方不得将项目进行整体转包；也不得将项目部分进行分包。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4.服务期内，如遇法律、法规、规章及相关政策发生变化，对本合同的履行造成实质性的影响，乙方应积极与甲方协商解决，并采取合理措施避免各方的损失扩大。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甲方在合同履行过程中需对本项目执行情况进行监督检查的，乙方应无条件接受甲方或甲方指定的单位的监督检查，并按要求完成相关配合工作，提供真实、完整、合法、有效的资料，不隐瞒任何可能对甲方合法利益造成不利影响的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6.乙方应组建独立、固定的服务团队，提供服务团队成员的简历或相关证明文件。在项目执行过程中未经甲方书面同意，不得变更。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7.乙方服务团队由乙方自行管理，不与甲方构成任何劳动关系或劳务派遣关系。乙方应按法律规定为其提供的人员购买工伤、医疗等社保。服务期间，如乙方人员因工负伤、致残、死亡、发生意外事故或对第三方侵权等的，均由乙方负责承担和赔偿，甲方无需承担任何责任或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8.乙方按照约定及根据甲方临时变更行程需求，合理规划路线、行程，并提供交通、住宿安排等优质的服务。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9.服务期间，乙方随时保持与甲方沟通协调与配合，协助处理</w:t>
      </w:r>
      <w:bookmarkStart w:id="481" w:name="OLE_LINK1"/>
      <w:r>
        <w:rPr>
          <w:rFonts w:hint="eastAsia" w:ascii="宋体" w:hAnsi="宋体" w:eastAsia="宋体" w:cs="宋体"/>
          <w:b w:val="0"/>
          <w:bCs w:val="0"/>
          <w:sz w:val="21"/>
          <w:szCs w:val="21"/>
          <w:highlight w:val="none"/>
          <w:lang w:val="en-US" w:eastAsia="zh-CN"/>
        </w:rPr>
        <w:t>甲方人员</w:t>
      </w:r>
      <w:bookmarkEnd w:id="481"/>
      <w:r>
        <w:rPr>
          <w:rFonts w:hint="eastAsia" w:ascii="宋体" w:hAnsi="宋体" w:eastAsia="宋体" w:cs="宋体"/>
          <w:b w:val="0"/>
          <w:bCs w:val="0"/>
          <w:sz w:val="21"/>
          <w:szCs w:val="21"/>
          <w:highlight w:val="none"/>
          <w:lang w:val="en-US" w:eastAsia="zh-CN"/>
        </w:rPr>
        <w:t>在当地发生的事宜，维护甲方人员在当地的人身财产安全。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合同解除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u w:val="none"/>
          <w:lang w:val="en-US" w:eastAsia="zh-CN"/>
        </w:rPr>
      </w:pPr>
      <w:r>
        <w:rPr>
          <w:rFonts w:hint="eastAsia" w:ascii="宋体" w:hAnsi="宋体" w:eastAsia="宋体" w:cs="宋体"/>
          <w:sz w:val="21"/>
          <w:szCs w:val="21"/>
          <w:highlight w:val="none"/>
          <w:u w:val="none"/>
          <w:lang w:val="en-US" w:eastAsia="zh-CN"/>
        </w:rPr>
        <w:t>1.乙方同意，</w:t>
      </w:r>
      <w:r>
        <w:rPr>
          <w:rFonts w:hint="eastAsia" w:ascii="宋体" w:hAnsi="宋体" w:eastAsia="宋体" w:cs="宋体"/>
          <w:b w:val="0"/>
          <w:bCs w:val="0"/>
          <w:sz w:val="21"/>
          <w:szCs w:val="21"/>
          <w:highlight w:val="none"/>
          <w:u w:val="none"/>
          <w:lang w:val="en-US" w:eastAsia="zh-CN"/>
        </w:rPr>
        <w:t>由于不可抗力因素，或甲方活动取消的，甲方有权单方通知乙方解除本合同。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2.合同解除的，乙方向甲方书面提供已履行的必要合理费用清单，甲方核实无误后，向乙方支付对应费用。甲方已先行支付的，乙方需在扣除必要合理费用后，将剩余费用退回甲方。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eastAsia="宋体" w:cs="宋体"/>
          <w:b/>
          <w:bCs/>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七、项目验收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1.验收标准：乙方完成本合同第一条约定的服务内容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2.验收时间：按照甲方指定时间</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default"/>
          <w:lang w:val="en-US" w:eastAsia="zh-CN"/>
        </w:rPr>
      </w:pPr>
      <w:r>
        <w:rPr>
          <w:rFonts w:hint="eastAsia" w:ascii="宋体" w:hAnsi="宋体" w:eastAsia="宋体" w:cs="宋体"/>
          <w:sz w:val="21"/>
          <w:szCs w:val="21"/>
          <w:highlight w:val="none"/>
          <w:lang w:val="en-US" w:eastAsia="zh-CN"/>
        </w:rPr>
        <w:t>3.验收标准：根据双方确认的合作方案执行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4.验收方式：乙方完成本合同约定的服务内容后，根据合同约定的验收标准向甲方提交工作成果，并按照约定的验收时间向甲方申请验收。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5.验收材料属于本合同附件材料之一，与本合同具有同等法律效力。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八</w:t>
      </w:r>
      <w:r>
        <w:rPr>
          <w:rFonts w:hint="eastAsia" w:ascii="宋体" w:hAnsi="宋体" w:eastAsia="宋体" w:cs="宋体"/>
          <w:b/>
          <w:bCs/>
          <w:sz w:val="21"/>
          <w:szCs w:val="21"/>
          <w:highlight w:val="none"/>
        </w:rPr>
        <w:t>、保密协议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1.乙方对于因签署或履行本协议而了解或接触到甲方的秘密、其他未公开资料和信息，包括但不限于数据资料、商务资料、技术方案、创意设想、用户信息、人事资料、价格、财务状况等，均应保守秘密；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未经甲方事先书面同意，乙方不得向第三方泄露、给予或转让本协议条款、签订及履行情况。如果乙方基于法律法规或监管机关的要求，需要依法披露甲方的保密信息的，不视为违反本协议，但乙方应当在法律许可的范围内尽快通知甲方，同时，乙方应当努力帮助甲方有效限制该保密信息的披露范围，保护甲方合法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3.未经甲方事先同意，乙方不得擅自使用、复制甲方的商标、标志、商业信息、技术及其他资料，也不得将信息内容用作其它商业目的；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4.尽管有前述约定，符合下列情形之一的，相关信息不被视为保密信息：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（1）乙方在甲方向其披露之前已经通过合法的渠道或方式持有的信息；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（2）该信息已经属于公知领域，或该信息在非因乙方违反本协议的情况下而被公开；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（3）乙方合法自其他有权披露资料的第三方处知悉且不负有保密义务的信息；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（4）由乙方不使用或不参考任何甲方的保密信息而独立获得或开发的。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5.合同终止后本条款仍具法律效力，直至相关信息不再具有保密意义；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6.一旦发生保密信息泄露事件，双方应合作采取一切合理措施避免或者减轻损害后果的产生；如因乙方违反保密义务给甲方造成损失的，乙方应赔偿因此给甲方造成的直接经济损失。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九</w:t>
      </w:r>
      <w:r>
        <w:rPr>
          <w:rFonts w:hint="eastAsia" w:ascii="宋体" w:hAnsi="宋体" w:eastAsia="宋体" w:cs="宋体"/>
          <w:b/>
          <w:bCs/>
          <w:sz w:val="21"/>
          <w:szCs w:val="21"/>
          <w:highlight w:val="none"/>
        </w:rPr>
        <w:t>、违约责任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1.双方确定，任何一方未履行或未完全履行本合同项下的义务，均构成违约。违约方应赔偿因违约给对方造成的一切损失。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若乙方不能按时完成</w:t>
      </w:r>
      <w:r>
        <w:rPr>
          <w:rFonts w:hint="eastAsia" w:ascii="宋体" w:hAnsi="宋体" w:eastAsia="宋体" w:cs="宋体"/>
          <w:sz w:val="21"/>
          <w:szCs w:val="21"/>
          <w:highlight w:val="none"/>
          <w:lang w:val="en-US" w:eastAsia="zh-CN"/>
        </w:rPr>
        <w:t>本项目内容</w:t>
      </w:r>
      <w:r>
        <w:rPr>
          <w:rFonts w:hint="eastAsia" w:ascii="宋体" w:hAnsi="宋体" w:eastAsia="宋体" w:cs="宋体"/>
          <w:sz w:val="21"/>
          <w:szCs w:val="21"/>
          <w:highlight w:val="none"/>
        </w:rPr>
        <w:t>，需每日按合同总金额的1%向甲方支付违约金</w:t>
      </w:r>
      <w:r>
        <w:rPr>
          <w:rFonts w:hint="eastAsia" w:ascii="宋体" w:hAnsi="宋体" w:eastAsia="宋体" w:cs="宋体"/>
          <w:sz w:val="21"/>
          <w:szCs w:val="21"/>
          <w:highlight w:val="none"/>
          <w:lang w:val="en-US" w:eastAsia="zh-CN"/>
        </w:rPr>
        <w:t>，逾期30日以上的，甲方有权单方终止合同，由此给甲方的损失全部由乙方承担。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3.乙方提供的服务明显不符合本合同规定的，甲方有权拒收，甲方有权拒收，乙方应退还甲方已支付的全部费用，并向甲方支付本合同总价15%的违约金。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4.乙方将本项目转包或分包的，甲方有权追回已支付的全部费用，单方终止本合同，并要求乙方承担合同总额20%的违约金。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5.乙方拒不配合甲方进行监督检查、隐瞒对甲方合法权益产生影响的信息或提供虚假材料的，应当向甲方支付合同总价款20%的违约金；甲方也可同时解除合同，违约金不足以弥补甲方损失的，由乙方继续赔偿。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6.违约方应赔偿守约方的损失，包括但不限于律师费、诉讼费、公证费、差旅费、保全费、担保保函费等费用。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十、</w:t>
      </w:r>
      <w:r>
        <w:rPr>
          <w:rFonts w:hint="eastAsia" w:ascii="宋体" w:hAnsi="宋体" w:eastAsia="宋体" w:cs="宋体"/>
          <w:b/>
          <w:bCs/>
          <w:sz w:val="21"/>
          <w:szCs w:val="21"/>
          <w:highlight w:val="none"/>
        </w:rPr>
        <w:t>争议的解决方式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1.若发生争议，双方应首先通过协商解决。协商不成可向甲方所在地人民法院提起诉讼。双方均同意适用中华人民共和国法律。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2.合理的律师费、诉讼费、鉴定费、财产保全费、证据保全费、差旅费等由败诉一方承担。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十一、</w:t>
      </w:r>
      <w:r>
        <w:rPr>
          <w:rFonts w:hint="eastAsia" w:ascii="宋体" w:hAnsi="宋体" w:eastAsia="宋体" w:cs="宋体"/>
          <w:b/>
          <w:bCs/>
          <w:sz w:val="21"/>
          <w:szCs w:val="21"/>
          <w:highlight w:val="none"/>
        </w:rPr>
        <w:t>不可抗力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 xml:space="preserve"> 1</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rPr>
        <w:t>“不可抗力”是指本合同双方不能预见、不能避免和不可克服的事件。本合同任何一方因不可抗力不能履行的，可根据所受不可抗力影响而部分或全部免除该方的责任</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 xml:space="preserve"> </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2</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rPr>
        <w:t xml:space="preserve">出现不可抗力事件（政策原因、自然灾害、爆炸、火灾、水灾、战争、社会动乱、流行病、大面积停电、重大网络安全事件、行政措施和命令等）时，受影响的一方应及时、充分地以书面形式向对方发出通知，并告知对方该类事件对本合同可能产生的影响，而且应当在不可抗力事件发生后 </w:t>
      </w:r>
      <w:r>
        <w:rPr>
          <w:rFonts w:hint="eastAsia" w:ascii="宋体" w:hAnsi="宋体" w:eastAsia="宋体" w:cs="宋体"/>
          <w:b w:val="0"/>
          <w:bCs w:val="0"/>
          <w:sz w:val="21"/>
          <w:szCs w:val="21"/>
          <w:highlight w:val="none"/>
          <w:lang w:val="en-US" w:eastAsia="zh-CN"/>
        </w:rPr>
        <w:t>15</w:t>
      </w:r>
      <w:r>
        <w:rPr>
          <w:rFonts w:hint="eastAsia" w:ascii="宋体" w:hAnsi="宋体" w:eastAsia="宋体" w:cs="宋体"/>
          <w:b w:val="0"/>
          <w:bCs w:val="0"/>
          <w:sz w:val="21"/>
          <w:szCs w:val="21"/>
          <w:highlight w:val="none"/>
        </w:rPr>
        <w:t xml:space="preserve"> 日内向对方提供有权机关出具的关于不可抗力情况发生的书面证明。如不可抗力事件持续超过 30 日的，各方应协商确定延长履行期限或提前解除本合同；继续履行本合同将产生重大不利影响或者无法继续履行合同，则任何一方均可无条件终止本合同</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w:t>
      </w:r>
      <w:r>
        <w:rPr>
          <w:rFonts w:hint="eastAsia" w:ascii="宋体" w:hAnsi="宋体" w:eastAsia="宋体" w:cs="宋体"/>
          <w:b w:val="0"/>
          <w:bCs w:val="0"/>
          <w:sz w:val="21"/>
          <w:szCs w:val="21"/>
          <w:highlight w:val="none"/>
        </w:rPr>
        <w:t>、一方违约后发生不可抗力事件的，该方仍应向另一方承担违约责任。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outlineLvl w:val="9"/>
        <w:rPr>
          <w:rFonts w:hint="eastAsia" w:ascii="宋体" w:hAnsi="宋体" w:eastAsia="宋体" w:cs="宋体"/>
          <w:b w:val="0"/>
          <w:bCs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十二、资质的声明和保证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1.双方互相向对方声明、陈述和保证如下：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（1）其有资格从事本合同约定的合作业务，而该合作业务符合其经营范围的规定；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（2）其授权代表已经获得了充分授权，可以代表其签署本合同。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2.双方保证均具有履行本合同所需要的全部资质（包括但不限于有效的授权书、资质证书等），并可向对方提供相应有效证明材料，因一方缺乏相应资质导致的纠纷和/或责任由其独立承担。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3.一方违反上述约定的，应当按照本合同约定承担违约责任；本合同无具体约定的，应当承担赔偿全部经济损失的责任。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十三</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本合同一式</w:t>
      </w:r>
      <w:r>
        <w:rPr>
          <w:rFonts w:hint="eastAsia" w:ascii="宋体" w:hAnsi="宋体" w:eastAsia="宋体" w:cs="宋体"/>
          <w:sz w:val="21"/>
          <w:szCs w:val="21"/>
          <w:highlight w:val="none"/>
          <w:lang w:val="en-US" w:eastAsia="zh-CN"/>
        </w:rPr>
        <w:t>陆</w:t>
      </w:r>
      <w:r>
        <w:rPr>
          <w:rFonts w:hint="eastAsia" w:ascii="宋体" w:hAnsi="宋体" w:eastAsia="宋体" w:cs="宋体"/>
          <w:sz w:val="21"/>
          <w:szCs w:val="21"/>
          <w:highlight w:val="none"/>
        </w:rPr>
        <w:t>份，甲乙双方各持对方签字合同</w:t>
      </w:r>
      <w:r>
        <w:rPr>
          <w:rFonts w:hint="eastAsia" w:ascii="宋体" w:hAnsi="宋体" w:eastAsia="宋体" w:cs="宋体"/>
          <w:sz w:val="21"/>
          <w:szCs w:val="21"/>
          <w:highlight w:val="none"/>
          <w:lang w:val="en-US" w:eastAsia="zh-CN"/>
        </w:rPr>
        <w:t>叁</w:t>
      </w:r>
      <w:r>
        <w:rPr>
          <w:rFonts w:hint="eastAsia" w:ascii="宋体" w:hAnsi="宋体" w:eastAsia="宋体" w:cs="宋体"/>
          <w:sz w:val="21"/>
          <w:szCs w:val="21"/>
          <w:highlight w:val="none"/>
        </w:rPr>
        <w:t>份，具有同等法律效力</w:t>
      </w:r>
      <w:r>
        <w:rPr>
          <w:rFonts w:hint="eastAsia" w:ascii="宋体" w:hAnsi="宋体" w:eastAsia="宋体" w:cs="宋体"/>
          <w:sz w:val="21"/>
          <w:szCs w:val="21"/>
          <w:highlight w:val="none"/>
          <w:lang w:eastAsia="zh-CN"/>
        </w:rPr>
        <w:t>；其他未尽事宜，由甲乙双方协商确定并签订书面补充协议，作为本合同的补充，补充协议与本合同具有同等法律效力。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本合同自</w:t>
      </w:r>
      <w:r>
        <w:rPr>
          <w:rFonts w:hint="eastAsia" w:ascii="宋体" w:hAnsi="宋体" w:eastAsia="宋体" w:cs="宋体"/>
          <w:sz w:val="21"/>
          <w:szCs w:val="21"/>
          <w:highlight w:val="none"/>
          <w:lang w:val="en-US" w:eastAsia="zh-CN"/>
        </w:rPr>
        <w:t>法定代表人或授权代表</w:t>
      </w:r>
      <w:r>
        <w:rPr>
          <w:rFonts w:hint="eastAsia" w:ascii="宋体" w:hAnsi="宋体" w:eastAsia="宋体" w:cs="宋体"/>
          <w:sz w:val="21"/>
          <w:szCs w:val="21"/>
          <w:highlight w:val="none"/>
        </w:rPr>
        <w:t>签字盖章之日起生效。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3.本合同签订地为广东省广州市越秀区。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4.本项目甲方招标文件，乙方投标文件均作为本合同附件，文件之间有冲突的，以有利于甲方的条款为准。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―――――――本页以下无正文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为盖章页</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甲方：</w:t>
      </w:r>
      <w:r>
        <w:rPr>
          <w:rFonts w:hint="eastAsia" w:ascii="宋体" w:hAnsi="宋体" w:eastAsia="宋体" w:cs="宋体"/>
          <w:sz w:val="21"/>
          <w:szCs w:val="21"/>
          <w:highlight w:val="none"/>
          <w:u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法定代表人/</w:t>
      </w:r>
      <w:r>
        <w:rPr>
          <w:rFonts w:hint="eastAsia" w:ascii="宋体" w:hAnsi="宋体" w:eastAsia="宋体" w:cs="宋体"/>
          <w:sz w:val="21"/>
          <w:szCs w:val="21"/>
          <w:highlight w:val="none"/>
        </w:rPr>
        <w:t xml:space="preserve">授权代表：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日期：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乙方：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法定代表人/</w:t>
      </w:r>
      <w:r>
        <w:rPr>
          <w:rFonts w:hint="eastAsia" w:ascii="宋体" w:hAnsi="宋体" w:eastAsia="宋体" w:cs="宋体"/>
          <w:sz w:val="21"/>
          <w:szCs w:val="21"/>
          <w:highlight w:val="none"/>
        </w:rPr>
        <w:t>授权代表: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highlight w:val="none"/>
        </w:rPr>
        <w:t>日期：</w:t>
      </w:r>
      <w:r>
        <w:rPr>
          <w:rFonts w:hint="eastAsia" w:ascii="宋体" w:hAnsi="宋体" w:eastAsia="宋体" w:cs="宋体"/>
          <w:b/>
          <w:sz w:val="21"/>
          <w:szCs w:val="21"/>
        </w:rPr>
        <w:br w:type="page"/>
      </w:r>
    </w:p>
    <w:bookmarkEnd w:id="475"/>
    <w:bookmarkEnd w:id="476"/>
    <w:bookmarkEnd w:id="477"/>
    <w:p>
      <w:pPr>
        <w:pStyle w:val="85"/>
        <w:spacing w:before="240" w:after="120"/>
        <w:rPr>
          <w:rFonts w:ascii="宋体" w:hAnsi="宋体" w:eastAsia="宋体" w:cs="宋体"/>
          <w:b/>
          <w:bCs w:val="0"/>
          <w:kern w:val="0"/>
          <w:sz w:val="28"/>
          <w:szCs w:val="28"/>
        </w:rPr>
      </w:pPr>
      <w:bookmarkStart w:id="482" w:name="_Toc13868"/>
      <w:bookmarkStart w:id="483" w:name="_Toc22721"/>
      <w:bookmarkStart w:id="484" w:name="_Toc21679"/>
      <w:bookmarkStart w:id="485" w:name="_Toc29000"/>
      <w:bookmarkStart w:id="486" w:name="_Toc56432229"/>
      <w:r>
        <w:rPr>
          <w:rFonts w:hint="eastAsia" w:ascii="宋体" w:hAnsi="宋体" w:eastAsia="宋体" w:cs="宋体"/>
          <w:b/>
          <w:bCs w:val="0"/>
          <w:kern w:val="0"/>
          <w:sz w:val="28"/>
          <w:szCs w:val="28"/>
        </w:rPr>
        <w:t>第五章  采购需求书</w:t>
      </w:r>
      <w:bookmarkEnd w:id="482"/>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87" w:name="_Toc32130"/>
      <w:bookmarkStart w:id="488" w:name="_Toc26541"/>
      <w:bookmarkStart w:id="489" w:name="_Toc5272"/>
      <w:bookmarkStart w:id="490" w:name="_Toc68684318"/>
      <w:bookmarkStart w:id="491" w:name="_Toc70434247"/>
      <w:bookmarkStart w:id="492" w:name="_Toc18739"/>
      <w:r>
        <w:rPr>
          <w:rFonts w:hint="eastAsia" w:ascii="宋体" w:hAnsi="宋体" w:cs="宋体"/>
          <w:sz w:val="32"/>
          <w:szCs w:val="32"/>
          <w:lang w:eastAsia="zh-CN"/>
        </w:rPr>
        <w:t>赴欧非亚三国交流活动行程服务项目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87"/>
      <w:bookmarkEnd w:id="488"/>
      <w:bookmarkEnd w:id="489"/>
      <w:bookmarkEnd w:id="490"/>
      <w:bookmarkEnd w:id="491"/>
      <w:bookmarkEnd w:id="492"/>
    </w:p>
    <w:p>
      <w:pPr>
        <w:spacing w:beforeLines="0" w:afterLines="0" w:line="600" w:lineRule="atLeast"/>
        <w:ind w:firstLine="643"/>
        <w:rPr>
          <w:rFonts w:hint="default" w:ascii="宋体" w:hAnsi="宋体" w:eastAsia="宋体" w:cs="宋体"/>
          <w:b/>
          <w:color w:val="111111"/>
          <w:sz w:val="21"/>
          <w:szCs w:val="21"/>
          <w:highlight w:val="white"/>
          <w:lang w:val="en-US" w:eastAsia="zh-CN"/>
        </w:rPr>
      </w:pPr>
      <w:r>
        <w:rPr>
          <w:rFonts w:hint="eastAsia" w:ascii="宋体" w:hAnsi="宋体" w:eastAsia="宋体" w:cs="宋体"/>
          <w:b/>
          <w:color w:val="111111"/>
          <w:sz w:val="21"/>
          <w:szCs w:val="21"/>
          <w:highlight w:val="white"/>
          <w:lang w:val="zh-CN"/>
        </w:rPr>
        <w:t>一、</w:t>
      </w:r>
      <w:r>
        <w:rPr>
          <w:rFonts w:hint="eastAsia" w:ascii="宋体" w:hAnsi="宋体" w:eastAsia="宋体" w:cs="宋体"/>
          <w:b/>
          <w:color w:val="111111"/>
          <w:sz w:val="21"/>
          <w:szCs w:val="21"/>
          <w:highlight w:val="white"/>
          <w:lang w:val="en-US" w:eastAsia="zh-CN"/>
        </w:rPr>
        <w:t>主要服务内容</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jc w:val="left"/>
        <w:textAlignment w:val="auto"/>
        <w:rPr>
          <w:rFonts w:hint="default" w:ascii="宋体" w:hAnsi="宋体" w:eastAsia="宋体" w:cs="宋体"/>
          <w:color w:val="111111"/>
          <w:sz w:val="21"/>
          <w:szCs w:val="21"/>
          <w:highlight w:val="white"/>
          <w:lang w:val="en-US" w:eastAsia="zh-CN"/>
        </w:rPr>
      </w:pPr>
      <w:r>
        <w:rPr>
          <w:rFonts w:hint="eastAsia" w:ascii="宋体" w:hAnsi="宋体" w:eastAsia="宋体" w:cs="宋体"/>
          <w:color w:val="111111"/>
          <w:sz w:val="21"/>
          <w:szCs w:val="21"/>
          <w:highlight w:val="white"/>
          <w:lang w:val="zh-CN" w:eastAsia="zh-CN"/>
        </w:rPr>
        <w:t>根据</w:t>
      </w:r>
      <w:r>
        <w:rPr>
          <w:rFonts w:hint="eastAsia" w:ascii="宋体" w:hAnsi="宋体" w:cs="宋体"/>
          <w:color w:val="111111"/>
          <w:sz w:val="21"/>
          <w:szCs w:val="21"/>
          <w:highlight w:val="white"/>
          <w:lang w:val="en-US" w:eastAsia="zh-CN"/>
        </w:rPr>
        <w:t>招标人</w:t>
      </w:r>
      <w:r>
        <w:rPr>
          <w:rFonts w:hint="eastAsia" w:ascii="宋体" w:hAnsi="宋体" w:eastAsia="宋体" w:cs="宋体"/>
          <w:color w:val="111111"/>
          <w:sz w:val="21"/>
          <w:szCs w:val="21"/>
          <w:highlight w:val="white"/>
          <w:lang w:val="zh-CN" w:eastAsia="zh-CN"/>
        </w:rPr>
        <w:t>需求，</w:t>
      </w:r>
      <w:r>
        <w:rPr>
          <w:rFonts w:hint="eastAsia" w:ascii="宋体" w:hAnsi="宋体" w:eastAsia="宋体" w:cs="宋体"/>
          <w:color w:val="111111"/>
          <w:sz w:val="21"/>
          <w:szCs w:val="21"/>
          <w:highlight w:val="white"/>
          <w:lang w:val="en-US" w:eastAsia="zh-CN"/>
        </w:rPr>
        <w:t>负责招标人</w:t>
      </w:r>
      <w:r>
        <w:rPr>
          <w:rFonts w:hint="eastAsia" w:ascii="宋体" w:hAnsi="宋体" w:eastAsia="宋体" w:cs="宋体"/>
          <w:sz w:val="21"/>
          <w:szCs w:val="21"/>
          <w:highlight w:val="none"/>
        </w:rPr>
        <w:t>在赴欧非亚三国交流活动期间的交通、住宿、膳食等服务</w:t>
      </w:r>
      <w:r>
        <w:rPr>
          <w:rFonts w:hint="eastAsia" w:ascii="宋体" w:hAnsi="宋体" w:eastAsia="宋体" w:cs="宋体"/>
          <w:color w:val="111111"/>
          <w:sz w:val="21"/>
          <w:szCs w:val="21"/>
          <w:highlight w:val="white"/>
          <w:lang w:val="zh-CN" w:eastAsia="zh-CN"/>
        </w:rPr>
        <w:t>。</w:t>
      </w:r>
      <w:r>
        <w:rPr>
          <w:rFonts w:hint="eastAsia" w:ascii="宋体" w:hAnsi="宋体" w:eastAsia="宋体" w:cs="宋体"/>
          <w:color w:val="111111"/>
          <w:sz w:val="21"/>
          <w:szCs w:val="21"/>
          <w:highlight w:val="white"/>
          <w:lang w:val="en-US" w:eastAsia="zh-CN"/>
        </w:rPr>
        <w:t>具体包括：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kern w:val="2"/>
          <w:sz w:val="21"/>
          <w:szCs w:val="21"/>
          <w:lang w:val="en-US" w:eastAsia="zh-CN" w:bidi="ar-SA"/>
        </w:rPr>
        <w:t>1、</w:t>
      </w:r>
      <w:r>
        <w:rPr>
          <w:rFonts w:hint="eastAsia" w:ascii="宋体" w:hAnsi="宋体" w:eastAsia="宋体" w:cs="宋体"/>
          <w:sz w:val="21"/>
          <w:szCs w:val="21"/>
          <w:highlight w:val="none"/>
          <w:lang w:val="en-US" w:eastAsia="zh-CN"/>
        </w:rPr>
        <w:t>根据</w:t>
      </w:r>
      <w:r>
        <w:rPr>
          <w:rFonts w:hint="eastAsia" w:ascii="宋体" w:hAnsi="宋体" w:cs="宋体"/>
          <w:sz w:val="21"/>
          <w:szCs w:val="21"/>
          <w:highlight w:val="none"/>
          <w:lang w:val="en-US" w:eastAsia="zh-CN"/>
        </w:rPr>
        <w:t>招标人</w:t>
      </w:r>
      <w:r>
        <w:rPr>
          <w:rFonts w:hint="eastAsia" w:ascii="宋体" w:hAnsi="宋体" w:eastAsia="宋体" w:cs="宋体"/>
          <w:sz w:val="21"/>
          <w:szCs w:val="21"/>
          <w:highlight w:val="none"/>
          <w:lang w:val="en-US" w:eastAsia="zh-CN"/>
        </w:rPr>
        <w:t>需求，赴意大利、埃及、马来西亚媒体代表团出访行程及在埃及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举办视觉展服务，负责国际差旅（含国际机票、住宿、膳食、公杂、城市间交通、保险服务等）、在埃及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举办视觉展（含</w:t>
      </w:r>
      <w:r>
        <w:rPr>
          <w:rFonts w:hint="eastAsia" w:ascii="宋体" w:hAnsi="宋体" w:cs="宋体"/>
          <w:sz w:val="21"/>
          <w:szCs w:val="21"/>
          <w:highlight w:val="none"/>
          <w:lang w:val="en-US" w:eastAsia="zh-CN"/>
        </w:rPr>
        <w:t>邀请嘉宾、</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、场地租赁、活动物料、配套服务、国际及当地物流等）等工作。具体包括以下服务：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①中标人</w:t>
      </w:r>
      <w:r>
        <w:rPr>
          <w:rFonts w:hint="eastAsia" w:ascii="宋体" w:hAnsi="宋体" w:eastAsia="宋体" w:cs="宋体"/>
          <w:sz w:val="21"/>
          <w:szCs w:val="21"/>
          <w:highlight w:val="none"/>
          <w:lang w:val="en-US" w:eastAsia="zh-CN"/>
        </w:rPr>
        <w:t>负责活动期间的行程安排和视觉展服务工作，具体包括意大利、埃及、马来西亚的交通、住宿等服务，在埃及</w:t>
      </w:r>
      <w:r>
        <w:rPr>
          <w:rFonts w:hint="eastAsia" w:ascii="宋体" w:hAnsi="宋体" w:cs="宋体"/>
          <w:sz w:val="21"/>
          <w:szCs w:val="21"/>
          <w:highlight w:val="none"/>
          <w:lang w:val="en-US" w:eastAsia="zh-CN"/>
        </w:rPr>
        <w:t>和马来西亚</w:t>
      </w:r>
      <w:r>
        <w:rPr>
          <w:rFonts w:hint="eastAsia" w:ascii="宋体" w:hAnsi="宋体" w:eastAsia="宋体" w:cs="宋体"/>
          <w:sz w:val="21"/>
          <w:szCs w:val="21"/>
          <w:highlight w:val="none"/>
          <w:lang w:val="en-US" w:eastAsia="zh-CN"/>
        </w:rPr>
        <w:t>举办视觉展（含</w:t>
      </w:r>
      <w:r>
        <w:rPr>
          <w:rFonts w:hint="eastAsia" w:ascii="宋体" w:hAnsi="宋体" w:cs="宋体"/>
          <w:sz w:val="21"/>
          <w:szCs w:val="21"/>
          <w:highlight w:val="none"/>
          <w:lang w:val="en-US" w:eastAsia="zh-CN"/>
        </w:rPr>
        <w:t>邀请嘉宾、</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、场地租赁、活动物料、配套服务、国际及当地物流等）等，</w:t>
      </w:r>
      <w:r>
        <w:rPr>
          <w:rFonts w:hint="eastAsia" w:ascii="宋体" w:hAnsi="宋体" w:cs="宋体"/>
          <w:sz w:val="21"/>
          <w:szCs w:val="21"/>
          <w:highlight w:val="none"/>
          <w:lang w:val="en-US" w:eastAsia="zh-CN"/>
        </w:rPr>
        <w:t>招标人</w:t>
      </w:r>
      <w:r>
        <w:rPr>
          <w:rFonts w:hint="eastAsia" w:ascii="宋体" w:hAnsi="宋体" w:eastAsia="宋体" w:cs="宋体"/>
          <w:sz w:val="21"/>
          <w:szCs w:val="21"/>
          <w:highlight w:val="none"/>
          <w:lang w:val="en-US" w:eastAsia="zh-CN"/>
        </w:rPr>
        <w:t>出行时间</w:t>
      </w:r>
      <w:r>
        <w:rPr>
          <w:rFonts w:hint="eastAsia" w:ascii="宋体" w:hAnsi="宋体" w:cs="宋体"/>
          <w:sz w:val="21"/>
          <w:szCs w:val="21"/>
          <w:highlight w:val="none"/>
          <w:lang w:val="en-US" w:eastAsia="zh-CN"/>
        </w:rPr>
        <w:t>拟</w:t>
      </w:r>
      <w:r>
        <w:rPr>
          <w:rFonts w:hint="eastAsia" w:ascii="宋体" w:hAnsi="宋体" w:eastAsia="宋体" w:cs="宋体"/>
          <w:sz w:val="21"/>
          <w:szCs w:val="21"/>
          <w:highlight w:val="none"/>
          <w:lang w:val="en-US" w:eastAsia="zh-CN"/>
        </w:rPr>
        <w:t>为11月中下旬期间，赴意大利</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天、埃及</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天、马来西亚3天，每个国家拟派</w:t>
      </w: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②</w:t>
      </w:r>
      <w:r>
        <w:rPr>
          <w:rFonts w:hint="eastAsia" w:ascii="宋体" w:hAnsi="宋体" w:eastAsia="宋体" w:cs="宋体"/>
          <w:sz w:val="21"/>
          <w:szCs w:val="21"/>
          <w:highlight w:val="none"/>
          <w:lang w:val="en-US" w:eastAsia="zh-CN"/>
        </w:rPr>
        <w:t>意大利需要广州-罗马、罗马-埃及开罗的机票（经济舱），</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辆7-9座商务车，罗马-博洛尼亚的往返火车票（二等座），罗马酒店（</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晚</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标准为</w:t>
      </w:r>
      <w:r>
        <w:rPr>
          <w:rFonts w:hint="eastAsia" w:ascii="宋体" w:hAnsi="宋体" w:cs="宋体"/>
          <w:sz w:val="21"/>
          <w:szCs w:val="21"/>
          <w:highlight w:val="none"/>
          <w:lang w:val="en-US" w:eastAsia="zh-CN"/>
        </w:rPr>
        <w:t>不超过</w:t>
      </w:r>
      <w:r>
        <w:rPr>
          <w:rFonts w:hint="eastAsia" w:ascii="宋体" w:hAnsi="宋体" w:eastAsia="宋体" w:cs="宋体"/>
          <w:sz w:val="21"/>
          <w:szCs w:val="21"/>
          <w:highlight w:val="none"/>
          <w:lang w:val="en-US" w:eastAsia="zh-CN"/>
        </w:rPr>
        <w:t>160欧元（1217.21人民币）/人/天</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，博洛尼亚酒店（1晚</w:t>
      </w:r>
      <w:r>
        <w:rPr>
          <w:rFonts w:hint="eastAsia" w:ascii="宋体" w:hAnsi="宋体" w:cs="宋体"/>
          <w:sz w:val="21"/>
          <w:szCs w:val="21"/>
          <w:highlight w:val="none"/>
          <w:lang w:val="en-US" w:eastAsia="zh-CN"/>
        </w:rPr>
        <w:t>，标准为不超过110欧元（852.30人民币）/人/天</w:t>
      </w:r>
      <w:r>
        <w:rPr>
          <w:rFonts w:hint="eastAsia" w:ascii="宋体" w:hAnsi="宋体" w:eastAsia="宋体" w:cs="宋体"/>
          <w:sz w:val="21"/>
          <w:szCs w:val="21"/>
          <w:highlight w:val="none"/>
          <w:lang w:val="en-US" w:eastAsia="zh-CN"/>
        </w:rPr>
        <w:t>），负责接机、交通、住宿等安排。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③</w:t>
      </w:r>
      <w:r>
        <w:rPr>
          <w:rFonts w:hint="eastAsia" w:ascii="宋体" w:hAnsi="宋体" w:eastAsia="宋体" w:cs="宋体"/>
          <w:sz w:val="21"/>
          <w:szCs w:val="21"/>
          <w:highlight w:val="none"/>
          <w:lang w:val="en-US" w:eastAsia="zh-CN"/>
        </w:rPr>
        <w:t>埃及需要开罗-吉隆坡的机票（经济舱），1辆15-22座中巴、埃及酒店（3晚</w:t>
      </w:r>
      <w:r>
        <w:rPr>
          <w:rFonts w:hint="eastAsia" w:ascii="宋体" w:hAnsi="宋体" w:cs="宋体"/>
          <w:sz w:val="21"/>
          <w:szCs w:val="21"/>
          <w:highlight w:val="none"/>
          <w:lang w:val="en-US" w:eastAsia="zh-CN"/>
        </w:rPr>
        <w:t>，标准为不超过170美元（1243.79人民币）/人/天</w:t>
      </w:r>
      <w:r>
        <w:rPr>
          <w:rFonts w:hint="eastAsia" w:ascii="宋体" w:hAnsi="宋体" w:eastAsia="宋体" w:cs="宋体"/>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④</w:t>
      </w:r>
      <w:r>
        <w:rPr>
          <w:rFonts w:hint="eastAsia" w:ascii="宋体" w:hAnsi="宋体" w:eastAsia="宋体" w:cs="宋体"/>
          <w:sz w:val="21"/>
          <w:szCs w:val="21"/>
          <w:highlight w:val="none"/>
          <w:lang w:val="en-US" w:eastAsia="zh-CN"/>
        </w:rPr>
        <w:t>马来西亚需要吉隆坡-广州的机票（经济舱），1辆15-22座中巴、马来西亚酒店（2晚</w:t>
      </w:r>
      <w:r>
        <w:rPr>
          <w:rFonts w:hint="eastAsia" w:ascii="宋体" w:hAnsi="宋体" w:cs="宋体"/>
          <w:sz w:val="21"/>
          <w:szCs w:val="21"/>
          <w:highlight w:val="none"/>
          <w:lang w:val="en-US" w:eastAsia="zh-CN"/>
        </w:rPr>
        <w:t>，标准为不超过110美元（804.80人民币）/人/天</w:t>
      </w:r>
      <w:r>
        <w:rPr>
          <w:rFonts w:hint="eastAsia" w:ascii="宋体" w:hAnsi="宋体" w:eastAsia="宋体" w:cs="宋体"/>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⑤</w:t>
      </w:r>
      <w:r>
        <w:rPr>
          <w:rFonts w:hint="eastAsia" w:ascii="宋体" w:hAnsi="宋体" w:eastAsia="宋体" w:cs="宋体"/>
          <w:sz w:val="21"/>
          <w:szCs w:val="21"/>
          <w:highlight w:val="none"/>
          <w:lang w:val="en-US" w:eastAsia="zh-CN"/>
        </w:rPr>
        <w:t>埃及视觉展</w:t>
      </w:r>
      <w:r>
        <w:rPr>
          <w:rFonts w:hint="eastAsia" w:ascii="宋体" w:hAnsi="宋体" w:cs="宋体"/>
          <w:sz w:val="21"/>
          <w:szCs w:val="21"/>
          <w:highlight w:val="none"/>
          <w:lang w:val="en-US" w:eastAsia="zh-CN"/>
        </w:rPr>
        <w:t>（展期预计为2个日历日内）</w:t>
      </w:r>
      <w:r>
        <w:rPr>
          <w:rFonts w:hint="eastAsia" w:ascii="宋体" w:hAnsi="宋体" w:eastAsia="宋体" w:cs="宋体"/>
          <w:sz w:val="21"/>
          <w:szCs w:val="21"/>
          <w:highlight w:val="none"/>
          <w:lang w:val="en-US" w:eastAsia="zh-CN"/>
        </w:rPr>
        <w:t>需要</w:t>
      </w:r>
      <w:r>
        <w:rPr>
          <w:rFonts w:hint="eastAsia" w:ascii="宋体" w:hAnsi="宋体" w:cs="宋体"/>
          <w:sz w:val="21"/>
          <w:szCs w:val="21"/>
          <w:highlight w:val="none"/>
          <w:lang w:val="en-US" w:eastAsia="zh-CN"/>
        </w:rPr>
        <w:t>邀请嘉宾（具体名单由招标人根据需求确定并提供给中标人）、</w:t>
      </w:r>
      <w:r>
        <w:rPr>
          <w:rFonts w:hint="eastAsia" w:ascii="宋体" w:hAnsi="宋体" w:eastAsia="宋体" w:cs="宋体"/>
          <w:sz w:val="21"/>
          <w:szCs w:val="21"/>
          <w:highlight w:val="none"/>
          <w:lang w:val="en-US" w:eastAsia="zh-CN"/>
        </w:rPr>
        <w:t>布展</w:t>
      </w:r>
      <w:r>
        <w:rPr>
          <w:rFonts w:hint="eastAsia" w:ascii="宋体" w:hAnsi="宋体" w:cs="宋体"/>
          <w:sz w:val="21"/>
          <w:szCs w:val="21"/>
          <w:highlight w:val="none"/>
          <w:lang w:val="en-US" w:eastAsia="zh-CN"/>
        </w:rPr>
        <w:t>和撤展</w:t>
      </w:r>
      <w:r>
        <w:rPr>
          <w:rFonts w:hint="eastAsia" w:ascii="宋体" w:hAnsi="宋体" w:eastAsia="宋体" w:cs="宋体"/>
          <w:sz w:val="21"/>
          <w:szCs w:val="21"/>
          <w:highlight w:val="none"/>
          <w:lang w:val="en-US" w:eastAsia="zh-CN"/>
        </w:rPr>
        <w:t>（约50份展品）、场地租赁（能容纳200人）、活动物料（</w:t>
      </w:r>
      <w:r>
        <w:rPr>
          <w:rFonts w:hint="eastAsia" w:ascii="宋体" w:hAnsi="宋体" w:cs="宋体"/>
          <w:sz w:val="21"/>
          <w:szCs w:val="21"/>
          <w:highlight w:val="none"/>
          <w:lang w:val="en-US" w:eastAsia="zh-CN"/>
        </w:rPr>
        <w:t>LED租赁、灯光音响租赁、</w:t>
      </w:r>
      <w:r>
        <w:rPr>
          <w:rFonts w:hint="eastAsia" w:ascii="宋体" w:hAnsi="宋体" w:eastAsia="宋体" w:cs="宋体"/>
          <w:sz w:val="21"/>
          <w:szCs w:val="21"/>
          <w:highlight w:val="none"/>
          <w:lang w:val="en-US" w:eastAsia="zh-CN"/>
        </w:rPr>
        <w:t>展架、指引牌等）、配套服务（约200人的冷餐会）、广州-开罗的国际物流及当地物流等服务。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⑥马来西亚视觉展（展期预计为2个日历日内）需要邀请嘉宾（具体名单由招标人根据需求确定并提供给中标人）、布展和撤展（约50份展品）、活动物料（背景板、展架、指引牌等）、广州-吉隆坡的国际物流及当地物流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⑦</w:t>
      </w:r>
      <w:r>
        <w:rPr>
          <w:rFonts w:hint="eastAsia" w:ascii="宋体" w:hAnsi="宋体" w:eastAsia="宋体" w:cs="宋体"/>
          <w:sz w:val="21"/>
          <w:szCs w:val="21"/>
          <w:highlight w:val="none"/>
          <w:lang w:val="en-US" w:eastAsia="zh-CN"/>
        </w:rPr>
        <w:t>三地的膳食、公杂、公共交通、保险（境外旅行险）等服务。</w:t>
      </w:r>
    </w:p>
    <w:p>
      <w:pPr>
        <w:pStyle w:val="2"/>
        <w:rPr>
          <w:rFonts w:hint="eastAsia"/>
          <w:lang w:val="en-US" w:eastAsia="zh-CN"/>
        </w:rPr>
      </w:pPr>
      <w:r>
        <w:rPr>
          <w:rFonts w:hint="eastAsia"/>
          <w:lang w:val="en-US" w:eastAsia="zh-CN"/>
        </w:rPr>
        <w:t>服务需求见下表（中标人提供的住宿、膳食服务不得超出下表给出的住宿、膳食标准）：</w:t>
      </w:r>
    </w:p>
    <w:tbl>
      <w:tblPr>
        <w:tblStyle w:val="42"/>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510"/>
        <w:gridCol w:w="636"/>
        <w:gridCol w:w="2333"/>
        <w:gridCol w:w="2465"/>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69"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序号</w:t>
            </w:r>
          </w:p>
        </w:tc>
        <w:tc>
          <w:tcPr>
            <w:tcW w:w="510"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地点</w:t>
            </w:r>
          </w:p>
        </w:tc>
        <w:tc>
          <w:tcPr>
            <w:tcW w:w="636"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人数</w:t>
            </w:r>
          </w:p>
        </w:tc>
        <w:tc>
          <w:tcPr>
            <w:tcW w:w="2333"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交通</w:t>
            </w:r>
          </w:p>
        </w:tc>
        <w:tc>
          <w:tcPr>
            <w:tcW w:w="2465"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住宿、膳食、公杂、保险等</w:t>
            </w:r>
          </w:p>
        </w:tc>
        <w:tc>
          <w:tcPr>
            <w:tcW w:w="2763"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视觉展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6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510" w:type="dxa"/>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意大利</w:t>
            </w:r>
          </w:p>
        </w:tc>
        <w:tc>
          <w:tcPr>
            <w:tcW w:w="636" w:type="dxa"/>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w:t>
            </w:r>
          </w:p>
        </w:tc>
        <w:tc>
          <w:tcPr>
            <w:tcW w:w="2333" w:type="dxa"/>
            <w:noWrap w:val="0"/>
            <w:vAlign w:val="center"/>
          </w:tcPr>
          <w:p>
            <w:pPr>
              <w:pStyle w:val="18"/>
              <w:keepNext w:val="0"/>
              <w:keepLines w:val="0"/>
              <w:pageBreakBefore w:val="0"/>
              <w:widowControl w:val="0"/>
              <w:numPr>
                <w:ilvl w:val="0"/>
                <w:numId w:val="13"/>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广州-罗马、罗马-开罗的机票（经济舱）</w:t>
            </w:r>
          </w:p>
          <w:p>
            <w:pPr>
              <w:pStyle w:val="18"/>
              <w:keepNext w:val="0"/>
              <w:keepLines w:val="0"/>
              <w:pageBreakBefore w:val="0"/>
              <w:widowControl w:val="0"/>
              <w:numPr>
                <w:ilvl w:val="0"/>
                <w:numId w:val="13"/>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w:t>
            </w:r>
            <w:r>
              <w:rPr>
                <w:rFonts w:hint="eastAsia" w:ascii="宋体" w:hAnsi="宋体" w:eastAsia="宋体" w:cs="宋体"/>
                <w:color w:val="auto"/>
                <w:sz w:val="21"/>
                <w:szCs w:val="21"/>
                <w:vertAlign w:val="baseline"/>
                <w:lang w:val="en-US" w:eastAsia="zh-CN"/>
              </w:rPr>
              <w:t>辆7-9座商务车</w:t>
            </w:r>
          </w:p>
          <w:p>
            <w:pPr>
              <w:pStyle w:val="18"/>
              <w:keepNext w:val="0"/>
              <w:keepLines w:val="0"/>
              <w:pageBreakBefore w:val="0"/>
              <w:widowControl w:val="0"/>
              <w:numPr>
                <w:ilvl w:val="0"/>
                <w:numId w:val="13"/>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罗马-博洛尼亚的往返火车票（二等座）</w:t>
            </w:r>
          </w:p>
        </w:tc>
        <w:tc>
          <w:tcPr>
            <w:tcW w:w="2465" w:type="dxa"/>
            <w:noWrap w:val="0"/>
            <w:vAlign w:val="center"/>
          </w:tcPr>
          <w:p>
            <w:pPr>
              <w:pStyle w:val="18"/>
              <w:keepNext w:val="0"/>
              <w:keepLines w:val="0"/>
              <w:pageBreakBefore w:val="0"/>
              <w:widowControl w:val="0"/>
              <w:numPr>
                <w:ilvl w:val="0"/>
                <w:numId w:val="14"/>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罗马</w:t>
            </w:r>
            <w:r>
              <w:rPr>
                <w:rFonts w:hint="eastAsia" w:ascii="宋体" w:hAnsi="宋体" w:eastAsia="宋体" w:cs="宋体"/>
                <w:color w:val="auto"/>
                <w:sz w:val="21"/>
                <w:szCs w:val="21"/>
                <w:vertAlign w:val="baseline"/>
                <w:lang w:eastAsia="zh-CN"/>
              </w:rPr>
              <w:t>酒店（</w:t>
            </w:r>
            <w:r>
              <w:rPr>
                <w:rFonts w:hint="eastAsia" w:ascii="宋体" w:hAnsi="宋体" w:cs="宋体"/>
                <w:color w:val="auto"/>
                <w:sz w:val="21"/>
                <w:szCs w:val="21"/>
                <w:vertAlign w:val="baseline"/>
                <w:lang w:val="en-US" w:eastAsia="zh-CN"/>
              </w:rPr>
              <w:t>2</w:t>
            </w:r>
            <w:r>
              <w:rPr>
                <w:rFonts w:hint="eastAsia" w:ascii="宋体" w:hAnsi="宋体" w:eastAsia="宋体" w:cs="宋体"/>
                <w:color w:val="auto"/>
                <w:sz w:val="21"/>
                <w:szCs w:val="21"/>
                <w:vertAlign w:val="baseline"/>
                <w:lang w:eastAsia="zh-CN"/>
              </w:rPr>
              <w:t>晚），160欧元（1217.21</w:t>
            </w:r>
            <w:r>
              <w:rPr>
                <w:rFonts w:hint="eastAsia" w:ascii="宋体" w:hAnsi="宋体" w:eastAsia="宋体" w:cs="宋体"/>
                <w:color w:val="auto"/>
                <w:sz w:val="21"/>
                <w:szCs w:val="21"/>
                <w:vertAlign w:val="baseline"/>
                <w:lang w:val="en-US" w:eastAsia="zh-CN"/>
              </w:rPr>
              <w:t>人民币</w:t>
            </w:r>
            <w:r>
              <w:rPr>
                <w:rFonts w:hint="eastAsia" w:ascii="宋体" w:hAnsi="宋体" w:eastAsia="宋体" w:cs="宋体"/>
                <w:color w:val="auto"/>
                <w:sz w:val="21"/>
                <w:szCs w:val="21"/>
                <w:vertAlign w:val="baseline"/>
                <w:lang w:eastAsia="zh-CN"/>
              </w:rPr>
              <w:t>）/人</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eastAsia="zh-CN"/>
              </w:rPr>
              <w:t>天</w:t>
            </w:r>
          </w:p>
          <w:p>
            <w:pPr>
              <w:pStyle w:val="18"/>
              <w:keepNext w:val="0"/>
              <w:keepLines w:val="0"/>
              <w:pageBreakBefore w:val="0"/>
              <w:widowControl w:val="0"/>
              <w:numPr>
                <w:ilvl w:val="0"/>
                <w:numId w:val="14"/>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博洛尼亚酒店（1晚），110欧元（852.30人民币）</w:t>
            </w:r>
          </w:p>
          <w:p>
            <w:pPr>
              <w:pStyle w:val="18"/>
              <w:keepNext w:val="0"/>
              <w:keepLines w:val="0"/>
              <w:pageBreakBefore w:val="0"/>
              <w:widowControl w:val="0"/>
              <w:numPr>
                <w:ilvl w:val="0"/>
                <w:numId w:val="14"/>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膳食+公杂，103欧元（783.58人民币）/人/天</w:t>
            </w:r>
          </w:p>
          <w:p>
            <w:pPr>
              <w:pStyle w:val="18"/>
              <w:keepNext w:val="0"/>
              <w:keepLines w:val="0"/>
              <w:pageBreakBefore w:val="0"/>
              <w:widowControl w:val="0"/>
              <w:numPr>
                <w:ilvl w:val="0"/>
                <w:numId w:val="14"/>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保险（境外旅行险）等</w:t>
            </w:r>
          </w:p>
        </w:tc>
        <w:tc>
          <w:tcPr>
            <w:tcW w:w="2763" w:type="dxa"/>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69"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510"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埃及</w:t>
            </w:r>
          </w:p>
        </w:tc>
        <w:tc>
          <w:tcPr>
            <w:tcW w:w="636"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w:t>
            </w:r>
          </w:p>
        </w:tc>
        <w:tc>
          <w:tcPr>
            <w:tcW w:w="2333" w:type="dxa"/>
            <w:noWrap w:val="0"/>
            <w:vAlign w:val="center"/>
          </w:tcPr>
          <w:p>
            <w:pPr>
              <w:pStyle w:val="18"/>
              <w:keepNext w:val="0"/>
              <w:keepLines w:val="0"/>
              <w:pageBreakBefore w:val="0"/>
              <w:widowControl w:val="0"/>
              <w:numPr>
                <w:ilvl w:val="0"/>
                <w:numId w:val="15"/>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开罗-吉隆坡机票（经济舱）</w:t>
            </w:r>
          </w:p>
          <w:p>
            <w:pPr>
              <w:pStyle w:val="18"/>
              <w:keepNext w:val="0"/>
              <w:keepLines w:val="0"/>
              <w:pageBreakBefore w:val="0"/>
              <w:widowControl w:val="0"/>
              <w:numPr>
                <w:ilvl w:val="0"/>
                <w:numId w:val="15"/>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1辆15-22座中巴</w:t>
            </w:r>
          </w:p>
        </w:tc>
        <w:tc>
          <w:tcPr>
            <w:tcW w:w="2465" w:type="dxa"/>
            <w:noWrap w:val="0"/>
            <w:vAlign w:val="center"/>
          </w:tcPr>
          <w:p>
            <w:pPr>
              <w:pStyle w:val="18"/>
              <w:keepNext w:val="0"/>
              <w:keepLines w:val="0"/>
              <w:pageBreakBefore w:val="0"/>
              <w:widowControl w:val="0"/>
              <w:numPr>
                <w:ilvl w:val="0"/>
                <w:numId w:val="16"/>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酒店（3晚），1</w:t>
            </w:r>
            <w:r>
              <w:rPr>
                <w:rFonts w:hint="eastAsia" w:ascii="宋体" w:hAnsi="宋体" w:eastAsia="宋体" w:cs="宋体"/>
                <w:color w:val="auto"/>
                <w:sz w:val="21"/>
                <w:szCs w:val="21"/>
                <w:vertAlign w:val="baseline"/>
                <w:lang w:val="en-US" w:eastAsia="zh-CN"/>
              </w:rPr>
              <w:t>7</w:t>
            </w:r>
            <w:r>
              <w:rPr>
                <w:rFonts w:hint="eastAsia" w:ascii="宋体" w:hAnsi="宋体" w:eastAsia="宋体" w:cs="宋体"/>
                <w:color w:val="auto"/>
                <w:sz w:val="21"/>
                <w:szCs w:val="21"/>
                <w:vertAlign w:val="baseline"/>
                <w:lang w:eastAsia="zh-CN"/>
              </w:rPr>
              <w:t>0</w:t>
            </w:r>
            <w:r>
              <w:rPr>
                <w:rFonts w:hint="eastAsia" w:ascii="宋体" w:hAnsi="宋体" w:eastAsia="宋体" w:cs="宋体"/>
                <w:color w:val="auto"/>
                <w:sz w:val="21"/>
                <w:szCs w:val="21"/>
                <w:vertAlign w:val="baseline"/>
                <w:lang w:val="en-US" w:eastAsia="zh-CN"/>
              </w:rPr>
              <w:t>美</w:t>
            </w:r>
            <w:r>
              <w:rPr>
                <w:rFonts w:hint="eastAsia" w:ascii="宋体" w:hAnsi="宋体" w:eastAsia="宋体" w:cs="宋体"/>
                <w:color w:val="auto"/>
                <w:sz w:val="21"/>
                <w:szCs w:val="21"/>
                <w:vertAlign w:val="baseline"/>
                <w:lang w:eastAsia="zh-CN"/>
              </w:rPr>
              <w:t>元（1243.84</w:t>
            </w:r>
            <w:r>
              <w:rPr>
                <w:rFonts w:hint="eastAsia" w:ascii="宋体" w:hAnsi="宋体" w:eastAsia="宋体" w:cs="宋体"/>
                <w:color w:val="auto"/>
                <w:sz w:val="21"/>
                <w:szCs w:val="21"/>
                <w:vertAlign w:val="baseline"/>
                <w:lang w:val="en-US" w:eastAsia="zh-CN"/>
              </w:rPr>
              <w:t>人民币</w:t>
            </w:r>
            <w:r>
              <w:rPr>
                <w:rFonts w:hint="eastAsia" w:ascii="宋体" w:hAnsi="宋体" w:eastAsia="宋体" w:cs="宋体"/>
                <w:color w:val="auto"/>
                <w:sz w:val="21"/>
                <w:szCs w:val="21"/>
                <w:vertAlign w:val="baseline"/>
                <w:lang w:eastAsia="zh-CN"/>
              </w:rPr>
              <w:t>）/人</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eastAsia="zh-CN"/>
              </w:rPr>
              <w:t>天</w:t>
            </w:r>
          </w:p>
          <w:p>
            <w:pPr>
              <w:pStyle w:val="18"/>
              <w:keepNext w:val="0"/>
              <w:keepLines w:val="0"/>
              <w:pageBreakBefore w:val="0"/>
              <w:widowControl w:val="0"/>
              <w:numPr>
                <w:ilvl w:val="0"/>
                <w:numId w:val="16"/>
              </w:numPr>
              <w:kinsoku/>
              <w:wordWrap/>
              <w:overflowPunct/>
              <w:topLinePunct w:val="0"/>
              <w:autoSpaceDE/>
              <w:autoSpaceDN/>
              <w:bidi w:val="0"/>
              <w:adjustRightInd/>
              <w:snapToGrid/>
              <w:spacing w:before="0" w:beforeAutospacing="0" w:after="0" w:afterAutospacing="0" w:line="360" w:lineRule="exact"/>
              <w:ind w:left="0" w:leftChars="0" w:firstLine="0" w:firstLineChars="0"/>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膳食+公杂，85美元（621.92人民币）/人/天</w:t>
            </w:r>
          </w:p>
          <w:p>
            <w:pPr>
              <w:pStyle w:val="18"/>
              <w:keepNext w:val="0"/>
              <w:keepLines w:val="0"/>
              <w:pageBreakBefore w:val="0"/>
              <w:widowControl w:val="0"/>
              <w:numPr>
                <w:ilvl w:val="0"/>
                <w:numId w:val="16"/>
              </w:numPr>
              <w:kinsoku/>
              <w:wordWrap/>
              <w:overflowPunct/>
              <w:topLinePunct w:val="0"/>
              <w:autoSpaceDE/>
              <w:autoSpaceDN/>
              <w:bidi w:val="0"/>
              <w:adjustRightInd/>
              <w:snapToGrid/>
              <w:spacing w:before="0" w:beforeAutospacing="0" w:after="0" w:afterAutospacing="0" w:line="360" w:lineRule="exact"/>
              <w:ind w:left="0" w:leftChars="0" w:firstLine="0" w:firstLineChars="0"/>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val="en-US" w:eastAsia="zh-CN"/>
              </w:rPr>
              <w:t>保险（境外旅行险）等</w:t>
            </w:r>
          </w:p>
        </w:tc>
        <w:tc>
          <w:tcPr>
            <w:tcW w:w="2763" w:type="dxa"/>
            <w:noWrap w:val="0"/>
            <w:vAlign w:val="center"/>
          </w:tcPr>
          <w:p>
            <w:pPr>
              <w:pStyle w:val="18"/>
              <w:keepNext w:val="0"/>
              <w:keepLines w:val="0"/>
              <w:pageBreakBefore w:val="0"/>
              <w:widowControl w:val="0"/>
              <w:numPr>
                <w:ilvl w:val="0"/>
                <w:numId w:val="17"/>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val="en-US" w:eastAsia="zh-CN"/>
              </w:rPr>
              <w:t>邀请嘉宾、</w:t>
            </w:r>
            <w:r>
              <w:rPr>
                <w:rFonts w:hint="eastAsia" w:ascii="宋体" w:hAnsi="宋体" w:eastAsia="宋体" w:cs="宋体"/>
                <w:color w:val="auto"/>
                <w:sz w:val="21"/>
                <w:szCs w:val="21"/>
                <w:vertAlign w:val="baseline"/>
                <w:lang w:eastAsia="zh-CN"/>
              </w:rPr>
              <w:t>布展</w:t>
            </w:r>
            <w:r>
              <w:rPr>
                <w:rFonts w:hint="eastAsia" w:ascii="宋体" w:hAnsi="宋体" w:cs="宋体"/>
                <w:color w:val="auto"/>
                <w:sz w:val="21"/>
                <w:szCs w:val="21"/>
                <w:vertAlign w:val="baseline"/>
                <w:lang w:val="en-US" w:eastAsia="zh-CN"/>
              </w:rPr>
              <w:t>和撤展</w:t>
            </w:r>
            <w:r>
              <w:rPr>
                <w:rFonts w:hint="eastAsia" w:ascii="宋体" w:hAnsi="宋体" w:eastAsia="宋体" w:cs="宋体"/>
                <w:color w:val="auto"/>
                <w:sz w:val="21"/>
                <w:szCs w:val="21"/>
                <w:vertAlign w:val="baseline"/>
                <w:lang w:eastAsia="zh-CN"/>
              </w:rPr>
              <w:t>（</w:t>
            </w:r>
            <w:r>
              <w:rPr>
                <w:rFonts w:hint="eastAsia" w:ascii="宋体" w:hAnsi="宋体" w:eastAsia="宋体" w:cs="宋体"/>
                <w:color w:val="auto"/>
                <w:sz w:val="21"/>
                <w:szCs w:val="21"/>
                <w:vertAlign w:val="baseline"/>
                <w:lang w:val="en-US" w:eastAsia="zh-CN"/>
              </w:rPr>
              <w:t>时长为2个日历日内，</w:t>
            </w:r>
            <w:r>
              <w:rPr>
                <w:rFonts w:hint="eastAsia" w:ascii="宋体" w:hAnsi="宋体" w:eastAsia="宋体" w:cs="宋体"/>
                <w:color w:val="auto"/>
                <w:sz w:val="21"/>
                <w:szCs w:val="21"/>
                <w:vertAlign w:val="baseline"/>
                <w:lang w:eastAsia="zh-CN"/>
              </w:rPr>
              <w:t>约50份展品）</w:t>
            </w:r>
          </w:p>
          <w:p>
            <w:pPr>
              <w:pStyle w:val="18"/>
              <w:keepNext w:val="0"/>
              <w:keepLines w:val="0"/>
              <w:pageBreakBefore w:val="0"/>
              <w:widowControl w:val="0"/>
              <w:numPr>
                <w:ilvl w:val="0"/>
                <w:numId w:val="17"/>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场地租赁（能容纳200人）</w:t>
            </w:r>
          </w:p>
          <w:p>
            <w:pPr>
              <w:pStyle w:val="18"/>
              <w:keepNext w:val="0"/>
              <w:keepLines w:val="0"/>
              <w:pageBreakBefore w:val="0"/>
              <w:widowControl w:val="0"/>
              <w:numPr>
                <w:ilvl w:val="0"/>
                <w:numId w:val="17"/>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活动物料（</w:t>
            </w:r>
            <w:r>
              <w:rPr>
                <w:rFonts w:hint="eastAsia" w:ascii="宋体" w:hAnsi="宋体" w:cs="宋体"/>
                <w:color w:val="auto"/>
                <w:sz w:val="21"/>
                <w:szCs w:val="21"/>
                <w:vertAlign w:val="baseline"/>
                <w:lang w:val="en-US" w:eastAsia="zh-CN"/>
              </w:rPr>
              <w:t>LED租赁</w:t>
            </w:r>
            <w:r>
              <w:rPr>
                <w:rFonts w:hint="eastAsia" w:ascii="宋体" w:hAnsi="宋体" w:eastAsia="宋体" w:cs="宋体"/>
                <w:color w:val="auto"/>
                <w:sz w:val="21"/>
                <w:szCs w:val="21"/>
                <w:vertAlign w:val="baseline"/>
                <w:lang w:eastAsia="zh-CN"/>
              </w:rPr>
              <w:t>、</w:t>
            </w:r>
            <w:r>
              <w:rPr>
                <w:rFonts w:hint="eastAsia" w:ascii="宋体" w:hAnsi="宋体" w:cs="宋体"/>
                <w:color w:val="auto"/>
                <w:sz w:val="21"/>
                <w:szCs w:val="21"/>
                <w:vertAlign w:val="baseline"/>
                <w:lang w:val="en-US" w:eastAsia="zh-CN"/>
              </w:rPr>
              <w:t>灯光音响租赁、</w:t>
            </w:r>
            <w:r>
              <w:rPr>
                <w:rFonts w:hint="eastAsia" w:ascii="宋体" w:hAnsi="宋体" w:eastAsia="宋体" w:cs="宋体"/>
                <w:color w:val="auto"/>
                <w:sz w:val="21"/>
                <w:szCs w:val="21"/>
                <w:vertAlign w:val="baseline"/>
                <w:lang w:eastAsia="zh-CN"/>
              </w:rPr>
              <w:t>展架、指引牌等）</w:t>
            </w:r>
          </w:p>
          <w:p>
            <w:pPr>
              <w:pStyle w:val="18"/>
              <w:keepNext w:val="0"/>
              <w:keepLines w:val="0"/>
              <w:pageBreakBefore w:val="0"/>
              <w:widowControl w:val="0"/>
              <w:numPr>
                <w:ilvl w:val="0"/>
                <w:numId w:val="17"/>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配套服务（约200人的冷餐会）</w:t>
            </w:r>
          </w:p>
          <w:p>
            <w:pPr>
              <w:pStyle w:val="18"/>
              <w:keepNext w:val="0"/>
              <w:keepLines w:val="0"/>
              <w:pageBreakBefore w:val="0"/>
              <w:widowControl w:val="0"/>
              <w:numPr>
                <w:ilvl w:val="0"/>
                <w:numId w:val="17"/>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广州-开罗的国际物流及当地物流等服务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69"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510"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马来西亚</w:t>
            </w:r>
          </w:p>
        </w:tc>
        <w:tc>
          <w:tcPr>
            <w:tcW w:w="636" w:type="dxa"/>
            <w:noWrap w:val="0"/>
            <w:vAlign w:val="center"/>
          </w:tcPr>
          <w:p>
            <w:pPr>
              <w:pStyle w:val="18"/>
              <w:keepNext w:val="0"/>
              <w:keepLines w:val="0"/>
              <w:pageBreakBefore w:val="0"/>
              <w:kinsoku/>
              <w:overflowPunct/>
              <w:topLinePunct w:val="0"/>
              <w:bidi w:val="0"/>
              <w:snapToGrid/>
              <w:spacing w:before="0" w:beforeAutospacing="0" w:after="0" w:afterAutospacing="0" w:line="240" w:lineRule="auto"/>
              <w:jc w:val="center"/>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6</w:t>
            </w:r>
          </w:p>
        </w:tc>
        <w:tc>
          <w:tcPr>
            <w:tcW w:w="2333" w:type="dxa"/>
            <w:noWrap w:val="0"/>
            <w:vAlign w:val="center"/>
          </w:tcPr>
          <w:p>
            <w:pPr>
              <w:pStyle w:val="18"/>
              <w:keepNext w:val="0"/>
              <w:keepLines w:val="0"/>
              <w:pageBreakBefore w:val="0"/>
              <w:widowControl w:val="0"/>
              <w:numPr>
                <w:ilvl w:val="0"/>
                <w:numId w:val="18"/>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吉隆坡-广州机票（经济舱）</w:t>
            </w:r>
          </w:p>
          <w:p>
            <w:pPr>
              <w:pStyle w:val="18"/>
              <w:keepNext w:val="0"/>
              <w:keepLines w:val="0"/>
              <w:pageBreakBefore w:val="0"/>
              <w:widowControl w:val="0"/>
              <w:numPr>
                <w:ilvl w:val="0"/>
                <w:numId w:val="18"/>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1辆15-22座中巴</w:t>
            </w:r>
          </w:p>
        </w:tc>
        <w:tc>
          <w:tcPr>
            <w:tcW w:w="2465" w:type="dxa"/>
            <w:noWrap w:val="0"/>
            <w:vAlign w:val="center"/>
          </w:tcPr>
          <w:p>
            <w:pPr>
              <w:pStyle w:val="18"/>
              <w:keepNext w:val="0"/>
              <w:keepLines w:val="0"/>
              <w:pageBreakBefore w:val="0"/>
              <w:widowControl w:val="0"/>
              <w:numPr>
                <w:ilvl w:val="0"/>
                <w:numId w:val="19"/>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酒店（2晚），110美元（804.84人民币）/人/天</w:t>
            </w:r>
          </w:p>
          <w:p>
            <w:pPr>
              <w:pStyle w:val="18"/>
              <w:keepNext w:val="0"/>
              <w:keepLines w:val="0"/>
              <w:pageBreakBefore w:val="0"/>
              <w:widowControl w:val="0"/>
              <w:numPr>
                <w:ilvl w:val="0"/>
                <w:numId w:val="19"/>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膳食+公杂，85美元（621.92）/人/天</w:t>
            </w:r>
          </w:p>
          <w:p>
            <w:pPr>
              <w:pStyle w:val="18"/>
              <w:keepNext w:val="0"/>
              <w:keepLines w:val="0"/>
              <w:pageBreakBefore w:val="0"/>
              <w:widowControl w:val="0"/>
              <w:numPr>
                <w:ilvl w:val="0"/>
                <w:numId w:val="19"/>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保险（境外旅行险）等</w:t>
            </w:r>
          </w:p>
        </w:tc>
        <w:tc>
          <w:tcPr>
            <w:tcW w:w="2763" w:type="dxa"/>
            <w:noWrap w:val="0"/>
            <w:vAlign w:val="center"/>
          </w:tcPr>
          <w:p>
            <w:pPr>
              <w:pStyle w:val="18"/>
              <w:keepNext w:val="0"/>
              <w:keepLines w:val="0"/>
              <w:pageBreakBefore w:val="0"/>
              <w:widowControl w:val="0"/>
              <w:numPr>
                <w:ilvl w:val="0"/>
                <w:numId w:val="20"/>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邀请嘉宾、</w:t>
            </w:r>
            <w:r>
              <w:rPr>
                <w:rFonts w:hint="eastAsia" w:ascii="宋体" w:hAnsi="宋体" w:eastAsia="宋体" w:cs="宋体"/>
                <w:color w:val="auto"/>
                <w:sz w:val="21"/>
                <w:szCs w:val="21"/>
                <w:vertAlign w:val="baseline"/>
                <w:lang w:val="en-US" w:eastAsia="zh-CN"/>
              </w:rPr>
              <w:t>布展</w:t>
            </w:r>
            <w:r>
              <w:rPr>
                <w:rFonts w:hint="eastAsia" w:ascii="宋体" w:hAnsi="宋体" w:cs="宋体"/>
                <w:color w:val="auto"/>
                <w:sz w:val="21"/>
                <w:szCs w:val="21"/>
                <w:vertAlign w:val="baseline"/>
                <w:lang w:val="en-US" w:eastAsia="zh-CN"/>
              </w:rPr>
              <w:t>和撤展</w:t>
            </w:r>
            <w:r>
              <w:rPr>
                <w:rFonts w:hint="eastAsia" w:ascii="宋体" w:hAnsi="宋体" w:eastAsia="宋体" w:cs="宋体"/>
                <w:color w:val="auto"/>
                <w:sz w:val="21"/>
                <w:szCs w:val="21"/>
                <w:vertAlign w:val="baseline"/>
                <w:lang w:val="en-US" w:eastAsia="zh-CN"/>
              </w:rPr>
              <w:t>（约50份展品）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r>
              <w:rPr>
                <w:rFonts w:hint="eastAsia" w:ascii="宋体" w:hAnsi="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val="en-US" w:eastAsia="zh-CN"/>
              </w:rPr>
              <w:t>活动物料（背景板、展架、指引牌等）</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 xml:space="preserve">3. </w:t>
            </w:r>
            <w:r>
              <w:rPr>
                <w:rFonts w:hint="eastAsia" w:ascii="宋体" w:hAnsi="宋体" w:eastAsia="宋体" w:cs="宋体"/>
                <w:color w:val="auto"/>
                <w:sz w:val="21"/>
                <w:szCs w:val="21"/>
                <w:vertAlign w:val="baseline"/>
                <w:lang w:val="en-US" w:eastAsia="zh-CN"/>
              </w:rPr>
              <w:t>广州-吉隆坡的国际物流及当地物流等服务</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2、服务期间，</w:t>
      </w:r>
      <w:r>
        <w:rPr>
          <w:rFonts w:hint="eastAsia" w:ascii="宋体" w:hAnsi="宋体" w:cs="宋体"/>
          <w:sz w:val="21"/>
          <w:szCs w:val="21"/>
          <w:highlight w:val="none"/>
          <w:lang w:val="en-US" w:eastAsia="zh-CN"/>
        </w:rPr>
        <w:t>招标人</w:t>
      </w:r>
      <w:r>
        <w:rPr>
          <w:rFonts w:hint="eastAsia" w:ascii="宋体" w:hAnsi="宋体" w:eastAsia="宋体" w:cs="宋体"/>
          <w:sz w:val="21"/>
          <w:szCs w:val="21"/>
          <w:highlight w:val="none"/>
          <w:lang w:val="en-US" w:eastAsia="zh-CN"/>
        </w:rPr>
        <w:t>实际需求具体行程可能有变，</w:t>
      </w:r>
      <w:r>
        <w:rPr>
          <w:rFonts w:hint="eastAsia" w:ascii="宋体" w:hAnsi="宋体" w:cs="宋体"/>
          <w:sz w:val="21"/>
          <w:szCs w:val="21"/>
          <w:highlight w:val="none"/>
          <w:lang w:val="en-US" w:eastAsia="zh-CN"/>
        </w:rPr>
        <w:t>中标人须</w:t>
      </w:r>
      <w:r>
        <w:rPr>
          <w:rFonts w:hint="eastAsia" w:ascii="宋体" w:hAnsi="宋体" w:eastAsia="宋体" w:cs="宋体"/>
          <w:sz w:val="21"/>
          <w:szCs w:val="21"/>
          <w:highlight w:val="none"/>
          <w:lang w:val="en-US" w:eastAsia="zh-CN"/>
        </w:rPr>
        <w:t>按照招标人实际发生的行程制定项目规划方案、工作方案</w:t>
      </w:r>
      <w:r>
        <w:rPr>
          <w:rFonts w:hint="eastAsia" w:ascii="宋体" w:hAnsi="宋体" w:cs="宋体"/>
          <w:sz w:val="21"/>
          <w:szCs w:val="21"/>
          <w:highlight w:val="none"/>
          <w:lang w:val="en-US" w:eastAsia="zh-CN"/>
        </w:rPr>
        <w:t>，并</w:t>
      </w:r>
      <w:r>
        <w:rPr>
          <w:rFonts w:hint="eastAsia" w:ascii="宋体" w:hAnsi="宋体" w:eastAsia="宋体" w:cs="宋体"/>
          <w:sz w:val="21"/>
          <w:szCs w:val="21"/>
          <w:highlight w:val="none"/>
          <w:lang w:val="en-US" w:eastAsia="zh-CN"/>
        </w:rPr>
        <w:t>提供服务。</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jc w:val="left"/>
        <w:textAlignment w:val="auto"/>
        <w:rPr>
          <w:rFonts w:hint="eastAsia" w:ascii="宋体" w:hAnsi="宋体" w:eastAsia="宋体" w:cs="宋体"/>
          <w:color w:val="111111"/>
          <w:sz w:val="21"/>
          <w:szCs w:val="21"/>
          <w:highlight w:val="white"/>
          <w:lang w:val="en-US" w:eastAsia="zh-CN"/>
        </w:rPr>
      </w:pPr>
      <w:r>
        <w:rPr>
          <w:rFonts w:hint="eastAsia" w:ascii="宋体" w:hAnsi="宋体" w:eastAsia="宋体" w:cs="宋体"/>
          <w:sz w:val="21"/>
          <w:szCs w:val="21"/>
          <w:highlight w:val="none"/>
          <w:lang w:val="en-US" w:eastAsia="zh-CN"/>
        </w:rPr>
        <w:t>3、本项目服务期为自合同生效之日起至合同全部权利义务履行完毕之日止。</w:t>
      </w:r>
    </w:p>
    <w:p>
      <w:pPr>
        <w:keepNext w:val="0"/>
        <w:keepLines w:val="0"/>
        <w:pageBreakBefore w:val="0"/>
        <w:widowControl w:val="0"/>
        <w:kinsoku/>
        <w:wordWrap/>
        <w:overflowPunct/>
        <w:topLinePunct w:val="0"/>
        <w:autoSpaceDE/>
        <w:autoSpaceDN/>
        <w:bidi w:val="0"/>
        <w:adjustRightInd/>
        <w:spacing w:beforeLines="0" w:afterLines="0" w:line="360" w:lineRule="auto"/>
        <w:ind w:firstLine="422" w:firstLineChars="200"/>
        <w:jc w:val="left"/>
        <w:textAlignment w:val="auto"/>
        <w:rPr>
          <w:rFonts w:hint="eastAsia" w:ascii="宋体" w:hAnsi="宋体" w:eastAsia="宋体" w:cs="宋体"/>
          <w:color w:val="111111"/>
          <w:sz w:val="21"/>
          <w:szCs w:val="21"/>
          <w:highlight w:val="white"/>
          <w:lang w:val="zh-CN"/>
        </w:rPr>
      </w:pPr>
      <w:r>
        <w:rPr>
          <w:rFonts w:hint="eastAsia" w:ascii="宋体" w:hAnsi="宋体" w:eastAsia="宋体" w:cs="宋体"/>
          <w:b/>
          <w:color w:val="111111"/>
          <w:sz w:val="21"/>
          <w:szCs w:val="21"/>
          <w:highlight w:val="white"/>
          <w:lang w:val="zh-CN"/>
        </w:rPr>
        <w:t>二、合作要求</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jc w:val="left"/>
        <w:textAlignment w:val="auto"/>
        <w:rPr>
          <w:rFonts w:hint="eastAsia" w:ascii="宋体" w:hAnsi="宋体" w:eastAsia="宋体" w:cs="宋体"/>
          <w:color w:val="111111"/>
          <w:sz w:val="21"/>
          <w:szCs w:val="21"/>
          <w:highlight w:val="white"/>
          <w:lang w:val="zh-CN"/>
        </w:rPr>
      </w:pPr>
      <w:r>
        <w:rPr>
          <w:rFonts w:hint="eastAsia" w:ascii="宋体" w:hAnsi="宋体" w:eastAsia="宋体" w:cs="宋体"/>
          <w:color w:val="111111"/>
          <w:sz w:val="21"/>
          <w:szCs w:val="21"/>
          <w:highlight w:val="white"/>
          <w:lang w:val="zh-CN"/>
        </w:rPr>
        <w:t>1、本项目采购内容为</w:t>
      </w:r>
      <w:r>
        <w:rPr>
          <w:rFonts w:hint="eastAsia" w:ascii="宋体" w:hAnsi="宋体" w:eastAsia="宋体" w:cs="宋体"/>
          <w:color w:val="111111"/>
          <w:sz w:val="21"/>
          <w:szCs w:val="21"/>
          <w:highlight w:val="white"/>
          <w:lang w:val="en-US" w:eastAsia="zh-CN"/>
        </w:rPr>
        <w:t>行程</w:t>
      </w:r>
      <w:r>
        <w:rPr>
          <w:rFonts w:hint="eastAsia" w:ascii="宋体" w:hAnsi="宋体" w:eastAsia="宋体" w:cs="宋体"/>
          <w:color w:val="111111"/>
          <w:sz w:val="21"/>
          <w:szCs w:val="21"/>
          <w:highlight w:val="white"/>
          <w:lang w:val="zh-CN"/>
        </w:rPr>
        <w:t>服务，选择1家供应商</w:t>
      </w:r>
      <w:r>
        <w:rPr>
          <w:rFonts w:hint="eastAsia" w:ascii="宋体" w:hAnsi="宋体" w:eastAsia="宋体" w:cs="宋体"/>
          <w:color w:val="111111"/>
          <w:sz w:val="21"/>
          <w:szCs w:val="21"/>
          <w:highlight w:val="white"/>
          <w:lang w:val="en-US" w:eastAsia="zh-CN"/>
        </w:rPr>
        <w:t>负责</w:t>
      </w:r>
      <w:r>
        <w:rPr>
          <w:rFonts w:hint="eastAsia" w:ascii="宋体" w:hAnsi="宋体" w:cs="宋体"/>
          <w:color w:val="111111"/>
          <w:sz w:val="21"/>
          <w:szCs w:val="21"/>
          <w:highlight w:val="white"/>
          <w:lang w:val="en-US" w:eastAsia="zh-CN"/>
        </w:rPr>
        <w:t>欧非亚</w:t>
      </w:r>
      <w:r>
        <w:rPr>
          <w:rFonts w:hint="eastAsia" w:ascii="宋体" w:hAnsi="宋体" w:eastAsia="宋体" w:cs="宋体"/>
          <w:color w:val="111111"/>
          <w:sz w:val="21"/>
          <w:szCs w:val="21"/>
          <w:highlight w:val="white"/>
          <w:lang w:val="en-US" w:eastAsia="zh-CN"/>
        </w:rPr>
        <w:t>三国</w:t>
      </w:r>
      <w:r>
        <w:rPr>
          <w:rFonts w:hint="eastAsia" w:ascii="宋体" w:hAnsi="宋体" w:cs="宋体"/>
          <w:color w:val="111111"/>
          <w:sz w:val="21"/>
          <w:szCs w:val="21"/>
          <w:highlight w:val="white"/>
          <w:lang w:val="en-US" w:eastAsia="zh-CN"/>
        </w:rPr>
        <w:t>交通、食宿</w:t>
      </w:r>
      <w:r>
        <w:rPr>
          <w:rFonts w:hint="eastAsia" w:ascii="宋体" w:hAnsi="宋体" w:eastAsia="宋体" w:cs="宋体"/>
          <w:color w:val="111111"/>
          <w:sz w:val="21"/>
          <w:szCs w:val="21"/>
          <w:highlight w:val="white"/>
          <w:lang w:val="en-US" w:eastAsia="zh-CN"/>
        </w:rPr>
        <w:t>安排</w:t>
      </w:r>
      <w:r>
        <w:rPr>
          <w:rFonts w:hint="eastAsia" w:ascii="宋体" w:hAnsi="宋体" w:eastAsia="宋体" w:cs="宋体"/>
          <w:color w:val="111111"/>
          <w:sz w:val="21"/>
          <w:szCs w:val="21"/>
          <w:highlight w:val="white"/>
          <w:lang w:val="zh-CN"/>
        </w:rPr>
        <w:t>等相关工作，接受</w:t>
      </w:r>
      <w:r>
        <w:rPr>
          <w:rFonts w:hint="eastAsia" w:ascii="宋体" w:hAnsi="宋体" w:cs="宋体"/>
          <w:color w:val="111111"/>
          <w:sz w:val="21"/>
          <w:szCs w:val="21"/>
          <w:highlight w:val="white"/>
          <w:lang w:val="en-US" w:eastAsia="zh-CN"/>
        </w:rPr>
        <w:t>招标人</w:t>
      </w:r>
      <w:r>
        <w:rPr>
          <w:rFonts w:hint="eastAsia" w:ascii="宋体" w:hAnsi="宋体" w:eastAsia="宋体" w:cs="宋体"/>
          <w:color w:val="111111"/>
          <w:sz w:val="21"/>
          <w:szCs w:val="21"/>
          <w:highlight w:val="white"/>
          <w:lang w:val="zh-CN"/>
        </w:rPr>
        <w:t>的工作监督检查，</w:t>
      </w:r>
      <w:r>
        <w:rPr>
          <w:rFonts w:hint="eastAsia" w:ascii="宋体" w:hAnsi="宋体" w:eastAsia="宋体" w:cs="宋体"/>
          <w:color w:val="111111"/>
          <w:sz w:val="21"/>
          <w:szCs w:val="21"/>
          <w:highlight w:val="white"/>
          <w:lang w:val="en-US" w:eastAsia="zh-CN"/>
        </w:rPr>
        <w:t>并做好预案</w:t>
      </w:r>
      <w:r>
        <w:rPr>
          <w:rFonts w:hint="eastAsia" w:ascii="宋体" w:hAnsi="宋体" w:eastAsia="宋体" w:cs="宋体"/>
          <w:color w:val="111111"/>
          <w:sz w:val="21"/>
          <w:szCs w:val="21"/>
          <w:highlight w:val="white"/>
          <w:lang w:val="zh-CN"/>
        </w:rPr>
        <w:t>。</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jc w:val="left"/>
        <w:textAlignment w:val="auto"/>
        <w:rPr>
          <w:rFonts w:hint="eastAsia" w:ascii="宋体" w:hAnsi="宋体" w:eastAsia="宋体" w:cs="宋体"/>
          <w:color w:val="111111"/>
          <w:sz w:val="21"/>
          <w:szCs w:val="21"/>
          <w:highlight w:val="white"/>
          <w:lang w:val="zh-CN"/>
        </w:rPr>
      </w:pPr>
      <w:r>
        <w:rPr>
          <w:rFonts w:hint="eastAsia" w:ascii="宋体" w:hAnsi="宋体" w:eastAsia="宋体" w:cs="宋体"/>
          <w:color w:val="111111"/>
          <w:sz w:val="21"/>
          <w:szCs w:val="21"/>
          <w:highlight w:val="white"/>
          <w:lang w:val="en-US" w:eastAsia="zh-CN"/>
        </w:rPr>
        <w:t>2、</w:t>
      </w:r>
      <w:r>
        <w:rPr>
          <w:rFonts w:hint="eastAsia" w:ascii="宋体" w:hAnsi="宋体" w:eastAsia="宋体" w:cs="宋体"/>
          <w:color w:val="111111"/>
          <w:sz w:val="21"/>
          <w:szCs w:val="21"/>
          <w:highlight w:val="white"/>
          <w:lang w:val="zh-CN"/>
        </w:rPr>
        <w:t>双方各确定合作负责人一名，负责双方日常事务的联络、推动、跟踪、落实和检查具体合作活动的开展、过程、信息交流等工作。</w:t>
      </w:r>
    </w:p>
    <w:p>
      <w:pPr>
        <w:keepNext w:val="0"/>
        <w:keepLines w:val="0"/>
        <w:pageBreakBefore w:val="0"/>
        <w:widowControl w:val="0"/>
        <w:kinsoku/>
        <w:wordWrap/>
        <w:overflowPunct/>
        <w:topLinePunct w:val="0"/>
        <w:autoSpaceDE/>
        <w:autoSpaceDN/>
        <w:bidi w:val="0"/>
        <w:adjustRightInd/>
        <w:spacing w:beforeLines="0" w:afterLines="0" w:line="360" w:lineRule="auto"/>
        <w:ind w:left="320" w:hanging="321"/>
        <w:textAlignment w:val="auto"/>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　　</w:t>
      </w:r>
      <w:r>
        <w:rPr>
          <w:rFonts w:hint="eastAsia" w:ascii="宋体" w:hAnsi="宋体" w:eastAsia="宋体" w:cs="宋体"/>
          <w:b/>
          <w:color w:val="auto"/>
          <w:sz w:val="21"/>
          <w:szCs w:val="21"/>
          <w:lang w:val="en-US" w:eastAsia="zh-CN"/>
        </w:rPr>
        <w:t>三</w:t>
      </w:r>
      <w:r>
        <w:rPr>
          <w:rFonts w:hint="eastAsia" w:ascii="宋体" w:hAnsi="宋体" w:eastAsia="宋体" w:cs="宋体"/>
          <w:b/>
          <w:color w:val="auto"/>
          <w:sz w:val="21"/>
          <w:szCs w:val="21"/>
          <w:lang w:val="zh-CN"/>
        </w:rPr>
        <w:t>、</w:t>
      </w:r>
      <w:r>
        <w:rPr>
          <w:rFonts w:hint="eastAsia" w:ascii="宋体" w:hAnsi="宋体" w:cs="宋体"/>
          <w:b/>
          <w:color w:val="auto"/>
          <w:sz w:val="21"/>
          <w:szCs w:val="21"/>
          <w:lang w:val="en-US" w:eastAsia="zh-CN"/>
        </w:rPr>
        <w:t>其他</w:t>
      </w:r>
      <w:r>
        <w:rPr>
          <w:rFonts w:hint="eastAsia" w:ascii="宋体" w:hAnsi="宋体" w:eastAsia="宋体" w:cs="宋体"/>
          <w:b/>
          <w:color w:val="auto"/>
          <w:sz w:val="21"/>
          <w:szCs w:val="21"/>
          <w:lang w:val="zh-CN"/>
        </w:rPr>
        <w:t>要求</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textAlignment w:val="auto"/>
        <w:rPr>
          <w:rFonts w:hint="eastAsia" w:ascii="宋体" w:hAnsi="宋体" w:eastAsia="宋体" w:cs="宋体"/>
          <w:sz w:val="21"/>
          <w:szCs w:val="21"/>
          <w:lang w:eastAsia="zh-CN"/>
        </w:rPr>
      </w:pPr>
      <w:r>
        <w:rPr>
          <w:rFonts w:hint="eastAsia" w:ascii="宋体" w:hAnsi="宋体" w:eastAsia="宋体" w:cs="宋体"/>
          <w:color w:val="111111"/>
          <w:sz w:val="21"/>
          <w:szCs w:val="21"/>
          <w:highlight w:val="white"/>
          <w:lang w:val="zh-CN"/>
        </w:rPr>
        <w:t>1、必须</w:t>
      </w:r>
      <w:r>
        <w:rPr>
          <w:rFonts w:hint="eastAsia" w:ascii="宋体" w:hAnsi="宋体" w:eastAsia="宋体" w:cs="宋体"/>
          <w:sz w:val="21"/>
          <w:szCs w:val="21"/>
        </w:rPr>
        <w:t>是具有独立承担民事责任能力的在中华人民共和国境内注册的法人或其他组织或自然人，提交有效的营业执照</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必须具有良好的商业信誉和健全的财务会计制度</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供应商应具有相关团队旅行或团队出行的服务</w:t>
      </w:r>
      <w:r>
        <w:rPr>
          <w:rFonts w:hint="eastAsia" w:ascii="宋体" w:hAnsi="宋体" w:eastAsia="宋体" w:cs="宋体"/>
          <w:sz w:val="21"/>
          <w:szCs w:val="21"/>
          <w:lang w:val="en-US" w:eastAsia="zh-CN"/>
        </w:rPr>
        <w:t>经验</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textAlignment w:val="auto"/>
        <w:rPr>
          <w:rFonts w:hint="eastAsia" w:ascii="宋体" w:hAnsi="宋体" w:eastAsia="宋体" w:cs="宋体"/>
          <w:color w:val="111111"/>
          <w:sz w:val="21"/>
          <w:szCs w:val="21"/>
          <w:highlight w:val="white"/>
          <w:lang w:val="zh-CN"/>
        </w:rPr>
      </w:pPr>
      <w:r>
        <w:rPr>
          <w:rFonts w:hint="eastAsia" w:ascii="宋体" w:hAnsi="宋体" w:eastAsia="宋体" w:cs="宋体"/>
          <w:color w:val="111111"/>
          <w:sz w:val="21"/>
          <w:szCs w:val="21"/>
          <w:highlight w:val="white"/>
          <w:lang w:val="en-US" w:eastAsia="zh-CN"/>
        </w:rPr>
        <w:t>4、</w:t>
      </w:r>
      <w:r>
        <w:rPr>
          <w:rFonts w:hint="eastAsia" w:ascii="宋体" w:hAnsi="宋体" w:eastAsia="宋体" w:cs="宋体"/>
          <w:color w:val="111111"/>
          <w:sz w:val="21"/>
          <w:szCs w:val="21"/>
          <w:highlight w:val="white"/>
          <w:lang w:val="zh-CN"/>
        </w:rPr>
        <w:t>能出具正规增值税发票。</w:t>
      </w:r>
    </w:p>
    <w:p>
      <w:pPr>
        <w:keepNext w:val="0"/>
        <w:keepLines w:val="0"/>
        <w:pageBreakBefore w:val="0"/>
        <w:widowControl w:val="0"/>
        <w:kinsoku/>
        <w:wordWrap/>
        <w:overflowPunct/>
        <w:topLinePunct w:val="0"/>
        <w:autoSpaceDE/>
        <w:autoSpaceDN/>
        <w:bidi w:val="0"/>
        <w:adjustRightInd/>
        <w:spacing w:beforeLines="0" w:afterLines="0" w:line="360" w:lineRule="auto"/>
        <w:ind w:firstLine="640"/>
        <w:textAlignment w:val="auto"/>
        <w:rPr>
          <w:rFonts w:hint="eastAsia" w:ascii="宋体" w:hAnsi="宋体" w:eastAsia="宋体" w:cs="宋体"/>
          <w:color w:val="111111"/>
          <w:sz w:val="21"/>
          <w:szCs w:val="21"/>
          <w:highlight w:val="white"/>
          <w:lang w:val="en-US" w:eastAsia="zh-CN"/>
        </w:rPr>
      </w:pPr>
      <w:r>
        <w:rPr>
          <w:rFonts w:hint="eastAsia" w:ascii="宋体" w:hAnsi="宋体" w:eastAsia="宋体" w:cs="宋体"/>
          <w:color w:val="111111"/>
          <w:sz w:val="21"/>
          <w:szCs w:val="21"/>
          <w:highlight w:val="white"/>
          <w:lang w:val="en-US" w:eastAsia="zh-CN"/>
        </w:rPr>
        <w:t>5、</w:t>
      </w:r>
      <w:r>
        <w:rPr>
          <w:rFonts w:hint="eastAsia" w:ascii="宋体" w:hAnsi="宋体" w:eastAsia="宋体" w:cs="宋体"/>
          <w:color w:val="111111"/>
          <w:sz w:val="21"/>
          <w:szCs w:val="21"/>
          <w:highlight w:val="white"/>
          <w:lang w:val="zh-CN" w:eastAsia="zh-CN"/>
        </w:rPr>
        <w:t>供应商应及时响应</w:t>
      </w:r>
      <w:r>
        <w:rPr>
          <w:rFonts w:hint="eastAsia" w:ascii="宋体" w:hAnsi="宋体" w:cs="宋体"/>
          <w:color w:val="111111"/>
          <w:sz w:val="21"/>
          <w:szCs w:val="21"/>
          <w:highlight w:val="white"/>
          <w:lang w:val="en-US" w:eastAsia="zh-CN"/>
        </w:rPr>
        <w:t>招标</w:t>
      </w:r>
      <w:r>
        <w:rPr>
          <w:rFonts w:hint="eastAsia" w:ascii="宋体" w:hAnsi="宋体" w:eastAsia="宋体" w:cs="宋体"/>
          <w:color w:val="111111"/>
          <w:sz w:val="21"/>
          <w:szCs w:val="21"/>
          <w:highlight w:val="white"/>
          <w:lang w:val="zh-CN" w:eastAsia="zh-CN"/>
        </w:rPr>
        <w:t>人需求，</w:t>
      </w:r>
      <w:r>
        <w:rPr>
          <w:rFonts w:hint="eastAsia" w:ascii="宋体" w:hAnsi="宋体" w:cs="宋体"/>
          <w:color w:val="111111"/>
          <w:sz w:val="21"/>
          <w:szCs w:val="21"/>
          <w:highlight w:val="white"/>
          <w:lang w:val="en-US" w:eastAsia="zh-CN"/>
        </w:rPr>
        <w:t>中标</w:t>
      </w:r>
      <w:r>
        <w:rPr>
          <w:rFonts w:hint="eastAsia" w:ascii="宋体" w:hAnsi="宋体" w:eastAsia="宋体" w:cs="宋体"/>
          <w:color w:val="111111"/>
          <w:sz w:val="21"/>
          <w:szCs w:val="21"/>
          <w:highlight w:val="white"/>
          <w:lang w:val="zh-CN" w:eastAsia="zh-CN"/>
        </w:rPr>
        <w:t>后在</w:t>
      </w:r>
      <w:r>
        <w:rPr>
          <w:rFonts w:hint="eastAsia" w:ascii="宋体" w:hAnsi="宋体" w:cs="宋体"/>
          <w:color w:val="111111"/>
          <w:sz w:val="21"/>
          <w:szCs w:val="21"/>
          <w:highlight w:val="white"/>
          <w:lang w:val="en-US" w:eastAsia="zh-CN"/>
        </w:rPr>
        <w:t>招标</w:t>
      </w:r>
      <w:r>
        <w:rPr>
          <w:rFonts w:hint="eastAsia" w:ascii="宋体" w:hAnsi="宋体" w:eastAsia="宋体" w:cs="宋体"/>
          <w:color w:val="111111"/>
          <w:sz w:val="21"/>
          <w:szCs w:val="21"/>
          <w:highlight w:val="white"/>
          <w:lang w:val="zh-CN" w:eastAsia="zh-CN"/>
        </w:rPr>
        <w:t>人指定地点（广州市）派驻服务人员提供服务。</w:t>
      </w:r>
      <w:r>
        <w:rPr>
          <w:rFonts w:hint="eastAsia" w:ascii="宋体" w:hAnsi="宋体" w:eastAsia="宋体" w:cs="宋体"/>
          <w:color w:val="111111"/>
          <w:sz w:val="21"/>
          <w:szCs w:val="21"/>
          <w:highlight w:val="white"/>
          <w:lang w:val="zh-CN" w:eastAsia="zh-CN"/>
        </w:rPr>
        <w:br w:type="page"/>
      </w:r>
    </w:p>
    <w:p>
      <w:pPr>
        <w:pStyle w:val="85"/>
        <w:spacing w:before="240" w:after="120"/>
        <w:rPr>
          <w:rFonts w:ascii="宋体" w:hAnsi="宋体" w:eastAsia="宋体" w:cs="宋体"/>
          <w:b/>
          <w:bCs w:val="0"/>
          <w:kern w:val="0"/>
          <w:sz w:val="28"/>
          <w:szCs w:val="28"/>
        </w:rPr>
      </w:pPr>
      <w:bookmarkStart w:id="493" w:name="_Toc714"/>
      <w:r>
        <w:rPr>
          <w:rFonts w:hint="eastAsia" w:ascii="宋体" w:hAnsi="宋体" w:eastAsia="宋体" w:cs="宋体"/>
          <w:b/>
          <w:bCs w:val="0"/>
          <w:kern w:val="0"/>
          <w:sz w:val="28"/>
          <w:szCs w:val="28"/>
        </w:rPr>
        <w:t>第六章  投标文件格式</w:t>
      </w:r>
      <w:bookmarkEnd w:id="478"/>
      <w:bookmarkEnd w:id="479"/>
      <w:bookmarkEnd w:id="480"/>
      <w:bookmarkEnd w:id="483"/>
      <w:bookmarkEnd w:id="484"/>
      <w:bookmarkEnd w:id="485"/>
      <w:bookmarkEnd w:id="486"/>
      <w:bookmarkEnd w:id="493"/>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86"/>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86"/>
        <w:numPr>
          <w:ilvl w:val="0"/>
          <w:numId w:val="2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86"/>
        <w:numPr>
          <w:ilvl w:val="0"/>
          <w:numId w:val="21"/>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86"/>
        <w:numPr>
          <w:ilvl w:val="0"/>
          <w:numId w:val="21"/>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86"/>
        <w:numPr>
          <w:ilvl w:val="255"/>
          <w:numId w:val="0"/>
        </w:numPr>
        <w:tabs>
          <w:tab w:val="left" w:pos="567"/>
        </w:tabs>
        <w:adjustRightInd w:val="0"/>
        <w:snapToGrid w:val="0"/>
        <w:spacing w:line="440" w:lineRule="exact"/>
        <w:rPr>
          <w:rFonts w:ascii="宋体" w:hAnsi="宋体" w:cs="宋体"/>
          <w:b/>
          <w:szCs w:val="21"/>
        </w:rPr>
      </w:pPr>
    </w:p>
    <w:p>
      <w:pPr>
        <w:pStyle w:val="86"/>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86"/>
        <w:numPr>
          <w:ilvl w:val="0"/>
          <w:numId w:val="2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86"/>
        <w:numPr>
          <w:ilvl w:val="0"/>
          <w:numId w:val="2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86"/>
        <w:numPr>
          <w:ilvl w:val="0"/>
          <w:numId w:val="2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86"/>
        <w:numPr>
          <w:ilvl w:val="0"/>
          <w:numId w:val="2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tabs>
          <w:tab w:val="left" w:pos="588"/>
        </w:tabs>
        <w:snapToGrid w:val="0"/>
        <w:spacing w:before="120" w:after="120" w:line="440" w:lineRule="exact"/>
        <w:ind w:left="425"/>
        <w:jc w:val="left"/>
        <w:rPr>
          <w:rFonts w:ascii="宋体" w:hAnsi="宋体" w:cs="宋体"/>
          <w:sz w:val="24"/>
          <w:szCs w:val="24"/>
        </w:rPr>
      </w:pPr>
      <w:bookmarkStart w:id="494" w:name="_Toc9018"/>
      <w:bookmarkStart w:id="495" w:name="_Toc19267"/>
      <w:bookmarkStart w:id="496" w:name="_Toc56432230"/>
      <w:bookmarkStart w:id="497" w:name="_Toc22540"/>
      <w:bookmarkStart w:id="498" w:name="_Toc299"/>
      <w:bookmarkStart w:id="499" w:name="_Toc1651894"/>
      <w:bookmarkStart w:id="500" w:name="_Toc475472670"/>
      <w:r>
        <w:rPr>
          <w:rFonts w:hint="eastAsia" w:ascii="宋体" w:hAnsi="宋体" w:cs="宋体"/>
          <w:sz w:val="24"/>
          <w:szCs w:val="24"/>
        </w:rPr>
        <w:t>第一分册</w:t>
      </w:r>
      <w:bookmarkEnd w:id="494"/>
      <w:bookmarkEnd w:id="495"/>
      <w:bookmarkEnd w:id="496"/>
      <w:bookmarkEnd w:id="497"/>
      <w:bookmarkEnd w:id="498"/>
      <w:bookmarkEnd w:id="499"/>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01" w:name="_Toc1651895"/>
      <w:bookmarkStart w:id="502" w:name="_Toc24350"/>
      <w:bookmarkStart w:id="503" w:name="_Toc56432231"/>
      <w:bookmarkStart w:id="504" w:name="_Toc30257"/>
      <w:bookmarkStart w:id="505" w:name="_Toc1284"/>
      <w:bookmarkStart w:id="506" w:name="_Toc32127"/>
      <w:r>
        <w:rPr>
          <w:rFonts w:hint="eastAsia" w:ascii="宋体" w:hAnsi="宋体" w:cs="宋体"/>
          <w:sz w:val="24"/>
          <w:szCs w:val="24"/>
        </w:rPr>
        <w:t>商务、技术投标文件封面</w:t>
      </w:r>
      <w:bookmarkEnd w:id="500"/>
      <w:bookmarkEnd w:id="501"/>
      <w:bookmarkEnd w:id="502"/>
      <w:bookmarkEnd w:id="503"/>
      <w:bookmarkEnd w:id="504"/>
      <w:bookmarkEnd w:id="505"/>
      <w:bookmarkEnd w:id="506"/>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5"/>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07" w:name="_Toc447265603"/>
      <w:bookmarkStart w:id="508" w:name="_Toc9651"/>
      <w:bookmarkStart w:id="509" w:name="_Toc1651896"/>
      <w:bookmarkStart w:id="510" w:name="_Toc56432232"/>
      <w:bookmarkStart w:id="511" w:name="_Toc27127"/>
      <w:bookmarkStart w:id="512" w:name="_Toc27545"/>
      <w:bookmarkStart w:id="513" w:name="_Toc28380"/>
      <w:bookmarkStart w:id="514" w:name="_Toc438052118"/>
      <w:bookmarkStart w:id="515" w:name="_Toc447265317"/>
      <w:bookmarkStart w:id="516" w:name="_Toc475472671"/>
      <w:r>
        <w:rPr>
          <w:rFonts w:hint="eastAsia" w:ascii="宋体" w:hAnsi="宋体" w:cs="宋体"/>
          <w:sz w:val="24"/>
          <w:szCs w:val="24"/>
        </w:rPr>
        <w:t>评审索引表</w:t>
      </w:r>
      <w:bookmarkEnd w:id="507"/>
      <w:bookmarkEnd w:id="508"/>
      <w:bookmarkEnd w:id="509"/>
      <w:bookmarkEnd w:id="510"/>
      <w:bookmarkEnd w:id="511"/>
      <w:bookmarkEnd w:id="512"/>
      <w:bookmarkEnd w:id="513"/>
      <w:bookmarkEnd w:id="514"/>
      <w:bookmarkEnd w:id="515"/>
      <w:bookmarkEnd w:id="516"/>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1"/>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1"/>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63"/>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3"/>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3"/>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3"/>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1"/>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4"/>
        <w:ind w:firstLine="0"/>
        <w:rPr>
          <w:rFonts w:ascii="宋体" w:hAnsi="宋体" w:eastAsia="宋体" w:cs="宋体"/>
          <w:kern w:val="2"/>
          <w:sz w:val="21"/>
          <w:szCs w:val="24"/>
        </w:rPr>
      </w:pP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17" w:name="_Toc25766"/>
      <w:bookmarkStart w:id="518" w:name="_Toc5234"/>
      <w:bookmarkStart w:id="519" w:name="_Toc56432233"/>
      <w:bookmarkStart w:id="520" w:name="_Toc27702"/>
      <w:bookmarkStart w:id="521" w:name="_Toc9656"/>
      <w:r>
        <w:rPr>
          <w:rFonts w:hint="eastAsia" w:ascii="宋体" w:hAnsi="宋体" w:cs="宋体"/>
          <w:sz w:val="24"/>
          <w:szCs w:val="24"/>
        </w:rPr>
        <w:t>投标函</w:t>
      </w:r>
      <w:bookmarkEnd w:id="517"/>
      <w:bookmarkEnd w:id="518"/>
      <w:bookmarkEnd w:id="519"/>
      <w:bookmarkEnd w:id="520"/>
      <w:bookmarkEnd w:id="521"/>
    </w:p>
    <w:p>
      <w:pPr>
        <w:pStyle w:val="86"/>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lang w:eastAsia="zh-CN"/>
        </w:rPr>
        <w:t>广东南方网络信息科技有限公司</w:t>
      </w:r>
      <w:r>
        <w:rPr>
          <w:rFonts w:hint="eastAsia" w:ascii="宋体" w:hAnsi="宋体" w:cs="宋体"/>
          <w:sz w:val="20"/>
          <w:szCs w:val="22"/>
          <w:u w:val="single"/>
        </w:rPr>
        <w:t>[招标人名称]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赴欧非亚三国交流活动行程服务项目</w:t>
      </w:r>
      <w:r>
        <w:rPr>
          <w:rFonts w:hint="eastAsia" w:ascii="宋体" w:hAnsi="宋体" w:cs="宋体"/>
          <w:sz w:val="20"/>
          <w:szCs w:val="20"/>
        </w:rPr>
        <w:t>（招标代理编号：</w:t>
      </w:r>
      <w:r>
        <w:rPr>
          <w:rFonts w:hint="eastAsia" w:ascii="宋体" w:hAnsi="宋体" w:cs="宋体"/>
          <w:sz w:val="20"/>
          <w:szCs w:val="20"/>
          <w:u w:val="single"/>
          <w:lang w:eastAsia="zh-CN"/>
        </w:rPr>
        <w:t>WJS-202310240085</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86"/>
        <w:numPr>
          <w:ilvl w:val="3"/>
          <w:numId w:val="24"/>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86"/>
        <w:numPr>
          <w:ilvl w:val="0"/>
          <w:numId w:val="25"/>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86"/>
        <w:numPr>
          <w:ilvl w:val="0"/>
          <w:numId w:val="25"/>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86"/>
        <w:numPr>
          <w:ilvl w:val="0"/>
          <w:numId w:val="25"/>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86"/>
        <w:numPr>
          <w:ilvl w:val="0"/>
          <w:numId w:val="25"/>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86"/>
        <w:numPr>
          <w:ilvl w:val="0"/>
          <w:numId w:val="25"/>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86"/>
        <w:numPr>
          <w:ilvl w:val="0"/>
          <w:numId w:val="25"/>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86"/>
        <w:numPr>
          <w:ilvl w:val="3"/>
          <w:numId w:val="24"/>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86"/>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86"/>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18"/>
        <w:rPr>
          <w:rFonts w:ascii="宋体" w:hAnsi="宋体" w:cs="宋体"/>
          <w:sz w:val="20"/>
          <w:szCs w:val="22"/>
        </w:rPr>
      </w:pPr>
    </w:p>
    <w:p>
      <w:pPr>
        <w:pStyle w:val="39"/>
        <w:framePr w:wrap="around"/>
        <w:rPr>
          <w:rFonts w:ascii="宋体" w:hAnsi="宋体" w:eastAsia="宋体" w:cs="宋体"/>
          <w:color w:val="auto"/>
        </w:rPr>
      </w:pPr>
    </w:p>
    <w:p>
      <w:pPr>
        <w:rPr>
          <w:rFonts w:ascii="宋体" w:hAnsi="宋体" w:cs="宋体"/>
          <w:sz w:val="24"/>
        </w:rPr>
      </w:pPr>
      <w:bookmarkStart w:id="522" w:name="_Toc29078"/>
      <w:bookmarkStart w:id="523" w:name="_Toc56432234"/>
      <w:bookmarkStart w:id="524" w:name="_Toc28376"/>
      <w:bookmarkStart w:id="525" w:name="_Toc475472674"/>
      <w:bookmarkStart w:id="526" w:name="_Toc1651899"/>
      <w:bookmarkStart w:id="527" w:name="_Toc11519"/>
      <w:r>
        <w:rPr>
          <w:rFonts w:hint="eastAsia" w:ascii="宋体" w:hAnsi="宋体" w:cs="宋体"/>
          <w:sz w:val="24"/>
        </w:rPr>
        <w:br w:type="page"/>
      </w: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28" w:name="_Toc13360"/>
      <w:r>
        <w:rPr>
          <w:rFonts w:hint="eastAsia" w:ascii="宋体" w:hAnsi="宋体" w:cs="宋体"/>
          <w:sz w:val="24"/>
          <w:szCs w:val="24"/>
        </w:rPr>
        <w:t>法定代表人（负责人）身份证明</w:t>
      </w:r>
      <w:bookmarkEnd w:id="522"/>
      <w:bookmarkEnd w:id="523"/>
      <w:bookmarkEnd w:id="524"/>
      <w:bookmarkEnd w:id="525"/>
      <w:bookmarkEnd w:id="526"/>
      <w:bookmarkEnd w:id="527"/>
      <w:bookmarkEnd w:id="528"/>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3"/>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529" w:name="_Toc5243"/>
      <w:bookmarkStart w:id="530" w:name="_Toc1651900"/>
      <w:bookmarkStart w:id="531" w:name="_Toc475472675"/>
      <w:bookmarkStart w:id="532" w:name="_Toc28517"/>
      <w:bookmarkStart w:id="533" w:name="_Toc29191"/>
      <w:bookmarkStart w:id="534" w:name="_Toc56432235"/>
      <w:bookmarkStart w:id="535" w:name="_Toc438052122"/>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36" w:name="_Toc31183"/>
      <w:r>
        <w:rPr>
          <w:rFonts w:hint="eastAsia" w:ascii="宋体" w:hAnsi="宋体" w:cs="宋体"/>
          <w:sz w:val="24"/>
          <w:szCs w:val="24"/>
        </w:rPr>
        <w:t>法定代表人（负责人）授权委托书</w:t>
      </w:r>
      <w:bookmarkEnd w:id="529"/>
      <w:bookmarkEnd w:id="530"/>
      <w:bookmarkEnd w:id="531"/>
      <w:bookmarkEnd w:id="532"/>
      <w:bookmarkEnd w:id="533"/>
      <w:bookmarkEnd w:id="534"/>
      <w:bookmarkEnd w:id="535"/>
      <w:bookmarkEnd w:id="536"/>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18"/>
        <w:rPr>
          <w:rFonts w:ascii="宋体" w:hAnsi="宋体" w:cs="宋体"/>
          <w:bCs/>
          <w:szCs w:val="21"/>
        </w:rPr>
      </w:pPr>
    </w:p>
    <w:p>
      <w:pPr>
        <w:pStyle w:val="39"/>
        <w:framePr w:wrap="around"/>
        <w:rPr>
          <w:rFonts w:ascii="宋体" w:hAnsi="宋体" w:eastAsia="宋体" w:cs="宋体"/>
          <w:color w:val="auto"/>
        </w:rPr>
      </w:pPr>
    </w:p>
    <w:p>
      <w:pPr>
        <w:pStyle w:val="33"/>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37" w:name="_Toc1651901"/>
      <w:bookmarkStart w:id="538" w:name="_Toc30915"/>
      <w:bookmarkStart w:id="539" w:name="_Toc56432236"/>
      <w:bookmarkStart w:id="540" w:name="_Toc29502"/>
      <w:bookmarkStart w:id="541" w:name="_Toc5595"/>
      <w:bookmarkStart w:id="542" w:name="_Toc5310"/>
      <w:bookmarkStart w:id="543" w:name="_Toc475472676"/>
      <w:r>
        <w:rPr>
          <w:rFonts w:hint="eastAsia" w:ascii="宋体" w:hAnsi="宋体" w:cs="宋体"/>
          <w:sz w:val="24"/>
          <w:szCs w:val="24"/>
        </w:rPr>
        <w:t>资格审查资料</w:t>
      </w:r>
      <w:bookmarkEnd w:id="537"/>
      <w:bookmarkEnd w:id="538"/>
      <w:bookmarkEnd w:id="539"/>
      <w:bookmarkEnd w:id="540"/>
      <w:bookmarkEnd w:id="541"/>
      <w:bookmarkEnd w:id="542"/>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7"/>
        <w:numPr>
          <w:ilvl w:val="1"/>
          <w:numId w:val="23"/>
        </w:numPr>
        <w:tabs>
          <w:tab w:val="left" w:pos="588"/>
        </w:tabs>
        <w:snapToGrid w:val="0"/>
        <w:spacing w:before="120" w:after="120" w:line="440" w:lineRule="exact"/>
        <w:ind w:hanging="992"/>
        <w:jc w:val="left"/>
        <w:rPr>
          <w:rFonts w:ascii="宋体" w:hAnsi="宋体" w:cs="宋体"/>
          <w:sz w:val="24"/>
          <w:szCs w:val="24"/>
        </w:rPr>
      </w:pPr>
      <w:bookmarkStart w:id="544" w:name="_Toc334767003"/>
      <w:bookmarkStart w:id="545" w:name="_Toc32574"/>
      <w:bookmarkStart w:id="546" w:name="_Toc246996373"/>
      <w:bookmarkStart w:id="547" w:name="_Toc10795"/>
      <w:bookmarkStart w:id="548" w:name="_Toc179632828"/>
      <w:bookmarkStart w:id="549" w:name="_Toc326223618"/>
      <w:bookmarkStart w:id="550" w:name="_Toc27906"/>
      <w:bookmarkStart w:id="551" w:name="_Toc152042597"/>
      <w:bookmarkStart w:id="552" w:name="_Toc246997116"/>
      <w:bookmarkStart w:id="553" w:name="_Toc946"/>
      <w:bookmarkStart w:id="554" w:name="_Toc152045808"/>
      <w:bookmarkStart w:id="555" w:name="_Toc1651902"/>
      <w:bookmarkStart w:id="556" w:name="_Toc247085891"/>
      <w:bookmarkStart w:id="557" w:name="_Toc56432237"/>
      <w:bookmarkStart w:id="558" w:name="_Toc144974876"/>
      <w:bookmarkStart w:id="559" w:name="_Toc332188252"/>
      <w:r>
        <w:rPr>
          <w:rFonts w:hint="eastAsia" w:ascii="宋体" w:hAnsi="宋体" w:cs="宋体"/>
          <w:sz w:val="24"/>
          <w:szCs w:val="24"/>
        </w:rPr>
        <w:t>投标人基本情况表</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tbl>
      <w:tblPr>
        <w:tblStyle w:val="41"/>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86"/>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7"/>
        <w:numPr>
          <w:ilvl w:val="1"/>
          <w:numId w:val="23"/>
        </w:numPr>
        <w:tabs>
          <w:tab w:val="left" w:pos="588"/>
        </w:tabs>
        <w:snapToGrid w:val="0"/>
        <w:spacing w:before="120" w:after="120" w:line="440" w:lineRule="exact"/>
        <w:ind w:hanging="992"/>
        <w:jc w:val="left"/>
        <w:rPr>
          <w:rFonts w:ascii="宋体" w:hAnsi="宋体" w:cs="宋体"/>
          <w:sz w:val="24"/>
          <w:szCs w:val="24"/>
        </w:rPr>
      </w:pPr>
      <w:bookmarkStart w:id="560" w:name="_Toc11466"/>
      <w:bookmarkStart w:id="561" w:name="_Toc8061"/>
      <w:bookmarkStart w:id="562" w:name="_Toc8568"/>
      <w:bookmarkStart w:id="563" w:name="_Toc5638"/>
      <w:bookmarkStart w:id="564" w:name="_Toc56432238"/>
      <w:bookmarkStart w:id="565" w:name="_Toc34146941"/>
      <w:bookmarkStart w:id="566" w:name="_Toc1651903"/>
      <w:r>
        <w:rPr>
          <w:rFonts w:hint="eastAsia" w:ascii="宋体" w:hAnsi="宋体" w:cs="宋体"/>
          <w:sz w:val="24"/>
          <w:szCs w:val="24"/>
        </w:rPr>
        <w:t>资格要求材料</w:t>
      </w:r>
      <w:bookmarkEnd w:id="560"/>
      <w:bookmarkEnd w:id="561"/>
      <w:bookmarkEnd w:id="562"/>
      <w:bookmarkEnd w:id="563"/>
      <w:bookmarkEnd w:id="564"/>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86"/>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86"/>
        <w:adjustRightInd w:val="0"/>
        <w:snapToGrid w:val="0"/>
        <w:spacing w:line="440" w:lineRule="exact"/>
        <w:rPr>
          <w:rFonts w:ascii="宋体" w:hAnsi="宋体" w:cs="宋体"/>
          <w:szCs w:val="21"/>
        </w:rPr>
      </w:pPr>
    </w:p>
    <w:p>
      <w:pPr>
        <w:pStyle w:val="86"/>
        <w:adjustRightInd w:val="0"/>
        <w:snapToGrid w:val="0"/>
        <w:spacing w:line="440" w:lineRule="exact"/>
        <w:rPr>
          <w:rFonts w:ascii="宋体" w:hAnsi="宋体" w:cs="宋体"/>
          <w:szCs w:val="21"/>
        </w:rPr>
      </w:pPr>
    </w:p>
    <w:p>
      <w:pPr>
        <w:pStyle w:val="86"/>
        <w:adjustRightInd w:val="0"/>
        <w:snapToGrid w:val="0"/>
        <w:spacing w:line="440" w:lineRule="exac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2、投标人在“信用中国”网站（www.creditchina.gov.cn）、中国政府采购网（www.ccgp.gov.cn）没有被列入失信被执行人、重大税收违法失信主体、政府采购严重违法失信行为记录名单（投标人需提供查询截图）；</w:t>
      </w:r>
    </w:p>
    <w:p>
      <w:pPr>
        <w:pStyle w:val="86"/>
        <w:adjustRightInd w:val="0"/>
        <w:snapToGrid w:val="0"/>
        <w:spacing w:line="440" w:lineRule="exact"/>
        <w:rPr>
          <w:rFonts w:ascii="宋体" w:hAnsi="宋体" w:cs="宋体"/>
          <w:szCs w:val="21"/>
        </w:rPr>
      </w:pPr>
    </w:p>
    <w:p>
      <w:pPr>
        <w:pStyle w:val="86"/>
        <w:adjustRightInd w:val="0"/>
        <w:snapToGrid w:val="0"/>
        <w:spacing w:line="440" w:lineRule="exac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86"/>
        <w:adjustRightInd w:val="0"/>
        <w:snapToGrid w:val="0"/>
        <w:spacing w:line="440" w:lineRule="exact"/>
        <w:rPr>
          <w:rFonts w:ascii="宋体" w:hAnsi="宋体" w:cs="宋体"/>
          <w:szCs w:val="21"/>
        </w:rPr>
      </w:pPr>
    </w:p>
    <w:p>
      <w:pPr>
        <w:pStyle w:val="86"/>
        <w:adjustRightInd w:val="0"/>
        <w:snapToGrid w:val="0"/>
        <w:spacing w:line="440" w:lineRule="exact"/>
        <w:rPr>
          <w:rFonts w:ascii="宋体" w:hAnsi="宋体" w:cs="宋体"/>
          <w:b/>
          <w:bCs/>
          <w:szCs w:val="21"/>
        </w:rPr>
      </w:pPr>
      <w:r>
        <w:rPr>
          <w:rFonts w:hint="eastAsia" w:ascii="宋体" w:hAnsi="宋体" w:cs="宋体"/>
          <w:szCs w:val="21"/>
        </w:rPr>
        <w:t>4、联合体情况：我司为非联合体投标。</w:t>
      </w:r>
    </w:p>
    <w:p>
      <w:pPr>
        <w:pStyle w:val="86"/>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7"/>
        <w:numPr>
          <w:ilvl w:val="1"/>
          <w:numId w:val="23"/>
        </w:numPr>
        <w:tabs>
          <w:tab w:val="left" w:pos="588"/>
        </w:tabs>
        <w:snapToGrid w:val="0"/>
        <w:spacing w:before="120" w:after="120" w:line="440" w:lineRule="exact"/>
        <w:ind w:hanging="992"/>
        <w:jc w:val="left"/>
        <w:rPr>
          <w:rFonts w:ascii="宋体" w:hAnsi="宋体" w:cs="宋体"/>
          <w:sz w:val="24"/>
          <w:szCs w:val="24"/>
        </w:rPr>
      </w:pPr>
      <w:bookmarkStart w:id="567" w:name="_Toc56432239"/>
      <w:bookmarkStart w:id="568" w:name="_Toc8068"/>
      <w:bookmarkStart w:id="569" w:name="_Toc16433"/>
      <w:bookmarkStart w:id="570" w:name="_Toc10886"/>
      <w:bookmarkStart w:id="571" w:name="_Toc18886"/>
      <w:r>
        <w:rPr>
          <w:rFonts w:hint="eastAsia" w:ascii="宋体" w:hAnsi="宋体" w:cs="宋体"/>
          <w:sz w:val="24"/>
          <w:szCs w:val="24"/>
        </w:rPr>
        <w:t>关于资格的声明函</w:t>
      </w:r>
      <w:bookmarkEnd w:id="567"/>
      <w:bookmarkEnd w:id="568"/>
      <w:bookmarkEnd w:id="569"/>
      <w:bookmarkEnd w:id="570"/>
      <w:bookmarkEnd w:id="571"/>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lang w:eastAsia="zh-CN"/>
        </w:rPr>
        <w:t>广东南方网络信息科技有限公司</w:t>
      </w:r>
      <w:r>
        <w:rPr>
          <w:rFonts w:hint="eastAsia" w:ascii="宋体" w:hAnsi="宋体" w:cs="宋体"/>
          <w:b/>
          <w:bCs/>
          <w:szCs w:val="21"/>
        </w:rPr>
        <w:t>、广东省南方文化产权交易所股份有限公司：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WJS-202310240085</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26"/>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26"/>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26"/>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26"/>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w:t>
      </w:r>
      <w:r>
        <w:rPr>
          <w:rFonts w:hint="eastAsia" w:ascii="宋体" w:hAnsi="宋体" w:cs="宋体"/>
          <w:szCs w:val="21"/>
          <w:lang w:eastAsia="zh-CN"/>
        </w:rPr>
        <w:t>（</w:t>
      </w:r>
      <w:r>
        <w:rPr>
          <w:rFonts w:hint="eastAsia" w:ascii="宋体" w:hAnsi="宋体" w:cs="宋体"/>
          <w:szCs w:val="21"/>
          <w:lang w:val="en-US" w:eastAsia="zh-CN"/>
        </w:rPr>
        <w:t>或其他组织</w:t>
      </w:r>
      <w:r>
        <w:rPr>
          <w:rFonts w:hint="eastAsia" w:ascii="宋体" w:hAnsi="宋体" w:cs="宋体"/>
          <w:szCs w:val="21"/>
          <w:lang w:eastAsia="zh-CN"/>
        </w:rPr>
        <w:t>）</w:t>
      </w:r>
      <w:r>
        <w:rPr>
          <w:rFonts w:hint="eastAsia" w:ascii="宋体" w:hAnsi="宋体" w:cs="宋体"/>
          <w:szCs w:val="21"/>
        </w:rPr>
        <w:t>，在法律上、财务上和运作上完全独立于</w:t>
      </w:r>
      <w:r>
        <w:rPr>
          <w:rFonts w:hint="eastAsia" w:ascii="宋体" w:hAnsi="宋体" w:cs="宋体"/>
          <w:szCs w:val="21"/>
          <w:u w:val="single"/>
          <w:lang w:eastAsia="zh-CN"/>
        </w:rPr>
        <w:t>广东南方网络信息科技有限公司</w:t>
      </w:r>
      <w:r>
        <w:rPr>
          <w:rFonts w:hint="eastAsia" w:ascii="宋体" w:hAnsi="宋体" w:cs="宋体"/>
          <w:szCs w:val="21"/>
          <w:u w:val="single"/>
        </w:rPr>
        <w:t xml:space="preserve">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26"/>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26"/>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7"/>
        <w:numPr>
          <w:ilvl w:val="1"/>
          <w:numId w:val="23"/>
        </w:numPr>
        <w:tabs>
          <w:tab w:val="left" w:pos="588"/>
        </w:tabs>
        <w:snapToGrid w:val="0"/>
        <w:spacing w:before="120" w:after="120" w:line="440" w:lineRule="exact"/>
        <w:ind w:hanging="992"/>
        <w:jc w:val="left"/>
        <w:rPr>
          <w:rFonts w:ascii="宋体" w:hAnsi="宋体" w:cs="宋体"/>
          <w:sz w:val="24"/>
          <w:szCs w:val="24"/>
        </w:rPr>
      </w:pPr>
      <w:bookmarkStart w:id="572" w:name="_Toc16330"/>
      <w:bookmarkStart w:id="573" w:name="_Toc18305"/>
      <w:bookmarkStart w:id="574" w:name="_Toc29084"/>
      <w:bookmarkStart w:id="575" w:name="_Toc56432240"/>
      <w:bookmarkStart w:id="576" w:name="_Toc1421"/>
      <w:r>
        <w:rPr>
          <w:rFonts w:hint="eastAsia" w:ascii="宋体" w:hAnsi="宋体" w:cs="宋体"/>
          <w:sz w:val="24"/>
          <w:szCs w:val="24"/>
        </w:rPr>
        <w:t>投标人控股及管理关系情况申报</w:t>
      </w:r>
      <w:bookmarkEnd w:id="565"/>
      <w:bookmarkEnd w:id="566"/>
      <w:bookmarkEnd w:id="572"/>
      <w:bookmarkEnd w:id="573"/>
      <w:bookmarkEnd w:id="574"/>
      <w:bookmarkEnd w:id="575"/>
      <w:bookmarkEnd w:id="576"/>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1"/>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77" w:name="_Toc332188253"/>
      <w:bookmarkStart w:id="578" w:name="_Toc334767004"/>
      <w:bookmarkStart w:id="579" w:name="_Toc152045809"/>
      <w:bookmarkStart w:id="580" w:name="_Toc326223619"/>
      <w:bookmarkStart w:id="581" w:name="_Toc247527849"/>
      <w:bookmarkStart w:id="582" w:name="_Toc247514301"/>
      <w:bookmarkStart w:id="583" w:name="_Toc265953295"/>
      <w:bookmarkStart w:id="584" w:name="_Toc152042598"/>
      <w:bookmarkStart w:id="585" w:name="_Toc144974877"/>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77"/>
      <w:bookmarkEnd w:id="578"/>
      <w:bookmarkEnd w:id="579"/>
      <w:bookmarkEnd w:id="580"/>
      <w:bookmarkEnd w:id="581"/>
      <w:bookmarkEnd w:id="582"/>
      <w:bookmarkEnd w:id="583"/>
      <w:bookmarkEnd w:id="584"/>
      <w:bookmarkEnd w:id="585"/>
    </w:p>
    <w:bookmarkEnd w:id="543"/>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586" w:name="_Toc477190652"/>
      <w:bookmarkEnd w:id="586"/>
      <w:bookmarkStart w:id="587" w:name="_Toc477190441"/>
      <w:bookmarkEnd w:id="587"/>
      <w:bookmarkStart w:id="588" w:name="_Toc477190505"/>
      <w:bookmarkEnd w:id="588"/>
      <w:bookmarkStart w:id="589" w:name="_Toc477190531"/>
      <w:bookmarkEnd w:id="589"/>
      <w:bookmarkStart w:id="590" w:name="_Toc477190418"/>
      <w:bookmarkEnd w:id="590"/>
      <w:bookmarkStart w:id="591" w:name="_Toc477190600"/>
      <w:bookmarkEnd w:id="591"/>
      <w:bookmarkStart w:id="592" w:name="_Toc477190579"/>
      <w:bookmarkEnd w:id="592"/>
      <w:bookmarkStart w:id="593" w:name="_Toc477190574"/>
      <w:bookmarkEnd w:id="593"/>
      <w:bookmarkStart w:id="594" w:name="_Toc477190512"/>
      <w:bookmarkEnd w:id="594"/>
      <w:bookmarkStart w:id="595" w:name="_Toc477190646"/>
      <w:bookmarkEnd w:id="595"/>
      <w:bookmarkStart w:id="596" w:name="_Toc477190471"/>
      <w:bookmarkEnd w:id="596"/>
      <w:bookmarkStart w:id="597" w:name="_Toc477190368"/>
      <w:bookmarkEnd w:id="597"/>
      <w:bookmarkStart w:id="598" w:name="_Toc477190510"/>
      <w:bookmarkEnd w:id="598"/>
      <w:bookmarkStart w:id="599" w:name="_Toc477190590"/>
      <w:bookmarkEnd w:id="599"/>
      <w:bookmarkStart w:id="600" w:name="_Toc477190568"/>
      <w:bookmarkEnd w:id="600"/>
      <w:bookmarkStart w:id="601" w:name="_Toc477190430"/>
      <w:bookmarkEnd w:id="601"/>
      <w:bookmarkStart w:id="602" w:name="_Toc477190454"/>
      <w:bookmarkEnd w:id="602"/>
      <w:bookmarkStart w:id="603" w:name="_Toc477190596"/>
      <w:bookmarkEnd w:id="603"/>
      <w:bookmarkStart w:id="604" w:name="_Toc477190645"/>
      <w:bookmarkEnd w:id="604"/>
      <w:bookmarkStart w:id="605" w:name="_Toc477190597"/>
      <w:bookmarkEnd w:id="605"/>
      <w:bookmarkStart w:id="606" w:name="_Toc477190650"/>
      <w:bookmarkEnd w:id="606"/>
      <w:bookmarkStart w:id="607" w:name="_Toc477190649"/>
      <w:bookmarkEnd w:id="607"/>
      <w:bookmarkStart w:id="608" w:name="_Toc477190442"/>
      <w:bookmarkEnd w:id="608"/>
      <w:bookmarkStart w:id="609" w:name="_Toc477190588"/>
      <w:bookmarkEnd w:id="609"/>
      <w:bookmarkStart w:id="610" w:name="_Toc477190504"/>
      <w:bookmarkEnd w:id="610"/>
      <w:bookmarkStart w:id="611" w:name="_Toc477190514"/>
      <w:bookmarkEnd w:id="611"/>
      <w:bookmarkStart w:id="612" w:name="_Toc477190482"/>
      <w:bookmarkEnd w:id="612"/>
      <w:bookmarkStart w:id="613" w:name="_Toc477190437"/>
      <w:bookmarkEnd w:id="613"/>
      <w:bookmarkStart w:id="614" w:name="_Toc477190575"/>
      <w:bookmarkEnd w:id="614"/>
      <w:bookmarkStart w:id="615" w:name="_Toc477190421"/>
      <w:bookmarkEnd w:id="615"/>
      <w:bookmarkStart w:id="616" w:name="_Toc477190365"/>
      <w:bookmarkEnd w:id="616"/>
      <w:bookmarkStart w:id="617" w:name="_Toc477190424"/>
      <w:bookmarkEnd w:id="617"/>
      <w:bookmarkStart w:id="618" w:name="_Toc477190429"/>
      <w:bookmarkEnd w:id="618"/>
      <w:bookmarkStart w:id="619" w:name="_Toc477190653"/>
      <w:bookmarkEnd w:id="619"/>
      <w:bookmarkStart w:id="620" w:name="_Toc477190451"/>
      <w:bookmarkEnd w:id="620"/>
      <w:bookmarkStart w:id="621" w:name="_Toc477190569"/>
      <w:bookmarkEnd w:id="621"/>
      <w:bookmarkStart w:id="622" w:name="_Toc477190440"/>
      <w:bookmarkEnd w:id="622"/>
      <w:bookmarkStart w:id="623" w:name="_Toc477190598"/>
      <w:bookmarkEnd w:id="623"/>
      <w:bookmarkStart w:id="624" w:name="_Toc477190651"/>
      <w:bookmarkEnd w:id="624"/>
      <w:bookmarkStart w:id="625" w:name="_Toc477190426"/>
      <w:bookmarkEnd w:id="625"/>
      <w:bookmarkStart w:id="626" w:name="_Toc477190450"/>
      <w:bookmarkEnd w:id="626"/>
      <w:bookmarkStart w:id="627" w:name="_Toc477190448"/>
      <w:bookmarkEnd w:id="627"/>
      <w:bookmarkStart w:id="628" w:name="_Toc477190570"/>
      <w:bookmarkEnd w:id="628"/>
      <w:bookmarkStart w:id="629" w:name="_Toc477190444"/>
      <w:bookmarkEnd w:id="629"/>
      <w:bookmarkStart w:id="630" w:name="_Toc477190516"/>
      <w:bookmarkEnd w:id="630"/>
      <w:bookmarkStart w:id="631" w:name="_Toc477190415"/>
      <w:bookmarkEnd w:id="631"/>
      <w:bookmarkStart w:id="632" w:name="_Toc477190423"/>
      <w:bookmarkEnd w:id="632"/>
      <w:bookmarkStart w:id="633" w:name="_Toc477190470"/>
      <w:bookmarkEnd w:id="633"/>
      <w:bookmarkStart w:id="634" w:name="_Toc477190507"/>
      <w:bookmarkEnd w:id="634"/>
      <w:bookmarkStart w:id="635" w:name="_Toc477190612"/>
      <w:bookmarkEnd w:id="635"/>
      <w:bookmarkStart w:id="636" w:name="_Toc477190562"/>
      <w:bookmarkEnd w:id="636"/>
      <w:bookmarkStart w:id="637" w:name="_Toc477190474"/>
      <w:bookmarkEnd w:id="637"/>
      <w:bookmarkStart w:id="638" w:name="_Toc477190573"/>
      <w:bookmarkEnd w:id="638"/>
      <w:bookmarkStart w:id="639" w:name="_Toc477190582"/>
      <w:bookmarkEnd w:id="639"/>
      <w:bookmarkStart w:id="640" w:name="_Toc477190567"/>
      <w:bookmarkEnd w:id="640"/>
      <w:bookmarkStart w:id="641" w:name="_Toc477190585"/>
      <w:bookmarkEnd w:id="641"/>
      <w:bookmarkStart w:id="642" w:name="_Toc477190459"/>
      <w:bookmarkEnd w:id="642"/>
      <w:bookmarkStart w:id="643" w:name="_Toc477190449"/>
      <w:bookmarkEnd w:id="643"/>
      <w:bookmarkStart w:id="644" w:name="_Toc477190458"/>
      <w:bookmarkEnd w:id="644"/>
      <w:bookmarkStart w:id="645" w:name="_Toc477190647"/>
      <w:bookmarkEnd w:id="645"/>
      <w:bookmarkStart w:id="646" w:name="_Toc477190427"/>
      <w:bookmarkEnd w:id="646"/>
      <w:bookmarkStart w:id="647" w:name="_Toc477190517"/>
      <w:bookmarkEnd w:id="647"/>
      <w:bookmarkStart w:id="648" w:name="_Toc477190622"/>
      <w:bookmarkEnd w:id="648"/>
      <w:bookmarkStart w:id="649" w:name="_Toc477190566"/>
      <w:bookmarkEnd w:id="649"/>
      <w:bookmarkStart w:id="650" w:name="_Toc477190473"/>
      <w:bookmarkEnd w:id="650"/>
      <w:bookmarkStart w:id="651" w:name="_Toc477190589"/>
      <w:bookmarkEnd w:id="651"/>
      <w:bookmarkStart w:id="652" w:name="_Toc477190555"/>
      <w:bookmarkEnd w:id="652"/>
      <w:bookmarkStart w:id="653" w:name="_Toc477190642"/>
      <w:bookmarkEnd w:id="653"/>
      <w:bookmarkStart w:id="654" w:name="_Toc477190654"/>
      <w:bookmarkEnd w:id="654"/>
      <w:bookmarkStart w:id="655" w:name="_Toc477190469"/>
      <w:bookmarkEnd w:id="655"/>
      <w:bookmarkStart w:id="656" w:name="_Toc477190580"/>
      <w:bookmarkEnd w:id="656"/>
      <w:bookmarkStart w:id="657" w:name="_Toc477190563"/>
      <w:bookmarkEnd w:id="657"/>
      <w:bookmarkStart w:id="658" w:name="_Toc477190543"/>
      <w:bookmarkEnd w:id="658"/>
      <w:bookmarkStart w:id="659" w:name="_Toc477190508"/>
      <w:bookmarkEnd w:id="659"/>
      <w:bookmarkStart w:id="660" w:name="_Toc477190467"/>
      <w:bookmarkEnd w:id="660"/>
      <w:bookmarkStart w:id="661" w:name="_Toc477190593"/>
      <w:bookmarkEnd w:id="661"/>
      <w:bookmarkStart w:id="662" w:name="_Toc477190461"/>
      <w:bookmarkEnd w:id="662"/>
      <w:bookmarkStart w:id="663" w:name="_Toc477190414"/>
      <w:bookmarkEnd w:id="663"/>
      <w:bookmarkStart w:id="664" w:name="_Toc477190463"/>
      <w:bookmarkEnd w:id="664"/>
      <w:bookmarkStart w:id="665" w:name="_Toc477190434"/>
      <w:bookmarkEnd w:id="665"/>
      <w:bookmarkStart w:id="666" w:name="_Toc477190422"/>
      <w:bookmarkEnd w:id="666"/>
      <w:bookmarkStart w:id="667" w:name="_Toc477190455"/>
      <w:bookmarkEnd w:id="667"/>
      <w:bookmarkStart w:id="668" w:name="_Toc477190525"/>
      <w:bookmarkEnd w:id="668"/>
      <w:bookmarkStart w:id="669" w:name="_Toc477190594"/>
      <w:bookmarkEnd w:id="669"/>
      <w:bookmarkStart w:id="670" w:name="_Toc477190466"/>
      <w:bookmarkEnd w:id="670"/>
      <w:bookmarkStart w:id="671" w:name="_Toc477190416"/>
      <w:bookmarkEnd w:id="671"/>
      <w:bookmarkStart w:id="672" w:name="_Toc477190445"/>
      <w:bookmarkEnd w:id="672"/>
      <w:bookmarkStart w:id="673" w:name="_Toc477190581"/>
      <w:bookmarkEnd w:id="673"/>
      <w:bookmarkStart w:id="674" w:name="_Toc477190515"/>
      <w:bookmarkEnd w:id="674"/>
      <w:bookmarkStart w:id="675" w:name="_Toc477190578"/>
      <w:bookmarkEnd w:id="675"/>
      <w:bookmarkStart w:id="676" w:name="_Toc477190592"/>
      <w:bookmarkEnd w:id="676"/>
      <w:bookmarkStart w:id="677" w:name="_Toc477190453"/>
      <w:bookmarkEnd w:id="677"/>
      <w:bookmarkStart w:id="678" w:name="_Toc477190447"/>
      <w:bookmarkEnd w:id="678"/>
      <w:bookmarkStart w:id="679" w:name="_Toc477190506"/>
      <w:bookmarkEnd w:id="679"/>
      <w:bookmarkStart w:id="680" w:name="_Toc477190564"/>
      <w:bookmarkEnd w:id="680"/>
      <w:bookmarkStart w:id="681" w:name="_Toc477190462"/>
      <w:bookmarkEnd w:id="681"/>
      <w:bookmarkStart w:id="682" w:name="_Toc477190498"/>
      <w:bookmarkEnd w:id="682"/>
      <w:bookmarkStart w:id="683" w:name="_Toc477190583"/>
      <w:bookmarkEnd w:id="683"/>
      <w:bookmarkStart w:id="684" w:name="_Toc477190443"/>
      <w:bookmarkEnd w:id="684"/>
      <w:bookmarkStart w:id="685" w:name="_Toc477190425"/>
      <w:bookmarkEnd w:id="685"/>
      <w:bookmarkStart w:id="686" w:name="_Toc477190586"/>
      <w:bookmarkEnd w:id="686"/>
      <w:bookmarkStart w:id="687" w:name="_Toc477190576"/>
      <w:bookmarkEnd w:id="687"/>
      <w:bookmarkStart w:id="688" w:name="_Toc477190460"/>
      <w:bookmarkEnd w:id="688"/>
      <w:bookmarkStart w:id="689" w:name="_Toc477190431"/>
      <w:bookmarkEnd w:id="689"/>
      <w:bookmarkStart w:id="690" w:name="_Toc477190632"/>
      <w:bookmarkEnd w:id="690"/>
      <w:bookmarkStart w:id="691" w:name="_Toc477190565"/>
      <w:bookmarkEnd w:id="691"/>
      <w:bookmarkStart w:id="692" w:name="_Toc477190518"/>
      <w:bookmarkEnd w:id="692"/>
      <w:bookmarkStart w:id="693" w:name="_Toc477190648"/>
      <w:bookmarkEnd w:id="693"/>
      <w:bookmarkStart w:id="694" w:name="_Toc477190446"/>
      <w:bookmarkEnd w:id="694"/>
      <w:bookmarkStart w:id="695" w:name="_Toc477190419"/>
      <w:bookmarkEnd w:id="695"/>
      <w:bookmarkStart w:id="696" w:name="_Toc477190513"/>
      <w:bookmarkEnd w:id="696"/>
      <w:bookmarkStart w:id="697" w:name="_Toc477190561"/>
      <w:bookmarkEnd w:id="697"/>
      <w:bookmarkStart w:id="698" w:name="_Toc477190577"/>
      <w:bookmarkEnd w:id="698"/>
      <w:bookmarkStart w:id="699" w:name="_Toc477190464"/>
      <w:bookmarkEnd w:id="699"/>
      <w:bookmarkStart w:id="700" w:name="_Toc477190549"/>
      <w:bookmarkEnd w:id="700"/>
      <w:bookmarkStart w:id="701" w:name="_Toc477190511"/>
      <w:bookmarkEnd w:id="701"/>
      <w:bookmarkStart w:id="702" w:name="_Toc477190468"/>
      <w:bookmarkEnd w:id="702"/>
      <w:bookmarkStart w:id="703" w:name="_Toc477190595"/>
      <w:bookmarkEnd w:id="703"/>
      <w:bookmarkStart w:id="704" w:name="_Toc477190432"/>
      <w:bookmarkEnd w:id="704"/>
      <w:bookmarkStart w:id="705" w:name="_Toc477190433"/>
      <w:bookmarkEnd w:id="705"/>
      <w:bookmarkStart w:id="706" w:name="_Toc477190366"/>
      <w:bookmarkEnd w:id="706"/>
      <w:bookmarkStart w:id="707" w:name="_Toc477190587"/>
      <w:bookmarkEnd w:id="707"/>
      <w:bookmarkStart w:id="708" w:name="_Toc477190428"/>
      <w:bookmarkEnd w:id="708"/>
      <w:bookmarkStart w:id="709" w:name="_Toc477190599"/>
      <w:bookmarkEnd w:id="709"/>
      <w:bookmarkStart w:id="710" w:name="_Toc477190435"/>
      <w:bookmarkEnd w:id="710"/>
      <w:bookmarkStart w:id="711" w:name="_Toc477190438"/>
      <w:bookmarkEnd w:id="711"/>
      <w:bookmarkStart w:id="712" w:name="_Toc477190420"/>
      <w:bookmarkEnd w:id="712"/>
      <w:bookmarkStart w:id="713" w:name="_Toc477190572"/>
      <w:bookmarkEnd w:id="713"/>
      <w:bookmarkStart w:id="714" w:name="_Toc477190571"/>
      <w:bookmarkEnd w:id="714"/>
      <w:bookmarkStart w:id="715" w:name="_Toc477190472"/>
      <w:bookmarkEnd w:id="715"/>
      <w:bookmarkStart w:id="716" w:name="_Toc477190452"/>
      <w:bookmarkEnd w:id="716"/>
      <w:bookmarkStart w:id="717" w:name="_Toc477190457"/>
      <w:bookmarkEnd w:id="717"/>
      <w:bookmarkStart w:id="718" w:name="_Toc477190417"/>
      <w:bookmarkEnd w:id="718"/>
      <w:bookmarkStart w:id="719" w:name="_Toc477190591"/>
      <w:bookmarkEnd w:id="719"/>
      <w:bookmarkStart w:id="720" w:name="_Toc477190465"/>
      <w:bookmarkEnd w:id="720"/>
      <w:bookmarkStart w:id="721" w:name="_Toc477190367"/>
      <w:bookmarkEnd w:id="721"/>
      <w:bookmarkStart w:id="722" w:name="_Toc477190509"/>
      <w:bookmarkEnd w:id="722"/>
      <w:bookmarkStart w:id="723" w:name="_Toc477190456"/>
      <w:bookmarkEnd w:id="723"/>
      <w:bookmarkStart w:id="724" w:name="_Toc477190439"/>
      <w:bookmarkEnd w:id="724"/>
      <w:bookmarkStart w:id="725" w:name="_Toc477190584"/>
      <w:bookmarkEnd w:id="725"/>
      <w:bookmarkStart w:id="726" w:name="_Toc477190436"/>
      <w:bookmarkEnd w:id="726"/>
      <w:bookmarkStart w:id="727" w:name="_Toc477190537"/>
      <w:bookmarkEnd w:id="727"/>
      <w:bookmarkStart w:id="728" w:name="_Toc477190601"/>
      <w:bookmarkEnd w:id="728"/>
      <w:bookmarkStart w:id="729" w:name="_Toc10689"/>
      <w:bookmarkStart w:id="730" w:name="_Toc21327"/>
      <w:bookmarkStart w:id="731" w:name="_Toc1651912"/>
      <w:bookmarkStart w:id="732" w:name="_Toc56432242"/>
      <w:bookmarkStart w:id="733" w:name="_Toc14332"/>
      <w:bookmarkStart w:id="734" w:name="_Toc18827"/>
      <w:bookmarkStart w:id="735" w:name="_Toc475472691"/>
      <w:r>
        <w:rPr>
          <w:rFonts w:hint="eastAsia" w:ascii="宋体" w:hAnsi="宋体" w:cs="宋体"/>
          <w:sz w:val="24"/>
          <w:szCs w:val="24"/>
        </w:rPr>
        <w:t>商务合同条款偏离表</w:t>
      </w:r>
      <w:bookmarkEnd w:id="729"/>
      <w:bookmarkEnd w:id="730"/>
      <w:bookmarkEnd w:id="731"/>
      <w:bookmarkEnd w:id="732"/>
      <w:bookmarkEnd w:id="733"/>
      <w:bookmarkEnd w:id="734"/>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赴欧非亚三国交流活动行程服务项目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WJS-202310240085</w:t>
      </w:r>
    </w:p>
    <w:tbl>
      <w:tblPr>
        <w:tblStyle w:val="41"/>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7"/>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4"/>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736" w:name="_Toc18418"/>
      <w:bookmarkStart w:id="737" w:name="_Toc9628"/>
      <w:bookmarkStart w:id="738" w:name="_Toc9751"/>
      <w:bookmarkStart w:id="739" w:name="_Toc12043"/>
      <w:bookmarkStart w:id="740" w:name="_Toc56432243"/>
      <w:r>
        <w:rPr>
          <w:rFonts w:hint="eastAsia" w:ascii="宋体" w:hAnsi="宋体" w:cs="宋体"/>
          <w:sz w:val="24"/>
          <w:szCs w:val="24"/>
        </w:rPr>
        <w:t>实质性条款偏离表</w:t>
      </w:r>
      <w:bookmarkEnd w:id="736"/>
      <w:bookmarkEnd w:id="737"/>
      <w:bookmarkEnd w:id="738"/>
      <w:bookmarkEnd w:id="739"/>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赴欧非亚三国交流活动行程服务项目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WJS-202310240085</w:t>
      </w:r>
    </w:p>
    <w:tbl>
      <w:tblPr>
        <w:tblStyle w:val="41"/>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4"/>
              <w:spacing w:line="240" w:lineRule="auto"/>
              <w:ind w:left="46" w:hanging="46" w:hangingChars="22"/>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4"/>
        <w:spacing w:line="240" w:lineRule="auto"/>
        <w:jc w:val="right"/>
        <w:rPr>
          <w:rFonts w:ascii="宋体" w:hAnsi="宋体" w:eastAsia="宋体" w:cs="宋体"/>
          <w:sz w:val="21"/>
          <w:szCs w:val="21"/>
          <w:u w:val="single"/>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7"/>
        <w:numPr>
          <w:ilvl w:val="0"/>
          <w:numId w:val="23"/>
        </w:numPr>
        <w:tabs>
          <w:tab w:val="left" w:pos="588"/>
        </w:tabs>
        <w:snapToGrid w:val="0"/>
        <w:spacing w:before="120" w:after="120" w:line="440" w:lineRule="exact"/>
        <w:jc w:val="left"/>
        <w:rPr>
          <w:rFonts w:ascii="宋体" w:hAnsi="宋体" w:cs="宋体"/>
          <w:sz w:val="24"/>
          <w:szCs w:val="24"/>
        </w:rPr>
      </w:pPr>
      <w:bookmarkStart w:id="741" w:name="_Toc25312"/>
      <w:bookmarkStart w:id="742" w:name="_Toc9875"/>
      <w:bookmarkStart w:id="743" w:name="_Toc31643"/>
      <w:bookmarkStart w:id="744" w:name="_Toc7506"/>
      <w:r>
        <w:rPr>
          <w:rFonts w:hint="eastAsia" w:ascii="宋体" w:hAnsi="宋体" w:cs="宋体"/>
          <w:sz w:val="24"/>
          <w:szCs w:val="24"/>
        </w:rPr>
        <w:t>采购需求条款偏离表</w:t>
      </w:r>
      <w:bookmarkEnd w:id="740"/>
      <w:bookmarkEnd w:id="741"/>
      <w:bookmarkEnd w:id="742"/>
      <w:bookmarkEnd w:id="743"/>
      <w:bookmarkEnd w:id="744"/>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赴欧非亚三国交流活动行程服务项目</w:t>
      </w:r>
    </w:p>
    <w:p>
      <w:pPr>
        <w:pStyle w:val="14"/>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WJS-202310240085</w:t>
      </w:r>
    </w:p>
    <w:tbl>
      <w:tblPr>
        <w:tblStyle w:val="41"/>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8"/>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4"/>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7"/>
        <w:tabs>
          <w:tab w:val="left" w:pos="588"/>
        </w:tabs>
        <w:snapToGrid w:val="0"/>
        <w:spacing w:before="120" w:after="120" w:line="440" w:lineRule="exact"/>
        <w:jc w:val="left"/>
        <w:rPr>
          <w:rFonts w:ascii="宋体" w:hAnsi="宋体" w:cs="宋体"/>
          <w:sz w:val="24"/>
          <w:szCs w:val="24"/>
        </w:rPr>
      </w:pPr>
      <w:bookmarkStart w:id="745" w:name="_Toc22292"/>
      <w:bookmarkStart w:id="746" w:name="_Toc20183"/>
      <w:bookmarkStart w:id="747" w:name="_Toc16635"/>
      <w:bookmarkStart w:id="748" w:name="_Toc2178"/>
      <w:bookmarkStart w:id="749" w:name="_Toc1651914"/>
      <w:r>
        <w:rPr>
          <w:rFonts w:hint="eastAsia" w:ascii="宋体" w:hAnsi="宋体" w:cs="宋体"/>
          <w:sz w:val="24"/>
          <w:szCs w:val="24"/>
        </w:rPr>
        <w:t>11.</w:t>
      </w:r>
      <w:bookmarkEnd w:id="745"/>
      <w:bookmarkEnd w:id="746"/>
      <w:bookmarkStart w:id="750" w:name="_Toc3790"/>
      <w:r>
        <w:rPr>
          <w:rFonts w:hint="eastAsia" w:ascii="宋体" w:hAnsi="宋体" w:cs="宋体"/>
          <w:sz w:val="24"/>
          <w:szCs w:val="24"/>
        </w:rPr>
        <w:t>同类业绩表</w:t>
      </w:r>
      <w:bookmarkEnd w:id="747"/>
      <w:bookmarkEnd w:id="750"/>
    </w:p>
    <w:p>
      <w:pPr>
        <w:jc w:val="center"/>
        <w:rPr>
          <w:rFonts w:ascii="宋体" w:hAnsi="宋体" w:cs="宋体"/>
        </w:rPr>
      </w:pPr>
      <w:r>
        <w:rPr>
          <w:rFonts w:hint="eastAsia" w:ascii="宋体" w:hAnsi="宋体" w:cs="宋体"/>
        </w:rPr>
        <w:t>2020年1月1日（含）至今具备的同类项目情况表</w:t>
      </w:r>
    </w:p>
    <w:tbl>
      <w:tblPr>
        <w:tblStyle w:val="4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42" w:type="pct"/>
            <w:vAlign w:val="center"/>
          </w:tcPr>
          <w:p>
            <w:pPr>
              <w:jc w:val="center"/>
              <w:rPr>
                <w:rFonts w:ascii="宋体" w:hAnsi="宋体" w:cs="宋体"/>
                <w:bCs/>
                <w:szCs w:val="21"/>
              </w:rPr>
            </w:pPr>
            <w:r>
              <w:rPr>
                <w:rFonts w:hint="eastAsia" w:ascii="宋体" w:hAnsi="宋体" w:cs="宋体"/>
                <w:bCs/>
                <w:szCs w:val="21"/>
              </w:rPr>
              <w:t>序号</w:t>
            </w:r>
          </w:p>
        </w:tc>
        <w:tc>
          <w:tcPr>
            <w:tcW w:w="735" w:type="pct"/>
            <w:vAlign w:val="center"/>
          </w:tcPr>
          <w:p>
            <w:pPr>
              <w:jc w:val="center"/>
              <w:rPr>
                <w:rFonts w:ascii="宋体" w:hAnsi="宋体" w:cs="宋体"/>
                <w:bCs/>
                <w:szCs w:val="21"/>
              </w:rPr>
            </w:pPr>
            <w:r>
              <w:rPr>
                <w:rFonts w:hint="eastAsia" w:ascii="宋体" w:hAnsi="宋体" w:cs="宋体"/>
                <w:bCs/>
                <w:szCs w:val="21"/>
              </w:rPr>
              <w:t>合同名称</w:t>
            </w:r>
          </w:p>
        </w:tc>
        <w:tc>
          <w:tcPr>
            <w:tcW w:w="735" w:type="pct"/>
            <w:vAlign w:val="center"/>
          </w:tcPr>
          <w:p>
            <w:pPr>
              <w:jc w:val="center"/>
              <w:rPr>
                <w:rFonts w:ascii="宋体" w:hAnsi="宋体" w:cs="宋体"/>
                <w:bCs/>
                <w:szCs w:val="21"/>
              </w:rPr>
            </w:pPr>
            <w:r>
              <w:rPr>
                <w:rFonts w:hint="eastAsia" w:ascii="宋体" w:hAnsi="宋体" w:cs="宋体"/>
                <w:bCs/>
                <w:szCs w:val="21"/>
              </w:rPr>
              <w:t>合同金额</w:t>
            </w:r>
          </w:p>
        </w:tc>
        <w:tc>
          <w:tcPr>
            <w:tcW w:w="735" w:type="pct"/>
            <w:vAlign w:val="center"/>
          </w:tcPr>
          <w:p>
            <w:pPr>
              <w:jc w:val="center"/>
              <w:rPr>
                <w:rFonts w:ascii="宋体" w:hAnsi="宋体" w:cs="宋体"/>
                <w:bCs/>
                <w:szCs w:val="21"/>
              </w:rPr>
            </w:pPr>
            <w:r>
              <w:rPr>
                <w:rFonts w:hint="eastAsia" w:ascii="宋体" w:hAnsi="宋体" w:cs="宋体"/>
                <w:bCs/>
                <w:szCs w:val="21"/>
              </w:rPr>
              <w:t>甲方名称</w:t>
            </w:r>
          </w:p>
        </w:tc>
        <w:tc>
          <w:tcPr>
            <w:tcW w:w="1028" w:type="pct"/>
            <w:vAlign w:val="center"/>
          </w:tcPr>
          <w:p>
            <w:pPr>
              <w:jc w:val="center"/>
              <w:rPr>
                <w:rFonts w:ascii="宋体" w:hAnsi="宋体" w:cs="宋体"/>
                <w:bCs/>
                <w:szCs w:val="21"/>
              </w:rPr>
            </w:pPr>
            <w:r>
              <w:rPr>
                <w:rFonts w:hint="eastAsia" w:ascii="宋体" w:hAnsi="宋体" w:cs="宋体"/>
                <w:bCs/>
                <w:szCs w:val="21"/>
              </w:rPr>
              <w:t>签订合同时间</w:t>
            </w:r>
          </w:p>
        </w:tc>
        <w:tc>
          <w:tcPr>
            <w:tcW w:w="1321"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7"/>
        <w:tabs>
          <w:tab w:val="left" w:pos="588"/>
        </w:tabs>
        <w:snapToGrid w:val="0"/>
        <w:spacing w:before="120" w:after="120" w:line="440" w:lineRule="exact"/>
        <w:ind w:left="142"/>
        <w:jc w:val="left"/>
        <w:rPr>
          <w:rFonts w:ascii="宋体" w:hAnsi="宋体" w:cs="宋体"/>
          <w:sz w:val="24"/>
          <w:szCs w:val="24"/>
        </w:rPr>
      </w:pPr>
      <w:bookmarkStart w:id="751" w:name="_Toc2233"/>
      <w:bookmarkStart w:id="752" w:name="_Toc4018"/>
      <w:r>
        <w:rPr>
          <w:rFonts w:hint="eastAsia" w:ascii="宋体" w:hAnsi="宋体" w:cs="宋体"/>
          <w:sz w:val="24"/>
          <w:szCs w:val="24"/>
        </w:rPr>
        <w:t>12.拟投入本项目</w:t>
      </w:r>
      <w:r>
        <w:rPr>
          <w:rFonts w:hint="eastAsia" w:ascii="宋体" w:hAnsi="宋体" w:cs="宋体"/>
          <w:sz w:val="24"/>
          <w:szCs w:val="24"/>
          <w:lang w:val="en-US" w:eastAsia="zh-CN"/>
        </w:rPr>
        <w:t>技术</w:t>
      </w:r>
      <w:r>
        <w:rPr>
          <w:rFonts w:hint="eastAsia" w:ascii="宋体" w:hAnsi="宋体" w:cs="宋体"/>
          <w:sz w:val="24"/>
          <w:szCs w:val="24"/>
        </w:rPr>
        <w:t>服务人员明细表</w:t>
      </w:r>
      <w:bookmarkEnd w:id="748"/>
      <w:bookmarkEnd w:id="751"/>
      <w:bookmarkEnd w:id="752"/>
    </w:p>
    <w:p>
      <w:pPr>
        <w:spacing w:line="360" w:lineRule="auto"/>
        <w:rPr>
          <w:rFonts w:ascii="宋体" w:hAnsi="宋体" w:cs="宋体"/>
        </w:rPr>
      </w:pPr>
      <w:r>
        <w:rPr>
          <w:rFonts w:hint="eastAsia" w:ascii="宋体" w:hAnsi="宋体" w:cs="宋体"/>
        </w:rPr>
        <w:t>投标人名称：                                                招标代理编号：</w:t>
      </w:r>
    </w:p>
    <w:tbl>
      <w:tblPr>
        <w:tblStyle w:val="4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cs="宋体"/>
          <w:b/>
          <w:bCs/>
          <w:u w:val="double"/>
        </w:rPr>
        <w:t>投标人可根据需要附上相关团队人员的学历、</w:t>
      </w:r>
      <w:r>
        <w:rPr>
          <w:rFonts w:hint="eastAsia" w:ascii="宋体" w:hAnsi="宋体" w:cs="宋体"/>
          <w:b/>
          <w:bCs/>
          <w:u w:val="double"/>
          <w:lang w:val="en-US" w:eastAsia="zh-CN"/>
        </w:rPr>
        <w:t>资质认证证书</w:t>
      </w:r>
      <w:r>
        <w:rPr>
          <w:rFonts w:hint="eastAsia" w:ascii="宋体" w:hAnsi="宋体" w:cs="宋体"/>
          <w:b/>
          <w:bCs/>
          <w:u w:val="double"/>
        </w:rPr>
        <w:t>、社保证明；投标人可根据自身为采购需求的理解自主提供团队人员参与过的同类项目合同关键页、项目验收或结算证明材料等证明文件</w:t>
      </w:r>
      <w:r>
        <w:rPr>
          <w:rFonts w:hint="eastAsia" w:ascii="宋体" w:hAnsi="宋体" w:cs="宋体"/>
          <w:b/>
          <w:bCs/>
        </w:rPr>
        <w:t>（复印件，若有）。</w:t>
      </w:r>
    </w:p>
    <w:p>
      <w:pPr>
        <w:spacing w:line="500" w:lineRule="exact"/>
        <w:jc w:val="right"/>
        <w:rPr>
          <w:rFonts w:hint="eastAsia" w:ascii="宋体" w:hAnsi="宋体" w:cs="宋体"/>
        </w:rPr>
      </w:pP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53" w:name="_Toc56432246"/>
      <w:r>
        <w:rPr>
          <w:rFonts w:hint="eastAsia" w:ascii="宋体" w:hAnsi="宋体" w:cs="宋体"/>
          <w:bCs/>
          <w:szCs w:val="21"/>
        </w:rPr>
        <w:br w:type="page"/>
      </w:r>
    </w:p>
    <w:p>
      <w:pPr>
        <w:pStyle w:val="37"/>
        <w:numPr>
          <w:ilvl w:val="0"/>
          <w:numId w:val="23"/>
        </w:numPr>
        <w:tabs>
          <w:tab w:val="left" w:pos="588"/>
        </w:tabs>
        <w:snapToGrid w:val="0"/>
        <w:spacing w:before="120" w:after="120" w:line="440" w:lineRule="exact"/>
        <w:jc w:val="left"/>
        <w:rPr>
          <w:rFonts w:ascii="宋体" w:hAnsi="宋体" w:cs="宋体"/>
          <w:sz w:val="24"/>
        </w:rPr>
      </w:pPr>
      <w:bookmarkStart w:id="754" w:name="_Toc13150"/>
      <w:bookmarkStart w:id="755" w:name="_Toc16427"/>
      <w:bookmarkStart w:id="756" w:name="_Toc56432244"/>
      <w:bookmarkStart w:id="757" w:name="_Toc19736"/>
      <w:bookmarkStart w:id="758" w:name="_Toc9960"/>
      <w:bookmarkStart w:id="759" w:name="_Toc9929"/>
      <w:bookmarkStart w:id="760" w:name="_Toc808"/>
      <w:bookmarkStart w:id="761" w:name="_Toc25632"/>
      <w:r>
        <w:rPr>
          <w:rFonts w:hint="eastAsia" w:ascii="宋体" w:hAnsi="宋体" w:cs="宋体"/>
          <w:sz w:val="24"/>
        </w:rPr>
        <w:t>公章对投标专用章授权说明（如有）</w:t>
      </w:r>
      <w:bookmarkEnd w:id="754"/>
      <w:bookmarkEnd w:id="755"/>
      <w:bookmarkEnd w:id="756"/>
      <w:bookmarkEnd w:id="757"/>
      <w:bookmarkEnd w:id="758"/>
    </w:p>
    <w:p>
      <w:pPr>
        <w:rPr>
          <w:rFonts w:ascii="宋体" w:hAnsi="宋体" w:cs="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（招标人名称）        </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u w:val="single"/>
        </w:rPr>
        <w:t>（投标单位）</w:t>
      </w:r>
      <w:r>
        <w:rPr>
          <w:rFonts w:hint="eastAsia" w:ascii="宋体" w:hAnsi="宋体" w:cs="宋体"/>
        </w:rPr>
        <w:t>，是中华人民共和国依法登记注册的合法企业，注册地址：</w:t>
      </w:r>
      <w:r>
        <w:rPr>
          <w:rFonts w:hint="eastAsia" w:ascii="宋体" w:hAnsi="宋体" w:cs="宋体"/>
          <w:u w:val="single"/>
        </w:rPr>
        <w:t xml:space="preserve">          </w:t>
      </w:r>
      <w:r>
        <w:rPr>
          <w:rFonts w:hint="eastAsia" w:ascii="宋体" w:hAnsi="宋体" w:cs="宋体"/>
        </w:rPr>
        <w:t>，法定代表人：__________。</w:t>
      </w:r>
    </w:p>
    <w:p>
      <w:pPr>
        <w:spacing w:line="360" w:lineRule="auto"/>
        <w:ind w:firstLine="420" w:firstLineChars="200"/>
        <w:rPr>
          <w:rFonts w:ascii="宋体" w:hAnsi="宋体" w:cs="宋体"/>
        </w:rPr>
      </w:pPr>
      <w:r>
        <w:rPr>
          <w:rFonts w:hint="eastAsia" w:ascii="宋体" w:hAnsi="宋体" w:cs="宋体"/>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rPr>
      </w:pPr>
      <w:r>
        <w:rPr>
          <w:rFonts w:hint="eastAsia" w:ascii="宋体" w:hAnsi="宋体" w:cs="宋体"/>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rPr>
      </w:pPr>
      <w:r>
        <w:rPr>
          <w:rFonts w:hint="eastAsia" w:ascii="宋体" w:hAnsi="宋体" w:cs="宋体"/>
          <w:b/>
        </w:rPr>
        <w:t>投标单位（单位公章）：</w:t>
      </w:r>
    </w:p>
    <w:p>
      <w:pPr>
        <w:spacing w:line="360" w:lineRule="auto"/>
        <w:ind w:firstLine="4620" w:firstLineChars="2200"/>
        <w:rPr>
          <w:rFonts w:ascii="宋体" w:hAnsi="宋体" w:cs="宋体"/>
        </w:rPr>
      </w:pPr>
      <w:r>
        <w:rPr>
          <w:rFonts w:hint="eastAsia" w:ascii="宋体" w:hAnsi="宋体" w:cs="宋体"/>
        </w:rPr>
        <w:t>法定代表人签字或盖章：</w:t>
      </w:r>
    </w:p>
    <w:p>
      <w:pPr>
        <w:spacing w:line="360" w:lineRule="auto"/>
        <w:ind w:firstLine="4620" w:firstLineChars="2200"/>
        <w:rPr>
          <w:rFonts w:ascii="宋体" w:hAnsi="宋体" w:cs="宋体"/>
        </w:rPr>
      </w:pPr>
      <w:r>
        <w:rPr>
          <w:rFonts w:hint="eastAsia" w:ascii="宋体" w:hAnsi="宋体" w:cs="宋体"/>
        </w:rPr>
        <w:t>日 期：    年   月  日</w:t>
      </w:r>
    </w:p>
    <w:p>
      <w:pPr>
        <w:spacing w:line="360" w:lineRule="auto"/>
        <w:rPr>
          <w:rFonts w:ascii="宋体" w:hAnsi="宋体" w:cs="宋体"/>
        </w:rPr>
      </w:pPr>
      <w:r>
        <w:rPr>
          <w:rFonts w:hint="eastAsia" w:ascii="宋体" w:hAnsi="宋体" w:cs="宋体"/>
        </w:rPr>
        <w:t>附：</w:t>
      </w:r>
    </w:p>
    <w:p>
      <w:pPr>
        <w:spacing w:line="360" w:lineRule="auto"/>
        <w:rPr>
          <w:rFonts w:ascii="宋体" w:hAnsi="宋体" w:cs="宋体"/>
        </w:rPr>
      </w:pPr>
      <w:r>
        <w:rPr>
          <w:rFonts w:hint="eastAsia" w:ascii="宋体" w:hAnsi="宋体" w:cs="宋体"/>
          <w:b/>
          <w:szCs w:val="21"/>
        </w:rPr>
        <w:t>同时</w:t>
      </w:r>
      <w:r>
        <w:rPr>
          <w:rFonts w:hint="eastAsia" w:ascii="宋体" w:hAnsi="宋体" w:cs="宋体"/>
          <w:b/>
        </w:rPr>
        <w:t>提供投标专用章在公安、工商等部门的备案手续复印件（加盖单位公章）</w:t>
      </w:r>
    </w:p>
    <w:p>
      <w:pPr>
        <w:spacing w:line="360" w:lineRule="auto"/>
        <w:rPr>
          <w:rFonts w:ascii="宋体" w:hAnsi="宋体" w:cs="宋体"/>
        </w:rPr>
      </w:pPr>
      <w:r>
        <w:rPr>
          <w:rFonts w:hint="eastAsia" w:ascii="宋体" w:hAnsi="宋体" w:cs="宋体"/>
        </w:rPr>
        <w:t>投标单位公章（印模）                             投标单位投标专用章（印模）</w:t>
      </w: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2937510</wp:posOffset>
                </wp:positionH>
                <wp:positionV relativeFrom="paragraph">
                  <wp:posOffset>267335</wp:posOffset>
                </wp:positionV>
                <wp:extent cx="2665730" cy="1966595"/>
                <wp:effectExtent l="6350" t="6350" r="1016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5408;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267335</wp:posOffset>
                </wp:positionV>
                <wp:extent cx="2380615" cy="1966595"/>
                <wp:effectExtent l="6350" t="6350" r="2095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4384;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rPr>
      </w:pPr>
    </w:p>
    <w:p>
      <w:pPr>
        <w:pStyle w:val="14"/>
        <w:spacing w:line="360" w:lineRule="auto"/>
        <w:rPr>
          <w:rFonts w:ascii="宋体" w:hAnsi="宋体" w:eastAsia="宋体" w:cs="宋体"/>
          <w:bCs/>
          <w:szCs w:val="21"/>
        </w:rPr>
      </w:pPr>
    </w:p>
    <w:p>
      <w:pPr>
        <w:spacing w:line="360" w:lineRule="auto"/>
        <w:rPr>
          <w:rFonts w:ascii="宋体" w:hAnsi="宋体" w:cs="宋体"/>
          <w:kern w:val="0"/>
        </w:rPr>
      </w:pPr>
    </w:p>
    <w:p>
      <w:pPr>
        <w:spacing w:line="360" w:lineRule="auto"/>
        <w:ind w:left="2879" w:leftChars="1371"/>
        <w:jc w:val="right"/>
        <w:rPr>
          <w:rFonts w:ascii="宋体" w:hAnsi="宋体" w:cs="宋体"/>
          <w:sz w:val="24"/>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rPr>
          <w:rFonts w:ascii="宋体" w:hAnsi="宋体" w:cs="宋体"/>
          <w:bCs/>
          <w:szCs w:val="21"/>
        </w:rPr>
      </w:pPr>
    </w:p>
    <w:p>
      <w:pPr>
        <w:widowControl/>
        <w:jc w:val="left"/>
        <w:rPr>
          <w:rFonts w:ascii="宋体" w:hAnsi="宋体" w:cs="宋体"/>
          <w:szCs w:val="21"/>
        </w:rPr>
      </w:pPr>
      <w:r>
        <w:rPr>
          <w:rFonts w:hint="eastAsia" w:ascii="宋体" w:hAnsi="宋体" w:cs="宋体"/>
        </w:rPr>
        <w:br w:type="page"/>
      </w:r>
    </w:p>
    <w:p>
      <w:pPr>
        <w:pStyle w:val="37"/>
        <w:tabs>
          <w:tab w:val="left" w:pos="588"/>
        </w:tabs>
        <w:snapToGrid w:val="0"/>
        <w:spacing w:before="120" w:after="120" w:line="440" w:lineRule="exact"/>
        <w:ind w:left="142"/>
        <w:jc w:val="left"/>
        <w:rPr>
          <w:rFonts w:ascii="宋体" w:hAnsi="宋体" w:cs="宋体"/>
          <w:sz w:val="24"/>
          <w:szCs w:val="24"/>
        </w:rPr>
      </w:pPr>
      <w:bookmarkStart w:id="762" w:name="_Toc1507"/>
      <w:r>
        <w:rPr>
          <w:rFonts w:hint="eastAsia" w:ascii="宋体" w:hAnsi="宋体" w:cs="宋体"/>
          <w:sz w:val="24"/>
          <w:szCs w:val="24"/>
        </w:rPr>
        <w:t>13.其他资料</w:t>
      </w:r>
      <w:bookmarkEnd w:id="749"/>
      <w:bookmarkEnd w:id="753"/>
      <w:bookmarkEnd w:id="759"/>
      <w:bookmarkEnd w:id="760"/>
      <w:r>
        <w:rPr>
          <w:rFonts w:hint="eastAsia" w:ascii="宋体" w:hAnsi="宋体" w:cs="宋体"/>
          <w:sz w:val="24"/>
          <w:szCs w:val="24"/>
        </w:rPr>
        <w:t>（若有）</w:t>
      </w:r>
      <w:bookmarkEnd w:id="761"/>
      <w:bookmarkEnd w:id="762"/>
    </w:p>
    <w:p>
      <w:pPr>
        <w:ind w:firstLine="420" w:firstLineChars="200"/>
        <w:outlineLvl w:val="1"/>
        <w:rPr>
          <w:rFonts w:ascii="宋体" w:hAnsi="宋体" w:cs="宋体"/>
        </w:rPr>
      </w:pPr>
      <w:bookmarkStart w:id="763" w:name="_Toc528"/>
      <w:bookmarkStart w:id="764" w:name="_Toc18074"/>
      <w:bookmarkStart w:id="765" w:name="_Toc12045"/>
      <w:r>
        <w:rPr>
          <w:rFonts w:hint="eastAsia" w:ascii="宋体" w:hAnsi="宋体" w:cs="宋体"/>
        </w:rPr>
        <w:t>13.1 企业认证、资质、荣誉证书（若有）</w:t>
      </w:r>
      <w:bookmarkEnd w:id="763"/>
      <w:bookmarkEnd w:id="764"/>
      <w:bookmarkEnd w:id="765"/>
    </w:p>
    <w:tbl>
      <w:tblPr>
        <w:tblStyle w:val="41"/>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ascii="宋体" w:hAnsi="宋体" w:cs="宋体"/>
        </w:rPr>
      </w:pPr>
      <w:r>
        <w:rPr>
          <w:rFonts w:hint="eastAsia" w:ascii="宋体" w:hAnsi="宋体" w:cs="宋体"/>
        </w:rPr>
        <w:t>注：须提供相关证书证明材料复印件。</w:t>
      </w:r>
    </w:p>
    <w:p>
      <w:pPr>
        <w:ind w:firstLine="420" w:firstLineChars="200"/>
        <w:rPr>
          <w:rFonts w:ascii="宋体" w:hAnsi="宋体" w:cs="宋体"/>
        </w:rPr>
      </w:pPr>
    </w:p>
    <w:p>
      <w:pPr>
        <w:pStyle w:val="58"/>
        <w:rPr>
          <w:rFonts w:ascii="宋体" w:hAnsi="宋体" w:cs="宋体"/>
        </w:rPr>
      </w:pPr>
    </w:p>
    <w:p>
      <w:pPr>
        <w:pStyle w:val="58"/>
        <w:rPr>
          <w:rFonts w:ascii="宋体" w:hAnsi="宋体" w:cs="宋体"/>
        </w:rPr>
      </w:pPr>
    </w:p>
    <w:p>
      <w:pPr>
        <w:pStyle w:val="58"/>
        <w:rPr>
          <w:rFonts w:ascii="宋体" w:hAnsi="宋体" w:cs="宋体"/>
        </w:rPr>
      </w:pPr>
    </w:p>
    <w:p>
      <w:pPr>
        <w:pStyle w:val="58"/>
        <w:rPr>
          <w:rFonts w:ascii="宋体" w:hAnsi="宋体" w:cs="宋体"/>
        </w:rPr>
      </w:pPr>
    </w:p>
    <w:bookmarkEnd w:id="735"/>
    <w:p>
      <w:pPr>
        <w:pStyle w:val="37"/>
        <w:tabs>
          <w:tab w:val="left" w:pos="588"/>
        </w:tabs>
        <w:snapToGrid w:val="0"/>
        <w:spacing w:before="120" w:after="120" w:line="440" w:lineRule="exact"/>
        <w:jc w:val="left"/>
        <w:rPr>
          <w:rFonts w:ascii="宋体" w:hAnsi="宋体" w:cs="宋体"/>
          <w:sz w:val="24"/>
          <w:szCs w:val="24"/>
        </w:rPr>
      </w:pPr>
      <w:bookmarkStart w:id="766" w:name="_Toc18931"/>
      <w:bookmarkStart w:id="767" w:name="_Toc32536"/>
      <w:bookmarkStart w:id="768" w:name="_Toc13366"/>
      <w:bookmarkStart w:id="769" w:name="_Toc1391"/>
      <w:bookmarkStart w:id="770" w:name="_Toc56432248"/>
      <w:bookmarkStart w:id="771" w:name="_Toc475472692"/>
      <w:bookmarkStart w:id="772" w:name="_Toc1651920"/>
      <w:r>
        <w:rPr>
          <w:rFonts w:hint="eastAsia" w:ascii="宋体" w:hAnsi="宋体" w:cs="宋体"/>
          <w:sz w:val="24"/>
          <w:szCs w:val="24"/>
        </w:rPr>
        <w:t>14.服务方案</w:t>
      </w:r>
      <w:bookmarkEnd w:id="766"/>
      <w:bookmarkEnd w:id="767"/>
      <w:r>
        <w:rPr>
          <w:rFonts w:hint="eastAsia" w:ascii="宋体" w:hAnsi="宋体" w:cs="宋体"/>
          <w:sz w:val="24"/>
          <w:szCs w:val="24"/>
        </w:rPr>
        <w:t>（格式自拟）</w:t>
      </w:r>
      <w:bookmarkEnd w:id="768"/>
      <w:bookmarkEnd w:id="769"/>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0"/>
    </w:p>
    <w:p>
      <w:pPr>
        <w:rPr>
          <w:rFonts w:ascii="宋体" w:hAnsi="宋体" w:cs="宋体"/>
          <w:szCs w:val="21"/>
        </w:rPr>
      </w:pPr>
    </w:p>
    <w:p>
      <w:pPr>
        <w:rPr>
          <w:rFonts w:ascii="宋体" w:hAnsi="宋体" w:cs="宋体"/>
          <w:sz w:val="24"/>
        </w:rPr>
      </w:pPr>
    </w:p>
    <w:p>
      <w:pPr>
        <w:pStyle w:val="37"/>
        <w:tabs>
          <w:tab w:val="left" w:pos="588"/>
        </w:tabs>
        <w:snapToGrid w:val="0"/>
        <w:spacing w:before="120" w:after="120" w:line="440" w:lineRule="exact"/>
        <w:jc w:val="left"/>
        <w:rPr>
          <w:rFonts w:ascii="宋体" w:hAnsi="宋体" w:cs="宋体"/>
          <w:sz w:val="24"/>
          <w:szCs w:val="24"/>
        </w:rPr>
      </w:pPr>
      <w:bookmarkStart w:id="773" w:name="_Toc24606"/>
      <w:bookmarkStart w:id="774" w:name="_Toc19613"/>
      <w:r>
        <w:rPr>
          <w:rFonts w:hint="eastAsia" w:ascii="宋体" w:hAnsi="宋体" w:cs="宋体"/>
          <w:sz w:val="24"/>
          <w:szCs w:val="24"/>
        </w:rPr>
        <w:t>15.投标人认为需要提供的其他资料</w:t>
      </w:r>
      <w:bookmarkEnd w:id="773"/>
    </w:p>
    <w:p>
      <w:pPr>
        <w:pStyle w:val="37"/>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74"/>
    </w:p>
    <w:bookmarkEnd w:id="771"/>
    <w:bookmarkEnd w:id="772"/>
    <w:p>
      <w:pPr>
        <w:pStyle w:val="37"/>
        <w:tabs>
          <w:tab w:val="left" w:pos="588"/>
        </w:tabs>
        <w:snapToGrid w:val="0"/>
        <w:spacing w:before="120" w:after="120" w:line="440" w:lineRule="exact"/>
        <w:ind w:left="425"/>
        <w:jc w:val="left"/>
        <w:rPr>
          <w:rFonts w:ascii="宋体" w:hAnsi="宋体" w:cs="宋体"/>
          <w:sz w:val="24"/>
          <w:szCs w:val="24"/>
        </w:rPr>
      </w:pPr>
      <w:bookmarkStart w:id="775" w:name="_Toc9532"/>
      <w:bookmarkStart w:id="776" w:name="_Toc24158"/>
      <w:bookmarkStart w:id="777" w:name="_Toc8581"/>
      <w:bookmarkStart w:id="778" w:name="_Toc31808"/>
      <w:bookmarkStart w:id="779" w:name="_Toc56432252"/>
      <w:bookmarkStart w:id="780" w:name="_Toc1651921"/>
      <w:bookmarkStart w:id="781" w:name="_Toc475472693"/>
      <w:r>
        <w:rPr>
          <w:rFonts w:hint="eastAsia" w:ascii="宋体" w:hAnsi="宋体" w:cs="宋体"/>
          <w:sz w:val="24"/>
          <w:szCs w:val="24"/>
        </w:rPr>
        <w:t>第二分册</w:t>
      </w:r>
      <w:bookmarkEnd w:id="775"/>
      <w:bookmarkEnd w:id="776"/>
      <w:bookmarkEnd w:id="777"/>
      <w:bookmarkEnd w:id="778"/>
      <w:bookmarkEnd w:id="779"/>
      <w:bookmarkEnd w:id="780"/>
    </w:p>
    <w:p>
      <w:pPr>
        <w:pStyle w:val="37"/>
        <w:numPr>
          <w:ilvl w:val="0"/>
          <w:numId w:val="29"/>
        </w:numPr>
        <w:tabs>
          <w:tab w:val="left" w:pos="588"/>
        </w:tabs>
        <w:snapToGrid w:val="0"/>
        <w:spacing w:before="120" w:after="120" w:line="440" w:lineRule="exact"/>
        <w:jc w:val="left"/>
        <w:rPr>
          <w:rFonts w:ascii="宋体" w:hAnsi="宋体" w:cs="宋体"/>
          <w:sz w:val="24"/>
          <w:szCs w:val="24"/>
        </w:rPr>
      </w:pPr>
      <w:bookmarkStart w:id="782" w:name="_Toc4668"/>
      <w:bookmarkStart w:id="783" w:name="_Toc25276"/>
      <w:bookmarkStart w:id="784" w:name="_Toc3918"/>
      <w:bookmarkStart w:id="785" w:name="_Toc25187"/>
      <w:bookmarkStart w:id="786" w:name="_Toc56432253"/>
      <w:bookmarkStart w:id="787" w:name="_Toc1651922"/>
      <w:r>
        <w:rPr>
          <w:rFonts w:hint="eastAsia" w:ascii="宋体" w:hAnsi="宋体" w:cs="宋体"/>
          <w:sz w:val="24"/>
          <w:szCs w:val="24"/>
        </w:rPr>
        <w:t>经济投标文件封面</w:t>
      </w:r>
      <w:bookmarkEnd w:id="781"/>
      <w:bookmarkEnd w:id="782"/>
      <w:bookmarkEnd w:id="783"/>
      <w:bookmarkEnd w:id="784"/>
      <w:bookmarkEnd w:id="785"/>
      <w:bookmarkEnd w:id="786"/>
      <w:bookmarkEnd w:id="787"/>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7"/>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29"/>
        </w:numPr>
        <w:tabs>
          <w:tab w:val="left" w:pos="588"/>
        </w:tabs>
        <w:snapToGrid w:val="0"/>
        <w:spacing w:before="120" w:after="120" w:line="440" w:lineRule="exact"/>
        <w:jc w:val="left"/>
        <w:rPr>
          <w:rFonts w:ascii="宋体" w:hAnsi="宋体" w:cs="宋体"/>
          <w:sz w:val="24"/>
          <w:szCs w:val="24"/>
        </w:rPr>
      </w:pPr>
      <w:bookmarkStart w:id="788" w:name="_Toc29538"/>
      <w:bookmarkStart w:id="789" w:name="_Toc1651923"/>
      <w:bookmarkStart w:id="790" w:name="_Toc1102"/>
      <w:bookmarkStart w:id="791" w:name="_Toc56432254"/>
      <w:bookmarkStart w:id="792" w:name="_Toc21302"/>
      <w:bookmarkStart w:id="793" w:name="_Toc28564"/>
      <w:bookmarkStart w:id="794" w:name="_Toc10481"/>
      <w:bookmarkStart w:id="795" w:name="_Toc2828"/>
      <w:bookmarkStart w:id="796" w:name="_Toc1651925"/>
      <w:bookmarkStart w:id="797" w:name="_Toc56432256"/>
      <w:r>
        <w:rPr>
          <w:rFonts w:hint="eastAsia" w:ascii="宋体" w:hAnsi="宋体" w:cs="宋体"/>
          <w:sz w:val="24"/>
          <w:szCs w:val="24"/>
        </w:rPr>
        <w:t>报价一览表</w:t>
      </w:r>
      <w:bookmarkEnd w:id="788"/>
      <w:bookmarkEnd w:id="789"/>
      <w:bookmarkEnd w:id="790"/>
      <w:bookmarkEnd w:id="791"/>
      <w:bookmarkEnd w:id="792"/>
      <w:bookmarkEnd w:id="793"/>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赴欧非亚三国交流活动行程服务项目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WJS-202310240085</w:t>
      </w:r>
      <w:r>
        <w:rPr>
          <w:rFonts w:hint="eastAsia" w:ascii="宋体" w:hAnsi="宋体" w:cs="宋体"/>
          <w:szCs w:val="21"/>
        </w:rPr>
        <w:t xml:space="preserve"> </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48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2839"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含税总报价（元）</w:t>
            </w:r>
          </w:p>
        </w:tc>
        <w:tc>
          <w:tcPr>
            <w:tcW w:w="774"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赴欧非亚三国交流活动行程服务项目</w:t>
            </w:r>
          </w:p>
        </w:tc>
        <w:tc>
          <w:tcPr>
            <w:tcW w:w="2839" w:type="pct"/>
            <w:shd w:val="clear" w:color="auto" w:fill="auto"/>
            <w:vAlign w:val="center"/>
          </w:tcPr>
          <w:p>
            <w:pPr>
              <w:shd w:val="clear" w:color="auto" w:fill="FFFFFF" w:themeFill="background1"/>
              <w:jc w:val="center"/>
              <w:rPr>
                <w:rFonts w:hint="eastAsia" w:ascii="宋体" w:hAnsi="宋体" w:cs="宋体"/>
                <w:kern w:val="0"/>
                <w:szCs w:val="21"/>
                <w:lang w:val="en-US" w:eastAsia="zh-CN"/>
              </w:rPr>
            </w:pPr>
            <w:r>
              <w:rPr>
                <w:rFonts w:hint="eastAsia" w:ascii="宋体" w:hAnsi="宋体" w:cs="宋体"/>
                <w:kern w:val="0"/>
                <w:szCs w:val="21"/>
                <w:lang w:val="en-US" w:eastAsia="zh-CN"/>
              </w:rPr>
              <w:t>小写：</w:t>
            </w:r>
          </w:p>
          <w:p>
            <w:pPr>
              <w:pStyle w:val="39"/>
              <w:ind w:left="0" w:leftChars="0" w:firstLine="0" w:firstLineChars="0"/>
              <w:jc w:val="center"/>
              <w:rPr>
                <w:rFonts w:hint="default"/>
                <w:lang w:val="en-US" w:eastAsia="zh-CN"/>
              </w:rPr>
            </w:pPr>
            <w:r>
              <w:rPr>
                <w:rFonts w:hint="eastAsia" w:ascii="宋体" w:hAnsi="宋体" w:cs="宋体"/>
                <w:kern w:val="0"/>
                <w:szCs w:val="21"/>
                <w:lang w:val="en-US" w:eastAsia="zh-CN"/>
              </w:rPr>
              <w:t>大写：</w:t>
            </w:r>
          </w:p>
        </w:tc>
        <w:tc>
          <w:tcPr>
            <w:tcW w:w="774" w:type="pct"/>
            <w:shd w:val="clear" w:color="auto" w:fill="auto"/>
            <w:vAlign w:val="center"/>
          </w:tcPr>
          <w:p>
            <w:pPr>
              <w:shd w:val="clear" w:color="auto" w:fill="FFFFFF" w:themeFill="background1"/>
              <w:jc w:val="center"/>
              <w:rPr>
                <w:rFonts w:ascii="宋体" w:hAnsi="宋体" w:cs="宋体"/>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w:t>
      </w:r>
      <w:r>
        <w:rPr>
          <w:rFonts w:hint="eastAsia" w:ascii="宋体" w:hAnsi="宋体" w:cs="宋体"/>
          <w:b/>
          <w:bCs/>
          <w:szCs w:val="21"/>
          <w:lang w:eastAsia="zh-CN"/>
        </w:rPr>
        <w:t>1880000.00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sz w:val="24"/>
          <w:szCs w:val="24"/>
        </w:rPr>
      </w:pPr>
      <w:bookmarkStart w:id="798" w:name="_Toc20456"/>
      <w:r>
        <w:rPr>
          <w:rFonts w:hint="eastAsia" w:ascii="宋体" w:hAnsi="宋体" w:cs="宋体"/>
          <w:sz w:val="24"/>
          <w:szCs w:val="24"/>
        </w:rPr>
        <w:br w:type="page"/>
      </w:r>
    </w:p>
    <w:p>
      <w:pPr>
        <w:pStyle w:val="37"/>
        <w:numPr>
          <w:ilvl w:val="0"/>
          <w:numId w:val="29"/>
        </w:numPr>
        <w:tabs>
          <w:tab w:val="left" w:pos="588"/>
        </w:tabs>
        <w:snapToGrid w:val="0"/>
        <w:spacing w:before="120" w:after="120" w:line="440" w:lineRule="exact"/>
        <w:jc w:val="left"/>
        <w:rPr>
          <w:rFonts w:ascii="宋体" w:hAnsi="宋体" w:cs="宋体"/>
          <w:sz w:val="24"/>
          <w:szCs w:val="24"/>
        </w:rPr>
      </w:pPr>
      <w:bookmarkStart w:id="799" w:name="_Toc30835"/>
      <w:r>
        <w:rPr>
          <w:rFonts w:hint="eastAsia" w:ascii="宋体" w:hAnsi="宋体" w:cs="宋体"/>
          <w:sz w:val="24"/>
          <w:szCs w:val="24"/>
        </w:rPr>
        <w:t>分项一览表</w:t>
      </w:r>
      <w:bookmarkEnd w:id="794"/>
      <w:bookmarkEnd w:id="798"/>
      <w:r>
        <w:rPr>
          <w:rFonts w:hint="eastAsia" w:ascii="宋体" w:hAnsi="宋体" w:cs="宋体"/>
          <w:sz w:val="24"/>
          <w:szCs w:val="24"/>
          <w:lang w:eastAsia="zh-CN"/>
        </w:rPr>
        <w:t>（</w:t>
      </w:r>
      <w:r>
        <w:rPr>
          <w:rFonts w:hint="eastAsia" w:ascii="宋体" w:hAnsi="宋体" w:cs="宋体"/>
          <w:sz w:val="24"/>
          <w:szCs w:val="24"/>
          <w:lang w:val="en-US" w:eastAsia="zh-CN"/>
        </w:rPr>
        <w:t>格式自拟</w:t>
      </w:r>
      <w:r>
        <w:rPr>
          <w:rFonts w:hint="eastAsia" w:ascii="宋体" w:hAnsi="宋体" w:cs="宋体"/>
          <w:sz w:val="24"/>
          <w:szCs w:val="24"/>
          <w:lang w:eastAsia="zh-CN"/>
        </w:rPr>
        <w:t>）</w:t>
      </w:r>
      <w:bookmarkEnd w:id="799"/>
    </w:p>
    <w:p>
      <w:pPr>
        <w:spacing w:line="360" w:lineRule="auto"/>
        <w:rPr>
          <w:rFonts w:hint="eastAsia" w:ascii="宋体" w:hAnsi="宋体" w:eastAsia="宋体" w:cs="宋体"/>
          <w:u w:val="single"/>
          <w:lang w:eastAsia="zh-CN"/>
        </w:rPr>
      </w:pPr>
      <w:r>
        <w:rPr>
          <w:rFonts w:hint="eastAsia" w:ascii="宋体" w:hAnsi="宋体" w:cs="宋体"/>
        </w:rPr>
        <w:t>项目名称：</w:t>
      </w:r>
      <w:r>
        <w:rPr>
          <w:rFonts w:hint="eastAsia" w:ascii="宋体" w:hAnsi="宋体" w:cs="宋体"/>
          <w:szCs w:val="21"/>
          <w:lang w:eastAsia="zh-CN"/>
        </w:rPr>
        <w:t>赴欧非亚三国交流活动行程服务项目</w:t>
      </w:r>
    </w:p>
    <w:p>
      <w:pPr>
        <w:autoSpaceDE w:val="0"/>
        <w:autoSpaceDN w:val="0"/>
        <w:adjustRightInd w:val="0"/>
        <w:ind w:left="424" w:hanging="424" w:hangingChars="202"/>
        <w:jc w:val="left"/>
        <w:rPr>
          <w:rFonts w:hint="eastAsia" w:ascii="宋体" w:hAnsi="宋体" w:eastAsia="宋体" w:cs="宋体"/>
          <w:szCs w:val="21"/>
          <w:lang w:eastAsia="zh-CN"/>
        </w:rPr>
      </w:pPr>
      <w:r>
        <w:rPr>
          <w:rFonts w:hint="eastAsia" w:ascii="宋体" w:hAnsi="宋体" w:cs="宋体"/>
        </w:rPr>
        <w:t>招标代理机构编号：</w:t>
      </w:r>
      <w:r>
        <w:rPr>
          <w:rFonts w:hint="eastAsia" w:ascii="宋体" w:hAnsi="宋体" w:cs="宋体"/>
          <w:szCs w:val="21"/>
          <w:lang w:eastAsia="zh-CN"/>
        </w:rPr>
        <w:t>WJS-202310240085</w:t>
      </w:r>
    </w:p>
    <w:p>
      <w:pPr>
        <w:pStyle w:val="18"/>
        <w:rPr>
          <w:rFonts w:ascii="宋体" w:hAnsi="宋体" w:cs="宋体"/>
          <w:sz w:val="21"/>
          <w:szCs w:val="21"/>
        </w:rPr>
      </w:pPr>
    </w:p>
    <w:p>
      <w:pPr>
        <w:rPr>
          <w:rFonts w:ascii="宋体" w:hAnsi="宋体" w:cs="宋体"/>
          <w:sz w:val="21"/>
          <w:szCs w:val="21"/>
        </w:rPr>
      </w:pPr>
    </w:p>
    <w:p>
      <w:pPr>
        <w:pStyle w:val="18"/>
        <w:rPr>
          <w:rFonts w:ascii="宋体" w:hAnsi="宋体" w:cs="宋体"/>
          <w:sz w:val="21"/>
          <w:szCs w:val="21"/>
        </w:rPr>
      </w:pPr>
    </w:p>
    <w:p>
      <w:pPr>
        <w:rPr>
          <w:rFonts w:ascii="宋体" w:hAnsi="宋体" w:cs="宋体"/>
          <w:sz w:val="21"/>
          <w:szCs w:val="21"/>
        </w:rPr>
      </w:pPr>
    </w:p>
    <w:p>
      <w:pPr>
        <w:pStyle w:val="18"/>
        <w:rPr>
          <w:rFonts w:ascii="宋体" w:hAnsi="宋体" w:cs="宋体"/>
          <w:sz w:val="21"/>
          <w:szCs w:val="21"/>
        </w:rPr>
      </w:pPr>
    </w:p>
    <w:p/>
    <w:p>
      <w:pPr>
        <w:pStyle w:val="39"/>
        <w:framePr w:wrap="around"/>
        <w:rPr>
          <w:rFonts w:ascii="宋体" w:hAnsi="宋体" w:eastAsia="宋体" w:cs="宋体"/>
          <w:color w:val="auto"/>
        </w:rPr>
      </w:pPr>
    </w:p>
    <w:p>
      <w:pPr>
        <w:pStyle w:val="18"/>
        <w:rPr>
          <w:rFonts w:ascii="宋体" w:hAnsi="宋体" w:cs="宋体"/>
          <w:sz w:val="21"/>
          <w:szCs w:val="21"/>
        </w:rPr>
      </w:pPr>
      <w:r>
        <w:rPr>
          <w:rFonts w:hint="eastAsia" w:ascii="宋体" w:hAnsi="宋体" w:cs="宋体"/>
          <w:sz w:val="21"/>
          <w:szCs w:val="21"/>
        </w:rPr>
        <w:t>1、投标报价为投标人最终的投标报价，含税价格应包括报价单位提供的服务及配套服务等全部费用（包含但不限于附加税），报价单位在中标后不得要求招标人提供额外费用。</w:t>
      </w:r>
    </w:p>
    <w:p>
      <w:pPr>
        <w:pStyle w:val="18"/>
        <w:rPr>
          <w:rFonts w:ascii="宋体" w:hAnsi="宋体" w:cs="宋体"/>
          <w:sz w:val="21"/>
          <w:szCs w:val="21"/>
        </w:rPr>
      </w:pPr>
      <w:r>
        <w:rPr>
          <w:rFonts w:hint="eastAsia" w:ascii="宋体" w:hAnsi="宋体" w:cs="宋体"/>
          <w:sz w:val="21"/>
          <w:szCs w:val="21"/>
        </w:rPr>
        <w:t>2、请投标人进行详细的报价清单分析。</w:t>
      </w:r>
    </w:p>
    <w:p>
      <w:pPr>
        <w:pStyle w:val="18"/>
        <w:rPr>
          <w:rFonts w:hint="default" w:ascii="宋体" w:hAnsi="宋体" w:eastAsia="宋体" w:cs="宋体"/>
          <w:sz w:val="21"/>
          <w:szCs w:val="21"/>
          <w:lang w:val="en-US" w:eastAsia="zh-CN"/>
        </w:rPr>
      </w:pPr>
      <w:r>
        <w:rPr>
          <w:rFonts w:hint="eastAsia" w:ascii="宋体" w:hAnsi="宋体" w:cs="宋体"/>
          <w:sz w:val="21"/>
          <w:szCs w:val="21"/>
        </w:rPr>
        <w:t>3、分项报价表合计总价应与报价一览表的含税总报价一致。</w:t>
      </w:r>
    </w:p>
    <w:p>
      <w:pPr>
        <w:pStyle w:val="18"/>
        <w:rPr>
          <w:rFonts w:ascii="宋体" w:hAnsi="宋体" w:cs="宋体"/>
          <w:sz w:val="21"/>
          <w:szCs w:val="21"/>
        </w:rPr>
      </w:pPr>
    </w:p>
    <w:p>
      <w:pPr>
        <w:pStyle w:val="18"/>
        <w:rPr>
          <w:rFonts w:ascii="宋体" w:hAnsi="宋体" w:cs="宋体"/>
          <w:sz w:val="21"/>
          <w:szCs w:val="21"/>
        </w:rPr>
      </w:pPr>
    </w:p>
    <w:p>
      <w:pPr>
        <w:pStyle w:val="18"/>
        <w:rPr>
          <w:rFonts w:ascii="宋体" w:hAnsi="宋体" w:cs="宋体"/>
          <w:sz w:val="21"/>
          <w:szCs w:val="21"/>
        </w:rPr>
      </w:pPr>
    </w:p>
    <w:p>
      <w:pPr>
        <w:pStyle w:val="18"/>
        <w:rPr>
          <w:rFonts w:ascii="宋体" w:hAnsi="宋体" w:cs="宋体"/>
        </w:rPr>
      </w:pPr>
    </w:p>
    <w:p>
      <w:pPr>
        <w:pStyle w:val="18"/>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37"/>
        <w:numPr>
          <w:ilvl w:val="0"/>
          <w:numId w:val="29"/>
        </w:numPr>
        <w:tabs>
          <w:tab w:val="left" w:pos="588"/>
        </w:tabs>
        <w:snapToGrid w:val="0"/>
        <w:spacing w:before="120" w:after="120" w:line="440" w:lineRule="exact"/>
        <w:jc w:val="left"/>
        <w:rPr>
          <w:rFonts w:ascii="宋体" w:hAnsi="宋体" w:cs="宋体"/>
          <w:sz w:val="24"/>
          <w:szCs w:val="24"/>
        </w:rPr>
      </w:pPr>
      <w:bookmarkStart w:id="800" w:name="_Toc18850"/>
      <w:bookmarkStart w:id="801" w:name="_Toc28667"/>
      <w:bookmarkStart w:id="802" w:name="_Toc5120"/>
      <w:r>
        <w:rPr>
          <w:rFonts w:hint="eastAsia" w:ascii="宋体" w:hAnsi="宋体" w:cs="宋体"/>
          <w:sz w:val="24"/>
          <w:szCs w:val="24"/>
        </w:rPr>
        <w:t>招标代理服务费承诺书</w:t>
      </w:r>
      <w:bookmarkEnd w:id="795"/>
      <w:bookmarkEnd w:id="796"/>
      <w:bookmarkEnd w:id="797"/>
      <w:bookmarkEnd w:id="800"/>
      <w:bookmarkEnd w:id="801"/>
      <w:bookmarkEnd w:id="802"/>
    </w:p>
    <w:p>
      <w:pPr>
        <w:spacing w:line="360" w:lineRule="auto"/>
        <w:rPr>
          <w:rFonts w:hint="eastAsia" w:ascii="宋体" w:hAnsi="宋体" w:eastAsia="宋体" w:cs="宋体"/>
          <w:szCs w:val="21"/>
          <w:lang w:eastAsia="zh-CN"/>
        </w:rPr>
      </w:pPr>
      <w:bookmarkStart w:id="803" w:name="_Toc1651926"/>
      <w:r>
        <w:rPr>
          <w:rFonts w:hint="eastAsia" w:ascii="宋体" w:hAnsi="宋体" w:cs="宋体"/>
          <w:szCs w:val="21"/>
        </w:rPr>
        <w:t>致：广东省南方文化产权交易所股份有限公司、</w:t>
      </w:r>
      <w:r>
        <w:rPr>
          <w:rFonts w:hint="eastAsia" w:ascii="宋体" w:hAnsi="宋体" w:cs="宋体"/>
          <w:szCs w:val="21"/>
          <w:lang w:eastAsia="zh-CN"/>
        </w:rPr>
        <w:t>广东南方网络信息科技有限公司</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lang w:eastAsia="zh-CN"/>
        </w:rPr>
        <w:t>赴欧非亚三国交流活动行程服务项目</w:t>
      </w:r>
      <w:r>
        <w:rPr>
          <w:rFonts w:hint="eastAsia" w:ascii="宋体" w:hAnsi="宋体" w:cs="宋体"/>
        </w:rPr>
        <w:t>”招标中获中标（招标代理编号：</w:t>
      </w:r>
      <w:r>
        <w:rPr>
          <w:rFonts w:hint="eastAsia" w:ascii="宋体" w:hAnsi="宋体" w:cs="宋体"/>
          <w:lang w:eastAsia="zh-CN"/>
        </w:rPr>
        <w:t>WJS-202310240085</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1"/>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7"/>
        <w:numPr>
          <w:ilvl w:val="0"/>
          <w:numId w:val="29"/>
        </w:numPr>
        <w:tabs>
          <w:tab w:val="left" w:pos="588"/>
        </w:tabs>
        <w:snapToGrid w:val="0"/>
        <w:spacing w:before="120" w:after="120" w:line="440" w:lineRule="exact"/>
        <w:jc w:val="left"/>
        <w:rPr>
          <w:rFonts w:ascii="宋体" w:hAnsi="宋体" w:cs="宋体"/>
          <w:sz w:val="24"/>
          <w:szCs w:val="24"/>
        </w:rPr>
      </w:pPr>
      <w:bookmarkStart w:id="804" w:name="_Toc26412"/>
      <w:bookmarkStart w:id="805" w:name="_Toc23630"/>
      <w:bookmarkStart w:id="806" w:name="_Toc17761"/>
      <w:bookmarkStart w:id="807" w:name="_Toc56432257"/>
      <w:bookmarkStart w:id="808" w:name="_Toc571"/>
      <w:r>
        <w:rPr>
          <w:rFonts w:hint="eastAsia" w:ascii="宋体" w:hAnsi="宋体" w:cs="宋体"/>
          <w:sz w:val="24"/>
          <w:szCs w:val="24"/>
        </w:rPr>
        <w:t>投标保证金汇款凭证</w:t>
      </w:r>
      <w:bookmarkEnd w:id="803"/>
      <w:bookmarkEnd w:id="804"/>
      <w:bookmarkEnd w:id="805"/>
      <w:bookmarkEnd w:id="806"/>
      <w:bookmarkEnd w:id="807"/>
      <w:bookmarkEnd w:id="808"/>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Lucida Console">
    <w:panose1 w:val="020B0609040504020204"/>
    <w:charset w:val="00"/>
    <w:family w:val="auto"/>
    <w:pitch w:val="default"/>
    <w:sig w:usb0="8000028F" w:usb1="00001800" w:usb2="00000000" w:usb3="00000000" w:csb0="0000001F" w:csb1="D7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8"/>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F2C30"/>
    <w:multiLevelType w:val="singleLevel"/>
    <w:tmpl w:val="8C3F2C30"/>
    <w:lvl w:ilvl="0" w:tentative="0">
      <w:start w:val="1"/>
      <w:numFmt w:val="decimal"/>
      <w:suff w:val="space"/>
      <w:lvlText w:val="%1."/>
      <w:lvlJc w:val="left"/>
    </w:lvl>
  </w:abstractNum>
  <w:abstractNum w:abstractNumId="1">
    <w:nsid w:val="B2983832"/>
    <w:multiLevelType w:val="singleLevel"/>
    <w:tmpl w:val="B2983832"/>
    <w:lvl w:ilvl="0" w:tentative="0">
      <w:start w:val="1"/>
      <w:numFmt w:val="decimal"/>
      <w:suff w:val="space"/>
      <w:lvlText w:val="%1."/>
      <w:lvlJc w:val="left"/>
    </w:lvl>
  </w:abstractNum>
  <w:abstractNum w:abstractNumId="2">
    <w:nsid w:val="C461DB73"/>
    <w:multiLevelType w:val="singleLevel"/>
    <w:tmpl w:val="C461DB73"/>
    <w:lvl w:ilvl="0" w:tentative="0">
      <w:start w:val="1"/>
      <w:numFmt w:val="decimal"/>
      <w:lvlText w:val="%1."/>
      <w:lvlJc w:val="left"/>
      <w:pPr>
        <w:ind w:left="425" w:hanging="425"/>
      </w:pPr>
      <w:rPr>
        <w:rFonts w:hint="default"/>
      </w:rPr>
    </w:lvl>
  </w:abstractNum>
  <w:abstractNum w:abstractNumId="3">
    <w:nsid w:val="E61E4C49"/>
    <w:multiLevelType w:val="singleLevel"/>
    <w:tmpl w:val="E61E4C49"/>
    <w:lvl w:ilvl="0" w:tentative="0">
      <w:start w:val="1"/>
      <w:numFmt w:val="decimal"/>
      <w:suff w:val="space"/>
      <w:lvlText w:val="%1."/>
      <w:lvlJc w:val="left"/>
    </w:lvl>
  </w:abstractNum>
  <w:abstractNum w:abstractNumId="4">
    <w:nsid w:val="E7DFF5F1"/>
    <w:multiLevelType w:val="singleLevel"/>
    <w:tmpl w:val="E7DFF5F1"/>
    <w:lvl w:ilvl="0" w:tentative="0">
      <w:start w:val="2"/>
      <w:numFmt w:val="chineseCounting"/>
      <w:suff w:val="nothing"/>
      <w:lvlText w:val="（%1）"/>
      <w:lvlJc w:val="left"/>
      <w:rPr>
        <w:rFonts w:hint="eastAsia"/>
      </w:rPr>
    </w:lvl>
  </w:abstractNum>
  <w:abstractNum w:abstractNumId="5">
    <w:nsid w:val="F1303F5C"/>
    <w:multiLevelType w:val="singleLevel"/>
    <w:tmpl w:val="F1303F5C"/>
    <w:lvl w:ilvl="0" w:tentative="0">
      <w:start w:val="1"/>
      <w:numFmt w:val="decimal"/>
      <w:suff w:val="space"/>
      <w:lvlText w:val="%1."/>
      <w:lvlJc w:val="left"/>
    </w:lvl>
  </w:abstractNum>
  <w:abstractNum w:abstractNumId="6">
    <w:nsid w:val="F84D7C22"/>
    <w:multiLevelType w:val="singleLevel"/>
    <w:tmpl w:val="F84D7C22"/>
    <w:lvl w:ilvl="0" w:tentative="0">
      <w:start w:val="5"/>
      <w:numFmt w:val="chineseCounting"/>
      <w:suff w:val="nothing"/>
      <w:lvlText w:val="%1、"/>
      <w:lvlJc w:val="left"/>
      <w:rPr>
        <w:rFonts w:hint="eastAsia"/>
      </w:rPr>
    </w:lvl>
  </w:abstractNum>
  <w:abstractNum w:abstractNumId="7">
    <w:nsid w:val="00000002"/>
    <w:multiLevelType w:val="singleLevel"/>
    <w:tmpl w:val="00000002"/>
    <w:lvl w:ilvl="0" w:tentative="0">
      <w:start w:val="1"/>
      <w:numFmt w:val="chineseCounting"/>
      <w:suff w:val="nothing"/>
      <w:lvlText w:val="%1、"/>
      <w:lvlJc w:val="left"/>
      <w:rPr>
        <w:rFonts w:hint="eastAsia"/>
      </w:rPr>
    </w:lvl>
  </w:abstractNum>
  <w:abstractNum w:abstractNumId="8">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9">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1">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D156370"/>
    <w:multiLevelType w:val="singleLevel"/>
    <w:tmpl w:val="1D156370"/>
    <w:lvl w:ilvl="0" w:tentative="0">
      <w:start w:val="1"/>
      <w:numFmt w:val="decimal"/>
      <w:suff w:val="space"/>
      <w:lvlText w:val="%1."/>
      <w:lvlJc w:val="left"/>
    </w:lvl>
  </w:abstractNum>
  <w:abstractNum w:abstractNumId="14">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4566B89A"/>
    <w:multiLevelType w:val="singleLevel"/>
    <w:tmpl w:val="4566B89A"/>
    <w:lvl w:ilvl="0" w:tentative="0">
      <w:start w:val="1"/>
      <w:numFmt w:val="decimal"/>
      <w:suff w:val="space"/>
      <w:lvlText w:val="%1."/>
      <w:lvlJc w:val="left"/>
    </w:lvl>
  </w:abstractNum>
  <w:abstractNum w:abstractNumId="16">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7">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80"/>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8">
    <w:nsid w:val="63167C15"/>
    <w:multiLevelType w:val="singleLevel"/>
    <w:tmpl w:val="63167C15"/>
    <w:lvl w:ilvl="0" w:tentative="0">
      <w:start w:val="1"/>
      <w:numFmt w:val="decimal"/>
      <w:suff w:val="space"/>
      <w:lvlText w:val="%1."/>
      <w:lvlJc w:val="left"/>
    </w:lvl>
  </w:abstractNum>
  <w:abstractNum w:abstractNumId="19">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4FC6EAD"/>
    <w:multiLevelType w:val="singleLevel"/>
    <w:tmpl w:val="64FC6EAD"/>
    <w:lvl w:ilvl="0" w:tentative="0">
      <w:start w:val="1"/>
      <w:numFmt w:val="decimal"/>
      <w:suff w:val="space"/>
      <w:lvlText w:val="%1."/>
      <w:lvlJc w:val="left"/>
    </w:lvl>
  </w:abstractNum>
  <w:abstractNum w:abstractNumId="22">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56"/>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24">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739B461F"/>
    <w:multiLevelType w:val="singleLevel"/>
    <w:tmpl w:val="739B461F"/>
    <w:lvl w:ilvl="0" w:tentative="0">
      <w:start w:val="1"/>
      <w:numFmt w:val="decimal"/>
      <w:lvlText w:val="%1."/>
      <w:lvlJc w:val="left"/>
      <w:pPr>
        <w:ind w:left="425" w:hanging="425"/>
      </w:pPr>
      <w:rPr>
        <w:rFonts w:hint="default"/>
      </w:rPr>
    </w:lvl>
  </w:abstractNum>
  <w:abstractNum w:abstractNumId="27">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17"/>
    <w:lvlOverride w:ilvl="0">
      <w:startOverride w:val="1"/>
    </w:lvlOverride>
    <w:lvlOverride w:ilvl="1">
      <w:startOverride w:val="1"/>
    </w:lvlOverride>
  </w:num>
  <w:num w:numId="3">
    <w:abstractNumId w:val="14"/>
  </w:num>
  <w:num w:numId="4">
    <w:abstractNumId w:val="27"/>
  </w:num>
  <w:num w:numId="5">
    <w:abstractNumId w:val="16"/>
  </w:num>
  <w:num w:numId="6">
    <w:abstractNumId w:val="12"/>
  </w:num>
  <w:num w:numId="7">
    <w:abstractNumId w:val="28"/>
  </w:num>
  <w:num w:numId="8">
    <w:abstractNumId w:val="20"/>
  </w:num>
  <w:num w:numId="9">
    <w:abstractNumId w:val="10"/>
  </w:num>
  <w:num w:numId="10">
    <w:abstractNumId w:val="7"/>
  </w:num>
  <w:num w:numId="11">
    <w:abstractNumId w:val="6"/>
  </w:num>
  <w:num w:numId="12">
    <w:abstractNumId w:val="4"/>
  </w:num>
  <w:num w:numId="13">
    <w:abstractNumId w:val="3"/>
  </w:num>
  <w:num w:numId="14">
    <w:abstractNumId w:val="13"/>
  </w:num>
  <w:num w:numId="15">
    <w:abstractNumId w:val="5"/>
  </w:num>
  <w:num w:numId="16">
    <w:abstractNumId w:val="1"/>
  </w:num>
  <w:num w:numId="17">
    <w:abstractNumId w:val="21"/>
  </w:num>
  <w:num w:numId="18">
    <w:abstractNumId w:val="0"/>
  </w:num>
  <w:num w:numId="19">
    <w:abstractNumId w:val="15"/>
  </w:num>
  <w:num w:numId="20">
    <w:abstractNumId w:val="18"/>
  </w:num>
  <w:num w:numId="21">
    <w:abstractNumId w:val="9"/>
  </w:num>
  <w:num w:numId="22">
    <w:abstractNumId w:val="24"/>
  </w:num>
  <w:num w:numId="23">
    <w:abstractNumId w:val="19"/>
  </w:num>
  <w:num w:numId="24">
    <w:abstractNumId w:val="22"/>
  </w:num>
  <w:num w:numId="25">
    <w:abstractNumId w:val="11"/>
  </w:num>
  <w:num w:numId="26">
    <w:abstractNumId w:val="8"/>
  </w:num>
  <w:num w:numId="27">
    <w:abstractNumId w:val="26"/>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25959"/>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44847DB"/>
    <w:rsid w:val="044E4D07"/>
    <w:rsid w:val="048E4E2C"/>
    <w:rsid w:val="04920992"/>
    <w:rsid w:val="04A520D3"/>
    <w:rsid w:val="05447C28"/>
    <w:rsid w:val="055F2BD0"/>
    <w:rsid w:val="05691998"/>
    <w:rsid w:val="05812923"/>
    <w:rsid w:val="05876C93"/>
    <w:rsid w:val="05CE051B"/>
    <w:rsid w:val="05F186D1"/>
    <w:rsid w:val="05F53D8C"/>
    <w:rsid w:val="06073BB9"/>
    <w:rsid w:val="061C162C"/>
    <w:rsid w:val="061C7244"/>
    <w:rsid w:val="061E4834"/>
    <w:rsid w:val="066D02E7"/>
    <w:rsid w:val="069C239B"/>
    <w:rsid w:val="06F70063"/>
    <w:rsid w:val="07240178"/>
    <w:rsid w:val="073A3B94"/>
    <w:rsid w:val="073D00B1"/>
    <w:rsid w:val="07517424"/>
    <w:rsid w:val="078C5B39"/>
    <w:rsid w:val="07B70699"/>
    <w:rsid w:val="07BA496F"/>
    <w:rsid w:val="07D7585B"/>
    <w:rsid w:val="07FE3355"/>
    <w:rsid w:val="08114460"/>
    <w:rsid w:val="083C630F"/>
    <w:rsid w:val="0842770C"/>
    <w:rsid w:val="08795FD3"/>
    <w:rsid w:val="0880670A"/>
    <w:rsid w:val="088F70EF"/>
    <w:rsid w:val="089242D0"/>
    <w:rsid w:val="08A828C8"/>
    <w:rsid w:val="08C25FDC"/>
    <w:rsid w:val="08F905C3"/>
    <w:rsid w:val="09372EA4"/>
    <w:rsid w:val="09991DF2"/>
    <w:rsid w:val="0A305AF7"/>
    <w:rsid w:val="0A3D0E73"/>
    <w:rsid w:val="0AB045B2"/>
    <w:rsid w:val="0AC576BE"/>
    <w:rsid w:val="0AEF24C8"/>
    <w:rsid w:val="0AFD0EBC"/>
    <w:rsid w:val="0B515336"/>
    <w:rsid w:val="0B612FF3"/>
    <w:rsid w:val="0B660459"/>
    <w:rsid w:val="0B7E6A92"/>
    <w:rsid w:val="0B8C1EB1"/>
    <w:rsid w:val="0BA76793"/>
    <w:rsid w:val="0BE6183E"/>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E2B27FF"/>
    <w:rsid w:val="0E380B00"/>
    <w:rsid w:val="0EEE3A8A"/>
    <w:rsid w:val="0EFB325D"/>
    <w:rsid w:val="0F12618D"/>
    <w:rsid w:val="0F1738A1"/>
    <w:rsid w:val="0F653D3B"/>
    <w:rsid w:val="0F7C18C3"/>
    <w:rsid w:val="0F8A0EB4"/>
    <w:rsid w:val="0FB16810"/>
    <w:rsid w:val="0FC301A2"/>
    <w:rsid w:val="102B2AA8"/>
    <w:rsid w:val="106B4B1A"/>
    <w:rsid w:val="106C282F"/>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1E0670"/>
    <w:rsid w:val="136C166A"/>
    <w:rsid w:val="13793BFE"/>
    <w:rsid w:val="1381218E"/>
    <w:rsid w:val="13881016"/>
    <w:rsid w:val="1393078D"/>
    <w:rsid w:val="13A75F56"/>
    <w:rsid w:val="13AC16D1"/>
    <w:rsid w:val="13AC7923"/>
    <w:rsid w:val="13BC5284"/>
    <w:rsid w:val="14277A2E"/>
    <w:rsid w:val="14512A73"/>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05567"/>
    <w:rsid w:val="18B23340"/>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531D3"/>
    <w:rsid w:val="1BBC1952"/>
    <w:rsid w:val="1BDA3F76"/>
    <w:rsid w:val="1BE36C4D"/>
    <w:rsid w:val="1C1C5CEC"/>
    <w:rsid w:val="1C5706D9"/>
    <w:rsid w:val="1C68136E"/>
    <w:rsid w:val="1CA05B4B"/>
    <w:rsid w:val="1CD8293A"/>
    <w:rsid w:val="1CD96BE2"/>
    <w:rsid w:val="1CF45F16"/>
    <w:rsid w:val="1D2812AE"/>
    <w:rsid w:val="1D4D5877"/>
    <w:rsid w:val="1D590B44"/>
    <w:rsid w:val="1DDC7B43"/>
    <w:rsid w:val="1DDF249C"/>
    <w:rsid w:val="1DEC9A83"/>
    <w:rsid w:val="1E4D03F9"/>
    <w:rsid w:val="1E4D32E3"/>
    <w:rsid w:val="1E5C118E"/>
    <w:rsid w:val="1E5E3272"/>
    <w:rsid w:val="1E875225"/>
    <w:rsid w:val="1EAC10F5"/>
    <w:rsid w:val="1EAE123E"/>
    <w:rsid w:val="1EB97598"/>
    <w:rsid w:val="1F07796A"/>
    <w:rsid w:val="1F54662A"/>
    <w:rsid w:val="1FA56B94"/>
    <w:rsid w:val="1FCB5EB6"/>
    <w:rsid w:val="1FD97001"/>
    <w:rsid w:val="1FE92520"/>
    <w:rsid w:val="20175B75"/>
    <w:rsid w:val="201B00B0"/>
    <w:rsid w:val="20571A9E"/>
    <w:rsid w:val="205A2AE6"/>
    <w:rsid w:val="20A4177A"/>
    <w:rsid w:val="20AA0BD6"/>
    <w:rsid w:val="20BF70D3"/>
    <w:rsid w:val="20DF70F5"/>
    <w:rsid w:val="20E7310B"/>
    <w:rsid w:val="21111A49"/>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70A22"/>
    <w:rsid w:val="25CB11E0"/>
    <w:rsid w:val="25D54FCA"/>
    <w:rsid w:val="25E31726"/>
    <w:rsid w:val="26166BD4"/>
    <w:rsid w:val="262B0383"/>
    <w:rsid w:val="267454C1"/>
    <w:rsid w:val="26B22BED"/>
    <w:rsid w:val="26D94183"/>
    <w:rsid w:val="26D97B7D"/>
    <w:rsid w:val="26FD297B"/>
    <w:rsid w:val="272F17CB"/>
    <w:rsid w:val="27315DD3"/>
    <w:rsid w:val="275013D5"/>
    <w:rsid w:val="278C062B"/>
    <w:rsid w:val="27A977C5"/>
    <w:rsid w:val="27D12E11"/>
    <w:rsid w:val="28390822"/>
    <w:rsid w:val="289664D5"/>
    <w:rsid w:val="28D24539"/>
    <w:rsid w:val="2947366F"/>
    <w:rsid w:val="29B6081C"/>
    <w:rsid w:val="2A092A3C"/>
    <w:rsid w:val="2A2C58AE"/>
    <w:rsid w:val="2A577D69"/>
    <w:rsid w:val="2A88580B"/>
    <w:rsid w:val="2A9F5945"/>
    <w:rsid w:val="2AA00F59"/>
    <w:rsid w:val="2AD37F72"/>
    <w:rsid w:val="2AD920D9"/>
    <w:rsid w:val="2B6A7885"/>
    <w:rsid w:val="2BC57D4F"/>
    <w:rsid w:val="2BDA42AA"/>
    <w:rsid w:val="2BE41B4A"/>
    <w:rsid w:val="2BF00B4C"/>
    <w:rsid w:val="2C137599"/>
    <w:rsid w:val="2C7B542C"/>
    <w:rsid w:val="2C9A52DB"/>
    <w:rsid w:val="2CAC08A7"/>
    <w:rsid w:val="2CD234CF"/>
    <w:rsid w:val="2CD91348"/>
    <w:rsid w:val="2D1C1B13"/>
    <w:rsid w:val="2D1C25B9"/>
    <w:rsid w:val="2D224814"/>
    <w:rsid w:val="2D290A26"/>
    <w:rsid w:val="2D3B1ABA"/>
    <w:rsid w:val="2D68071F"/>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082D95"/>
    <w:rsid w:val="337D24B6"/>
    <w:rsid w:val="33863EA5"/>
    <w:rsid w:val="33AC21EB"/>
    <w:rsid w:val="33C7653D"/>
    <w:rsid w:val="33E31DF2"/>
    <w:rsid w:val="33E42A56"/>
    <w:rsid w:val="341A77C9"/>
    <w:rsid w:val="345362A0"/>
    <w:rsid w:val="345C685D"/>
    <w:rsid w:val="34B1049E"/>
    <w:rsid w:val="34F503D1"/>
    <w:rsid w:val="35104918"/>
    <w:rsid w:val="351C0EE5"/>
    <w:rsid w:val="3545073D"/>
    <w:rsid w:val="356E45E1"/>
    <w:rsid w:val="35867B7C"/>
    <w:rsid w:val="359A728B"/>
    <w:rsid w:val="35A320ED"/>
    <w:rsid w:val="35B552FA"/>
    <w:rsid w:val="35E97BA9"/>
    <w:rsid w:val="35ED1B25"/>
    <w:rsid w:val="360B4F40"/>
    <w:rsid w:val="3610620E"/>
    <w:rsid w:val="36225F85"/>
    <w:rsid w:val="363B3D8B"/>
    <w:rsid w:val="36AF433D"/>
    <w:rsid w:val="36B43330"/>
    <w:rsid w:val="3717177A"/>
    <w:rsid w:val="371A6C37"/>
    <w:rsid w:val="37425853"/>
    <w:rsid w:val="376D3D8A"/>
    <w:rsid w:val="377F85F7"/>
    <w:rsid w:val="37940F7C"/>
    <w:rsid w:val="3796167F"/>
    <w:rsid w:val="37A313FC"/>
    <w:rsid w:val="37C67E4C"/>
    <w:rsid w:val="37CE642B"/>
    <w:rsid w:val="37D10366"/>
    <w:rsid w:val="37E90960"/>
    <w:rsid w:val="385165E5"/>
    <w:rsid w:val="38563836"/>
    <w:rsid w:val="38634262"/>
    <w:rsid w:val="386C7793"/>
    <w:rsid w:val="388E4F17"/>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5B7F27"/>
    <w:rsid w:val="3C616837"/>
    <w:rsid w:val="3C8D17F0"/>
    <w:rsid w:val="3CC16A66"/>
    <w:rsid w:val="3CE24B4C"/>
    <w:rsid w:val="3CF055E8"/>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8771F8"/>
    <w:rsid w:val="44BC72E2"/>
    <w:rsid w:val="44E956C1"/>
    <w:rsid w:val="44EE7AE3"/>
    <w:rsid w:val="44EF32E6"/>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C4131E"/>
    <w:rsid w:val="47DD590B"/>
    <w:rsid w:val="47E063AC"/>
    <w:rsid w:val="47E61E54"/>
    <w:rsid w:val="47EE579B"/>
    <w:rsid w:val="481351B0"/>
    <w:rsid w:val="483D538F"/>
    <w:rsid w:val="48622A3D"/>
    <w:rsid w:val="4867497F"/>
    <w:rsid w:val="486A13C1"/>
    <w:rsid w:val="48773972"/>
    <w:rsid w:val="487E577F"/>
    <w:rsid w:val="48857B56"/>
    <w:rsid w:val="48A40D33"/>
    <w:rsid w:val="48A94CC5"/>
    <w:rsid w:val="48CC36A0"/>
    <w:rsid w:val="48FD7CB8"/>
    <w:rsid w:val="49071B2A"/>
    <w:rsid w:val="490B2684"/>
    <w:rsid w:val="491054AA"/>
    <w:rsid w:val="491A508E"/>
    <w:rsid w:val="4974451A"/>
    <w:rsid w:val="499A63B7"/>
    <w:rsid w:val="499F0DB5"/>
    <w:rsid w:val="49E7590E"/>
    <w:rsid w:val="4A037229"/>
    <w:rsid w:val="4A044641"/>
    <w:rsid w:val="4A070D3E"/>
    <w:rsid w:val="4A14355C"/>
    <w:rsid w:val="4A3D1F42"/>
    <w:rsid w:val="4A523EC6"/>
    <w:rsid w:val="4A8600EE"/>
    <w:rsid w:val="4A876F67"/>
    <w:rsid w:val="4AAA0E60"/>
    <w:rsid w:val="4AC01B20"/>
    <w:rsid w:val="4AEA6C89"/>
    <w:rsid w:val="4AEC533E"/>
    <w:rsid w:val="4B0646FD"/>
    <w:rsid w:val="4B3D39E3"/>
    <w:rsid w:val="4B402DCD"/>
    <w:rsid w:val="4B6213A3"/>
    <w:rsid w:val="4B641806"/>
    <w:rsid w:val="4B977F95"/>
    <w:rsid w:val="4B9832C2"/>
    <w:rsid w:val="4BE54CF1"/>
    <w:rsid w:val="4BF432B8"/>
    <w:rsid w:val="4C0203D7"/>
    <w:rsid w:val="4C2265CD"/>
    <w:rsid w:val="4C242459"/>
    <w:rsid w:val="4C3A5D98"/>
    <w:rsid w:val="4C4D2D4A"/>
    <w:rsid w:val="4C7932EC"/>
    <w:rsid w:val="4C8011B4"/>
    <w:rsid w:val="4C847B27"/>
    <w:rsid w:val="4CA31E28"/>
    <w:rsid w:val="4CB7107B"/>
    <w:rsid w:val="4CBB7E1C"/>
    <w:rsid w:val="4CFF6DC0"/>
    <w:rsid w:val="4D16433B"/>
    <w:rsid w:val="4D8348D9"/>
    <w:rsid w:val="4DAD732E"/>
    <w:rsid w:val="4DC163F4"/>
    <w:rsid w:val="4DD17574"/>
    <w:rsid w:val="4DE12E32"/>
    <w:rsid w:val="4DED689A"/>
    <w:rsid w:val="4DF51D5A"/>
    <w:rsid w:val="4E0D565D"/>
    <w:rsid w:val="4E1469C6"/>
    <w:rsid w:val="4E1F0927"/>
    <w:rsid w:val="4E302DA4"/>
    <w:rsid w:val="4E6C754B"/>
    <w:rsid w:val="4ECC7EDB"/>
    <w:rsid w:val="4EFA3E33"/>
    <w:rsid w:val="4F540B89"/>
    <w:rsid w:val="4F741450"/>
    <w:rsid w:val="4F74614D"/>
    <w:rsid w:val="4F8E54C1"/>
    <w:rsid w:val="4F8E5B53"/>
    <w:rsid w:val="4FA47EEA"/>
    <w:rsid w:val="502C006E"/>
    <w:rsid w:val="505521CD"/>
    <w:rsid w:val="50C34BAA"/>
    <w:rsid w:val="50F25217"/>
    <w:rsid w:val="51251E41"/>
    <w:rsid w:val="514900B1"/>
    <w:rsid w:val="514B4321"/>
    <w:rsid w:val="515208AC"/>
    <w:rsid w:val="517250FA"/>
    <w:rsid w:val="51726126"/>
    <w:rsid w:val="51904D2E"/>
    <w:rsid w:val="51A63CB5"/>
    <w:rsid w:val="51A8713A"/>
    <w:rsid w:val="51C16649"/>
    <w:rsid w:val="51C56629"/>
    <w:rsid w:val="52484CBE"/>
    <w:rsid w:val="52575082"/>
    <w:rsid w:val="52B7373D"/>
    <w:rsid w:val="52BE7BA8"/>
    <w:rsid w:val="52D244AD"/>
    <w:rsid w:val="52D57838"/>
    <w:rsid w:val="52D844E6"/>
    <w:rsid w:val="52DB26BC"/>
    <w:rsid w:val="52EB05A3"/>
    <w:rsid w:val="52FA2008"/>
    <w:rsid w:val="53072C41"/>
    <w:rsid w:val="53195C0E"/>
    <w:rsid w:val="53472D43"/>
    <w:rsid w:val="537E7E86"/>
    <w:rsid w:val="53802D48"/>
    <w:rsid w:val="538B1D35"/>
    <w:rsid w:val="53CB4850"/>
    <w:rsid w:val="540C7B20"/>
    <w:rsid w:val="54275FF2"/>
    <w:rsid w:val="5444359A"/>
    <w:rsid w:val="545E7027"/>
    <w:rsid w:val="54653E38"/>
    <w:rsid w:val="547F6B85"/>
    <w:rsid w:val="54884F56"/>
    <w:rsid w:val="549974BD"/>
    <w:rsid w:val="550C76BF"/>
    <w:rsid w:val="551A298B"/>
    <w:rsid w:val="555F21B0"/>
    <w:rsid w:val="557B10EC"/>
    <w:rsid w:val="559F7783"/>
    <w:rsid w:val="55C904F4"/>
    <w:rsid w:val="55D31C6A"/>
    <w:rsid w:val="55E036B6"/>
    <w:rsid w:val="55E069DD"/>
    <w:rsid w:val="55E17DAE"/>
    <w:rsid w:val="56446498"/>
    <w:rsid w:val="564B3B0F"/>
    <w:rsid w:val="566102F3"/>
    <w:rsid w:val="566F44BB"/>
    <w:rsid w:val="56A81994"/>
    <w:rsid w:val="56DF6C36"/>
    <w:rsid w:val="56EE4CE0"/>
    <w:rsid w:val="56FD550F"/>
    <w:rsid w:val="57672288"/>
    <w:rsid w:val="57DA0BDC"/>
    <w:rsid w:val="58264F89"/>
    <w:rsid w:val="5831467E"/>
    <w:rsid w:val="58435433"/>
    <w:rsid w:val="58746757"/>
    <w:rsid w:val="5885204F"/>
    <w:rsid w:val="58BB08ED"/>
    <w:rsid w:val="59043705"/>
    <w:rsid w:val="59070F51"/>
    <w:rsid w:val="591E5B38"/>
    <w:rsid w:val="592E43D1"/>
    <w:rsid w:val="593503BB"/>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026DE6"/>
    <w:rsid w:val="5C3D3EC6"/>
    <w:rsid w:val="5CC93458"/>
    <w:rsid w:val="5CE31760"/>
    <w:rsid w:val="5CE608F2"/>
    <w:rsid w:val="5D0A08E2"/>
    <w:rsid w:val="5D1C39A1"/>
    <w:rsid w:val="5D6A63D8"/>
    <w:rsid w:val="5DE11AF4"/>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462F0"/>
    <w:rsid w:val="60067E12"/>
    <w:rsid w:val="600A2A58"/>
    <w:rsid w:val="603A0EE5"/>
    <w:rsid w:val="60413A17"/>
    <w:rsid w:val="605A3989"/>
    <w:rsid w:val="60A34372"/>
    <w:rsid w:val="60A65EA0"/>
    <w:rsid w:val="60B57EE1"/>
    <w:rsid w:val="61021720"/>
    <w:rsid w:val="6116361C"/>
    <w:rsid w:val="61556215"/>
    <w:rsid w:val="615A17F1"/>
    <w:rsid w:val="617C11C9"/>
    <w:rsid w:val="61883264"/>
    <w:rsid w:val="61BC20AC"/>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250CD"/>
    <w:rsid w:val="67146BDD"/>
    <w:rsid w:val="673F3E2C"/>
    <w:rsid w:val="674E6179"/>
    <w:rsid w:val="67530EA0"/>
    <w:rsid w:val="677683B7"/>
    <w:rsid w:val="678021DF"/>
    <w:rsid w:val="678E4F5D"/>
    <w:rsid w:val="67A02363"/>
    <w:rsid w:val="67A17048"/>
    <w:rsid w:val="67A81B24"/>
    <w:rsid w:val="67AE48A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CE13B57"/>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B79F8"/>
    <w:rsid w:val="77ECA3E2"/>
    <w:rsid w:val="77ED70D9"/>
    <w:rsid w:val="77F22A44"/>
    <w:rsid w:val="780530EF"/>
    <w:rsid w:val="78316DBD"/>
    <w:rsid w:val="785016A4"/>
    <w:rsid w:val="78A70C8B"/>
    <w:rsid w:val="78B61FC7"/>
    <w:rsid w:val="78C625DB"/>
    <w:rsid w:val="78F40B19"/>
    <w:rsid w:val="78FE38F8"/>
    <w:rsid w:val="790931EB"/>
    <w:rsid w:val="791E11CD"/>
    <w:rsid w:val="793F6CCB"/>
    <w:rsid w:val="79433BF6"/>
    <w:rsid w:val="7945606C"/>
    <w:rsid w:val="795C1CE8"/>
    <w:rsid w:val="796D21F3"/>
    <w:rsid w:val="796F67D0"/>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381854"/>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72A8894"/>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qFormat="1" w:uiPriority="99" w:name="HTML Typewriter"/>
    <w:lsdException w:qFormat="1"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87"/>
    <w:qFormat/>
    <w:uiPriority w:val="0"/>
    <w:pPr>
      <w:autoSpaceDE w:val="0"/>
      <w:autoSpaceDN w:val="0"/>
      <w:adjustRightInd w:val="0"/>
      <w:spacing w:before="120" w:after="120" w:line="416" w:lineRule="atLeast"/>
      <w:outlineLvl w:val="2"/>
    </w:pPr>
    <w:rPr>
      <w:rFonts w:ascii="黑体"/>
      <w:kern w:val="0"/>
      <w:sz w:val="28"/>
      <w:szCs w:val="20"/>
    </w:rPr>
  </w:style>
  <w:style w:type="paragraph" w:styleId="7">
    <w:name w:val="heading 4"/>
    <w:basedOn w:val="1"/>
    <w:next w:val="1"/>
    <w:link w:val="64"/>
    <w:qFormat/>
    <w:uiPriority w:val="0"/>
    <w:pPr>
      <w:keepNext/>
      <w:outlineLvl w:val="3"/>
    </w:pPr>
    <w:rPr>
      <w:sz w:val="28"/>
      <w:szCs w:val="20"/>
    </w:rPr>
  </w:style>
  <w:style w:type="paragraph" w:styleId="8">
    <w:name w:val="heading 5"/>
    <w:basedOn w:val="1"/>
    <w:next w:val="1"/>
    <w:link w:val="65"/>
    <w:qFormat/>
    <w:uiPriority w:val="0"/>
    <w:pPr>
      <w:keepNext/>
      <w:keepLines/>
      <w:spacing w:before="280" w:after="290" w:line="376" w:lineRule="auto"/>
      <w:outlineLvl w:val="4"/>
    </w:pPr>
    <w:rPr>
      <w:b/>
      <w:bCs/>
      <w:sz w:val="28"/>
      <w:szCs w:val="28"/>
    </w:rPr>
  </w:style>
  <w:style w:type="paragraph" w:styleId="9">
    <w:name w:val="heading 6"/>
    <w:basedOn w:val="1"/>
    <w:next w:val="1"/>
    <w:link w:val="66"/>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67"/>
    <w:qFormat/>
    <w:uiPriority w:val="0"/>
    <w:pPr>
      <w:keepNext/>
      <w:keepLines/>
      <w:spacing w:before="240" w:after="64" w:line="320" w:lineRule="auto"/>
      <w:outlineLvl w:val="6"/>
    </w:pPr>
    <w:rPr>
      <w:b/>
      <w:bCs/>
      <w:sz w:val="24"/>
    </w:rPr>
  </w:style>
  <w:style w:type="paragraph" w:styleId="11">
    <w:name w:val="heading 8"/>
    <w:basedOn w:val="1"/>
    <w:next w:val="1"/>
    <w:link w:val="6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9"/>
    <w:qFormat/>
    <w:uiPriority w:val="0"/>
    <w:pPr>
      <w:keepNext/>
      <w:keepLines/>
      <w:spacing w:before="240" w:after="64" w:line="320"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rFonts w:ascii="Calibri" w:hAnsi="Calibri"/>
      <w:sz w:val="20"/>
    </w:rPr>
  </w:style>
  <w:style w:type="paragraph" w:styleId="3">
    <w:name w:val="Body Text Indent 3"/>
    <w:basedOn w:val="1"/>
    <w:link w:val="83"/>
    <w:qFormat/>
    <w:uiPriority w:val="0"/>
    <w:pPr>
      <w:spacing w:after="120" w:line="360" w:lineRule="atLeast"/>
      <w:ind w:firstLine="720" w:firstLineChars="300"/>
    </w:pPr>
    <w:rPr>
      <w:sz w:val="24"/>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next w:val="1"/>
    <w:link w:val="62"/>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Document Map"/>
    <w:basedOn w:val="1"/>
    <w:link w:val="72"/>
    <w:semiHidden/>
    <w:qFormat/>
    <w:uiPriority w:val="0"/>
    <w:rPr>
      <w:rFonts w:ascii="宋体"/>
      <w:sz w:val="18"/>
      <w:szCs w:val="18"/>
    </w:rPr>
  </w:style>
  <w:style w:type="paragraph" w:styleId="16">
    <w:name w:val="annotation text"/>
    <w:basedOn w:val="1"/>
    <w:link w:val="70"/>
    <w:unhideWhenUsed/>
    <w:qFormat/>
    <w:uiPriority w:val="99"/>
    <w:pPr>
      <w:jc w:val="left"/>
    </w:pPr>
  </w:style>
  <w:style w:type="paragraph" w:styleId="17">
    <w:name w:val="Body Text 3"/>
    <w:basedOn w:val="1"/>
    <w:link w:val="73"/>
    <w:unhideWhenUsed/>
    <w:qFormat/>
    <w:uiPriority w:val="99"/>
    <w:pPr>
      <w:spacing w:after="120"/>
    </w:pPr>
    <w:rPr>
      <w:sz w:val="16"/>
      <w:szCs w:val="16"/>
    </w:rPr>
  </w:style>
  <w:style w:type="paragraph" w:styleId="18">
    <w:name w:val="Body Text"/>
    <w:basedOn w:val="1"/>
    <w:link w:val="74"/>
    <w:qFormat/>
    <w:uiPriority w:val="99"/>
    <w:rPr>
      <w:sz w:val="28"/>
      <w:szCs w:val="20"/>
    </w:rPr>
  </w:style>
  <w:style w:type="paragraph" w:styleId="19">
    <w:name w:val="Body Text Indent"/>
    <w:basedOn w:val="1"/>
    <w:link w:val="75"/>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20">
    <w:name w:val="List 2"/>
    <w:basedOn w:val="1"/>
    <w:qFormat/>
    <w:uiPriority w:val="0"/>
    <w:pPr>
      <w:ind w:left="100" w:leftChars="200" w:hanging="200" w:hangingChars="200"/>
    </w:p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3">
    <w:name w:val="Plain Text"/>
    <w:basedOn w:val="1"/>
    <w:link w:val="76"/>
    <w:qFormat/>
    <w:uiPriority w:val="0"/>
    <w:rPr>
      <w:rFonts w:ascii="宋体" w:hAnsi="Courier New"/>
      <w:szCs w:val="20"/>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77"/>
    <w:qFormat/>
    <w:uiPriority w:val="0"/>
    <w:pPr>
      <w:ind w:left="100" w:leftChars="2500"/>
    </w:pPr>
    <w:rPr>
      <w:szCs w:val="20"/>
    </w:rPr>
  </w:style>
  <w:style w:type="paragraph" w:styleId="26">
    <w:name w:val="Body Text Indent 2"/>
    <w:basedOn w:val="1"/>
    <w:link w:val="78"/>
    <w:qFormat/>
    <w:uiPriority w:val="0"/>
    <w:pPr>
      <w:spacing w:line="480" w:lineRule="auto"/>
      <w:ind w:firstLine="480" w:firstLineChars="200"/>
    </w:pPr>
    <w:rPr>
      <w:rFonts w:ascii="仿宋_GB2312" w:hAnsi="宋体" w:eastAsia="仿宋_GB2312"/>
      <w:sz w:val="24"/>
    </w:rPr>
  </w:style>
  <w:style w:type="paragraph" w:styleId="27">
    <w:name w:val="Balloon Text"/>
    <w:basedOn w:val="1"/>
    <w:link w:val="79"/>
    <w:unhideWhenUsed/>
    <w:qFormat/>
    <w:uiPriority w:val="0"/>
    <w:rPr>
      <w:sz w:val="18"/>
      <w:szCs w:val="18"/>
    </w:rPr>
  </w:style>
  <w:style w:type="paragraph" w:styleId="28">
    <w:name w:val="footer"/>
    <w:basedOn w:val="1"/>
    <w:link w:val="80"/>
    <w:unhideWhenUsed/>
    <w:qFormat/>
    <w:uiPriority w:val="0"/>
    <w:pPr>
      <w:tabs>
        <w:tab w:val="center" w:pos="4153"/>
        <w:tab w:val="right" w:pos="8306"/>
      </w:tabs>
      <w:snapToGrid w:val="0"/>
      <w:jc w:val="left"/>
    </w:pPr>
    <w:rPr>
      <w:sz w:val="18"/>
      <w:szCs w:val="18"/>
    </w:rPr>
  </w:style>
  <w:style w:type="paragraph" w:styleId="29">
    <w:name w:val="header"/>
    <w:basedOn w:val="1"/>
    <w:link w:val="81"/>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82"/>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toc 2"/>
    <w:basedOn w:val="1"/>
    <w:next w:val="1"/>
    <w:qFormat/>
    <w:uiPriority w:val="39"/>
    <w:pPr>
      <w:tabs>
        <w:tab w:val="left" w:pos="567"/>
        <w:tab w:val="right" w:leader="dot" w:pos="8505"/>
        <w:tab w:val="right" w:leader="dot" w:pos="9628"/>
      </w:tabs>
      <w:spacing w:line="440" w:lineRule="exact"/>
    </w:pPr>
  </w:style>
  <w:style w:type="paragraph" w:styleId="35">
    <w:name w:val="toc 9"/>
    <w:basedOn w:val="1"/>
    <w:next w:val="1"/>
    <w:unhideWhenUsed/>
    <w:qFormat/>
    <w:uiPriority w:val="39"/>
    <w:pPr>
      <w:ind w:left="3360" w:leftChars="1600"/>
    </w:pPr>
    <w:rPr>
      <w:rFonts w:ascii="Calibri" w:hAnsi="Calibri"/>
      <w:szCs w:val="22"/>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84"/>
    <w:qFormat/>
    <w:uiPriority w:val="0"/>
    <w:pPr>
      <w:spacing w:before="240" w:after="60"/>
      <w:jc w:val="center"/>
      <w:outlineLvl w:val="0"/>
    </w:pPr>
    <w:rPr>
      <w:rFonts w:ascii="Cambria" w:hAnsi="Cambria"/>
      <w:b/>
      <w:bCs/>
      <w:sz w:val="32"/>
      <w:szCs w:val="32"/>
    </w:rPr>
  </w:style>
  <w:style w:type="paragraph" w:styleId="38">
    <w:name w:val="annotation subject"/>
    <w:basedOn w:val="16"/>
    <w:next w:val="16"/>
    <w:link w:val="71"/>
    <w:semiHidden/>
    <w:qFormat/>
    <w:uiPriority w:val="0"/>
    <w:rPr>
      <w:b/>
      <w:bCs/>
      <w:szCs w:val="20"/>
    </w:rPr>
  </w:style>
  <w:style w:type="paragraph" w:styleId="39">
    <w:name w:val="Body Text First Indent"/>
    <w:basedOn w:val="18"/>
    <w:next w:val="33"/>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40">
    <w:name w:val="Body Text First Indent 2"/>
    <w:basedOn w:val="19"/>
    <w:next w:val="1"/>
    <w:qFormat/>
    <w:uiPriority w:val="0"/>
    <w:pPr>
      <w:ind w:firstLine="420" w:firstLineChars="200"/>
    </w:p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uiPriority w:val="22"/>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basedOn w:val="43"/>
    <w:qFormat/>
    <w:uiPriority w:val="20"/>
  </w:style>
  <w:style w:type="character" w:styleId="48">
    <w:name w:val="HTML Definition"/>
    <w:basedOn w:val="43"/>
    <w:semiHidden/>
    <w:unhideWhenUsed/>
    <w:qFormat/>
    <w:uiPriority w:val="99"/>
  </w:style>
  <w:style w:type="character" w:styleId="49">
    <w:name w:val="HTML Typewriter"/>
    <w:basedOn w:val="43"/>
    <w:semiHidden/>
    <w:unhideWhenUsed/>
    <w:qFormat/>
    <w:uiPriority w:val="99"/>
    <w:rPr>
      <w:rFonts w:hint="default" w:ascii="Lucida Console" w:hAnsi="Lucida Console" w:eastAsia="Lucida Console" w:cs="Lucida Console"/>
      <w:sz w:val="14"/>
      <w:szCs w:val="14"/>
    </w:rPr>
  </w:style>
  <w:style w:type="character" w:styleId="50">
    <w:name w:val="HTML Acronym"/>
    <w:basedOn w:val="43"/>
    <w:semiHidden/>
    <w:unhideWhenUsed/>
    <w:qFormat/>
    <w:uiPriority w:val="99"/>
  </w:style>
  <w:style w:type="character" w:styleId="51">
    <w:name w:val="HTML Variable"/>
    <w:basedOn w:val="43"/>
    <w:semiHidden/>
    <w:unhideWhenUsed/>
    <w:qFormat/>
    <w:uiPriority w:val="99"/>
  </w:style>
  <w:style w:type="character" w:styleId="52">
    <w:name w:val="Hyperlink"/>
    <w:qFormat/>
    <w:uiPriority w:val="99"/>
    <w:rPr>
      <w:color w:val="0000FF"/>
      <w:u w:val="single"/>
    </w:rPr>
  </w:style>
  <w:style w:type="character" w:styleId="53">
    <w:name w:val="HTML Code"/>
    <w:basedOn w:val="43"/>
    <w:semiHidden/>
    <w:unhideWhenUsed/>
    <w:qFormat/>
    <w:uiPriority w:val="99"/>
    <w:rPr>
      <w:rFonts w:ascii="Lucida Console" w:hAnsi="Lucida Console" w:eastAsia="Lucida Console" w:cs="Lucida Console"/>
      <w:sz w:val="14"/>
      <w:szCs w:val="14"/>
    </w:rPr>
  </w:style>
  <w:style w:type="character" w:styleId="54">
    <w:name w:val="annotation reference"/>
    <w:basedOn w:val="43"/>
    <w:qFormat/>
    <w:uiPriority w:val="0"/>
    <w:rPr>
      <w:sz w:val="21"/>
      <w:szCs w:val="21"/>
    </w:rPr>
  </w:style>
  <w:style w:type="character" w:styleId="55">
    <w:name w:val="HTML Cite"/>
    <w:basedOn w:val="43"/>
    <w:semiHidden/>
    <w:unhideWhenUsed/>
    <w:qFormat/>
    <w:uiPriority w:val="99"/>
  </w:style>
  <w:style w:type="paragraph" w:customStyle="1" w:styleId="56">
    <w:name w:val="标书正文1"/>
    <w:basedOn w:val="1"/>
    <w:qFormat/>
    <w:uiPriority w:val="0"/>
    <w:pPr>
      <w:spacing w:line="520" w:lineRule="exact"/>
      <w:ind w:firstLine="640" w:firstLineChars="200"/>
    </w:pPr>
  </w:style>
  <w:style w:type="paragraph" w:customStyle="1" w:styleId="5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_Style 2"/>
    <w:basedOn w:val="1"/>
    <w:qFormat/>
    <w:uiPriority w:val="0"/>
    <w:pPr>
      <w:widowControl/>
      <w:ind w:firstLine="420"/>
    </w:pPr>
    <w:rPr>
      <w:kern w:val="0"/>
      <w:szCs w:val="21"/>
    </w:rPr>
  </w:style>
  <w:style w:type="paragraph" w:customStyle="1" w:styleId="59">
    <w:name w:val="标题 60"/>
    <w:basedOn w:val="9"/>
    <w:qFormat/>
    <w:uiPriority w:val="0"/>
    <w:pPr>
      <w:spacing w:line="319" w:lineRule="auto"/>
      <w:ind w:firstLine="200" w:firstLineChars="200"/>
    </w:pPr>
    <w:rPr>
      <w:b w:val="0"/>
      <w:bCs w:val="0"/>
    </w:rPr>
  </w:style>
  <w:style w:type="character" w:customStyle="1" w:styleId="60">
    <w:name w:val="标题 1 字符"/>
    <w:basedOn w:val="43"/>
    <w:link w:val="4"/>
    <w:qFormat/>
    <w:uiPriority w:val="0"/>
    <w:rPr>
      <w:rFonts w:ascii="Times New Roman" w:hAnsi="Times New Roman" w:eastAsia="宋体" w:cs="Times New Roman"/>
      <w:b/>
      <w:bCs/>
      <w:kern w:val="44"/>
      <w:sz w:val="44"/>
      <w:szCs w:val="44"/>
    </w:rPr>
  </w:style>
  <w:style w:type="character" w:customStyle="1" w:styleId="61">
    <w:name w:val="标题 2 字符"/>
    <w:basedOn w:val="43"/>
    <w:link w:val="5"/>
    <w:qFormat/>
    <w:uiPriority w:val="0"/>
    <w:rPr>
      <w:rFonts w:ascii="Arial" w:hAnsi="Arial" w:eastAsia="黑体"/>
      <w:b/>
      <w:bCs/>
      <w:kern w:val="2"/>
      <w:sz w:val="32"/>
      <w:szCs w:val="32"/>
    </w:rPr>
  </w:style>
  <w:style w:type="character" w:customStyle="1" w:styleId="62">
    <w:name w:val="正文缩进 字符"/>
    <w:link w:val="14"/>
    <w:qFormat/>
    <w:uiPriority w:val="0"/>
    <w:rPr>
      <w:rFonts w:ascii="楷体_GB2312" w:eastAsia="楷体_GB2312"/>
      <w:sz w:val="28"/>
    </w:rPr>
  </w:style>
  <w:style w:type="character" w:customStyle="1" w:styleId="63">
    <w:name w:val="标题 3 字符"/>
    <w:basedOn w:val="43"/>
    <w:qFormat/>
    <w:uiPriority w:val="0"/>
    <w:rPr>
      <w:rFonts w:ascii="黑体" w:eastAsia="黑体"/>
      <w:sz w:val="28"/>
    </w:rPr>
  </w:style>
  <w:style w:type="character" w:customStyle="1" w:styleId="64">
    <w:name w:val="标题 4 字符"/>
    <w:basedOn w:val="43"/>
    <w:link w:val="7"/>
    <w:qFormat/>
    <w:uiPriority w:val="0"/>
    <w:rPr>
      <w:rFonts w:ascii="Times New Roman" w:hAnsi="Times New Roman" w:eastAsia="宋体" w:cs="Times New Roman"/>
      <w:sz w:val="28"/>
      <w:szCs w:val="20"/>
    </w:rPr>
  </w:style>
  <w:style w:type="character" w:customStyle="1" w:styleId="65">
    <w:name w:val="标题 5 字符"/>
    <w:basedOn w:val="43"/>
    <w:link w:val="8"/>
    <w:qFormat/>
    <w:uiPriority w:val="0"/>
    <w:rPr>
      <w:rFonts w:ascii="Times New Roman" w:hAnsi="Times New Roman" w:eastAsia="宋体" w:cs="Times New Roman"/>
      <w:b/>
      <w:bCs/>
      <w:sz w:val="28"/>
      <w:szCs w:val="28"/>
    </w:rPr>
  </w:style>
  <w:style w:type="character" w:customStyle="1" w:styleId="66">
    <w:name w:val="标题 6 字符"/>
    <w:basedOn w:val="43"/>
    <w:link w:val="9"/>
    <w:qFormat/>
    <w:uiPriority w:val="0"/>
    <w:rPr>
      <w:rFonts w:ascii="Arial" w:hAnsi="Arial" w:eastAsia="黑体" w:cs="Times New Roman"/>
      <w:b/>
      <w:bCs/>
      <w:sz w:val="24"/>
      <w:szCs w:val="24"/>
    </w:rPr>
  </w:style>
  <w:style w:type="character" w:customStyle="1" w:styleId="67">
    <w:name w:val="标题 7 字符"/>
    <w:basedOn w:val="43"/>
    <w:link w:val="10"/>
    <w:qFormat/>
    <w:uiPriority w:val="0"/>
    <w:rPr>
      <w:rFonts w:ascii="Times New Roman" w:hAnsi="Times New Roman" w:eastAsia="宋体" w:cs="Times New Roman"/>
      <w:b/>
      <w:bCs/>
      <w:sz w:val="24"/>
      <w:szCs w:val="24"/>
    </w:rPr>
  </w:style>
  <w:style w:type="character" w:customStyle="1" w:styleId="68">
    <w:name w:val="标题 8 字符"/>
    <w:basedOn w:val="43"/>
    <w:link w:val="11"/>
    <w:qFormat/>
    <w:uiPriority w:val="0"/>
    <w:rPr>
      <w:rFonts w:ascii="Arial" w:hAnsi="Arial" w:eastAsia="黑体" w:cs="Times New Roman"/>
      <w:sz w:val="24"/>
      <w:szCs w:val="24"/>
    </w:rPr>
  </w:style>
  <w:style w:type="character" w:customStyle="1" w:styleId="69">
    <w:name w:val="标题 9 字符"/>
    <w:basedOn w:val="43"/>
    <w:link w:val="12"/>
    <w:qFormat/>
    <w:uiPriority w:val="0"/>
    <w:rPr>
      <w:rFonts w:ascii="Arial" w:hAnsi="Arial" w:eastAsia="黑体" w:cs="Times New Roman"/>
      <w:szCs w:val="21"/>
    </w:rPr>
  </w:style>
  <w:style w:type="character" w:customStyle="1" w:styleId="70">
    <w:name w:val="批注文字 字符"/>
    <w:basedOn w:val="43"/>
    <w:link w:val="16"/>
    <w:qFormat/>
    <w:uiPriority w:val="99"/>
    <w:rPr>
      <w:rFonts w:ascii="Times New Roman" w:hAnsi="Times New Roman" w:eastAsia="宋体" w:cs="Times New Roman"/>
      <w:szCs w:val="24"/>
    </w:rPr>
  </w:style>
  <w:style w:type="character" w:customStyle="1" w:styleId="71">
    <w:name w:val="批注主题 字符"/>
    <w:basedOn w:val="70"/>
    <w:link w:val="38"/>
    <w:semiHidden/>
    <w:qFormat/>
    <w:uiPriority w:val="0"/>
    <w:rPr>
      <w:rFonts w:ascii="Times New Roman" w:hAnsi="Times New Roman" w:eastAsia="宋体" w:cs="Times New Roman"/>
      <w:b/>
      <w:bCs/>
      <w:szCs w:val="20"/>
    </w:rPr>
  </w:style>
  <w:style w:type="character" w:customStyle="1" w:styleId="72">
    <w:name w:val="文档结构图 字符"/>
    <w:basedOn w:val="43"/>
    <w:link w:val="15"/>
    <w:semiHidden/>
    <w:qFormat/>
    <w:uiPriority w:val="0"/>
    <w:rPr>
      <w:rFonts w:ascii="宋体" w:hAnsi="Times New Roman" w:eastAsia="宋体" w:cs="Times New Roman"/>
      <w:sz w:val="18"/>
      <w:szCs w:val="18"/>
    </w:rPr>
  </w:style>
  <w:style w:type="character" w:customStyle="1" w:styleId="73">
    <w:name w:val="正文文本 3 字符"/>
    <w:basedOn w:val="43"/>
    <w:link w:val="17"/>
    <w:semiHidden/>
    <w:qFormat/>
    <w:uiPriority w:val="99"/>
    <w:rPr>
      <w:rFonts w:ascii="Times New Roman" w:hAnsi="Times New Roman" w:eastAsia="宋体" w:cs="Times New Roman"/>
      <w:sz w:val="16"/>
      <w:szCs w:val="16"/>
    </w:rPr>
  </w:style>
  <w:style w:type="character" w:customStyle="1" w:styleId="74">
    <w:name w:val="正文文本 字符"/>
    <w:basedOn w:val="43"/>
    <w:link w:val="18"/>
    <w:qFormat/>
    <w:uiPriority w:val="0"/>
    <w:rPr>
      <w:rFonts w:ascii="Times New Roman" w:hAnsi="Times New Roman" w:eastAsia="宋体" w:cs="Times New Roman"/>
      <w:sz w:val="28"/>
      <w:szCs w:val="20"/>
    </w:rPr>
  </w:style>
  <w:style w:type="character" w:customStyle="1" w:styleId="75">
    <w:name w:val="正文文本缩进 字符"/>
    <w:basedOn w:val="43"/>
    <w:link w:val="19"/>
    <w:qFormat/>
    <w:uiPriority w:val="0"/>
    <w:rPr>
      <w:rFonts w:ascii="楷体_GB2312" w:hAnsi="Times New Roman" w:eastAsia="楷体_GB2312" w:cs="Times New Roman"/>
      <w:kern w:val="0"/>
      <w:sz w:val="28"/>
      <w:szCs w:val="20"/>
    </w:rPr>
  </w:style>
  <w:style w:type="character" w:customStyle="1" w:styleId="76">
    <w:name w:val="纯文本 字符"/>
    <w:basedOn w:val="43"/>
    <w:link w:val="23"/>
    <w:qFormat/>
    <w:uiPriority w:val="0"/>
    <w:rPr>
      <w:rFonts w:ascii="宋体" w:hAnsi="Courier New" w:eastAsia="宋体" w:cs="Times New Roman"/>
      <w:szCs w:val="20"/>
    </w:rPr>
  </w:style>
  <w:style w:type="character" w:customStyle="1" w:styleId="77">
    <w:name w:val="日期 字符"/>
    <w:basedOn w:val="43"/>
    <w:link w:val="25"/>
    <w:qFormat/>
    <w:uiPriority w:val="0"/>
    <w:rPr>
      <w:rFonts w:ascii="Times New Roman" w:hAnsi="Times New Roman" w:eastAsia="宋体" w:cs="Times New Roman"/>
      <w:szCs w:val="20"/>
    </w:rPr>
  </w:style>
  <w:style w:type="character" w:customStyle="1" w:styleId="78">
    <w:name w:val="正文文本缩进 2 字符"/>
    <w:basedOn w:val="43"/>
    <w:link w:val="26"/>
    <w:qFormat/>
    <w:uiPriority w:val="0"/>
    <w:rPr>
      <w:rFonts w:ascii="仿宋_GB2312" w:hAnsi="宋体" w:eastAsia="仿宋_GB2312" w:cs="Times New Roman"/>
      <w:sz w:val="24"/>
      <w:szCs w:val="24"/>
    </w:rPr>
  </w:style>
  <w:style w:type="character" w:customStyle="1" w:styleId="79">
    <w:name w:val="批注框文本 字符"/>
    <w:basedOn w:val="43"/>
    <w:link w:val="27"/>
    <w:semiHidden/>
    <w:qFormat/>
    <w:uiPriority w:val="0"/>
    <w:rPr>
      <w:rFonts w:ascii="Times New Roman" w:hAnsi="Times New Roman" w:eastAsia="宋体" w:cs="Times New Roman"/>
      <w:sz w:val="18"/>
      <w:szCs w:val="18"/>
    </w:rPr>
  </w:style>
  <w:style w:type="character" w:customStyle="1" w:styleId="80">
    <w:name w:val="页脚 字符"/>
    <w:basedOn w:val="43"/>
    <w:link w:val="28"/>
    <w:qFormat/>
    <w:uiPriority w:val="0"/>
    <w:rPr>
      <w:rFonts w:ascii="Times New Roman" w:hAnsi="Times New Roman" w:eastAsia="宋体" w:cs="Times New Roman"/>
      <w:sz w:val="18"/>
      <w:szCs w:val="18"/>
    </w:rPr>
  </w:style>
  <w:style w:type="character" w:customStyle="1" w:styleId="81">
    <w:name w:val="页眉 字符"/>
    <w:basedOn w:val="43"/>
    <w:link w:val="29"/>
    <w:qFormat/>
    <w:uiPriority w:val="0"/>
    <w:rPr>
      <w:rFonts w:ascii="Times New Roman" w:hAnsi="Times New Roman" w:eastAsia="宋体" w:cs="Times New Roman"/>
      <w:sz w:val="18"/>
      <w:szCs w:val="18"/>
    </w:rPr>
  </w:style>
  <w:style w:type="character" w:customStyle="1" w:styleId="82">
    <w:name w:val="副标题 字符"/>
    <w:basedOn w:val="43"/>
    <w:link w:val="32"/>
    <w:qFormat/>
    <w:uiPriority w:val="0"/>
    <w:rPr>
      <w:rFonts w:ascii="Cambria" w:hAnsi="Cambria" w:eastAsia="宋体" w:cs="黑体"/>
      <w:b/>
      <w:bCs/>
      <w:kern w:val="28"/>
      <w:sz w:val="32"/>
      <w:szCs w:val="32"/>
    </w:rPr>
  </w:style>
  <w:style w:type="character" w:customStyle="1" w:styleId="83">
    <w:name w:val="正文文本缩进 3 字符"/>
    <w:basedOn w:val="43"/>
    <w:link w:val="3"/>
    <w:qFormat/>
    <w:uiPriority w:val="0"/>
    <w:rPr>
      <w:rFonts w:ascii="Times New Roman" w:hAnsi="Times New Roman" w:eastAsia="宋体" w:cs="Times New Roman"/>
      <w:sz w:val="24"/>
      <w:szCs w:val="20"/>
    </w:rPr>
  </w:style>
  <w:style w:type="character" w:customStyle="1" w:styleId="84">
    <w:name w:val="标题 字符"/>
    <w:basedOn w:val="43"/>
    <w:link w:val="37"/>
    <w:qFormat/>
    <w:uiPriority w:val="0"/>
    <w:rPr>
      <w:rFonts w:ascii="Cambria" w:hAnsi="Cambria" w:eastAsia="宋体" w:cs="Times New Roman"/>
      <w:b/>
      <w:bCs/>
      <w:sz w:val="32"/>
      <w:szCs w:val="32"/>
    </w:rPr>
  </w:style>
  <w:style w:type="paragraph" w:customStyle="1" w:styleId="85">
    <w:name w:val="bt1bt1"/>
    <w:basedOn w:val="4"/>
    <w:qFormat/>
    <w:uiPriority w:val="0"/>
    <w:pPr>
      <w:spacing w:line="240" w:lineRule="auto"/>
      <w:jc w:val="center"/>
    </w:pPr>
    <w:rPr>
      <w:rFonts w:eastAsia="黑体"/>
      <w:b w:val="0"/>
      <w:sz w:val="36"/>
      <w:szCs w:val="36"/>
    </w:rPr>
  </w:style>
  <w:style w:type="paragraph" w:customStyle="1" w:styleId="86">
    <w:name w:val="列出段落1"/>
    <w:basedOn w:val="1"/>
    <w:link w:val="87"/>
    <w:unhideWhenUsed/>
    <w:qFormat/>
    <w:uiPriority w:val="0"/>
    <w:pPr>
      <w:ind w:firstLine="420" w:firstLineChars="200"/>
    </w:pPr>
  </w:style>
  <w:style w:type="character" w:customStyle="1" w:styleId="87">
    <w:name w:val="列表段落 字符"/>
    <w:link w:val="86"/>
    <w:qFormat/>
    <w:uiPriority w:val="0"/>
    <w:rPr>
      <w:rFonts w:ascii="Times New Roman" w:hAnsi="Times New Roman" w:eastAsia="宋体" w:cs="Times New Roman"/>
      <w:szCs w:val="24"/>
    </w:rPr>
  </w:style>
  <w:style w:type="paragraph" w:customStyle="1" w:styleId="8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9">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0">
    <w:name w:val="_Style 36"/>
    <w:basedOn w:val="1"/>
    <w:qFormat/>
    <w:uiPriority w:val="34"/>
    <w:pPr>
      <w:ind w:firstLine="420" w:firstLineChars="200"/>
    </w:pPr>
    <w:rPr>
      <w:szCs w:val="20"/>
    </w:rPr>
  </w:style>
  <w:style w:type="paragraph" w:customStyle="1" w:styleId="91">
    <w:name w:val="Char Char Char Char Char Char Char Char Char Char Char Char Char"/>
    <w:basedOn w:val="15"/>
    <w:qFormat/>
    <w:uiPriority w:val="0"/>
    <w:pPr>
      <w:shd w:val="clear" w:color="auto" w:fill="000080"/>
    </w:pPr>
    <w:rPr>
      <w:rFonts w:ascii="Tahoma" w:hAnsi="Tahoma"/>
      <w:sz w:val="24"/>
      <w:szCs w:val="24"/>
    </w:rPr>
  </w:style>
  <w:style w:type="paragraph" w:customStyle="1" w:styleId="9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3">
    <w:name w:val="新定义正文"/>
    <w:basedOn w:val="1"/>
    <w:qFormat/>
    <w:uiPriority w:val="0"/>
    <w:pPr>
      <w:widowControl/>
    </w:pPr>
    <w:rPr>
      <w:color w:val="000000"/>
      <w:szCs w:val="21"/>
    </w:rPr>
  </w:style>
  <w:style w:type="paragraph" w:customStyle="1" w:styleId="94">
    <w:name w:val="节"/>
    <w:basedOn w:val="5"/>
    <w:qFormat/>
    <w:uiPriority w:val="0"/>
    <w:pPr>
      <w:tabs>
        <w:tab w:val="left" w:pos="432"/>
        <w:tab w:val="left" w:pos="576"/>
      </w:tabs>
      <w:spacing w:line="240" w:lineRule="auto"/>
    </w:pPr>
    <w:rPr>
      <w:rFonts w:ascii="黑体"/>
      <w:b w:val="0"/>
      <w:sz w:val="28"/>
      <w:szCs w:val="28"/>
    </w:rPr>
  </w:style>
  <w:style w:type="paragraph" w:customStyle="1" w:styleId="95">
    <w:name w:val="TOC 标题2"/>
    <w:basedOn w:val="4"/>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96">
    <w:name w:val="列出段落11"/>
    <w:basedOn w:val="1"/>
    <w:qFormat/>
    <w:uiPriority w:val="34"/>
    <w:pPr>
      <w:ind w:firstLine="420" w:firstLineChars="200"/>
    </w:pPr>
    <w:rPr>
      <w:szCs w:val="20"/>
    </w:rPr>
  </w:style>
  <w:style w:type="paragraph" w:customStyle="1" w:styleId="9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8">
    <w:name w:val="Char Char1"/>
    <w:qFormat/>
    <w:uiPriority w:val="0"/>
    <w:rPr>
      <w:rFonts w:ascii="楷体_GB2312" w:eastAsia="楷体_GB2312"/>
      <w:sz w:val="28"/>
    </w:rPr>
  </w:style>
  <w:style w:type="character" w:customStyle="1" w:styleId="99">
    <w:name w:val="Char Char"/>
    <w:qFormat/>
    <w:uiPriority w:val="0"/>
    <w:rPr>
      <w:rFonts w:ascii="宋体"/>
      <w:kern w:val="2"/>
      <w:sz w:val="18"/>
      <w:szCs w:val="18"/>
    </w:rPr>
  </w:style>
  <w:style w:type="paragraph" w:customStyle="1" w:styleId="100">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01">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102">
    <w:name w:val="批注文字 Char1"/>
    <w:qFormat/>
    <w:uiPriority w:val="99"/>
    <w:rPr>
      <w:kern w:val="2"/>
      <w:sz w:val="21"/>
    </w:rPr>
  </w:style>
  <w:style w:type="paragraph" w:customStyle="1" w:styleId="10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4">
    <w:name w:val="p0"/>
    <w:basedOn w:val="1"/>
    <w:qFormat/>
    <w:uiPriority w:val="0"/>
    <w:rPr>
      <w:szCs w:val="20"/>
    </w:rPr>
  </w:style>
  <w:style w:type="paragraph" w:customStyle="1" w:styleId="105">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06">
    <w:name w:val="normaltextrun"/>
    <w:basedOn w:val="43"/>
    <w:qFormat/>
    <w:uiPriority w:val="0"/>
  </w:style>
  <w:style w:type="character" w:customStyle="1" w:styleId="107">
    <w:name w:val="eop"/>
    <w:basedOn w:val="43"/>
    <w:qFormat/>
    <w:uiPriority w:val="0"/>
  </w:style>
  <w:style w:type="character" w:customStyle="1" w:styleId="108">
    <w:name w:val="列出段落 Char"/>
    <w:qFormat/>
    <w:uiPriority w:val="34"/>
    <w:rPr>
      <w:kern w:val="2"/>
      <w:sz w:val="21"/>
      <w:szCs w:val="24"/>
    </w:rPr>
  </w:style>
  <w:style w:type="character" w:customStyle="1" w:styleId="109">
    <w:name w:val="未处理的提及1"/>
    <w:basedOn w:val="43"/>
    <w:unhideWhenUsed/>
    <w:qFormat/>
    <w:uiPriority w:val="99"/>
    <w:rPr>
      <w:color w:val="605E5C"/>
      <w:shd w:val="clear" w:color="auto" w:fill="E1DFDD"/>
    </w:rPr>
  </w:style>
  <w:style w:type="paragraph" w:customStyle="1" w:styleId="11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12">
    <w:name w:val="文一 Char"/>
    <w:link w:val="113"/>
    <w:qFormat/>
    <w:locked/>
    <w:uiPriority w:val="0"/>
    <w:rPr>
      <w:spacing w:val="4"/>
      <w:sz w:val="24"/>
      <w:szCs w:val="24"/>
    </w:rPr>
  </w:style>
  <w:style w:type="paragraph" w:customStyle="1" w:styleId="113">
    <w:name w:val="文一"/>
    <w:basedOn w:val="1"/>
    <w:link w:val="112"/>
    <w:qFormat/>
    <w:uiPriority w:val="0"/>
    <w:pPr>
      <w:topLinePunct/>
      <w:adjustRightInd w:val="0"/>
      <w:snapToGrid w:val="0"/>
      <w:spacing w:line="360" w:lineRule="auto"/>
      <w:ind w:firstLine="200" w:firstLineChars="200"/>
    </w:pPr>
    <w:rPr>
      <w:spacing w:val="4"/>
      <w:kern w:val="0"/>
      <w:sz w:val="24"/>
    </w:rPr>
  </w:style>
  <w:style w:type="character" w:customStyle="1" w:styleId="114">
    <w:name w:val="未处理的提及2"/>
    <w:basedOn w:val="43"/>
    <w:unhideWhenUsed/>
    <w:qFormat/>
    <w:uiPriority w:val="99"/>
    <w:rPr>
      <w:color w:val="605E5C"/>
      <w:shd w:val="clear" w:color="auto" w:fill="E1DFDD"/>
    </w:rPr>
  </w:style>
  <w:style w:type="character" w:customStyle="1" w:styleId="115">
    <w:name w:val="p141"/>
    <w:qFormat/>
    <w:uiPriority w:val="0"/>
    <w:rPr>
      <w:sz w:val="21"/>
      <w:szCs w:val="21"/>
    </w:rPr>
  </w:style>
  <w:style w:type="paragraph" w:customStyle="1" w:styleId="116">
    <w:name w:val="列表段落1"/>
    <w:basedOn w:val="1"/>
    <w:unhideWhenUsed/>
    <w:qFormat/>
    <w:uiPriority w:val="34"/>
    <w:pPr>
      <w:ind w:firstLine="420" w:firstLineChars="200"/>
    </w:pPr>
  </w:style>
  <w:style w:type="paragraph" w:customStyle="1" w:styleId="1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8">
    <w:name w:val="段"/>
    <w:link w:val="1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9">
    <w:name w:val="段 Char"/>
    <w:link w:val="118"/>
    <w:qFormat/>
    <w:uiPriority w:val="0"/>
    <w:rPr>
      <w:rFonts w:ascii="宋体"/>
      <w:sz w:val="21"/>
    </w:rPr>
  </w:style>
  <w:style w:type="paragraph" w:customStyle="1" w:styleId="120">
    <w:name w:val="列出段落2"/>
    <w:basedOn w:val="1"/>
    <w:unhideWhenUsed/>
    <w:qFormat/>
    <w:uiPriority w:val="34"/>
    <w:pPr>
      <w:ind w:firstLine="420" w:firstLineChars="200"/>
    </w:pPr>
  </w:style>
  <w:style w:type="table" w:customStyle="1" w:styleId="121">
    <w:name w:val="网格型1"/>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2"/>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3">
    <w:name w:val="H正_1"/>
    <w:basedOn w:val="124"/>
    <w:qFormat/>
    <w:uiPriority w:val="0"/>
    <w:pPr>
      <w:spacing w:after="0" w:line="420" w:lineRule="auto"/>
      <w:ind w:firstLine="200" w:firstLineChars="200"/>
      <w:jc w:val="left"/>
    </w:pPr>
    <w:rPr>
      <w:bCs/>
      <w:spacing w:val="0"/>
      <w:kern w:val="2"/>
      <w:szCs w:val="24"/>
    </w:rPr>
  </w:style>
  <w:style w:type="paragraph" w:customStyle="1" w:styleId="124">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25">
    <w:name w:val="H标_1"/>
    <w:basedOn w:val="126"/>
    <w:qFormat/>
    <w:uiPriority w:val="0"/>
    <w:pPr>
      <w:keepNext/>
      <w:keepLines/>
      <w:tabs>
        <w:tab w:val="left" w:pos="1300"/>
        <w:tab w:val="left" w:pos="1440"/>
        <w:tab w:val="left" w:pos="1932"/>
        <w:tab w:val="left" w:pos="6184"/>
      </w:tabs>
    </w:pPr>
    <w:rPr>
      <w:sz w:val="32"/>
    </w:rPr>
  </w:style>
  <w:style w:type="paragraph" w:customStyle="1" w:styleId="126">
    <w:name w:val="标题 1_0"/>
    <w:basedOn w:val="124"/>
    <w:next w:val="127"/>
    <w:qFormat/>
    <w:uiPriority w:val="0"/>
    <w:pPr>
      <w:pageBreakBefore/>
      <w:spacing w:before="120" w:after="60"/>
      <w:ind w:firstLine="0"/>
      <w:jc w:val="center"/>
      <w:outlineLvl w:val="0"/>
    </w:pPr>
    <w:rPr>
      <w:rFonts w:eastAsia="黑体"/>
      <w:b/>
      <w:sz w:val="36"/>
    </w:rPr>
  </w:style>
  <w:style w:type="paragraph" w:customStyle="1" w:styleId="127">
    <w:name w:val="方案正文"/>
    <w:basedOn w:val="124"/>
    <w:qFormat/>
    <w:uiPriority w:val="0"/>
    <w:pPr>
      <w:ind w:firstLine="200" w:firstLineChars="200"/>
    </w:pPr>
    <w:rPr>
      <w:bCs/>
    </w:rPr>
  </w:style>
  <w:style w:type="paragraph" w:customStyle="1" w:styleId="128">
    <w:name w:val="H表_1"/>
    <w:basedOn w:val="129"/>
    <w:qFormat/>
    <w:uiPriority w:val="0"/>
    <w:pPr>
      <w:widowControl/>
      <w:spacing w:line="240" w:lineRule="auto"/>
      <w:jc w:val="center"/>
    </w:pPr>
    <w:rPr>
      <w:rFonts w:ascii="宋体" w:hAnsi="宋体"/>
      <w:kern w:val="0"/>
      <w:sz w:val="20"/>
      <w:szCs w:val="20"/>
    </w:rPr>
  </w:style>
  <w:style w:type="paragraph" w:customStyle="1" w:styleId="129">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30">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31">
    <w:name w:val="文本"/>
    <w:basedOn w:val="124"/>
    <w:qFormat/>
    <w:uiPriority w:val="0"/>
    <w:pPr>
      <w:spacing w:after="0"/>
      <w:ind w:firstLine="420" w:firstLineChars="200"/>
      <w:jc w:val="left"/>
    </w:pPr>
    <w:rPr>
      <w:rFonts w:ascii="宋体" w:hAnsi="宋体"/>
      <w:spacing w:val="0"/>
      <w:kern w:val="2"/>
      <w:sz w:val="21"/>
      <w:szCs w:val="22"/>
    </w:rPr>
  </w:style>
  <w:style w:type="paragraph" w:customStyle="1" w:styleId="132">
    <w:name w:val="Table Paragraph"/>
    <w:basedOn w:val="130"/>
    <w:qFormat/>
    <w:uiPriority w:val="1"/>
    <w:pPr>
      <w:wordWrap/>
      <w:spacing w:line="240" w:lineRule="auto"/>
      <w:jc w:val="left"/>
    </w:pPr>
    <w:rPr>
      <w:rFonts w:ascii="等线" w:hAnsi="等线" w:eastAsia="等线"/>
      <w:kern w:val="0"/>
      <w:sz w:val="22"/>
      <w:lang w:eastAsia="en-US"/>
    </w:rPr>
  </w:style>
  <w:style w:type="paragraph" w:customStyle="1" w:styleId="133">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H表正"/>
    <w:basedOn w:val="124"/>
    <w:qFormat/>
    <w:uiPriority w:val="0"/>
    <w:pPr>
      <w:widowControl/>
      <w:spacing w:after="0" w:line="240" w:lineRule="auto"/>
      <w:ind w:firstLine="0"/>
    </w:pPr>
    <w:rPr>
      <w:rFonts w:ascii="宋体" w:hAnsi="宋体"/>
      <w:color w:val="000000"/>
      <w:spacing w:val="0"/>
      <w:sz w:val="21"/>
      <w:szCs w:val="21"/>
    </w:rPr>
  </w:style>
  <w:style w:type="paragraph" w:customStyle="1" w:styleId="136">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37">
    <w:name w:val="正文缩进_0"/>
    <w:basedOn w:val="129"/>
    <w:qFormat/>
    <w:uiPriority w:val="0"/>
    <w:pPr>
      <w:wordWrap/>
      <w:autoSpaceDE w:val="0"/>
      <w:autoSpaceDN w:val="0"/>
      <w:spacing w:line="360" w:lineRule="auto"/>
      <w:ind w:left="181" w:firstLine="420"/>
    </w:pPr>
    <w:rPr>
      <w:kern w:val="0"/>
      <w:sz w:val="24"/>
      <w:szCs w:val="20"/>
    </w:rPr>
  </w:style>
  <w:style w:type="paragraph" w:customStyle="1" w:styleId="138">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正文缩进_1"/>
    <w:basedOn w:val="124"/>
    <w:qFormat/>
    <w:uiPriority w:val="0"/>
    <w:pPr>
      <w:spacing w:before="60" w:after="60"/>
      <w:ind w:firstLine="420"/>
    </w:pPr>
    <w:rPr>
      <w:rFonts w:ascii="宋体"/>
      <w:color w:val="000000"/>
      <w:spacing w:val="0"/>
      <w:kern w:val="2"/>
    </w:rPr>
  </w:style>
  <w:style w:type="paragraph" w:customStyle="1" w:styleId="140">
    <w:name w:val="正文首行缩进1"/>
    <w:basedOn w:val="141"/>
    <w:qFormat/>
    <w:uiPriority w:val="0"/>
    <w:pPr>
      <w:spacing w:after="60" w:line="400" w:lineRule="exact"/>
      <w:ind w:firstLine="476"/>
    </w:pPr>
    <w:rPr>
      <w:kern w:val="2"/>
    </w:rPr>
  </w:style>
  <w:style w:type="paragraph" w:customStyle="1" w:styleId="141">
    <w:name w:val="正文文本_0"/>
    <w:basedOn w:val="124"/>
    <w:qFormat/>
    <w:uiPriority w:val="99"/>
  </w:style>
  <w:style w:type="paragraph" w:customStyle="1" w:styleId="142">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3">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5">
    <w:name w:val="列出段落_1"/>
    <w:basedOn w:val="146"/>
    <w:qFormat/>
    <w:uiPriority w:val="0"/>
    <w:pPr>
      <w:ind w:firstLine="420" w:firstLineChars="200"/>
    </w:pPr>
    <w:rPr>
      <w:rFonts w:ascii="Times New Roman" w:hAnsi="Times New Roman"/>
      <w:sz w:val="20"/>
      <w:szCs w:val="24"/>
    </w:rPr>
  </w:style>
  <w:style w:type="paragraph" w:customStyle="1" w:styleId="146">
    <w:name w:val="正文_1_2"/>
    <w:qFormat/>
    <w:uiPriority w:val="0"/>
    <w:rPr>
      <w:rFonts w:ascii="Calibri" w:hAnsi="Calibri" w:eastAsia="宋体" w:cs="Times New Roman"/>
      <w:sz w:val="21"/>
      <w:lang w:val="en-US" w:eastAsia="zh-CN" w:bidi="ar-SA"/>
    </w:rPr>
  </w:style>
  <w:style w:type="paragraph" w:customStyle="1" w:styleId="147">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8">
    <w:name w:val="列出段落_0"/>
    <w:basedOn w:val="146"/>
    <w:qFormat/>
    <w:uiPriority w:val="0"/>
    <w:pPr>
      <w:ind w:firstLine="420" w:firstLineChars="200"/>
    </w:pPr>
    <w:rPr>
      <w:rFonts w:ascii="Times New Roman" w:hAnsi="Times New Roman"/>
      <w:sz w:val="20"/>
      <w:szCs w:val="24"/>
    </w:rPr>
  </w:style>
  <w:style w:type="paragraph" w:customStyle="1" w:styleId="149">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0">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51">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53">
    <w:name w:val="列出段落3"/>
    <w:basedOn w:val="1"/>
    <w:unhideWhenUsed/>
    <w:qFormat/>
    <w:uiPriority w:val="99"/>
    <w:pPr>
      <w:ind w:firstLine="420" w:firstLineChars="200"/>
    </w:pPr>
  </w:style>
  <w:style w:type="paragraph" w:customStyle="1" w:styleId="154">
    <w:name w:val="列出段落4"/>
    <w:basedOn w:val="1"/>
    <w:unhideWhenUsed/>
    <w:qFormat/>
    <w:uiPriority w:val="99"/>
    <w:pPr>
      <w:ind w:firstLine="420" w:firstLineChars="200"/>
    </w:pPr>
  </w:style>
  <w:style w:type="paragraph" w:customStyle="1" w:styleId="155">
    <w:name w:val="符号列表"/>
    <w:basedOn w:val="1"/>
    <w:next w:val="86"/>
    <w:qFormat/>
    <w:uiPriority w:val="34"/>
    <w:pPr>
      <w:spacing w:line="500" w:lineRule="exact"/>
      <w:ind w:firstLine="480" w:firstLineChars="200"/>
    </w:pPr>
    <w:rPr>
      <w:rFonts w:eastAsia="仿宋_GB2312"/>
      <w:sz w:val="24"/>
      <w:szCs w:val="20"/>
    </w:rPr>
  </w:style>
  <w:style w:type="paragraph" w:customStyle="1" w:styleId="156">
    <w:name w:val="标题 3_0"/>
    <w:basedOn w:val="126"/>
    <w:next w:val="127"/>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57">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8">
    <w:name w:val="正文缩进1"/>
    <w:basedOn w:val="124"/>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9">
    <w:name w:val="正文缩进11"/>
    <w:basedOn w:val="124"/>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60">
    <w:name w:val="列出段落5"/>
    <w:basedOn w:val="1"/>
    <w:unhideWhenUsed/>
    <w:qFormat/>
    <w:uiPriority w:val="99"/>
    <w:pPr>
      <w:ind w:firstLine="420" w:firstLineChars="200"/>
    </w:pPr>
  </w:style>
  <w:style w:type="paragraph" w:customStyle="1" w:styleId="161">
    <w:name w:val="列出段落6"/>
    <w:basedOn w:val="1"/>
    <w:unhideWhenUsed/>
    <w:qFormat/>
    <w:uiPriority w:val="99"/>
    <w:pPr>
      <w:ind w:firstLine="420" w:firstLineChars="200"/>
    </w:pPr>
  </w:style>
  <w:style w:type="paragraph" w:customStyle="1" w:styleId="162">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63">
    <w:name w:val="List Paragraph"/>
    <w:basedOn w:val="1"/>
    <w:unhideWhenUsed/>
    <w:qFormat/>
    <w:uiPriority w:val="0"/>
    <w:pPr>
      <w:ind w:firstLine="420" w:firstLineChars="200"/>
    </w:pPr>
  </w:style>
  <w:style w:type="paragraph" w:customStyle="1" w:styleId="164">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65">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s11"/>
    <w:qFormat/>
    <w:uiPriority w:val="0"/>
    <w:rPr>
      <w:rFonts w:ascii="ˎ̥" w:hAnsi="ˎ̥" w:cs="宋体"/>
      <w:b/>
      <w:color w:val="51585D"/>
      <w:kern w:val="0"/>
      <w:sz w:val="24"/>
      <w:szCs w:val="18"/>
    </w:rPr>
  </w:style>
  <w:style w:type="character" w:customStyle="1" w:styleId="167">
    <w:name w:val="s41"/>
    <w:basedOn w:val="43"/>
    <w:qFormat/>
    <w:uiPriority w:val="0"/>
    <w:rPr>
      <w:rFonts w:ascii="ˎ̥" w:hAnsi="ˎ̥" w:cs="宋体"/>
      <w:color w:val="51585D"/>
      <w:kern w:val="0"/>
      <w:sz w:val="24"/>
      <w:szCs w:val="18"/>
    </w:rPr>
  </w:style>
  <w:style w:type="paragraph" w:customStyle="1" w:styleId="16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9">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70">
    <w:name w:val="缺省文本"/>
    <w:basedOn w:val="1"/>
    <w:qFormat/>
    <w:uiPriority w:val="0"/>
    <w:pPr>
      <w:autoSpaceDE w:val="0"/>
      <w:autoSpaceDN w:val="0"/>
      <w:adjustRightInd w:val="0"/>
      <w:jc w:val="left"/>
    </w:pPr>
    <w:rPr>
      <w:kern w:val="0"/>
      <w:sz w:val="24"/>
    </w:rPr>
  </w:style>
  <w:style w:type="character" w:customStyle="1" w:styleId="171">
    <w:name w:val="无"/>
    <w:qFormat/>
    <w:uiPriority w:val="0"/>
  </w:style>
  <w:style w:type="character" w:customStyle="1" w:styleId="172">
    <w:name w:val="标题 3 字符1"/>
    <w:link w:val="6"/>
    <w:qFormat/>
    <w:uiPriority w:val="0"/>
    <w:rPr>
      <w:b/>
    </w:rPr>
  </w:style>
  <w:style w:type="character" w:customStyle="1" w:styleId="173">
    <w:name w:val="font51"/>
    <w:basedOn w:val="43"/>
    <w:qFormat/>
    <w:uiPriority w:val="0"/>
    <w:rPr>
      <w:rFonts w:hint="eastAsia" w:ascii="宋体" w:hAnsi="宋体" w:eastAsia="宋体" w:cs="宋体"/>
      <w:color w:val="000000"/>
      <w:sz w:val="22"/>
      <w:szCs w:val="22"/>
      <w:u w:val="none"/>
      <w:vertAlign w:val="superscript"/>
    </w:rPr>
  </w:style>
  <w:style w:type="character" w:customStyle="1" w:styleId="174">
    <w:name w:val="p141_0"/>
    <w:qFormat/>
    <w:uiPriority w:val="0"/>
    <w:rPr>
      <w:rFonts w:ascii="Calibri" w:hAnsi="Calibri"/>
      <w:sz w:val="21"/>
      <w:szCs w:val="21"/>
    </w:rPr>
  </w:style>
  <w:style w:type="character" w:customStyle="1" w:styleId="175">
    <w:name w:val="ca-2"/>
    <w:basedOn w:val="43"/>
    <w:qFormat/>
    <w:uiPriority w:val="0"/>
  </w:style>
  <w:style w:type="paragraph" w:customStyle="1" w:styleId="176">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77">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8">
    <w:name w:val="List Paragraph1"/>
    <w:basedOn w:val="1"/>
    <w:qFormat/>
    <w:uiPriority w:val="99"/>
    <w:pPr>
      <w:ind w:firstLine="420" w:firstLineChars="200"/>
    </w:pPr>
  </w:style>
  <w:style w:type="paragraph" w:customStyle="1" w:styleId="179">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80">
    <w:name w:val="引言二级条标题"/>
    <w:basedOn w:val="1"/>
    <w:next w:val="1"/>
    <w:qFormat/>
    <w:uiPriority w:val="0"/>
    <w:pPr>
      <w:numPr>
        <w:ilvl w:val="1"/>
        <w:numId w:val="2"/>
      </w:numPr>
      <w:tabs>
        <w:tab w:val="left" w:pos="360"/>
      </w:tabs>
      <w:ind w:firstLine="0"/>
    </w:pPr>
    <w:rPr>
      <w:rFonts w:eastAsia="黑体"/>
      <w:b/>
    </w:rPr>
  </w:style>
  <w:style w:type="character" w:customStyle="1" w:styleId="181">
    <w:name w:val="本文正文 Char1 Char Char Char Char Char Char Char Char Char Char Char Char Char Char Char Char Char Char Char Char Char Char Char Char Char Char"/>
    <w:link w:val="182"/>
    <w:qFormat/>
    <w:uiPriority w:val="0"/>
    <w:rPr>
      <w:rFonts w:ascii="宋体" w:hAnsi="宋体"/>
      <w:kern w:val="0"/>
      <w:sz w:val="24"/>
    </w:rPr>
  </w:style>
  <w:style w:type="paragraph" w:customStyle="1" w:styleId="182">
    <w:name w:val="本文正文 Char1 Char Char Char Char Char Char Char Char Char Char Char Char Char Char Char Char Char Char Char Char Char Char Char Char"/>
    <w:basedOn w:val="1"/>
    <w:link w:val="181"/>
    <w:qFormat/>
    <w:uiPriority w:val="0"/>
    <w:pPr>
      <w:widowControl/>
      <w:spacing w:line="480" w:lineRule="exact"/>
      <w:ind w:firstLine="200" w:firstLineChars="200"/>
      <w:jc w:val="left"/>
    </w:pPr>
    <w:rPr>
      <w:rFonts w:ascii="宋体" w:hAnsi="宋体"/>
      <w:kern w:val="0"/>
      <w:sz w:val="24"/>
    </w:rPr>
  </w:style>
  <w:style w:type="paragraph" w:customStyle="1" w:styleId="183">
    <w:name w:val="_Style 5"/>
    <w:basedOn w:val="1"/>
    <w:next w:val="163"/>
    <w:qFormat/>
    <w:uiPriority w:val="34"/>
    <w:pPr>
      <w:ind w:firstLine="420" w:firstLineChars="200"/>
    </w:pPr>
  </w:style>
  <w:style w:type="character" w:customStyle="1" w:styleId="184">
    <w:name w:val="href"/>
    <w:basedOn w:val="43"/>
    <w:qFormat/>
    <w:uiPriority w:val="0"/>
    <w:rPr>
      <w:color w:val="0000FF"/>
      <w:u w:val="single"/>
    </w:rPr>
  </w:style>
  <w:style w:type="character" w:customStyle="1" w:styleId="185">
    <w:name w:val="first-child"/>
    <w:basedOn w:val="43"/>
    <w:qFormat/>
    <w:uiPriority w:val="0"/>
    <w:rPr>
      <w:vanish/>
    </w:rPr>
  </w:style>
  <w:style w:type="paragraph" w:customStyle="1" w:styleId="186">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7">
    <w:name w:val="标题 3 Char"/>
    <w:link w:val="6"/>
    <w:qFormat/>
    <w:uiPriority w:val="0"/>
    <w:rPr>
      <w:b/>
    </w:rPr>
  </w:style>
  <w:style w:type="character" w:customStyle="1" w:styleId="188">
    <w:name w:val="daytime"/>
    <w:basedOn w:val="43"/>
    <w:qFormat/>
    <w:uiPriority w:val="0"/>
    <w:rPr>
      <w:color w:val="000000"/>
      <w:sz w:val="43"/>
      <w:szCs w:val="43"/>
    </w:rPr>
  </w:style>
  <w:style w:type="character" w:customStyle="1" w:styleId="189">
    <w:name w:val="daytime1"/>
    <w:basedOn w:val="43"/>
    <w:qFormat/>
    <w:uiPriority w:val="0"/>
    <w:rPr>
      <w:color w:val="000000"/>
      <w:sz w:val="43"/>
      <w:szCs w:val="43"/>
    </w:rPr>
  </w:style>
  <w:style w:type="character" w:customStyle="1" w:styleId="190">
    <w:name w:val="yeartime"/>
    <w:basedOn w:val="43"/>
    <w:qFormat/>
    <w:uiPriority w:val="0"/>
    <w:rPr>
      <w:color w:val="999999"/>
      <w:sz w:val="14"/>
      <w:szCs w:val="14"/>
    </w:rPr>
  </w:style>
  <w:style w:type="character" w:customStyle="1" w:styleId="191">
    <w:name w:val="yeartime1"/>
    <w:basedOn w:val="43"/>
    <w:qFormat/>
    <w:uiPriority w:val="0"/>
    <w:rPr>
      <w:color w:val="999999"/>
      <w:sz w:val="14"/>
      <w:szCs w:val="14"/>
    </w:rPr>
  </w:style>
  <w:style w:type="character" w:customStyle="1" w:styleId="192">
    <w:name w:val="revoketype"/>
    <w:basedOn w:val="43"/>
    <w:qFormat/>
    <w:uiPriority w:val="0"/>
  </w:style>
  <w:style w:type="character" w:customStyle="1" w:styleId="193">
    <w:name w:val="revoketype1"/>
    <w:basedOn w:val="43"/>
    <w:qFormat/>
    <w:uiPriority w:val="0"/>
    <w:rPr>
      <w:color w:val="333333"/>
    </w:rPr>
  </w:style>
  <w:style w:type="character" w:customStyle="1" w:styleId="194">
    <w:name w:val="more"/>
    <w:basedOn w:val="43"/>
    <w:qFormat/>
    <w:uiPriority w:val="0"/>
  </w:style>
  <w:style w:type="character" w:customStyle="1" w:styleId="195">
    <w:name w:val="home_lc01"/>
    <w:basedOn w:val="43"/>
    <w:qFormat/>
    <w:uiPriority w:val="0"/>
  </w:style>
  <w:style w:type="character" w:customStyle="1" w:styleId="196">
    <w:name w:val="time"/>
    <w:basedOn w:val="43"/>
    <w:qFormat/>
    <w:uiPriority w:val="0"/>
    <w:rPr>
      <w:b/>
      <w:bCs/>
      <w:color w:val="333333"/>
      <w:sz w:val="16"/>
      <w:szCs w:val="16"/>
    </w:rPr>
  </w:style>
  <w:style w:type="character" w:customStyle="1" w:styleId="197">
    <w:name w:val="time1"/>
    <w:basedOn w:val="43"/>
    <w:qFormat/>
    <w:uiPriority w:val="0"/>
  </w:style>
  <w:style w:type="character" w:customStyle="1" w:styleId="198">
    <w:name w:val="time2"/>
    <w:basedOn w:val="43"/>
    <w:qFormat/>
    <w:uiPriority w:val="0"/>
    <w:rPr>
      <w:color w:val="969696"/>
      <w:sz w:val="14"/>
      <w:szCs w:val="14"/>
    </w:rPr>
  </w:style>
  <w:style w:type="character" w:customStyle="1" w:styleId="199">
    <w:name w:val="name4"/>
    <w:basedOn w:val="43"/>
    <w:qFormat/>
    <w:uiPriority w:val="0"/>
    <w:rPr>
      <w:b/>
      <w:bCs/>
      <w:color w:val="666666"/>
      <w:sz w:val="16"/>
      <w:szCs w:val="16"/>
    </w:rPr>
  </w:style>
  <w:style w:type="character" w:customStyle="1" w:styleId="200">
    <w:name w:val="name5"/>
    <w:basedOn w:val="43"/>
    <w:qFormat/>
    <w:uiPriority w:val="0"/>
    <w:rPr>
      <w:b/>
      <w:bCs/>
      <w:color w:val="666666"/>
      <w:sz w:val="16"/>
      <w:szCs w:val="16"/>
    </w:rPr>
  </w:style>
  <w:style w:type="character" w:customStyle="1" w:styleId="201">
    <w:name w:val="name6"/>
    <w:basedOn w:val="43"/>
    <w:qFormat/>
    <w:uiPriority w:val="0"/>
    <w:rPr>
      <w:b/>
      <w:bCs/>
      <w:color w:val="666666"/>
      <w:sz w:val="16"/>
      <w:szCs w:val="16"/>
    </w:rPr>
  </w:style>
  <w:style w:type="character" w:customStyle="1" w:styleId="202">
    <w:name w:val="name7"/>
    <w:basedOn w:val="43"/>
    <w:qFormat/>
    <w:uiPriority w:val="0"/>
    <w:rPr>
      <w:color w:val="0053A2"/>
      <w:sz w:val="16"/>
      <w:szCs w:val="16"/>
    </w:rPr>
  </w:style>
  <w:style w:type="character" w:customStyle="1" w:styleId="203">
    <w:name w:val="revokename"/>
    <w:basedOn w:val="43"/>
    <w:qFormat/>
    <w:uiPriority w:val="0"/>
  </w:style>
  <w:style w:type="character" w:customStyle="1" w:styleId="204">
    <w:name w:val="revokename1"/>
    <w:basedOn w:val="43"/>
    <w:qFormat/>
    <w:uiPriority w:val="0"/>
  </w:style>
  <w:style w:type="character" w:customStyle="1" w:styleId="205">
    <w:name w:val="dci"/>
    <w:basedOn w:val="43"/>
    <w:qFormat/>
    <w:uiPriority w:val="0"/>
  </w:style>
  <w:style w:type="character" w:customStyle="1" w:styleId="206">
    <w:name w:val="dci1"/>
    <w:basedOn w:val="4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88</Pages>
  <Words>10087</Words>
  <Characters>57496</Characters>
  <Lines>479</Lines>
  <Paragraphs>134</Paragraphs>
  <TotalTime>60</TotalTime>
  <ScaleCrop>false</ScaleCrop>
  <LinksUpToDate>false</LinksUpToDate>
  <CharactersWithSpaces>67449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2023-09-26T15:26:00Z</dcterms:created>
  <dc:creator>MIIT</dc:creator>
  <cp:lastModifiedBy>张雪健</cp:lastModifiedBy>
  <cp:lastPrinted>2023-10-26T06:31:00Z</cp:lastPrinted>
  <dcterms:modified xsi:type="dcterms:W3CDTF">2023-10-27T01:24:40Z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B7E3B92EB4FF4680B6DD0128CD0005A3_13</vt:lpwstr>
  </property>
</Properties>
</file>