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Hlk163808360"/>
    </w:p>
    <w:p/>
    <w:p/>
    <w:p/>
    <w:p/>
    <w:p/>
    <w:p>
      <w:pPr>
        <w:spacing w:after="120" w:line="360" w:lineRule="atLeast"/>
        <w:jc w:val="center"/>
        <w:rPr>
          <w:rFonts w:hint="eastAsia" w:ascii="仿宋" w:hAnsi="仿宋" w:eastAsia="仿宋" w:cs="宋体"/>
          <w:b/>
          <w:sz w:val="48"/>
          <w:szCs w:val="48"/>
        </w:rPr>
      </w:pPr>
      <w:bookmarkStart w:id="1" w:name="OLE_LINK2"/>
      <w:r>
        <w:rPr>
          <w:rFonts w:hint="eastAsia" w:ascii="仿宋" w:hAnsi="仿宋" w:eastAsia="仿宋" w:cs="宋体"/>
          <w:b/>
          <w:sz w:val="48"/>
          <w:szCs w:val="48"/>
        </w:rPr>
        <w:t>2025年度网络安全建设和服务项目</w:t>
      </w:r>
    </w:p>
    <w:bookmarkEnd w:id="1"/>
    <w:p>
      <w:pPr>
        <w:spacing w:after="120" w:line="360" w:lineRule="atLeast"/>
        <w:jc w:val="center"/>
      </w:pPr>
    </w:p>
    <w:p>
      <w:pPr>
        <w:spacing w:after="120" w:line="360" w:lineRule="atLeast"/>
        <w:jc w:val="center"/>
      </w:pPr>
    </w:p>
    <w:p>
      <w:pPr>
        <w:spacing w:after="120" w:line="360" w:lineRule="atLeast"/>
        <w:jc w:val="center"/>
        <w:rPr>
          <w:rFonts w:hint="eastAsia" w:ascii="仿宋" w:hAnsi="仿宋" w:eastAsia="仿宋" w:cs="宋体"/>
          <w:b/>
          <w:sz w:val="52"/>
          <w:szCs w:val="52"/>
        </w:rPr>
      </w:pPr>
      <w:r>
        <w:rPr>
          <w:rFonts w:hint="eastAsia" w:ascii="仿宋" w:hAnsi="仿宋" w:eastAsia="仿宋" w:cs="宋体"/>
          <w:b/>
          <w:sz w:val="52"/>
          <w:szCs w:val="52"/>
        </w:rPr>
        <w:t>招标文件</w:t>
      </w:r>
    </w:p>
    <w:p/>
    <w:p/>
    <w:p/>
    <w:p/>
    <w:p/>
    <w:p>
      <w:pPr>
        <w:spacing w:after="120" w:line="360" w:lineRule="atLeast"/>
        <w:jc w:val="center"/>
        <w:rPr>
          <w:rFonts w:hint="eastAsia" w:ascii="仿宋" w:hAnsi="仿宋" w:eastAsia="仿宋" w:cs="宋体"/>
          <w:b/>
          <w:sz w:val="32"/>
          <w:szCs w:val="32"/>
        </w:rPr>
      </w:pPr>
      <w:r>
        <w:rPr>
          <w:rFonts w:hint="eastAsia" w:ascii="仿宋" w:hAnsi="仿宋" w:eastAsia="仿宋" w:cs="宋体"/>
          <w:b/>
          <w:sz w:val="32"/>
          <w:szCs w:val="32"/>
        </w:rPr>
        <w:t>项目编号：</w:t>
      </w:r>
      <w:r>
        <w:rPr>
          <w:rFonts w:ascii="仿宋" w:hAnsi="仿宋" w:eastAsia="仿宋" w:cs="宋体"/>
          <w:b/>
          <w:sz w:val="32"/>
          <w:szCs w:val="32"/>
        </w:rPr>
        <w:t>WJS-202503140012</w:t>
      </w:r>
    </w:p>
    <w:p/>
    <w:p/>
    <w:p/>
    <w:p/>
    <w:p/>
    <w:p>
      <w:pPr>
        <w:spacing w:line="600" w:lineRule="exact"/>
        <w:jc w:val="center"/>
        <w:rPr>
          <w:rFonts w:hint="eastAsia" w:ascii="仿宋" w:hAnsi="仿宋" w:eastAsia="仿宋" w:cs="Times New Roman"/>
          <w:b/>
          <w:sz w:val="28"/>
          <w:szCs w:val="28"/>
        </w:rPr>
      </w:pPr>
      <w:r>
        <w:rPr>
          <w:rFonts w:hint="eastAsia" w:ascii="仿宋" w:hAnsi="仿宋" w:eastAsia="仿宋" w:cs="Times New Roman"/>
          <w:b/>
          <w:sz w:val="28"/>
          <w:szCs w:val="28"/>
        </w:rPr>
        <w:t>招标人：</w:t>
      </w:r>
      <w:r>
        <w:rPr>
          <w:rFonts w:hint="eastAsia" w:ascii="仿宋" w:hAnsi="仿宋" w:eastAsia="仿宋" w:cs="Times New Roman"/>
          <w:b/>
          <w:sz w:val="28"/>
          <w:szCs w:val="28"/>
          <w:u w:val="single"/>
        </w:rPr>
        <w:t>广东南方报业传媒集团有限公司</w:t>
      </w:r>
    </w:p>
    <w:p>
      <w:pPr>
        <w:spacing w:line="600" w:lineRule="exact"/>
        <w:jc w:val="center"/>
        <w:rPr>
          <w:rFonts w:hint="eastAsia" w:ascii="仿宋" w:hAnsi="仿宋" w:eastAsia="仿宋" w:cs="Times New Roman"/>
          <w:b/>
          <w:sz w:val="28"/>
          <w:szCs w:val="28"/>
        </w:rPr>
      </w:pPr>
      <w:r>
        <w:rPr>
          <w:rFonts w:hint="eastAsia" w:ascii="仿宋" w:hAnsi="仿宋" w:eastAsia="仿宋" w:cs="Times New Roman"/>
          <w:b/>
          <w:sz w:val="28"/>
          <w:szCs w:val="28"/>
        </w:rPr>
        <w:t>招标代理机构：</w:t>
      </w:r>
      <w:r>
        <w:rPr>
          <w:rFonts w:hint="eastAsia" w:ascii="仿宋" w:hAnsi="仿宋" w:eastAsia="仿宋" w:cs="Times New Roman"/>
          <w:b/>
          <w:sz w:val="28"/>
          <w:szCs w:val="28"/>
          <w:u w:val="single"/>
        </w:rPr>
        <w:t>广东省南方文化产权交易所股份有限公司</w:t>
      </w:r>
    </w:p>
    <w:p>
      <w:pPr>
        <w:spacing w:line="600" w:lineRule="exact"/>
        <w:jc w:val="center"/>
        <w:rPr>
          <w:rFonts w:hint="eastAsia" w:ascii="仿宋" w:hAnsi="仿宋" w:eastAsia="仿宋" w:cs="Times New Roman"/>
          <w:b/>
          <w:sz w:val="28"/>
          <w:szCs w:val="28"/>
        </w:rPr>
      </w:pPr>
      <w:r>
        <w:rPr>
          <w:rFonts w:hint="eastAsia" w:ascii="仿宋" w:hAnsi="仿宋" w:eastAsia="仿宋" w:cs="Times New Roman"/>
          <w:b/>
          <w:sz w:val="28"/>
          <w:szCs w:val="28"/>
        </w:rPr>
        <w:t>日期：</w:t>
      </w:r>
      <w:r>
        <w:rPr>
          <w:rFonts w:hint="eastAsia" w:ascii="仿宋" w:hAnsi="仿宋" w:eastAsia="仿宋" w:cs="Times New Roman"/>
          <w:b/>
          <w:sz w:val="28"/>
          <w:szCs w:val="28"/>
          <w:u w:val="single"/>
        </w:rPr>
        <w:t>2025</w:t>
      </w:r>
      <w:r>
        <w:rPr>
          <w:rFonts w:hint="eastAsia" w:ascii="仿宋" w:hAnsi="仿宋" w:eastAsia="仿宋" w:cs="Times New Roman"/>
          <w:b/>
          <w:sz w:val="28"/>
          <w:szCs w:val="28"/>
        </w:rPr>
        <w:t>年</w:t>
      </w:r>
      <w:r>
        <w:rPr>
          <w:rFonts w:hint="eastAsia" w:ascii="仿宋" w:hAnsi="仿宋" w:eastAsia="仿宋" w:cs="Times New Roman"/>
          <w:b/>
          <w:sz w:val="28"/>
          <w:szCs w:val="28"/>
          <w:u w:val="single"/>
        </w:rPr>
        <w:t>4</w:t>
      </w:r>
      <w:r>
        <w:rPr>
          <w:rFonts w:hint="eastAsia" w:ascii="仿宋" w:hAnsi="仿宋" w:eastAsia="仿宋" w:cs="Times New Roman"/>
          <w:b/>
          <w:sz w:val="28"/>
          <w:szCs w:val="28"/>
        </w:rPr>
        <w:t>月</w:t>
      </w:r>
    </w:p>
    <w:p/>
    <w:p/>
    <w:p/>
    <w:p/>
    <w:bookmarkEnd w:id="0"/>
    <w:p>
      <w:pPr>
        <w:widowControl/>
        <w:jc w:val="left"/>
      </w:pPr>
      <w:r>
        <w:br w:type="page"/>
      </w:r>
    </w:p>
    <w:sdt>
      <w:sdtPr>
        <w:rPr>
          <w:rFonts w:ascii="仿宋" w:hAnsi="仿宋" w:eastAsia="仿宋" w:cstheme="minorBidi"/>
          <w:color w:val="auto"/>
          <w:kern w:val="2"/>
          <w:sz w:val="21"/>
          <w:szCs w:val="22"/>
          <w:lang w:val="zh-CN"/>
        </w:rPr>
        <w:id w:val="101381012"/>
        <w:docPartObj>
          <w:docPartGallery w:val="Table of Contents"/>
          <w:docPartUnique/>
        </w:docPartObj>
      </w:sdtPr>
      <w:sdtEndPr>
        <w:rPr>
          <w:rFonts w:ascii="仿宋" w:hAnsi="仿宋" w:eastAsia="仿宋" w:cstheme="minorBidi"/>
          <w:b/>
          <w:bCs/>
          <w:color w:val="auto"/>
          <w:kern w:val="2"/>
          <w:sz w:val="21"/>
          <w:szCs w:val="22"/>
          <w:lang w:val="zh-CN"/>
        </w:rPr>
      </w:sdtEndPr>
      <w:sdtContent>
        <w:p>
          <w:pPr>
            <w:pStyle w:val="44"/>
            <w:spacing w:line="288" w:lineRule="auto"/>
            <w:jc w:val="center"/>
            <w:rPr>
              <w:rFonts w:hint="eastAsia" w:ascii="仿宋" w:hAnsi="仿宋" w:eastAsia="仿宋"/>
              <w:b/>
              <w:bCs/>
              <w:color w:val="auto"/>
            </w:rPr>
          </w:pPr>
          <w:r>
            <w:rPr>
              <w:rFonts w:ascii="仿宋" w:hAnsi="仿宋" w:eastAsia="仿宋"/>
              <w:b/>
              <w:bCs/>
              <w:color w:val="auto"/>
              <w:lang w:val="zh-CN"/>
            </w:rPr>
            <w:t>目</w:t>
          </w:r>
          <w:r>
            <w:rPr>
              <w:rFonts w:hint="eastAsia" w:ascii="仿宋" w:hAnsi="仿宋" w:eastAsia="仿宋"/>
              <w:b/>
              <w:bCs/>
              <w:color w:val="auto"/>
              <w:lang w:val="zh-CN"/>
            </w:rPr>
            <w:t xml:space="preserve">  </w:t>
          </w:r>
          <w:r>
            <w:rPr>
              <w:rFonts w:ascii="仿宋" w:hAnsi="仿宋" w:eastAsia="仿宋"/>
              <w:b/>
              <w:bCs/>
              <w:color w:val="auto"/>
              <w:lang w:val="zh-CN"/>
            </w:rPr>
            <w:t>录</w:t>
          </w:r>
        </w:p>
        <w:p>
          <w:pPr>
            <w:pStyle w:val="16"/>
            <w:rPr>
              <w:rFonts w:hint="eastAsia" w:ascii="仿宋" w:hAnsi="仿宋" w:eastAsia="仿宋"/>
              <w:sz w:val="22"/>
              <w:szCs w:val="24"/>
              <w14:ligatures w14:val="standardContextual"/>
            </w:rPr>
          </w:pPr>
          <w:r>
            <w:rPr>
              <w:rFonts w:ascii="仿宋" w:hAnsi="仿宋" w:eastAsia="仿宋"/>
              <w:szCs w:val="21"/>
            </w:rPr>
            <w:fldChar w:fldCharType="begin"/>
          </w:r>
          <w:r>
            <w:rPr>
              <w:rFonts w:ascii="仿宋" w:hAnsi="仿宋" w:eastAsia="仿宋"/>
              <w:szCs w:val="21"/>
            </w:rPr>
            <w:instrText xml:space="preserve"> TOC \o "1-3" \h \z \u </w:instrText>
          </w:r>
          <w:r>
            <w:rPr>
              <w:rFonts w:ascii="仿宋" w:hAnsi="仿宋" w:eastAsia="仿宋"/>
              <w:szCs w:val="21"/>
            </w:rPr>
            <w:fldChar w:fldCharType="separate"/>
          </w:r>
          <w:r>
            <w:fldChar w:fldCharType="begin"/>
          </w:r>
          <w:r>
            <w:instrText xml:space="preserve"> HYPERLINK \l "_Toc193699288" </w:instrText>
          </w:r>
          <w:r>
            <w:fldChar w:fldCharType="separate"/>
          </w:r>
          <w:r>
            <w:rPr>
              <w:rStyle w:val="28"/>
              <w:rFonts w:hint="eastAsia" w:ascii="仿宋" w:hAnsi="仿宋" w:eastAsia="仿宋" w:cs="宋体"/>
              <w:b/>
              <w:kern w:val="0"/>
              <w:lang w:val="zh-CN"/>
            </w:rPr>
            <w:t>第一章  招标公告</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_Toc193699288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"_Toc193699289" </w:instrText>
          </w:r>
          <w:r>
            <w:fldChar w:fldCharType="separate"/>
          </w:r>
          <w:r>
            <w:rPr>
              <w:rStyle w:val="28"/>
              <w:rFonts w:hint="eastAsia" w:ascii="仿宋" w:hAnsi="仿宋" w:eastAsia="仿宋"/>
            </w:rPr>
            <w:t>1.项目概况与采购内容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_Toc193699289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"_Toc193699290" </w:instrText>
          </w:r>
          <w:r>
            <w:fldChar w:fldCharType="separate"/>
          </w:r>
          <w:r>
            <w:rPr>
              <w:rStyle w:val="28"/>
              <w:rFonts w:hint="eastAsia" w:ascii="仿宋" w:hAnsi="仿宋" w:eastAsia="仿宋"/>
            </w:rPr>
            <w:t>2.投标人资格要求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_Toc193699290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"_Toc193699291" </w:instrText>
          </w:r>
          <w:r>
            <w:fldChar w:fldCharType="separate"/>
          </w:r>
          <w:r>
            <w:rPr>
              <w:rStyle w:val="28"/>
              <w:rFonts w:hint="eastAsia" w:ascii="仿宋" w:hAnsi="仿宋" w:eastAsia="仿宋"/>
            </w:rPr>
            <w:t>3.资格审查方法</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_Toc193699291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"_Toc193699292" </w:instrText>
          </w:r>
          <w:r>
            <w:fldChar w:fldCharType="separate"/>
          </w:r>
          <w:r>
            <w:rPr>
              <w:rStyle w:val="28"/>
              <w:rFonts w:hint="eastAsia" w:ascii="仿宋" w:hAnsi="仿宋" w:eastAsia="仿宋"/>
            </w:rPr>
            <w:t>4.招标文件获取</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_Toc193699292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"_Toc193699293" </w:instrText>
          </w:r>
          <w:r>
            <w:fldChar w:fldCharType="separate"/>
          </w:r>
          <w:r>
            <w:rPr>
              <w:rStyle w:val="28"/>
              <w:rFonts w:hint="eastAsia" w:ascii="仿宋" w:hAnsi="仿宋" w:eastAsia="仿宋"/>
            </w:rPr>
            <w:t>5.投标文件的递交</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_Toc193699293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"_Toc193699294" </w:instrText>
          </w:r>
          <w:r>
            <w:fldChar w:fldCharType="separate"/>
          </w:r>
          <w:r>
            <w:rPr>
              <w:rStyle w:val="28"/>
              <w:rFonts w:hint="eastAsia" w:ascii="仿宋" w:hAnsi="仿宋" w:eastAsia="仿宋"/>
            </w:rPr>
            <w:t>6.发布公告的媒介</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_Toc193699294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"_Toc193699295" </w:instrText>
          </w:r>
          <w:r>
            <w:fldChar w:fldCharType="separate"/>
          </w:r>
          <w:r>
            <w:rPr>
              <w:rStyle w:val="28"/>
              <w:rFonts w:hint="eastAsia" w:ascii="仿宋" w:hAnsi="仿宋" w:eastAsia="仿宋"/>
            </w:rPr>
            <w:t>7.联系方式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_Toc193699295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w:t>
          </w:r>
          <w:r>
            <w:rPr>
              <w:rFonts w:hint="eastAsia" w:ascii="仿宋" w:hAnsi="仿宋" w:eastAsia="仿宋"/>
            </w:rPr>
            <w:fldChar w:fldCharType="end"/>
          </w:r>
          <w:r>
            <w:rPr>
              <w:rFonts w:hint="eastAsia" w:ascii="仿宋" w:hAnsi="仿宋" w:eastAsia="仿宋"/>
            </w:rPr>
            <w:fldChar w:fldCharType="end"/>
          </w:r>
        </w:p>
        <w:p>
          <w:pPr>
            <w:pStyle w:val="16"/>
            <w:rPr>
              <w:rFonts w:hint="eastAsia" w:ascii="仿宋" w:hAnsi="仿宋" w:eastAsia="仿宋"/>
              <w:sz w:val="22"/>
              <w:szCs w:val="24"/>
              <w14:ligatures w14:val="standardContextual"/>
            </w:rPr>
          </w:pPr>
          <w:r>
            <w:fldChar w:fldCharType="begin"/>
          </w:r>
          <w:r>
            <w:instrText xml:space="preserve"> HYPERLINK \l "_Toc193699296" </w:instrText>
          </w:r>
          <w:r>
            <w:fldChar w:fldCharType="separate"/>
          </w:r>
          <w:r>
            <w:rPr>
              <w:rStyle w:val="28"/>
              <w:rFonts w:hint="eastAsia" w:ascii="仿宋" w:hAnsi="仿宋" w:eastAsia="仿宋" w:cs="宋体"/>
              <w:b/>
              <w:kern w:val="0"/>
              <w:lang w:val="zh-CN"/>
            </w:rPr>
            <w:t>第二章  投标人须知</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_Toc193699296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"_Toc193699297" </w:instrText>
          </w:r>
          <w:r>
            <w:fldChar w:fldCharType="separate"/>
          </w:r>
          <w:r>
            <w:rPr>
              <w:rStyle w:val="28"/>
              <w:rFonts w:hint="eastAsia" w:ascii="仿宋" w:hAnsi="仿宋" w:eastAsia="仿宋"/>
            </w:rPr>
            <w:t>投标人须知前附表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_Toc193699297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"_Toc193699298" </w:instrText>
          </w:r>
          <w:r>
            <w:fldChar w:fldCharType="separate"/>
          </w:r>
          <w:r>
            <w:rPr>
              <w:rStyle w:val="28"/>
              <w:rFonts w:hint="eastAsia" w:ascii="仿宋" w:hAnsi="仿宋" w:eastAsia="仿宋"/>
            </w:rPr>
            <w:t>1.</w:t>
          </w:r>
          <w:r>
            <w:rPr>
              <w:rFonts w:hint="eastAsia" w:ascii="仿宋" w:hAnsi="仿宋" w:eastAsia="仿宋"/>
              <w:sz w:val="22"/>
              <w:szCs w:val="24"/>
              <w14:ligatures w14:val="standardContextual"/>
            </w:rPr>
            <w:tab/>
          </w:r>
          <w:r>
            <w:rPr>
              <w:rStyle w:val="28"/>
              <w:rFonts w:hint="eastAsia" w:ascii="仿宋" w:hAnsi="仿宋" w:eastAsia="仿宋"/>
            </w:rPr>
            <w:t>总则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_Toc193699298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"_Toc193699299" </w:instrText>
          </w:r>
          <w:r>
            <w:fldChar w:fldCharType="separate"/>
          </w:r>
          <w:r>
            <w:rPr>
              <w:rStyle w:val="28"/>
              <w:rFonts w:hint="eastAsia" w:ascii="仿宋" w:hAnsi="仿宋" w:eastAsia="仿宋"/>
            </w:rPr>
            <w:t>1.1项目概况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_Toc193699299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"_Toc193699300" </w:instrText>
          </w:r>
          <w:r>
            <w:fldChar w:fldCharType="separate"/>
          </w:r>
          <w:r>
            <w:rPr>
              <w:rStyle w:val="28"/>
              <w:rFonts w:hint="eastAsia" w:ascii="仿宋" w:hAnsi="仿宋" w:eastAsia="仿宋"/>
            </w:rPr>
            <w:t>1.2资金来源和落实情况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_Toc193699300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"_Toc193699301" </w:instrText>
          </w:r>
          <w:r>
            <w:fldChar w:fldCharType="separate"/>
          </w:r>
          <w:r>
            <w:rPr>
              <w:rStyle w:val="28"/>
              <w:rFonts w:hint="eastAsia" w:ascii="仿宋" w:hAnsi="仿宋" w:eastAsia="仿宋"/>
            </w:rPr>
            <w:t>1.3采购范围</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_Toc193699301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"_Toc193699302" </w:instrText>
          </w:r>
          <w:r>
            <w:fldChar w:fldCharType="separate"/>
          </w:r>
          <w:r>
            <w:rPr>
              <w:rStyle w:val="28"/>
              <w:rFonts w:hint="eastAsia" w:ascii="仿宋" w:hAnsi="仿宋" w:eastAsia="仿宋"/>
            </w:rPr>
            <w:t>1.4标段划分</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_Toc193699302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"_Toc193699303" </w:instrText>
          </w:r>
          <w:r>
            <w:fldChar w:fldCharType="separate"/>
          </w:r>
          <w:r>
            <w:rPr>
              <w:rStyle w:val="28"/>
              <w:rFonts w:hint="eastAsia" w:ascii="仿宋" w:hAnsi="仿宋" w:eastAsia="仿宋"/>
            </w:rPr>
            <w:t>1.5招标方式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_Toc193699303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"_Toc193699304" </w:instrText>
          </w:r>
          <w:r>
            <w:fldChar w:fldCharType="separate"/>
          </w:r>
          <w:r>
            <w:rPr>
              <w:rStyle w:val="28"/>
              <w:rFonts w:hint="eastAsia" w:ascii="仿宋" w:hAnsi="仿宋" w:eastAsia="仿宋"/>
            </w:rPr>
            <w:t>1.6招标组织形式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_Toc193699304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16</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"_Toc193699305" </w:instrText>
          </w:r>
          <w:r>
            <w:fldChar w:fldCharType="separate"/>
          </w:r>
          <w:r>
            <w:rPr>
              <w:rStyle w:val="28"/>
              <w:rFonts w:hint="eastAsia" w:ascii="仿宋" w:hAnsi="仿宋" w:eastAsia="仿宋"/>
            </w:rPr>
            <w:t>1.7资格审查</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_Toc193699305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16</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"_Toc193699306" </w:instrText>
          </w:r>
          <w:r>
            <w:fldChar w:fldCharType="separate"/>
          </w:r>
          <w:r>
            <w:rPr>
              <w:rStyle w:val="28"/>
              <w:rFonts w:hint="eastAsia" w:ascii="仿宋" w:hAnsi="仿宋" w:eastAsia="仿宋"/>
            </w:rPr>
            <w:t>1.8投标人不得存在的情形</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_Toc193699306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16</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"_Toc193699307" </w:instrText>
          </w:r>
          <w:r>
            <w:fldChar w:fldCharType="separate"/>
          </w:r>
          <w:r>
            <w:rPr>
              <w:rStyle w:val="28"/>
              <w:rFonts w:hint="eastAsia" w:ascii="仿宋" w:hAnsi="仿宋" w:eastAsia="仿宋"/>
            </w:rPr>
            <w:t>1.9合格的货物和服务</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_Toc193699307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16</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"_Toc193699308" </w:instrText>
          </w:r>
          <w:r>
            <w:fldChar w:fldCharType="separate"/>
          </w:r>
          <w:r>
            <w:rPr>
              <w:rStyle w:val="28"/>
              <w:rFonts w:hint="eastAsia" w:ascii="仿宋" w:hAnsi="仿宋" w:eastAsia="仿宋"/>
            </w:rPr>
            <w:t>1.10投标费用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_Toc193699308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17</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"_Toc193699309" </w:instrText>
          </w:r>
          <w:r>
            <w:fldChar w:fldCharType="separate"/>
          </w:r>
          <w:r>
            <w:rPr>
              <w:rStyle w:val="28"/>
              <w:rFonts w:hint="eastAsia" w:ascii="仿宋" w:hAnsi="仿宋" w:eastAsia="仿宋"/>
            </w:rPr>
            <w:t>1.11保密</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_Toc193699309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17</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"_Toc193699310" </w:instrText>
          </w:r>
          <w:r>
            <w:fldChar w:fldCharType="separate"/>
          </w:r>
          <w:r>
            <w:rPr>
              <w:rStyle w:val="28"/>
              <w:rFonts w:hint="eastAsia" w:ascii="仿宋" w:hAnsi="仿宋" w:eastAsia="仿宋"/>
            </w:rPr>
            <w:t>2.</w:t>
          </w:r>
          <w:r>
            <w:rPr>
              <w:rFonts w:hint="eastAsia" w:ascii="仿宋" w:hAnsi="仿宋" w:eastAsia="仿宋"/>
              <w:sz w:val="22"/>
              <w:szCs w:val="24"/>
              <w14:ligatures w14:val="standardContextual"/>
            </w:rPr>
            <w:tab/>
          </w:r>
          <w:r>
            <w:rPr>
              <w:rStyle w:val="28"/>
              <w:rFonts w:hint="eastAsia" w:ascii="仿宋" w:hAnsi="仿宋" w:eastAsia="仿宋"/>
            </w:rPr>
            <w:t>招标文件</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_Toc193699310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17</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"_Toc193699311" </w:instrText>
          </w:r>
          <w:r>
            <w:fldChar w:fldCharType="separate"/>
          </w:r>
          <w:r>
            <w:rPr>
              <w:rStyle w:val="28"/>
              <w:rFonts w:hint="eastAsia" w:ascii="仿宋" w:hAnsi="仿宋" w:eastAsia="仿宋"/>
            </w:rPr>
            <w:t>2.1招标文件的组成</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_Toc193699311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17</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"_Toc193699312" </w:instrText>
          </w:r>
          <w:r>
            <w:fldChar w:fldCharType="separate"/>
          </w:r>
          <w:r>
            <w:rPr>
              <w:rStyle w:val="28"/>
              <w:rFonts w:hint="eastAsia" w:ascii="仿宋" w:hAnsi="仿宋" w:eastAsia="仿宋"/>
            </w:rPr>
            <w:t>2.2踏勘现场</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_Toc193699312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"_Toc193699313" </w:instrText>
          </w:r>
          <w:r>
            <w:fldChar w:fldCharType="separate"/>
          </w:r>
          <w:r>
            <w:rPr>
              <w:rStyle w:val="28"/>
              <w:rFonts w:hint="eastAsia" w:ascii="仿宋" w:hAnsi="仿宋" w:eastAsia="仿宋"/>
            </w:rPr>
            <w:t>2.3投标预备会</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_Toc193699313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"_Toc193699314" </w:instrText>
          </w:r>
          <w:r>
            <w:fldChar w:fldCharType="separate"/>
          </w:r>
          <w:r>
            <w:rPr>
              <w:rStyle w:val="28"/>
              <w:rFonts w:hint="eastAsia" w:ascii="仿宋" w:hAnsi="仿宋" w:eastAsia="仿宋"/>
            </w:rPr>
            <w:t>2.4招标文件的澄清和修改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_Toc193699314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"_Toc193699315" </w:instrText>
          </w:r>
          <w:r>
            <w:fldChar w:fldCharType="separate"/>
          </w:r>
          <w:r>
            <w:rPr>
              <w:rStyle w:val="28"/>
              <w:rFonts w:hint="eastAsia" w:ascii="仿宋" w:hAnsi="仿宋" w:eastAsia="仿宋"/>
            </w:rPr>
            <w:t>3.</w:t>
          </w:r>
          <w:r>
            <w:rPr>
              <w:rFonts w:hint="eastAsia" w:ascii="仿宋" w:hAnsi="仿宋" w:eastAsia="仿宋"/>
              <w:sz w:val="22"/>
              <w:szCs w:val="24"/>
              <w14:ligatures w14:val="standardContextual"/>
            </w:rPr>
            <w:tab/>
          </w:r>
          <w:r>
            <w:rPr>
              <w:rStyle w:val="28"/>
              <w:rFonts w:hint="eastAsia" w:ascii="仿宋" w:hAnsi="仿宋" w:eastAsia="仿宋"/>
            </w:rPr>
            <w:t>投标文件</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_Toc193699315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"_Toc193699316" </w:instrText>
          </w:r>
          <w:r>
            <w:fldChar w:fldCharType="separate"/>
          </w:r>
          <w:r>
            <w:rPr>
              <w:rStyle w:val="28"/>
              <w:rFonts w:hint="eastAsia" w:ascii="仿宋" w:hAnsi="仿宋" w:eastAsia="仿宋"/>
            </w:rPr>
            <w:t>3.1投标文件的组成</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_Toc193699316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"_Toc193699317" </w:instrText>
          </w:r>
          <w:r>
            <w:fldChar w:fldCharType="separate"/>
          </w:r>
          <w:r>
            <w:rPr>
              <w:rStyle w:val="28"/>
              <w:rFonts w:hint="eastAsia" w:ascii="仿宋" w:hAnsi="仿宋" w:eastAsia="仿宋"/>
            </w:rPr>
            <w:t>3.2投标文件的编制</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_Toc193699317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"_Toc193699318" </w:instrText>
          </w:r>
          <w:r>
            <w:fldChar w:fldCharType="separate"/>
          </w:r>
          <w:r>
            <w:rPr>
              <w:rStyle w:val="28"/>
              <w:rFonts w:hint="eastAsia" w:ascii="仿宋" w:hAnsi="仿宋" w:eastAsia="仿宋"/>
            </w:rPr>
            <w:t>3.3投标报价</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_Toc193699318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19</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"_Toc193699319" </w:instrText>
          </w:r>
          <w:r>
            <w:fldChar w:fldCharType="separate"/>
          </w:r>
          <w:r>
            <w:rPr>
              <w:rStyle w:val="28"/>
              <w:rFonts w:hint="eastAsia" w:ascii="仿宋" w:hAnsi="仿宋" w:eastAsia="仿宋"/>
            </w:rPr>
            <w:t>3.4投标有效期</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_Toc193699319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19</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"_Toc193699320" </w:instrText>
          </w:r>
          <w:r>
            <w:fldChar w:fldCharType="separate"/>
          </w:r>
          <w:r>
            <w:rPr>
              <w:rStyle w:val="28"/>
              <w:rFonts w:hint="eastAsia" w:ascii="仿宋" w:hAnsi="仿宋" w:eastAsia="仿宋"/>
            </w:rPr>
            <w:t>3.5投标保证金</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_Toc193699320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20</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"_Toc193699321" </w:instrText>
          </w:r>
          <w:r>
            <w:fldChar w:fldCharType="separate"/>
          </w:r>
          <w:r>
            <w:rPr>
              <w:rStyle w:val="28"/>
              <w:rFonts w:hint="eastAsia" w:ascii="仿宋" w:hAnsi="仿宋" w:eastAsia="仿宋"/>
            </w:rPr>
            <w:t>3.6备选投标人案</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_Toc193699321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20</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"_Toc193699322" </w:instrText>
          </w:r>
          <w:r>
            <w:fldChar w:fldCharType="separate"/>
          </w:r>
          <w:r>
            <w:rPr>
              <w:rStyle w:val="28"/>
              <w:rFonts w:hint="eastAsia" w:ascii="仿宋" w:hAnsi="仿宋" w:eastAsia="仿宋"/>
            </w:rPr>
            <w:t>3.7投标文件的式样、密封和标记（递交纸质文件适用）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_Toc193699322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20</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"_Toc193699323" </w:instrText>
          </w:r>
          <w:r>
            <w:fldChar w:fldCharType="separate"/>
          </w:r>
          <w:r>
            <w:rPr>
              <w:rStyle w:val="28"/>
              <w:rFonts w:hint="eastAsia" w:ascii="仿宋" w:hAnsi="仿宋" w:eastAsia="仿宋"/>
            </w:rPr>
            <w:t>4.</w:t>
          </w:r>
          <w:r>
            <w:rPr>
              <w:rFonts w:hint="eastAsia" w:ascii="仿宋" w:hAnsi="仿宋" w:eastAsia="仿宋"/>
              <w:sz w:val="22"/>
              <w:szCs w:val="24"/>
              <w14:ligatures w14:val="standardContextual"/>
            </w:rPr>
            <w:tab/>
          </w:r>
          <w:r>
            <w:rPr>
              <w:rStyle w:val="28"/>
              <w:rFonts w:hint="eastAsia" w:ascii="仿宋" w:hAnsi="仿宋" w:eastAsia="仿宋"/>
            </w:rPr>
            <w:t>投标</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_Toc193699323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21</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"_Toc193699324" </w:instrText>
          </w:r>
          <w:r>
            <w:fldChar w:fldCharType="separate"/>
          </w:r>
          <w:r>
            <w:rPr>
              <w:rStyle w:val="28"/>
              <w:rFonts w:hint="eastAsia" w:ascii="仿宋" w:hAnsi="仿宋" w:eastAsia="仿宋"/>
            </w:rPr>
            <w:t>4.1投标文件的递交</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_Toc193699324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21</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"_Toc193699325" </w:instrText>
          </w:r>
          <w:r>
            <w:fldChar w:fldCharType="separate"/>
          </w:r>
          <w:r>
            <w:rPr>
              <w:rStyle w:val="28"/>
              <w:rFonts w:hint="eastAsia" w:ascii="仿宋" w:hAnsi="仿宋" w:eastAsia="仿宋"/>
            </w:rPr>
            <w:t>4.2投标文件的修改、撤回和撤销</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_Toc193699325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21</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"_Toc193699326" </w:instrText>
          </w:r>
          <w:r>
            <w:fldChar w:fldCharType="separate"/>
          </w:r>
          <w:r>
            <w:rPr>
              <w:rStyle w:val="28"/>
              <w:rFonts w:hint="eastAsia" w:ascii="仿宋" w:hAnsi="仿宋" w:eastAsia="仿宋"/>
            </w:rPr>
            <w:t>5.</w:t>
          </w:r>
          <w:r>
            <w:rPr>
              <w:rFonts w:hint="eastAsia" w:ascii="仿宋" w:hAnsi="仿宋" w:eastAsia="仿宋"/>
              <w:sz w:val="22"/>
              <w:szCs w:val="24"/>
              <w14:ligatures w14:val="standardContextual"/>
            </w:rPr>
            <w:tab/>
          </w:r>
          <w:r>
            <w:rPr>
              <w:rStyle w:val="28"/>
              <w:rFonts w:hint="eastAsia" w:ascii="仿宋" w:hAnsi="仿宋" w:eastAsia="仿宋"/>
            </w:rPr>
            <w:t>唱价</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_Toc193699326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"_Toc193699327" </w:instrText>
          </w:r>
          <w:r>
            <w:fldChar w:fldCharType="separate"/>
          </w:r>
          <w:r>
            <w:rPr>
              <w:rStyle w:val="28"/>
              <w:rFonts w:hint="eastAsia" w:ascii="仿宋" w:hAnsi="仿宋" w:eastAsia="仿宋"/>
            </w:rPr>
            <w:t>5.1唱价时间和地点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_Toc193699327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"_Toc193699328" </w:instrText>
          </w:r>
          <w:r>
            <w:fldChar w:fldCharType="separate"/>
          </w:r>
          <w:r>
            <w:rPr>
              <w:rStyle w:val="28"/>
              <w:rFonts w:hint="eastAsia" w:ascii="仿宋" w:hAnsi="仿宋" w:eastAsia="仿宋"/>
            </w:rPr>
            <w:t>5.2唱价程序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_Toc193699328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"_Toc193699329" </w:instrText>
          </w:r>
          <w:r>
            <w:fldChar w:fldCharType="separate"/>
          </w:r>
          <w:r>
            <w:rPr>
              <w:rStyle w:val="28"/>
              <w:rFonts w:hint="eastAsia" w:ascii="仿宋" w:hAnsi="仿宋" w:eastAsia="仿宋"/>
            </w:rPr>
            <w:t>5.3异议</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_Toc193699329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"_Toc193699330" </w:instrText>
          </w:r>
          <w:r>
            <w:fldChar w:fldCharType="separate"/>
          </w:r>
          <w:r>
            <w:rPr>
              <w:rStyle w:val="28"/>
              <w:rFonts w:hint="eastAsia" w:ascii="仿宋" w:hAnsi="仿宋" w:eastAsia="仿宋"/>
            </w:rPr>
            <w:t>6.</w:t>
          </w:r>
          <w:r>
            <w:rPr>
              <w:rFonts w:hint="eastAsia" w:ascii="仿宋" w:hAnsi="仿宋" w:eastAsia="仿宋"/>
              <w:sz w:val="22"/>
              <w:szCs w:val="24"/>
              <w14:ligatures w14:val="standardContextual"/>
            </w:rPr>
            <w:tab/>
          </w:r>
          <w:r>
            <w:rPr>
              <w:rStyle w:val="28"/>
              <w:rFonts w:hint="eastAsia" w:ascii="仿宋" w:hAnsi="仿宋" w:eastAsia="仿宋"/>
            </w:rPr>
            <w:t>评审</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_Toc193699330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"_Toc193699331" </w:instrText>
          </w:r>
          <w:r>
            <w:fldChar w:fldCharType="separate"/>
          </w:r>
          <w:r>
            <w:rPr>
              <w:rStyle w:val="28"/>
              <w:rFonts w:hint="eastAsia" w:ascii="仿宋" w:hAnsi="仿宋" w:eastAsia="仿宋"/>
            </w:rPr>
            <w:t>6.1评标委员会</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_Toc193699331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"_Toc193699332" </w:instrText>
          </w:r>
          <w:r>
            <w:fldChar w:fldCharType="separate"/>
          </w:r>
          <w:r>
            <w:rPr>
              <w:rStyle w:val="28"/>
              <w:rFonts w:hint="eastAsia" w:ascii="仿宋" w:hAnsi="仿宋" w:eastAsia="仿宋"/>
            </w:rPr>
            <w:t>6.2评审原则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_Toc193699332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"_Toc193699333" </w:instrText>
          </w:r>
          <w:r>
            <w:fldChar w:fldCharType="separate"/>
          </w:r>
          <w:r>
            <w:rPr>
              <w:rStyle w:val="28"/>
              <w:rFonts w:hint="eastAsia" w:ascii="仿宋" w:hAnsi="仿宋" w:eastAsia="仿宋"/>
            </w:rPr>
            <w:t>6.3评审方法</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_Toc193699333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"_Toc193699334" </w:instrText>
          </w:r>
          <w:r>
            <w:fldChar w:fldCharType="separate"/>
          </w:r>
          <w:r>
            <w:rPr>
              <w:rStyle w:val="28"/>
              <w:rFonts w:hint="eastAsia" w:ascii="仿宋" w:hAnsi="仿宋" w:eastAsia="仿宋"/>
            </w:rPr>
            <w:t>6.4中标候选人推荐原则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_Toc193699334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"_Toc193699335" </w:instrText>
          </w:r>
          <w:r>
            <w:fldChar w:fldCharType="separate"/>
          </w:r>
          <w:r>
            <w:rPr>
              <w:rStyle w:val="28"/>
              <w:rFonts w:hint="eastAsia" w:ascii="仿宋" w:hAnsi="仿宋" w:eastAsia="仿宋"/>
            </w:rPr>
            <w:t>6.5评审报告</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_Toc193699335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"_Toc193699336" </w:instrText>
          </w:r>
          <w:r>
            <w:fldChar w:fldCharType="separate"/>
          </w:r>
          <w:r>
            <w:rPr>
              <w:rStyle w:val="28"/>
              <w:rFonts w:hint="eastAsia" w:ascii="仿宋" w:hAnsi="仿宋" w:eastAsia="仿宋"/>
            </w:rPr>
            <w:t>7.</w:t>
          </w:r>
          <w:r>
            <w:rPr>
              <w:rFonts w:hint="eastAsia" w:ascii="仿宋" w:hAnsi="仿宋" w:eastAsia="仿宋"/>
              <w:sz w:val="22"/>
              <w:szCs w:val="24"/>
              <w14:ligatures w14:val="standardContextual"/>
            </w:rPr>
            <w:tab/>
          </w:r>
          <w:r>
            <w:rPr>
              <w:rStyle w:val="28"/>
              <w:rFonts w:hint="eastAsia" w:ascii="仿宋" w:hAnsi="仿宋" w:eastAsia="仿宋"/>
            </w:rPr>
            <w:t>中标</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_Toc193699336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"_Toc193699337" </w:instrText>
          </w:r>
          <w:r>
            <w:fldChar w:fldCharType="separate"/>
          </w:r>
          <w:r>
            <w:rPr>
              <w:rStyle w:val="28"/>
              <w:rFonts w:hint="eastAsia" w:ascii="仿宋" w:hAnsi="仿宋" w:eastAsia="仿宋"/>
            </w:rPr>
            <w:t>7.1确定中标人</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_Toc193699337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"_Toc193699338" </w:instrText>
          </w:r>
          <w:r>
            <w:fldChar w:fldCharType="separate"/>
          </w:r>
          <w:r>
            <w:rPr>
              <w:rStyle w:val="28"/>
              <w:rFonts w:hint="eastAsia" w:ascii="仿宋" w:hAnsi="仿宋" w:eastAsia="仿宋"/>
            </w:rPr>
            <w:t>7.2中标人公示</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_Toc193699338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"_Toc193699339" </w:instrText>
          </w:r>
          <w:r>
            <w:fldChar w:fldCharType="separate"/>
          </w:r>
          <w:r>
            <w:rPr>
              <w:rStyle w:val="28"/>
              <w:rFonts w:hint="eastAsia" w:ascii="仿宋" w:hAnsi="仿宋" w:eastAsia="仿宋"/>
            </w:rPr>
            <w:t>7.3中标通知</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_Toc193699339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"_Toc193699340" </w:instrText>
          </w:r>
          <w:r>
            <w:fldChar w:fldCharType="separate"/>
          </w:r>
          <w:r>
            <w:rPr>
              <w:rStyle w:val="28"/>
              <w:rFonts w:hint="eastAsia" w:ascii="仿宋" w:hAnsi="仿宋" w:eastAsia="仿宋"/>
            </w:rPr>
            <w:t>8.</w:t>
          </w:r>
          <w:r>
            <w:rPr>
              <w:rFonts w:hint="eastAsia" w:ascii="仿宋" w:hAnsi="仿宋" w:eastAsia="仿宋"/>
              <w:sz w:val="22"/>
              <w:szCs w:val="24"/>
              <w14:ligatures w14:val="standardContextual"/>
            </w:rPr>
            <w:tab/>
          </w:r>
          <w:r>
            <w:rPr>
              <w:rStyle w:val="28"/>
              <w:rFonts w:hint="eastAsia" w:ascii="仿宋" w:hAnsi="仿宋" w:eastAsia="仿宋"/>
            </w:rPr>
            <w:t>合同签订</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_Toc193699340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"_Toc193699341" </w:instrText>
          </w:r>
          <w:r>
            <w:fldChar w:fldCharType="separate"/>
          </w:r>
          <w:r>
            <w:rPr>
              <w:rStyle w:val="28"/>
              <w:rFonts w:hint="eastAsia" w:ascii="仿宋" w:hAnsi="仿宋" w:eastAsia="仿宋"/>
            </w:rPr>
            <w:t>8.1履约保证金</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_Toc193699341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"_Toc193699342" </w:instrText>
          </w:r>
          <w:r>
            <w:fldChar w:fldCharType="separate"/>
          </w:r>
          <w:r>
            <w:rPr>
              <w:rStyle w:val="28"/>
              <w:rFonts w:hint="eastAsia" w:ascii="仿宋" w:hAnsi="仿宋" w:eastAsia="仿宋"/>
            </w:rPr>
            <w:t>8.2合同签订</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_Toc193699342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"_Toc193699343" </w:instrText>
          </w:r>
          <w:r>
            <w:fldChar w:fldCharType="separate"/>
          </w:r>
          <w:r>
            <w:rPr>
              <w:rStyle w:val="28"/>
              <w:rFonts w:hint="eastAsia" w:ascii="仿宋" w:hAnsi="仿宋" w:eastAsia="仿宋"/>
            </w:rPr>
            <w:t>9.</w:t>
          </w:r>
          <w:r>
            <w:rPr>
              <w:rFonts w:hint="eastAsia" w:ascii="仿宋" w:hAnsi="仿宋" w:eastAsia="仿宋"/>
              <w:sz w:val="22"/>
              <w:szCs w:val="24"/>
              <w14:ligatures w14:val="standardContextual"/>
            </w:rPr>
            <w:tab/>
          </w:r>
          <w:r>
            <w:rPr>
              <w:rStyle w:val="28"/>
              <w:rFonts w:hint="eastAsia" w:ascii="仿宋" w:hAnsi="仿宋" w:eastAsia="仿宋"/>
            </w:rPr>
            <w:t>招标代理服务费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_Toc193699343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"_Toc193699344" </w:instrText>
          </w:r>
          <w:r>
            <w:fldChar w:fldCharType="separate"/>
          </w:r>
          <w:r>
            <w:rPr>
              <w:rStyle w:val="28"/>
              <w:rFonts w:hint="eastAsia" w:ascii="仿宋" w:hAnsi="仿宋" w:eastAsia="仿宋"/>
            </w:rPr>
            <w:t>10.</w:t>
          </w:r>
          <w:r>
            <w:rPr>
              <w:rFonts w:hint="eastAsia" w:ascii="仿宋" w:hAnsi="仿宋" w:eastAsia="仿宋"/>
              <w:sz w:val="22"/>
              <w:szCs w:val="24"/>
              <w14:ligatures w14:val="standardContextual"/>
            </w:rPr>
            <w:tab/>
          </w:r>
          <w:r>
            <w:rPr>
              <w:rStyle w:val="28"/>
              <w:rFonts w:hint="eastAsia" w:ascii="仿宋" w:hAnsi="仿宋" w:eastAsia="仿宋"/>
            </w:rPr>
            <w:t>纪律和监督</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_Toc193699344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"_Toc193699345" </w:instrText>
          </w:r>
          <w:r>
            <w:fldChar w:fldCharType="separate"/>
          </w:r>
          <w:r>
            <w:rPr>
              <w:rStyle w:val="28"/>
              <w:rFonts w:hint="eastAsia" w:ascii="仿宋" w:hAnsi="仿宋" w:eastAsia="仿宋"/>
            </w:rPr>
            <w:t>10.1对招标人的纪律要求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_Toc193699345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"_Toc193699346" </w:instrText>
          </w:r>
          <w:r>
            <w:fldChar w:fldCharType="separate"/>
          </w:r>
          <w:r>
            <w:rPr>
              <w:rStyle w:val="28"/>
              <w:rFonts w:hint="eastAsia" w:ascii="仿宋" w:hAnsi="仿宋" w:eastAsia="仿宋"/>
            </w:rPr>
            <w:t>10.2对投标人的纪律要求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_Toc193699346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25</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"_Toc193699347" </w:instrText>
          </w:r>
          <w:r>
            <w:fldChar w:fldCharType="separate"/>
          </w:r>
          <w:r>
            <w:rPr>
              <w:rStyle w:val="28"/>
              <w:rFonts w:hint="eastAsia" w:ascii="仿宋" w:hAnsi="仿宋" w:eastAsia="仿宋"/>
            </w:rPr>
            <w:t>10.3对评标委员会成员的纪律要求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_Toc193699347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25</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"_Toc193699348" </w:instrText>
          </w:r>
          <w:r>
            <w:fldChar w:fldCharType="separate"/>
          </w:r>
          <w:r>
            <w:rPr>
              <w:rStyle w:val="28"/>
              <w:rFonts w:hint="eastAsia" w:ascii="仿宋" w:hAnsi="仿宋" w:eastAsia="仿宋"/>
            </w:rPr>
            <w:t>10.4对与评审活动有关的工作人员的纪律要求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_Toc193699348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25</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"_Toc193699349" </w:instrText>
          </w:r>
          <w:r>
            <w:fldChar w:fldCharType="separate"/>
          </w:r>
          <w:r>
            <w:rPr>
              <w:rStyle w:val="28"/>
              <w:rFonts w:hint="eastAsia" w:ascii="仿宋" w:hAnsi="仿宋" w:eastAsia="仿宋"/>
            </w:rPr>
            <w:t>11.</w:t>
          </w:r>
          <w:r>
            <w:rPr>
              <w:rFonts w:hint="eastAsia" w:ascii="仿宋" w:hAnsi="仿宋" w:eastAsia="仿宋"/>
              <w:sz w:val="22"/>
              <w:szCs w:val="24"/>
              <w14:ligatures w14:val="standardContextual"/>
            </w:rPr>
            <w:tab/>
          </w:r>
          <w:r>
            <w:rPr>
              <w:rStyle w:val="28"/>
              <w:rFonts w:hint="eastAsia" w:ascii="仿宋" w:hAnsi="仿宋" w:eastAsia="仿宋"/>
            </w:rPr>
            <w:t>需要补充的其他内容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_Toc193699349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25</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"_Toc193699350" </w:instrText>
          </w:r>
          <w:r>
            <w:fldChar w:fldCharType="separate"/>
          </w:r>
          <w:r>
            <w:rPr>
              <w:rStyle w:val="28"/>
              <w:rFonts w:hint="eastAsia" w:ascii="仿宋" w:hAnsi="仿宋" w:eastAsia="仿宋"/>
            </w:rPr>
            <w:t>附录：招标代理服务费的计算方式及价格</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_Toc193699350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26</w:t>
          </w:r>
          <w:r>
            <w:rPr>
              <w:rFonts w:hint="eastAsia" w:ascii="仿宋" w:hAnsi="仿宋" w:eastAsia="仿宋"/>
            </w:rPr>
            <w:fldChar w:fldCharType="end"/>
          </w:r>
          <w:r>
            <w:rPr>
              <w:rFonts w:hint="eastAsia" w:ascii="仿宋" w:hAnsi="仿宋" w:eastAsia="仿宋"/>
            </w:rPr>
            <w:fldChar w:fldCharType="end"/>
          </w:r>
        </w:p>
        <w:p>
          <w:pPr>
            <w:pStyle w:val="16"/>
            <w:rPr>
              <w:rFonts w:hint="eastAsia" w:ascii="仿宋" w:hAnsi="仿宋" w:eastAsia="仿宋"/>
              <w:sz w:val="22"/>
              <w:szCs w:val="24"/>
              <w14:ligatures w14:val="standardContextual"/>
            </w:rPr>
          </w:pPr>
          <w:r>
            <w:fldChar w:fldCharType="begin"/>
          </w:r>
          <w:r>
            <w:instrText xml:space="preserve"> HYPERLINK \l "_Toc193699351" </w:instrText>
          </w:r>
          <w:r>
            <w:fldChar w:fldCharType="separate"/>
          </w:r>
          <w:r>
            <w:rPr>
              <w:rStyle w:val="28"/>
              <w:rFonts w:hint="eastAsia" w:ascii="仿宋" w:hAnsi="仿宋" w:eastAsia="仿宋" w:cs="宋体"/>
              <w:b/>
              <w:kern w:val="0"/>
              <w:lang w:val="zh-CN"/>
            </w:rPr>
            <w:t>第三章  采购需求书</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_Toc193699351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27</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"_Toc193699352" </w:instrText>
          </w:r>
          <w:r>
            <w:fldChar w:fldCharType="separate"/>
          </w:r>
          <w:r>
            <w:rPr>
              <w:rStyle w:val="28"/>
              <w:rFonts w:hint="eastAsia" w:ascii="仿宋" w:hAnsi="仿宋" w:eastAsia="仿宋"/>
            </w:rPr>
            <w:t>总则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_Toc193699352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27</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"_Toc193699353" </w:instrText>
          </w:r>
          <w:r>
            <w:fldChar w:fldCharType="separate"/>
          </w:r>
          <w:r>
            <w:rPr>
              <w:rStyle w:val="28"/>
              <w:rFonts w:hint="eastAsia" w:ascii="仿宋" w:hAnsi="仿宋" w:eastAsia="仿宋"/>
            </w:rPr>
            <w:t>附件1：2025年度网络安全建设和服务项目采购需求书</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_Toc193699353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28</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"_Toc193699354" </w:instrText>
          </w:r>
          <w:r>
            <w:fldChar w:fldCharType="separate"/>
          </w:r>
          <w:r>
            <w:rPr>
              <w:rStyle w:val="28"/>
              <w:rFonts w:hint="eastAsia" w:ascii="仿宋" w:hAnsi="仿宋" w:eastAsia="仿宋"/>
            </w:rPr>
            <w:t>一、 项目需求清单</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_Toc193699354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28</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"_Toc193699355" </w:instrText>
          </w:r>
          <w:r>
            <w:fldChar w:fldCharType="separate"/>
          </w:r>
          <w:r>
            <w:rPr>
              <w:rStyle w:val="28"/>
              <w:rFonts w:hint="eastAsia" w:ascii="仿宋" w:hAnsi="仿宋" w:eastAsia="仿宋"/>
            </w:rPr>
            <w:t>二、 项目需求内容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_Toc193699355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28</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"_Toc193699356" </w:instrText>
          </w:r>
          <w:r>
            <w:fldChar w:fldCharType="separate"/>
          </w:r>
          <w:r>
            <w:rPr>
              <w:rStyle w:val="28"/>
              <w:rFonts w:hint="eastAsia" w:ascii="仿宋" w:hAnsi="仿宋" w:eastAsia="仿宋"/>
            </w:rPr>
            <w:t>1、</w:t>
          </w:r>
          <w:r>
            <w:rPr>
              <w:rFonts w:hint="eastAsia" w:ascii="仿宋" w:hAnsi="仿宋" w:eastAsia="仿宋"/>
              <w:sz w:val="22"/>
              <w:szCs w:val="24"/>
              <w14:ligatures w14:val="standardContextual"/>
            </w:rPr>
            <w:tab/>
          </w:r>
          <w:r>
            <w:rPr>
              <w:rStyle w:val="28"/>
              <w:rFonts w:hint="eastAsia" w:ascii="仿宋" w:hAnsi="仿宋" w:eastAsia="仿宋"/>
            </w:rPr>
            <w:t>主机安全监测平台扩容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_Toc193699356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28</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"_Toc193699357" </w:instrText>
          </w:r>
          <w:r>
            <w:fldChar w:fldCharType="separate"/>
          </w:r>
          <w:r>
            <w:rPr>
              <w:rStyle w:val="28"/>
              <w:rFonts w:hint="eastAsia" w:ascii="仿宋" w:hAnsi="仿宋" w:eastAsia="仿宋"/>
            </w:rPr>
            <w:t>2、信息系统日志分析平台</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_Toc193699357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34</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"_Toc193699358" </w:instrText>
          </w:r>
          <w:r>
            <w:fldChar w:fldCharType="separate"/>
          </w:r>
          <w:r>
            <w:rPr>
              <w:rStyle w:val="28"/>
              <w:rFonts w:hint="eastAsia" w:ascii="仿宋" w:hAnsi="仿宋" w:eastAsia="仿宋"/>
            </w:rPr>
            <w:t>3、网络全流量分析服务</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_Toc193699358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41</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"_Toc193699359" </w:instrText>
          </w:r>
          <w:r>
            <w:fldChar w:fldCharType="separate"/>
          </w:r>
          <w:r>
            <w:rPr>
              <w:rStyle w:val="28"/>
              <w:rFonts w:hint="eastAsia" w:ascii="仿宋" w:hAnsi="仿宋" w:eastAsia="仿宋"/>
            </w:rPr>
            <w:t>4、等保测评服务</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_Toc193699359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46</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"_Toc193699360" </w:instrText>
          </w:r>
          <w:r>
            <w:fldChar w:fldCharType="separate"/>
          </w:r>
          <w:r>
            <w:rPr>
              <w:rStyle w:val="28"/>
              <w:rFonts w:hint="eastAsia" w:ascii="仿宋" w:hAnsi="仿宋" w:eastAsia="仿宋"/>
            </w:rPr>
            <w:t>5、内网AD域监测服务</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_Toc193699360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47</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"_Toc193699361" </w:instrText>
          </w:r>
          <w:r>
            <w:fldChar w:fldCharType="separate"/>
          </w:r>
          <w:r>
            <w:rPr>
              <w:rStyle w:val="28"/>
              <w:rFonts w:hint="eastAsia" w:ascii="仿宋" w:hAnsi="仿宋" w:eastAsia="仿宋"/>
            </w:rPr>
            <w:t>6、持续监测、重保值守和应急响应服务</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_Toc193699361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50</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"_Toc193699362" </w:instrText>
          </w:r>
          <w:r>
            <w:fldChar w:fldCharType="separate"/>
          </w:r>
          <w:r>
            <w:rPr>
              <w:rStyle w:val="28"/>
              <w:rFonts w:hint="eastAsia" w:ascii="仿宋" w:hAnsi="仿宋" w:eastAsia="仿宋"/>
            </w:rPr>
            <w:t>7、网络安全风险排查服务</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_Toc193699362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51</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"_Toc193699363" </w:instrText>
          </w:r>
          <w:r>
            <w:fldChar w:fldCharType="separate"/>
          </w:r>
          <w:r>
            <w:rPr>
              <w:rStyle w:val="28"/>
              <w:rFonts w:hint="eastAsia" w:ascii="仿宋" w:hAnsi="仿宋" w:eastAsia="仿宋"/>
            </w:rPr>
            <w:t>8、D01网络风险资产监测分析系统维保服务</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_Toc193699363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53</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"_Toc193699364" </w:instrText>
          </w:r>
          <w:r>
            <w:fldChar w:fldCharType="separate"/>
          </w:r>
          <w:r>
            <w:rPr>
              <w:rStyle w:val="28"/>
              <w:rFonts w:hint="eastAsia" w:ascii="仿宋" w:hAnsi="仿宋" w:eastAsia="仿宋"/>
            </w:rPr>
            <w:t>9、安全培训服务</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_Toc193699364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55</w:t>
          </w:r>
          <w:r>
            <w:rPr>
              <w:rFonts w:hint="eastAsia" w:ascii="仿宋" w:hAnsi="仿宋" w:eastAsia="仿宋"/>
            </w:rPr>
            <w:fldChar w:fldCharType="end"/>
          </w:r>
          <w:r>
            <w:rPr>
              <w:rFonts w:hint="eastAsia" w:ascii="仿宋" w:hAnsi="仿宋" w:eastAsia="仿宋"/>
            </w:rPr>
            <w:fldChar w:fldCharType="end"/>
          </w:r>
        </w:p>
        <w:p>
          <w:pPr>
            <w:pStyle w:val="16"/>
            <w:rPr>
              <w:rFonts w:hint="eastAsia" w:ascii="仿宋" w:hAnsi="仿宋" w:eastAsia="仿宋"/>
              <w:sz w:val="22"/>
              <w:szCs w:val="24"/>
              <w14:ligatures w14:val="standardContextual"/>
            </w:rPr>
          </w:pPr>
          <w:r>
            <w:fldChar w:fldCharType="begin"/>
          </w:r>
          <w:r>
            <w:instrText xml:space="preserve"> HYPERLINK \l "_Toc193699365" </w:instrText>
          </w:r>
          <w:r>
            <w:fldChar w:fldCharType="separate"/>
          </w:r>
          <w:r>
            <w:rPr>
              <w:rStyle w:val="28"/>
              <w:rFonts w:hint="eastAsia" w:ascii="仿宋" w:hAnsi="仿宋" w:eastAsia="仿宋" w:cs="宋体"/>
              <w:b/>
              <w:kern w:val="0"/>
              <w:lang w:val="zh-CN"/>
            </w:rPr>
            <w:t>第四章  商务合同</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_Toc193699365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57</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"_Toc193699366" </w:instrText>
          </w:r>
          <w:r>
            <w:fldChar w:fldCharType="separate"/>
          </w:r>
          <w:r>
            <w:rPr>
              <w:rStyle w:val="28"/>
              <w:rFonts w:hint="eastAsia" w:ascii="仿宋" w:hAnsi="仿宋" w:eastAsia="仿宋"/>
            </w:rPr>
            <w:t>总则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_Toc193699366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57</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"_Toc193699367" </w:instrText>
          </w:r>
          <w:r>
            <w:fldChar w:fldCharType="separate"/>
          </w:r>
          <w:r>
            <w:rPr>
              <w:rStyle w:val="28"/>
              <w:rFonts w:hint="eastAsia" w:ascii="仿宋" w:hAnsi="仿宋" w:eastAsia="仿宋"/>
              <w:b/>
              <w:bCs/>
            </w:rPr>
            <w:t>合 同 书</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_Toc193699367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58</w:t>
          </w:r>
          <w:r>
            <w:rPr>
              <w:rFonts w:hint="eastAsia" w:ascii="仿宋" w:hAnsi="仿宋" w:eastAsia="仿宋"/>
            </w:rPr>
            <w:fldChar w:fldCharType="end"/>
          </w:r>
          <w:r>
            <w:rPr>
              <w:rFonts w:hint="eastAsia" w:ascii="仿宋" w:hAnsi="仿宋" w:eastAsia="仿宋"/>
            </w:rPr>
            <w:fldChar w:fldCharType="end"/>
          </w:r>
        </w:p>
        <w:p>
          <w:pPr>
            <w:pStyle w:val="16"/>
            <w:rPr>
              <w:rFonts w:hint="eastAsia" w:ascii="仿宋" w:hAnsi="仿宋" w:eastAsia="仿宋"/>
              <w:sz w:val="22"/>
              <w:szCs w:val="24"/>
              <w14:ligatures w14:val="standardContextual"/>
            </w:rPr>
          </w:pPr>
          <w:r>
            <w:fldChar w:fldCharType="begin"/>
          </w:r>
          <w:r>
            <w:instrText xml:space="preserve"> HYPERLINK \l "_Toc193699368" </w:instrText>
          </w:r>
          <w:r>
            <w:fldChar w:fldCharType="separate"/>
          </w:r>
          <w:r>
            <w:rPr>
              <w:rStyle w:val="28"/>
              <w:rFonts w:hint="eastAsia" w:ascii="仿宋" w:hAnsi="仿宋" w:eastAsia="仿宋" w:cs="宋体"/>
              <w:b/>
              <w:kern w:val="0"/>
              <w:lang w:val="zh-CN"/>
            </w:rPr>
            <w:t>第五章 评标办法（综合评估法）</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_Toc193699368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64</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"_Toc193699369" </w:instrText>
          </w:r>
          <w:r>
            <w:fldChar w:fldCharType="separate"/>
          </w:r>
          <w:r>
            <w:rPr>
              <w:rStyle w:val="28"/>
              <w:rFonts w:hint="eastAsia" w:ascii="仿宋" w:hAnsi="仿宋" w:eastAsia="仿宋"/>
            </w:rPr>
            <w:t>评标办法前附表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_Toc193699369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64</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"_Toc193699370" </w:instrText>
          </w:r>
          <w:r>
            <w:fldChar w:fldCharType="separate"/>
          </w:r>
          <w:r>
            <w:rPr>
              <w:rStyle w:val="28"/>
              <w:rFonts w:hint="eastAsia" w:ascii="仿宋" w:hAnsi="仿宋" w:eastAsia="仿宋"/>
            </w:rPr>
            <w:t>（一）初步评审表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_Toc193699370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64</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"_Toc193699371" </w:instrText>
          </w:r>
          <w:r>
            <w:fldChar w:fldCharType="separate"/>
          </w:r>
          <w:r>
            <w:rPr>
              <w:rStyle w:val="28"/>
              <w:rFonts w:hint="eastAsia" w:ascii="仿宋" w:hAnsi="仿宋" w:eastAsia="仿宋"/>
            </w:rPr>
            <w:t>（二）商务评分表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_Toc193699371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66</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"_Toc193699372" </w:instrText>
          </w:r>
          <w:r>
            <w:fldChar w:fldCharType="separate"/>
          </w:r>
          <w:r>
            <w:rPr>
              <w:rStyle w:val="28"/>
              <w:rFonts w:hint="eastAsia" w:ascii="仿宋" w:hAnsi="仿宋" w:eastAsia="仿宋"/>
            </w:rPr>
            <w:t>（三）技术评分表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_Toc193699372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67</w:t>
          </w:r>
          <w:r>
            <w:rPr>
              <w:rFonts w:hint="eastAsia" w:ascii="仿宋" w:hAnsi="仿宋" w:eastAsia="仿宋"/>
            </w:rPr>
            <w:fldChar w:fldCharType="end"/>
          </w:r>
          <w:r>
            <w:rPr>
              <w:rFonts w:hint="eastAsia" w:ascii="仿宋" w:hAnsi="仿宋" w:eastAsia="仿宋"/>
            </w:rPr>
            <w:fldChar w:fldCharType="end"/>
          </w:r>
        </w:p>
        <w:p>
          <w:pPr>
            <w:pStyle w:val="11"/>
            <w:tabs>
              <w:tab w:val="right" w:leader="dot" w:pos="8302"/>
            </w:tabs>
            <w:rPr>
              <w:rFonts w:hint="eastAsia" w:ascii="仿宋" w:hAnsi="仿宋" w:eastAsia="仿宋"/>
              <w:sz w:val="22"/>
              <w:szCs w:val="24"/>
              <w14:ligatures w14:val="standardContextual"/>
            </w:rPr>
          </w:pPr>
          <w:r>
            <w:fldChar w:fldCharType="begin"/>
          </w:r>
          <w:r>
            <w:instrText xml:space="preserve"> HYPERLINK \l "_Toc193699373" </w:instrText>
          </w:r>
          <w:r>
            <w:fldChar w:fldCharType="separate"/>
          </w:r>
          <w:r>
            <w:rPr>
              <w:rStyle w:val="28"/>
              <w:rFonts w:hint="eastAsia" w:ascii="仿宋" w:hAnsi="仿宋" w:eastAsia="仿宋" w:cs="宋体"/>
              <w:b/>
              <w:bCs/>
            </w:rPr>
            <w:t>附表：重要技术参数响应表（▲号条款）</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_Toc193699373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68</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"_Toc193699374" </w:instrText>
          </w:r>
          <w:r>
            <w:fldChar w:fldCharType="separate"/>
          </w:r>
          <w:r>
            <w:rPr>
              <w:rStyle w:val="28"/>
              <w:rFonts w:hint="eastAsia" w:ascii="仿宋" w:hAnsi="仿宋" w:eastAsia="仿宋"/>
            </w:rPr>
            <w:t>（四）价格评分表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_Toc193699374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70</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"_Toc193699375" </w:instrText>
          </w:r>
          <w:r>
            <w:fldChar w:fldCharType="separate"/>
          </w:r>
          <w:r>
            <w:rPr>
              <w:rStyle w:val="28"/>
              <w:rFonts w:hint="eastAsia" w:ascii="仿宋" w:hAnsi="仿宋" w:eastAsia="仿宋"/>
            </w:rPr>
            <w:t>1.</w:t>
          </w:r>
          <w:r>
            <w:rPr>
              <w:rFonts w:hint="eastAsia" w:ascii="仿宋" w:hAnsi="仿宋" w:eastAsia="仿宋"/>
              <w:sz w:val="22"/>
              <w:szCs w:val="24"/>
              <w14:ligatures w14:val="standardContextual"/>
            </w:rPr>
            <w:tab/>
          </w:r>
          <w:r>
            <w:rPr>
              <w:rStyle w:val="28"/>
              <w:rFonts w:hint="eastAsia" w:ascii="仿宋" w:hAnsi="仿宋" w:eastAsia="仿宋"/>
            </w:rPr>
            <w:t>评标方法</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_Toc193699375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72</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"_Toc193699376" </w:instrText>
          </w:r>
          <w:r>
            <w:fldChar w:fldCharType="separate"/>
          </w:r>
          <w:r>
            <w:rPr>
              <w:rStyle w:val="28"/>
              <w:rFonts w:hint="eastAsia" w:ascii="仿宋" w:hAnsi="仿宋" w:eastAsia="仿宋"/>
            </w:rPr>
            <w:t>2.</w:t>
          </w:r>
          <w:r>
            <w:rPr>
              <w:rFonts w:hint="eastAsia" w:ascii="仿宋" w:hAnsi="仿宋" w:eastAsia="仿宋"/>
              <w:sz w:val="22"/>
              <w:szCs w:val="24"/>
              <w14:ligatures w14:val="standardContextual"/>
            </w:rPr>
            <w:tab/>
          </w:r>
          <w:r>
            <w:rPr>
              <w:rStyle w:val="28"/>
              <w:rFonts w:hint="eastAsia" w:ascii="仿宋" w:hAnsi="仿宋" w:eastAsia="仿宋"/>
            </w:rPr>
            <w:t>评审标准</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_Toc193699376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72</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"_Toc193699377" </w:instrText>
          </w:r>
          <w:r>
            <w:fldChar w:fldCharType="separate"/>
          </w:r>
          <w:r>
            <w:rPr>
              <w:rStyle w:val="28"/>
              <w:rFonts w:hint="eastAsia" w:ascii="仿宋" w:hAnsi="仿宋" w:eastAsia="仿宋"/>
            </w:rPr>
            <w:t>3.</w:t>
          </w:r>
          <w:r>
            <w:rPr>
              <w:rFonts w:hint="eastAsia" w:ascii="仿宋" w:hAnsi="仿宋" w:eastAsia="仿宋"/>
              <w:sz w:val="22"/>
              <w:szCs w:val="24"/>
              <w14:ligatures w14:val="standardContextual"/>
            </w:rPr>
            <w:tab/>
          </w:r>
          <w:r>
            <w:rPr>
              <w:rStyle w:val="28"/>
              <w:rFonts w:hint="eastAsia" w:ascii="仿宋" w:hAnsi="仿宋" w:eastAsia="仿宋"/>
            </w:rPr>
            <w:t>评标程序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_Toc193699377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72</w:t>
          </w:r>
          <w:r>
            <w:rPr>
              <w:rFonts w:hint="eastAsia" w:ascii="仿宋" w:hAnsi="仿宋" w:eastAsia="仿宋"/>
            </w:rPr>
            <w:fldChar w:fldCharType="end"/>
          </w:r>
          <w:r>
            <w:rPr>
              <w:rFonts w:hint="eastAsia" w:ascii="仿宋" w:hAnsi="仿宋" w:eastAsia="仿宋"/>
            </w:rPr>
            <w:fldChar w:fldCharType="end"/>
          </w:r>
        </w:p>
        <w:p>
          <w:pPr>
            <w:pStyle w:val="16"/>
            <w:rPr>
              <w:rFonts w:hint="eastAsia" w:ascii="仿宋" w:hAnsi="仿宋" w:eastAsia="仿宋"/>
              <w:sz w:val="22"/>
              <w:szCs w:val="24"/>
              <w14:ligatures w14:val="standardContextual"/>
            </w:rPr>
          </w:pPr>
          <w:r>
            <w:fldChar w:fldCharType="begin"/>
          </w:r>
          <w:r>
            <w:instrText xml:space="preserve"> HYPERLINK \l "_Toc193699378" </w:instrText>
          </w:r>
          <w:r>
            <w:fldChar w:fldCharType="separate"/>
          </w:r>
          <w:r>
            <w:rPr>
              <w:rStyle w:val="28"/>
              <w:rFonts w:hint="eastAsia" w:ascii="仿宋" w:hAnsi="仿宋" w:eastAsia="仿宋" w:cs="宋体"/>
              <w:b/>
              <w:kern w:val="0"/>
              <w:lang w:val="zh-CN"/>
            </w:rPr>
            <w:t>第六章  投标文件格式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_Toc193699378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75</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"_Toc193699379" </w:instrText>
          </w:r>
          <w:r>
            <w:fldChar w:fldCharType="separate"/>
          </w:r>
          <w:r>
            <w:rPr>
              <w:rStyle w:val="28"/>
              <w:rFonts w:hint="eastAsia" w:ascii="仿宋" w:hAnsi="仿宋" w:eastAsia="仿宋"/>
            </w:rPr>
            <w:t>第一分册</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_Toc193699379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76</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"_Toc193699380" </w:instrText>
          </w:r>
          <w:r>
            <w:fldChar w:fldCharType="separate"/>
          </w:r>
          <w:r>
            <w:rPr>
              <w:rStyle w:val="28"/>
              <w:rFonts w:hint="eastAsia" w:ascii="仿宋" w:hAnsi="仿宋" w:eastAsia="仿宋"/>
            </w:rPr>
            <w:t>1.</w:t>
          </w:r>
          <w:r>
            <w:rPr>
              <w:rFonts w:hint="eastAsia" w:ascii="仿宋" w:hAnsi="仿宋" w:eastAsia="仿宋"/>
              <w:sz w:val="22"/>
              <w:szCs w:val="24"/>
              <w14:ligatures w14:val="standardContextual"/>
            </w:rPr>
            <w:tab/>
          </w:r>
          <w:r>
            <w:rPr>
              <w:rStyle w:val="28"/>
              <w:rFonts w:hint="eastAsia" w:ascii="仿宋" w:hAnsi="仿宋" w:eastAsia="仿宋"/>
            </w:rPr>
            <w:t>商务、技术分册投标文件封面</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_Toc193699380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76</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"_Toc193699381" </w:instrText>
          </w:r>
          <w:r>
            <w:fldChar w:fldCharType="separate"/>
          </w:r>
          <w:r>
            <w:rPr>
              <w:rStyle w:val="28"/>
              <w:rFonts w:hint="eastAsia" w:ascii="仿宋" w:hAnsi="仿宋" w:eastAsia="仿宋"/>
            </w:rPr>
            <w:t>2.</w:t>
          </w:r>
          <w:r>
            <w:rPr>
              <w:rFonts w:hint="eastAsia" w:ascii="仿宋" w:hAnsi="仿宋" w:eastAsia="仿宋"/>
              <w:sz w:val="22"/>
              <w:szCs w:val="24"/>
              <w14:ligatures w14:val="standardContextual"/>
            </w:rPr>
            <w:tab/>
          </w:r>
          <w:r>
            <w:rPr>
              <w:rStyle w:val="28"/>
              <w:rFonts w:hint="eastAsia" w:ascii="仿宋" w:hAnsi="仿宋" w:eastAsia="仿宋"/>
            </w:rPr>
            <w:t>评标索引表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_Toc193699381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77</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"_Toc193699382" </w:instrText>
          </w:r>
          <w:r>
            <w:fldChar w:fldCharType="separate"/>
          </w:r>
          <w:r>
            <w:rPr>
              <w:rStyle w:val="28"/>
              <w:rFonts w:hint="eastAsia" w:ascii="仿宋" w:hAnsi="仿宋" w:eastAsia="仿宋"/>
            </w:rPr>
            <w:t>3.</w:t>
          </w:r>
          <w:r>
            <w:rPr>
              <w:rFonts w:hint="eastAsia" w:ascii="仿宋" w:hAnsi="仿宋" w:eastAsia="仿宋"/>
              <w:sz w:val="22"/>
              <w:szCs w:val="24"/>
              <w14:ligatures w14:val="standardContextual"/>
            </w:rPr>
            <w:tab/>
          </w:r>
          <w:r>
            <w:rPr>
              <w:rStyle w:val="28"/>
              <w:rFonts w:hint="eastAsia" w:ascii="仿宋" w:hAnsi="仿宋" w:eastAsia="仿宋"/>
            </w:rPr>
            <w:t>投标函</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_Toc193699382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78</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"_Toc193699383" </w:instrText>
          </w:r>
          <w:r>
            <w:fldChar w:fldCharType="separate"/>
          </w:r>
          <w:r>
            <w:rPr>
              <w:rStyle w:val="28"/>
              <w:rFonts w:hint="eastAsia" w:ascii="仿宋" w:hAnsi="仿宋" w:eastAsia="仿宋"/>
            </w:rPr>
            <w:t>4.</w:t>
          </w:r>
          <w:r>
            <w:rPr>
              <w:rFonts w:hint="eastAsia" w:ascii="仿宋" w:hAnsi="仿宋" w:eastAsia="仿宋"/>
              <w:sz w:val="22"/>
              <w:szCs w:val="24"/>
              <w14:ligatures w14:val="standardContextual"/>
            </w:rPr>
            <w:tab/>
          </w:r>
          <w:r>
            <w:rPr>
              <w:rStyle w:val="28"/>
              <w:rFonts w:hint="eastAsia" w:ascii="仿宋" w:hAnsi="仿宋" w:eastAsia="仿宋"/>
            </w:rPr>
            <w:t>法定代表人（负责人）身份证明</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_Toc193699383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80</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"_Toc193699384" </w:instrText>
          </w:r>
          <w:r>
            <w:fldChar w:fldCharType="separate"/>
          </w:r>
          <w:r>
            <w:rPr>
              <w:rStyle w:val="28"/>
              <w:rFonts w:hint="eastAsia" w:ascii="仿宋" w:hAnsi="仿宋" w:eastAsia="仿宋"/>
            </w:rPr>
            <w:t>5.</w:t>
          </w:r>
          <w:r>
            <w:rPr>
              <w:rFonts w:hint="eastAsia" w:ascii="仿宋" w:hAnsi="仿宋" w:eastAsia="仿宋"/>
              <w:sz w:val="22"/>
              <w:szCs w:val="24"/>
              <w14:ligatures w14:val="standardContextual"/>
            </w:rPr>
            <w:tab/>
          </w:r>
          <w:r>
            <w:rPr>
              <w:rStyle w:val="28"/>
              <w:rFonts w:hint="eastAsia" w:ascii="仿宋" w:hAnsi="仿宋" w:eastAsia="仿宋"/>
            </w:rPr>
            <w:t>法定代表人（负责人）授权委托书</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_Toc193699384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81</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"_Toc193699385" </w:instrText>
          </w:r>
          <w:r>
            <w:fldChar w:fldCharType="separate"/>
          </w:r>
          <w:r>
            <w:rPr>
              <w:rStyle w:val="28"/>
              <w:rFonts w:hint="eastAsia" w:ascii="仿宋" w:hAnsi="仿宋" w:eastAsia="仿宋"/>
            </w:rPr>
            <w:t>6.</w:t>
          </w:r>
          <w:r>
            <w:rPr>
              <w:rFonts w:hint="eastAsia" w:ascii="仿宋" w:hAnsi="仿宋" w:eastAsia="仿宋"/>
              <w:sz w:val="22"/>
              <w:szCs w:val="24"/>
              <w14:ligatures w14:val="standardContextual"/>
            </w:rPr>
            <w:tab/>
          </w:r>
          <w:r>
            <w:rPr>
              <w:rStyle w:val="28"/>
              <w:rFonts w:hint="eastAsia" w:ascii="仿宋" w:hAnsi="仿宋" w:eastAsia="仿宋"/>
            </w:rPr>
            <w:t>资格审查资料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_Toc193699385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82</w:t>
          </w:r>
          <w:r>
            <w:rPr>
              <w:rFonts w:hint="eastAsia" w:ascii="仿宋" w:hAnsi="仿宋" w:eastAsia="仿宋"/>
            </w:rPr>
            <w:fldChar w:fldCharType="end"/>
          </w:r>
          <w:r>
            <w:rPr>
              <w:rFonts w:hint="eastAsia" w:ascii="仿宋" w:hAnsi="仿宋" w:eastAsia="仿宋"/>
            </w:rPr>
            <w:fldChar w:fldCharType="end"/>
          </w:r>
        </w:p>
        <w:p>
          <w:pPr>
            <w:pStyle w:val="11"/>
            <w:tabs>
              <w:tab w:val="left" w:pos="1680"/>
              <w:tab w:val="right" w:leader="dot" w:pos="8302"/>
            </w:tabs>
            <w:rPr>
              <w:rFonts w:hint="eastAsia" w:ascii="仿宋" w:hAnsi="仿宋" w:eastAsia="仿宋"/>
              <w:sz w:val="22"/>
              <w:szCs w:val="24"/>
              <w14:ligatures w14:val="standardContextual"/>
            </w:rPr>
          </w:pPr>
          <w:r>
            <w:fldChar w:fldCharType="begin"/>
          </w:r>
          <w:r>
            <w:instrText xml:space="preserve"> HYPERLINK \l "_Toc193699386" </w:instrText>
          </w:r>
          <w:r>
            <w:fldChar w:fldCharType="separate"/>
          </w:r>
          <w:r>
            <w:rPr>
              <w:rStyle w:val="28"/>
              <w:rFonts w:hint="eastAsia" w:ascii="仿宋" w:hAnsi="仿宋" w:eastAsia="仿宋"/>
            </w:rPr>
            <w:t>6.1</w:t>
          </w:r>
          <w:r>
            <w:rPr>
              <w:rFonts w:hint="eastAsia" w:ascii="仿宋" w:hAnsi="仿宋" w:eastAsia="仿宋"/>
              <w:sz w:val="22"/>
              <w:szCs w:val="24"/>
              <w14:ligatures w14:val="standardContextual"/>
            </w:rPr>
            <w:tab/>
          </w:r>
          <w:r>
            <w:rPr>
              <w:rStyle w:val="28"/>
              <w:rFonts w:hint="eastAsia" w:ascii="仿宋" w:hAnsi="仿宋" w:eastAsia="仿宋"/>
            </w:rPr>
            <w:t>投标人基本情况表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_Toc193699386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82</w:t>
          </w:r>
          <w:r>
            <w:rPr>
              <w:rFonts w:hint="eastAsia" w:ascii="仿宋" w:hAnsi="仿宋" w:eastAsia="仿宋"/>
            </w:rPr>
            <w:fldChar w:fldCharType="end"/>
          </w:r>
          <w:r>
            <w:rPr>
              <w:rFonts w:hint="eastAsia" w:ascii="仿宋" w:hAnsi="仿宋" w:eastAsia="仿宋"/>
            </w:rPr>
            <w:fldChar w:fldCharType="end"/>
          </w:r>
        </w:p>
        <w:p>
          <w:pPr>
            <w:pStyle w:val="11"/>
            <w:tabs>
              <w:tab w:val="left" w:pos="1680"/>
              <w:tab w:val="right" w:leader="dot" w:pos="8302"/>
            </w:tabs>
            <w:rPr>
              <w:rFonts w:hint="eastAsia" w:ascii="仿宋" w:hAnsi="仿宋" w:eastAsia="仿宋"/>
              <w:sz w:val="22"/>
              <w:szCs w:val="24"/>
              <w14:ligatures w14:val="standardContextual"/>
            </w:rPr>
          </w:pPr>
          <w:r>
            <w:fldChar w:fldCharType="begin"/>
          </w:r>
          <w:r>
            <w:instrText xml:space="preserve"> HYPERLINK \l "_Toc193699387" </w:instrText>
          </w:r>
          <w:r>
            <w:fldChar w:fldCharType="separate"/>
          </w:r>
          <w:r>
            <w:rPr>
              <w:rStyle w:val="28"/>
              <w:rFonts w:hint="eastAsia" w:ascii="仿宋" w:hAnsi="仿宋" w:eastAsia="仿宋"/>
            </w:rPr>
            <w:t>6.2</w:t>
          </w:r>
          <w:r>
            <w:rPr>
              <w:rFonts w:hint="eastAsia" w:ascii="仿宋" w:hAnsi="仿宋" w:eastAsia="仿宋"/>
              <w:sz w:val="22"/>
              <w:szCs w:val="24"/>
              <w14:ligatures w14:val="standardContextual"/>
            </w:rPr>
            <w:tab/>
          </w:r>
          <w:r>
            <w:rPr>
              <w:rStyle w:val="28"/>
              <w:rFonts w:hint="eastAsia" w:ascii="仿宋" w:hAnsi="仿宋" w:eastAsia="仿宋"/>
            </w:rPr>
            <w:t>资格要求材料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_Toc193699387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83</w:t>
          </w:r>
          <w:r>
            <w:rPr>
              <w:rFonts w:hint="eastAsia" w:ascii="仿宋" w:hAnsi="仿宋" w:eastAsia="仿宋"/>
            </w:rPr>
            <w:fldChar w:fldCharType="end"/>
          </w:r>
          <w:r>
            <w:rPr>
              <w:rFonts w:hint="eastAsia" w:ascii="仿宋" w:hAnsi="仿宋" w:eastAsia="仿宋"/>
            </w:rPr>
            <w:fldChar w:fldCharType="end"/>
          </w:r>
        </w:p>
        <w:p>
          <w:pPr>
            <w:pStyle w:val="11"/>
            <w:tabs>
              <w:tab w:val="left" w:pos="1680"/>
              <w:tab w:val="right" w:leader="dot" w:pos="8302"/>
            </w:tabs>
            <w:rPr>
              <w:rFonts w:hint="eastAsia" w:ascii="仿宋" w:hAnsi="仿宋" w:eastAsia="仿宋"/>
              <w:sz w:val="22"/>
              <w:szCs w:val="24"/>
              <w14:ligatures w14:val="standardContextual"/>
            </w:rPr>
          </w:pPr>
          <w:r>
            <w:fldChar w:fldCharType="begin"/>
          </w:r>
          <w:r>
            <w:instrText xml:space="preserve"> HYPERLINK \l "_Toc193699388" </w:instrText>
          </w:r>
          <w:r>
            <w:fldChar w:fldCharType="separate"/>
          </w:r>
          <w:r>
            <w:rPr>
              <w:rStyle w:val="28"/>
              <w:rFonts w:hint="eastAsia" w:ascii="仿宋" w:hAnsi="仿宋" w:eastAsia="仿宋"/>
            </w:rPr>
            <w:t>6.3</w:t>
          </w:r>
          <w:r>
            <w:rPr>
              <w:rFonts w:hint="eastAsia" w:ascii="仿宋" w:hAnsi="仿宋" w:eastAsia="仿宋"/>
              <w:sz w:val="22"/>
              <w:szCs w:val="24"/>
              <w14:ligatures w14:val="standardContextual"/>
            </w:rPr>
            <w:tab/>
          </w:r>
          <w:r>
            <w:rPr>
              <w:rStyle w:val="28"/>
              <w:rFonts w:hint="eastAsia" w:ascii="仿宋" w:hAnsi="仿宋" w:eastAsia="仿宋"/>
            </w:rPr>
            <w:t>关于资格的声明函</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_Toc193699388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84</w:t>
          </w:r>
          <w:r>
            <w:rPr>
              <w:rFonts w:hint="eastAsia" w:ascii="仿宋" w:hAnsi="仿宋" w:eastAsia="仿宋"/>
            </w:rPr>
            <w:fldChar w:fldCharType="end"/>
          </w:r>
          <w:r>
            <w:rPr>
              <w:rFonts w:hint="eastAsia" w:ascii="仿宋" w:hAnsi="仿宋" w:eastAsia="仿宋"/>
            </w:rPr>
            <w:fldChar w:fldCharType="end"/>
          </w:r>
        </w:p>
        <w:p>
          <w:pPr>
            <w:pStyle w:val="11"/>
            <w:tabs>
              <w:tab w:val="left" w:pos="1680"/>
              <w:tab w:val="right" w:leader="dot" w:pos="8302"/>
            </w:tabs>
            <w:rPr>
              <w:rFonts w:hint="eastAsia" w:ascii="仿宋" w:hAnsi="仿宋" w:eastAsia="仿宋"/>
              <w:sz w:val="22"/>
              <w:szCs w:val="24"/>
              <w14:ligatures w14:val="standardContextual"/>
            </w:rPr>
          </w:pPr>
          <w:r>
            <w:fldChar w:fldCharType="begin"/>
          </w:r>
          <w:r>
            <w:instrText xml:space="preserve"> HYPERLINK \l "_Toc193699389" </w:instrText>
          </w:r>
          <w:r>
            <w:fldChar w:fldCharType="separate"/>
          </w:r>
          <w:r>
            <w:rPr>
              <w:rStyle w:val="28"/>
              <w:rFonts w:hint="eastAsia" w:ascii="仿宋" w:hAnsi="仿宋" w:eastAsia="仿宋"/>
            </w:rPr>
            <w:t>6.4</w:t>
          </w:r>
          <w:r>
            <w:rPr>
              <w:rFonts w:hint="eastAsia" w:ascii="仿宋" w:hAnsi="仿宋" w:eastAsia="仿宋"/>
              <w:sz w:val="22"/>
              <w:szCs w:val="24"/>
              <w14:ligatures w14:val="standardContextual"/>
            </w:rPr>
            <w:tab/>
          </w:r>
          <w:r>
            <w:rPr>
              <w:rStyle w:val="28"/>
              <w:rFonts w:hint="eastAsia" w:ascii="仿宋" w:hAnsi="仿宋" w:eastAsia="仿宋"/>
            </w:rPr>
            <w:t>投标人控股及管理关系情况申报</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_Toc193699389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85</w:t>
          </w:r>
          <w:r>
            <w:rPr>
              <w:rFonts w:hint="eastAsia" w:ascii="仿宋" w:hAnsi="仿宋" w:eastAsia="仿宋"/>
            </w:rPr>
            <w:fldChar w:fldCharType="end"/>
          </w:r>
          <w:r>
            <w:rPr>
              <w:rFonts w:hint="eastAsia" w:ascii="仿宋" w:hAnsi="仿宋" w:eastAsia="仿宋"/>
            </w:rPr>
            <w:fldChar w:fldCharType="end"/>
          </w:r>
        </w:p>
        <w:p>
          <w:pPr>
            <w:pStyle w:val="11"/>
            <w:tabs>
              <w:tab w:val="left" w:pos="1680"/>
              <w:tab w:val="right" w:leader="dot" w:pos="8302"/>
            </w:tabs>
            <w:rPr>
              <w:rFonts w:hint="eastAsia" w:ascii="仿宋" w:hAnsi="仿宋" w:eastAsia="仿宋"/>
              <w:sz w:val="22"/>
              <w:szCs w:val="24"/>
              <w14:ligatures w14:val="standardContextual"/>
            </w:rPr>
          </w:pPr>
          <w:r>
            <w:fldChar w:fldCharType="begin"/>
          </w:r>
          <w:r>
            <w:instrText xml:space="preserve"> HYPERLINK \l "_Toc193699390" </w:instrText>
          </w:r>
          <w:r>
            <w:fldChar w:fldCharType="separate"/>
          </w:r>
          <w:r>
            <w:rPr>
              <w:rStyle w:val="28"/>
              <w:rFonts w:hint="eastAsia" w:ascii="仿宋" w:hAnsi="仿宋" w:eastAsia="仿宋"/>
            </w:rPr>
            <w:t>6.5</w:t>
          </w:r>
          <w:r>
            <w:rPr>
              <w:rFonts w:hint="eastAsia" w:ascii="仿宋" w:hAnsi="仿宋" w:eastAsia="仿宋"/>
              <w:sz w:val="22"/>
              <w:szCs w:val="24"/>
              <w14:ligatures w14:val="standardContextual"/>
            </w:rPr>
            <w:tab/>
          </w:r>
          <w:r>
            <w:rPr>
              <w:rStyle w:val="28"/>
              <w:rFonts w:hint="eastAsia" w:ascii="仿宋" w:hAnsi="仿宋" w:eastAsia="仿宋"/>
            </w:rPr>
            <w:t>关于审计报告或银行资信证明</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_Toc193699390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86</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"_Toc193699391" </w:instrText>
          </w:r>
          <w:r>
            <w:fldChar w:fldCharType="separate"/>
          </w:r>
          <w:r>
            <w:rPr>
              <w:rStyle w:val="28"/>
              <w:rFonts w:hint="eastAsia" w:ascii="仿宋" w:hAnsi="仿宋" w:eastAsia="仿宋"/>
            </w:rPr>
            <w:t>7.</w:t>
          </w:r>
          <w:r>
            <w:rPr>
              <w:rFonts w:hint="eastAsia" w:ascii="仿宋" w:hAnsi="仿宋" w:eastAsia="仿宋"/>
              <w:sz w:val="22"/>
              <w:szCs w:val="24"/>
              <w14:ligatures w14:val="standardContextual"/>
            </w:rPr>
            <w:tab/>
          </w:r>
          <w:r>
            <w:rPr>
              <w:rStyle w:val="28"/>
              <w:rFonts w:hint="eastAsia" w:ascii="仿宋" w:hAnsi="仿宋" w:eastAsia="仿宋"/>
            </w:rPr>
            <w:t>商务合同条款偏离表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_Toc193699391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87</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"_Toc193699392" </w:instrText>
          </w:r>
          <w:r>
            <w:fldChar w:fldCharType="separate"/>
          </w:r>
          <w:r>
            <w:rPr>
              <w:rStyle w:val="28"/>
              <w:rFonts w:hint="eastAsia" w:ascii="仿宋" w:hAnsi="仿宋" w:eastAsia="仿宋"/>
            </w:rPr>
            <w:t>8.</w:t>
          </w:r>
          <w:r>
            <w:rPr>
              <w:rFonts w:hint="eastAsia" w:ascii="仿宋" w:hAnsi="仿宋" w:eastAsia="仿宋"/>
              <w:sz w:val="22"/>
              <w:szCs w:val="24"/>
              <w14:ligatures w14:val="standardContextual"/>
            </w:rPr>
            <w:tab/>
          </w:r>
          <w:r>
            <w:rPr>
              <w:rStyle w:val="28"/>
              <w:rFonts w:hint="eastAsia" w:ascii="仿宋" w:hAnsi="仿宋" w:eastAsia="仿宋"/>
            </w:rPr>
            <w:t>实质性条款偏离表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_Toc193699392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88</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"_Toc193699393" </w:instrText>
          </w:r>
          <w:r>
            <w:fldChar w:fldCharType="separate"/>
          </w:r>
          <w:r>
            <w:rPr>
              <w:rStyle w:val="28"/>
              <w:rFonts w:hint="eastAsia" w:ascii="仿宋" w:hAnsi="仿宋" w:eastAsia="仿宋"/>
            </w:rPr>
            <w:t>9.</w:t>
          </w:r>
          <w:r>
            <w:rPr>
              <w:rFonts w:hint="eastAsia" w:ascii="仿宋" w:hAnsi="仿宋" w:eastAsia="仿宋"/>
              <w:sz w:val="22"/>
              <w:szCs w:val="24"/>
              <w14:ligatures w14:val="standardContextual"/>
            </w:rPr>
            <w:tab/>
          </w:r>
          <w:r>
            <w:rPr>
              <w:rStyle w:val="28"/>
              <w:rFonts w:hint="eastAsia" w:ascii="仿宋" w:hAnsi="仿宋" w:eastAsia="仿宋"/>
            </w:rPr>
            <w:t>采购需求条款偏离表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_Toc193699393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89</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"_Toc193699394" </w:instrText>
          </w:r>
          <w:r>
            <w:fldChar w:fldCharType="separate"/>
          </w:r>
          <w:r>
            <w:rPr>
              <w:rStyle w:val="28"/>
              <w:rFonts w:hint="eastAsia" w:ascii="仿宋" w:hAnsi="仿宋" w:eastAsia="仿宋"/>
            </w:rPr>
            <w:t>10.服务承诺函</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_Toc193699394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90</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"_Toc193699395" </w:instrText>
          </w:r>
          <w:r>
            <w:fldChar w:fldCharType="separate"/>
          </w:r>
          <w:r>
            <w:rPr>
              <w:rStyle w:val="28"/>
              <w:rFonts w:hint="eastAsia" w:ascii="仿宋" w:hAnsi="仿宋" w:eastAsia="仿宋"/>
            </w:rPr>
            <w:t>11.同类项目业绩情况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_Toc193699395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91</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"_Toc193699396" </w:instrText>
          </w:r>
          <w:r>
            <w:fldChar w:fldCharType="separate"/>
          </w:r>
          <w:r>
            <w:rPr>
              <w:rStyle w:val="28"/>
              <w:rFonts w:hint="eastAsia" w:ascii="仿宋" w:hAnsi="仿宋" w:eastAsia="仿宋"/>
            </w:rPr>
            <w:t>12.拟投入本项目服务人员</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_Toc193699396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92</w:t>
          </w:r>
          <w:r>
            <w:rPr>
              <w:rFonts w:hint="eastAsia" w:ascii="仿宋" w:hAnsi="仿宋" w:eastAsia="仿宋"/>
            </w:rPr>
            <w:fldChar w:fldCharType="end"/>
          </w:r>
          <w:r>
            <w:rPr>
              <w:rFonts w:hint="eastAsia" w:ascii="仿宋" w:hAnsi="仿宋" w:eastAsia="仿宋"/>
            </w:rPr>
            <w:fldChar w:fldCharType="end"/>
          </w:r>
        </w:p>
        <w:p>
          <w:pPr>
            <w:pStyle w:val="11"/>
            <w:tabs>
              <w:tab w:val="left" w:pos="1680"/>
              <w:tab w:val="right" w:leader="dot" w:pos="8302"/>
            </w:tabs>
            <w:rPr>
              <w:rFonts w:hint="eastAsia" w:ascii="仿宋" w:hAnsi="仿宋" w:eastAsia="仿宋"/>
              <w:sz w:val="22"/>
              <w:szCs w:val="24"/>
              <w14:ligatures w14:val="standardContextual"/>
            </w:rPr>
          </w:pPr>
          <w:r>
            <w:fldChar w:fldCharType="begin"/>
          </w:r>
          <w:r>
            <w:instrText xml:space="preserve"> HYPERLINK \l "_Toc193699397" </w:instrText>
          </w:r>
          <w:r>
            <w:fldChar w:fldCharType="separate"/>
          </w:r>
          <w:r>
            <w:rPr>
              <w:rStyle w:val="28"/>
              <w:rFonts w:hint="eastAsia" w:ascii="仿宋" w:hAnsi="仿宋" w:eastAsia="仿宋"/>
            </w:rPr>
            <w:t>12.1</w:t>
          </w:r>
          <w:r>
            <w:rPr>
              <w:rFonts w:hint="eastAsia" w:ascii="仿宋" w:hAnsi="仿宋" w:eastAsia="仿宋"/>
              <w:sz w:val="22"/>
              <w:szCs w:val="24"/>
              <w14:ligatures w14:val="standardContextual"/>
            </w:rPr>
            <w:tab/>
          </w:r>
          <w:r>
            <w:rPr>
              <w:rStyle w:val="28"/>
              <w:rFonts w:hint="eastAsia" w:ascii="仿宋" w:hAnsi="仿宋" w:eastAsia="仿宋"/>
            </w:rPr>
            <w:t>项目负责人情况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_Toc193699397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92</w:t>
          </w:r>
          <w:r>
            <w:rPr>
              <w:rFonts w:hint="eastAsia" w:ascii="仿宋" w:hAnsi="仿宋" w:eastAsia="仿宋"/>
            </w:rPr>
            <w:fldChar w:fldCharType="end"/>
          </w:r>
          <w:r>
            <w:rPr>
              <w:rFonts w:hint="eastAsia" w:ascii="仿宋" w:hAnsi="仿宋" w:eastAsia="仿宋"/>
            </w:rPr>
            <w:fldChar w:fldCharType="end"/>
          </w:r>
        </w:p>
        <w:p>
          <w:pPr>
            <w:pStyle w:val="11"/>
            <w:tabs>
              <w:tab w:val="left" w:pos="1680"/>
              <w:tab w:val="right" w:leader="dot" w:pos="8302"/>
            </w:tabs>
            <w:rPr>
              <w:rFonts w:hint="eastAsia" w:ascii="仿宋" w:hAnsi="仿宋" w:eastAsia="仿宋"/>
              <w:sz w:val="22"/>
              <w:szCs w:val="24"/>
              <w14:ligatures w14:val="standardContextual"/>
            </w:rPr>
          </w:pPr>
          <w:r>
            <w:fldChar w:fldCharType="begin"/>
          </w:r>
          <w:r>
            <w:instrText xml:space="preserve"> HYPERLINK \l "_Toc193699398" </w:instrText>
          </w:r>
          <w:r>
            <w:fldChar w:fldCharType="separate"/>
          </w:r>
          <w:r>
            <w:rPr>
              <w:rStyle w:val="28"/>
              <w:rFonts w:hint="eastAsia" w:ascii="仿宋" w:hAnsi="仿宋" w:eastAsia="仿宋"/>
            </w:rPr>
            <w:t>12.2</w:t>
          </w:r>
          <w:r>
            <w:rPr>
              <w:rFonts w:hint="eastAsia" w:ascii="仿宋" w:hAnsi="仿宋" w:eastAsia="仿宋"/>
              <w:sz w:val="22"/>
              <w:szCs w:val="24"/>
              <w14:ligatures w14:val="standardContextual"/>
            </w:rPr>
            <w:tab/>
          </w:r>
          <w:r>
            <w:rPr>
              <w:rStyle w:val="28"/>
              <w:rFonts w:hint="eastAsia" w:ascii="仿宋" w:hAnsi="仿宋" w:eastAsia="仿宋"/>
            </w:rPr>
            <w:t>团队人员情况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_Toc193699398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93</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"_Toc193699399" </w:instrText>
          </w:r>
          <w:r>
            <w:fldChar w:fldCharType="separate"/>
          </w:r>
          <w:r>
            <w:rPr>
              <w:rStyle w:val="28"/>
              <w:rFonts w:hint="eastAsia" w:ascii="仿宋" w:hAnsi="仿宋" w:eastAsia="仿宋"/>
            </w:rPr>
            <w:t>13.关键技术性条款应答情况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_Toc193699399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94</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"_Toc193699400" </w:instrText>
          </w:r>
          <w:r>
            <w:fldChar w:fldCharType="separate"/>
          </w:r>
          <w:r>
            <w:rPr>
              <w:rStyle w:val="28"/>
              <w:rFonts w:hint="eastAsia" w:ascii="仿宋" w:hAnsi="仿宋" w:eastAsia="仿宋"/>
            </w:rPr>
            <w:t>14.其他资料（如有）</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_Toc193699400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97</w:t>
          </w:r>
          <w:r>
            <w:rPr>
              <w:rFonts w:hint="eastAsia" w:ascii="仿宋" w:hAnsi="仿宋" w:eastAsia="仿宋"/>
            </w:rPr>
            <w:fldChar w:fldCharType="end"/>
          </w:r>
          <w:r>
            <w:rPr>
              <w:rFonts w:hint="eastAsia" w:ascii="仿宋" w:hAnsi="仿宋" w:eastAsia="仿宋"/>
            </w:rPr>
            <w:fldChar w:fldCharType="end"/>
          </w:r>
        </w:p>
        <w:p>
          <w:pPr>
            <w:pStyle w:val="11"/>
            <w:tabs>
              <w:tab w:val="left" w:pos="1680"/>
              <w:tab w:val="right" w:leader="dot" w:pos="8302"/>
            </w:tabs>
            <w:rPr>
              <w:rFonts w:hint="eastAsia" w:ascii="仿宋" w:hAnsi="仿宋" w:eastAsia="仿宋"/>
              <w:sz w:val="22"/>
              <w:szCs w:val="24"/>
              <w14:ligatures w14:val="standardContextual"/>
            </w:rPr>
          </w:pPr>
          <w:r>
            <w:fldChar w:fldCharType="begin"/>
          </w:r>
          <w:r>
            <w:instrText xml:space="preserve"> HYPERLINK \l "_Toc193699401" </w:instrText>
          </w:r>
          <w:r>
            <w:fldChar w:fldCharType="separate"/>
          </w:r>
          <w:r>
            <w:rPr>
              <w:rStyle w:val="28"/>
              <w:rFonts w:hint="eastAsia" w:ascii="仿宋" w:hAnsi="仿宋" w:eastAsia="仿宋"/>
            </w:rPr>
            <w:t>14.1</w:t>
          </w:r>
          <w:r>
            <w:rPr>
              <w:rFonts w:hint="eastAsia" w:ascii="仿宋" w:hAnsi="仿宋" w:eastAsia="仿宋"/>
              <w:sz w:val="22"/>
              <w:szCs w:val="24"/>
              <w14:ligatures w14:val="standardContextual"/>
            </w:rPr>
            <w:tab/>
          </w:r>
          <w:r>
            <w:rPr>
              <w:rStyle w:val="28"/>
              <w:rFonts w:hint="eastAsia" w:ascii="仿宋" w:hAnsi="仿宋" w:eastAsia="仿宋"/>
            </w:rPr>
            <w:t>企业认证、资质、荣誉证书（如有）</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_Toc193699401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97</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"_Toc193699402" </w:instrText>
          </w:r>
          <w:r>
            <w:fldChar w:fldCharType="separate"/>
          </w:r>
          <w:r>
            <w:rPr>
              <w:rStyle w:val="28"/>
              <w:rFonts w:hint="eastAsia" w:ascii="仿宋" w:hAnsi="仿宋" w:eastAsia="仿宋"/>
            </w:rPr>
            <w:t>15.项目理解（格式自拟）</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_Toc193699402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98</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"_Toc193699403" </w:instrText>
          </w:r>
          <w:r>
            <w:fldChar w:fldCharType="separate"/>
          </w:r>
          <w:r>
            <w:rPr>
              <w:rStyle w:val="28"/>
              <w:rFonts w:hint="eastAsia" w:ascii="仿宋" w:hAnsi="仿宋" w:eastAsia="仿宋"/>
            </w:rPr>
            <w:t>16.服务方案（格式自拟）</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_Toc193699403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98</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"_Toc193699404" </w:instrText>
          </w:r>
          <w:r>
            <w:fldChar w:fldCharType="separate"/>
          </w:r>
          <w:r>
            <w:rPr>
              <w:rStyle w:val="28"/>
              <w:rFonts w:hint="eastAsia" w:ascii="仿宋" w:hAnsi="仿宋" w:eastAsia="仿宋"/>
            </w:rPr>
            <w:t>17.投标人认为需要提供的其他资料（格式自拟）</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_Toc193699404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99</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"_Toc193699405" </w:instrText>
          </w:r>
          <w:r>
            <w:fldChar w:fldCharType="separate"/>
          </w:r>
          <w:r>
            <w:rPr>
              <w:rStyle w:val="28"/>
              <w:rFonts w:hint="eastAsia" w:ascii="仿宋" w:hAnsi="仿宋" w:eastAsia="仿宋"/>
            </w:rPr>
            <w:t>第二分册</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_Toc193699405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100</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"_Toc193699406" </w:instrText>
          </w:r>
          <w:r>
            <w:fldChar w:fldCharType="separate"/>
          </w:r>
          <w:r>
            <w:rPr>
              <w:rStyle w:val="28"/>
              <w:rFonts w:hint="eastAsia" w:ascii="仿宋" w:hAnsi="仿宋" w:eastAsia="仿宋"/>
            </w:rPr>
            <w:t>1.</w:t>
          </w:r>
          <w:r>
            <w:rPr>
              <w:rFonts w:hint="eastAsia" w:ascii="仿宋" w:hAnsi="仿宋" w:eastAsia="仿宋"/>
              <w:sz w:val="22"/>
              <w:szCs w:val="24"/>
              <w14:ligatures w14:val="standardContextual"/>
            </w:rPr>
            <w:tab/>
          </w:r>
          <w:r>
            <w:rPr>
              <w:rStyle w:val="28"/>
              <w:rFonts w:hint="eastAsia" w:ascii="仿宋" w:hAnsi="仿宋" w:eastAsia="仿宋"/>
            </w:rPr>
            <w:t>经济分册投标文件封面</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_Toc193699406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100</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"_Toc193699407" </w:instrText>
          </w:r>
          <w:r>
            <w:fldChar w:fldCharType="separate"/>
          </w:r>
          <w:r>
            <w:rPr>
              <w:rStyle w:val="28"/>
              <w:rFonts w:hint="eastAsia" w:ascii="仿宋" w:hAnsi="仿宋" w:eastAsia="仿宋"/>
            </w:rPr>
            <w:t>2.</w:t>
          </w:r>
          <w:r>
            <w:rPr>
              <w:rFonts w:hint="eastAsia" w:ascii="仿宋" w:hAnsi="仿宋" w:eastAsia="仿宋"/>
              <w:sz w:val="22"/>
              <w:szCs w:val="24"/>
              <w14:ligatures w14:val="standardContextual"/>
            </w:rPr>
            <w:tab/>
          </w:r>
          <w:r>
            <w:rPr>
              <w:rStyle w:val="28"/>
              <w:rFonts w:hint="eastAsia" w:ascii="仿宋" w:hAnsi="仿宋" w:eastAsia="仿宋"/>
            </w:rPr>
            <w:t>投标报价一览表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_Toc193699407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101</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"_Toc193699408" </w:instrText>
          </w:r>
          <w:r>
            <w:fldChar w:fldCharType="separate"/>
          </w:r>
          <w:r>
            <w:rPr>
              <w:rStyle w:val="28"/>
              <w:rFonts w:hint="eastAsia" w:ascii="仿宋" w:hAnsi="仿宋" w:eastAsia="仿宋"/>
            </w:rPr>
            <w:t>3.</w:t>
          </w:r>
          <w:r>
            <w:rPr>
              <w:rFonts w:hint="eastAsia" w:ascii="仿宋" w:hAnsi="仿宋" w:eastAsia="仿宋"/>
              <w:sz w:val="22"/>
              <w:szCs w:val="24"/>
              <w14:ligatures w14:val="standardContextual"/>
            </w:rPr>
            <w:tab/>
          </w:r>
          <w:r>
            <w:rPr>
              <w:rStyle w:val="28"/>
              <w:rFonts w:hint="eastAsia" w:ascii="仿宋" w:hAnsi="仿宋" w:eastAsia="仿宋"/>
            </w:rPr>
            <w:t>分项报价表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_Toc193699408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102</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"_Toc193699409" </w:instrText>
          </w:r>
          <w:r>
            <w:fldChar w:fldCharType="separate"/>
          </w:r>
          <w:r>
            <w:rPr>
              <w:rStyle w:val="28"/>
              <w:rFonts w:hint="eastAsia" w:ascii="仿宋" w:hAnsi="仿宋" w:eastAsia="仿宋"/>
            </w:rPr>
            <w:t>4.</w:t>
          </w:r>
          <w:r>
            <w:rPr>
              <w:rFonts w:hint="eastAsia" w:ascii="仿宋" w:hAnsi="仿宋" w:eastAsia="仿宋"/>
              <w:sz w:val="22"/>
              <w:szCs w:val="24"/>
              <w14:ligatures w14:val="standardContextual"/>
            </w:rPr>
            <w:tab/>
          </w:r>
          <w:r>
            <w:rPr>
              <w:rStyle w:val="28"/>
              <w:rFonts w:hint="eastAsia" w:ascii="仿宋" w:hAnsi="仿宋" w:eastAsia="仿宋"/>
            </w:rPr>
            <w:t>招标代理服务费承诺书</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_Toc193699409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104</w:t>
          </w:r>
          <w:r>
            <w:rPr>
              <w:rFonts w:hint="eastAsia" w:ascii="仿宋" w:hAnsi="仿宋" w:eastAsia="仿宋"/>
            </w:rPr>
            <w:fldChar w:fldCharType="end"/>
          </w:r>
          <w:r>
            <w:rPr>
              <w:rFonts w:hint="eastAsia" w:ascii="仿宋" w:hAnsi="仿宋" w:eastAsia="仿宋"/>
            </w:rPr>
            <w:fldChar w:fldCharType="end"/>
          </w:r>
        </w:p>
        <w:p>
          <w:pPr>
            <w:pStyle w:val="19"/>
            <w:rPr>
              <w:rFonts w:hint="eastAsia" w:ascii="仿宋" w:hAnsi="仿宋" w:eastAsia="仿宋"/>
              <w:sz w:val="22"/>
              <w:szCs w:val="24"/>
              <w14:ligatures w14:val="standardContextual"/>
            </w:rPr>
          </w:pPr>
          <w:r>
            <w:fldChar w:fldCharType="begin"/>
          </w:r>
          <w:r>
            <w:instrText xml:space="preserve"> HYPERLINK \l "_Toc193699410" </w:instrText>
          </w:r>
          <w:r>
            <w:fldChar w:fldCharType="separate"/>
          </w:r>
          <w:r>
            <w:rPr>
              <w:rStyle w:val="28"/>
              <w:rFonts w:hint="eastAsia" w:ascii="仿宋" w:hAnsi="仿宋" w:eastAsia="仿宋"/>
            </w:rPr>
            <w:t>5.</w:t>
          </w:r>
          <w:r>
            <w:rPr>
              <w:rFonts w:hint="eastAsia" w:ascii="仿宋" w:hAnsi="仿宋" w:eastAsia="仿宋"/>
              <w:sz w:val="22"/>
              <w:szCs w:val="24"/>
              <w14:ligatures w14:val="standardContextual"/>
            </w:rPr>
            <w:tab/>
          </w:r>
          <w:r>
            <w:rPr>
              <w:rStyle w:val="28"/>
              <w:rFonts w:hint="eastAsia" w:ascii="仿宋" w:hAnsi="仿宋" w:eastAsia="仿宋"/>
            </w:rPr>
            <w:t>投标保证金凭证</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_Toc193699410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105</w:t>
          </w:r>
          <w:r>
            <w:rPr>
              <w:rFonts w:hint="eastAsia" w:ascii="仿宋" w:hAnsi="仿宋" w:eastAsia="仿宋"/>
            </w:rPr>
            <w:fldChar w:fldCharType="end"/>
          </w:r>
          <w:r>
            <w:rPr>
              <w:rFonts w:hint="eastAsia" w:ascii="仿宋" w:hAnsi="仿宋" w:eastAsia="仿宋"/>
            </w:rPr>
            <w:fldChar w:fldCharType="end"/>
          </w:r>
        </w:p>
        <w:p>
          <w:pPr>
            <w:spacing w:line="288" w:lineRule="auto"/>
            <w:rPr>
              <w:rFonts w:hint="eastAsia" w:ascii="仿宋" w:hAnsi="仿宋" w:eastAsia="仿宋"/>
            </w:rPr>
          </w:pPr>
          <w:r>
            <w:rPr>
              <w:rFonts w:ascii="仿宋" w:hAnsi="仿宋" w:eastAsia="仿宋"/>
              <w:szCs w:val="21"/>
              <w:lang w:val="zh-CN"/>
            </w:rPr>
            <w:fldChar w:fldCharType="end"/>
          </w:r>
        </w:p>
      </w:sdtContent>
    </w:sdt>
    <w:p>
      <w:pPr>
        <w:widowControl/>
        <w:jc w:val="left"/>
      </w:pPr>
      <w:r>
        <w:br w:type="page"/>
      </w:r>
    </w:p>
    <w:p>
      <w:pPr>
        <w:pStyle w:val="30"/>
        <w:spacing w:before="240" w:after="120" w:line="360" w:lineRule="auto"/>
        <w:rPr>
          <w:rFonts w:hint="eastAsia" w:ascii="仿宋" w:hAnsi="仿宋" w:eastAsia="仿宋" w:cs="宋体"/>
          <w:b/>
          <w:bCs w:val="0"/>
          <w:kern w:val="0"/>
          <w:sz w:val="32"/>
          <w:szCs w:val="32"/>
          <w:lang w:val="zh-CN"/>
        </w:rPr>
      </w:pPr>
      <w:bookmarkStart w:id="2" w:name="_Toc193699288"/>
      <w:r>
        <w:rPr>
          <w:rFonts w:hint="eastAsia" w:ascii="仿宋" w:hAnsi="仿宋" w:eastAsia="仿宋" w:cs="宋体"/>
          <w:b/>
          <w:bCs w:val="0"/>
          <w:kern w:val="0"/>
          <w:sz w:val="32"/>
          <w:szCs w:val="32"/>
          <w:lang w:val="zh-CN"/>
        </w:rPr>
        <w:t>第一章  招标公告</w:t>
      </w:r>
      <w:bookmarkEnd w:id="2"/>
    </w:p>
    <w:p>
      <w:pPr>
        <w:spacing w:after="156" w:afterLines="50" w:line="360" w:lineRule="auto"/>
        <w:jc w:val="center"/>
        <w:rPr>
          <w:rFonts w:hint="eastAsia" w:ascii="仿宋" w:hAnsi="仿宋" w:eastAsia="仿宋" w:cs="Times New Roman"/>
          <w:b/>
          <w:sz w:val="28"/>
          <w:szCs w:val="28"/>
        </w:rPr>
      </w:pPr>
      <w:r>
        <w:rPr>
          <w:rFonts w:hint="eastAsia" w:ascii="仿宋" w:hAnsi="仿宋" w:eastAsia="仿宋" w:cs="Times New Roman"/>
          <w:b/>
          <w:sz w:val="28"/>
          <w:szCs w:val="28"/>
        </w:rPr>
        <w:t>2025年度网络安全建设和服务项目招标公告</w:t>
      </w:r>
    </w:p>
    <w:p>
      <w:pPr>
        <w:pStyle w:val="32"/>
        <w:ind w:firstLine="420"/>
        <w:rPr>
          <w:rFonts w:hint="eastAsia" w:ascii="仿宋" w:hAnsi="仿宋" w:eastAsia="仿宋"/>
          <w:sz w:val="21"/>
        </w:rPr>
      </w:pPr>
      <w:r>
        <w:rPr>
          <w:rFonts w:hint="eastAsia" w:ascii="仿宋" w:hAnsi="仿宋" w:eastAsia="仿宋"/>
          <w:sz w:val="21"/>
        </w:rPr>
        <w:t>本招标项目为</w:t>
      </w:r>
      <w:r>
        <w:rPr>
          <w:rFonts w:hint="eastAsia" w:ascii="仿宋" w:hAnsi="仿宋" w:eastAsia="仿宋"/>
          <w:sz w:val="21"/>
          <w:u w:val="single"/>
        </w:rPr>
        <w:t>2025年度网络安全建设和服务项目</w:t>
      </w:r>
      <w:r>
        <w:rPr>
          <w:rFonts w:hint="eastAsia" w:ascii="仿宋" w:hAnsi="仿宋" w:eastAsia="仿宋"/>
          <w:sz w:val="21"/>
        </w:rPr>
        <w:t>（项目编号：</w:t>
      </w:r>
      <w:r>
        <w:rPr>
          <w:rFonts w:hint="eastAsia" w:ascii="仿宋" w:hAnsi="仿宋" w:eastAsia="仿宋"/>
          <w:sz w:val="21"/>
          <w:u w:val="single"/>
        </w:rPr>
        <w:t>WJS-202503140012</w:t>
      </w:r>
      <w:r>
        <w:rPr>
          <w:rFonts w:hint="eastAsia" w:ascii="仿宋" w:hAnsi="仿宋" w:eastAsia="仿宋"/>
          <w:sz w:val="21"/>
        </w:rPr>
        <w:t>），招标人为</w:t>
      </w:r>
      <w:r>
        <w:rPr>
          <w:rFonts w:hint="eastAsia" w:ascii="仿宋" w:hAnsi="仿宋" w:eastAsia="仿宋"/>
          <w:sz w:val="21"/>
          <w:u w:val="single"/>
        </w:rPr>
        <w:t>广东南方报业传媒集团有限公司</w:t>
      </w:r>
      <w:r>
        <w:rPr>
          <w:rFonts w:hint="eastAsia" w:ascii="仿宋" w:hAnsi="仿宋" w:eastAsia="仿宋"/>
          <w:sz w:val="21"/>
        </w:rPr>
        <w:t>，招标代理机构为</w:t>
      </w:r>
      <w:r>
        <w:rPr>
          <w:rFonts w:hint="eastAsia" w:ascii="仿宋" w:hAnsi="仿宋" w:eastAsia="仿宋"/>
          <w:sz w:val="21"/>
          <w:u w:val="single"/>
        </w:rPr>
        <w:t>广东省南方文化产权交易所股份有限公司</w:t>
      </w:r>
      <w:r>
        <w:rPr>
          <w:rFonts w:hint="eastAsia" w:ascii="仿宋" w:hAnsi="仿宋" w:eastAsia="仿宋"/>
          <w:sz w:val="21"/>
        </w:rPr>
        <w:t>。项目资金已落实，具备招标条件，现进行</w:t>
      </w:r>
      <w:r>
        <w:rPr>
          <w:rFonts w:hint="eastAsia" w:ascii="仿宋" w:hAnsi="仿宋" w:eastAsia="仿宋"/>
          <w:sz w:val="21"/>
          <w:u w:val="single"/>
        </w:rPr>
        <w:t>公开招标</w:t>
      </w:r>
      <w:r>
        <w:rPr>
          <w:rFonts w:hint="eastAsia" w:ascii="仿宋" w:hAnsi="仿宋" w:eastAsia="仿宋"/>
          <w:sz w:val="21"/>
        </w:rPr>
        <w:t>，特邀请有意向的且具有提供标的物能力的潜在投标人（以下简称投标人）投标。</w:t>
      </w:r>
    </w:p>
    <w:p>
      <w:pPr>
        <w:pStyle w:val="4"/>
        <w:spacing w:before="156" w:beforeLines="50" w:after="156" w:afterLines="50" w:line="360" w:lineRule="auto"/>
        <w:rPr>
          <w:rFonts w:hint="eastAsia" w:ascii="仿宋" w:hAnsi="仿宋" w:eastAsia="仿宋"/>
          <w:sz w:val="24"/>
          <w:szCs w:val="24"/>
        </w:rPr>
      </w:pPr>
      <w:bookmarkStart w:id="3" w:name="_Toc193699289"/>
      <w:r>
        <w:rPr>
          <w:rFonts w:hint="eastAsia" w:ascii="仿宋" w:hAnsi="仿宋" w:eastAsia="仿宋"/>
          <w:sz w:val="24"/>
          <w:szCs w:val="24"/>
        </w:rPr>
        <w:t>1.项目概况与采购内容</w:t>
      </w:r>
      <w:bookmarkEnd w:id="3"/>
    </w:p>
    <w:p>
      <w:pPr>
        <w:pStyle w:val="32"/>
        <w:ind w:firstLine="420"/>
        <w:rPr>
          <w:rFonts w:hint="eastAsia" w:ascii="仿宋" w:hAnsi="仿宋" w:eastAsia="仿宋"/>
          <w:sz w:val="21"/>
        </w:rPr>
      </w:pPr>
      <w:r>
        <w:rPr>
          <w:rFonts w:hint="eastAsia" w:ascii="仿宋" w:hAnsi="仿宋" w:eastAsia="仿宋"/>
          <w:sz w:val="21"/>
        </w:rPr>
        <w:t>1.1项目概况：本项目拟通过公开招标的方式选取一名中标人，中标人根据招标人的要求开展集团2025年度的网络安全建设工作。</w:t>
      </w:r>
    </w:p>
    <w:p>
      <w:pPr>
        <w:pStyle w:val="32"/>
        <w:ind w:firstLine="420"/>
        <w:rPr>
          <w:rFonts w:hint="eastAsia" w:ascii="仿宋" w:hAnsi="仿宋" w:eastAsia="仿宋"/>
          <w:sz w:val="21"/>
        </w:rPr>
      </w:pPr>
      <w:r>
        <w:rPr>
          <w:rFonts w:hint="eastAsia" w:ascii="仿宋" w:hAnsi="仿宋" w:eastAsia="仿宋"/>
          <w:sz w:val="21"/>
        </w:rPr>
        <w:t>注：具体的服务内容要求详见第三章“采购需求书”。</w:t>
      </w:r>
    </w:p>
    <w:p>
      <w:pPr>
        <w:pStyle w:val="32"/>
        <w:ind w:firstLine="422"/>
        <w:rPr>
          <w:rFonts w:hint="eastAsia" w:ascii="仿宋" w:hAnsi="仿宋" w:eastAsia="仿宋"/>
          <w:b/>
          <w:bCs/>
          <w:sz w:val="21"/>
        </w:rPr>
      </w:pPr>
      <w:r>
        <w:rPr>
          <w:rFonts w:hint="eastAsia" w:ascii="仿宋" w:hAnsi="仿宋" w:eastAsia="仿宋"/>
          <w:b/>
          <w:bCs/>
          <w:sz w:val="21"/>
        </w:rPr>
        <w:t>1.2项目预算：</w:t>
      </w:r>
      <w:r>
        <w:rPr>
          <w:rFonts w:ascii="仿宋" w:hAnsi="仿宋" w:eastAsia="仿宋"/>
          <w:b/>
          <w:bCs/>
          <w:sz w:val="21"/>
        </w:rPr>
        <w:t>1,982,000.00</w:t>
      </w:r>
      <w:r>
        <w:rPr>
          <w:rFonts w:hint="eastAsia" w:ascii="仿宋" w:hAnsi="仿宋" w:eastAsia="仿宋"/>
          <w:b/>
          <w:bCs/>
          <w:sz w:val="21"/>
        </w:rPr>
        <w:t>元人民币（含税）</w:t>
      </w:r>
    </w:p>
    <w:p>
      <w:pPr>
        <w:pStyle w:val="32"/>
        <w:ind w:firstLine="422"/>
        <w:rPr>
          <w:rFonts w:hint="eastAsia" w:ascii="仿宋" w:hAnsi="仿宋" w:eastAsia="仿宋"/>
          <w:b/>
          <w:bCs/>
          <w:sz w:val="21"/>
        </w:rPr>
      </w:pPr>
      <w:r>
        <w:rPr>
          <w:rFonts w:hint="eastAsia" w:ascii="仿宋" w:hAnsi="仿宋" w:eastAsia="仿宋"/>
          <w:b/>
          <w:bCs/>
          <w:sz w:val="21"/>
        </w:rPr>
        <w:t>注：本项目设置最高投标限价。</w:t>
      </w:r>
      <w:r>
        <w:rPr>
          <w:rFonts w:hint="eastAsia" w:ascii="仿宋" w:hAnsi="仿宋" w:eastAsia="仿宋"/>
          <w:b/>
          <w:bCs/>
          <w:sz w:val="21"/>
          <w:u w:val="single"/>
        </w:rPr>
        <w:t>项目总价最高限价为</w:t>
      </w:r>
      <w:bookmarkStart w:id="4" w:name="OLE_LINK3"/>
      <w:r>
        <w:rPr>
          <w:rFonts w:ascii="仿宋" w:hAnsi="仿宋" w:eastAsia="仿宋"/>
          <w:b/>
          <w:bCs/>
          <w:sz w:val="21"/>
          <w:u w:val="single"/>
        </w:rPr>
        <w:t>1,982,000.00</w:t>
      </w:r>
      <w:bookmarkEnd w:id="4"/>
      <w:r>
        <w:rPr>
          <w:rFonts w:hint="eastAsia" w:ascii="仿宋" w:hAnsi="仿宋" w:eastAsia="仿宋"/>
          <w:b/>
          <w:bCs/>
          <w:sz w:val="21"/>
          <w:u w:val="single"/>
        </w:rPr>
        <w:t>元人民币（含税），其中“网络安全风险排查服务”最高限价为</w:t>
      </w:r>
      <w:r>
        <w:rPr>
          <w:rFonts w:ascii="仿宋" w:hAnsi="仿宋" w:eastAsia="仿宋"/>
          <w:b/>
          <w:bCs/>
          <w:sz w:val="21"/>
          <w:u w:val="single"/>
        </w:rPr>
        <w:t>181,300.00</w:t>
      </w:r>
      <w:r>
        <w:rPr>
          <w:rFonts w:hint="eastAsia" w:ascii="仿宋" w:hAnsi="仿宋" w:eastAsia="仿宋"/>
          <w:b/>
          <w:bCs/>
          <w:sz w:val="21"/>
          <w:u w:val="single"/>
        </w:rPr>
        <w:t>元（含税）</w:t>
      </w:r>
      <w:r>
        <w:rPr>
          <w:rFonts w:hint="eastAsia" w:ascii="仿宋" w:hAnsi="仿宋" w:eastAsia="仿宋"/>
          <w:b/>
          <w:bCs/>
          <w:sz w:val="21"/>
        </w:rPr>
        <w:t>。如投标人所报价格高于最高投标限价的，其投标将被否决。</w:t>
      </w:r>
    </w:p>
    <w:p>
      <w:pPr>
        <w:pStyle w:val="32"/>
        <w:ind w:firstLine="420"/>
        <w:rPr>
          <w:rFonts w:hint="eastAsia" w:ascii="仿宋" w:hAnsi="仿宋" w:eastAsia="仿宋"/>
          <w:sz w:val="21"/>
        </w:rPr>
      </w:pPr>
      <w:r>
        <w:rPr>
          <w:rFonts w:hint="eastAsia" w:ascii="仿宋" w:hAnsi="仿宋" w:eastAsia="仿宋"/>
          <w:sz w:val="21"/>
        </w:rPr>
        <w:t>1.3标段划分：本项目不划分标段。</w:t>
      </w:r>
    </w:p>
    <w:p>
      <w:pPr>
        <w:pStyle w:val="32"/>
        <w:ind w:firstLine="420"/>
        <w:rPr>
          <w:rFonts w:hint="eastAsia" w:ascii="仿宋" w:hAnsi="仿宋" w:eastAsia="仿宋"/>
          <w:sz w:val="21"/>
        </w:rPr>
      </w:pPr>
      <w:r>
        <w:rPr>
          <w:rFonts w:hint="eastAsia" w:ascii="仿宋" w:hAnsi="仿宋" w:eastAsia="仿宋"/>
          <w:sz w:val="21"/>
        </w:rPr>
        <w:t>1.4服务期限：</w:t>
      </w:r>
      <w:bookmarkStart w:id="5" w:name="_Hlk192861208"/>
      <w:r>
        <w:rPr>
          <w:rFonts w:hint="eastAsia" w:ascii="仿宋" w:hAnsi="仿宋" w:eastAsia="仿宋"/>
          <w:sz w:val="21"/>
        </w:rPr>
        <w:t>自合同签署生效之日起至一年</w:t>
      </w:r>
      <w:bookmarkEnd w:id="5"/>
      <w:r>
        <w:rPr>
          <w:rFonts w:hint="eastAsia" w:ascii="仿宋" w:hAnsi="仿宋" w:eastAsia="仿宋"/>
          <w:sz w:val="21"/>
        </w:rPr>
        <w:t>。</w:t>
      </w:r>
    </w:p>
    <w:p>
      <w:pPr>
        <w:pStyle w:val="32"/>
        <w:ind w:firstLine="420"/>
        <w:rPr>
          <w:rFonts w:hint="eastAsia" w:ascii="仿宋" w:hAnsi="仿宋" w:eastAsia="仿宋"/>
          <w:sz w:val="21"/>
        </w:rPr>
      </w:pPr>
      <w:r>
        <w:rPr>
          <w:rFonts w:hint="eastAsia" w:ascii="仿宋" w:hAnsi="仿宋" w:eastAsia="仿宋"/>
          <w:sz w:val="21"/>
        </w:rPr>
        <w:t>1.5服务地点：招标人指定地点。</w:t>
      </w:r>
    </w:p>
    <w:p>
      <w:pPr>
        <w:pStyle w:val="32"/>
        <w:ind w:firstLine="420"/>
        <w:rPr>
          <w:rFonts w:hint="eastAsia" w:ascii="仿宋" w:hAnsi="仿宋" w:eastAsia="仿宋"/>
          <w:sz w:val="21"/>
        </w:rPr>
      </w:pPr>
      <w:r>
        <w:rPr>
          <w:rFonts w:hint="eastAsia" w:ascii="仿宋" w:hAnsi="仿宋" w:eastAsia="仿宋"/>
          <w:sz w:val="21"/>
        </w:rPr>
        <w:t>1.6质量要求：必须符合国家、行业及招标人内部有关技术规范、标准、规定、合同相关条款等。</w:t>
      </w:r>
    </w:p>
    <w:p>
      <w:pPr>
        <w:pStyle w:val="4"/>
        <w:spacing w:before="156" w:beforeLines="50" w:after="156" w:afterLines="50" w:line="360" w:lineRule="auto"/>
        <w:rPr>
          <w:rFonts w:hint="eastAsia" w:ascii="仿宋" w:hAnsi="仿宋" w:eastAsia="仿宋"/>
          <w:sz w:val="24"/>
          <w:szCs w:val="24"/>
        </w:rPr>
      </w:pPr>
      <w:bookmarkStart w:id="6" w:name="_Toc193699290"/>
      <w:r>
        <w:rPr>
          <w:rFonts w:hint="eastAsia" w:ascii="仿宋" w:hAnsi="仿宋" w:eastAsia="仿宋"/>
          <w:sz w:val="24"/>
          <w:szCs w:val="24"/>
        </w:rPr>
        <w:t>2.投标人资格要求</w:t>
      </w:r>
      <w:bookmarkEnd w:id="6"/>
    </w:p>
    <w:p>
      <w:pPr>
        <w:pStyle w:val="32"/>
        <w:ind w:firstLine="420"/>
        <w:rPr>
          <w:rFonts w:hint="eastAsia" w:ascii="仿宋" w:hAnsi="仿宋" w:eastAsia="仿宋"/>
          <w:sz w:val="21"/>
        </w:rPr>
      </w:pPr>
      <w:r>
        <w:rPr>
          <w:rFonts w:hint="eastAsia" w:ascii="仿宋" w:hAnsi="仿宋" w:eastAsia="仿宋"/>
          <w:sz w:val="21"/>
        </w:rPr>
        <w:t>2.1投标人须在中华人民共和国境内注册的具有独立承担民事责任能力的法人或依法登记注册的其他组织，提供营业执照或事业法人证书等证明文件（分公司投标须得到总公司授权，同时提供总公司营业执照及盖章授权函）。</w:t>
      </w:r>
    </w:p>
    <w:p>
      <w:pPr>
        <w:pStyle w:val="32"/>
        <w:ind w:firstLine="420"/>
        <w:rPr>
          <w:rFonts w:hint="eastAsia" w:ascii="仿宋" w:hAnsi="仿宋" w:eastAsia="仿宋"/>
          <w:sz w:val="21"/>
        </w:rPr>
      </w:pPr>
      <w:r>
        <w:rPr>
          <w:rFonts w:hint="eastAsia" w:ascii="仿宋" w:hAnsi="仿宋" w:eastAsia="仿宋"/>
          <w:sz w:val="21"/>
        </w:rPr>
        <w:t>2.2投标人具有依法缴纳税收和社会保障资金的良好记录，良好的商业信誉和健全的财务会计制度，以及履行合同所必需的设备和专业技术能力。投标人须按照招标文件要求提供《资格声明函》。</w:t>
      </w:r>
    </w:p>
    <w:p>
      <w:pPr>
        <w:pStyle w:val="32"/>
        <w:ind w:firstLine="420"/>
        <w:rPr>
          <w:rFonts w:hint="eastAsia" w:ascii="仿宋" w:hAnsi="仿宋" w:eastAsia="仿宋"/>
          <w:sz w:val="21"/>
        </w:rPr>
      </w:pPr>
      <w:r>
        <w:rPr>
          <w:rFonts w:hint="eastAsia" w:ascii="仿宋" w:hAnsi="仿宋" w:eastAsia="仿宋"/>
          <w:sz w:val="21"/>
        </w:rPr>
        <w:t>2.3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ww.ccgp.gov.cn）查询结果为准，如相关失信记录已失效，投标人需提供相关证明资料）。</w:t>
      </w:r>
    </w:p>
    <w:p>
      <w:pPr>
        <w:pStyle w:val="32"/>
        <w:ind w:firstLine="420"/>
        <w:rPr>
          <w:rFonts w:hint="eastAsia" w:ascii="仿宋" w:hAnsi="仿宋" w:eastAsia="仿宋"/>
          <w:sz w:val="21"/>
        </w:rPr>
      </w:pPr>
      <w:r>
        <w:rPr>
          <w:rFonts w:hint="eastAsia" w:ascii="仿宋" w:hAnsi="仿宋" w:eastAsia="仿宋"/>
          <w:sz w:val="21"/>
        </w:rPr>
        <w:t>2.4单位负责人为同一人或者存在直接控股、管理关系的不同投标人，不得参加同一标段投标或者未划分标段的同一招标项目投标，以《投标人控股及管理关系情况申报表》填报的内容进行评审。</w:t>
      </w:r>
    </w:p>
    <w:p>
      <w:pPr>
        <w:pStyle w:val="32"/>
        <w:ind w:firstLine="420"/>
        <w:rPr>
          <w:rFonts w:hint="eastAsia" w:ascii="仿宋" w:hAnsi="仿宋" w:eastAsia="仿宋"/>
          <w:sz w:val="21"/>
        </w:rPr>
      </w:pPr>
      <w:r>
        <w:rPr>
          <w:rFonts w:hint="eastAsia" w:ascii="仿宋" w:hAnsi="仿宋" w:eastAsia="仿宋"/>
          <w:sz w:val="21"/>
        </w:rPr>
        <w:t>2.5本项目</w:t>
      </w:r>
      <w:r>
        <w:rPr>
          <w:rFonts w:hint="eastAsia" w:ascii="仿宋" w:hAnsi="仿宋" w:eastAsia="仿宋"/>
          <w:sz w:val="21"/>
          <w:u w:val="single"/>
        </w:rPr>
        <w:t>不接受</w:t>
      </w:r>
      <w:r>
        <w:rPr>
          <w:rFonts w:hint="eastAsia" w:ascii="仿宋" w:hAnsi="仿宋" w:eastAsia="仿宋"/>
          <w:sz w:val="21"/>
        </w:rPr>
        <w:t>联合体投标，不允许转包、违法分包。</w:t>
      </w:r>
    </w:p>
    <w:p>
      <w:pPr>
        <w:pStyle w:val="4"/>
        <w:spacing w:before="156" w:beforeLines="50" w:after="156" w:afterLines="50" w:line="360" w:lineRule="auto"/>
        <w:rPr>
          <w:rFonts w:hint="eastAsia" w:ascii="仿宋" w:hAnsi="仿宋" w:eastAsia="仿宋"/>
          <w:sz w:val="24"/>
          <w:szCs w:val="24"/>
        </w:rPr>
      </w:pPr>
      <w:bookmarkStart w:id="7" w:name="_Toc193699291"/>
      <w:r>
        <w:rPr>
          <w:rFonts w:hint="eastAsia" w:ascii="仿宋" w:hAnsi="仿宋" w:eastAsia="仿宋"/>
          <w:sz w:val="24"/>
          <w:szCs w:val="24"/>
        </w:rPr>
        <w:t>3.资格审查方法</w:t>
      </w:r>
      <w:bookmarkEnd w:id="7"/>
    </w:p>
    <w:p>
      <w:pPr>
        <w:pStyle w:val="32"/>
        <w:ind w:firstLine="420"/>
        <w:rPr>
          <w:rFonts w:hint="eastAsia" w:ascii="仿宋" w:hAnsi="仿宋" w:eastAsia="仿宋"/>
          <w:sz w:val="21"/>
        </w:rPr>
      </w:pPr>
      <w:r>
        <w:rPr>
          <w:rFonts w:hint="eastAsia" w:ascii="仿宋" w:hAnsi="仿宋" w:eastAsia="仿宋"/>
          <w:sz w:val="21"/>
        </w:rPr>
        <w:t>本项目将进行</w:t>
      </w:r>
      <w:r>
        <w:rPr>
          <w:rFonts w:hint="eastAsia" w:ascii="仿宋" w:hAnsi="仿宋" w:eastAsia="仿宋"/>
          <w:sz w:val="21"/>
          <w:u w:val="single"/>
        </w:rPr>
        <w:t>资格后审</w:t>
      </w:r>
      <w:r>
        <w:rPr>
          <w:rFonts w:hint="eastAsia" w:ascii="仿宋" w:hAnsi="仿宋" w:eastAsia="仿宋"/>
          <w:sz w:val="21"/>
        </w:rPr>
        <w:t>，资格审查标准和内容见招标文件第五章“评标办法”，凡未通过资格后审的投标人，其投标文件将被否决。</w:t>
      </w:r>
    </w:p>
    <w:p>
      <w:pPr>
        <w:pStyle w:val="4"/>
        <w:spacing w:before="156" w:beforeLines="50" w:after="156" w:afterLines="50" w:line="360" w:lineRule="auto"/>
        <w:rPr>
          <w:rFonts w:hint="eastAsia" w:ascii="仿宋" w:hAnsi="仿宋" w:eastAsia="仿宋"/>
          <w:sz w:val="24"/>
          <w:szCs w:val="24"/>
        </w:rPr>
      </w:pPr>
      <w:bookmarkStart w:id="8" w:name="_Toc193699292"/>
      <w:r>
        <w:rPr>
          <w:rFonts w:hint="eastAsia" w:ascii="仿宋" w:hAnsi="仿宋" w:eastAsia="仿宋"/>
          <w:sz w:val="24"/>
          <w:szCs w:val="24"/>
        </w:rPr>
        <w:t>4.招标文件获取</w:t>
      </w:r>
      <w:bookmarkEnd w:id="8"/>
    </w:p>
    <w:p>
      <w:pPr>
        <w:pStyle w:val="32"/>
        <w:ind w:firstLine="420"/>
        <w:rPr>
          <w:rFonts w:hint="eastAsia" w:ascii="仿宋" w:hAnsi="仿宋" w:eastAsia="仿宋"/>
          <w:sz w:val="21"/>
        </w:rPr>
      </w:pPr>
      <w:r>
        <w:rPr>
          <w:rFonts w:hint="eastAsia" w:ascii="仿宋" w:hAnsi="仿宋" w:eastAsia="仿宋"/>
          <w:sz w:val="21"/>
        </w:rPr>
        <w:t>4.1获取时间：凡有意参加投标人，从</w:t>
      </w:r>
      <w:r>
        <w:rPr>
          <w:rFonts w:hint="eastAsia" w:ascii="仿宋" w:hAnsi="仿宋" w:eastAsia="仿宋"/>
          <w:b/>
          <w:bCs/>
          <w:color w:val="auto"/>
          <w:sz w:val="21"/>
          <w:u w:val="single"/>
        </w:rPr>
        <w:t>2025年4月17日16时30分</w:t>
      </w:r>
      <w:r>
        <w:rPr>
          <w:rFonts w:hint="eastAsia" w:ascii="仿宋" w:hAnsi="仿宋" w:eastAsia="仿宋"/>
          <w:b/>
          <w:bCs/>
          <w:color w:val="auto"/>
          <w:sz w:val="21"/>
        </w:rPr>
        <w:t>到</w:t>
      </w:r>
      <w:r>
        <w:rPr>
          <w:rFonts w:hint="eastAsia" w:ascii="仿宋" w:hAnsi="仿宋" w:eastAsia="仿宋"/>
          <w:b/>
          <w:bCs/>
          <w:color w:val="auto"/>
          <w:sz w:val="21"/>
          <w:u w:val="single"/>
        </w:rPr>
        <w:t>2025年4月24日17时30分</w:t>
      </w:r>
      <w:r>
        <w:rPr>
          <w:rFonts w:hint="eastAsia" w:ascii="仿宋" w:hAnsi="仿宋" w:eastAsia="仿宋"/>
          <w:sz w:val="21"/>
        </w:rPr>
        <w:t>，通过“广东省文化公共资源服务平台-电子采购交易平台”（网址：https://whggzy.cnscee.com/）获取招标文件。</w:t>
      </w:r>
    </w:p>
    <w:p>
      <w:pPr>
        <w:pStyle w:val="32"/>
        <w:ind w:firstLine="420"/>
        <w:rPr>
          <w:rFonts w:hint="eastAsia" w:ascii="仿宋" w:hAnsi="仿宋" w:eastAsia="仿宋"/>
          <w:sz w:val="21"/>
        </w:rPr>
      </w:pPr>
      <w:r>
        <w:rPr>
          <w:rFonts w:hint="eastAsia" w:ascii="仿宋" w:hAnsi="仿宋" w:eastAsia="仿宋"/>
          <w:sz w:val="21"/>
        </w:rPr>
        <w:t>4.2注册：输入网址，点击【新用户注册】。登陆账号后点击【常用文件】，下载《供应商&amp;供应商操作手册》。</w:t>
      </w:r>
    </w:p>
    <w:p>
      <w:pPr>
        <w:pStyle w:val="32"/>
        <w:ind w:firstLine="420"/>
        <w:rPr>
          <w:rFonts w:hint="eastAsia" w:ascii="仿宋" w:hAnsi="仿宋" w:eastAsia="仿宋"/>
          <w:sz w:val="21"/>
        </w:rPr>
      </w:pPr>
      <w:r>
        <w:rPr>
          <w:rFonts w:hint="eastAsia" w:ascii="仿宋" w:hAnsi="仿宋" w:eastAsia="仿宋"/>
          <w:sz w:val="21"/>
        </w:rPr>
        <w:t>4.3招标文件费支付与下载：注册成功后登录平台，点击【商机发现】，检索本项目；</w:t>
      </w:r>
    </w:p>
    <w:p>
      <w:pPr>
        <w:pStyle w:val="32"/>
        <w:ind w:firstLine="422"/>
        <w:rPr>
          <w:rFonts w:hint="eastAsia" w:ascii="仿宋" w:hAnsi="仿宋" w:eastAsia="仿宋"/>
          <w:b/>
          <w:bCs/>
          <w:sz w:val="21"/>
        </w:rPr>
      </w:pPr>
      <w:r>
        <w:rPr>
          <w:rFonts w:hint="eastAsia" w:ascii="仿宋" w:hAnsi="仿宋" w:eastAsia="仿宋"/>
          <w:b/>
          <w:bCs/>
          <w:sz w:val="21"/>
        </w:rPr>
        <w:t>4.4招标文件费：</w:t>
      </w:r>
      <w:r>
        <w:rPr>
          <w:rFonts w:hint="eastAsia" w:ascii="仿宋" w:hAnsi="仿宋" w:eastAsia="仿宋"/>
          <w:b/>
          <w:bCs/>
          <w:sz w:val="21"/>
          <w:u w:val="single"/>
        </w:rPr>
        <w:t>300</w:t>
      </w:r>
      <w:r>
        <w:rPr>
          <w:rFonts w:hint="eastAsia" w:ascii="仿宋" w:hAnsi="仿宋" w:eastAsia="仿宋"/>
          <w:b/>
          <w:bCs/>
          <w:sz w:val="21"/>
        </w:rPr>
        <w:t>元人民币，支付不退。</w:t>
      </w:r>
    </w:p>
    <w:p>
      <w:pPr>
        <w:pStyle w:val="32"/>
        <w:ind w:firstLine="420"/>
        <w:rPr>
          <w:rFonts w:hint="eastAsia" w:ascii="仿宋" w:hAnsi="仿宋" w:eastAsia="仿宋"/>
          <w:sz w:val="21"/>
        </w:rPr>
      </w:pPr>
      <w:r>
        <w:rPr>
          <w:rFonts w:hint="eastAsia" w:ascii="仿宋" w:hAnsi="仿宋" w:eastAsia="仿宋"/>
          <w:sz w:val="21"/>
        </w:rPr>
        <w:t>支付方式：银行转账，转账完成后将汇款凭证及时上传平台，通过审核后可下载招标文件。转账账号信息如下：</w:t>
      </w:r>
    </w:p>
    <w:p>
      <w:pPr>
        <w:pStyle w:val="32"/>
        <w:ind w:firstLine="420"/>
        <w:rPr>
          <w:rFonts w:hint="eastAsia" w:ascii="仿宋" w:hAnsi="仿宋" w:eastAsia="仿宋"/>
          <w:sz w:val="21"/>
        </w:rPr>
      </w:pPr>
      <w:r>
        <w:rPr>
          <w:rFonts w:hint="eastAsia" w:ascii="仿宋" w:hAnsi="仿宋" w:eastAsia="仿宋"/>
          <w:sz w:val="21"/>
        </w:rPr>
        <w:t>公司名称：广东省南方文化产权交易所股份有限公司</w:t>
      </w:r>
    </w:p>
    <w:p>
      <w:pPr>
        <w:pStyle w:val="32"/>
        <w:ind w:firstLine="420"/>
        <w:rPr>
          <w:rFonts w:hint="eastAsia" w:ascii="仿宋" w:hAnsi="仿宋" w:eastAsia="仿宋"/>
          <w:sz w:val="21"/>
        </w:rPr>
      </w:pPr>
      <w:r>
        <w:rPr>
          <w:rFonts w:hint="eastAsia" w:ascii="仿宋" w:hAnsi="仿宋" w:eastAsia="仿宋"/>
          <w:sz w:val="21"/>
        </w:rPr>
        <w:t>银行名称：民生银行广州环市支行</w:t>
      </w:r>
    </w:p>
    <w:p>
      <w:pPr>
        <w:pStyle w:val="32"/>
        <w:ind w:firstLine="420"/>
        <w:rPr>
          <w:rFonts w:hint="eastAsia" w:ascii="仿宋" w:hAnsi="仿宋" w:eastAsia="仿宋"/>
          <w:sz w:val="21"/>
        </w:rPr>
      </w:pPr>
      <w:r>
        <w:rPr>
          <w:rFonts w:hint="eastAsia" w:ascii="仿宋" w:hAnsi="仿宋" w:eastAsia="仿宋"/>
          <w:sz w:val="21"/>
        </w:rPr>
        <w:t>银行账号：683001288</w:t>
      </w:r>
    </w:p>
    <w:p>
      <w:pPr>
        <w:pStyle w:val="32"/>
        <w:ind w:firstLine="420"/>
        <w:rPr>
          <w:rFonts w:hint="eastAsia" w:ascii="仿宋" w:hAnsi="仿宋" w:eastAsia="仿宋"/>
          <w:sz w:val="21"/>
        </w:rPr>
      </w:pPr>
      <w:r>
        <w:rPr>
          <w:rFonts w:hint="eastAsia" w:ascii="仿宋" w:hAnsi="仿宋" w:eastAsia="仿宋"/>
          <w:sz w:val="21"/>
        </w:rPr>
        <w:t>4.5疑问反馈：具体操作若有疑问，可致电客服热线：</w:t>
      </w:r>
      <w:r>
        <w:rPr>
          <w:rFonts w:hint="eastAsia" w:ascii="仿宋" w:hAnsi="仿宋" w:eastAsia="仿宋"/>
          <w:sz w:val="21"/>
          <w:u w:val="single"/>
        </w:rPr>
        <w:t>020-89524219</w:t>
      </w:r>
      <w:r>
        <w:rPr>
          <w:rFonts w:hint="eastAsia" w:ascii="仿宋" w:hAnsi="仿宋" w:eastAsia="仿宋"/>
          <w:sz w:val="21"/>
        </w:rPr>
        <w:t>。服务时间：</w:t>
      </w:r>
      <w:r>
        <w:rPr>
          <w:rFonts w:hint="eastAsia" w:ascii="仿宋" w:hAnsi="仿宋" w:eastAsia="仿宋"/>
          <w:sz w:val="21"/>
          <w:u w:val="single"/>
        </w:rPr>
        <w:t>8:30-17:30（工作日）</w:t>
      </w:r>
      <w:r>
        <w:rPr>
          <w:rFonts w:hint="eastAsia" w:ascii="仿宋" w:hAnsi="仿宋" w:eastAsia="仿宋"/>
          <w:sz w:val="21"/>
        </w:rPr>
        <w:t>。</w:t>
      </w:r>
    </w:p>
    <w:p>
      <w:pPr>
        <w:pStyle w:val="32"/>
        <w:ind w:firstLine="420"/>
        <w:rPr>
          <w:rFonts w:hint="eastAsia" w:ascii="仿宋" w:hAnsi="仿宋" w:eastAsia="仿宋"/>
          <w:sz w:val="21"/>
        </w:rPr>
      </w:pPr>
      <w:r>
        <w:rPr>
          <w:rFonts w:hint="eastAsia" w:ascii="仿宋" w:hAnsi="仿宋" w:eastAsia="仿宋"/>
          <w:sz w:val="21"/>
        </w:rPr>
        <w:t>4.6免责声明：“广东省文化公共资源服务平台-电子采购交易平台”（网址：https://whggzy.cnscee.com/）为本项目获取文件的唯一渠道，其他平台的获取及支付均属无效。</w:t>
      </w:r>
    </w:p>
    <w:p>
      <w:pPr>
        <w:pStyle w:val="32"/>
        <w:ind w:firstLine="420"/>
        <w:rPr>
          <w:rFonts w:hint="eastAsia" w:ascii="仿宋" w:hAnsi="仿宋" w:eastAsia="仿宋"/>
          <w:sz w:val="21"/>
        </w:rPr>
      </w:pPr>
      <w:r>
        <w:rPr>
          <w:rFonts w:hint="eastAsia" w:ascii="仿宋" w:hAnsi="仿宋" w:eastAsia="仿宋"/>
          <w:sz w:val="21"/>
        </w:rPr>
        <w:t>4.7审核联系人：陈芷君、冯馨丹，电话：18102224947（陈）、15875066283（冯）。</w:t>
      </w:r>
    </w:p>
    <w:p>
      <w:pPr>
        <w:pStyle w:val="4"/>
        <w:spacing w:before="156" w:beforeLines="50" w:after="156" w:afterLines="50" w:line="360" w:lineRule="auto"/>
        <w:rPr>
          <w:rFonts w:hint="eastAsia" w:ascii="仿宋" w:hAnsi="仿宋" w:eastAsia="仿宋"/>
          <w:sz w:val="24"/>
          <w:szCs w:val="24"/>
        </w:rPr>
      </w:pPr>
      <w:bookmarkStart w:id="9" w:name="_Toc193699293"/>
      <w:r>
        <w:rPr>
          <w:rFonts w:hint="eastAsia" w:ascii="仿宋" w:hAnsi="仿宋" w:eastAsia="仿宋"/>
          <w:sz w:val="24"/>
          <w:szCs w:val="24"/>
        </w:rPr>
        <w:t>5.投标文件的递交</w:t>
      </w:r>
      <w:bookmarkEnd w:id="9"/>
    </w:p>
    <w:p>
      <w:pPr>
        <w:pStyle w:val="32"/>
        <w:ind w:firstLine="422"/>
        <w:rPr>
          <w:rFonts w:hint="eastAsia" w:ascii="仿宋" w:hAnsi="仿宋" w:eastAsia="仿宋"/>
          <w:b/>
          <w:bCs/>
          <w:sz w:val="21"/>
        </w:rPr>
      </w:pPr>
      <w:r>
        <w:rPr>
          <w:rFonts w:hint="eastAsia" w:ascii="仿宋" w:hAnsi="仿宋" w:eastAsia="仿宋"/>
          <w:b/>
          <w:bCs/>
          <w:sz w:val="21"/>
        </w:rPr>
        <w:t>5.1投标文件递交截止时间（即投标截止时间）：</w:t>
      </w:r>
      <w:r>
        <w:rPr>
          <w:rFonts w:hint="eastAsia" w:ascii="仿宋" w:hAnsi="仿宋" w:eastAsia="仿宋"/>
          <w:b/>
          <w:bCs/>
          <w:color w:val="auto"/>
          <w:sz w:val="21"/>
          <w:u w:val="single"/>
        </w:rPr>
        <w:t>2025年5月8日9时30分</w:t>
      </w:r>
      <w:r>
        <w:rPr>
          <w:rFonts w:hint="eastAsia" w:ascii="仿宋" w:hAnsi="仿宋" w:eastAsia="仿宋"/>
          <w:b/>
          <w:bCs/>
          <w:sz w:val="21"/>
        </w:rPr>
        <w:t>。</w:t>
      </w:r>
    </w:p>
    <w:p>
      <w:pPr>
        <w:pStyle w:val="32"/>
        <w:ind w:firstLine="422"/>
        <w:rPr>
          <w:rFonts w:hint="eastAsia" w:ascii="仿宋" w:hAnsi="仿宋" w:eastAsia="仿宋"/>
          <w:b/>
          <w:bCs/>
          <w:sz w:val="21"/>
        </w:rPr>
      </w:pPr>
      <w:r>
        <w:rPr>
          <w:rFonts w:hint="eastAsia" w:ascii="仿宋" w:hAnsi="仿宋" w:eastAsia="仿宋"/>
          <w:b/>
          <w:bCs/>
          <w:sz w:val="21"/>
        </w:rPr>
        <w:t>5.2投标文件递交地点：</w:t>
      </w:r>
      <w:r>
        <w:rPr>
          <w:rFonts w:hint="eastAsia" w:ascii="仿宋" w:hAnsi="仿宋" w:eastAsia="仿宋"/>
          <w:b/>
          <w:bCs/>
          <w:sz w:val="21"/>
          <w:u w:val="single"/>
        </w:rPr>
        <w:t>广州市越秀区广州大道中289号南方报业传媒集团艺术园区生活综合楼三楼</w:t>
      </w:r>
      <w:r>
        <w:rPr>
          <w:rFonts w:hint="eastAsia" w:ascii="仿宋" w:hAnsi="仿宋" w:eastAsia="仿宋"/>
          <w:b/>
          <w:bCs/>
          <w:sz w:val="21"/>
        </w:rPr>
        <w:t>。</w:t>
      </w:r>
    </w:p>
    <w:p>
      <w:pPr>
        <w:pStyle w:val="32"/>
        <w:ind w:firstLine="420"/>
        <w:rPr>
          <w:rFonts w:hint="eastAsia" w:ascii="仿宋" w:hAnsi="仿宋" w:eastAsia="仿宋"/>
          <w:sz w:val="21"/>
        </w:rPr>
      </w:pPr>
      <w:r>
        <w:rPr>
          <w:rFonts w:hint="eastAsia" w:ascii="仿宋" w:hAnsi="仿宋" w:eastAsia="仿宋"/>
          <w:sz w:val="21"/>
        </w:rPr>
        <w:t>5.3递交方式：</w:t>
      </w:r>
      <w:r>
        <w:rPr>
          <w:rFonts w:hint="eastAsia" w:ascii="仿宋" w:hAnsi="仿宋" w:eastAsia="仿宋"/>
          <w:sz w:val="21"/>
          <w:u w:val="single"/>
        </w:rPr>
        <w:t>线下递交投标文件</w:t>
      </w:r>
      <w:r>
        <w:rPr>
          <w:rFonts w:hint="eastAsia" w:ascii="仿宋" w:hAnsi="仿宋" w:eastAsia="仿宋"/>
          <w:sz w:val="21"/>
        </w:rPr>
        <w:t>。</w:t>
      </w:r>
    </w:p>
    <w:p>
      <w:pPr>
        <w:pStyle w:val="32"/>
        <w:ind w:firstLine="420"/>
        <w:rPr>
          <w:rFonts w:hint="eastAsia" w:ascii="仿宋" w:hAnsi="仿宋" w:eastAsia="仿宋"/>
          <w:sz w:val="21"/>
        </w:rPr>
      </w:pPr>
      <w:r>
        <w:rPr>
          <w:rFonts w:hint="eastAsia" w:ascii="仿宋" w:hAnsi="仿宋" w:eastAsia="仿宋"/>
          <w:sz w:val="21"/>
        </w:rPr>
        <w:t>5.4本项目将于上述同一时间、地点进行开标，逾期送达的或者未送达指定地点的投标文件，招标人不予受理。</w:t>
      </w:r>
    </w:p>
    <w:p>
      <w:pPr>
        <w:pStyle w:val="4"/>
        <w:spacing w:before="156" w:beforeLines="50" w:after="156" w:afterLines="50" w:line="360" w:lineRule="auto"/>
        <w:rPr>
          <w:rFonts w:hint="eastAsia" w:ascii="仿宋" w:hAnsi="仿宋" w:eastAsia="仿宋"/>
          <w:sz w:val="24"/>
          <w:szCs w:val="24"/>
        </w:rPr>
      </w:pPr>
      <w:bookmarkStart w:id="10" w:name="_Toc193699294"/>
      <w:r>
        <w:rPr>
          <w:rFonts w:hint="eastAsia" w:ascii="仿宋" w:hAnsi="仿宋" w:eastAsia="仿宋"/>
          <w:sz w:val="24"/>
          <w:szCs w:val="24"/>
        </w:rPr>
        <w:t>6.发布公告的媒介</w:t>
      </w:r>
      <w:bookmarkEnd w:id="10"/>
    </w:p>
    <w:p>
      <w:pPr>
        <w:pStyle w:val="32"/>
        <w:ind w:firstLine="420"/>
        <w:rPr>
          <w:rFonts w:hint="eastAsia" w:ascii="仿宋" w:hAnsi="仿宋" w:eastAsia="仿宋"/>
          <w:sz w:val="21"/>
        </w:rPr>
      </w:pPr>
      <w:r>
        <w:rPr>
          <w:rFonts w:hint="eastAsia" w:ascii="仿宋" w:hAnsi="仿宋" w:eastAsia="仿宋"/>
          <w:sz w:val="21"/>
        </w:rPr>
        <w:t>本次招标公告同时在南方日报、招标人网站（http://www.southcn.com/zbtb/zbgg/node_374095.htm）、南方文交所官网（http://www.cnscee.com/）、广东省文化公共资源服务平台（https://zb.cnscee.com/）、中国招投标公共服务平台（http://www.cebpubservice.com/）发布，其他媒体转载无效。</w:t>
      </w:r>
    </w:p>
    <w:p>
      <w:pPr>
        <w:pStyle w:val="4"/>
        <w:spacing w:before="156" w:beforeLines="50" w:after="156" w:afterLines="50" w:line="360" w:lineRule="auto"/>
        <w:rPr>
          <w:rFonts w:hint="eastAsia" w:ascii="仿宋" w:hAnsi="仿宋" w:eastAsia="仿宋"/>
          <w:sz w:val="24"/>
          <w:szCs w:val="24"/>
        </w:rPr>
      </w:pPr>
      <w:bookmarkStart w:id="11" w:name="_Toc193699295"/>
      <w:r>
        <w:rPr>
          <w:rFonts w:hint="eastAsia" w:ascii="仿宋" w:hAnsi="仿宋" w:eastAsia="仿宋"/>
          <w:sz w:val="24"/>
          <w:szCs w:val="24"/>
        </w:rPr>
        <w:t>7.联系方式</w:t>
      </w:r>
      <w:bookmarkEnd w:id="11"/>
    </w:p>
    <w:p>
      <w:pPr>
        <w:pStyle w:val="32"/>
        <w:ind w:firstLine="420"/>
        <w:rPr>
          <w:rFonts w:hint="eastAsia" w:ascii="仿宋" w:hAnsi="仿宋" w:eastAsia="仿宋"/>
          <w:sz w:val="21"/>
        </w:rPr>
      </w:pPr>
      <w:r>
        <w:rPr>
          <w:rFonts w:hint="eastAsia" w:ascii="仿宋" w:hAnsi="仿宋" w:eastAsia="仿宋"/>
          <w:sz w:val="21"/>
        </w:rPr>
        <w:t>7.1招标代理机构：广东省南方文化产权交易所股份有限公司</w:t>
      </w:r>
    </w:p>
    <w:p>
      <w:pPr>
        <w:pStyle w:val="32"/>
        <w:ind w:firstLine="420"/>
        <w:rPr>
          <w:rFonts w:hint="eastAsia" w:ascii="仿宋" w:hAnsi="仿宋" w:eastAsia="仿宋"/>
          <w:sz w:val="21"/>
        </w:rPr>
      </w:pPr>
      <w:r>
        <w:rPr>
          <w:rFonts w:hint="eastAsia" w:ascii="仿宋" w:hAnsi="仿宋" w:eastAsia="仿宋"/>
          <w:sz w:val="21"/>
        </w:rPr>
        <w:t>地址：广州越秀区广州大道中289号南方报业传媒集团艺术园区生活综合楼三楼</w:t>
      </w:r>
    </w:p>
    <w:p>
      <w:pPr>
        <w:pStyle w:val="32"/>
        <w:ind w:firstLine="420"/>
        <w:rPr>
          <w:rFonts w:hint="eastAsia" w:ascii="仿宋" w:hAnsi="仿宋" w:eastAsia="仿宋"/>
          <w:sz w:val="21"/>
        </w:rPr>
      </w:pPr>
      <w:r>
        <w:rPr>
          <w:rFonts w:hint="eastAsia" w:ascii="仿宋" w:hAnsi="仿宋" w:eastAsia="仿宋"/>
          <w:sz w:val="21"/>
        </w:rPr>
        <w:t>邮编：510601</w:t>
      </w:r>
    </w:p>
    <w:p>
      <w:pPr>
        <w:pStyle w:val="32"/>
        <w:ind w:firstLine="420"/>
        <w:rPr>
          <w:rFonts w:hint="eastAsia" w:ascii="仿宋" w:hAnsi="仿宋" w:eastAsia="仿宋"/>
          <w:sz w:val="21"/>
        </w:rPr>
      </w:pPr>
      <w:r>
        <w:rPr>
          <w:rFonts w:hint="eastAsia" w:ascii="仿宋" w:hAnsi="仿宋" w:eastAsia="仿宋"/>
          <w:sz w:val="21"/>
        </w:rPr>
        <w:t>联系人：黄缵烨、冯馨丹、陈芷君</w:t>
      </w:r>
    </w:p>
    <w:p>
      <w:pPr>
        <w:pStyle w:val="32"/>
        <w:ind w:firstLine="420"/>
        <w:rPr>
          <w:rFonts w:hint="eastAsia" w:ascii="仿宋" w:hAnsi="仿宋" w:eastAsia="仿宋"/>
          <w:sz w:val="21"/>
        </w:rPr>
      </w:pPr>
      <w:r>
        <w:rPr>
          <w:rFonts w:hint="eastAsia" w:ascii="仿宋" w:hAnsi="仿宋" w:eastAsia="仿宋"/>
          <w:sz w:val="21"/>
        </w:rPr>
        <w:t>电话：18510261319（黄）、18102224947（陈）、15875066283（冯）</w:t>
      </w:r>
    </w:p>
    <w:p>
      <w:pPr>
        <w:pStyle w:val="32"/>
        <w:ind w:firstLine="420"/>
        <w:rPr>
          <w:rFonts w:hint="eastAsia" w:ascii="仿宋" w:hAnsi="仿宋" w:eastAsia="仿宋"/>
          <w:sz w:val="21"/>
        </w:rPr>
      </w:pPr>
      <w:r>
        <w:rPr>
          <w:rFonts w:hint="eastAsia" w:ascii="仿宋" w:hAnsi="仿宋" w:eastAsia="仿宋"/>
          <w:sz w:val="21"/>
        </w:rPr>
        <w:t>电子邮箱：huangzuanye@163.com</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7.2招标人：广东南方报业传媒集团有限公司</w:t>
      </w:r>
    </w:p>
    <w:p>
      <w:pPr>
        <w:pStyle w:val="32"/>
        <w:ind w:firstLine="420"/>
        <w:rPr>
          <w:rFonts w:hint="eastAsia" w:ascii="仿宋" w:hAnsi="仿宋" w:eastAsia="仿宋"/>
          <w:sz w:val="21"/>
        </w:rPr>
      </w:pPr>
      <w:r>
        <w:rPr>
          <w:rFonts w:hint="eastAsia" w:ascii="仿宋" w:hAnsi="仿宋" w:eastAsia="仿宋"/>
          <w:sz w:val="21"/>
        </w:rPr>
        <w:t>招标人地址：广州市越秀区广州大道中289号南方报业传媒集团A栋</w:t>
      </w:r>
    </w:p>
    <w:p>
      <w:pPr>
        <w:pStyle w:val="32"/>
        <w:ind w:firstLine="420"/>
        <w:rPr>
          <w:rFonts w:hint="eastAsia" w:ascii="仿宋" w:hAnsi="仿宋" w:eastAsia="仿宋"/>
          <w:sz w:val="21"/>
        </w:rPr>
      </w:pPr>
      <w:r>
        <w:rPr>
          <w:rFonts w:hint="eastAsia" w:ascii="仿宋" w:hAnsi="仿宋" w:eastAsia="仿宋"/>
          <w:sz w:val="21"/>
        </w:rPr>
        <w:t>联系人：蔡老师</w:t>
      </w:r>
    </w:p>
    <w:p>
      <w:pPr>
        <w:pStyle w:val="32"/>
        <w:ind w:firstLine="420"/>
        <w:rPr>
          <w:rFonts w:hint="eastAsia" w:ascii="仿宋" w:hAnsi="仿宋" w:eastAsia="仿宋"/>
          <w:sz w:val="21"/>
        </w:rPr>
      </w:pPr>
      <w:r>
        <w:rPr>
          <w:rFonts w:hint="eastAsia" w:ascii="仿宋" w:hAnsi="仿宋" w:eastAsia="仿宋"/>
          <w:sz w:val="21"/>
        </w:rPr>
        <w:t>联系电话：</w:t>
      </w:r>
      <w:r>
        <w:rPr>
          <w:rFonts w:ascii="仿宋" w:hAnsi="仿宋" w:eastAsia="仿宋"/>
          <w:sz w:val="21"/>
        </w:rPr>
        <w:t>020-83002023</w:t>
      </w:r>
    </w:p>
    <w:p>
      <w:pPr>
        <w:pStyle w:val="32"/>
        <w:ind w:firstLine="420"/>
        <w:rPr>
          <w:rFonts w:hint="eastAsia" w:ascii="仿宋" w:hAnsi="仿宋" w:eastAsia="仿宋"/>
          <w:sz w:val="21"/>
        </w:rPr>
      </w:pPr>
    </w:p>
    <w:p>
      <w:pPr>
        <w:pStyle w:val="34"/>
        <w:spacing w:line="360" w:lineRule="auto"/>
        <w:ind w:firstLine="0" w:firstLineChars="0"/>
        <w:jc w:val="right"/>
        <w:rPr>
          <w:rFonts w:hint="eastAsia" w:ascii="仿宋" w:hAnsi="仿宋" w:eastAsia="仿宋"/>
          <w:szCs w:val="21"/>
        </w:rPr>
      </w:pPr>
      <w:r>
        <w:rPr>
          <w:rFonts w:hint="eastAsia" w:ascii="仿宋" w:hAnsi="仿宋" w:eastAsia="仿宋"/>
          <w:szCs w:val="21"/>
        </w:rPr>
        <w:t>招标人：广东南方报业传媒集团有限公司</w:t>
      </w:r>
    </w:p>
    <w:p>
      <w:pPr>
        <w:pStyle w:val="34"/>
        <w:spacing w:line="360" w:lineRule="auto"/>
        <w:ind w:firstLine="0" w:firstLineChars="0"/>
        <w:jc w:val="right"/>
        <w:rPr>
          <w:rFonts w:hint="eastAsia" w:ascii="仿宋" w:hAnsi="仿宋" w:eastAsia="仿宋"/>
          <w:szCs w:val="21"/>
        </w:rPr>
      </w:pPr>
      <w:r>
        <w:rPr>
          <w:rFonts w:hint="eastAsia" w:ascii="仿宋" w:hAnsi="仿宋" w:eastAsia="仿宋"/>
          <w:szCs w:val="21"/>
        </w:rPr>
        <w:t>招标代理机构：广东省南方文化产权交易所股份有限公司</w:t>
      </w:r>
    </w:p>
    <w:p>
      <w:pPr>
        <w:pStyle w:val="34"/>
        <w:spacing w:line="360" w:lineRule="auto"/>
        <w:ind w:firstLine="0" w:firstLineChars="0"/>
        <w:jc w:val="right"/>
        <w:rPr>
          <w:rFonts w:hint="eastAsia" w:ascii="仿宋" w:hAnsi="仿宋" w:eastAsia="仿宋"/>
          <w:color w:val="auto"/>
          <w:szCs w:val="21"/>
        </w:rPr>
      </w:pPr>
      <w:r>
        <w:rPr>
          <w:rFonts w:hint="eastAsia" w:ascii="仿宋" w:hAnsi="仿宋" w:eastAsia="仿宋"/>
          <w:color w:val="auto"/>
          <w:szCs w:val="21"/>
        </w:rPr>
        <w:t>2025年4月17日</w:t>
      </w:r>
    </w:p>
    <w:p>
      <w:pPr>
        <w:pStyle w:val="34"/>
        <w:spacing w:line="360" w:lineRule="auto"/>
        <w:ind w:right="840" w:firstLine="0" w:firstLineChars="0"/>
      </w:pPr>
      <w:r>
        <w:br w:type="page"/>
      </w:r>
    </w:p>
    <w:p>
      <w:pPr>
        <w:pStyle w:val="30"/>
        <w:spacing w:before="240" w:after="120" w:line="360" w:lineRule="auto"/>
        <w:rPr>
          <w:rFonts w:hint="eastAsia" w:ascii="仿宋" w:hAnsi="仿宋" w:eastAsia="仿宋" w:cs="宋体"/>
          <w:b/>
          <w:bCs w:val="0"/>
          <w:kern w:val="0"/>
          <w:sz w:val="32"/>
          <w:szCs w:val="32"/>
          <w:lang w:val="zh-CN"/>
        </w:rPr>
      </w:pPr>
      <w:bookmarkStart w:id="12" w:name="_Toc193699296"/>
      <w:r>
        <w:rPr>
          <w:rFonts w:hint="eastAsia" w:ascii="仿宋" w:hAnsi="仿宋" w:eastAsia="仿宋" w:cs="宋体"/>
          <w:b/>
          <w:bCs w:val="0"/>
          <w:kern w:val="0"/>
          <w:sz w:val="32"/>
          <w:szCs w:val="32"/>
          <w:lang w:val="zh-CN"/>
        </w:rPr>
        <w:t>第二章  投标人须知</w:t>
      </w:r>
      <w:bookmarkEnd w:id="12"/>
    </w:p>
    <w:p>
      <w:pPr>
        <w:pStyle w:val="4"/>
        <w:spacing w:before="156" w:beforeLines="50" w:after="156" w:afterLines="50" w:line="360" w:lineRule="auto"/>
        <w:rPr>
          <w:rFonts w:hint="eastAsia" w:ascii="仿宋" w:hAnsi="仿宋" w:eastAsia="仿宋"/>
          <w:sz w:val="24"/>
          <w:szCs w:val="24"/>
        </w:rPr>
      </w:pPr>
      <w:bookmarkStart w:id="13" w:name="_Toc193699297"/>
      <w:r>
        <w:rPr>
          <w:rFonts w:hint="eastAsia" w:ascii="仿宋" w:hAnsi="仿宋" w:eastAsia="仿宋"/>
          <w:sz w:val="24"/>
          <w:szCs w:val="24"/>
        </w:rPr>
        <w:t>投标人须知前附表</w:t>
      </w:r>
      <w:bookmarkEnd w:id="13"/>
    </w:p>
    <w:p>
      <w:pPr>
        <w:pStyle w:val="32"/>
        <w:ind w:firstLine="420"/>
        <w:rPr>
          <w:rFonts w:hint="eastAsia" w:ascii="仿宋" w:hAnsi="仿宋" w:eastAsia="仿宋"/>
          <w:sz w:val="21"/>
        </w:rPr>
      </w:pPr>
      <w:r>
        <w:rPr>
          <w:rFonts w:hint="eastAsia" w:ascii="仿宋" w:hAnsi="仿宋" w:eastAsia="仿宋"/>
          <w:sz w:val="21"/>
        </w:rPr>
        <w:t>本投标人须知前附表是对投标人须知正文的具体补充和修改。如有矛盾，</w:t>
      </w:r>
      <w:r>
        <w:rPr>
          <w:rFonts w:hint="eastAsia" w:ascii="仿宋" w:hAnsi="仿宋" w:eastAsia="仿宋"/>
          <w:b/>
          <w:bCs/>
          <w:sz w:val="21"/>
          <w:u w:val="single"/>
        </w:rPr>
        <w:t>以本前附表为准</w:t>
      </w:r>
      <w:r>
        <w:rPr>
          <w:rFonts w:hint="eastAsia" w:ascii="仿宋" w:hAnsi="仿宋" w:eastAsia="仿宋"/>
          <w:sz w:val="21"/>
        </w:rPr>
        <w:t>。</w:t>
      </w:r>
    </w:p>
    <w:tbl>
      <w:tblPr>
        <w:tblStyle w:val="24"/>
        <w:tblW w:w="86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3"/>
        <w:gridCol w:w="1699"/>
        <w:gridCol w:w="6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813"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条款号</w:t>
            </w:r>
          </w:p>
        </w:tc>
        <w:tc>
          <w:tcPr>
            <w:tcW w:w="1699"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条款名称</w:t>
            </w:r>
          </w:p>
        </w:tc>
        <w:tc>
          <w:tcPr>
            <w:tcW w:w="6097"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1.1.2</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招标人名称：广东南方报业传媒集团有限公司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1.1.3</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招标项目名称</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项目名称：2025年度网络安全建设和服务项目</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项目编号：WJS-202503140012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1.2</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资金来源</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■招标人自筹</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□银行贷款</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□国家融资</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□其他：</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1.3</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采购范围</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详见第一章“招标公告”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1.4</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标段划分</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■不划分标段</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□划分标段（标段划分情况详见第一章“招标公告”）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1.5.1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招标方式</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■公开招标</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□邀请招标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1.6</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招标组织形式</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□自行招标采购</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■委托招标代理机构代理</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招标代理机构名称：广东省南方文化产权交易所股份有限公司</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联系人：黄缵烨</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电话：18510261319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1.7</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资格审查方式</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□资格预审，本项目已完成资格预审。</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■资格后审，资格条件详见第一章“招标公告”中“2.投标人资格要求”。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1.8.1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投标人不得存在的情形</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本条款增加以下规定：</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2.1.1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招标文件的组成</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本条款替换为如下内容：</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第一章 招标公告</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第二章 投标人须知</w:t>
            </w:r>
            <w:bookmarkStart w:id="201" w:name="_GoBack"/>
            <w:bookmarkEnd w:id="201"/>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第三章 采购需求书</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第四章 商务合同</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第五章 评标办法</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第六章 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2.1.3</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招标文件实质性要求的标识及非实质性要求的偏离要求</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1、招标文件中标识“★”的条款，均为实质性条款，投标人任何不满足实质性条款的投标或负偏离均将被否决。</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2、非实质性要求的偏离要求：允许偏差的最大范围</w:t>
            </w:r>
            <w:r>
              <w:rPr>
                <w:rFonts w:hint="eastAsia" w:ascii="仿宋" w:hAnsi="仿宋" w:eastAsia="仿宋" w:cs="宋体"/>
                <w:szCs w:val="21"/>
                <w:u w:val="single"/>
              </w:rPr>
              <w:t xml:space="preserve"> / </w:t>
            </w:r>
            <w:r>
              <w:rPr>
                <w:rFonts w:hint="eastAsia" w:ascii="仿宋" w:hAnsi="仿宋" w:eastAsia="仿宋" w:cs="宋体"/>
                <w:szCs w:val="21"/>
              </w:rPr>
              <w:t>、最高项数</w:t>
            </w:r>
            <w:r>
              <w:rPr>
                <w:rFonts w:hint="eastAsia" w:ascii="仿宋" w:hAnsi="仿宋" w:eastAsia="仿宋" w:cs="宋体"/>
                <w:szCs w:val="21"/>
                <w:u w:val="single"/>
              </w:rPr>
              <w:t xml:space="preserve"> / </w:t>
            </w:r>
            <w:r>
              <w:rPr>
                <w:rFonts w:hint="eastAsia" w:ascii="仿宋" w:hAnsi="仿宋" w:eastAsia="仿宋" w:cs="宋体"/>
                <w:szCs w:val="21"/>
              </w:rPr>
              <w:t>，超出最大范围、最高项数视为重大偏离，将被否决投标。调整偏差的方法：</w:t>
            </w:r>
            <w:r>
              <w:rPr>
                <w:rFonts w:hint="eastAsia" w:ascii="仿宋" w:hAnsi="仿宋" w:eastAsia="仿宋" w:cs="宋体"/>
                <w:szCs w:val="21"/>
                <w:u w:val="single"/>
              </w:rPr>
              <w:t xml:space="preserve"> / </w:t>
            </w:r>
            <w:r>
              <w:rPr>
                <w:rFonts w:hint="eastAsia" w:ascii="仿宋" w:hAnsi="仿宋" w:eastAsia="仿宋" w:cs="宋体"/>
                <w:szCs w:val="21"/>
              </w:rPr>
              <w:t>。[如无要求标注“/”]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2.1.4</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是否以单项报价核定低于成本</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■不要求</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□要求，具体要求如下：</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2.2.1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踏勘现场</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■不组织</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□组织，踏勘现场的时间、地点：</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2.3</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投标预备会</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■不召开</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□召开，召开投标预备会时间、地点：</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2.4.1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投标人提出澄清问题的截止时间和方式</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1、截止时间：</w:t>
            </w:r>
            <w:r>
              <w:rPr>
                <w:rFonts w:hint="eastAsia" w:ascii="仿宋" w:hAnsi="仿宋" w:eastAsia="仿宋" w:cs="宋体"/>
                <w:b/>
                <w:bCs/>
                <w:color w:val="auto"/>
                <w:szCs w:val="21"/>
                <w:u w:val="single"/>
              </w:rPr>
              <w:t>2025年4月25日12时30分</w:t>
            </w:r>
            <w:r>
              <w:rPr>
                <w:rFonts w:hint="eastAsia" w:ascii="仿宋" w:hAnsi="仿宋" w:eastAsia="仿宋" w:cs="宋体"/>
                <w:szCs w:val="21"/>
              </w:rPr>
              <w:t>（北京时间）。</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提出澄清的方式：通过邮件方式提出澄清疑问（澄清问题接收邮箱：huangzuanye@163.com），并将纸质版疑问文件盖章，经扫描后与疑问文件电子版（须为可编辑的WORD文档）一起以附件形式上传，如正文内容与盖章扫描件内容不一致的，以盖章扫描件内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2.4.2</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招标人发出招标文件澄清或者修改的截止时间和方式</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截止时间：</w:t>
            </w:r>
            <w:r>
              <w:rPr>
                <w:rFonts w:ascii="仿宋" w:hAnsi="仿宋" w:eastAsia="仿宋" w:cs="宋体"/>
                <w:b/>
                <w:bCs/>
                <w:color w:val="auto"/>
                <w:szCs w:val="21"/>
                <w:u w:val="single"/>
              </w:rPr>
              <w:t>2025年</w:t>
            </w:r>
            <w:r>
              <w:rPr>
                <w:rFonts w:hint="eastAsia" w:ascii="仿宋" w:hAnsi="仿宋" w:eastAsia="仿宋" w:cs="宋体"/>
                <w:b/>
                <w:bCs/>
                <w:color w:val="auto"/>
                <w:szCs w:val="21"/>
                <w:u w:val="single"/>
              </w:rPr>
              <w:t>4月25日</w:t>
            </w:r>
            <w:r>
              <w:rPr>
                <w:rFonts w:ascii="仿宋" w:hAnsi="仿宋" w:eastAsia="仿宋" w:cs="宋体"/>
                <w:b/>
                <w:bCs/>
                <w:color w:val="auto"/>
                <w:szCs w:val="21"/>
                <w:u w:val="single"/>
              </w:rPr>
              <w:t>1</w:t>
            </w:r>
            <w:r>
              <w:rPr>
                <w:rFonts w:hint="eastAsia" w:ascii="仿宋" w:hAnsi="仿宋" w:eastAsia="仿宋" w:cs="宋体"/>
                <w:b/>
                <w:bCs/>
                <w:color w:val="auto"/>
                <w:szCs w:val="21"/>
                <w:u w:val="single"/>
              </w:rPr>
              <w:t>7</w:t>
            </w:r>
            <w:r>
              <w:rPr>
                <w:rFonts w:ascii="仿宋" w:hAnsi="仿宋" w:eastAsia="仿宋" w:cs="宋体"/>
                <w:b/>
                <w:bCs/>
                <w:color w:val="auto"/>
                <w:szCs w:val="21"/>
                <w:u w:val="single"/>
              </w:rPr>
              <w:t>时</w:t>
            </w:r>
            <w:r>
              <w:rPr>
                <w:rFonts w:hint="eastAsia" w:ascii="仿宋" w:hAnsi="仿宋" w:eastAsia="仿宋" w:cs="宋体"/>
                <w:b/>
                <w:bCs/>
                <w:color w:val="auto"/>
                <w:szCs w:val="21"/>
                <w:u w:val="single"/>
              </w:rPr>
              <w:t>3</w:t>
            </w:r>
            <w:r>
              <w:rPr>
                <w:rFonts w:ascii="仿宋" w:hAnsi="仿宋" w:eastAsia="仿宋" w:cs="宋体"/>
                <w:b/>
                <w:bCs/>
                <w:color w:val="auto"/>
                <w:szCs w:val="21"/>
                <w:u w:val="single"/>
              </w:rPr>
              <w:t>0分</w:t>
            </w:r>
            <w:r>
              <w:rPr>
                <w:rFonts w:hint="eastAsia" w:ascii="仿宋" w:hAnsi="仿宋" w:eastAsia="仿宋" w:cs="宋体"/>
                <w:szCs w:val="21"/>
              </w:rPr>
              <w:t>（北京时间）</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发出招标文件澄清或者修改的方式：</w:t>
            </w:r>
            <w:r>
              <w:rPr>
                <w:rFonts w:hint="eastAsia" w:ascii="仿宋" w:hAnsi="仿宋" w:eastAsia="仿宋" w:cs="宋体"/>
                <w:szCs w:val="21"/>
                <w:u w:val="single"/>
              </w:rPr>
              <w:t>通过邮件方式发布</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投标文件组成</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投标文件必须按照以下顺序编制：</w:t>
            </w:r>
            <w:r>
              <w:rPr>
                <w:rFonts w:hint="eastAsia" w:ascii="仿宋" w:hAnsi="仿宋" w:eastAsia="仿宋" w:cs="宋体"/>
                <w:szCs w:val="21"/>
                <w:u w:val="single"/>
              </w:rPr>
              <w:t>详见第六章“投标文件格式</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3.2.2</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投标文件投标和编写</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投标文件投标和编写的具体要求如下：</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投标人应针对招标文件中的第四章“商务合同”和第三章“采购需求书”填写偏离表。无偏离表的将导致其投标无效。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3.2.4</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投标文件的盖章或者签字</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w:t>
            </w:r>
            <w:r>
              <w:rPr>
                <w:rFonts w:hint="eastAsia" w:ascii="仿宋" w:hAnsi="仿宋" w:eastAsia="仿宋" w:cs="宋体"/>
                <w:b/>
                <w:bCs/>
                <w:szCs w:val="21"/>
                <w:u w:val="single"/>
              </w:rPr>
              <w:t>符合以下其中一种</w:t>
            </w:r>
            <w:r>
              <w:rPr>
                <w:rFonts w:hint="eastAsia" w:ascii="仿宋" w:hAnsi="仿宋" w:eastAsia="仿宋" w:cs="宋体"/>
                <w:szCs w:val="21"/>
              </w:rPr>
              <w:t>：</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（1）投标人的法定代表人（负责人）或其授权的代理人逐页签字或加盖签字章；</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（2）加盖投标人单位骑缝章；</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（3）逐页加盖投标人单位印章。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7"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3.3.3</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b/>
                <w:bCs/>
                <w:szCs w:val="21"/>
              </w:rPr>
              <w:t>★</w:t>
            </w:r>
            <w:r>
              <w:rPr>
                <w:rFonts w:hint="eastAsia" w:ascii="仿宋" w:hAnsi="仿宋" w:eastAsia="仿宋" w:cs="宋体"/>
                <w:szCs w:val="21"/>
              </w:rPr>
              <w:t>最高投标限价或者其计算方法</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□不设置最高投标限价</w:t>
            </w:r>
          </w:p>
          <w:p>
            <w:pPr>
              <w:autoSpaceDE w:val="0"/>
              <w:autoSpaceDN w:val="0"/>
              <w:spacing w:before="62" w:beforeLines="20" w:after="62" w:afterLines="20" w:line="288" w:lineRule="auto"/>
              <w:rPr>
                <w:rFonts w:hint="eastAsia" w:ascii="仿宋" w:hAnsi="仿宋" w:eastAsia="仿宋" w:cs="宋体"/>
                <w:b/>
                <w:bCs/>
                <w:szCs w:val="21"/>
                <w:u w:val="single"/>
              </w:rPr>
            </w:pPr>
            <w:r>
              <w:rPr>
                <w:rFonts w:hint="eastAsia" w:ascii="仿宋" w:hAnsi="仿宋" w:eastAsia="仿宋" w:cs="宋体"/>
                <w:b/>
                <w:bCs/>
                <w:szCs w:val="21"/>
              </w:rPr>
              <w:t>■设置最高投标限价：</w:t>
            </w:r>
            <w:bookmarkStart w:id="14" w:name="_Hlk163060424"/>
            <w:r>
              <w:rPr>
                <w:rFonts w:hint="eastAsia" w:ascii="仿宋" w:hAnsi="仿宋" w:eastAsia="仿宋" w:cs="宋体"/>
                <w:b/>
                <w:bCs/>
                <w:szCs w:val="21"/>
                <w:u w:val="single"/>
              </w:rPr>
              <w:t>本项目设置最高投标限价</w:t>
            </w:r>
            <w:r>
              <w:rPr>
                <w:rFonts w:hint="eastAsia" w:ascii="仿宋" w:hAnsi="仿宋" w:eastAsia="仿宋" w:cs="宋体"/>
                <w:b/>
                <w:bCs/>
                <w:szCs w:val="21"/>
              </w:rPr>
              <w:t>。</w:t>
            </w:r>
            <w:bookmarkEnd w:id="14"/>
            <w:r>
              <w:rPr>
                <w:rFonts w:hint="eastAsia" w:ascii="仿宋" w:hAnsi="仿宋" w:eastAsia="仿宋" w:cs="宋体"/>
                <w:b/>
                <w:bCs/>
                <w:szCs w:val="21"/>
                <w:u w:val="single"/>
              </w:rPr>
              <w:t>项目总价最高限价为</w:t>
            </w:r>
            <w:r>
              <w:rPr>
                <w:rFonts w:ascii="仿宋" w:hAnsi="仿宋" w:eastAsia="仿宋" w:cs="宋体"/>
                <w:b/>
                <w:bCs/>
                <w:szCs w:val="21"/>
                <w:u w:val="single"/>
              </w:rPr>
              <w:t>1,982,000.00</w:t>
            </w:r>
            <w:r>
              <w:rPr>
                <w:rFonts w:hint="eastAsia" w:ascii="仿宋" w:hAnsi="仿宋" w:eastAsia="仿宋" w:cs="宋体"/>
                <w:b/>
                <w:bCs/>
                <w:szCs w:val="21"/>
                <w:u w:val="single"/>
              </w:rPr>
              <w:t>元人民币（含税），其中“网络安全风险排查服务”最高限价为181,300.00元（含税）</w:t>
            </w:r>
            <w:r>
              <w:rPr>
                <w:rFonts w:hint="eastAsia" w:ascii="仿宋" w:hAnsi="仿宋" w:eastAsia="仿宋" w:cs="宋体"/>
                <w:b/>
                <w:bCs/>
                <w:szCs w:val="21"/>
              </w:rPr>
              <w:t>。如投标人所报价格高于最高投标限价的，其投标将被否决。</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注：评标过程中，评标委员会收到低于成本价投标的书面质疑材料、发现投标人的综合报价明显低于其他投标报价，认为投标报价可能低于成本的，应当书面要求该投标人作出书面说明并提供相关证明材料。投标人不能合理说明或者不能提供相关证明材料的，由评标委员会认定该投标人以低于成本报价竞标，应当否决其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3.3.5</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投标报价优惠条件</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□报优惠价</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■不接受报优惠价</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□报优惠价的其他方式：</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7"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3.3.6</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投标报价具体要求</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1、本项目按照国家和行业现行规定及第四章“合同条款”的规定进行报价。</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2、投标报价应包括所有材料、人工、服务、利润及相关税费等完成项目所需的全部费用。</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对应采购需求书的每一条款，投标人在投标文件中所作的所有承诺包含部分承诺，以及投标人在投标文件中所做的建议和列出的附加条件，除非投标人在经济分册中特别注明其价值不包含在基本报价中，招标人将认为其价值已全部包含在基本报价中。</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4、投标人应开具符合国家税率规定的增值税发票。</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5、其他报价要求详见第六章“投标文件格式”。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3.4.1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投标有效期</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投标有效期：90天。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3.5.1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投标保证金金额</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■要求提交投标保证金，投标保证金金额：</w:t>
            </w:r>
            <w:r>
              <w:rPr>
                <w:rFonts w:hint="eastAsia" w:ascii="仿宋" w:hAnsi="仿宋" w:eastAsia="仿宋" w:cs="宋体"/>
                <w:b/>
                <w:bCs/>
                <w:szCs w:val="21"/>
                <w:u w:val="single"/>
              </w:rPr>
              <w:t>人民币13000.00元</w:t>
            </w:r>
            <w:r>
              <w:rPr>
                <w:rFonts w:hint="eastAsia" w:ascii="仿宋" w:hAnsi="仿宋" w:eastAsia="仿宋" w:cs="宋体"/>
                <w:szCs w:val="21"/>
              </w:rPr>
              <w:t>。</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□无需提供投标保证金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3.5.2</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投标保证金形式</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本条款替换为如下内容：</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1、投标保证金形式：</w:t>
            </w:r>
            <w:r>
              <w:rPr>
                <w:rFonts w:hint="eastAsia" w:ascii="仿宋" w:hAnsi="仿宋" w:eastAsia="仿宋" w:cs="宋体"/>
                <w:szCs w:val="21"/>
                <w:u w:val="single"/>
              </w:rPr>
              <w:t>可为以下任意一种：在中国注册的银行出具的银行保函、银行转账、银行支票、汇票。</w:t>
            </w:r>
            <w:r>
              <w:rPr>
                <w:rFonts w:hint="eastAsia" w:ascii="仿宋" w:hAnsi="仿宋" w:eastAsia="仿宋" w:cs="宋体"/>
                <w:szCs w:val="21"/>
              </w:rPr>
              <w:t>（凭证的备注栏须注明项目编号后6位+公司名称简写）</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注：提交的投标保证金应当从投标人公司账户转出。</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2、投标保证金有效期与投标有效期一致。</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3、提交投标保证金帐户信息：</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公司名称：广东省南方文化产权交易所股份有限公司</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银行名称：民生银行广州环市支行</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银行账号：683001288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3.5.4</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投标保证金不予退还的其他规定</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有下列情形之一的，投标保证金将不予退还：</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（1）投标人在招标文件中规定的投标有效期内撤销投标的；</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（2）中标人无正当理由不与招标人订立合同，或在签订合同时向招标人提出附加条件，或者不按照招标文件要求递交履约保证金的；</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（3）投标人有围标、串通投标、弄虚作假、向招标人或者评标委员会成员行贿谋取中标等行为的。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3.6.1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备选投标方案</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■不允许</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3.7.1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投标文件份数</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本条款增加如下内容：</w:t>
            </w:r>
          </w:p>
          <w:p>
            <w:pPr>
              <w:autoSpaceDE w:val="0"/>
              <w:autoSpaceDN w:val="0"/>
              <w:spacing w:before="62" w:beforeLines="20" w:after="62" w:afterLines="20" w:line="288" w:lineRule="auto"/>
              <w:rPr>
                <w:rFonts w:hint="eastAsia" w:ascii="仿宋" w:hAnsi="仿宋" w:eastAsia="仿宋" w:cs="宋体"/>
                <w:b/>
                <w:bCs/>
                <w:szCs w:val="21"/>
              </w:rPr>
            </w:pPr>
            <w:r>
              <w:rPr>
                <w:rFonts w:hint="eastAsia" w:ascii="仿宋" w:hAnsi="仿宋" w:eastAsia="仿宋" w:cs="宋体"/>
                <w:b/>
                <w:bCs/>
                <w:szCs w:val="21"/>
              </w:rPr>
              <w:t>1、投标文件数量（含商务技术投标文件及经济投标文件）：</w:t>
            </w:r>
            <w:r>
              <w:rPr>
                <w:rFonts w:hint="eastAsia" w:ascii="仿宋" w:hAnsi="仿宋" w:eastAsia="仿宋" w:cs="宋体"/>
                <w:b/>
                <w:bCs/>
                <w:szCs w:val="21"/>
                <w:u w:val="single"/>
              </w:rPr>
              <w:t>1式3份，1份正本和2份副本，电子版</w:t>
            </w:r>
            <w:r>
              <w:rPr>
                <w:rFonts w:ascii="仿宋" w:hAnsi="仿宋" w:eastAsia="仿宋" w:cs="宋体"/>
                <w:b/>
                <w:bCs/>
                <w:szCs w:val="21"/>
                <w:u w:val="single"/>
              </w:rPr>
              <w:t>1</w:t>
            </w:r>
            <w:r>
              <w:rPr>
                <w:rFonts w:hint="eastAsia" w:ascii="仿宋" w:hAnsi="仿宋" w:eastAsia="仿宋" w:cs="宋体"/>
                <w:b/>
                <w:bCs/>
                <w:szCs w:val="21"/>
                <w:u w:val="single"/>
              </w:rPr>
              <w:t>份（</w:t>
            </w:r>
            <w:r>
              <w:rPr>
                <w:rFonts w:ascii="仿宋" w:hAnsi="仿宋" w:eastAsia="仿宋" w:cs="宋体"/>
                <w:b/>
                <w:bCs/>
                <w:szCs w:val="21"/>
                <w:u w:val="single"/>
              </w:rPr>
              <w:t>U盘）</w:t>
            </w:r>
            <w:r>
              <w:rPr>
                <w:rFonts w:hint="eastAsia" w:ascii="仿宋" w:hAnsi="仿宋" w:eastAsia="仿宋" w:cs="宋体"/>
                <w:b/>
                <w:bCs/>
                <w:szCs w:val="21"/>
              </w:rPr>
              <w:t>。</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按项目制作投标文件成册，建议双面打印，并提供1套电子版（要求同时提供必须包含投标报价一览表（报价表）、分项报价表（报价明细表）（如有）、商务技术分册、经济分册等所有文件的可编辑电子版本和盖章扫描版），投标文件电子版可同刻在一个U盘里，电子版内容需与投标文件纸质内容一致。</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3、如有分标段/标包，各分段的投标文件可同拷贝在一个U盘里，对应不同标段/标包创建不同的文件夹，且必须在投标文件封面上标注适用于哪些标段/标包。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3.7.4</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投标文件的外层包封</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1、商务技术投标文件及经济投标文件应分别装订并单独密封并在封口加盖骑缝章。</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2、商务技术标书里不能含有任何有关投标报价信息。</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3、投标人应在每份投标文件的正本、副本和电子文件封面上明确标明“正本”、“副本”或“电子文件”。包封的所有粘接缝隙必须加盖单位章或由投标人的法定代表人或其授权的代表人签字。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3.7.6</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投标文件的密封和标记要求</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本条款增加如下规定：</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密封的所有黏接缝隙必须加盖单位公章或者由投标人的法定代表人（负责人）或者其委托代理人签字。外层包封应当写明招标人名称、投标人名称和地址、项目名称、项目编号、并注明开标时间以前不得开封。</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封套上应载明的信息：</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招标人名称：广东南方报业传媒集团有限公司</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投标人名称：</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投标人地址：</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项目名称：</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项目编号：</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在</w:t>
            </w:r>
            <w:r>
              <w:rPr>
                <w:rFonts w:hint="eastAsia" w:ascii="仿宋" w:hAnsi="仿宋" w:eastAsia="仿宋" w:cs="宋体"/>
                <w:szCs w:val="21"/>
                <w:u w:val="single"/>
              </w:rPr>
              <w:t xml:space="preserve">    </w:t>
            </w:r>
            <w:r>
              <w:rPr>
                <w:rFonts w:hint="eastAsia" w:ascii="仿宋" w:hAnsi="仿宋" w:eastAsia="仿宋" w:cs="宋体"/>
                <w:szCs w:val="21"/>
              </w:rPr>
              <w:t>年</w:t>
            </w:r>
            <w:r>
              <w:rPr>
                <w:rFonts w:hint="eastAsia" w:ascii="仿宋" w:hAnsi="仿宋" w:eastAsia="仿宋" w:cs="宋体"/>
                <w:szCs w:val="21"/>
                <w:u w:val="single"/>
              </w:rPr>
              <w:t xml:space="preserve">    </w:t>
            </w:r>
            <w:r>
              <w:rPr>
                <w:rFonts w:hint="eastAsia" w:ascii="仿宋" w:hAnsi="仿宋" w:eastAsia="仿宋" w:cs="宋体"/>
                <w:szCs w:val="21"/>
              </w:rPr>
              <w:t>月</w:t>
            </w:r>
            <w:r>
              <w:rPr>
                <w:rFonts w:hint="eastAsia" w:ascii="仿宋" w:hAnsi="仿宋" w:eastAsia="仿宋" w:cs="宋体"/>
                <w:szCs w:val="21"/>
                <w:u w:val="single"/>
              </w:rPr>
              <w:t xml:space="preserve">    </w:t>
            </w:r>
            <w:r>
              <w:rPr>
                <w:rFonts w:hint="eastAsia" w:ascii="仿宋" w:hAnsi="仿宋" w:eastAsia="仿宋" w:cs="宋体"/>
                <w:szCs w:val="21"/>
              </w:rPr>
              <w:t>日</w:t>
            </w:r>
            <w:r>
              <w:rPr>
                <w:rFonts w:hint="eastAsia" w:ascii="仿宋" w:hAnsi="仿宋" w:eastAsia="仿宋" w:cs="宋体"/>
                <w:szCs w:val="21"/>
                <w:u w:val="single"/>
              </w:rPr>
              <w:t xml:space="preserve">    </w:t>
            </w:r>
            <w:r>
              <w:rPr>
                <w:rFonts w:hint="eastAsia" w:ascii="仿宋" w:hAnsi="仿宋" w:eastAsia="仿宋" w:cs="宋体"/>
                <w:szCs w:val="21"/>
              </w:rPr>
              <w:t>时前不得开启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4.1.1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投标文件递交截止时间</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详见第一章“招标公告”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4.1.2</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投标文件递交地点</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详见第一章“招标公告”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4.1.4</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投标文件退还</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■不退还</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□退还，投标文件退还的具体要求：</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5.1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唱价时间和地点</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同投标文件递交截止时间和地点</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注：若至本项目投标文件递交截止时间，成功递交投标文件的投标人家数＜3家，则本项目招标失败。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6.1.1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评标委员会组成人数</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5人或以上单数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6.3</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评审方法</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□经评审的最低价法</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■综合评估法</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□其他：</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 xml:space="preserve">6.4 </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中标候选人推荐原则</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bookmarkStart w:id="15" w:name="_Toc346159396"/>
            <w:r>
              <w:rPr>
                <w:rFonts w:hint="eastAsia" w:ascii="仿宋" w:hAnsi="仿宋" w:eastAsia="仿宋" w:cs="宋体"/>
                <w:szCs w:val="21"/>
              </w:rPr>
              <w:t>本条款增加如下内容：</w:t>
            </w:r>
            <w:bookmarkEnd w:id="15"/>
          </w:p>
          <w:p>
            <w:pPr>
              <w:autoSpaceDE w:val="0"/>
              <w:autoSpaceDN w:val="0"/>
              <w:spacing w:before="62" w:beforeLines="20" w:after="62" w:afterLines="20" w:line="288" w:lineRule="auto"/>
              <w:rPr>
                <w:rFonts w:hint="eastAsia" w:ascii="仿宋" w:hAnsi="仿宋" w:eastAsia="仿宋" w:cs="宋体"/>
                <w:b/>
                <w:bCs/>
                <w:szCs w:val="21"/>
              </w:rPr>
            </w:pPr>
            <w:r>
              <w:rPr>
                <w:rFonts w:hint="eastAsia" w:ascii="仿宋" w:hAnsi="仿宋" w:eastAsia="仿宋" w:cs="宋体"/>
                <w:b/>
                <w:bCs/>
                <w:szCs w:val="21"/>
              </w:rPr>
              <w:t>1、本项目推荐</w:t>
            </w:r>
            <w:r>
              <w:rPr>
                <w:rFonts w:hint="eastAsia" w:ascii="仿宋" w:hAnsi="仿宋" w:eastAsia="仿宋" w:cs="宋体"/>
                <w:b/>
                <w:bCs/>
                <w:szCs w:val="21"/>
                <w:u w:val="single"/>
              </w:rPr>
              <w:t>两名中标候选人</w:t>
            </w:r>
            <w:r>
              <w:rPr>
                <w:rFonts w:hint="eastAsia" w:ascii="仿宋" w:hAnsi="仿宋" w:eastAsia="仿宋" w:cs="宋体"/>
                <w:b/>
                <w:bCs/>
                <w:szCs w:val="21"/>
              </w:rPr>
              <w:t>，根据综合得分由高到低进行排名，推荐第一名为第一中标候选人，第二名为第二中标候选人。</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2、评标委员会依据综合打分结果进行排序，综合得分相同的，</w:t>
            </w:r>
            <w:r>
              <w:rPr>
                <w:rFonts w:hint="eastAsia" w:ascii="仿宋" w:hAnsi="仿宋" w:eastAsia="仿宋"/>
              </w:rPr>
              <w:t>以投标报价低的优先</w:t>
            </w:r>
            <w:r>
              <w:rPr>
                <w:rFonts w:hint="eastAsia" w:ascii="仿宋" w:hAnsi="仿宋" w:eastAsia="仿宋" w:cs="宋体"/>
                <w:szCs w:val="21"/>
              </w:rPr>
              <w:t>；投标价格相同的，以技术得分高者排名优先；若技术、商务得分也相同的，由评标委员会投票决定推选中标候选人。</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若排名第一的中标候选人放弃中标、因不可抗力不能履行合同、不按照招标文件要求提交履约保证金，或者被查实存在影响中标结果的违法行为等情形，不符合中标条件的，招标人可以按照评标委员会推荐的中标候选人名单排序依次确定其他中标候选人为中标人，也可以重新招标。</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注：若本项目经评标委员会初步评审，合格投标人家数≤3家时，则按以下原则进行评审：①合格投标人为3家时，评标委员会推荐综合得分前2名为中标候选人；②合格投标人为2家，评标委员会对2家是否具备竞争进行充分论证，若具备竞争且继续评标，推荐综合得分第一名为中标候选人；③合格投标人＜2家时，则招标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7.1.1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中标人数量</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中标人数量：</w:t>
            </w:r>
            <w:r>
              <w:rPr>
                <w:rFonts w:hint="eastAsia" w:ascii="仿宋" w:hAnsi="仿宋" w:eastAsia="仿宋" w:cs="宋体"/>
                <w:szCs w:val="21"/>
                <w:u w:val="single"/>
              </w:rPr>
              <w:t>选取1家中标人</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7.1.2</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中标原则</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中标原则如下：招标人按照评标委员会推荐的中选候选人名单确定排名第一名为中标人。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7.2.2</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异议受理</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投标人如对本次招标持有异议的，可以在相应期限内向招标人或招标代理人提出实名书面异议，对异议回复不满意的，可提出实名书面投诉，异议为投诉的前置程序。</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招标人或招标代理人联系方式详见第一章“招标公告”中“7.联系方式”。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8.1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履约保证金要求</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szCs w:val="21"/>
              </w:rPr>
              <w:t>本项目不收取履约保证金。</w:t>
            </w:r>
            <w:r>
              <w:rPr>
                <w:rFonts w:hint="eastAsia" w:ascii="仿宋" w:hAnsi="仿宋" w:eastAsia="仿宋" w:cs="宋体"/>
                <w:szCs w:val="21"/>
              </w:rPr>
              <w:t>详见第四章“商务合同”。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8.2.1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合同签订</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本项目合同签订主体（甲方）为：</w:t>
            </w:r>
            <w:r>
              <w:rPr>
                <w:rFonts w:hint="eastAsia" w:ascii="仿宋" w:hAnsi="仿宋" w:eastAsia="仿宋" w:cs="宋体"/>
                <w:szCs w:val="21"/>
                <w:u w:val="single"/>
              </w:rPr>
              <w:t>广东南方报业传媒集团有限公司</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9（1）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招标代理服务费金额、交纳方式和时限</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1、缴纳主体：招标代理服务费约定由</w:t>
            </w:r>
            <w:r>
              <w:rPr>
                <w:rFonts w:hint="eastAsia" w:ascii="仿宋" w:hAnsi="仿宋" w:eastAsia="仿宋" w:cs="宋体"/>
                <w:szCs w:val="21"/>
                <w:u w:val="single"/>
              </w:rPr>
              <w:t>中标人支付</w:t>
            </w:r>
            <w:r>
              <w:rPr>
                <w:rFonts w:hint="eastAsia" w:ascii="仿宋" w:hAnsi="仿宋" w:eastAsia="仿宋" w:cs="宋体"/>
                <w:szCs w:val="21"/>
              </w:rPr>
              <w:t>，中标人须在领取成交通知书时向招标代理机构缴纳招标代理服务费。</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w:t>
            </w:r>
            <w:r>
              <w:rPr>
                <w:rFonts w:hint="eastAsia" w:ascii="仿宋" w:hAnsi="仿宋" w:eastAsia="仿宋"/>
                <w:szCs w:val="21"/>
              </w:rPr>
              <w:t>收费依据：代理服务费</w:t>
            </w:r>
            <w:r>
              <w:rPr>
                <w:rFonts w:hint="eastAsia" w:ascii="仿宋" w:hAnsi="仿宋" w:eastAsia="仿宋" w:cs="宋体"/>
                <w:szCs w:val="21"/>
              </w:rPr>
              <w:t>收取参考原国家发展计划委员会《招标代理服务收费管理暂行办法》(计价格[2002]1980号文）、国家发展改革委员会办公厅发布的关于《招标代理服务收费有关问题的通知》(发改办[2003]857号文）和国家发展改革委《关于降低部分建设项目收费标准规范收费行为等有关问题的通知》(发改价格[2011]534号）的规定。</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3、缴纳要求：代理服务费金额以中标金额为基准进行计算，采用差额定率累进计费，并在上述国家收费标准基础上</w:t>
            </w:r>
            <w:r>
              <w:rPr>
                <w:rFonts w:hint="eastAsia" w:ascii="仿宋" w:hAnsi="仿宋" w:eastAsia="仿宋" w:cs="宋体"/>
                <w:b/>
                <w:bCs/>
                <w:szCs w:val="21"/>
                <w:u w:val="single"/>
              </w:rPr>
              <w:t>下浮45%</w:t>
            </w:r>
            <w:r>
              <w:rPr>
                <w:rFonts w:hint="eastAsia" w:ascii="仿宋" w:hAnsi="仿宋" w:eastAsia="仿宋" w:cs="宋体"/>
                <w:szCs w:val="21"/>
              </w:rPr>
              <w:t>。</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公司名称：广东省南方文化产权交易所股份有限公司</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银行名称：民生银行广州环市支行</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银行账号：683001288</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注：其他要求详见第六章“投标文件格式”-“招标代理服务费承诺书”。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11.1</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中标人放弃中标或者不能履行合同的处理</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二种方式可选：</w:t>
            </w:r>
          </w:p>
          <w:p>
            <w:pPr>
              <w:pStyle w:val="34"/>
              <w:autoSpaceDE w:val="0"/>
              <w:autoSpaceDN w:val="0"/>
              <w:spacing w:before="62" w:beforeLines="20" w:after="62" w:afterLines="20" w:line="288" w:lineRule="auto"/>
              <w:ind w:firstLine="0" w:firstLineChars="0"/>
              <w:rPr>
                <w:rFonts w:hint="eastAsia" w:ascii="仿宋" w:hAnsi="仿宋" w:eastAsia="仿宋" w:cs="宋体"/>
                <w:szCs w:val="21"/>
              </w:rPr>
            </w:pPr>
            <w:r>
              <w:rPr>
                <w:rFonts w:ascii="仿宋" w:hAnsi="仿宋" w:eastAsia="仿宋" w:cs="宋体"/>
                <w:szCs w:val="21"/>
              </w:rPr>
              <w:t>1、</w:t>
            </w:r>
            <w:r>
              <w:rPr>
                <w:rFonts w:hint="eastAsia" w:ascii="仿宋" w:hAnsi="仿宋" w:eastAsia="仿宋" w:cs="宋体"/>
                <w:szCs w:val="21"/>
              </w:rPr>
              <w:t>按照评标委员会提出的中标候选人名单排序依次确定其他中标候选人为中标人；</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2、重新招标或采取其他采购方式。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6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11.2</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投标货币</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文件和投标文件中未明确币种的，均以人民币进行核算；投标文件中如出现其他币种，按照投标文件递交截止之日中国人民银行公布的银行间外汇市场人民币汇率中间价折算为等值人民币（属于企业注册资本金范畴的，按发生（营业执照标注的成立日期）当日中国人民银行公布的汇率的中间价计算为等值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11.3</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网络与信息安全</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投标人提供的产品或服务必须符合国家对网络与信息安全的相关要求。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11.4</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发票要求</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投标人须提供符合国家税率规定的增值税专用发票。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11.5</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电子招标投标</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11.6</w:t>
            </w:r>
          </w:p>
        </w:tc>
        <w:tc>
          <w:tcPr>
            <w:tcW w:w="1699"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b/>
                <w:bCs/>
                <w:szCs w:val="21"/>
              </w:rPr>
              <w:t>★</w:t>
            </w:r>
            <w:r>
              <w:rPr>
                <w:rFonts w:hint="eastAsia" w:ascii="仿宋" w:hAnsi="仿宋" w:eastAsia="仿宋" w:cs="宋体"/>
                <w:szCs w:val="21"/>
              </w:rPr>
              <w:t>商务部分基准线</w:t>
            </w:r>
          </w:p>
        </w:tc>
        <w:tc>
          <w:tcPr>
            <w:tcW w:w="6097" w:type="dxa"/>
            <w:shd w:val="clear" w:color="auto" w:fill="auto"/>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本项目商务部分设置评分基准线。</w:t>
            </w:r>
          </w:p>
          <w:p>
            <w:pPr>
              <w:autoSpaceDE w:val="0"/>
              <w:autoSpaceDN w:val="0"/>
              <w:spacing w:before="62" w:beforeLines="20" w:after="62" w:afterLines="20" w:line="288" w:lineRule="auto"/>
              <w:rPr>
                <w:rFonts w:hint="eastAsia" w:ascii="仿宋" w:hAnsi="仿宋" w:eastAsia="仿宋" w:cs="宋体"/>
                <w:b/>
                <w:bCs/>
                <w:szCs w:val="21"/>
              </w:rPr>
            </w:pPr>
            <w:r>
              <w:rPr>
                <w:rFonts w:hint="eastAsia" w:ascii="仿宋" w:hAnsi="仿宋" w:eastAsia="仿宋" w:cs="宋体"/>
                <w:b/>
                <w:bCs/>
                <w:szCs w:val="21"/>
              </w:rPr>
              <w:t>若投标人的商务评分低于基准线，其投标应答将被视为存在重大商务技术偏差，则投标应答无效，不进入技术部分评审。</w:t>
            </w:r>
          </w:p>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商务评分基准线＝本项目商务部分分值×60%（即20×60%=12分）</w:t>
            </w:r>
          </w:p>
        </w:tc>
      </w:tr>
    </w:tbl>
    <w:p/>
    <w:p>
      <w:pPr>
        <w:pStyle w:val="21"/>
        <w:snapToGrid w:val="0"/>
        <w:spacing w:before="120" w:after="120" w:line="440" w:lineRule="exact"/>
        <w:jc w:val="left"/>
        <w:rPr>
          <w:rFonts w:hint="eastAsia" w:ascii="仿宋" w:hAnsi="仿宋" w:eastAsia="仿宋"/>
          <w:sz w:val="28"/>
          <w:szCs w:val="28"/>
        </w:rPr>
      </w:pPr>
      <w:bookmarkStart w:id="16" w:name="_Toc193699298"/>
      <w:r>
        <w:rPr>
          <w:rFonts w:hint="eastAsia" w:ascii="仿宋" w:hAnsi="仿宋" w:eastAsia="仿宋"/>
          <w:sz w:val="28"/>
          <w:szCs w:val="28"/>
        </w:rPr>
        <w:t>1.</w:t>
      </w:r>
      <w:r>
        <w:rPr>
          <w:rFonts w:hint="eastAsia" w:ascii="仿宋" w:hAnsi="仿宋" w:eastAsia="仿宋"/>
          <w:sz w:val="28"/>
          <w:szCs w:val="28"/>
        </w:rPr>
        <w:tab/>
      </w:r>
      <w:r>
        <w:rPr>
          <w:rFonts w:hint="eastAsia" w:ascii="仿宋" w:hAnsi="仿宋" w:eastAsia="仿宋"/>
          <w:sz w:val="28"/>
          <w:szCs w:val="28"/>
        </w:rPr>
        <w:t>总则</w:t>
      </w:r>
      <w:bookmarkEnd w:id="16"/>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7" w:name="_Toc193699299"/>
      <w:bookmarkStart w:id="18" w:name="_Toc191289639"/>
      <w:r>
        <w:rPr>
          <w:rFonts w:hint="eastAsia" w:ascii="仿宋" w:hAnsi="仿宋" w:eastAsia="仿宋"/>
          <w:sz w:val="24"/>
          <w:szCs w:val="24"/>
        </w:rPr>
        <w:t>1.1项目概况</w:t>
      </w:r>
      <w:bookmarkEnd w:id="17"/>
      <w:bookmarkEnd w:id="18"/>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1.1.1本招标项目已具备招标条件，现对本项目进行招标。</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1.1.2招标人：招标人单位名称及联系方式见投标人须知前附表。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1.1.3项目名称：项目名称及项目编号见投标人须知前附表。</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9" w:name="_Toc191289640"/>
      <w:bookmarkStart w:id="20" w:name="_Toc193699300"/>
      <w:r>
        <w:rPr>
          <w:rFonts w:hint="eastAsia" w:ascii="仿宋" w:hAnsi="仿宋" w:eastAsia="仿宋"/>
          <w:sz w:val="24"/>
          <w:szCs w:val="24"/>
        </w:rPr>
        <w:t>1.2资金来源和落实情况</w:t>
      </w:r>
      <w:bookmarkEnd w:id="19"/>
      <w:bookmarkEnd w:id="20"/>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本项目资金已落实，资金来源见投标人须知前附表。</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21" w:name="_Toc193699301"/>
      <w:bookmarkStart w:id="22" w:name="_Toc191289641"/>
      <w:r>
        <w:rPr>
          <w:rFonts w:hint="eastAsia" w:ascii="仿宋" w:hAnsi="仿宋" w:eastAsia="仿宋"/>
          <w:sz w:val="24"/>
          <w:szCs w:val="24"/>
        </w:rPr>
        <w:t>1.3采购范围</w:t>
      </w:r>
      <w:bookmarkEnd w:id="21"/>
      <w:bookmarkEnd w:id="22"/>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本项目采购范围：见投标人须知前附表。</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23" w:name="_Toc193699302"/>
      <w:bookmarkStart w:id="24" w:name="_Toc191289642"/>
      <w:r>
        <w:rPr>
          <w:rFonts w:hint="eastAsia" w:ascii="仿宋" w:hAnsi="仿宋" w:eastAsia="仿宋"/>
          <w:sz w:val="24"/>
          <w:szCs w:val="24"/>
        </w:rPr>
        <w:t>1.4标段划分</w:t>
      </w:r>
      <w:bookmarkEnd w:id="23"/>
      <w:bookmarkEnd w:id="24"/>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本项目标段划分情况见投标人须知前附表。</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25" w:name="_Toc193699303"/>
      <w:bookmarkStart w:id="26" w:name="_Toc191289643"/>
      <w:r>
        <w:rPr>
          <w:rFonts w:hint="eastAsia" w:ascii="仿宋" w:hAnsi="仿宋" w:eastAsia="仿宋"/>
          <w:sz w:val="24"/>
          <w:szCs w:val="24"/>
        </w:rPr>
        <w:t>1.5招标方式</w:t>
      </w:r>
      <w:bookmarkEnd w:id="25"/>
      <w:bookmarkEnd w:id="26"/>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1.5.1招标方式见投标人须知前附表。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1.5.2公开招标，是指招标人以招标公告的方式邀请不特定的法人或者其他组织投标。</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1.5.3邀请招标，是指招标人以投标邀请书的方式邀请特定的法人或者其他组织投标。</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27" w:name="_Toc191289644"/>
      <w:bookmarkStart w:id="28" w:name="_Toc193699304"/>
      <w:r>
        <w:rPr>
          <w:rFonts w:hint="eastAsia" w:ascii="仿宋" w:hAnsi="仿宋" w:eastAsia="仿宋"/>
          <w:sz w:val="24"/>
          <w:szCs w:val="24"/>
        </w:rPr>
        <w:t>1.6招标组织形式</w:t>
      </w:r>
      <w:bookmarkEnd w:id="27"/>
      <w:bookmarkEnd w:id="28"/>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本项目由招标人自行组织/委托招标代理机构采用代理招标的方式进行，招标组织形式、招标代理机构名称及联系方式见投标人须知前附表。</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29" w:name="_Toc193699305"/>
      <w:bookmarkStart w:id="30" w:name="_Toc191289645"/>
      <w:r>
        <w:rPr>
          <w:rFonts w:hint="eastAsia" w:ascii="仿宋" w:hAnsi="仿宋" w:eastAsia="仿宋"/>
          <w:sz w:val="24"/>
          <w:szCs w:val="24"/>
        </w:rPr>
        <w:t>1.7资格审查</w:t>
      </w:r>
      <w:bookmarkEnd w:id="29"/>
      <w:bookmarkEnd w:id="30"/>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1.7.1本招标项目资格审查方式见投标人须知前附表。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1.7.2资格预审是指在投标前对投标人进行的资格审查。采用资格预审方式的，资格条件已经在招标文件发出前的“资格预审文件”中做出规定。</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资格后审是指在唱价后由评标委员会根据招标文件的规定对投标人进行的资格审查。采用资格后审方式的，投标人应当具备的资格条件见投标人须知前附表。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采用资格后审的，招标人必须在招标文件中详细规定资格审查标准和方法。</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资格后审一般包括下列内容：</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（1）资格要求；</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（2）其他业绩要求；</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（3）审查标准和方法。</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资格后审不合格的投标人，评标委员会应当否决其投标。</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31" w:name="_Toc191289646"/>
      <w:bookmarkStart w:id="32" w:name="_Toc193699306"/>
      <w:r>
        <w:rPr>
          <w:rFonts w:hint="eastAsia" w:ascii="仿宋" w:hAnsi="仿宋" w:eastAsia="仿宋"/>
          <w:sz w:val="24"/>
          <w:szCs w:val="24"/>
        </w:rPr>
        <w:t>1.8投标人不得存在的情形</w:t>
      </w:r>
      <w:bookmarkEnd w:id="31"/>
      <w:bookmarkEnd w:id="32"/>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1.8.1投标人不得存在下列情形之一</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（1）为招标人不具有独立法人资格的附属机构（单位）；</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（2）被责令停业的；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（3）被暂停或者取消投标资格的；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（4）财产被接管或者冻结的；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（5）在最近三年内有骗取中标、严重违约、重大工程质量或者安全问题的；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（6）法律法规限定的其他情形；</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（7）招标文件规定的其他情形：见投标人须知前附表。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1.8.2单位负责人为同一人或者存在控股、管理关系的不同单位，不得同时投标本项目中同一标段或者投标未划分标段的同一项目。</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33" w:name="_Toc191289647"/>
      <w:bookmarkStart w:id="34" w:name="_Toc193699307"/>
      <w:r>
        <w:rPr>
          <w:rFonts w:hint="eastAsia" w:ascii="仿宋" w:hAnsi="仿宋" w:eastAsia="仿宋"/>
          <w:sz w:val="24"/>
          <w:szCs w:val="24"/>
        </w:rPr>
        <w:t>1.9合格的货物和服务</w:t>
      </w:r>
      <w:bookmarkEnd w:id="33"/>
      <w:bookmarkEnd w:id="34"/>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1.9.1投标人提供的所有货物及其有关服务的原产地，均应当来自中国或者是与中国有正常贸易往来的国家或者地区。招标人的支付也仅限于这些货物和服务。</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1.9.3投标人提供的所有货物及其有关服务应当符合国家规定的资格条件。</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35" w:name="_Toc191289648"/>
      <w:bookmarkStart w:id="36" w:name="_Toc193699308"/>
      <w:r>
        <w:rPr>
          <w:rFonts w:hint="eastAsia" w:ascii="仿宋" w:hAnsi="仿宋" w:eastAsia="仿宋"/>
          <w:sz w:val="24"/>
          <w:szCs w:val="24"/>
        </w:rPr>
        <w:t>1.10投标费用</w:t>
      </w:r>
      <w:bookmarkEnd w:id="35"/>
      <w:bookmarkEnd w:id="36"/>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不论结果如何，投标人自行承担所有准备和参与招标有关的费用。</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37" w:name="_Toc193699309"/>
      <w:bookmarkStart w:id="38" w:name="_Toc191289649"/>
      <w:r>
        <w:rPr>
          <w:rFonts w:hint="eastAsia" w:ascii="仿宋" w:hAnsi="仿宋" w:eastAsia="仿宋"/>
          <w:sz w:val="24"/>
          <w:szCs w:val="24"/>
        </w:rPr>
        <w:t>1.11保密</w:t>
      </w:r>
      <w:bookmarkEnd w:id="37"/>
      <w:bookmarkEnd w:id="38"/>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参与招标活动的各方应当对招标文件和投标文件中的商业和技术等秘密保密，违者应当对由此造成的后果承担法律责任。</w:t>
      </w:r>
    </w:p>
    <w:p>
      <w:pPr>
        <w:pStyle w:val="21"/>
        <w:tabs>
          <w:tab w:val="left" w:pos="602"/>
        </w:tabs>
        <w:snapToGrid w:val="0"/>
        <w:spacing w:before="120" w:after="120" w:line="440" w:lineRule="exact"/>
        <w:jc w:val="left"/>
        <w:rPr>
          <w:rFonts w:hint="eastAsia" w:ascii="仿宋" w:hAnsi="仿宋" w:eastAsia="仿宋"/>
          <w:sz w:val="28"/>
          <w:szCs w:val="28"/>
        </w:rPr>
      </w:pPr>
      <w:bookmarkStart w:id="39" w:name="_Toc193699310"/>
      <w:r>
        <w:rPr>
          <w:rFonts w:hint="eastAsia" w:ascii="仿宋" w:hAnsi="仿宋" w:eastAsia="仿宋"/>
          <w:sz w:val="28"/>
          <w:szCs w:val="28"/>
        </w:rPr>
        <w:t>2.</w:t>
      </w:r>
      <w:r>
        <w:rPr>
          <w:rFonts w:hint="eastAsia" w:ascii="仿宋" w:hAnsi="仿宋" w:eastAsia="仿宋"/>
          <w:sz w:val="28"/>
          <w:szCs w:val="28"/>
        </w:rPr>
        <w:tab/>
      </w:r>
      <w:r>
        <w:rPr>
          <w:rFonts w:hint="eastAsia" w:ascii="仿宋" w:hAnsi="仿宋" w:eastAsia="仿宋"/>
          <w:sz w:val="28"/>
          <w:szCs w:val="28"/>
        </w:rPr>
        <w:t>招标文件</w:t>
      </w:r>
      <w:bookmarkEnd w:id="39"/>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40" w:name="_Toc193699311"/>
      <w:bookmarkStart w:id="41" w:name="_Toc191289651"/>
      <w:r>
        <w:rPr>
          <w:rFonts w:hint="eastAsia" w:ascii="仿宋" w:hAnsi="仿宋" w:eastAsia="仿宋"/>
          <w:sz w:val="24"/>
          <w:szCs w:val="24"/>
        </w:rPr>
        <w:t>2.1招标文件的组成</w:t>
      </w:r>
      <w:bookmarkEnd w:id="40"/>
      <w:bookmarkEnd w:id="41"/>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2.1.1招标文件一般由以下部分组成：</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第一章 招标公告/投标邀请书</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第二章 投标人须知</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第三章 采购需求书</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第四章 合同条款</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第五章 评标办法</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第六章 投标文件格式</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第七章 其他</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招标人另有规定的，见投标人须知前附表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2.1.2招标文件对同一内容的表述应当一致。第一章“招标公告”或者“投标邀请书”与招标文件在同一内容的表述上有矛盾或者冲突时，以第一章“招标公告”或者“投标邀请书”为准；投标人须知前附表与投标人须知正文在同一内容的表述上有矛盾或者冲突时，以投标人须知前附表为准。</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2.1.4招标人可要求以某一单项报价核定是否低于成本，具体要求见投标人须知前附表。</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42" w:name="_Toc193699312"/>
      <w:bookmarkStart w:id="43" w:name="_Toc191289652"/>
      <w:r>
        <w:rPr>
          <w:rFonts w:hint="eastAsia" w:ascii="仿宋" w:hAnsi="仿宋" w:eastAsia="仿宋"/>
          <w:sz w:val="24"/>
          <w:szCs w:val="24"/>
        </w:rPr>
        <w:t>2.2踏勘现场</w:t>
      </w:r>
      <w:bookmarkEnd w:id="42"/>
      <w:bookmarkEnd w:id="43"/>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 xml:space="preserve">2.2.1投标人须知前附表规定组织踏勘现场的，招标人按照投标人须知前附表规定的时间、地点组织投标人踏勘项目现场。 </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2.2.2潜在投标人踏勘现场发生的费用自理。</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2.2.3除招标人的原因外，潜在投标人自行负责在踏勘现场中所发生的人员伤亡和财产损失。</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2.2.4招标人在踏勘现场中介绍的项目现场和相关的周边环境情况，供潜在投标人在编制投标文件时参考，招标人不对投标人据此作出的判断和决策负责。</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44" w:name="_Toc193699313"/>
      <w:bookmarkStart w:id="45" w:name="_Toc191289653"/>
      <w:r>
        <w:rPr>
          <w:rFonts w:hint="eastAsia" w:ascii="仿宋" w:hAnsi="仿宋" w:eastAsia="仿宋"/>
          <w:sz w:val="24"/>
          <w:szCs w:val="24"/>
        </w:rPr>
        <w:t>2.3投标预备会</w:t>
      </w:r>
      <w:bookmarkEnd w:id="44"/>
      <w:bookmarkEnd w:id="45"/>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投标人须知前附表规定召开投标预备会的，招标人按照投标人须知前附表规定的时间和地点召开投标预备会，澄清潜在投标人提出的问题。</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46" w:name="_Toc193699314"/>
      <w:bookmarkStart w:id="47" w:name="_Toc191289654"/>
      <w:r>
        <w:rPr>
          <w:rFonts w:hint="eastAsia" w:ascii="仿宋" w:hAnsi="仿宋" w:eastAsia="仿宋"/>
          <w:sz w:val="24"/>
          <w:szCs w:val="24"/>
        </w:rPr>
        <w:t>2.4招标文件的澄清和修改</w:t>
      </w:r>
      <w:bookmarkEnd w:id="46"/>
      <w:bookmarkEnd w:id="47"/>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2.4.1投标人对招标文件有疑问的，应当按照投标人须知前附表规定的时间和方式，要求招标人对招标文件进行澄清。</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2.4.2招标人应当按照投标人须知前附表规定的时间和方式，将澄清或者修改内容发给所有购买招标文件的投标人，但不指明问题的来源。</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2.4.4投标人收到澄清或者修改后，应当按照投标人须知前附表规定的时间和方式通知招标人，确认已收到该澄清或者修改。</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2.4.5所有关于招标文件的澄清和修改均作为招标文件的补充部分。当招标文件、招标文件的澄清或者修改等在同一内容的表述上不一致时，以最后发出的书面文件为准。</w:t>
      </w:r>
    </w:p>
    <w:p>
      <w:pPr>
        <w:pStyle w:val="21"/>
        <w:tabs>
          <w:tab w:val="left" w:pos="602"/>
        </w:tabs>
        <w:snapToGrid w:val="0"/>
        <w:spacing w:before="120" w:after="120" w:line="440" w:lineRule="exact"/>
        <w:jc w:val="left"/>
        <w:rPr>
          <w:rFonts w:hint="eastAsia" w:ascii="仿宋" w:hAnsi="仿宋" w:eastAsia="仿宋"/>
          <w:sz w:val="28"/>
          <w:szCs w:val="28"/>
        </w:rPr>
      </w:pPr>
      <w:bookmarkStart w:id="48" w:name="_Toc193699315"/>
      <w:r>
        <w:rPr>
          <w:rFonts w:hint="eastAsia" w:ascii="仿宋" w:hAnsi="仿宋" w:eastAsia="仿宋"/>
          <w:sz w:val="28"/>
          <w:szCs w:val="28"/>
        </w:rPr>
        <w:t>3.</w:t>
      </w:r>
      <w:r>
        <w:rPr>
          <w:rFonts w:hint="eastAsia" w:ascii="仿宋" w:hAnsi="仿宋" w:eastAsia="仿宋"/>
          <w:sz w:val="28"/>
          <w:szCs w:val="28"/>
        </w:rPr>
        <w:tab/>
      </w:r>
      <w:r>
        <w:rPr>
          <w:rFonts w:hint="eastAsia" w:ascii="仿宋" w:hAnsi="仿宋" w:eastAsia="仿宋"/>
          <w:sz w:val="28"/>
          <w:szCs w:val="28"/>
        </w:rPr>
        <w:t>投标文件</w:t>
      </w:r>
      <w:bookmarkEnd w:id="48"/>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49" w:name="_Toc193699316"/>
      <w:bookmarkStart w:id="50" w:name="_Toc191289656"/>
      <w:r>
        <w:rPr>
          <w:rFonts w:hint="eastAsia" w:ascii="仿宋" w:hAnsi="仿宋" w:eastAsia="仿宋"/>
          <w:sz w:val="24"/>
          <w:szCs w:val="24"/>
        </w:rPr>
        <w:t>3.1投标文件的组成</w:t>
      </w:r>
      <w:bookmarkEnd w:id="49"/>
      <w:bookmarkEnd w:id="50"/>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投标人应当按照投标人须知前附表的要求制作并递交投标文件。投标文件组成见投标人须知前附表。</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51" w:name="_Toc191289657"/>
      <w:bookmarkStart w:id="52" w:name="_Toc193699317"/>
      <w:r>
        <w:rPr>
          <w:rFonts w:hint="eastAsia" w:ascii="仿宋" w:hAnsi="仿宋" w:eastAsia="仿宋"/>
          <w:sz w:val="24"/>
          <w:szCs w:val="24"/>
        </w:rPr>
        <w:t>3.2投标文件的编制</w:t>
      </w:r>
      <w:bookmarkEnd w:id="51"/>
      <w:bookmarkEnd w:id="52"/>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3.2.1投标人应当按照招标文件的要求编制投标文件，投标文件应当对招标文件提出的实质性要求和条件作出响应。</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3.2.2投标人应当认真阅读招标文件中所有的事项、格式、条款和技术规范等。投标人没有按照招标文件要求递交全部资料或者投标人没有对招标文件在各方面都作出实质性响应是投标人的风险，并可能导致其投标被否决。投标文件投标和编写的具体要求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3.2.3投标人递交的投标文件以及投标人与招标人就有关投标的所有往来函电均应当使用中文。投标人递交的证明文件和文献可以使用另一种语言，但相应内容应当译成中文，在解释投标文件时以中文译本为准。</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3.2.4投标文件应当使用不褪色的材料书写或者打印，并加盖单位公章或者由投标人的法定代表人或者其委托代理人签字。委托代理人签字的，投标文件应当附法定代表人签署的授权委托书。投标文件应当尽量避免涂改、行间插字或者删除。如果出现上述情况，改动之处应当加盖单位公章或者由投标人的法定代表人或者其委托代理人签字确认。盖章或者签字另有要求的，见投标人须知前附表。</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53" w:name="_Toc193699318"/>
      <w:bookmarkStart w:id="54" w:name="_Toc191289658"/>
      <w:r>
        <w:rPr>
          <w:rFonts w:hint="eastAsia" w:ascii="仿宋" w:hAnsi="仿宋" w:eastAsia="仿宋"/>
          <w:sz w:val="24"/>
          <w:szCs w:val="24"/>
        </w:rPr>
        <w:t>3.3投标报价</w:t>
      </w:r>
      <w:bookmarkEnd w:id="53"/>
      <w:bookmarkEnd w:id="54"/>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3.3.1投标人应当根据招标文件要求进行报价，投标人应当报出符合招标文件要求的拟提供投标货物的单价（如适用）和总价。</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3.3.2投标货币：人民币。</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3.3.3招标人设有最高限价的，投标人的投标报价不得超过最高限价，否则其投标将被否决。最高限价或者其计算方法见投标人须知前附表。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3.3.4招标人不接受投标人的任何低于成本报价的不正当竞争方式。</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3.3.5只有在招标文件要求或者允许报优惠价时，投标人才可以报出。投标人优惠报价的数额，唱价时也必须当众宣读。关于优惠条件的规定见投标人须知前附表。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3.3.6投标报价的具体要求见投标人须知前附表。</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55" w:name="_Toc191289659"/>
      <w:bookmarkStart w:id="56" w:name="_Toc193699319"/>
      <w:r>
        <w:rPr>
          <w:rFonts w:hint="eastAsia" w:ascii="仿宋" w:hAnsi="仿宋" w:eastAsia="仿宋"/>
          <w:sz w:val="24"/>
          <w:szCs w:val="24"/>
        </w:rPr>
        <w:t>3.4投标有效期</w:t>
      </w:r>
      <w:bookmarkEnd w:id="55"/>
      <w:bookmarkEnd w:id="56"/>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3.4.1投标有效期从递交投标文件截止日起计算。投标有效期的具体时间见投标人须知前附表。在此期间，投标人不得要求撤销或者修改其投标文件。投标有效期不满足招标文件要求的投标将被否决。</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3.4.2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但应当相应延长其投标保证金有效期；投标人拒绝延长投标有效期的，其投标失效，投标人有权收回其投标保证金。</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57" w:name="_Toc193699320"/>
      <w:bookmarkStart w:id="58" w:name="_Toc191289660"/>
      <w:r>
        <w:rPr>
          <w:rFonts w:hint="eastAsia" w:ascii="仿宋" w:hAnsi="仿宋" w:eastAsia="仿宋"/>
          <w:sz w:val="24"/>
          <w:szCs w:val="24"/>
        </w:rPr>
        <w:t>3.5投标保证金</w:t>
      </w:r>
      <w:bookmarkEnd w:id="57"/>
      <w:bookmarkEnd w:id="58"/>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3.5.1招标人要求投标人递交投标保证金的，投标人必须在递交投标文件的同时，按照投标人须知前附表的规定递交投标保证金。</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3.5.2招标人可以规定投标保证金是以现金、支票、银行汇票、在中国注册的银行出具的银行保函等方式递交，以现金或者支票形式递交的投标保证金应当从其基本账户转出。投标保证金有效期应当与投标有效期一致。投标保证金的形式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3.5.3招标人最迟应当在书面合同签订后5日内向中标人和未中标的投标人退还投标保证金及银行同期存款利息。</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3.5.4下列任何情况发生时，投标保证金可不予退还：</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（1）投标人在招标文件中规定的投标有效期内撤销投标的；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（2）中标人无正当理由不与招标人订立合同，在签订合同时向招标人提出附加条件，或者不按照招标文件要求递交履约保证金的；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（3）投标人有串通投标、弄虚作假等行为的；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（4）其他规定见投标人须知前附表。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3.5.5未递交投标保证金或者递交的投标保证金有瑕疵的投标将被否决。</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59" w:name="_Toc191289661"/>
      <w:bookmarkStart w:id="60" w:name="_Toc193699321"/>
      <w:r>
        <w:rPr>
          <w:rFonts w:hint="eastAsia" w:ascii="仿宋" w:hAnsi="仿宋" w:eastAsia="仿宋"/>
          <w:sz w:val="24"/>
          <w:szCs w:val="24"/>
        </w:rPr>
        <w:t>3.6备选投标人案</w:t>
      </w:r>
      <w:bookmarkEnd w:id="59"/>
      <w:bookmarkEnd w:id="60"/>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3.6.1除投标人须知前附表另有规定外，投标人不得递交备选投标人案。</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3.6.2若招标人在招标文件中邀请投标人递交备选方案时，则投标人除按照招标文件规定的基本方案编制和递交投标文件外，可以附加递交备选投标人案。</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3.6.3备选投标人案应当说明其对基本方案的改进意见和带来的效益，并附必要的图纸、设计计算、技术要求及其它有关资料，在封面上应当注明“备选投标人案”字样。</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3.6.4允许投标人递交备选投标人案的，只有符合招标文件要求且评审价最低或者综合评分最高而被推荐为中标候选人的投标人所递交的备选投标人案，可予以考虑。评标委员会认为其备选投标人案优于其按照招标文件要求编制的投标人案的，招标人可以接受该备选投标人案。</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61" w:name="_Toc191289662"/>
      <w:bookmarkStart w:id="62" w:name="_Toc193699322"/>
      <w:r>
        <w:rPr>
          <w:rFonts w:hint="eastAsia" w:ascii="仿宋" w:hAnsi="仿宋" w:eastAsia="仿宋"/>
          <w:sz w:val="24"/>
          <w:szCs w:val="24"/>
        </w:rPr>
        <w:t>3.7投标文件的式样、密封和标记（递交纸质文件适用）</w:t>
      </w:r>
      <w:bookmarkEnd w:id="61"/>
      <w:bookmarkEnd w:id="62"/>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3.7.1投标人应当编制一份投标文件“正本”和投标人须知前附表所述份数的“副本”和“电子版”，副本为正本复印件。投标文件正本和副本如有不一致之处，以正本为准；纸质版文件与电子版文件不一致时，以纸质版文件为准。</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3.7.2每份投标文件的正本、副本及电子版应当分别装订，并于封面上明确标明“正本”、“副本”和“电子版”字样。</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3.7.3投标文件应当按照招标文件规定密封包装，并于封装封面上明确标明“正本”、“副本”和“电子版”字样。密封的所有粘接缝隙必须加盖单位公章或者由投标人的法定代表人或者其委托代理人签字。</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3.7.4外层包封应当写明招标人名称和地址、项目名称、项目编号、并注明唱价时间以前不得开封。还应当写明投标人的名称与地址、邮政编码，以便投标出现逾期送达时能原封退回。</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3.7.5递交投标文件时，招标人应当对符合招标文件规定密封和标记的投标文件进行签收。</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3.7.6招标人对于投标文件密封、标记另有要求的，见投标人须知前附表。</w:t>
      </w:r>
    </w:p>
    <w:p>
      <w:pPr>
        <w:pStyle w:val="21"/>
        <w:tabs>
          <w:tab w:val="left" w:pos="602"/>
        </w:tabs>
        <w:snapToGrid w:val="0"/>
        <w:spacing w:before="120" w:after="120" w:line="440" w:lineRule="exact"/>
        <w:jc w:val="left"/>
        <w:rPr>
          <w:rFonts w:hint="eastAsia" w:ascii="仿宋" w:hAnsi="仿宋" w:eastAsia="仿宋"/>
          <w:sz w:val="28"/>
          <w:szCs w:val="28"/>
        </w:rPr>
      </w:pPr>
      <w:bookmarkStart w:id="63" w:name="_Toc193699323"/>
      <w:r>
        <w:rPr>
          <w:rFonts w:hint="eastAsia" w:ascii="仿宋" w:hAnsi="仿宋" w:eastAsia="仿宋"/>
          <w:sz w:val="28"/>
          <w:szCs w:val="28"/>
        </w:rPr>
        <w:t>4.</w:t>
      </w:r>
      <w:r>
        <w:rPr>
          <w:rFonts w:hint="eastAsia" w:ascii="仿宋" w:hAnsi="仿宋" w:eastAsia="仿宋"/>
          <w:sz w:val="28"/>
          <w:szCs w:val="28"/>
        </w:rPr>
        <w:tab/>
      </w:r>
      <w:r>
        <w:rPr>
          <w:rFonts w:hint="eastAsia" w:ascii="仿宋" w:hAnsi="仿宋" w:eastAsia="仿宋"/>
          <w:sz w:val="28"/>
          <w:szCs w:val="28"/>
        </w:rPr>
        <w:t>投标</w:t>
      </w:r>
      <w:bookmarkEnd w:id="63"/>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64" w:name="_Toc191289664"/>
      <w:bookmarkStart w:id="65" w:name="_Toc193699324"/>
      <w:r>
        <w:rPr>
          <w:rFonts w:hint="eastAsia" w:ascii="仿宋" w:hAnsi="仿宋" w:eastAsia="仿宋"/>
          <w:sz w:val="24"/>
          <w:szCs w:val="24"/>
        </w:rPr>
        <w:t>4.1投标文件的递交</w:t>
      </w:r>
      <w:bookmarkEnd w:id="64"/>
      <w:bookmarkEnd w:id="65"/>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4.1.1投标文件递交截止时间：见投标人须知前附表。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4.1.2投标文件递交地点：见投标人须知前附表。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4.1.3招标人收到投标文件后，向投标人出具签收凭证。</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4.1.4除投标人须知前附表另有规定外，投标人所递交的投标文件不予退还。</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4.1.5出现以下情形时，招标人/招标代理机构不予接收投标文件：</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（1）逾期送达或者未送达指定地点的；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（2）未按照招标文件要求密封的；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（3）未通过资格预审的申请人递交的；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（4）未按照第一章“招标公告”或者投标邀请书要求获得本项目招标文件的。</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66" w:name="_Toc193699325"/>
      <w:bookmarkStart w:id="67" w:name="_Toc191289665"/>
      <w:r>
        <w:rPr>
          <w:rFonts w:hint="eastAsia" w:ascii="仿宋" w:hAnsi="仿宋" w:eastAsia="仿宋"/>
          <w:sz w:val="24"/>
          <w:szCs w:val="24"/>
        </w:rPr>
        <w:t>4.2投标文件的修改、撤回和撤销</w:t>
      </w:r>
      <w:bookmarkEnd w:id="66"/>
      <w:bookmarkEnd w:id="67"/>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4.2.1在规定的投标截止时间前，投标人可以修改或者撤回已递交的投标文件。</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4.2.2投标人修改后的投标文件，应当在规定的投标截止时间前按照招标文件的规定编制、密封、标记、递交。</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4.2.3投标人撤回已递交的投标文件，应当书面通知招标人。招标人已收取投标保证金的，应当自收到投标人书面撤回通知之日起5日内退还。</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4.2.4投标人在规定的投标截止时间后，不得在投标有效期内撤销其投标。否则招标人有权不退还其投标保证金。</w:t>
      </w:r>
    </w:p>
    <w:p>
      <w:pPr>
        <w:pStyle w:val="21"/>
        <w:tabs>
          <w:tab w:val="left" w:pos="602"/>
        </w:tabs>
        <w:snapToGrid w:val="0"/>
        <w:spacing w:before="120" w:after="120" w:line="440" w:lineRule="exact"/>
        <w:jc w:val="left"/>
        <w:rPr>
          <w:rFonts w:hint="eastAsia" w:ascii="仿宋" w:hAnsi="仿宋" w:eastAsia="仿宋"/>
          <w:sz w:val="28"/>
          <w:szCs w:val="28"/>
        </w:rPr>
      </w:pPr>
      <w:bookmarkStart w:id="68" w:name="_Toc193699326"/>
      <w:r>
        <w:rPr>
          <w:rFonts w:hint="eastAsia" w:ascii="仿宋" w:hAnsi="仿宋" w:eastAsia="仿宋"/>
          <w:sz w:val="28"/>
          <w:szCs w:val="28"/>
        </w:rPr>
        <w:t>5.</w:t>
      </w:r>
      <w:r>
        <w:rPr>
          <w:rFonts w:hint="eastAsia" w:ascii="仿宋" w:hAnsi="仿宋" w:eastAsia="仿宋"/>
          <w:sz w:val="28"/>
          <w:szCs w:val="28"/>
        </w:rPr>
        <w:tab/>
      </w:r>
      <w:r>
        <w:rPr>
          <w:rFonts w:hint="eastAsia" w:ascii="仿宋" w:hAnsi="仿宋" w:eastAsia="仿宋"/>
          <w:sz w:val="28"/>
          <w:szCs w:val="28"/>
        </w:rPr>
        <w:t>唱价</w:t>
      </w:r>
      <w:bookmarkEnd w:id="68"/>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69" w:name="_Toc191289667"/>
      <w:bookmarkStart w:id="70" w:name="_Toc193699327"/>
      <w:r>
        <w:rPr>
          <w:rFonts w:hint="eastAsia" w:ascii="仿宋" w:hAnsi="仿宋" w:eastAsia="仿宋"/>
          <w:sz w:val="24"/>
          <w:szCs w:val="24"/>
        </w:rPr>
        <w:t>5.1唱价时间和地点</w:t>
      </w:r>
      <w:bookmarkEnd w:id="69"/>
      <w:bookmarkEnd w:id="70"/>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招标人将按照投标人须知前附表规定的时间和地点公开唱价，参加唱价的投标人代表应当签名报到，以证明其出席唱价。唱价时间和投标截止时间应当为同一时间。</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71" w:name="_Toc193699328"/>
      <w:bookmarkStart w:id="72" w:name="_Toc191289668"/>
      <w:r>
        <w:rPr>
          <w:rFonts w:hint="eastAsia" w:ascii="仿宋" w:hAnsi="仿宋" w:eastAsia="仿宋"/>
          <w:sz w:val="24"/>
          <w:szCs w:val="24"/>
        </w:rPr>
        <w:t>5.2唱价程序</w:t>
      </w:r>
      <w:bookmarkEnd w:id="71"/>
      <w:bookmarkEnd w:id="72"/>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5.2.1唱价会议由招标人或者其委托的招标代理机构组织并主持，邀请所有的投标人或者其代表出席。投标人代表或者招标人委托的公证机构对投标文件密封性进行检查。</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5.2.2招标人在投标文件递交截止时间前收到的所有投标文件在唱价时都应当当众予以拆封、宣读，但按照招标文件规定递交合格的书面撤回通知的投标文件不予开封。</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5.2.3唱价时，招标人应当当众宣布参加本项目招标的投标人个数及投标文件的密封情况，并宣读有效的“报价一览表”中的内容，“报价一览表”一般包括：投标人名称、投标总报价、交货期、投标保证金以及招标文件中规定的其他内容。</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73" w:name="_Toc191289669"/>
      <w:bookmarkStart w:id="74" w:name="_Toc193699329"/>
      <w:r>
        <w:rPr>
          <w:rFonts w:hint="eastAsia" w:ascii="仿宋" w:hAnsi="仿宋" w:eastAsia="仿宋"/>
          <w:sz w:val="24"/>
          <w:szCs w:val="24"/>
        </w:rPr>
        <w:t>5.3异议</w:t>
      </w:r>
      <w:bookmarkEnd w:id="73"/>
      <w:bookmarkEnd w:id="74"/>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5.3.1投标人对唱价有异议的，应当在唱价现场提出，招标人应当当场做出答复，并制作记录。</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5.3.2投标人认为存在低于成本价投标情形的，可以在唱价现场提出异议，并在评审完成前向招标人递交书面材料，招标人应当及时将书面材料转交评标委员会。</w:t>
      </w:r>
    </w:p>
    <w:p>
      <w:pPr>
        <w:pStyle w:val="21"/>
        <w:tabs>
          <w:tab w:val="left" w:pos="602"/>
        </w:tabs>
        <w:snapToGrid w:val="0"/>
        <w:spacing w:before="120" w:after="120" w:line="440" w:lineRule="exact"/>
        <w:jc w:val="left"/>
        <w:rPr>
          <w:rFonts w:hint="eastAsia" w:ascii="仿宋" w:hAnsi="仿宋" w:eastAsia="仿宋"/>
          <w:sz w:val="28"/>
          <w:szCs w:val="28"/>
        </w:rPr>
      </w:pPr>
      <w:bookmarkStart w:id="75" w:name="_Toc193699330"/>
      <w:r>
        <w:rPr>
          <w:rFonts w:hint="eastAsia" w:ascii="仿宋" w:hAnsi="仿宋" w:eastAsia="仿宋"/>
          <w:sz w:val="28"/>
          <w:szCs w:val="28"/>
        </w:rPr>
        <w:t>6.</w:t>
      </w:r>
      <w:r>
        <w:rPr>
          <w:rFonts w:hint="eastAsia" w:ascii="仿宋" w:hAnsi="仿宋" w:eastAsia="仿宋"/>
          <w:sz w:val="28"/>
          <w:szCs w:val="28"/>
        </w:rPr>
        <w:tab/>
      </w:r>
      <w:r>
        <w:rPr>
          <w:rFonts w:hint="eastAsia" w:ascii="仿宋" w:hAnsi="仿宋" w:eastAsia="仿宋"/>
          <w:sz w:val="28"/>
          <w:szCs w:val="28"/>
        </w:rPr>
        <w:t>评审</w:t>
      </w:r>
      <w:bookmarkEnd w:id="75"/>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76" w:name="_Toc193699331"/>
      <w:bookmarkStart w:id="77" w:name="_Toc191289671"/>
      <w:r>
        <w:rPr>
          <w:rFonts w:hint="eastAsia" w:ascii="仿宋" w:hAnsi="仿宋" w:eastAsia="仿宋"/>
          <w:sz w:val="24"/>
          <w:szCs w:val="24"/>
        </w:rPr>
        <w:t>6.1评标委员会</w:t>
      </w:r>
      <w:bookmarkEnd w:id="76"/>
      <w:bookmarkEnd w:id="77"/>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6.1.1评审由评标委员会负责，具体人数见投标人须知前附表。评标委员会的专家应当从专家从评标专家库内相关专业的专家名单中采取随机抽取方式确定。</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6.1.2评审期间，任何单位和个人不得非法干预或者影响评审的过程和结果。</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6.1.3评标委员会成员名单在中标结果确定前保密。</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78" w:name="_Toc191289672"/>
      <w:bookmarkStart w:id="79" w:name="_Toc193699332"/>
      <w:r>
        <w:rPr>
          <w:rFonts w:hint="eastAsia" w:ascii="仿宋" w:hAnsi="仿宋" w:eastAsia="仿宋"/>
          <w:sz w:val="24"/>
          <w:szCs w:val="24"/>
        </w:rPr>
        <w:t>6.2评审原则</w:t>
      </w:r>
      <w:bookmarkEnd w:id="78"/>
      <w:bookmarkEnd w:id="79"/>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6.2.1评审活动遵循公平、公正、科学和择优的原则。</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6.2.2评标委员会按照第五章“评标办法”规定的方法、评审因素、标准和程序对投标文件进行评审。第五章“评标办法”没有规定的方法、评审因素和标准，不得作为评审依据。</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80" w:name="_Toc193699333"/>
      <w:bookmarkStart w:id="81" w:name="_Toc191289673"/>
      <w:r>
        <w:rPr>
          <w:rFonts w:hint="eastAsia" w:ascii="仿宋" w:hAnsi="仿宋" w:eastAsia="仿宋"/>
          <w:sz w:val="24"/>
          <w:szCs w:val="24"/>
        </w:rPr>
        <w:t>6.3评审方法</w:t>
      </w:r>
      <w:bookmarkEnd w:id="80"/>
      <w:bookmarkEnd w:id="81"/>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6.3.1招标文件中详细载明下述评审方法之一作为本项目评审所采用的评审方法。评审方法见投标人须知前附表。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6.3.2采用经评审的最低价法的，能够满足招标文件的实质性要求，并且经评审的最低价的投标，应当推荐为中标候选人，但是价格低于成本的除外。</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采用综合评估法的，最大限度地满足招标文件中规定的各项综合评价标准的投标，应当推荐为中标候选人，量化的标准和权重应当在招标文件中明确规定。</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采用多阶段评审法的，按照招标文件规定的量化因素和权重比值，通过商务技术评审后，价格得分最高的推荐为中标候选人，商务技术量化的标准和权重以及价格得分方法应当在招标文件中明确规定。</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6.3.3法律、法规允许的其他评审方法。</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82" w:name="_Toc191289674"/>
      <w:bookmarkStart w:id="83" w:name="_Toc193699334"/>
      <w:r>
        <w:rPr>
          <w:rFonts w:hint="eastAsia" w:ascii="仿宋" w:hAnsi="仿宋" w:eastAsia="仿宋"/>
          <w:sz w:val="24"/>
          <w:szCs w:val="24"/>
        </w:rPr>
        <w:t>6.4中标候选人推荐原则</w:t>
      </w:r>
      <w:bookmarkEnd w:id="82"/>
      <w:bookmarkEnd w:id="83"/>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评标委员会应当根据招标文件载明的规则推荐中标候选人，具体推荐原则见投标人须知前附表。</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84" w:name="_Toc191289675"/>
      <w:bookmarkStart w:id="85" w:name="_Toc193699335"/>
      <w:r>
        <w:rPr>
          <w:rFonts w:hint="eastAsia" w:ascii="仿宋" w:hAnsi="仿宋" w:eastAsia="仿宋"/>
          <w:sz w:val="24"/>
          <w:szCs w:val="24"/>
        </w:rPr>
        <w:t>6.5评审报告</w:t>
      </w:r>
      <w:bookmarkEnd w:id="84"/>
      <w:bookmarkEnd w:id="85"/>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评审完成后，评标委员会应当根据有关规定及时向招标人提交评审报告和中标候选人名单。</w:t>
      </w:r>
    </w:p>
    <w:p>
      <w:pPr>
        <w:pStyle w:val="21"/>
        <w:tabs>
          <w:tab w:val="left" w:pos="602"/>
        </w:tabs>
        <w:snapToGrid w:val="0"/>
        <w:spacing w:before="120" w:after="120" w:line="440" w:lineRule="exact"/>
        <w:jc w:val="left"/>
        <w:rPr>
          <w:rFonts w:hint="eastAsia" w:ascii="仿宋" w:hAnsi="仿宋" w:eastAsia="仿宋"/>
          <w:sz w:val="28"/>
          <w:szCs w:val="28"/>
        </w:rPr>
      </w:pPr>
      <w:bookmarkStart w:id="86" w:name="_Toc193699336"/>
      <w:r>
        <w:rPr>
          <w:rFonts w:hint="eastAsia" w:ascii="仿宋" w:hAnsi="仿宋" w:eastAsia="仿宋"/>
          <w:sz w:val="28"/>
          <w:szCs w:val="28"/>
        </w:rPr>
        <w:t>7.</w:t>
      </w:r>
      <w:r>
        <w:rPr>
          <w:rFonts w:hint="eastAsia" w:ascii="仿宋" w:hAnsi="仿宋" w:eastAsia="仿宋"/>
          <w:sz w:val="28"/>
          <w:szCs w:val="28"/>
        </w:rPr>
        <w:tab/>
      </w:r>
      <w:r>
        <w:rPr>
          <w:rFonts w:hint="eastAsia" w:ascii="仿宋" w:hAnsi="仿宋" w:eastAsia="仿宋"/>
          <w:sz w:val="28"/>
          <w:szCs w:val="28"/>
        </w:rPr>
        <w:t>中标</w:t>
      </w:r>
      <w:bookmarkEnd w:id="86"/>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87" w:name="_Toc191289677"/>
      <w:bookmarkStart w:id="88" w:name="_Toc193699337"/>
      <w:r>
        <w:rPr>
          <w:rFonts w:hint="eastAsia" w:ascii="仿宋" w:hAnsi="仿宋" w:eastAsia="仿宋"/>
          <w:sz w:val="24"/>
          <w:szCs w:val="24"/>
        </w:rPr>
        <w:t>7.1确定中标人</w:t>
      </w:r>
      <w:bookmarkEnd w:id="87"/>
      <w:bookmarkEnd w:id="88"/>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7.1.1招标人依据评标委员会推荐的中标候选人确定中标人，中标人数量见投标人须知前附表。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7.1.2招标人根据评标委员会推荐的中标候选人名单排序依次确定中标人，具体中标原则见投标人须知前附表。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7.1.3在签订合同之前，中标人放弃中标或者不能履行合同的，招标人可以按照评标委员会提出的中标候选人名单排序依次确定其他中标候选人为中标人，也可以重新招标。</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89" w:name="_Toc191289678"/>
      <w:bookmarkStart w:id="90" w:name="_Toc193699338"/>
      <w:r>
        <w:rPr>
          <w:rFonts w:hint="eastAsia" w:ascii="仿宋" w:hAnsi="仿宋" w:eastAsia="仿宋"/>
          <w:sz w:val="24"/>
          <w:szCs w:val="24"/>
        </w:rPr>
        <w:t>7.2中标人公示</w:t>
      </w:r>
      <w:bookmarkEnd w:id="89"/>
      <w:bookmarkEnd w:id="90"/>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7.2.1采用公开招标方式的，中标结果审批通过后，招标人应在“资格预审公告”或者“招标公告”发布媒介公示全部中标人，公示期不少于3日。</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7.2.2投标人或者其他利害关系人对招标项目的评选结果有异议的，应当在中标人公示期间提出。</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91" w:name="_Toc191289679"/>
      <w:bookmarkStart w:id="92" w:name="_Toc193699339"/>
      <w:r>
        <w:rPr>
          <w:rFonts w:hint="eastAsia" w:ascii="仿宋" w:hAnsi="仿宋" w:eastAsia="仿宋"/>
          <w:sz w:val="24"/>
          <w:szCs w:val="24"/>
        </w:rPr>
        <w:t>7.3中标通知</w:t>
      </w:r>
      <w:bookmarkEnd w:id="91"/>
      <w:bookmarkEnd w:id="92"/>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7.3.1在中标通知书发出前，中标候选人的经营、财务状况发生较大变化或者存在违法行为，可能影响其履约能力的，投标人应当主动告知招标人。</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7.3.2中标人确定后，招标人应当自行或者委托招标代理机构向中标人发出中标通知书，同时通知未中标人。</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7.3.3中标通知书是招标档案和合同的组成部分。</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7.3.4中标通知书对招标人和中标人具有法律约束力。中标通知书发出后，招标人改变中标结果或者中标人放弃中标的，应当承担法律责任。</w:t>
      </w:r>
    </w:p>
    <w:p>
      <w:pPr>
        <w:pStyle w:val="21"/>
        <w:tabs>
          <w:tab w:val="left" w:pos="602"/>
        </w:tabs>
        <w:snapToGrid w:val="0"/>
        <w:spacing w:before="120" w:after="120" w:line="440" w:lineRule="exact"/>
        <w:jc w:val="left"/>
        <w:rPr>
          <w:rFonts w:hint="eastAsia" w:ascii="仿宋" w:hAnsi="仿宋" w:eastAsia="仿宋"/>
          <w:sz w:val="28"/>
          <w:szCs w:val="28"/>
        </w:rPr>
      </w:pPr>
      <w:bookmarkStart w:id="93" w:name="_Toc193699340"/>
      <w:r>
        <w:rPr>
          <w:rFonts w:hint="eastAsia" w:ascii="仿宋" w:hAnsi="仿宋" w:eastAsia="仿宋"/>
          <w:sz w:val="28"/>
          <w:szCs w:val="28"/>
        </w:rPr>
        <w:t>8.</w:t>
      </w:r>
      <w:r>
        <w:rPr>
          <w:rFonts w:hint="eastAsia" w:ascii="仿宋" w:hAnsi="仿宋" w:eastAsia="仿宋"/>
          <w:sz w:val="28"/>
          <w:szCs w:val="28"/>
        </w:rPr>
        <w:tab/>
      </w:r>
      <w:r>
        <w:rPr>
          <w:rFonts w:hint="eastAsia" w:ascii="仿宋" w:hAnsi="仿宋" w:eastAsia="仿宋"/>
          <w:sz w:val="28"/>
          <w:szCs w:val="28"/>
        </w:rPr>
        <w:t>合同签订</w:t>
      </w:r>
      <w:bookmarkEnd w:id="93"/>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94" w:name="_Toc193699341"/>
      <w:bookmarkStart w:id="95" w:name="_Toc191289681"/>
      <w:r>
        <w:rPr>
          <w:rFonts w:hint="eastAsia" w:ascii="仿宋" w:hAnsi="仿宋" w:eastAsia="仿宋"/>
          <w:sz w:val="24"/>
          <w:szCs w:val="24"/>
        </w:rPr>
        <w:t>8.1履约保证金</w:t>
      </w:r>
      <w:bookmarkEnd w:id="94"/>
      <w:bookmarkEnd w:id="95"/>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8.1.1在签订合同前，中标人应当按照“投标人须知前附表”中规定的履约保证金的金额和形式向招标人递交履约保证金。</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8.1.2中标人不能按照招标文件要求递交履约担保的，视为放弃中标，其投标保证金不予退还，给招标人造成的损失超过投标保证金数额的，中标人还应当对超过部分予以赔偿。</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96" w:name="_Toc191289682"/>
      <w:bookmarkStart w:id="97" w:name="_Toc193699342"/>
      <w:r>
        <w:rPr>
          <w:rFonts w:hint="eastAsia" w:ascii="仿宋" w:hAnsi="仿宋" w:eastAsia="仿宋"/>
          <w:sz w:val="24"/>
          <w:szCs w:val="24"/>
        </w:rPr>
        <w:t>8.2合同签订</w:t>
      </w:r>
      <w:bookmarkEnd w:id="96"/>
      <w:bookmarkEnd w:id="97"/>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8.2.1招标人和中标人应当在招标有效期内，根据招标文件和中标人的投标文件订立书面合同。招标人和中标人不得订立背离合同实质性内容的其他协议。</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8.2.2中标人无正当理由拒签合同的，招标人取消其中标资格，其投标保证金不予退还；给招标人造成的损失超过投标保证金数额的，中标人还应当对超过部分予以赔偿。</w:t>
      </w:r>
    </w:p>
    <w:p>
      <w:pPr>
        <w:pStyle w:val="21"/>
        <w:tabs>
          <w:tab w:val="left" w:pos="602"/>
        </w:tabs>
        <w:snapToGrid w:val="0"/>
        <w:spacing w:before="120" w:after="120" w:line="440" w:lineRule="exact"/>
        <w:jc w:val="left"/>
        <w:rPr>
          <w:rFonts w:hint="eastAsia" w:ascii="仿宋" w:hAnsi="仿宋" w:eastAsia="仿宋"/>
          <w:sz w:val="28"/>
          <w:szCs w:val="28"/>
        </w:rPr>
      </w:pPr>
      <w:bookmarkStart w:id="98" w:name="_Toc193699343"/>
      <w:r>
        <w:rPr>
          <w:rFonts w:hint="eastAsia" w:ascii="仿宋" w:hAnsi="仿宋" w:eastAsia="仿宋"/>
          <w:sz w:val="28"/>
          <w:szCs w:val="28"/>
        </w:rPr>
        <w:t>9.</w:t>
      </w:r>
      <w:r>
        <w:rPr>
          <w:rFonts w:hint="eastAsia" w:ascii="仿宋" w:hAnsi="仿宋" w:eastAsia="仿宋"/>
          <w:sz w:val="28"/>
          <w:szCs w:val="28"/>
        </w:rPr>
        <w:tab/>
      </w:r>
      <w:r>
        <w:rPr>
          <w:rFonts w:hint="eastAsia" w:ascii="仿宋" w:hAnsi="仿宋" w:eastAsia="仿宋"/>
          <w:sz w:val="28"/>
          <w:szCs w:val="28"/>
        </w:rPr>
        <w:t>招标代理服务费</w:t>
      </w:r>
      <w:bookmarkEnd w:id="98"/>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中标人应当按照招标文件规定交纳招标代理服务费，招标人和招标代理机构另有约定的从其约定。招标代理服务费的金额、交纳方式和时限见投标人须知前附表。</w:t>
      </w:r>
    </w:p>
    <w:p>
      <w:pPr>
        <w:pStyle w:val="21"/>
        <w:tabs>
          <w:tab w:val="left" w:pos="602"/>
        </w:tabs>
        <w:snapToGrid w:val="0"/>
        <w:spacing w:before="120" w:after="120" w:line="440" w:lineRule="exact"/>
        <w:jc w:val="left"/>
        <w:rPr>
          <w:rFonts w:hint="eastAsia" w:ascii="仿宋" w:hAnsi="仿宋" w:eastAsia="仿宋"/>
          <w:sz w:val="28"/>
          <w:szCs w:val="28"/>
        </w:rPr>
      </w:pPr>
      <w:bookmarkStart w:id="99" w:name="_Toc193699344"/>
      <w:r>
        <w:rPr>
          <w:rFonts w:hint="eastAsia" w:ascii="仿宋" w:hAnsi="仿宋" w:eastAsia="仿宋"/>
          <w:sz w:val="28"/>
          <w:szCs w:val="28"/>
        </w:rPr>
        <w:t>10.</w:t>
      </w:r>
      <w:r>
        <w:rPr>
          <w:rFonts w:hint="eastAsia" w:ascii="仿宋" w:hAnsi="仿宋" w:eastAsia="仿宋"/>
          <w:sz w:val="28"/>
          <w:szCs w:val="28"/>
        </w:rPr>
        <w:tab/>
      </w:r>
      <w:r>
        <w:rPr>
          <w:rFonts w:hint="eastAsia" w:ascii="仿宋" w:hAnsi="仿宋" w:eastAsia="仿宋"/>
          <w:sz w:val="28"/>
          <w:szCs w:val="28"/>
        </w:rPr>
        <w:t>纪律和监督</w:t>
      </w:r>
      <w:bookmarkEnd w:id="99"/>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00" w:name="_Toc193699345"/>
      <w:bookmarkStart w:id="101" w:name="_Toc191289685"/>
      <w:r>
        <w:rPr>
          <w:rFonts w:hint="eastAsia" w:ascii="仿宋" w:hAnsi="仿宋" w:eastAsia="仿宋"/>
          <w:sz w:val="24"/>
          <w:szCs w:val="24"/>
        </w:rPr>
        <w:t>10.1对招标人的纪律要求</w:t>
      </w:r>
      <w:bookmarkEnd w:id="100"/>
      <w:bookmarkEnd w:id="101"/>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招标人不得泄漏招标活动中应当保密的情况和资料，不得与投标人串通损害国家利益、社会公共利益或者他人合法权益。</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02" w:name="_Toc193699346"/>
      <w:bookmarkStart w:id="103" w:name="_Toc191289686"/>
      <w:r>
        <w:rPr>
          <w:rFonts w:hint="eastAsia" w:ascii="仿宋" w:hAnsi="仿宋" w:eastAsia="仿宋"/>
          <w:sz w:val="24"/>
          <w:szCs w:val="24"/>
        </w:rPr>
        <w:t>10.2对投标人的纪律要求</w:t>
      </w:r>
      <w:bookmarkEnd w:id="102"/>
      <w:bookmarkEnd w:id="103"/>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投标人不得相互串通投标或者与招标人串通投标，不得向招标人或者评标委员会成员行贿谋取中标，不得以他人名义投标或者以其他方式弄虚作假骗取中标；投标人不得以任何方式干扰、影响评审工作。</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04" w:name="_Toc191289687"/>
      <w:bookmarkStart w:id="105" w:name="_Toc193699347"/>
      <w:r>
        <w:rPr>
          <w:rFonts w:hint="eastAsia" w:ascii="仿宋" w:hAnsi="仿宋" w:eastAsia="仿宋"/>
          <w:sz w:val="24"/>
          <w:szCs w:val="24"/>
        </w:rPr>
        <w:t>10.3对评标委员会成员的纪律要求</w:t>
      </w:r>
      <w:bookmarkEnd w:id="104"/>
      <w:bookmarkEnd w:id="105"/>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五章“评标办法”没有规定的评审因素和标准进行评审。</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06" w:name="_Toc191289688"/>
      <w:bookmarkStart w:id="107" w:name="_Toc193699348"/>
      <w:r>
        <w:rPr>
          <w:rFonts w:hint="eastAsia" w:ascii="仿宋" w:hAnsi="仿宋" w:eastAsia="仿宋"/>
          <w:sz w:val="24"/>
          <w:szCs w:val="24"/>
        </w:rPr>
        <w:t>10.4对与评审活动有关的工作人员的纪律要求</w:t>
      </w:r>
      <w:bookmarkEnd w:id="106"/>
      <w:bookmarkEnd w:id="107"/>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p>
    <w:p>
      <w:pPr>
        <w:pStyle w:val="21"/>
        <w:tabs>
          <w:tab w:val="left" w:pos="602"/>
        </w:tabs>
        <w:snapToGrid w:val="0"/>
        <w:spacing w:before="120" w:after="120" w:line="440" w:lineRule="exact"/>
        <w:jc w:val="left"/>
        <w:rPr>
          <w:rFonts w:hint="eastAsia" w:ascii="仿宋" w:hAnsi="仿宋" w:eastAsia="仿宋"/>
          <w:sz w:val="28"/>
          <w:szCs w:val="28"/>
        </w:rPr>
      </w:pPr>
      <w:bookmarkStart w:id="108" w:name="_Toc193699349"/>
      <w:r>
        <w:rPr>
          <w:rFonts w:hint="eastAsia" w:ascii="仿宋" w:hAnsi="仿宋" w:eastAsia="仿宋"/>
          <w:sz w:val="28"/>
          <w:szCs w:val="28"/>
        </w:rPr>
        <w:t>11.</w:t>
      </w:r>
      <w:r>
        <w:rPr>
          <w:rFonts w:hint="eastAsia" w:ascii="仿宋" w:hAnsi="仿宋" w:eastAsia="仿宋"/>
          <w:sz w:val="28"/>
          <w:szCs w:val="28"/>
        </w:rPr>
        <w:tab/>
      </w:r>
      <w:r>
        <w:rPr>
          <w:rFonts w:hint="eastAsia" w:ascii="仿宋" w:hAnsi="仿宋" w:eastAsia="仿宋"/>
          <w:sz w:val="28"/>
          <w:szCs w:val="28"/>
        </w:rPr>
        <w:t>需要补充的其他内容</w:t>
      </w:r>
      <w:bookmarkEnd w:id="108"/>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需要补充的其他内容：见投标人须知前附表。</w:t>
      </w:r>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09" w:name="_Toc327827316"/>
      <w:bookmarkStart w:id="110" w:name="_Toc327739994"/>
      <w:bookmarkStart w:id="111" w:name="_Toc193699350"/>
      <w:r>
        <w:rPr>
          <w:rFonts w:hint="eastAsia" w:ascii="仿宋" w:hAnsi="仿宋" w:eastAsia="仿宋"/>
          <w:sz w:val="28"/>
          <w:szCs w:val="28"/>
        </w:rPr>
        <w:t>附录：</w:t>
      </w:r>
      <w:bookmarkEnd w:id="109"/>
      <w:bookmarkEnd w:id="110"/>
      <w:r>
        <w:rPr>
          <w:rFonts w:hint="eastAsia" w:ascii="仿宋" w:hAnsi="仿宋" w:eastAsia="仿宋"/>
          <w:sz w:val="28"/>
          <w:szCs w:val="28"/>
        </w:rPr>
        <w:t>招标代理服务费的计算方式及价格</w:t>
      </w:r>
      <w:bookmarkEnd w:id="111"/>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招标代理服务费收费基准如下：</w:t>
      </w:r>
    </w:p>
    <w:tbl>
      <w:tblPr>
        <w:tblStyle w:val="24"/>
        <w:tblW w:w="8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5"/>
        <w:gridCol w:w="1923"/>
        <w:gridCol w:w="1912"/>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2895" w:type="dxa"/>
          </w:tcPr>
          <w:p>
            <w:pPr>
              <w:autoSpaceDE w:val="0"/>
              <w:autoSpaceDN w:val="0"/>
              <w:spacing w:before="93" w:beforeLines="30" w:after="93" w:afterLines="30"/>
              <w:rPr>
                <w:rFonts w:hint="eastAsia" w:ascii="仿宋" w:hAnsi="仿宋" w:eastAsia="仿宋" w:cs="宋体"/>
                <w:bCs/>
                <w:szCs w:val="21"/>
              </w:rPr>
            </w:pPr>
            <w:r>
              <w:rPr>
                <w:rFonts w:ascii="仿宋" w:hAnsi="仿宋" w:eastAsia="仿宋" w:cs="宋体"/>
                <w:bCs/>
                <w:szCs w:val="21"/>
              </w:rPr>
              <mc:AlternateContent>
                <mc:Choice Requires="wps">
                  <w:drawing>
                    <wp:anchor distT="0" distB="0" distL="114300" distR="114300" simplePos="0" relativeHeight="251663360" behindDoc="0" locked="0" layoutInCell="1" allowOverlap="1">
                      <wp:simplePos x="0" y="0"/>
                      <wp:positionH relativeFrom="column">
                        <wp:posOffset>-68580</wp:posOffset>
                      </wp:positionH>
                      <wp:positionV relativeFrom="paragraph">
                        <wp:posOffset>-6350</wp:posOffset>
                      </wp:positionV>
                      <wp:extent cx="1828800" cy="664210"/>
                      <wp:effectExtent l="0" t="0" r="19050" b="21590"/>
                      <wp:wrapNone/>
                      <wp:docPr id="98884563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1828800" cy="664210"/>
                              </a:xfrm>
                              <a:prstGeom prst="line">
                                <a:avLst/>
                              </a:prstGeom>
                              <a:noFill/>
                              <a:ln w="9525">
                                <a:solidFill>
                                  <a:srgbClr val="000000"/>
                                </a:solidFill>
                                <a:round/>
                              </a:ln>
                            </wps:spPr>
                            <wps:bodyPr/>
                          </wps:wsp>
                        </a:graphicData>
                      </a:graphic>
                    </wp:anchor>
                  </w:drawing>
                </mc:Choice>
                <mc:Fallback>
                  <w:pict>
                    <v:line id="直接连接符 1" o:spid="_x0000_s1026" o:spt="20" style="position:absolute;left:0pt;margin-left:-5.4pt;margin-top:-0.5pt;height:52.3pt;width:144pt;z-index:251663360;mso-width-relative:page;mso-height-relative:page;" filled="f" stroked="t" coordsize="21600,21600" o:gfxdata="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1nZA1wAAAAoBAAAPAAAAAAAAAAEAIAAAACIAAABkcnMvZG93bnJldi54bWxQSwECFAAUAAAA&#10;CACHTuJAyjUgj+8BAAC3AwAADgAAAAAAAAABACAAAAAmAQAAZHJzL2Uyb0RvYy54bWxQSwUGAAAA&#10;AAYABgBZAQAAhwUAAAAA&#10;">
                      <v:fill on="f" focussize="0,0"/>
                      <v:stroke color="#000000" joinstyle="round"/>
                      <v:imagedata o:title=""/>
                      <o:lock v:ext="edit" aspectratio="f"/>
                    </v:line>
                  </w:pict>
                </mc:Fallback>
              </mc:AlternateContent>
            </w:r>
            <w:r>
              <w:rPr>
                <w:rFonts w:hint="eastAsia" w:ascii="仿宋" w:hAnsi="仿宋" w:eastAsia="仿宋" w:cs="宋体"/>
                <w:bCs/>
                <w:szCs w:val="21"/>
              </w:rPr>
              <w:t xml:space="preserve">               </w:t>
            </w:r>
          </w:p>
          <w:p>
            <w:pPr>
              <w:autoSpaceDE w:val="0"/>
              <w:autoSpaceDN w:val="0"/>
              <w:spacing w:before="93" w:beforeLines="30" w:after="93" w:afterLines="30"/>
              <w:ind w:firstLine="2100" w:firstLineChars="1000"/>
              <w:rPr>
                <w:rFonts w:hint="eastAsia" w:ascii="仿宋" w:hAnsi="仿宋" w:eastAsia="仿宋" w:cs="宋体"/>
                <w:bCs/>
                <w:szCs w:val="21"/>
              </w:rPr>
            </w:pPr>
            <w:r>
              <w:rPr>
                <w:rFonts w:hint="eastAsia" w:ascii="仿宋" w:hAnsi="仿宋" w:eastAsia="仿宋" w:cs="宋体"/>
                <w:bCs/>
                <w:szCs w:val="21"/>
              </w:rPr>
              <w:t>费率</w:t>
            </w:r>
          </w:p>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中标金额</w:t>
            </w:r>
          </w:p>
        </w:tc>
        <w:tc>
          <w:tcPr>
            <w:tcW w:w="1923" w:type="dxa"/>
            <w:vAlign w:val="center"/>
          </w:tcPr>
          <w:p>
            <w:pPr>
              <w:autoSpaceDE w:val="0"/>
              <w:autoSpaceDN w:val="0"/>
              <w:spacing w:before="93" w:beforeLines="30" w:after="93" w:afterLines="30"/>
              <w:ind w:firstLine="105" w:firstLineChars="50"/>
              <w:jc w:val="center"/>
              <w:rPr>
                <w:rFonts w:hint="eastAsia" w:ascii="仿宋" w:hAnsi="仿宋" w:eastAsia="仿宋" w:cs="宋体"/>
                <w:bCs/>
                <w:szCs w:val="21"/>
              </w:rPr>
            </w:pPr>
            <w:r>
              <w:rPr>
                <w:rFonts w:hint="eastAsia" w:ascii="仿宋" w:hAnsi="仿宋" w:eastAsia="仿宋" w:cs="宋体"/>
                <w:bCs/>
                <w:szCs w:val="21"/>
              </w:rPr>
              <w:t>货物招标</w:t>
            </w:r>
          </w:p>
        </w:tc>
        <w:tc>
          <w:tcPr>
            <w:tcW w:w="1912"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服务招标</w:t>
            </w:r>
          </w:p>
        </w:tc>
        <w:tc>
          <w:tcPr>
            <w:tcW w:w="1747"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100万元以下</w:t>
            </w:r>
          </w:p>
        </w:tc>
        <w:tc>
          <w:tcPr>
            <w:tcW w:w="1923"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1.5%</w:t>
            </w:r>
          </w:p>
        </w:tc>
        <w:tc>
          <w:tcPr>
            <w:tcW w:w="1912"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1.5%</w:t>
            </w:r>
          </w:p>
        </w:tc>
        <w:tc>
          <w:tcPr>
            <w:tcW w:w="1747"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100～500万元</w:t>
            </w:r>
          </w:p>
        </w:tc>
        <w:tc>
          <w:tcPr>
            <w:tcW w:w="1923"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1.1%</w:t>
            </w:r>
          </w:p>
        </w:tc>
        <w:tc>
          <w:tcPr>
            <w:tcW w:w="1912"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0.8%</w:t>
            </w:r>
          </w:p>
        </w:tc>
        <w:tc>
          <w:tcPr>
            <w:tcW w:w="1747"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500～1000万元</w:t>
            </w:r>
          </w:p>
        </w:tc>
        <w:tc>
          <w:tcPr>
            <w:tcW w:w="1923"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0.8%</w:t>
            </w:r>
          </w:p>
        </w:tc>
        <w:tc>
          <w:tcPr>
            <w:tcW w:w="1912"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0.45%</w:t>
            </w:r>
          </w:p>
        </w:tc>
        <w:tc>
          <w:tcPr>
            <w:tcW w:w="1747"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1000～5000万元</w:t>
            </w:r>
          </w:p>
        </w:tc>
        <w:tc>
          <w:tcPr>
            <w:tcW w:w="1923"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0.5%</w:t>
            </w:r>
          </w:p>
        </w:tc>
        <w:tc>
          <w:tcPr>
            <w:tcW w:w="1912"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0.25%</w:t>
            </w:r>
          </w:p>
        </w:tc>
        <w:tc>
          <w:tcPr>
            <w:tcW w:w="1747"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5000万元～1亿元</w:t>
            </w:r>
          </w:p>
        </w:tc>
        <w:tc>
          <w:tcPr>
            <w:tcW w:w="1923"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0.25%</w:t>
            </w:r>
          </w:p>
        </w:tc>
        <w:tc>
          <w:tcPr>
            <w:tcW w:w="1912"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0.1%</w:t>
            </w:r>
          </w:p>
        </w:tc>
        <w:tc>
          <w:tcPr>
            <w:tcW w:w="1747"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1～5亿元</w:t>
            </w:r>
          </w:p>
        </w:tc>
        <w:tc>
          <w:tcPr>
            <w:tcW w:w="1923"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0.05%</w:t>
            </w:r>
          </w:p>
        </w:tc>
        <w:tc>
          <w:tcPr>
            <w:tcW w:w="1912"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0.05%</w:t>
            </w:r>
          </w:p>
        </w:tc>
        <w:tc>
          <w:tcPr>
            <w:tcW w:w="1747"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5～10亿元</w:t>
            </w:r>
          </w:p>
        </w:tc>
        <w:tc>
          <w:tcPr>
            <w:tcW w:w="1923"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0.035%</w:t>
            </w:r>
          </w:p>
        </w:tc>
        <w:tc>
          <w:tcPr>
            <w:tcW w:w="1912"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0.035%</w:t>
            </w:r>
          </w:p>
        </w:tc>
        <w:tc>
          <w:tcPr>
            <w:tcW w:w="1747"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10～50亿元</w:t>
            </w:r>
          </w:p>
        </w:tc>
        <w:tc>
          <w:tcPr>
            <w:tcW w:w="1923"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0.008%</w:t>
            </w:r>
          </w:p>
        </w:tc>
        <w:tc>
          <w:tcPr>
            <w:tcW w:w="1912"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0.008%</w:t>
            </w:r>
          </w:p>
        </w:tc>
        <w:tc>
          <w:tcPr>
            <w:tcW w:w="1747"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50～100亿元</w:t>
            </w:r>
          </w:p>
        </w:tc>
        <w:tc>
          <w:tcPr>
            <w:tcW w:w="1923"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0.006%</w:t>
            </w:r>
          </w:p>
        </w:tc>
        <w:tc>
          <w:tcPr>
            <w:tcW w:w="1912"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0.006%</w:t>
            </w:r>
          </w:p>
        </w:tc>
        <w:tc>
          <w:tcPr>
            <w:tcW w:w="1747"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100亿以上</w:t>
            </w:r>
          </w:p>
        </w:tc>
        <w:tc>
          <w:tcPr>
            <w:tcW w:w="1923"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0.004%</w:t>
            </w:r>
          </w:p>
        </w:tc>
        <w:tc>
          <w:tcPr>
            <w:tcW w:w="1912"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0.004%</w:t>
            </w:r>
          </w:p>
        </w:tc>
        <w:tc>
          <w:tcPr>
            <w:tcW w:w="1747" w:type="dxa"/>
            <w:vAlign w:val="center"/>
          </w:tcPr>
          <w:p>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0.004%</w:t>
            </w:r>
          </w:p>
        </w:tc>
      </w:tr>
    </w:tbl>
    <w:p>
      <w:pPr>
        <w:pStyle w:val="12"/>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注：</w:t>
      </w:r>
    </w:p>
    <w:p>
      <w:pPr>
        <w:pStyle w:val="12"/>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1、按本表费率计算的收费为招标代理服务全过程的收费基准价格，单独提供编制招标文件（有标底的含标底）服务的，可按规定标准的30%计收。</w:t>
      </w:r>
    </w:p>
    <w:p>
      <w:pPr>
        <w:pStyle w:val="12"/>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2、招标代理服务收费按差额定率累进法计算。</w:t>
      </w:r>
    </w:p>
    <w:p>
      <w:pPr>
        <w:pStyle w:val="12"/>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例如：某工程招标代理业务中标金额为6000万元，计算招标代理服务收费额如下：</w:t>
      </w:r>
    </w:p>
    <w:p>
      <w:pPr>
        <w:pStyle w:val="12"/>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100万元×1.0％=1万元</w:t>
      </w:r>
    </w:p>
    <w:p>
      <w:pPr>
        <w:pStyle w:val="12"/>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（500-100）万元×0.7％ = 2.8万元</w:t>
      </w:r>
    </w:p>
    <w:p>
      <w:pPr>
        <w:pStyle w:val="12"/>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（1000-500）万元×0.55％ = 2.75万元</w:t>
      </w:r>
    </w:p>
    <w:p>
      <w:pPr>
        <w:pStyle w:val="12"/>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（5000-1000）万元×0.35％ = 14万元</w:t>
      </w:r>
    </w:p>
    <w:p>
      <w:pPr>
        <w:pStyle w:val="12"/>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（6000-5000）万元×0.2％ = 2万元</w:t>
      </w:r>
    </w:p>
    <w:p>
      <w:pPr>
        <w:pStyle w:val="12"/>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合计收费 = 1 + 2.8 + 2.75 + 14 + 2 = 22.55（万元）</w:t>
      </w:r>
    </w:p>
    <w:p>
      <w:pPr>
        <w:pStyle w:val="12"/>
        <w:tabs>
          <w:tab w:val="left" w:pos="630"/>
        </w:tabs>
        <w:snapToGrid w:val="0"/>
        <w:spacing w:line="312" w:lineRule="auto"/>
        <w:ind w:firstLine="426" w:firstLineChars="202"/>
        <w:rPr>
          <w:rFonts w:hint="eastAsia" w:ascii="仿宋" w:hAnsi="仿宋" w:eastAsia="仿宋"/>
          <w:b/>
          <w:bCs/>
        </w:rPr>
      </w:pPr>
      <w:r>
        <w:rPr>
          <w:rFonts w:hint="eastAsia" w:ascii="仿宋" w:hAnsi="仿宋" w:eastAsia="仿宋"/>
          <w:b/>
          <w:bCs/>
        </w:rPr>
        <w:t>二、本项目招标代理费率按以上收费基准的【55】%执行（即：按收费基准计算的招标服务代理费用*【55】%）。</w:t>
      </w:r>
    </w:p>
    <w:p>
      <w:pPr>
        <w:pStyle w:val="12"/>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三、土建招标项目招标代理服务按以上计算方式收取费用（不含工程量清单、工程标底或工程招标控制价的编制费用）。工程量清单、工程标底或工程招标控制价的编制费用由建设单位按照国家相关规定委托工程咨询单位进行编制，费用另行计取。</w:t>
      </w:r>
    </w:p>
    <w:p/>
    <w:p>
      <w:pPr>
        <w:widowControl/>
        <w:jc w:val="left"/>
      </w:pPr>
      <w:r>
        <w:br w:type="page"/>
      </w:r>
    </w:p>
    <w:p>
      <w:pPr>
        <w:pStyle w:val="30"/>
        <w:spacing w:before="240" w:after="120" w:line="360" w:lineRule="auto"/>
        <w:rPr>
          <w:rFonts w:hint="eastAsia" w:ascii="仿宋" w:hAnsi="仿宋" w:eastAsia="仿宋" w:cs="宋体"/>
          <w:b/>
          <w:bCs w:val="0"/>
          <w:kern w:val="0"/>
          <w:sz w:val="32"/>
          <w:szCs w:val="32"/>
          <w:lang w:val="zh-CN"/>
        </w:rPr>
      </w:pPr>
      <w:bookmarkStart w:id="112" w:name="_Toc193699351"/>
      <w:r>
        <w:rPr>
          <w:rFonts w:hint="eastAsia" w:ascii="仿宋" w:hAnsi="仿宋" w:eastAsia="仿宋" w:cs="宋体"/>
          <w:b/>
          <w:bCs w:val="0"/>
          <w:kern w:val="0"/>
          <w:sz w:val="32"/>
          <w:szCs w:val="32"/>
          <w:lang w:val="zh-CN"/>
        </w:rPr>
        <w:t>第三章  采购需求书</w:t>
      </w:r>
      <w:bookmarkEnd w:id="112"/>
    </w:p>
    <w:p>
      <w:pPr>
        <w:pStyle w:val="4"/>
        <w:spacing w:before="156" w:beforeLines="50" w:after="156" w:afterLines="50" w:line="360" w:lineRule="auto"/>
        <w:rPr>
          <w:rFonts w:hint="eastAsia" w:ascii="仿宋" w:hAnsi="仿宋" w:eastAsia="仿宋"/>
          <w:sz w:val="28"/>
          <w:szCs w:val="28"/>
        </w:rPr>
      </w:pPr>
      <w:bookmarkStart w:id="113" w:name="_Toc193699352"/>
      <w:bookmarkStart w:id="114" w:name="_Toc164274753"/>
      <w:r>
        <w:rPr>
          <w:rFonts w:hint="eastAsia" w:ascii="仿宋" w:hAnsi="仿宋" w:eastAsia="仿宋"/>
          <w:sz w:val="28"/>
          <w:szCs w:val="28"/>
        </w:rPr>
        <w:t>总则</w:t>
      </w:r>
      <w:bookmarkEnd w:id="113"/>
      <w:bookmarkEnd w:id="114"/>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1.1本节为招标人向投标人提出的最低要求，作为投标人填写采购需求条款偏离表的依据，根据投标人的投标书完善后，将作为商务合同的附件之一。</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1.2对于本节提出的有关要求，投标人应填写“采购需求条款偏离表”。如存在偏离应提出充分理由并加以详尽说明。</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投标人应注意以下响应内容：</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（1）招标文件中带“★”的条款为本次采购的重要要求，投标人须全部满足或响应，只要不满足带“★”的条款所列各项要求之一的，将被认定为无效投标。</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（2）招标文件中带“▲”的条款为本次采购的较重要要求，投标人无法满足或响应时将影响其技术评分。</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（3）投标人须对本项目为单位的货物或服务进行整体响应，任何只对其中一部分内容进行的投标都被视为无效投标。</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1.3对于本节中未能提出的指标和不合理的要求等，投标人应在建议书中加以补充说明，并提供有关详细资料。</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1.4投标人应根据招标项目的要求提出完整的实施方案，如有缺漏，由投标人免费补足。</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1.5招标人有权在签订最终合同前，根据需要修改本章内容。技术标准和要求的最终解释权在招标人。</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投标人须对《采购需求书》全部条款理解清楚，并填写《采购需求偏离表》（格式见第六章）。</w:t>
      </w:r>
    </w:p>
    <w:p/>
    <w:p/>
    <w:p>
      <w:pPr>
        <w:widowControl/>
        <w:jc w:val="left"/>
      </w:pPr>
      <w:r>
        <w:br w:type="page"/>
      </w:r>
    </w:p>
    <w:p>
      <w:pPr>
        <w:pStyle w:val="4"/>
        <w:spacing w:before="156" w:beforeLines="50" w:after="156" w:afterLines="50" w:line="360" w:lineRule="auto"/>
        <w:jc w:val="center"/>
        <w:rPr>
          <w:rFonts w:hint="eastAsia" w:ascii="仿宋" w:hAnsi="仿宋" w:eastAsia="仿宋"/>
          <w:sz w:val="24"/>
          <w:szCs w:val="24"/>
        </w:rPr>
      </w:pPr>
      <w:bookmarkStart w:id="115" w:name="_Toc193699353"/>
      <w:r>
        <w:rPr>
          <w:rFonts w:hint="eastAsia" w:ascii="仿宋" w:hAnsi="仿宋" w:eastAsia="仿宋"/>
          <w:sz w:val="24"/>
          <w:szCs w:val="24"/>
        </w:rPr>
        <w:t>附件1：2025年度网络安全建设和服务项目采购需求书</w:t>
      </w:r>
      <w:bookmarkEnd w:id="115"/>
    </w:p>
    <w:p>
      <w:pPr>
        <w:pStyle w:val="21"/>
        <w:numPr>
          <w:ilvl w:val="0"/>
          <w:numId w:val="2"/>
        </w:numPr>
        <w:tabs>
          <w:tab w:val="left" w:pos="588"/>
        </w:tabs>
        <w:snapToGrid w:val="0"/>
        <w:spacing w:before="120" w:after="120" w:line="440" w:lineRule="exact"/>
        <w:ind w:firstLine="0"/>
        <w:jc w:val="left"/>
        <w:outlineLvl w:val="2"/>
        <w:rPr>
          <w:rFonts w:hint="eastAsia" w:ascii="仿宋" w:hAnsi="仿宋" w:eastAsia="仿宋"/>
          <w:sz w:val="24"/>
          <w:szCs w:val="24"/>
        </w:rPr>
      </w:pPr>
      <w:bookmarkStart w:id="116" w:name="_Toc193699354"/>
      <w:r>
        <w:rPr>
          <w:rFonts w:hint="eastAsia" w:ascii="仿宋" w:hAnsi="仿宋" w:eastAsia="仿宋"/>
          <w:sz w:val="24"/>
          <w:szCs w:val="24"/>
        </w:rPr>
        <w:t>项目需求清单</w:t>
      </w:r>
      <w:bookmarkEnd w:id="116"/>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490"/>
        <w:gridCol w:w="1529"/>
        <w:gridCol w:w="6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 w:type="pct"/>
            <w:shd w:val="clear" w:color="auto" w:fill="F1F1F1" w:themeFill="background1" w:themeFillShade="F2"/>
            <w:vAlign w:val="center"/>
          </w:tcPr>
          <w:p>
            <w:pPr>
              <w:spacing w:before="62" w:beforeLines="20" w:after="62" w:afterLines="20" w:line="288" w:lineRule="auto"/>
              <w:rPr>
                <w:rFonts w:hint="eastAsia" w:ascii="仿宋" w:hAnsi="仿宋" w:eastAsia="仿宋" w:cs="宋体"/>
                <w:b/>
                <w:bCs/>
                <w:szCs w:val="21"/>
              </w:rPr>
            </w:pPr>
            <w:r>
              <w:rPr>
                <w:rFonts w:hint="eastAsia" w:ascii="仿宋" w:hAnsi="仿宋" w:eastAsia="仿宋" w:cs="宋体"/>
                <w:b/>
                <w:bCs/>
                <w:szCs w:val="21"/>
              </w:rPr>
              <w:t>序号</w:t>
            </w:r>
          </w:p>
        </w:tc>
        <w:tc>
          <w:tcPr>
            <w:tcW w:w="287" w:type="pct"/>
            <w:shd w:val="clear" w:color="auto" w:fill="F1F1F1" w:themeFill="background1" w:themeFillShade="F2"/>
            <w:vAlign w:val="center"/>
          </w:tcPr>
          <w:p>
            <w:pPr>
              <w:spacing w:before="62" w:beforeLines="20" w:after="62" w:afterLines="20" w:line="288" w:lineRule="auto"/>
              <w:rPr>
                <w:rFonts w:hint="eastAsia" w:ascii="仿宋" w:hAnsi="仿宋" w:eastAsia="仿宋" w:cs="宋体"/>
                <w:b/>
                <w:bCs/>
                <w:szCs w:val="21"/>
              </w:rPr>
            </w:pPr>
            <w:r>
              <w:rPr>
                <w:rFonts w:hint="eastAsia" w:ascii="仿宋" w:hAnsi="仿宋" w:eastAsia="仿宋" w:cs="宋体"/>
                <w:b/>
                <w:bCs/>
                <w:szCs w:val="21"/>
              </w:rPr>
              <w:t>类型</w:t>
            </w:r>
          </w:p>
        </w:tc>
        <w:tc>
          <w:tcPr>
            <w:tcW w:w="896" w:type="pct"/>
            <w:shd w:val="clear" w:color="auto" w:fill="F1F1F1" w:themeFill="background1" w:themeFillShade="F2"/>
            <w:vAlign w:val="center"/>
          </w:tcPr>
          <w:p>
            <w:pPr>
              <w:spacing w:before="62" w:beforeLines="20" w:after="62" w:afterLines="20" w:line="288" w:lineRule="auto"/>
              <w:rPr>
                <w:rFonts w:hint="eastAsia" w:ascii="仿宋" w:hAnsi="仿宋" w:eastAsia="仿宋" w:cs="宋体"/>
                <w:b/>
                <w:bCs/>
                <w:szCs w:val="21"/>
              </w:rPr>
            </w:pPr>
            <w:r>
              <w:rPr>
                <w:rFonts w:hint="eastAsia" w:ascii="仿宋" w:hAnsi="仿宋" w:eastAsia="仿宋" w:cs="宋体"/>
                <w:b/>
                <w:bCs/>
                <w:szCs w:val="21"/>
              </w:rPr>
              <w:t>建设和服务项</w:t>
            </w:r>
          </w:p>
        </w:tc>
        <w:tc>
          <w:tcPr>
            <w:tcW w:w="3527" w:type="pct"/>
            <w:shd w:val="clear" w:color="auto" w:fill="F1F1F1" w:themeFill="background1" w:themeFillShade="F2"/>
            <w:vAlign w:val="center"/>
          </w:tcPr>
          <w:p>
            <w:pPr>
              <w:spacing w:before="62" w:beforeLines="20" w:after="62" w:afterLines="20" w:line="288" w:lineRule="auto"/>
              <w:rPr>
                <w:rFonts w:hint="eastAsia" w:ascii="仿宋" w:hAnsi="仿宋" w:eastAsia="仿宋" w:cs="宋体"/>
                <w:b/>
                <w:bCs/>
                <w:szCs w:val="21"/>
              </w:rPr>
            </w:pPr>
            <w:r>
              <w:rPr>
                <w:rFonts w:hint="eastAsia" w:ascii="仿宋" w:hAnsi="仿宋" w:eastAsia="仿宋" w:cs="宋体"/>
                <w:b/>
                <w:bCs/>
                <w:szCs w:val="21"/>
              </w:rPr>
              <w:t>主要需求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shd w:val="clear" w:color="auto" w:fill="auto"/>
            <w:vAlign w:val="center"/>
          </w:tcPr>
          <w:p>
            <w:pPr>
              <w:numPr>
                <w:ilvl w:val="0"/>
                <w:numId w:val="3"/>
              </w:numPr>
              <w:snapToGrid w:val="0"/>
              <w:spacing w:before="20" w:after="20" w:line="288" w:lineRule="auto"/>
              <w:ind w:left="0" w:firstLine="0"/>
              <w:rPr>
                <w:rFonts w:hint="eastAsia" w:ascii="仿宋" w:hAnsi="仿宋" w:eastAsia="仿宋" w:cs="宋体"/>
                <w:szCs w:val="21"/>
              </w:rPr>
            </w:pPr>
          </w:p>
        </w:tc>
        <w:tc>
          <w:tcPr>
            <w:tcW w:w="28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货物</w:t>
            </w:r>
          </w:p>
        </w:tc>
        <w:tc>
          <w:tcPr>
            <w:tcW w:w="896"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主机安全监测平台扩容</w:t>
            </w:r>
          </w:p>
        </w:tc>
        <w:tc>
          <w:tcPr>
            <w:tcW w:w="352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主机安全监测系统扩容200个基础授权；增加100个微隔离模块功能授权；增加50个容器安全功能模块授权；增加10个应用安全模块授权。含原厂3年服务。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shd w:val="clear" w:color="auto" w:fill="auto"/>
            <w:vAlign w:val="center"/>
          </w:tcPr>
          <w:p>
            <w:pPr>
              <w:numPr>
                <w:ilvl w:val="0"/>
                <w:numId w:val="3"/>
              </w:numPr>
              <w:snapToGrid w:val="0"/>
              <w:spacing w:before="20" w:after="20" w:line="288" w:lineRule="auto"/>
              <w:ind w:left="0" w:firstLine="0"/>
              <w:rPr>
                <w:rFonts w:hint="eastAsia" w:ascii="仿宋" w:hAnsi="仿宋" w:eastAsia="仿宋" w:cs="宋体"/>
                <w:szCs w:val="21"/>
              </w:rPr>
            </w:pPr>
          </w:p>
        </w:tc>
        <w:tc>
          <w:tcPr>
            <w:tcW w:w="28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货物</w:t>
            </w:r>
          </w:p>
        </w:tc>
        <w:tc>
          <w:tcPr>
            <w:tcW w:w="896"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信息系统日志分析平台扩容</w:t>
            </w:r>
          </w:p>
        </w:tc>
        <w:tc>
          <w:tcPr>
            <w:tcW w:w="3527" w:type="pct"/>
            <w:shd w:val="clear" w:color="auto" w:fill="auto"/>
            <w:vAlign w:val="center"/>
          </w:tcPr>
          <w:p>
            <w:pPr>
              <w:snapToGrid w:val="0"/>
              <w:spacing w:before="20" w:after="20" w:line="288" w:lineRule="auto"/>
              <w:rPr>
                <w:rFonts w:hint="eastAsia" w:ascii="仿宋" w:hAnsi="仿宋" w:eastAsia="仿宋" w:cs="宋体"/>
                <w:szCs w:val="21"/>
              </w:rPr>
            </w:pPr>
            <w:r>
              <w:rPr>
                <w:rFonts w:hint="eastAsia" w:ascii="仿宋" w:hAnsi="仿宋" w:eastAsia="仿宋" w:cs="宋体"/>
                <w:szCs w:val="21"/>
                <w:lang w:bidi="ar"/>
              </w:rPr>
              <w:t>扩容一台日志分析平台设备，并提供各类信息系统日志的接入服务和告警规则按需配置服务。含原厂3年服务。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 w:type="pct"/>
            <w:shd w:val="clear" w:color="auto" w:fill="auto"/>
            <w:vAlign w:val="center"/>
          </w:tcPr>
          <w:p>
            <w:pPr>
              <w:numPr>
                <w:ilvl w:val="0"/>
                <w:numId w:val="3"/>
              </w:numPr>
              <w:snapToGrid w:val="0"/>
              <w:spacing w:before="20" w:after="20" w:line="288" w:lineRule="auto"/>
              <w:ind w:left="0" w:firstLine="0"/>
              <w:rPr>
                <w:rFonts w:hint="eastAsia" w:ascii="仿宋" w:hAnsi="仿宋" w:eastAsia="仿宋" w:cs="宋体"/>
                <w:szCs w:val="21"/>
              </w:rPr>
            </w:pPr>
          </w:p>
        </w:tc>
        <w:tc>
          <w:tcPr>
            <w:tcW w:w="28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服务</w:t>
            </w:r>
          </w:p>
        </w:tc>
        <w:tc>
          <w:tcPr>
            <w:tcW w:w="896"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网络全流量分析平台</w:t>
            </w:r>
          </w:p>
        </w:tc>
        <w:tc>
          <w:tcPr>
            <w:tcW w:w="3527" w:type="pct"/>
            <w:shd w:val="clear" w:color="auto" w:fill="auto"/>
            <w:vAlign w:val="center"/>
          </w:tcPr>
          <w:p>
            <w:pPr>
              <w:snapToGrid w:val="0"/>
              <w:spacing w:before="20" w:after="20" w:line="288" w:lineRule="auto"/>
              <w:rPr>
                <w:rFonts w:hint="eastAsia" w:ascii="仿宋" w:hAnsi="仿宋" w:eastAsia="仿宋" w:cs="宋体"/>
                <w:szCs w:val="21"/>
              </w:rPr>
            </w:pPr>
            <w:r>
              <w:rPr>
                <w:rFonts w:hint="eastAsia" w:ascii="仿宋" w:hAnsi="仿宋" w:eastAsia="仿宋" w:cs="宋体"/>
                <w:szCs w:val="21"/>
              </w:rPr>
              <w:t>通过全网络流量大数据技术安全分析工具。提供对潜在的异常行为与隐蔽风险进行检测、溯源和取证等安全分析服务1年。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 w:type="pct"/>
            <w:shd w:val="clear" w:color="auto" w:fill="auto"/>
            <w:vAlign w:val="center"/>
          </w:tcPr>
          <w:p>
            <w:pPr>
              <w:numPr>
                <w:ilvl w:val="0"/>
                <w:numId w:val="3"/>
              </w:numPr>
              <w:snapToGrid w:val="0"/>
              <w:spacing w:before="20" w:after="20" w:line="288" w:lineRule="auto"/>
              <w:ind w:left="0" w:firstLine="0"/>
              <w:rPr>
                <w:rFonts w:hint="eastAsia" w:ascii="仿宋" w:hAnsi="仿宋" w:eastAsia="仿宋" w:cs="宋体"/>
                <w:szCs w:val="21"/>
              </w:rPr>
            </w:pPr>
          </w:p>
        </w:tc>
        <w:tc>
          <w:tcPr>
            <w:tcW w:w="28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服务</w:t>
            </w:r>
          </w:p>
        </w:tc>
        <w:tc>
          <w:tcPr>
            <w:tcW w:w="896"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等保测评服务</w:t>
            </w:r>
          </w:p>
        </w:tc>
        <w:tc>
          <w:tcPr>
            <w:tcW w:w="3527" w:type="pct"/>
            <w:shd w:val="clear" w:color="auto" w:fill="auto"/>
            <w:vAlign w:val="center"/>
          </w:tcPr>
          <w:p>
            <w:pPr>
              <w:snapToGrid w:val="0"/>
              <w:spacing w:before="20" w:after="20" w:line="288" w:lineRule="auto"/>
              <w:rPr>
                <w:rFonts w:hint="eastAsia" w:ascii="仿宋" w:hAnsi="仿宋" w:eastAsia="仿宋" w:cs="宋体"/>
                <w:szCs w:val="21"/>
              </w:rPr>
            </w:pPr>
            <w:r>
              <w:rPr>
                <w:rFonts w:hint="eastAsia" w:ascii="仿宋" w:hAnsi="仿宋" w:eastAsia="仿宋" w:cs="宋体"/>
                <w:szCs w:val="21"/>
                <w:lang w:bidi="ar"/>
              </w:rPr>
              <w:t>提供1个三级系统、2个二级系统和1个一级系统的等保测评服务。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 w:type="pct"/>
            <w:shd w:val="clear" w:color="auto" w:fill="auto"/>
            <w:vAlign w:val="center"/>
          </w:tcPr>
          <w:p>
            <w:pPr>
              <w:numPr>
                <w:ilvl w:val="0"/>
                <w:numId w:val="3"/>
              </w:numPr>
              <w:snapToGrid w:val="0"/>
              <w:spacing w:before="20" w:after="20" w:line="288" w:lineRule="auto"/>
              <w:ind w:left="0" w:firstLine="0"/>
              <w:rPr>
                <w:rFonts w:hint="eastAsia" w:ascii="仿宋" w:hAnsi="仿宋" w:eastAsia="仿宋" w:cs="宋体"/>
                <w:szCs w:val="21"/>
              </w:rPr>
            </w:pPr>
          </w:p>
        </w:tc>
        <w:tc>
          <w:tcPr>
            <w:tcW w:w="28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服务</w:t>
            </w:r>
          </w:p>
        </w:tc>
        <w:tc>
          <w:tcPr>
            <w:tcW w:w="896" w:type="pct"/>
            <w:shd w:val="clear" w:color="auto" w:fill="auto"/>
            <w:vAlign w:val="center"/>
          </w:tcPr>
          <w:p>
            <w:pPr>
              <w:snapToGrid w:val="0"/>
              <w:spacing w:before="20" w:after="20" w:line="288" w:lineRule="auto"/>
              <w:rPr>
                <w:rFonts w:hint="eastAsia" w:ascii="仿宋" w:hAnsi="仿宋" w:eastAsia="仿宋" w:cs="宋体"/>
                <w:szCs w:val="21"/>
              </w:rPr>
            </w:pPr>
            <w:r>
              <w:rPr>
                <w:rFonts w:hint="eastAsia" w:ascii="仿宋" w:hAnsi="仿宋" w:eastAsia="仿宋" w:cs="宋体"/>
                <w:szCs w:val="21"/>
                <w:lang w:bidi="ar"/>
              </w:rPr>
              <w:t>内网AD域监测服务</w:t>
            </w:r>
          </w:p>
        </w:tc>
        <w:tc>
          <w:tcPr>
            <w:tcW w:w="352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对内网AD域及相关系统进行实时检测。包括基线、权限配置、账号和协议，网络端口等梳理，部署AD域的攻击检测及响应工具，一年服务期。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 w:type="pct"/>
            <w:shd w:val="clear" w:color="auto" w:fill="auto"/>
            <w:vAlign w:val="center"/>
          </w:tcPr>
          <w:p>
            <w:pPr>
              <w:numPr>
                <w:ilvl w:val="0"/>
                <w:numId w:val="3"/>
              </w:numPr>
              <w:snapToGrid w:val="0"/>
              <w:spacing w:before="20" w:after="20" w:line="288" w:lineRule="auto"/>
              <w:ind w:left="0" w:firstLine="0"/>
              <w:rPr>
                <w:rFonts w:hint="eastAsia" w:ascii="仿宋" w:hAnsi="仿宋" w:eastAsia="仿宋" w:cs="宋体"/>
                <w:szCs w:val="21"/>
              </w:rPr>
            </w:pPr>
          </w:p>
        </w:tc>
        <w:tc>
          <w:tcPr>
            <w:tcW w:w="28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服务</w:t>
            </w:r>
          </w:p>
        </w:tc>
        <w:tc>
          <w:tcPr>
            <w:tcW w:w="896"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持续监测、重保值守、应急响应服务</w:t>
            </w:r>
          </w:p>
        </w:tc>
        <w:tc>
          <w:tcPr>
            <w:tcW w:w="352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1年7*24小时网络安全风险远程监测，安全告警事件闭环处置，及重大活动期间（不少于20人日）现场驻场服务，并提供不限次数的现场安全应急分析和处置服务，两小时内到达现场。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 w:type="pct"/>
            <w:shd w:val="clear" w:color="auto" w:fill="auto"/>
            <w:vAlign w:val="center"/>
          </w:tcPr>
          <w:p>
            <w:pPr>
              <w:numPr>
                <w:ilvl w:val="0"/>
                <w:numId w:val="3"/>
              </w:numPr>
              <w:snapToGrid w:val="0"/>
              <w:spacing w:before="20" w:after="20" w:line="288" w:lineRule="auto"/>
              <w:ind w:left="0" w:firstLine="0"/>
              <w:rPr>
                <w:rFonts w:hint="eastAsia" w:ascii="仿宋" w:hAnsi="仿宋" w:eastAsia="仿宋" w:cs="宋体"/>
                <w:szCs w:val="21"/>
              </w:rPr>
            </w:pPr>
          </w:p>
        </w:tc>
        <w:tc>
          <w:tcPr>
            <w:tcW w:w="28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服务</w:t>
            </w:r>
          </w:p>
        </w:tc>
        <w:tc>
          <w:tcPr>
            <w:tcW w:w="896"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网络安全风险排查服务</w:t>
            </w:r>
          </w:p>
        </w:tc>
        <w:tc>
          <w:tcPr>
            <w:tcW w:w="352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对整体的网络和应用系统进行网络安全风险排查，包括但不限于以下内容：</w:t>
            </w:r>
          </w:p>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不少于4个的应用系统渗透测试;</w:t>
            </w:r>
          </w:p>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不少于2次的AD域渗透测试；</w:t>
            </w:r>
          </w:p>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不少于2次的内网高级攻防测试；</w:t>
            </w:r>
          </w:p>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不少于2次的互联网暴露面梳理；</w:t>
            </w:r>
          </w:p>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不少于2次的网络安全设备整体配置有效性测试；</w:t>
            </w:r>
          </w:p>
          <w:p>
            <w:pPr>
              <w:snapToGrid w:val="0"/>
              <w:spacing w:before="20" w:after="20" w:line="288" w:lineRule="auto"/>
              <w:rPr>
                <w:rFonts w:hint="eastAsia" w:ascii="仿宋" w:hAnsi="仿宋" w:eastAsia="仿宋" w:cs="宋体"/>
                <w:szCs w:val="21"/>
              </w:rPr>
            </w:pPr>
            <w:r>
              <w:rPr>
                <w:rFonts w:hint="eastAsia" w:ascii="仿宋" w:hAnsi="仿宋" w:eastAsia="仿宋" w:cs="宋体"/>
                <w:szCs w:val="21"/>
                <w:lang w:bidi="ar"/>
              </w:rPr>
              <w:t>本项所有服务，总人工不少于60人天。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 w:type="pct"/>
            <w:shd w:val="clear" w:color="auto" w:fill="auto"/>
            <w:vAlign w:val="center"/>
          </w:tcPr>
          <w:p>
            <w:pPr>
              <w:numPr>
                <w:ilvl w:val="0"/>
                <w:numId w:val="3"/>
              </w:numPr>
              <w:snapToGrid w:val="0"/>
              <w:spacing w:before="20" w:after="20" w:line="288" w:lineRule="auto"/>
              <w:ind w:left="0" w:firstLine="0"/>
              <w:rPr>
                <w:rFonts w:hint="eastAsia" w:ascii="仿宋" w:hAnsi="仿宋" w:eastAsia="仿宋" w:cs="宋体"/>
                <w:szCs w:val="21"/>
              </w:rPr>
            </w:pPr>
          </w:p>
        </w:tc>
        <w:tc>
          <w:tcPr>
            <w:tcW w:w="28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服务</w:t>
            </w:r>
          </w:p>
        </w:tc>
        <w:tc>
          <w:tcPr>
            <w:tcW w:w="896"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网络风险资产监测分析服务</w:t>
            </w:r>
          </w:p>
        </w:tc>
        <w:tc>
          <w:tcPr>
            <w:tcW w:w="352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提供一年的D01网络风险资产监测分析系统原厂服务，包括故障处理、系统更新、漏洞库规则库更新等。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 w:type="pct"/>
            <w:shd w:val="clear" w:color="auto" w:fill="auto"/>
            <w:vAlign w:val="center"/>
          </w:tcPr>
          <w:p>
            <w:pPr>
              <w:numPr>
                <w:ilvl w:val="0"/>
                <w:numId w:val="3"/>
              </w:numPr>
              <w:snapToGrid w:val="0"/>
              <w:spacing w:before="20" w:after="20" w:line="288" w:lineRule="auto"/>
              <w:ind w:left="0" w:firstLine="0"/>
              <w:rPr>
                <w:rFonts w:hint="eastAsia" w:ascii="仿宋" w:hAnsi="仿宋" w:eastAsia="仿宋" w:cs="宋体"/>
                <w:szCs w:val="21"/>
              </w:rPr>
            </w:pPr>
          </w:p>
        </w:tc>
        <w:tc>
          <w:tcPr>
            <w:tcW w:w="28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服务</w:t>
            </w:r>
          </w:p>
        </w:tc>
        <w:tc>
          <w:tcPr>
            <w:tcW w:w="896"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安全培训服务</w:t>
            </w:r>
          </w:p>
        </w:tc>
        <w:tc>
          <w:tcPr>
            <w:tcW w:w="3527" w:type="pct"/>
            <w:shd w:val="clear" w:color="auto" w:fill="auto"/>
            <w:vAlign w:val="center"/>
          </w:tcPr>
          <w:p>
            <w:pPr>
              <w:snapToGrid w:val="0"/>
              <w:spacing w:before="20" w:after="20" w:line="288" w:lineRule="auto"/>
              <w:rPr>
                <w:rFonts w:hint="eastAsia" w:ascii="仿宋" w:hAnsi="仿宋" w:eastAsia="仿宋" w:cs="宋体"/>
                <w:szCs w:val="21"/>
                <w:lang w:bidi="ar"/>
              </w:rPr>
            </w:pPr>
            <w:r>
              <w:rPr>
                <w:rFonts w:hint="eastAsia" w:ascii="仿宋" w:hAnsi="仿宋" w:eastAsia="仿宋" w:cs="宋体"/>
                <w:szCs w:val="21"/>
                <w:lang w:bidi="ar"/>
              </w:rPr>
              <w:t>提供不少于2次人员安全意识教育培训；不少于2人次的CISP专家级技术培训课程和考试；网络安全宣传周活动1次，含策划及物料；ISO27001信息安全管理系统标准培训和认证。</w:t>
            </w:r>
          </w:p>
        </w:tc>
      </w:tr>
    </w:tbl>
    <w:p>
      <w:pPr>
        <w:pStyle w:val="21"/>
        <w:numPr>
          <w:ilvl w:val="0"/>
          <w:numId w:val="2"/>
        </w:numPr>
        <w:tabs>
          <w:tab w:val="left" w:pos="588"/>
        </w:tabs>
        <w:snapToGrid w:val="0"/>
        <w:spacing w:before="120" w:after="120" w:line="440" w:lineRule="exact"/>
        <w:ind w:firstLine="0"/>
        <w:jc w:val="left"/>
        <w:outlineLvl w:val="2"/>
        <w:rPr>
          <w:rFonts w:hint="eastAsia" w:ascii="仿宋" w:hAnsi="仿宋" w:eastAsia="仿宋"/>
          <w:sz w:val="24"/>
          <w:szCs w:val="24"/>
        </w:rPr>
      </w:pPr>
      <w:bookmarkStart w:id="117" w:name="_Toc193699355"/>
      <w:r>
        <w:rPr>
          <w:rFonts w:hint="eastAsia" w:ascii="仿宋" w:hAnsi="仿宋" w:eastAsia="仿宋"/>
          <w:sz w:val="24"/>
          <w:szCs w:val="24"/>
        </w:rPr>
        <w:t>项目需求内容</w:t>
      </w:r>
      <w:bookmarkEnd w:id="117"/>
    </w:p>
    <w:p>
      <w:pPr>
        <w:pStyle w:val="21"/>
        <w:numPr>
          <w:ilvl w:val="0"/>
          <w:numId w:val="4"/>
        </w:numPr>
        <w:tabs>
          <w:tab w:val="left" w:pos="588"/>
        </w:tabs>
        <w:snapToGrid w:val="0"/>
        <w:spacing w:before="120" w:after="120" w:line="440" w:lineRule="exact"/>
        <w:jc w:val="left"/>
        <w:outlineLvl w:val="3"/>
        <w:rPr>
          <w:rFonts w:hint="eastAsia" w:ascii="仿宋" w:hAnsi="仿宋" w:eastAsia="仿宋"/>
          <w:sz w:val="22"/>
          <w:szCs w:val="22"/>
        </w:rPr>
      </w:pPr>
      <w:bookmarkStart w:id="118" w:name="_Toc193699356"/>
      <w:r>
        <w:rPr>
          <w:rFonts w:hint="eastAsia" w:ascii="仿宋" w:hAnsi="仿宋" w:eastAsia="仿宋"/>
          <w:sz w:val="22"/>
          <w:szCs w:val="22"/>
        </w:rPr>
        <w:t>主机安全监测平台扩容</w:t>
      </w:r>
      <w:bookmarkEnd w:id="118"/>
    </w:p>
    <w:tbl>
      <w:tblPr>
        <w:tblStyle w:val="2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51"/>
        <w:gridCol w:w="652"/>
        <w:gridCol w:w="831"/>
        <w:gridCol w:w="60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951" w:type="dxa"/>
            <w:tcBorders>
              <w:bottom w:val="single" w:color="auto" w:sz="4" w:space="0"/>
              <w:right w:val="single" w:color="000000" w:sz="4" w:space="0"/>
            </w:tcBorders>
            <w:shd w:val="clear" w:color="auto" w:fill="F1F1F1" w:themeFill="background1" w:themeFillShade="F2"/>
            <w:vAlign w:val="center"/>
          </w:tcPr>
          <w:p>
            <w:pPr>
              <w:widowControl/>
              <w:spacing w:before="62" w:beforeLines="20" w:after="62" w:afterLines="20" w:line="288" w:lineRule="auto"/>
              <w:jc w:val="center"/>
              <w:textAlignment w:val="center"/>
              <w:rPr>
                <w:rFonts w:hint="eastAsia" w:ascii="仿宋" w:hAnsi="仿宋" w:eastAsia="仿宋" w:cs="宋体"/>
                <w:b/>
                <w:bCs/>
                <w:color w:val="000000"/>
                <w:kern w:val="0"/>
                <w:szCs w:val="21"/>
                <w:lang w:bidi="ar"/>
              </w:rPr>
            </w:pPr>
            <w:r>
              <w:rPr>
                <w:rFonts w:hint="eastAsia" w:ascii="仿宋" w:hAnsi="仿宋" w:eastAsia="仿宋" w:cs="宋体"/>
                <w:b/>
                <w:bCs/>
                <w:color w:val="000000"/>
                <w:kern w:val="0"/>
                <w:szCs w:val="21"/>
                <w:lang w:bidi="ar"/>
              </w:rPr>
              <w:t>编号</w:t>
            </w:r>
          </w:p>
        </w:tc>
        <w:tc>
          <w:tcPr>
            <w:tcW w:w="1257" w:type="dxa"/>
            <w:gridSpan w:val="2"/>
            <w:tcBorders>
              <w:left w:val="nil"/>
              <w:bottom w:val="single" w:color="auto" w:sz="4" w:space="0"/>
              <w:right w:val="single" w:color="000000" w:sz="4" w:space="0"/>
            </w:tcBorders>
            <w:shd w:val="clear" w:color="auto" w:fill="F1F1F1" w:themeFill="background1" w:themeFillShade="F2"/>
            <w:vAlign w:val="center"/>
          </w:tcPr>
          <w:p>
            <w:pPr>
              <w:widowControl/>
              <w:spacing w:before="62" w:beforeLines="20" w:after="62" w:afterLines="20" w:line="288" w:lineRule="auto"/>
              <w:jc w:val="center"/>
              <w:textAlignment w:val="center"/>
              <w:rPr>
                <w:rFonts w:hint="eastAsia" w:ascii="仿宋" w:hAnsi="仿宋" w:eastAsia="仿宋" w:cs="宋体"/>
                <w:b/>
                <w:bCs/>
                <w:color w:val="000000"/>
                <w:kern w:val="0"/>
                <w:szCs w:val="21"/>
                <w:lang w:bidi="ar"/>
              </w:rPr>
            </w:pPr>
            <w:r>
              <w:rPr>
                <w:rFonts w:hint="eastAsia" w:ascii="仿宋" w:hAnsi="仿宋" w:eastAsia="仿宋" w:cs="宋体"/>
                <w:b/>
                <w:bCs/>
                <w:color w:val="000000"/>
                <w:kern w:val="0"/>
                <w:szCs w:val="21"/>
                <w:lang w:bidi="ar"/>
              </w:rPr>
              <w:t>功能项目</w:t>
            </w:r>
          </w:p>
        </w:tc>
        <w:tc>
          <w:tcPr>
            <w:tcW w:w="6094" w:type="dxa"/>
            <w:tcBorders>
              <w:left w:val="single" w:color="000000" w:sz="4" w:space="0"/>
              <w:bottom w:val="single" w:color="auto" w:sz="4" w:space="0"/>
            </w:tcBorders>
            <w:shd w:val="clear" w:color="auto" w:fill="F1F1F1" w:themeFill="background1" w:themeFillShade="F2"/>
            <w:vAlign w:val="center"/>
          </w:tcPr>
          <w:p>
            <w:pPr>
              <w:widowControl/>
              <w:spacing w:before="62" w:beforeLines="20" w:after="62" w:afterLines="20" w:line="288" w:lineRule="auto"/>
              <w:jc w:val="center"/>
              <w:textAlignment w:val="center"/>
              <w:rPr>
                <w:rFonts w:hint="eastAsia" w:ascii="仿宋" w:hAnsi="仿宋" w:eastAsia="仿宋" w:cs="宋体"/>
                <w:b/>
                <w:bCs/>
                <w:color w:val="000000"/>
                <w:kern w:val="0"/>
                <w:szCs w:val="21"/>
                <w:lang w:bidi="ar"/>
              </w:rPr>
            </w:pPr>
            <w:r>
              <w:rPr>
                <w:rFonts w:hint="eastAsia" w:ascii="仿宋" w:hAnsi="仿宋" w:eastAsia="仿宋" w:cs="宋体"/>
                <w:b/>
                <w:bCs/>
                <w:color w:val="000000"/>
                <w:kern w:val="0"/>
                <w:szCs w:val="21"/>
                <w:lang w:bidi="ar"/>
              </w:rPr>
              <w:t>功能需求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auto"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w:t>
            </w:r>
          </w:p>
        </w:tc>
        <w:tc>
          <w:tcPr>
            <w:tcW w:w="0" w:type="auto"/>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基本要求</w:t>
            </w:r>
          </w:p>
        </w:tc>
        <w:tc>
          <w:tcPr>
            <w:tcW w:w="831"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基本要求</w:t>
            </w:r>
          </w:p>
        </w:tc>
        <w:tc>
          <w:tcPr>
            <w:tcW w:w="6094" w:type="dxa"/>
            <w:tcBorders>
              <w:top w:val="single" w:color="auto"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1、配置要求：采用Agent-Server架构，支持通过B/S管理方式进行集中管理。为简化用户端安装管理要求，应用安全、微隔离、容器安全与主机安全平台应使用同一个Agent。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2、包含主机安全模块200点授权许可；容器安全模块50点授权许可；微隔离功能模块100点授权许可；应用安全模块10点授权许可。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kern w:val="0"/>
                <w:szCs w:val="21"/>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kern w:val="0"/>
                <w:szCs w:val="21"/>
                <w:lang w:bidi="ar"/>
              </w:rPr>
            </w:pPr>
            <w:r>
              <w:rPr>
                <w:rFonts w:hint="eastAsia" w:ascii="仿宋" w:hAnsi="仿宋" w:eastAsia="仿宋" w:cs="宋体"/>
                <w:color w:val="000000"/>
                <w:kern w:val="0"/>
                <w:szCs w:val="21"/>
                <w:lang w:bidi="ar"/>
              </w:rPr>
              <w:t>3、具备公安部颁发的“计算机信息系统安全专用销售许可证书或网络安全专用产品安全检测证书”。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numPr>
                <w:ilvl w:val="0"/>
                <w:numId w:val="5"/>
              </w:numPr>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支持以下常见操作系统：RHEL：5、6、7；CentOS：5-8；Ubuntu：10-19；SUSE：10-15；Debian：6-10；OpenSUSE：11-15；支持常见国产操作系统：TencentOS，Aliyun Linux，Anolis OS，NeoKylin：6、7（中标麒麟）；YHKylin4（银河麒麟）；Redflag9（红旗）；Deepin15（深度）；iSoft4（普华），euler V2（欧拉），bc_linux(大云)。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产品成熟度要求</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安全性与稳定性：客户端占用内存资源应不超过500MB，CPU单核使用率不超过50%，综合使用率不超过5%，客户端不得修改服务器操作系统内核或驱动，并禁止采用抓包技术，安装时不应影响业务正常运行，安装卸载无需重启系统。客户端需具有自动降级与自杀机制，来保证业务连续性要求，并支持使用非root账号运行。（提供截图证明，针对不修改内核及驱动需提供第三方检测报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▲2、产品具备国家信息安全测评中心颁发的信息技术产品安全测评证书（EAL3级）。（提供相关证明文件）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主机安全</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主机资产管理</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1、支持实时清点主机基础信息，监控主机状态，并提供自定义主机分组、操作系统、业务进程、安全插件等各种管理维度的主机统计</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7</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2、提供进程信息快照，展示进程各维度的信息，对root权限，僵尸进程，IO waiting进程，非包安装进程，唯一进程进行分析统计，帮助发现问题进程。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8</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3、支持清点账号公钥key数据，并统计每个公钥值被使用的账号数与具体账号</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9</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4、支持清点Windows域账号，清点域账号服务器管理的账号与域账号被使用登录的信息，至少包括：所属域名，账号最近登录时间，账号状态，账号类型，Home目录，最近登录主机名，最近登录主机IP等。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10</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5、支持清点Windows系统中包含的根证书颁发机构、受信任证书信息，当无法确定一个程序是否合法，可查询此处信息辅助参考，至少应包括，签名信息，颁发者，指纹，证书路径，有效期。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11</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6、支持清点Windows系统注册表项值，选择清点其中与安全相关的重要表项值，至少包括：路径，名称，类型，数据，风险描述等</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12</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7、支持清点服务器中运行各类常见Web中间件，包括：Nginx, Apache, Jboss, Tomcat, Weblogic, Jetty等。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13</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8、清点的Web站点信息中应包含该站点的所有虚拟目录，以确保所有Web目录被监控，目录应清点如下信息：目录虚拟路径，物理路径，文件所有者，文件所属组，文件权限。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14</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9、支持自动清点Web服务中运行的Web站点，并域名维度分析系统的Web业务情况，梳理对外，root权限，777权限的站点，提醒运维人员优化站点配置。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15</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主机风险管理</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1、风险扫描任务开始后，支持展示整个扫描过程，即使显示扫描结果，展示风险问题数量，影响的主机数量等各类信息；扫描完成后应展示当前结果的更新时间。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16</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漏洞检测支持可以选择配置检测方式，包括版本比和poc的方式进行扫描，poc校验能够提供校验返回结果。支持windows补丁替换关系梳理，可逐级查询补丁替代关系；补丁列表支持通过旧补丁修复漏洞的cve编号找到替换补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17</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3、支持对安全补丁进行周期性自动检测，并提供详细补丁说明，修复方案及其修复影响，且支持支持自定义填写用户修复建议。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18</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支持自定义组合密码，允许按照前缀，后缀，连接符模式定义字典；弱密码类型支持密码与用户名相同，空口令，常见弱密码；支持显示过去7天、过去30天、过去3个月维度的弱密码修复历史，统计弱密码业务组的情况、修复耗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19</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5、支持业务影响性分析能力，可一键检查补丁修复对服务器进程的影响；可批量配置补丁白名单规则，批量按照补丁名称、补丁修复的应用、修复影响、补丁危害程度、补丁特征等加入白名单</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20</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主机入侵检测</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1、支持实时发现暴力破解行为，支持Linux和windows系统暴力破解，以及VSFTPD、WINRM等多种服务，并支持自动封堵。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21</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2、支持实时的对在异常IP所属区域，异常时间，异常IP等异常登录行为的识别，以及支持检查主机环境中的登录日志配置是否正常，防止部分功能没有生效。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22</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3、支持实时监控主机上所有利用Shell进行反向连接的行为并告警，可单独设置是否上报内网反弹行为。可根据特定业务组和特定时间段配置反弹shell自动响应策略，也可在告警界面手动阻断反弹进程。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23</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4、支持根据特定主机或业务组开启实时web后门检测，根据告警级别、IP、时间段来配置web后门自动隔离策略。支持配置开启NFS挂载的网站目录识别，且支持按照单台主机开启/关闭，防止引发性能问题。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24</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5、支持配置正常登录规则，实时检测在非法登录来源IP、非法账号、非合法登录时间、非合法登录来源区域的登录行为。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25</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支持自定义恶意域名、IP与端口进行实时监控服务器对外的恶意链接行为；支持自定义恶意进程名与进程参数检测，实时监控服务器的恶意进程启动行为；可自定义系统配置规则，通过扫描方式对指定的系统配置文件内容进行检测，发现可疑配置</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26</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主机基线检查</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1、系统安全基线应至少覆盖Ubuntu、Debian、CentOS、Oracle Linux、Red Hat Enterprise Linux、Suse Linux、中标麒麟、BC-Linux；支持系统安全基线Windows2008/2012/2016/2019，等主流Windows系统。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27</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2、支持对Apache、Ngnix、Tomcat、Jboss、Resin、WebSphere、Weblogic等应用等保的检测。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28</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3、支持对Mysql、MongoDB、Oracle、DB2、informix 等数据库等保的检测。并针对数据库的等保基线检测，支持录入数据库的用户名、密码和端口检查凭证，管理凭证需要管理员权限密码。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29</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病毒查杀</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1、支持至少包含3个以上杀毒引擎，可自定义配置每个杀毒引擎的开启与关闭，所有引擎应提供版本号，更新时间</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30</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2、可选择主机进行本地引擎安装、升级和卸载，用户可设置是否自动安装和自动升级，可查看本地引擎版本支持清单，查看不可用主机列表</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31</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3、提供病毒修复历史，记录所有已修复或已进行处理的病毒，准确记录已修复病毒的相关信息，记录信息至少应包括，发生时间，修复时间，病毒类型，感染主机，病毒详情。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32</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主机微蜜罐</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1、支持在主机伪造诱饵文件，实时检测对诱饵文件的访问和操作行为。支持内置诱饵文件模板，实现一键部署，并可手动定义诱饵文件大小。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33</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2、支持伪造任意系统端口，实时检测对设置蜜罐端口的尝试连接行为，并提供告警，应提供一键处理冲突的操作，支持根据端口、适用主机范围，批量在主机中添加监控规则， 监控已设置规则的端口，一旦尝试访问端口，即上报告警，其中端口应支持输入多个。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34</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主机文件完整性</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1、支持采用定时扫描和实时检测两种方式,对文件的新增、修改、删除、权限变更等变化行为进行告警。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35</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2、支持一键自动学习并引用web站点目录,并支持配置根据文件变化数量和危险程度进行告警。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36</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主机内存马检测</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1、支持实时检测在内存中加载网站恶意文件，无任何本地文件、恶意代码注入的检测。需要展示内存对应的类名、父类名、所属类加载器、内存对应大小、MD5信息等</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37</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2、支持主动发起单台主机/业务组/全部主机的扫描。支持主动发起事件验证，可验证主机中是否还存在该内存后门</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容器安全</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容器资产管理</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1、支持对镜像进行软件成分分析，支持清点镜像的环境变量，应至少支持识别软件包：OS、Python、PHP、Node.js 、Ruby、Java、. NET、Rust、Go等。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2、支持对集群中的权限进行清点，如Role、ClusterRole，包括角色名称、角色类型、所属集群、所属命名空间、创建时间，查看详细的角色权限，可以展示角色所绑定的API资源和动作。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3、支持自动获取容器内的web框架，如spring、spring boot、Jackson、logback资产信息应至少包括服务类型、框架版本、框架语言、框架名、框架路径等。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4、支持自动识别容器的应用资产，如Oracle、tomcat、nginx、SSH、rsyslog、redis等，应用信息应至少包括应用名、应用类型、应用版本、运行用户、二进制路径等。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容器风险管理</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1、具备容器漏洞及弱密码检测能力：采用POC的漏洞验证的方式检测的容器中运行的应用漏洞是否真实存在且可被利用，对环境内的容器应用弱密码扫描的能力，并支持自定义密码字典库。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2、支持基于CIS标准的docker、CRI-O、containerd、kubernetes、镜像、openshift 检测，主机的检测合规基线检查能力，支持自定义检查能力，具体包括检测周期，达标的通过率、基线配置项</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 xml:space="preserve">▲3、容器安全支持检测集群风险，支持的风险检测类型应包括：kubernetes安全检测、docker安全检测、Harbor安全检测等。支持产品中集群风险检查规则展示，可查看检查项详情并自定义检查项启用/禁用状态。（提供截图证明并加盖厂商公章）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容器入侵检测</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支持检测容器内的反向连接行为，包括nc、perl、ruby、php、telnet、python反弹shell场景。支持展示详细的反弹shell详情，包括对应的ATTCK技术、战术，发起反弹的进程链信息，如进程名、进程命令行、进程md5、进程sha256等，连接的端口的信息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2、支持实时检测容器中的web后门文件，应支持的后门类型包括 php,jsp,jspx,jspf,aspx,asp,html 等各类常见工具的后门。允许自定义镜像的任意监控目录，可以额外监控部分网站目录，防止监控遗漏。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3、支持实时检测容器中的运行的挖矿程序、远控木马、恶意文件等病毒；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4、支持快速对容器内关键系统目录进行病毒木马检测，如crontab文件；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5、支持自定义容器内检测目录，能够对指定目录进行木马病毒文件的检测</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6、支持实时检测利用DNS、ICMP等合法协议来构建隐匿隧道来掩护其传递非法信息的攻击，例如DNS隧道、网络层ICMP隧道Ptunnel使用、传输层转发隧道Portmap使用等。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7、支持通过机器学习算法对检测出的攻击行为进行关联分析，并以2.5D图的方式进行展示整个攻击链详情，支持按照主机、容器维度对攻击事件进行聚合分析，帮助用户还原黑客的攻击链路。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8、应支持对失陷容器进行响应处理，响应方式应包括：隔离容器、暂停容器、杀容器</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微隔离</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网络可视化</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1、能点击拓扑图中流量线查看具体流量连接信息，除基本信息（源IP、目的IP、目的端口、协议、进程/服务）外，还应以不同颜色标识正常、异常等状态的流量</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2、能以列表的形式展示所记录的原始网络连接数据，内容包括但不限于访问者信息、被访问者信息、服务、访问次数、首次及最近连接时间等</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策略配置</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1、防火墙备份和还原：下发策略时能自动备份主机防火墙的状态，关闭微隔离后可删除设置的微隔离策略并恢复主机原有防火墙状态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2、能一键隔离失陷主机，阻断出入主机的网络访问，仅保留和系统服务端之间的通信</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微隔离提供严格和宽松两种访问控制模式，严格模式放行满足策略的访问，拦截其他所有访问；宽松模式对配置了策略的端口进行放行/拦截控制，未配置策略的端口放行全部访问（提供截图证明并加盖厂商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4、微隔离服务平台支持查看主机上的运行进程信息，包括但不限于进程名、版本、路径、PID信息，支持导出；可查看主机上的软件应用信息，包括但不限于应用名、版本、进程PID信息，支持导出</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应用安全</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应用管理及脆弱性</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1支持管理应用的主机归属关系，可按照业务视角来统计和查看应用的资产、防护状态、待处理告警、风险信息、热补丁配置、防护策略配置等。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2、支持对多种应用中间件进行弱密码检测，至少包括：TiDB，redis、oracle、mysql、mongo、kafka。支持用户自定义弱密码检测规则，并支持自定义组合弱密码。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应用入侵检测</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 xml:space="preserve">▲1、支持内存马攻击检测与告警，并可对发现的内存马进行拦截防护，覆盖：冰蝎、哥斯拉、蚁剑等常见内存马，并可上报恶意类还原代码信息，支持下载源代码文件和类文件。（提供截图证明并加盖厂商公章）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2、支持对已经驻留的内存马恶意类进行一键应急阻断，提供阻断操作记录，并可从记录处还原已被阻断的类</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3、内置多项漏洞的热补丁修复，包含：Struts2系列漏洞、Spring常见漏洞、Log4J、Shiro漏洞等。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left"/>
              <w:rPr>
                <w:rFonts w:hint="eastAsia" w:ascii="仿宋" w:hAnsi="仿宋" w:eastAsia="仿宋" w:cs="宋体"/>
                <w:color w:val="000000"/>
                <w:szCs w:val="21"/>
              </w:rPr>
            </w:pP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4、支持对应用进行组件漏洞检查，至少包括：漏洞名称、危险程度、漏洞类型、风险描述、影响对象、验证信息、修复建议等；支持对检查结果进行多维度的筛选。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售后服务</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安装服务</w:t>
            </w:r>
          </w:p>
        </w:tc>
        <w:tc>
          <w:tcPr>
            <w:tcW w:w="6094" w:type="dxa"/>
            <w:tcBorders>
              <w:top w:val="single" w:color="000000" w:sz="4" w:space="0"/>
              <w:left w:val="single" w:color="000000" w:sz="4" w:space="0"/>
              <w:bottom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需要提供原厂工程师产品实施服务和产品培训服务。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51" w:type="dxa"/>
            <w:tcBorders>
              <w:top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66</w:t>
            </w:r>
          </w:p>
        </w:tc>
        <w:tc>
          <w:tcPr>
            <w:tcW w:w="0" w:type="auto"/>
            <w:vMerge w:val="continue"/>
            <w:tcBorders>
              <w:top w:val="single" w:color="000000" w:sz="4" w:space="0"/>
              <w:left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831" w:type="dxa"/>
            <w:tcBorders>
              <w:top w:val="single" w:color="000000" w:sz="4" w:space="0"/>
              <w:left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维保服务</w:t>
            </w:r>
          </w:p>
        </w:tc>
        <w:tc>
          <w:tcPr>
            <w:tcW w:w="6094" w:type="dxa"/>
            <w:tcBorders>
              <w:top w:val="single" w:color="000000" w:sz="4" w:space="0"/>
              <w:lef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提供本表内所有支持的功能三年授权，及三年的系统版本升级补丁更新服务、内置规则库等更新授权和售后维保服务。</w:t>
            </w:r>
          </w:p>
        </w:tc>
      </w:tr>
    </w:tbl>
    <w:p>
      <w:pPr>
        <w:pStyle w:val="21"/>
        <w:tabs>
          <w:tab w:val="left" w:pos="588"/>
        </w:tabs>
        <w:snapToGrid w:val="0"/>
        <w:spacing w:before="120" w:after="120" w:line="440" w:lineRule="exact"/>
        <w:jc w:val="left"/>
        <w:outlineLvl w:val="3"/>
        <w:rPr>
          <w:rFonts w:hint="eastAsia" w:ascii="仿宋" w:hAnsi="仿宋" w:eastAsia="仿宋"/>
          <w:sz w:val="22"/>
          <w:szCs w:val="22"/>
        </w:rPr>
      </w:pPr>
      <w:bookmarkStart w:id="119" w:name="_Toc193699357"/>
      <w:r>
        <w:rPr>
          <w:rFonts w:hint="eastAsia" w:ascii="仿宋" w:hAnsi="仿宋" w:eastAsia="仿宋"/>
          <w:sz w:val="22"/>
          <w:szCs w:val="22"/>
        </w:rPr>
        <w:t>2、信息系统日志分析平台</w:t>
      </w:r>
      <w:bookmarkEnd w:id="119"/>
    </w:p>
    <w:p>
      <w:pPr>
        <w:pStyle w:val="32"/>
        <w:ind w:firstLine="420"/>
        <w:rPr>
          <w:rFonts w:hint="eastAsia" w:ascii="仿宋" w:hAnsi="仿宋" w:eastAsia="仿宋"/>
          <w:sz w:val="21"/>
        </w:rPr>
      </w:pPr>
      <w:r>
        <w:rPr>
          <w:rFonts w:hint="eastAsia" w:ascii="仿宋" w:hAnsi="仿宋" w:eastAsia="仿宋"/>
          <w:sz w:val="21"/>
        </w:rPr>
        <w:t>扩容一台日志分析平台设备，需要与原有设备组成集群，并提供各类信息系统日志的接入服务和告警规则按需配置服务。含原厂3年服务。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516"/>
        <w:gridCol w:w="1334"/>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8" w:type="dxa"/>
            <w:shd w:val="clear" w:color="auto" w:fill="F1F1F1" w:themeFill="background1" w:themeFillShade="F2"/>
            <w:vAlign w:val="center"/>
          </w:tcPr>
          <w:p>
            <w:pPr>
              <w:widowControl/>
              <w:spacing w:before="62" w:beforeLines="20" w:after="62" w:afterLines="20" w:line="288" w:lineRule="auto"/>
              <w:jc w:val="center"/>
              <w:textAlignment w:val="center"/>
              <w:rPr>
                <w:rFonts w:hint="eastAsia" w:ascii="仿宋" w:hAnsi="仿宋" w:eastAsia="仿宋" w:cs="宋体"/>
                <w:b/>
                <w:bCs/>
                <w:color w:val="000000"/>
                <w:szCs w:val="21"/>
              </w:rPr>
            </w:pPr>
            <w:r>
              <w:rPr>
                <w:rFonts w:hint="eastAsia" w:ascii="仿宋" w:hAnsi="仿宋" w:eastAsia="仿宋" w:cs="宋体"/>
                <w:b/>
                <w:bCs/>
                <w:color w:val="000000"/>
                <w:kern w:val="0"/>
                <w:szCs w:val="21"/>
                <w:lang w:bidi="ar"/>
              </w:rPr>
              <w:t>编号</w:t>
            </w:r>
          </w:p>
        </w:tc>
        <w:tc>
          <w:tcPr>
            <w:tcW w:w="0" w:type="auto"/>
            <w:gridSpan w:val="2"/>
            <w:shd w:val="clear" w:color="auto" w:fill="F1F1F1" w:themeFill="background1" w:themeFillShade="F2"/>
            <w:vAlign w:val="center"/>
          </w:tcPr>
          <w:p>
            <w:pPr>
              <w:widowControl/>
              <w:spacing w:before="62" w:beforeLines="20" w:after="62" w:afterLines="20" w:line="288" w:lineRule="auto"/>
              <w:jc w:val="center"/>
              <w:textAlignment w:val="center"/>
              <w:rPr>
                <w:rFonts w:hint="eastAsia" w:ascii="仿宋" w:hAnsi="仿宋" w:eastAsia="仿宋" w:cs="宋体"/>
                <w:b/>
                <w:bCs/>
                <w:color w:val="000000"/>
                <w:szCs w:val="21"/>
              </w:rPr>
            </w:pPr>
            <w:r>
              <w:rPr>
                <w:rFonts w:hint="eastAsia" w:ascii="仿宋" w:hAnsi="仿宋" w:eastAsia="仿宋" w:cs="宋体"/>
                <w:b/>
                <w:bCs/>
                <w:color w:val="000000"/>
                <w:kern w:val="0"/>
                <w:szCs w:val="21"/>
                <w:lang w:bidi="ar"/>
              </w:rPr>
              <w:t>功能项</w:t>
            </w:r>
          </w:p>
        </w:tc>
        <w:tc>
          <w:tcPr>
            <w:tcW w:w="0" w:type="auto"/>
            <w:shd w:val="clear" w:color="auto" w:fill="F1F1F1" w:themeFill="background1" w:themeFillShade="F2"/>
            <w:vAlign w:val="center"/>
          </w:tcPr>
          <w:p>
            <w:pPr>
              <w:widowControl/>
              <w:spacing w:before="62" w:beforeLines="20" w:after="62" w:afterLines="20" w:line="288" w:lineRule="auto"/>
              <w:jc w:val="center"/>
              <w:textAlignment w:val="center"/>
              <w:rPr>
                <w:rFonts w:hint="eastAsia" w:ascii="仿宋" w:hAnsi="仿宋" w:eastAsia="仿宋" w:cs="宋体"/>
                <w:b/>
                <w:bCs/>
                <w:color w:val="000000"/>
                <w:szCs w:val="21"/>
              </w:rPr>
            </w:pPr>
            <w:r>
              <w:rPr>
                <w:rFonts w:hint="eastAsia" w:ascii="仿宋" w:hAnsi="仿宋" w:eastAsia="仿宋" w:cs="宋体"/>
                <w:b/>
                <w:bCs/>
                <w:color w:val="000000"/>
                <w:kern w:val="0"/>
                <w:szCs w:val="21"/>
                <w:lang w:bidi="ar"/>
              </w:rPr>
              <w:t>功能需求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38" w:type="dxa"/>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性能指标</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硬件指标</w:t>
            </w:r>
          </w:p>
        </w:tc>
        <w:tc>
          <w:tcPr>
            <w:tcW w:w="0" w:type="auto"/>
            <w:vAlign w:val="center"/>
          </w:tcPr>
          <w:p>
            <w:pPr>
              <w:widowControl/>
              <w:numPr>
                <w:ilvl w:val="0"/>
                <w:numId w:val="6"/>
              </w:numPr>
              <w:spacing w:before="62" w:beforeLines="20" w:after="62" w:afterLines="20" w:line="288" w:lineRule="auto"/>
              <w:ind w:left="0" w:firstLine="0"/>
              <w:textAlignment w:val="center"/>
              <w:rPr>
                <w:rFonts w:hint="eastAsia" w:ascii="仿宋" w:hAnsi="仿宋" w:eastAsia="仿宋" w:cs="宋体"/>
                <w:color w:val="000000"/>
                <w:kern w:val="0"/>
                <w:szCs w:val="21"/>
                <w:lang w:bidi="ar"/>
              </w:rPr>
            </w:pPr>
            <w:r>
              <w:rPr>
                <w:rFonts w:hint="eastAsia" w:ascii="仿宋" w:hAnsi="仿宋" w:eastAsia="仿宋" w:cs="宋体"/>
                <w:color w:val="000000"/>
                <w:kern w:val="0"/>
                <w:szCs w:val="21"/>
                <w:lang w:bidi="ar"/>
              </w:rPr>
              <w:t>机型：2U，≥热插拔12盘位</w:t>
            </w:r>
          </w:p>
          <w:p>
            <w:pPr>
              <w:widowControl/>
              <w:numPr>
                <w:ilvl w:val="0"/>
                <w:numId w:val="6"/>
              </w:numPr>
              <w:spacing w:before="62" w:beforeLines="20" w:after="62" w:afterLines="20" w:line="288" w:lineRule="auto"/>
              <w:ind w:left="0" w:firstLine="0"/>
              <w:textAlignment w:val="center"/>
              <w:rPr>
                <w:rFonts w:hint="eastAsia" w:ascii="仿宋" w:hAnsi="仿宋" w:eastAsia="仿宋" w:cs="宋体"/>
                <w:color w:val="000000"/>
                <w:kern w:val="0"/>
                <w:szCs w:val="21"/>
                <w:lang w:bidi="ar"/>
              </w:rPr>
            </w:pPr>
            <w:r>
              <w:rPr>
                <w:rFonts w:hint="eastAsia" w:ascii="仿宋" w:hAnsi="仿宋" w:eastAsia="仿宋" w:cs="宋体"/>
                <w:color w:val="000000"/>
                <w:kern w:val="0"/>
                <w:szCs w:val="21"/>
                <w:lang w:bidi="ar"/>
              </w:rPr>
              <w:t>CPU：不低于2*16C</w:t>
            </w:r>
          </w:p>
          <w:p>
            <w:pPr>
              <w:widowControl/>
              <w:numPr>
                <w:ilvl w:val="0"/>
                <w:numId w:val="6"/>
              </w:numPr>
              <w:spacing w:before="62" w:beforeLines="20" w:after="62" w:afterLines="20" w:line="288" w:lineRule="auto"/>
              <w:ind w:left="0" w:firstLine="0"/>
              <w:textAlignment w:val="center"/>
              <w:rPr>
                <w:rFonts w:hint="eastAsia" w:ascii="仿宋" w:hAnsi="仿宋" w:eastAsia="仿宋" w:cs="宋体"/>
                <w:color w:val="000000"/>
                <w:kern w:val="0"/>
                <w:szCs w:val="21"/>
                <w:lang w:bidi="ar"/>
              </w:rPr>
            </w:pPr>
            <w:r>
              <w:rPr>
                <w:rFonts w:hint="eastAsia" w:ascii="仿宋" w:hAnsi="仿宋" w:eastAsia="仿宋" w:cs="宋体"/>
                <w:color w:val="000000"/>
                <w:kern w:val="0"/>
                <w:szCs w:val="21"/>
                <w:lang w:bidi="ar"/>
              </w:rPr>
              <w:t>内存：不低于256GB</w:t>
            </w:r>
          </w:p>
          <w:p>
            <w:pPr>
              <w:widowControl/>
              <w:numPr>
                <w:ilvl w:val="0"/>
                <w:numId w:val="6"/>
              </w:numPr>
              <w:spacing w:before="62" w:beforeLines="20" w:after="62" w:afterLines="20" w:line="288" w:lineRule="auto"/>
              <w:ind w:left="0" w:firstLine="0"/>
              <w:textAlignment w:val="center"/>
              <w:rPr>
                <w:rFonts w:hint="eastAsia" w:ascii="仿宋" w:hAnsi="仿宋" w:eastAsia="仿宋" w:cs="宋体"/>
                <w:color w:val="000000"/>
                <w:kern w:val="0"/>
                <w:szCs w:val="21"/>
                <w:lang w:bidi="ar"/>
              </w:rPr>
            </w:pPr>
            <w:r>
              <w:rPr>
                <w:rFonts w:hint="eastAsia" w:ascii="仿宋" w:hAnsi="仿宋" w:eastAsia="仿宋" w:cs="宋体"/>
                <w:color w:val="000000"/>
                <w:kern w:val="0"/>
                <w:szCs w:val="21"/>
                <w:lang w:bidi="ar"/>
              </w:rPr>
              <w:t>存储：不低于2*240GB SSD系统盘，不低于12*8TB 企业级SATA</w:t>
            </w:r>
          </w:p>
          <w:p>
            <w:pPr>
              <w:widowControl/>
              <w:numPr>
                <w:ilvl w:val="0"/>
                <w:numId w:val="6"/>
              </w:numPr>
              <w:spacing w:before="62" w:beforeLines="20" w:after="62" w:afterLines="20" w:line="288" w:lineRule="auto"/>
              <w:ind w:left="0" w:firstLine="0"/>
              <w:textAlignment w:val="center"/>
              <w:rPr>
                <w:rFonts w:hint="eastAsia" w:ascii="仿宋" w:hAnsi="仿宋" w:eastAsia="仿宋" w:cs="宋体"/>
                <w:color w:val="000000"/>
                <w:kern w:val="0"/>
                <w:szCs w:val="21"/>
                <w:lang w:bidi="ar"/>
              </w:rPr>
            </w:pPr>
            <w:r>
              <w:rPr>
                <w:rFonts w:hint="eastAsia" w:ascii="仿宋" w:hAnsi="仿宋" w:eastAsia="仿宋" w:cs="宋体"/>
                <w:color w:val="000000"/>
                <w:kern w:val="0"/>
                <w:szCs w:val="21"/>
                <w:lang w:bidi="ar"/>
              </w:rPr>
              <w:t>网络：不低于6*千兆电口、2*万兆电口</w:t>
            </w:r>
          </w:p>
          <w:p>
            <w:pPr>
              <w:widowControl/>
              <w:numPr>
                <w:ilvl w:val="0"/>
                <w:numId w:val="6"/>
              </w:numPr>
              <w:spacing w:before="62" w:beforeLines="20" w:after="62" w:afterLines="20" w:line="288" w:lineRule="auto"/>
              <w:ind w:left="0" w:firstLine="0"/>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电源：550W 1+1冗余，高效节能服务器电源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性能</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每秒事件处理能力：EPS不小于10000。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8" w:type="dxa"/>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日志采集</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采集性能</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单机支持1万EPS以上的日志吞吐量。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采集管理</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支持单位时间内日志接收的流量统计，时序图展示；支持对日志采集器进行启用、停用、编辑、删除、查看等操作；支持划分日志库。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采集方式</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支持对日志采集器进行采集配置并下发；提供通过UDP或TCP采集Syslog RFC3164、Syslog RFC5424日志，支持HTTP API、Kafka等采集方式。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支持基于采集器对日志源端数据接入时根据用户配置的字段进行自动聚合，避免接入日志风暴。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支持syslog字符格式配置，可配置UTF-8,GBK,ASCII,GB2312,LATIN-1,BIG5等常用字符格式。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支持单条数据大小的配置，超过该大小的数据将被丢弃，支持最大值为 200MB。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w:t>
            </w:r>
            <w:r>
              <w:rPr>
                <w:rFonts w:hint="eastAsia" w:ascii="仿宋" w:hAnsi="仿宋" w:eastAsia="仿宋" w:cs="宋体"/>
                <w:kern w:val="0"/>
                <w:szCs w:val="21"/>
                <w:lang w:bidi="ar"/>
              </w:rPr>
              <w:t>持对防火墙、WAF、主机系统、威胁情报、堡垒机、DNS、VPN、负载均衡、NTA、蜜罐、UEBA、防病毒、风控、业务系统等多种日志源的采集</w:t>
            </w:r>
            <w:r>
              <w:rPr>
                <w:rStyle w:val="63"/>
                <w:rFonts w:hint="default" w:ascii="仿宋" w:hAnsi="仿宋" w:eastAsia="仿宋"/>
                <w:color w:val="auto"/>
                <w:sz w:val="21"/>
                <w:szCs w:val="21"/>
                <w:lang w:bidi="ar"/>
              </w:rPr>
              <w:t>，不限制接入的日志源数量。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支持文件导入的方式导入日志数据，支持的文件类型至少包含csv、.log、txt。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支持保存解析失败的日志、未命中解析的日志用于接入日志的调试，确保日志的完全接入。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日志解析</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支持自定义解析规则，支持正则、JSON、分隔符、CEF、KV等解析方式，支持解析的预览。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支持内置解析规则。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支持对同一数据源接入的多种格式日志进行多正则解析。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支持划词解析，可对相关日志样例进行划词方式，自动生成正则供用户选择。也支持手动输入正则方式。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支持多层级的JSON解析，支持1到3的最大解析深度的配置。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日志转换</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嵌套解析，支持通过一个解析规则对接入日志进行多层不同解析方式的解析，实现日志的快速解析，如：先采用正则进行部分字段的解析，针对解析后的字段可以选择JSON解析的方式进行二次解析。（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支持数组类型字段的解析。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日志进行脱敏、截取、替换、时间转换等转换处理，支持日志过滤条件配置、支持使用系统接收时间作为日志时间、支持日志字段映射为系统定义字段等日志处理，来达到归一化、过滤、丰富、分类日志信息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支持多种常用格式转换：时间转换、日志过滤、日志替换、日志截取、字段删除、日志合并、日志大写、日志小写、静态补全等。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实时预览</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接配置过程中能实时预览和验证日志解析、转换的效果，支持接入日志预览，支持查看已完成解析日志情况和未完成日志解析情况；采集过程中，支持预览日志接入情况，满足用户及时判断日志样例及日志抽取是否满足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字段映射</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支持指定日志时间，可配置使用日志原始时间或采集器接收日志时间。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支持将日志字段映射为系统内置的统一的表字段，实现数据的归一化，支持预留扩展字段进行选择。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安全总览</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仪表盘</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支持数据以图表、图形、指标等形式进行可视化展示，直观地理解数据和趋势，包括实时监控、历史趋势分析等。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提供整体的概览和导航功能，以便用户快速了解系统的整体情况和重要指标，并能够根据需要进一步深入了解和分析数据。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允许用户根据自身需求和关注点自定义图表和仪表板，选择展示的数据和指标，以及展示的方式和布局。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支持饼图、折线图、柱状图、单值图、漏斗图等多种图表类型，并支持配置好数据后的图表类型切换。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支持图表的数据配置，可数据时间范围配置、数据筛选配置、分块配置、块值配置等。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支持图表的展示配置，可配置图表风格、颜色搭配、轴线风格、字体大小和风格、辅助线等。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38" w:type="dxa"/>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可视化分析</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自定义仪表盘</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支持对原始日志、关联事件进行自定义图表，支持通过表格、饼图、趋势图、单值图、漏斗图等图表进行数据的可视化呈现。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告警事件</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告警管理</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支持检索关联规则及对应的关联事件（日志）、能够对事件进行溯源。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支持通过告警列表快速查看告警详情，在告警列表中支持选中告警事件进行下发邮件或者执行脚本等操作。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支持用户自定义告警详情页面展示字段。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支持查看告警详情。支持查看所产生告警事件的详细字段信息，支持查看告警检出流程、处置建议、处置节点等。支持告警数据按时间聚合数目的图形化展示。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支持告警数据的批量导出；支持对告警数据标注为误报或正常；支持从告警关联跳转到日志管理模块，查看产生该告警的原始日志。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6</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日志管理</w:t>
            </w:r>
          </w:p>
        </w:tc>
        <w:tc>
          <w:tcPr>
            <w:tcW w:w="0" w:type="auto"/>
            <w:vMerge w:val="restart"/>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日志检索</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支持检索全部数据包括不限于接入日志、关联事件等数据。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支持自定义选择时间范围、相对时间检索数据，支持流式加载数据，展示数据加载进度并且秒级展示数据。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对各种来源日志做抽象化处理，达到字段统一。实现领域特定语言（DSL），以 SQL 语法对数据查询检索和分析。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领域特定语言（DSL）支持对查询后的数据以管道形式传递到下一个操作符，做进一步处理，支持top、tail等多种管道符操作。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领域特定语言（DSL）支持对不同类型字段进行不同逻辑操作符，如对整型字段支持=、！=、&gt;、&lt;、&gt;=、&lt;=、in等运算符匹配，对时间类型字段做=、!=、在时间段等运匹配逻辑，对字符类型支持=、！=、包含、匹配、开头包含、结尾包含等匹配逻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领域特定语言（DSL）支持计数count、求和sum、平均avg、最大max、最小min、方差variance、去重计数uniqCount等函数进行统计分析。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支持语法、业务语义错误提示功能；支持DSL语法实现复杂搜索语句构造，支持语法辅助提示。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支持多种查询方式，包括自定义DSL语句、全部字段快捷查询。支持快速查询数据源、收藏条件、历史条件。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支持根据检索统计后的日志进行灵活的可视化图表配置和展示。包括表格、原始日志、图表等展示方式。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支持展示日志的关联事件查询，支持按照时间进行下钻检索。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日志分析</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支持监测实时窗口下的数据流，支持自定义配置监测窗口和监测条件。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支持对关联事件调查分析，下钻查看关联的原始日志，支持层层下钻，溯源到原始日志。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支持同时查看关联事件和原始日志，帮助用户进行快速的规则验证。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支持查看日志详情数据，包括全部字段和值。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字段集</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支持自定义多个字段为字段集，并且将字段集应用于查询、列表展示、规则等场景中。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统计分析</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支持对任意字段的值进行函数统计，包括总数、求和、最大、最小等统计函数，并且统计全部字段的top50值。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支持提供统计图，包括趋势图、折线图、饼图、柱状图、单值图、漏斗图等。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导出</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支持csv格式导出，支持导出日志列表和原始日志；支持自定义字段导出。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7</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检测</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规则管理</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支持对规则进行统一的开启、关闭、删除、新建、编辑、查看、复制等操作，支持给规则打上标签。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支持预置关联分析场景，覆盖网络攻击、行为分析、合规检测、主机异常等检测场景。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规则种类</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支持多种规则类型，包括实时规则、离线规则、基础规则、关联规则等，以应对不同的检测场景。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离线规则</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支持配置离线规则，支持采用SQL、DSL等语法对跨长时间周期的日志进行离线分析计算，可用于对历史日志进行深度挖掘和分析，以发现可能的安全威胁或异常行为。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基础规则</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支持配置基础规则，支持简单的特征匹配场景，用于检测单一数据源单条日志产生的事件。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实时滑动窗口检测</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支持日志的实时检测，实时检测支持以滑动时间窗口形式对日志做检测。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日志关联</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支持选择日志、关联事件、活动列表作为数据来源进行关联检测。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支持选择多种数据来源进行关联检测，支持相同数据来源的不同字段匹配、不同数据来源的相同字段匹配、不同数据来源的不同字段匹配。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多层级条件配置</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支持灵活的and、or、and not、or not条件组合，支持添加多层级嵌套条件和子条件，支持嵌套层级&gt;10层。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逻辑匹配</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支持=、！=、&gt;、&lt;、&gt;=、&lt;=等运算符匹配，支持等于、不等于、大于、小于、包含、In活动列表等逻辑匹配。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聚合配置</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支持进行时间窗口、阈值配置，支持配置字段相同时聚合和字段不同时聚合，支持同时配置相同时聚合和不同时聚合条件。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条件存储</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支持对条件进行保存，并在其它条件中选择已存条件进行配置。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规则快速验证</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支持对于配置的条件选择历史数据进行规则验证，支持跳转到日志管理模块查看验证结果。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规则概述</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支持对于配置的规则进行规则的概述预览，用于进一步确认规则配置逻辑是否有误。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关联事件</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支持多种数据来源进行实时关联检测，支持相同数据来源的不同字段匹配、不同数据来源的相同字段匹配、不同数据来源的不同字段匹配。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支持对关联事件调查分析，下钻查看关联的原始日志，溯源到原始日志。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日志关联规则建模，在指定的时间范围内，能够对来自不同数据源的日志进行关联分析，例如A事件某字段等于B事件某字段时进行日志关联，产生关联事件。同时支持再选择关联事件作为日志来源和其它日志进一步进行关联检测，实现规则链，达到多类日志的关联检测效果；例如支持同一源IP在同一段时间出现在多种不同的日志源时，产生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规则触发配置</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实时检测规则在满足时间窗口阈值后，支持精细化配置触发操作；如第一次满足阈值时，第二次及以上满足阈值时，每次满足阈值时触发；实时检测规则在不带时间窗口下，支持精细化配置触发操作，如第一次满足条件时，第二次及以上满足阈值时，支持每次满足条件时触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规则调优</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支持基于规则选择历史数据进行检测验证，验证规则的检出情况，同时可对规则实时编辑，便于用户规则调优。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安全模型</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▲支持使用内置安全模型，内置封装后的检测语句，来支持特定模型场景下的威胁检测和安全事件响应。（提供功能截图）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活动列表</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支持从接入日志中提取字段加入活动列表，作为检测规则的条件；也支持人工手动添加或删除活动列表中的内容。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支持根据基于租户上送的安全日志汇聚分析产出内生情报。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8</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执行处置</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通知</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支持邮件通知，支持指定收件人邮箱以及自定义邮箱组，支持邮件通知抑制。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执行脚本</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支持下发执行特定的脚本或命令，以进行自动化响应或其他操作联动其他设备，进行对应的处置动作。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数据外发</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支持通过接口的方式将告警事件等数据发送给第三方平台。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生成告警事件</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支持生成告警事件，当触发规则时，生成对应的告警事件，帮助客户有效管理安全事件，降低安全风险，并提高整体的安全防护能力。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活动列表</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支持添加到活动列表，当触发规则时，支持将指定的数据存储或更新到所选择的活动列表作为中间数据；支持从活动列表删除，当触发规则时，所选择的活动列表中符合条件的数据将被从活动列表中移除。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9</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权限控制</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数据隔离</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支持基于数据源和组合字段做细致的数据隔离划分对应的权限分配。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功能权限</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支持页面和按钮级别的功能权限控制。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组织管理</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支持对租户的组织的增删改查进行管理，可以配置组织的上下级关系；支持为组织设定功能权限和数据权限，组织下的用户进行权限的自动继承。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角色管理</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支持对租户的角色的增删改查进行管理，包括角色基础信息和权限管理；支持为组织设定功能权限和数据权限。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用户管理</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支持对租户的用户的增删改查进行管理，包括用户基础信息和用户的角色管理。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10</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系统管理</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系统日志</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支持系统日志分类展示、查询及下载。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存储配置</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自定义系统中日志超过一定量时系统的自动化处理逻辑，包括选择不删除业不接入日志、选择日志删除按时间删除、按删除优先级，支持自定义日志数据的存储策略，包括容量、周期、删除优先级，记录各个功能模块消耗内存 CPU等情况。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角色管理</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支持用户角色管理，可以为不同角色赋予不同系统功能模块及页面、按钮级别的的功能权限控制，未赋予此模块权限的用户，将无此功能模块的查看或操作的权限。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账号管理</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支持账号的封禁与解封。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支持为账号赋予角色从而确定该账号对系统的访问权限。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数据多租户</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▲支持多租户模式，各个分公司数据隔离，支持基于 IP 、端口、域名等组合字段做细致的数据隔离划分对应的权限分配，并基于权限分配实现租户对辖内安全日志的查看和管理。（提供功能截图）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账号安全</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支持调整登录密码强度，小写字母、数字、大写字母、特殊字符可进行组合。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支持调整登录密码长度要求下限，可设置8-20的数值。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支持登录账号异常登录后锁定账号无法登录，可配置对应时间段内的异常登录次数和账号锁定周期。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支持周期性强制更换密码，支持首次登录更改密码。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支持IP白名单限制，不在名单内的IP无法登录系统。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restart"/>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系统审计</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支持对操作行为进行审计，能够记录各个账号对系统进行操作的所有行为，包含了登录、退出、新建、修改、删除、启用、停用和导入导出行为，并支持搜索查询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noWrap/>
            <w:vAlign w:val="center"/>
          </w:tcPr>
          <w:p>
            <w:pPr>
              <w:spacing w:before="62" w:beforeLines="20" w:after="62" w:afterLines="20" w:line="288" w:lineRule="auto"/>
              <w:rPr>
                <w:rFonts w:hint="eastAsia" w:ascii="仿宋" w:hAnsi="仿宋" w:eastAsia="仿宋" w:cs="宋体"/>
                <w:color w:val="000000"/>
                <w:szCs w:val="21"/>
              </w:rPr>
            </w:pP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能够记录系统运行日志，对运行异常记录异常系统日志。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消息通知</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支持系统内部的消息通知，登录账号可查看该账号需关注的消息。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授权信息</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支持展示授权信息，包含产品版本、License、机器码、有效期、状态等信息。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738" w:type="dxa"/>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11</w:t>
            </w:r>
          </w:p>
        </w:tc>
        <w:tc>
          <w:tcPr>
            <w:tcW w:w="0" w:type="auto"/>
            <w:vMerge w:val="restart"/>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售后服务</w:t>
            </w:r>
          </w:p>
        </w:tc>
        <w:tc>
          <w:tcPr>
            <w:tcW w:w="0" w:type="auto"/>
            <w:noWrap/>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安装服务</w:t>
            </w:r>
          </w:p>
        </w:tc>
        <w:tc>
          <w:tcPr>
            <w:tcW w:w="0" w:type="auto"/>
            <w:vAlign w:val="center"/>
          </w:tcPr>
          <w:p>
            <w:pPr>
              <w:widowControl/>
              <w:spacing w:before="62" w:beforeLines="20" w:after="62" w:afterLines="20" w:line="288" w:lineRule="auto"/>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原厂人员需要提供产品实施服务和产品培训服务</w:t>
            </w:r>
            <w:r>
              <w:rPr>
                <w:rFonts w:hint="eastAsia" w:ascii="仿宋" w:hAnsi="仿宋" w:eastAsia="仿宋" w:cs="宋体"/>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38" w:type="dxa"/>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vMerge w:val="continue"/>
            <w:vAlign w:val="center"/>
          </w:tcPr>
          <w:p>
            <w:pPr>
              <w:spacing w:before="62" w:beforeLines="20" w:after="62" w:afterLines="20" w:line="288" w:lineRule="auto"/>
              <w:rPr>
                <w:rFonts w:hint="eastAsia" w:ascii="仿宋" w:hAnsi="仿宋" w:eastAsia="仿宋" w:cs="宋体"/>
                <w:color w:val="000000"/>
                <w:szCs w:val="21"/>
              </w:rPr>
            </w:pPr>
          </w:p>
        </w:tc>
        <w:tc>
          <w:tcPr>
            <w:tcW w:w="0" w:type="auto"/>
            <w:noWrap/>
            <w:vAlign w:val="center"/>
          </w:tcPr>
          <w:p>
            <w:pPr>
              <w:widowControl/>
              <w:spacing w:before="62" w:beforeLines="20" w:after="62" w:afterLines="20" w:line="288" w:lineRule="auto"/>
              <w:textAlignment w:val="center"/>
              <w:rPr>
                <w:rFonts w:hint="eastAsia" w:ascii="仿宋" w:hAnsi="仿宋" w:eastAsia="仿宋" w:cs="宋体"/>
                <w:szCs w:val="21"/>
              </w:rPr>
            </w:pPr>
            <w:r>
              <w:rPr>
                <w:rFonts w:hint="eastAsia" w:ascii="仿宋" w:hAnsi="仿宋" w:eastAsia="仿宋" w:cs="宋体"/>
                <w:kern w:val="0"/>
                <w:szCs w:val="21"/>
                <w:lang w:bidi="ar"/>
              </w:rPr>
              <w:t>维保服务</w:t>
            </w:r>
          </w:p>
        </w:tc>
        <w:tc>
          <w:tcPr>
            <w:tcW w:w="0" w:type="auto"/>
            <w:vAlign w:val="center"/>
          </w:tcPr>
          <w:p>
            <w:pPr>
              <w:widowControl/>
              <w:spacing w:before="62" w:beforeLines="20" w:after="62" w:afterLines="20" w:line="288" w:lineRule="auto"/>
              <w:textAlignment w:val="center"/>
              <w:rPr>
                <w:rFonts w:hint="eastAsia" w:ascii="仿宋" w:hAnsi="仿宋" w:eastAsia="仿宋" w:cs="宋体"/>
                <w:szCs w:val="21"/>
              </w:rPr>
            </w:pPr>
            <w:r>
              <w:rPr>
                <w:rFonts w:hint="eastAsia" w:ascii="仿宋" w:hAnsi="仿宋" w:eastAsia="仿宋" w:cs="宋体"/>
                <w:kern w:val="0"/>
                <w:szCs w:val="21"/>
                <w:lang w:bidi="ar"/>
              </w:rPr>
              <w:t>提供本功能参数表中所有支持功能的三年使用授权，及三年系统</w:t>
            </w:r>
            <w:r>
              <w:rPr>
                <w:rFonts w:hint="eastAsia" w:ascii="仿宋" w:hAnsi="仿宋" w:eastAsia="仿宋" w:cs="宋体"/>
                <w:szCs w:val="21"/>
              </w:rPr>
              <w:t>版本升级补丁更新</w:t>
            </w:r>
            <w:r>
              <w:rPr>
                <w:rFonts w:hint="eastAsia" w:ascii="仿宋" w:hAnsi="仿宋" w:eastAsia="仿宋" w:cs="宋体"/>
                <w:kern w:val="0"/>
                <w:szCs w:val="21"/>
                <w:lang w:bidi="ar"/>
              </w:rPr>
              <w:t>服务、内置规则库等更新授权、硬件软件售后维保服务</w:t>
            </w:r>
            <w:r>
              <w:rPr>
                <w:rFonts w:hint="eastAsia" w:ascii="仿宋" w:hAnsi="仿宋" w:eastAsia="仿宋" w:cs="宋体"/>
                <w:szCs w:val="21"/>
                <w:lang w:bidi="ar"/>
              </w:rPr>
              <w:t>。</w:t>
            </w:r>
          </w:p>
        </w:tc>
      </w:tr>
    </w:tbl>
    <w:p>
      <w:pPr>
        <w:pStyle w:val="21"/>
        <w:tabs>
          <w:tab w:val="left" w:pos="588"/>
        </w:tabs>
        <w:snapToGrid w:val="0"/>
        <w:spacing w:before="120" w:after="120" w:line="440" w:lineRule="exact"/>
        <w:jc w:val="left"/>
        <w:outlineLvl w:val="3"/>
        <w:rPr>
          <w:rFonts w:hint="eastAsia" w:ascii="仿宋" w:hAnsi="仿宋" w:eastAsia="仿宋"/>
          <w:sz w:val="22"/>
          <w:szCs w:val="22"/>
        </w:rPr>
      </w:pPr>
      <w:bookmarkStart w:id="120" w:name="_Toc193699358"/>
      <w:r>
        <w:rPr>
          <w:rFonts w:hint="eastAsia" w:ascii="仿宋" w:hAnsi="仿宋" w:eastAsia="仿宋"/>
          <w:sz w:val="22"/>
          <w:szCs w:val="22"/>
        </w:rPr>
        <w:t>3、网络全流量分析服务</w:t>
      </w:r>
      <w:bookmarkEnd w:id="120"/>
    </w:p>
    <w:p>
      <w:pPr>
        <w:pStyle w:val="32"/>
        <w:ind w:firstLine="420"/>
        <w:rPr>
          <w:rFonts w:hint="eastAsia" w:ascii="仿宋" w:hAnsi="仿宋" w:eastAsia="仿宋"/>
          <w:sz w:val="21"/>
        </w:rPr>
      </w:pPr>
      <w:r>
        <w:rPr>
          <w:rFonts w:hint="eastAsia" w:ascii="仿宋" w:hAnsi="仿宋" w:eastAsia="仿宋"/>
          <w:sz w:val="21"/>
        </w:rPr>
        <w:t>通过全网络流量大数据技术安全分析工具，提供对潜在的异常行为与隐蔽风险进行检测、溯源和取证等安全分析服务1年。</w:t>
      </w:r>
    </w:p>
    <w:tbl>
      <w:tblPr>
        <w:tblStyle w:val="24"/>
        <w:tblW w:w="0" w:type="auto"/>
        <w:jc w:val="center"/>
        <w:tblLayout w:type="autofit"/>
        <w:tblCellMar>
          <w:top w:w="0" w:type="dxa"/>
          <w:left w:w="108" w:type="dxa"/>
          <w:bottom w:w="0" w:type="dxa"/>
          <w:right w:w="108" w:type="dxa"/>
        </w:tblCellMar>
      </w:tblPr>
      <w:tblGrid>
        <w:gridCol w:w="872"/>
        <w:gridCol w:w="445"/>
        <w:gridCol w:w="658"/>
        <w:gridCol w:w="6553"/>
      </w:tblGrid>
      <w:tr>
        <w:tblPrEx>
          <w:tblCellMar>
            <w:top w:w="0" w:type="dxa"/>
            <w:left w:w="108" w:type="dxa"/>
            <w:bottom w:w="0" w:type="dxa"/>
            <w:right w:w="108" w:type="dxa"/>
          </w:tblCellMar>
        </w:tblPrEx>
        <w:trPr>
          <w:trHeight w:val="517" w:hRule="atLeast"/>
          <w:jc w:val="center"/>
        </w:trPr>
        <w:tc>
          <w:tcPr>
            <w:tcW w:w="872"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widowControl/>
              <w:spacing w:before="62" w:beforeLines="20" w:after="62" w:afterLines="20" w:line="288" w:lineRule="auto"/>
              <w:jc w:val="center"/>
              <w:textAlignment w:val="center"/>
              <w:rPr>
                <w:rFonts w:hint="eastAsia" w:ascii="仿宋" w:hAnsi="仿宋" w:eastAsia="仿宋" w:cs="宋体"/>
                <w:b/>
                <w:bCs/>
                <w:color w:val="000000"/>
                <w:szCs w:val="21"/>
              </w:rPr>
            </w:pPr>
            <w:r>
              <w:rPr>
                <w:rFonts w:hint="eastAsia" w:ascii="仿宋" w:hAnsi="仿宋" w:eastAsia="仿宋" w:cs="宋体"/>
                <w:b/>
                <w:bCs/>
                <w:color w:val="000000"/>
                <w:kern w:val="0"/>
                <w:szCs w:val="21"/>
                <w:lang w:bidi="ar"/>
              </w:rPr>
              <w:t>编号</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widowControl/>
              <w:spacing w:before="62" w:beforeLines="20" w:after="62" w:afterLines="20" w:line="288" w:lineRule="auto"/>
              <w:jc w:val="center"/>
              <w:textAlignment w:val="center"/>
              <w:rPr>
                <w:rFonts w:hint="eastAsia" w:ascii="仿宋" w:hAnsi="仿宋" w:eastAsia="仿宋" w:cs="宋体"/>
                <w:b/>
                <w:bCs/>
                <w:color w:val="000000"/>
                <w:szCs w:val="21"/>
              </w:rPr>
            </w:pPr>
            <w:r>
              <w:rPr>
                <w:rFonts w:hint="eastAsia" w:ascii="仿宋" w:hAnsi="仿宋" w:eastAsia="仿宋" w:cs="宋体"/>
                <w:b/>
                <w:bCs/>
                <w:color w:val="000000"/>
                <w:kern w:val="0"/>
                <w:szCs w:val="21"/>
                <w:lang w:bidi="ar"/>
              </w:rPr>
              <w:t>功能项</w:t>
            </w:r>
          </w:p>
        </w:tc>
        <w:tc>
          <w:tcPr>
            <w:tcW w:w="6553"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widowControl/>
              <w:spacing w:before="62" w:beforeLines="20" w:after="62" w:afterLines="20" w:line="288" w:lineRule="auto"/>
              <w:jc w:val="center"/>
              <w:textAlignment w:val="center"/>
              <w:rPr>
                <w:rFonts w:hint="eastAsia" w:ascii="仿宋" w:hAnsi="仿宋" w:eastAsia="仿宋" w:cs="宋体"/>
                <w:b/>
                <w:bCs/>
                <w:color w:val="000000"/>
                <w:szCs w:val="21"/>
              </w:rPr>
            </w:pPr>
            <w:r>
              <w:rPr>
                <w:rFonts w:hint="eastAsia" w:ascii="仿宋" w:hAnsi="仿宋" w:eastAsia="仿宋" w:cs="宋体"/>
                <w:b/>
                <w:bCs/>
                <w:color w:val="000000"/>
                <w:kern w:val="0"/>
                <w:szCs w:val="21"/>
                <w:lang w:bidi="ar"/>
              </w:rPr>
              <w:t>功能需求</w:t>
            </w:r>
          </w:p>
        </w:tc>
      </w:tr>
      <w:tr>
        <w:tblPrEx>
          <w:tblCellMar>
            <w:top w:w="0" w:type="dxa"/>
            <w:left w:w="108" w:type="dxa"/>
            <w:bottom w:w="0" w:type="dxa"/>
            <w:right w:w="108" w:type="dxa"/>
          </w:tblCellMar>
        </w:tblPrEx>
        <w:trPr>
          <w:trHeight w:val="680" w:hRule="atLeast"/>
          <w:jc w:val="center"/>
        </w:trPr>
        <w:tc>
          <w:tcPr>
            <w:tcW w:w="8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系统架构</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系统架构</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采用Hadoop大数据处理架构，支持分布式可扩展架构，支持增加任意数量服务器的横向扩展，提升流量数据分析和检测能力。在集群模式下，支持数据副本配置，即关闭集群中任意节点，不会导致存储的数据丢失。</w:t>
            </w:r>
          </w:p>
        </w:tc>
      </w:tr>
      <w:tr>
        <w:tblPrEx>
          <w:tblCellMar>
            <w:top w:w="0" w:type="dxa"/>
            <w:left w:w="108" w:type="dxa"/>
            <w:bottom w:w="0" w:type="dxa"/>
            <w:right w:w="108" w:type="dxa"/>
          </w:tblCellMar>
        </w:tblPrEx>
        <w:trPr>
          <w:trHeight w:val="34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支持IPv4/IPv6双栈网络运行，同时支持双栈协议流量处理。</w:t>
            </w:r>
          </w:p>
        </w:tc>
      </w:tr>
      <w:tr>
        <w:tblPrEx>
          <w:tblCellMar>
            <w:top w:w="0" w:type="dxa"/>
            <w:left w:w="108" w:type="dxa"/>
            <w:bottom w:w="0" w:type="dxa"/>
            <w:right w:w="108" w:type="dxa"/>
          </w:tblCellMar>
        </w:tblPrEx>
        <w:trPr>
          <w:trHeight w:val="1020" w:hRule="atLeast"/>
          <w:jc w:val="center"/>
        </w:trPr>
        <w:tc>
          <w:tcPr>
            <w:tcW w:w="8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协议识别与解析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协议识别与解析</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协议识别与解析模块，支持对网络流量协议数据进行实时解析与存储，支持HTTP、DNS、SSL、FTP、TELNET、ICMPv4、ICMPv6、IMAP、POP3、SMTP、MySQL、ARP、RARP、DHCP、SOCKS、SNMP、LLMNR、LDAP、SYSLOG、RDP、SMB2、RADIS、Kerberos、SSH、Redis、IP-in-IP、GRE、NVGRE、VLAN、MPLS、VXLAN、IPv4、IPv6 等协议数据的采集、解析。</w:t>
            </w:r>
          </w:p>
        </w:tc>
      </w:tr>
      <w:tr>
        <w:tblPrEx>
          <w:tblCellMar>
            <w:top w:w="0" w:type="dxa"/>
            <w:left w:w="108" w:type="dxa"/>
            <w:bottom w:w="0" w:type="dxa"/>
            <w:right w:w="108" w:type="dxa"/>
          </w:tblCellMar>
        </w:tblPrEx>
        <w:trPr>
          <w:trHeight w:val="102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自定义解析字段</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自定义扩展HTTP字段，通过配置解析正则表达式，如手机号、身份证等正则来提取用户关注的数据为元数据；支持用户灵活配置解析数据范围；支持自定义从HTTP请求头、请求体、响应头、响应体数据中提取数据；支持自定义解析字段的查询、导出；支持自定义配置检测规则。</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PCAP存储与检索</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▲支持对网络原始流量的存储与检索，提供在线预览和PCAP包下载，用于回溯取证；支持指定关键字、时间等对历史PCAP数据进行秒级检索，如使用HTTP域名、源目IP对PCAP信息进行检索。（提供功能截图）</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协议分析与检索</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支持HTTP协议数据的源目IP、源目端口、Method、URI、请求头（User-Agent、Referer、Host、Content-Type、X-Forwarded-For、Cookie及其他自定义字段）、请求体、响应体、Status_Code、Set_Cookie等信息的解析。</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支持TLS/SSL协议版本、加密套件、服务器名称、应用层协议、连接是否建立成功、服务端公钥信息、证书拥有者信息、证书签发者信息、证书有效期的开始时间、证书有效期的结束时间等信息的解析。</w:t>
            </w:r>
          </w:p>
        </w:tc>
      </w:tr>
      <w:tr>
        <w:tblPrEx>
          <w:tblCellMar>
            <w:top w:w="0" w:type="dxa"/>
            <w:left w:w="108" w:type="dxa"/>
            <w:bottom w:w="0" w:type="dxa"/>
            <w:right w:w="108" w:type="dxa"/>
          </w:tblCellMar>
        </w:tblPrEx>
        <w:trPr>
          <w:trHeight w:val="34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支持DNS协议数据的查询query、查询类型、查询结果、中间查询记录列表、查询是否被服务器拒绝、DNS源目IP等信息的解析。</w:t>
            </w:r>
          </w:p>
        </w:tc>
      </w:tr>
      <w:tr>
        <w:tblPrEx>
          <w:tblCellMar>
            <w:top w:w="0" w:type="dxa"/>
            <w:left w:w="108" w:type="dxa"/>
            <w:bottom w:w="0" w:type="dxa"/>
            <w:right w:w="108" w:type="dxa"/>
          </w:tblCellMar>
        </w:tblPrEx>
        <w:trPr>
          <w:trHeight w:val="34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支持FTP协议数据的当前FTP会话的用户、客户端给出的命令和参数、响应状态码、FTP源目IP等信息的解析。</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支持MySQL协议数据的MySQL操作命令（如login、quit、query、set_option、init_db、stmt_prepare、stmt_execute、ping、field_list等）、对应的参数、是否成功、MySQL源目IP等信息的解析。</w:t>
            </w:r>
          </w:p>
        </w:tc>
      </w:tr>
      <w:tr>
        <w:tblPrEx>
          <w:tblCellMar>
            <w:top w:w="0" w:type="dxa"/>
            <w:left w:w="108" w:type="dxa"/>
            <w:bottom w:w="0" w:type="dxa"/>
            <w:right w:w="108" w:type="dxa"/>
          </w:tblCellMar>
        </w:tblPrEx>
        <w:trPr>
          <w:trHeight w:val="34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支持SOCKS协议数据的SOCKS协议版本、命名、状态、代理目标地址、代理目标端口、SOCKS源目IP等信息的解析。</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支持DHCP协议数据的MAC、分配给客户端的 IP 地址 、网络掩码、网关地址、DNS 地址、租期、客户端生成的会话 ID等信息的解析。</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不少于14种协议认证信息的提取和解析，包括但不限于ftp、radius、mysql、smb2、ntlm、kerberos、ssh、smtp、pop3、imap、http、socks、redis、ldap等协议，协议解析字段包括但不限于用户名、密码、认证方式、认证是否成功等信息。</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支持pop3 、smtp、imap协议数据的发件人、收件人、抄送人、邮件主题、附件名称、原始邮件内容等信息的解析，支持进行邮件预览。</w:t>
            </w:r>
          </w:p>
        </w:tc>
      </w:tr>
      <w:tr>
        <w:tblPrEx>
          <w:tblCellMar>
            <w:top w:w="0" w:type="dxa"/>
            <w:left w:w="108" w:type="dxa"/>
            <w:bottom w:w="0" w:type="dxa"/>
            <w:right w:w="108" w:type="dxa"/>
          </w:tblCellMar>
        </w:tblPrEx>
        <w:trPr>
          <w:trHeight w:val="34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支持语法检索、多查询条件组合等方式，支持查询语法保存。</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网络中传输的文件进行还原，包括但不限于txt、doc、docx、rar、zip、png、bmp、jpg、exe、com等不少于50种文件类型；支持多种维度快速筛选网络文件，包括文件类型、文件大小、协议、源目IP等查询条件。（提供功能截图）</w:t>
            </w:r>
          </w:p>
        </w:tc>
      </w:tr>
      <w:tr>
        <w:tblPrEx>
          <w:tblCellMar>
            <w:top w:w="0" w:type="dxa"/>
            <w:left w:w="108" w:type="dxa"/>
            <w:bottom w:w="0" w:type="dxa"/>
            <w:right w:w="108" w:type="dxa"/>
          </w:tblCellMar>
        </w:tblPrEx>
        <w:trPr>
          <w:trHeight w:val="34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存储扩展</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支持NAS扩展存储，保证系统正常存储数据、使用数据。</w:t>
            </w:r>
          </w:p>
        </w:tc>
      </w:tr>
      <w:tr>
        <w:tblPrEx>
          <w:tblCellMar>
            <w:top w:w="0" w:type="dxa"/>
            <w:left w:w="108" w:type="dxa"/>
            <w:bottom w:w="0" w:type="dxa"/>
            <w:right w:w="108" w:type="dxa"/>
          </w:tblCellMar>
        </w:tblPrEx>
        <w:trPr>
          <w:trHeight w:val="1020" w:hRule="atLeast"/>
          <w:jc w:val="center"/>
        </w:trPr>
        <w:tc>
          <w:tcPr>
            <w:tcW w:w="8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风险检测与数据监测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威胁检测与分析能力</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多种网络威胁检测与分析能力，检测范围包含但不限于：Web应用攻击、弱口令、暴力破解、扫描与爬虫、数据库攻击、敏感信息泄露、恶意通信流量、内网渗透、通用应用漏洞攻击、恶意软件、后门识别、异常协议、SQL注入、WEBSHELL、命令执行等不少于120种攻击场景；产品具备网页篡改检测、webshell检测等检测类产品专利。（提供功能截图）</w:t>
            </w:r>
          </w:p>
        </w:tc>
      </w:tr>
      <w:tr>
        <w:tblPrEx>
          <w:tblCellMar>
            <w:top w:w="0" w:type="dxa"/>
            <w:left w:w="108" w:type="dxa"/>
            <w:bottom w:w="0" w:type="dxa"/>
            <w:right w:w="108" w:type="dxa"/>
          </w:tblCellMar>
        </w:tblPrEx>
        <w:trPr>
          <w:trHeight w:val="136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HTTP协议自定义字段监测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自定义HTTP监测模型，通过配置HTTP协议请求头（包括Content-Type、Cookie、Host、User-Agent，支持自定义头部信息）、请求体、响应头、响应体、请求MimeType、URI、响应码等字段进行监测，针对选择的字段可以配置运算关系或者函数处理，运算关系包括大于/小于/等于/不等于/包含/正则等，支持选择Base64解码、后缀判断、URL路径提取等函数对数据进行处理后再进行运算关系的匹配。</w:t>
            </w:r>
          </w:p>
        </w:tc>
      </w:tr>
      <w:tr>
        <w:tblPrEx>
          <w:tblCellMar>
            <w:top w:w="0" w:type="dxa"/>
            <w:left w:w="108" w:type="dxa"/>
            <w:bottom w:w="0" w:type="dxa"/>
            <w:right w:w="108" w:type="dxa"/>
          </w:tblCellMar>
        </w:tblPrEx>
        <w:trPr>
          <w:trHeight w:val="136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网络行为自定义监测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用户自定义网络行为监测，包括异常登录行为、异常邮件传输行为、文件传输等行为的风险检测。支持通用协议内容的检测，如HTTP、POP3、SMTP、DNS、FTP等不少于10种协议；支持细粒度配置各协议字段，满足自定义行为监测需求，如DNS的query的内容监测。支持不少于6种内置数据分析模型，包括弱密码检测、ICMP主机发现、未授权登录、邮件手机号信息泄漏、邮件身份证信息泄漏、通过DNS进行外带查询模型等。</w:t>
            </w:r>
          </w:p>
        </w:tc>
      </w:tr>
      <w:tr>
        <w:tblPrEx>
          <w:tblCellMar>
            <w:top w:w="0" w:type="dxa"/>
            <w:left w:w="108" w:type="dxa"/>
            <w:bottom w:w="0" w:type="dxa"/>
            <w:right w:w="108" w:type="dxa"/>
          </w:tblCellMar>
        </w:tblPrEx>
        <w:trPr>
          <w:trHeight w:val="102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端口扫描自定义监测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不少于4种内置扫描模型，包括高危端口扫描、一对多扫描等，并且支持自定义模型配置，支持选择多字段（包括但不限于目标端口、连接状态、响应字节数、源目IP等字段）、多条件自由组合配置，通过流处理方式，对访问次数、频率等进行统计分析，贴合业务特点，满足任意扫描场景。</w:t>
            </w:r>
          </w:p>
        </w:tc>
      </w:tr>
      <w:tr>
        <w:tblPrEx>
          <w:tblCellMar>
            <w:top w:w="0" w:type="dxa"/>
            <w:left w:w="108" w:type="dxa"/>
            <w:bottom w:w="0" w:type="dxa"/>
            <w:right w:w="108" w:type="dxa"/>
          </w:tblCellMar>
        </w:tblPrEx>
        <w:trPr>
          <w:trHeight w:val="102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暴力破解自定义监测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不少于10种内置暴力破解监测模型，并且支持自定义模型配置，包括对ftp、radis、mysql、ntlm、kerberos、ssh、smtp、pop3、imap、http、socks、redis等多种协的暴力破解监测，支持多字段、多条件的自由组合配置，对访问次数、频率等进行统计分析，满足自定义的暴力破解场景监测。</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网络建联行为自定义监测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基于ACL的异常行为监测，支持通过自定义或导入ACL策略对TCP、UDP网络建联行为进行监测，支持对IP或IP段之间的访问进行监测，发现不符合ACL策略的行为进行告警。支持设定暗网段(不存在的网段)的监测，识别是否存在内网探测横移等异常行为。</w:t>
            </w:r>
          </w:p>
        </w:tc>
      </w:tr>
      <w:tr>
        <w:tblPrEx>
          <w:tblCellMar>
            <w:top w:w="0" w:type="dxa"/>
            <w:left w:w="108" w:type="dxa"/>
            <w:bottom w:w="0" w:type="dxa"/>
            <w:right w:w="108" w:type="dxa"/>
          </w:tblCellMar>
        </w:tblPrEx>
        <w:trPr>
          <w:trHeight w:val="34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威胁情报检测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支持针对僵尸网络、勒索软件、C&amp;C等场景的恶意IP、域名检测，以及支持将情报和风险进行关联分析，提高风险可信度。</w:t>
            </w:r>
          </w:p>
        </w:tc>
      </w:tr>
      <w:tr>
        <w:tblPrEx>
          <w:tblCellMar>
            <w:top w:w="0" w:type="dxa"/>
            <w:left w:w="108" w:type="dxa"/>
            <w:bottom w:w="0" w:type="dxa"/>
            <w:right w:w="108" w:type="dxa"/>
          </w:tblCellMar>
        </w:tblPrEx>
        <w:trPr>
          <w:trHeight w:val="102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URL基线自定义监测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基于历史网络协议日志对目标服务构建离线任务进行分析监测，支持数据清洗，以及URL访问目录路径、响应状态码等关键信息的筛选形成监测基线；监测基线支持用户自定义编辑、删除等操作；支持对越过监测基线的异常行为进行告警，支持指定告警URL层级。</w:t>
            </w:r>
          </w:p>
        </w:tc>
      </w:tr>
      <w:tr>
        <w:tblPrEx>
          <w:tblCellMar>
            <w:top w:w="0" w:type="dxa"/>
            <w:left w:w="108" w:type="dxa"/>
            <w:bottom w:w="0" w:type="dxa"/>
            <w:right w:w="108" w:type="dxa"/>
          </w:tblCellMar>
        </w:tblPrEx>
        <w:trPr>
          <w:trHeight w:val="102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攻击离线检测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一周以上的长周期历史流量进行回溯检测，帮助用户在0day发生时进行回溯分析或发现漏检攻击。通过新建规则，包括HTTP任意字段配置和高级语法配置，然后选择任意时长历史数据做风险离线检测，最后在风险管理的离线风险页面中查看检测出的风险结果以及风险详情。</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防御规则离线验证</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基于大数据计算分析能力，通过历史网络流量对自定义WAF/IDS规则做验证分析，查看规则在历史流量中命中日志、拦截源IP、防御目标IP等情况，从而验证规则的准确性，在发布新规则时，避免产品出现误拦截或误报情况。</w:t>
            </w:r>
          </w:p>
        </w:tc>
      </w:tr>
      <w:tr>
        <w:tblPrEx>
          <w:tblCellMar>
            <w:top w:w="0" w:type="dxa"/>
            <w:left w:w="108" w:type="dxa"/>
            <w:bottom w:w="0" w:type="dxa"/>
            <w:right w:w="108" w:type="dxa"/>
          </w:tblCellMar>
        </w:tblPrEx>
        <w:trPr>
          <w:trHeight w:val="34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PCAP回放与检测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支持PCAP数据的回放与检测，通过上传PCAP进行回放与安全检测。</w:t>
            </w:r>
          </w:p>
        </w:tc>
      </w:tr>
      <w:tr>
        <w:tblPrEx>
          <w:tblCellMar>
            <w:top w:w="0" w:type="dxa"/>
            <w:left w:w="108" w:type="dxa"/>
            <w:bottom w:w="0" w:type="dxa"/>
            <w:right w:w="108" w:type="dxa"/>
          </w:tblCellMar>
        </w:tblPrEx>
        <w:trPr>
          <w:trHeight w:val="680" w:hRule="atLeast"/>
          <w:jc w:val="center"/>
        </w:trPr>
        <w:tc>
          <w:tcPr>
            <w:tcW w:w="8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风险事件与预警</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风险事件</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展现详细的风险名称、风险分区、源IP、目标IP、忽略状态、置信度、更新时间、日志时间、风险场景、安全分类、攻击阶段、源IP网络区域、源端口、目标IP网络区域、目标端口、XFF、CVE、CNNVD、忽略原因等信息，并提供相应的数据包下载。</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支持快速查询、高级语法查询以及可视化交互查询多种方式进行数据检索，如AND、OR、NOT、:、:&gt;、:&gt;=、:&lt;、:&lt;=、*、? 等运算符等查询语法；同时支持查询语法保存，对常用检索语法进行保存</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风险详情分析，查看风险描述、风险凭证、协议日志、数据包、处置建议等信息，以及对源、目IP做关联风险分析；支持对风险信息做攻击成功判断，对风险进行重点标记和高亮展示；支持风险信息以csv、zip格式导出，并支持以邮件方式发送。</w:t>
            </w:r>
          </w:p>
        </w:tc>
      </w:tr>
      <w:tr>
        <w:tblPrEx>
          <w:tblCellMar>
            <w:top w:w="0" w:type="dxa"/>
            <w:left w:w="108" w:type="dxa"/>
            <w:bottom w:w="0" w:type="dxa"/>
            <w:right w:w="108" w:type="dxa"/>
          </w:tblCellMar>
        </w:tblPrEx>
        <w:trPr>
          <w:trHeight w:val="102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安全场景分析</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用户自定义安全场景，默认内置弱口令、暴力破解、漏洞攻击、DNSLog、数据泄露、恶意软件、Log4j探测场景，支持一键统计场景下的风险数量；支持对风险场景进行编辑、隐藏、删除、调整顺序等管理功能；支持将场景放到目录中展示呈现，支持调整目录顺序。</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风险聚合分析</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支持对风险进行聚合分析，支持按照风险名称、源IP、目标IP等维度进行风险聚合，聚合后的风险数据支持按照源目IP下钻筛选；支持统计风险名称、源IP、目标IP等字段的top50统计筛选。</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风险预警</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支持自定义条件配置预警策略，对重点监测目标配置预警策略；支持自定义配置通知策略，包括预警阈值、频率、预警通知方式、通知频率等内容；支持通过系统通知、邮件通知等多种方式预警风险事件。</w:t>
            </w:r>
          </w:p>
        </w:tc>
      </w:tr>
      <w:tr>
        <w:tblPrEx>
          <w:tblCellMar>
            <w:top w:w="0" w:type="dxa"/>
            <w:left w:w="108" w:type="dxa"/>
            <w:bottom w:w="0" w:type="dxa"/>
            <w:right w:w="108" w:type="dxa"/>
          </w:tblCellMar>
        </w:tblPrEx>
        <w:trPr>
          <w:trHeight w:val="1020" w:hRule="atLeast"/>
          <w:jc w:val="center"/>
        </w:trPr>
        <w:tc>
          <w:tcPr>
            <w:tcW w:w="8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威胁狩猎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数据挖掘分析</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基于协议、风险数据进行深度挖掘分析；内置多种数据挖掘分析场景，如批量IP检索分析、字段统计分析、域名资产分析、数据库识别分析、超长攻击链路分析等场景；支持不同场景提供不同的参数配置、展示结果数据，以及支持数据导出，便于用户数据分析；支持用户自定义场景分析，通过输入自定义SQL查询语句来执行数据挖掘和分析。</w:t>
            </w:r>
          </w:p>
        </w:tc>
      </w:tr>
      <w:tr>
        <w:tblPrEx>
          <w:tblCellMar>
            <w:top w:w="0" w:type="dxa"/>
            <w:left w:w="108" w:type="dxa"/>
            <w:bottom w:w="0" w:type="dxa"/>
            <w:right w:w="108" w:type="dxa"/>
          </w:tblCellMar>
        </w:tblPrEx>
        <w:trPr>
          <w:trHeight w:val="102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协议图谱分析</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TCP、ICMP、HTTP、DNS等不少于4种协议的可视化分析，辅助安全分析人员挖掘网络中异常流量行为及异常攻击。TCP包括建联关系分析、建联端口分析、建联状态分析，ICMP包括报文类型统计、填充字符统计，HTTP包括请求次数趋势分析、建联关系分析、请求方法/响应状态码统计，DNS包括查询域名统计、查询/响应类型统计、建联关系分析。</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风险图谱分析</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指定IP为分析对象，输出与其相关的风险事件关系，支持将攻击事件以攻击阶段方式可视化呈现，划分为信息探测侦察、载荷投递与攻击、特权提升与控制、横向移动与转移、数据渗漏与提取五个阶段，通过对风险和IP的层层下钻还原整个攻击链路。</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资产视角分析</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针对资产视角监控资产当前面临的风险情况，包括失陷资产、挖矿资产、隐蔽隧道资产、信息泄漏资产、弱口令资产的统计数据，每个风险资产面临的风险详情、攻击线路等情况。</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攻击者视角分析</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针对攻击者视角，汇总所有攻击者的数据，展示攻击者分布国家，将攻击者按照攻击次数或者攻击时间进行排序，展示攻击者的完整攻击记录、流量行为记录。</w:t>
            </w:r>
          </w:p>
        </w:tc>
      </w:tr>
      <w:tr>
        <w:tblPrEx>
          <w:tblCellMar>
            <w:top w:w="0" w:type="dxa"/>
            <w:left w:w="108" w:type="dxa"/>
            <w:bottom w:w="0" w:type="dxa"/>
            <w:right w:w="108" w:type="dxa"/>
          </w:tblCellMar>
        </w:tblPrEx>
        <w:trPr>
          <w:trHeight w:val="680" w:hRule="atLeast"/>
          <w:jc w:val="center"/>
        </w:trPr>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调查画布</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支持对网络IoC信标的提取，包括但不限于IP、URL、邮箱、域名、用户名、文件等不少于6种信标，并以可视化的方式描述网络实体间的行为，绘制调查画布。</w:t>
            </w:r>
          </w:p>
        </w:tc>
      </w:tr>
    </w:tbl>
    <w:p>
      <w:pPr>
        <w:pStyle w:val="21"/>
        <w:tabs>
          <w:tab w:val="left" w:pos="588"/>
        </w:tabs>
        <w:snapToGrid w:val="0"/>
        <w:spacing w:before="120" w:after="120" w:line="440" w:lineRule="exact"/>
        <w:jc w:val="left"/>
        <w:outlineLvl w:val="3"/>
        <w:rPr>
          <w:rFonts w:hint="eastAsia" w:ascii="仿宋" w:hAnsi="仿宋" w:eastAsia="仿宋"/>
          <w:sz w:val="22"/>
          <w:szCs w:val="22"/>
        </w:rPr>
      </w:pPr>
      <w:bookmarkStart w:id="121" w:name="_Toc193699359"/>
      <w:r>
        <w:rPr>
          <w:rFonts w:hint="eastAsia" w:ascii="仿宋" w:hAnsi="仿宋" w:eastAsia="仿宋"/>
          <w:sz w:val="22"/>
          <w:szCs w:val="22"/>
        </w:rPr>
        <w:t>4、等保测评服务</w:t>
      </w:r>
      <w:bookmarkEnd w:id="121"/>
    </w:p>
    <w:p>
      <w:pPr>
        <w:pStyle w:val="32"/>
        <w:ind w:firstLine="420"/>
        <w:rPr>
          <w:rFonts w:hint="eastAsia" w:ascii="仿宋" w:hAnsi="仿宋" w:eastAsia="仿宋"/>
          <w:sz w:val="21"/>
        </w:rPr>
      </w:pPr>
      <w:r>
        <w:rPr>
          <w:rFonts w:hint="eastAsia" w:ascii="仿宋" w:hAnsi="仿宋" w:eastAsia="仿宋"/>
          <w:sz w:val="21"/>
        </w:rPr>
        <w:t>提供1个三级系统、2个二级系统和1个一级系统的等保测评服务。</w:t>
      </w:r>
    </w:p>
    <w:p>
      <w:pPr>
        <w:numPr>
          <w:ilvl w:val="0"/>
          <w:numId w:val="7"/>
        </w:numPr>
        <w:spacing w:line="360" w:lineRule="auto"/>
        <w:ind w:left="0" w:firstLine="422" w:firstLineChars="200"/>
        <w:rPr>
          <w:rFonts w:hint="eastAsia" w:ascii="仿宋" w:hAnsi="仿宋" w:eastAsia="仿宋" w:cs="宋体"/>
          <w:b/>
          <w:bCs/>
          <w:szCs w:val="21"/>
        </w:rPr>
      </w:pPr>
      <w:r>
        <w:rPr>
          <w:rFonts w:hint="eastAsia" w:ascii="仿宋" w:hAnsi="仿宋" w:eastAsia="仿宋" w:cs="宋体"/>
          <w:b/>
          <w:bCs/>
          <w:szCs w:val="21"/>
        </w:rPr>
        <w:t>定级备案服务</w:t>
      </w:r>
    </w:p>
    <w:p>
      <w:pPr>
        <w:pStyle w:val="32"/>
        <w:ind w:firstLine="420"/>
        <w:rPr>
          <w:rFonts w:hint="eastAsia" w:ascii="仿宋" w:hAnsi="仿宋" w:eastAsia="仿宋"/>
          <w:sz w:val="21"/>
        </w:rPr>
      </w:pPr>
      <w:r>
        <w:rPr>
          <w:rFonts w:hint="eastAsia" w:ascii="仿宋" w:hAnsi="仿宋" w:eastAsia="仿宋"/>
          <w:sz w:val="21"/>
        </w:rPr>
        <w:t>针对未备案的信息系统：撰写定级备案材料，邀请进行专家进行评审，向相关机构提交备案材料，取得备案证明。</w:t>
      </w:r>
    </w:p>
    <w:p>
      <w:pPr>
        <w:numPr>
          <w:ilvl w:val="0"/>
          <w:numId w:val="7"/>
        </w:numPr>
        <w:spacing w:line="360" w:lineRule="auto"/>
        <w:ind w:left="0" w:firstLine="422" w:firstLineChars="200"/>
        <w:rPr>
          <w:rFonts w:hint="eastAsia" w:ascii="仿宋" w:hAnsi="仿宋" w:eastAsia="仿宋" w:cs="宋体"/>
          <w:b/>
          <w:bCs/>
          <w:szCs w:val="21"/>
        </w:rPr>
      </w:pPr>
      <w:r>
        <w:rPr>
          <w:rFonts w:hint="eastAsia" w:ascii="仿宋" w:hAnsi="仿宋" w:eastAsia="仿宋" w:cs="宋体"/>
          <w:b/>
          <w:bCs/>
          <w:szCs w:val="21"/>
        </w:rPr>
        <w:t>等保测评服务（包含差距测评和验收测评）</w:t>
      </w:r>
    </w:p>
    <w:p>
      <w:pPr>
        <w:pStyle w:val="32"/>
        <w:ind w:firstLine="420"/>
        <w:rPr>
          <w:rFonts w:hint="eastAsia" w:ascii="仿宋" w:hAnsi="仿宋" w:eastAsia="仿宋"/>
          <w:sz w:val="21"/>
        </w:rPr>
      </w:pPr>
      <w:r>
        <w:rPr>
          <w:rFonts w:hint="eastAsia" w:ascii="仿宋" w:hAnsi="仿宋" w:eastAsia="仿宋"/>
          <w:sz w:val="21"/>
        </w:rPr>
        <w:t>按国家GB/T 22239-2019《信息安全技术网络安全等级保护基本要求》、GB/T 28448-2019《信息安全技术 网络安全等级保护测评要求》相关标准，按照要求安排指定的应用系统通过测评。具体测评内容要求如下：</w:t>
      </w:r>
    </w:p>
    <w:p>
      <w:pPr>
        <w:spacing w:line="360" w:lineRule="auto"/>
        <w:ind w:firstLine="640"/>
        <w:rPr>
          <w:rFonts w:hint="eastAsia" w:ascii="仿宋" w:hAnsi="仿宋" w:eastAsia="仿宋" w:cs="宋体"/>
          <w:szCs w:val="21"/>
        </w:rPr>
      </w:pPr>
      <w:r>
        <w:rPr>
          <w:rFonts w:hint="eastAsia" w:ascii="仿宋" w:hAnsi="仿宋" w:eastAsia="仿宋" w:cs="宋体"/>
          <w:szCs w:val="21"/>
        </w:rPr>
        <w:t>①安全测评通用要求，主要包括：物理和环境安全、网络和通信安全、设备和计算安全、应用和数据安全、安全策略和管理制度、安全管理机构和人员、安全建设管理、安全运维管理；</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物理和环境安全：物理位置选择、物理访问控制、防盗窃和防破坏、防雷击、防火、防水和防潮、防静电、温湿度控制、电力供应。</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网络和通信安全：网络架构、通信传输、边界防护、访问控制、入侵防范、恶意代码防范、安全审计、集中管控。</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设备和计算安全：身份鉴别、访问控制、安全审计、入侵防范、恶意代码防范、资源控制。</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应用和数据安全：身份鉴别、访问控制、安全审计、软件容错、资源控制、数据完整性、数据保密性、数据备份和恢复、剩余信息保护、个人信息保护。</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安全策略和管理制度：安全策略、管理制度、制定和发布、评审和修订。</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安全管理机构人员：岗位设置、人员配备、授权和审批、沟通和合作、审核和检查、人员录用、人员离岗、安全意识教育和培训、外部人员访问管理。</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安全建设管理:定级和备案、安全方案设计、产品采购和使用、自行软件开发、外包软件开发、工程实施、测试验收、系统交付、等级测评、服务供应商管理。</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安全运维管理：环境管理、资产管理、介质管理、设备维护管理、漏洞和风险管理、网络和系统安全管理、恶意代码防范管理、配置管理、密码管理、变更管理、备份和恢复管理、安全事件处置、应急预案管理、外包运维管理。</w:t>
      </w:r>
    </w:p>
    <w:p>
      <w:pPr>
        <w:pStyle w:val="46"/>
        <w:spacing w:line="360" w:lineRule="auto"/>
        <w:ind w:left="420" w:leftChars="200" w:firstLine="0" w:firstLineChars="0"/>
        <w:jc w:val="left"/>
        <w:rPr>
          <w:rFonts w:hint="eastAsia" w:ascii="仿宋" w:hAnsi="仿宋" w:eastAsia="仿宋" w:cs="宋体"/>
          <w:szCs w:val="21"/>
        </w:rPr>
      </w:pPr>
      <w:r>
        <w:rPr>
          <w:rFonts w:hint="eastAsia" w:ascii="仿宋" w:hAnsi="仿宋" w:eastAsia="仿宋" w:cs="宋体"/>
          <w:szCs w:val="21"/>
        </w:rPr>
        <w:t>②扩展要求（如有），主要包括：云计算安全测评扩展要求。</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扩展要求主要测试内容包括：安全物理环境、安全通信网络、安全区域边界、安全计算环境、安全管理中心、安全建设管理、安全运维管理。</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安全物理环境:基础设施位置。</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安全通信网络：网络架构。</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安全区域边界：访问控制、入侵防范、安全审计。</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安全计算环境：身份鉴别、访问控制、入侵防范、镜像和快照保护、数据完整性和保密性、数据备份和恢复、剩余信息保护。</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安全管理中心：集中管控。</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安全建设管理：云服务商选择、供应链选择。</w:t>
      </w:r>
    </w:p>
    <w:p>
      <w:pPr>
        <w:pStyle w:val="46"/>
        <w:numPr>
          <w:ilvl w:val="0"/>
          <w:numId w:val="8"/>
        </w:numPr>
        <w:spacing w:line="360" w:lineRule="auto"/>
        <w:ind w:left="0" w:firstLine="420"/>
        <w:jc w:val="left"/>
        <w:rPr>
          <w:rFonts w:hint="eastAsia" w:ascii="仿宋" w:hAnsi="仿宋" w:eastAsia="仿宋" w:cs="宋体"/>
          <w:szCs w:val="21"/>
        </w:rPr>
      </w:pPr>
      <w:r>
        <w:rPr>
          <w:rFonts w:hint="eastAsia" w:ascii="仿宋" w:hAnsi="仿宋" w:eastAsia="仿宋" w:cs="宋体"/>
          <w:szCs w:val="21"/>
        </w:rPr>
        <w:t>安全运维管理：云计算环境管理。</w:t>
      </w:r>
    </w:p>
    <w:p>
      <w:pPr>
        <w:spacing w:line="360" w:lineRule="auto"/>
        <w:ind w:firstLine="420" w:firstLineChars="200"/>
        <w:rPr>
          <w:rFonts w:hint="eastAsia" w:ascii="仿宋" w:hAnsi="仿宋" w:eastAsia="仿宋" w:cs="宋体"/>
          <w:color w:val="000000"/>
          <w:szCs w:val="21"/>
        </w:rPr>
      </w:pPr>
      <w:r>
        <w:rPr>
          <w:rFonts w:hint="eastAsia" w:ascii="仿宋" w:hAnsi="仿宋" w:eastAsia="仿宋" w:cs="宋体"/>
          <w:szCs w:val="21"/>
        </w:rPr>
        <w:t>③</w:t>
      </w:r>
      <w:r>
        <w:rPr>
          <w:rFonts w:hint="eastAsia" w:ascii="仿宋" w:hAnsi="仿宋" w:eastAsia="仿宋" w:cs="宋体"/>
          <w:color w:val="000000"/>
          <w:szCs w:val="21"/>
        </w:rPr>
        <w:t>验证测试，主要包括：采用工具测试，进行WEB漏洞扫描和主机漏洞扫描以及手工渗透测试。</w:t>
      </w:r>
    </w:p>
    <w:p>
      <w:pPr>
        <w:pStyle w:val="21"/>
        <w:tabs>
          <w:tab w:val="left" w:pos="588"/>
        </w:tabs>
        <w:snapToGrid w:val="0"/>
        <w:spacing w:before="120" w:after="120" w:line="440" w:lineRule="exact"/>
        <w:jc w:val="left"/>
        <w:outlineLvl w:val="3"/>
        <w:rPr>
          <w:rFonts w:hint="eastAsia" w:ascii="仿宋" w:hAnsi="仿宋" w:eastAsia="仿宋"/>
          <w:sz w:val="22"/>
          <w:szCs w:val="22"/>
        </w:rPr>
      </w:pPr>
      <w:bookmarkStart w:id="122" w:name="_Toc193699360"/>
      <w:r>
        <w:rPr>
          <w:rFonts w:hint="eastAsia" w:ascii="仿宋" w:hAnsi="仿宋" w:eastAsia="仿宋"/>
          <w:sz w:val="22"/>
          <w:szCs w:val="22"/>
        </w:rPr>
        <w:t>5、内网AD域监测服务</w:t>
      </w:r>
      <w:bookmarkEnd w:id="122"/>
    </w:p>
    <w:p>
      <w:pPr>
        <w:spacing w:line="360" w:lineRule="auto"/>
        <w:ind w:firstLine="420" w:firstLineChars="200"/>
        <w:rPr>
          <w:rFonts w:hint="eastAsia" w:ascii="仿宋" w:hAnsi="仿宋" w:eastAsia="仿宋" w:cs="宋体"/>
          <w:szCs w:val="21"/>
        </w:rPr>
      </w:pPr>
      <w:r>
        <w:rPr>
          <w:rFonts w:hint="eastAsia" w:ascii="仿宋" w:hAnsi="仿宋" w:eastAsia="仿宋" w:cs="宋体"/>
          <w:szCs w:val="21"/>
        </w:rPr>
        <w:t>对内网AD域及相关系统进行实时检测。包括基线、权限配置、账号和协议，网络端口等梳理，部署AD域的攻击检测及响应工具，一年服务期。</w:t>
      </w:r>
    </w:p>
    <w:tbl>
      <w:tblPr>
        <w:tblStyle w:val="24"/>
        <w:tblW w:w="0" w:type="auto"/>
        <w:tblInd w:w="0" w:type="dxa"/>
        <w:tblLayout w:type="autofit"/>
        <w:tblCellMar>
          <w:top w:w="0" w:type="dxa"/>
          <w:left w:w="108" w:type="dxa"/>
          <w:bottom w:w="0" w:type="dxa"/>
          <w:right w:w="108" w:type="dxa"/>
        </w:tblCellMar>
      </w:tblPr>
      <w:tblGrid>
        <w:gridCol w:w="638"/>
        <w:gridCol w:w="967"/>
        <w:gridCol w:w="6923"/>
      </w:tblGrid>
      <w:tr>
        <w:tblPrEx>
          <w:tblCellMar>
            <w:top w:w="0" w:type="dxa"/>
            <w:left w:w="108" w:type="dxa"/>
            <w:bottom w:w="0" w:type="dxa"/>
            <w:right w:w="108" w:type="dxa"/>
          </w:tblCellMar>
        </w:tblPrEx>
        <w:trPr>
          <w:trHeight w:val="559" w:hRule="atLeast"/>
        </w:trPr>
        <w:tc>
          <w:tcPr>
            <w:tcW w:w="0" w:type="auto"/>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widowControl/>
              <w:spacing w:before="62" w:beforeLines="20" w:after="62" w:afterLines="20" w:line="288" w:lineRule="auto"/>
              <w:jc w:val="center"/>
              <w:textAlignment w:val="center"/>
              <w:rPr>
                <w:rFonts w:hint="eastAsia" w:ascii="仿宋" w:hAnsi="仿宋" w:eastAsia="仿宋" w:cs="宋体"/>
                <w:b/>
                <w:bCs/>
                <w:color w:val="000000"/>
                <w:kern w:val="0"/>
                <w:szCs w:val="21"/>
                <w:lang w:bidi="ar"/>
              </w:rPr>
            </w:pPr>
            <w:r>
              <w:rPr>
                <w:rFonts w:hint="eastAsia" w:ascii="仿宋" w:hAnsi="仿宋" w:eastAsia="仿宋" w:cs="宋体"/>
                <w:b/>
                <w:bCs/>
                <w:color w:val="000000"/>
                <w:kern w:val="0"/>
                <w:szCs w:val="21"/>
                <w:lang w:bidi="ar"/>
              </w:rPr>
              <w:t>编号</w:t>
            </w:r>
          </w:p>
        </w:tc>
        <w:tc>
          <w:tcPr>
            <w:tcW w:w="0" w:type="auto"/>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widowControl/>
              <w:spacing w:before="62" w:beforeLines="20" w:after="62" w:afterLines="20" w:line="288" w:lineRule="auto"/>
              <w:jc w:val="center"/>
              <w:textAlignment w:val="center"/>
              <w:rPr>
                <w:rFonts w:hint="eastAsia" w:ascii="仿宋" w:hAnsi="仿宋" w:eastAsia="仿宋" w:cs="宋体"/>
                <w:b/>
                <w:bCs/>
                <w:color w:val="000000"/>
                <w:kern w:val="0"/>
                <w:szCs w:val="21"/>
                <w:lang w:bidi="ar"/>
              </w:rPr>
            </w:pPr>
            <w:r>
              <w:rPr>
                <w:rFonts w:hint="eastAsia" w:ascii="仿宋" w:hAnsi="仿宋" w:eastAsia="仿宋" w:cs="宋体"/>
                <w:b/>
                <w:bCs/>
                <w:color w:val="000000"/>
                <w:kern w:val="0"/>
                <w:szCs w:val="21"/>
                <w:lang w:bidi="ar"/>
              </w:rPr>
              <w:t>功能项</w:t>
            </w:r>
          </w:p>
        </w:tc>
        <w:tc>
          <w:tcPr>
            <w:tcW w:w="0" w:type="auto"/>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ign w:val="center"/>
          </w:tcPr>
          <w:p>
            <w:pPr>
              <w:widowControl/>
              <w:spacing w:before="62" w:beforeLines="20" w:after="62" w:afterLines="20" w:line="288" w:lineRule="auto"/>
              <w:jc w:val="center"/>
              <w:textAlignment w:val="center"/>
              <w:rPr>
                <w:rFonts w:hint="eastAsia" w:ascii="仿宋" w:hAnsi="仿宋" w:eastAsia="仿宋" w:cs="宋体"/>
                <w:b/>
                <w:bCs/>
                <w:color w:val="000000"/>
                <w:kern w:val="0"/>
                <w:szCs w:val="21"/>
                <w:lang w:bidi="ar"/>
              </w:rPr>
            </w:pPr>
            <w:r>
              <w:rPr>
                <w:rFonts w:hint="eastAsia" w:ascii="仿宋" w:hAnsi="仿宋" w:eastAsia="仿宋" w:cs="宋体"/>
                <w:b/>
                <w:bCs/>
                <w:color w:val="000000"/>
                <w:kern w:val="0"/>
                <w:szCs w:val="21"/>
                <w:lang w:bidi="ar"/>
              </w:rPr>
              <w:t>功能需求</w:t>
            </w:r>
          </w:p>
        </w:tc>
      </w:tr>
      <w:tr>
        <w:tblPrEx>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检测对象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▲支持对当前常见版本的AD域域控服务器（Windows 2008R2及以上版本）进行安全管理，包括监测攻击事件、检测AD域漏洞、基线核查等。（提供功能截图）</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分析引擎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可解析域的特殊日志与Kerberos流量等多种域内特殊协议与日志</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数据采集、转换、存储采用ELK生态组件，采用轻量型、高并发的处理语言分析数据，基于Suricata引擎进行流量捕捉采集与规则检测</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扫描器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支持AD域安全漏洞、安全基线及弱口令扫描。</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Style w:val="64"/>
                <w:rFonts w:hint="default" w:ascii="仿宋" w:hAnsi="仿宋" w:eastAsia="仿宋"/>
                <w:color w:val="auto"/>
                <w:sz w:val="21"/>
                <w:szCs w:val="21"/>
                <w:lang w:bidi="ar"/>
              </w:rPr>
              <w:t>AD域信息获取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支持通过主动查询的方式获取AD域信息，如机器名、组名、用户名、实体信息</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支持以接收Windows事件日志转发方式获取域控日志信息</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支持以部署域控传感器获取域控相关流量信息</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AD域攻击检测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提供全面、详细的统计功能，能够提供图形界面进行查询</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支持基于攻击事件对监测结果进行统计汇聚</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1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超过60条攻击检测规则，可对信息探测、凭证窃取、凭据利用、权限提升、权限维持、防御绕过等类型AD域攻击行为进行实时监测分析，可精确检测kerberoasting、DCSync攻击、nopac、NTML Relay、ADCS攻击、ZeroLogon攻击、密码爆破(Kerberos)、通过ATEXEC远程执行命令、日志服务被关闭、MS17-010攻击等AD域攻击行为。</w:t>
            </w: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告警事件详情页面提供详细的攻击路径图、事件说明、事件时间、攻击者身份、攻击事件描述、误报排查方式及修复建议</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支持用户资产详情、计算机资产详情、IP资产详情、组资产详情实体信息的相关数据统计及展示，如账户信息、相关权限、所属组等基本属性</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5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支持用户资产详情、计算机资产详情、IP资产详情、组资产详情实体行为的相关数据统计及展示，如相关的活动轨迹和攻击路径</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支持针对不同AD域的敏感用户、敏感计算机、敏感组成员的行为监控</w:t>
            </w: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支持自定义配置蜜罐账户，并通过监控蜜罐账户行为发现高级未知威胁。</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支持针对不同AD域设置监控白名单</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8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Style w:val="64"/>
                <w:rFonts w:hint="default" w:ascii="仿宋" w:hAnsi="仿宋" w:eastAsia="仿宋"/>
                <w:color w:val="auto"/>
                <w:sz w:val="21"/>
                <w:szCs w:val="21"/>
                <w:lang w:bidi="ar"/>
              </w:rPr>
              <w:t>主动检测</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覆盖100条以上的基线检测项，可从账户安全、系统安全、组策略安全、域控制器安全、证书安全、身份协议安全六个角度对当前AD域内系统、应用及组策略进行基线检测</w:t>
            </w:r>
            <w:r>
              <w:rPr>
                <w:rFonts w:hint="eastAsia" w:ascii="仿宋" w:hAnsi="仿宋" w:eastAsia="仿宋" w:cs="宋体"/>
                <w:szCs w:val="21"/>
                <w:lang w:bidi="ar"/>
              </w:rPr>
              <w:t>。</w:t>
            </w:r>
          </w:p>
        </w:tc>
      </w:tr>
      <w:tr>
        <w:trPr>
          <w:trHeight w:val="4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rPr>
                <w:rFonts w:hint="eastAsia" w:ascii="仿宋" w:hAnsi="仿宋" w:eastAsia="仿宋" w:cs="宋体"/>
                <w:szCs w:val="21"/>
              </w:rPr>
            </w:pPr>
          </w:p>
        </w:tc>
      </w:tr>
      <w:tr>
        <w:tblPrEx>
          <w:tblCellMar>
            <w:top w:w="0" w:type="dxa"/>
            <w:left w:w="108" w:type="dxa"/>
            <w:bottom w:w="0" w:type="dxa"/>
            <w:right w:w="108" w:type="dxa"/>
          </w:tblCellMar>
        </w:tblPrEx>
        <w:trPr>
          <w:trHeight w:val="4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rPr>
                <w:rFonts w:hint="eastAsia" w:ascii="仿宋" w:hAnsi="仿宋" w:eastAsia="仿宋" w:cs="宋体"/>
                <w:szCs w:val="21"/>
              </w:rPr>
            </w:pPr>
          </w:p>
        </w:tc>
      </w:tr>
      <w:tr>
        <w:tblPrEx>
          <w:tblCellMar>
            <w:top w:w="0" w:type="dxa"/>
            <w:left w:w="108" w:type="dxa"/>
            <w:bottom w:w="0" w:type="dxa"/>
            <w:right w:w="108" w:type="dxa"/>
          </w:tblCellMar>
        </w:tblPrEx>
        <w:trPr>
          <w:trHeight w:val="4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rPr>
                <w:rFonts w:hint="eastAsia" w:ascii="仿宋" w:hAnsi="仿宋" w:eastAsia="仿宋" w:cs="宋体"/>
                <w:szCs w:val="21"/>
              </w:rPr>
            </w:pPr>
          </w:p>
        </w:tc>
      </w:tr>
      <w:tr>
        <w:tblPrEx>
          <w:tblCellMar>
            <w:top w:w="0" w:type="dxa"/>
            <w:left w:w="108" w:type="dxa"/>
            <w:bottom w:w="0" w:type="dxa"/>
            <w:right w:w="108" w:type="dxa"/>
          </w:tblCellMar>
        </w:tblPrEx>
        <w:trPr>
          <w:trHeight w:val="4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rPr>
                <w:rFonts w:hint="eastAsia" w:ascii="仿宋" w:hAnsi="仿宋" w:eastAsia="仿宋" w:cs="宋体"/>
                <w:szCs w:val="21"/>
              </w:rPr>
            </w:pPr>
          </w:p>
        </w:tc>
      </w:tr>
      <w:tr>
        <w:tblPrEx>
          <w:tblCellMar>
            <w:top w:w="0" w:type="dxa"/>
            <w:left w:w="108" w:type="dxa"/>
            <w:bottom w:w="0" w:type="dxa"/>
            <w:right w:w="108" w:type="dxa"/>
          </w:tblCellMar>
        </w:tblPrEx>
        <w:trPr>
          <w:trHeight w:val="4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rPr>
                <w:rFonts w:hint="eastAsia" w:ascii="仿宋" w:hAnsi="仿宋" w:eastAsia="仿宋" w:cs="宋体"/>
                <w:szCs w:val="21"/>
              </w:rPr>
            </w:pP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提供全面、详细的基线检测结果说明，包含规则ID、检查项描述、技术说明、解决方案、检查项及关联实例等信息</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6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支持基线检测，可对已修复项进行复测</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支持弱口令扫描，并支持查看明文密码</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支持漏洞扫描，可对已修复项进行复测</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支持自定义规则模板，包括基线模板，漏扫模板，可根据需要选择模板内包含的检测规则；弱口令模板可自定义弱口令，并支持批量导入。</w:t>
            </w: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支持配置定期检测，可针对不同AD域设置每日、每周、每月进行定期检测，包括但不限于各资产的实体信息、实体行为与告警事件、行为事件的联动与统计。</w:t>
            </w:r>
          </w:p>
        </w:tc>
      </w:tr>
      <w:tr>
        <w:tblPrEx>
          <w:tblCellMar>
            <w:top w:w="0" w:type="dxa"/>
            <w:left w:w="108" w:type="dxa"/>
            <w:bottom w:w="0" w:type="dxa"/>
            <w:right w:w="108" w:type="dxa"/>
          </w:tblCellMar>
        </w:tblPrEx>
        <w:trPr>
          <w:trHeight w:val="3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Style w:val="64"/>
                <w:rFonts w:hint="default" w:ascii="仿宋" w:hAnsi="仿宋" w:eastAsia="仿宋"/>
                <w:color w:val="auto"/>
                <w:sz w:val="21"/>
                <w:szCs w:val="21"/>
                <w:lang w:bidi="ar"/>
              </w:rPr>
              <w:t>资产管理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支持对域内用户资产、计算机资产进行统一管理查看</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8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Style w:val="64"/>
                <w:rFonts w:hint="default" w:ascii="仿宋" w:hAnsi="仿宋" w:eastAsia="仿宋"/>
                <w:color w:val="auto"/>
                <w:sz w:val="21"/>
                <w:szCs w:val="21"/>
                <w:lang w:bidi="ar"/>
              </w:rPr>
              <w:t>风险大盘</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提供全面、详细的统计功能，能够提供图形界面进行查询</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4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rPr>
                <w:rFonts w:hint="eastAsia" w:ascii="仿宋" w:hAnsi="仿宋" w:eastAsia="仿宋" w:cs="宋体"/>
                <w:szCs w:val="21"/>
              </w:rPr>
            </w:pPr>
          </w:p>
        </w:tc>
      </w:tr>
      <w:tr>
        <w:tblPrEx>
          <w:tblCellMar>
            <w:top w:w="0" w:type="dxa"/>
            <w:left w:w="108" w:type="dxa"/>
            <w:bottom w:w="0" w:type="dxa"/>
            <w:right w:w="108" w:type="dxa"/>
          </w:tblCellMar>
        </w:tblPrEx>
        <w:trPr>
          <w:trHeight w:val="4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rPr>
                <w:rFonts w:hint="eastAsia" w:ascii="仿宋" w:hAnsi="仿宋" w:eastAsia="仿宋" w:cs="宋体"/>
                <w:szCs w:val="21"/>
              </w:rPr>
            </w:pP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支持各种饼图、折线图、柱状图等图表显示AD域风险分析结果</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支持展示基于日、周、月、年的攻击告警等级分布及类型分布统计</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支持近7天告警次数统计变化趋势及近7天受害资产数量、告警事件统计并标记当日新增数据</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支持展示主动检测总数量统计，包含基线事件、漏洞事件</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支持展示资产总数量统计，包含用户、计算机、组</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Style w:val="64"/>
                <w:rFonts w:hint="default" w:ascii="仿宋" w:hAnsi="仿宋" w:eastAsia="仿宋"/>
                <w:color w:val="auto"/>
                <w:sz w:val="21"/>
                <w:szCs w:val="21"/>
                <w:lang w:bidi="ar"/>
              </w:rPr>
              <w:t>报表导出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支持导出管理功能</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支持将告警事件、基线检测事件及弱口令事件以xlsx格式导出报表</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支持按照时间自定义导出审计日志和系统日志，支持离线下载</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8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告警功能</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支持配置邮件、syslog告警进行告警外发</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4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rPr>
                <w:rFonts w:hint="eastAsia" w:ascii="仿宋" w:hAnsi="仿宋" w:eastAsia="仿宋" w:cs="宋体"/>
                <w:szCs w:val="21"/>
              </w:rPr>
            </w:pP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告警配置支持连通性测试</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支持根据威胁名称、告警严重性、告警事件状态、来源、计算机、IP、用户、最后发生时间等维度进行告警信息查询</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阻断功能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支持在发生域安全问题时自动阻断和手动阻断。手动阻断模式分为两种模式，阻断用户与阻断IP</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center"/>
              <w:textAlignment w:val="center"/>
              <w:rPr>
                <w:rFonts w:hint="eastAsia" w:ascii="仿宋" w:hAnsi="仿宋" w:eastAsia="仿宋" w:cs="宋体"/>
                <w:szCs w:val="21"/>
              </w:rPr>
            </w:pPr>
            <w:r>
              <w:rPr>
                <w:rFonts w:hint="eastAsia" w:ascii="仿宋" w:hAnsi="仿宋" w:eastAsia="仿宋" w:cs="宋体"/>
                <w:kern w:val="0"/>
                <w:szCs w:val="21"/>
                <w:lang w:bidi="ar"/>
              </w:rPr>
              <w:t>系统管理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支持多用户，支持新建子账户并配置子账户管理</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账户支持二次认证，包括但不限于谷歌认证器和阿里云APP；支持同时对多个AD域进行管理，支持对当前所监控域控进行在线管理，查看域名、账户、状态等信息</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支持自动同步系统时间、手动设置系统时间</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支持硬件资源监控及管理，CPU使用率、内存占用率、磁盘占用率的监控，数据存储空间的配置管理</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支持对域控传感器进行管理（传感器自动注册、状态监控和版本更新），支持实时检测日志采集和流量采集状态以及该传感器采集触发事件统计</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Fonts w:hint="eastAsia" w:ascii="仿宋" w:hAnsi="仿宋" w:eastAsia="仿宋" w:cs="宋体"/>
                <w:kern w:val="0"/>
                <w:szCs w:val="21"/>
                <w:lang w:bidi="ar"/>
              </w:rPr>
              <w:t>域控传感器支持对域控性能监测，并设置CPU内存占用最大值，防止影响正常业务</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支持根据时间范围对当前设备日志进行查询和导出</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Fonts w:hint="eastAsia" w:ascii="仿宋" w:hAnsi="仿宋" w:eastAsia="仿宋" w:cs="宋体"/>
                <w:szCs w:val="21"/>
              </w:rPr>
            </w:pPr>
            <w:r>
              <w:rPr>
                <w:rStyle w:val="64"/>
                <w:rFonts w:hint="default" w:ascii="仿宋" w:hAnsi="仿宋" w:eastAsia="仿宋"/>
                <w:color w:val="auto"/>
                <w:sz w:val="21"/>
                <w:szCs w:val="21"/>
                <w:lang w:bidi="ar"/>
              </w:rPr>
              <w:t>支持对当前平台操作进行日志审计，支持操作日志在线查看及导出</w:t>
            </w:r>
            <w:r>
              <w:rPr>
                <w:rFonts w:hint="eastAsia" w:ascii="仿宋" w:hAnsi="仿宋" w:eastAsia="仿宋" w:cs="宋体"/>
                <w:szCs w:val="21"/>
                <w:lang w:bidi="ar"/>
              </w:rPr>
              <w:t>。</w:t>
            </w:r>
          </w:p>
        </w:tc>
      </w:tr>
      <w:tr>
        <w:tblPrEx>
          <w:tblCellMar>
            <w:top w:w="0" w:type="dxa"/>
            <w:left w:w="108" w:type="dxa"/>
            <w:bottom w:w="0" w:type="dxa"/>
            <w:right w:w="108" w:type="dxa"/>
          </w:tblCellMar>
        </w:tblPrEx>
        <w:trPr>
          <w:trHeight w:val="3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功能授权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Style w:val="64"/>
                <w:rFonts w:hint="default" w:ascii="仿宋" w:hAnsi="仿宋" w:eastAsia="仿宋"/>
                <w:color w:val="auto"/>
                <w:sz w:val="21"/>
                <w:szCs w:val="21"/>
                <w:lang w:bidi="ar"/>
              </w:rPr>
            </w:pPr>
            <w:r>
              <w:rPr>
                <w:rStyle w:val="64"/>
                <w:rFonts w:hint="default" w:ascii="仿宋" w:hAnsi="仿宋" w:eastAsia="仿宋"/>
                <w:color w:val="auto"/>
                <w:sz w:val="21"/>
                <w:szCs w:val="21"/>
                <w:lang w:bidi="ar"/>
              </w:rPr>
              <w:t>对于本功能参数表内的所有功能项目，本项目均要求在售后维保期内实际提供相关的功能授权。且授权数量须满足全集团域控制服务器及各类账户的实际需求。</w:t>
            </w:r>
          </w:p>
        </w:tc>
      </w:tr>
      <w:tr>
        <w:tblPrEx>
          <w:tblCellMar>
            <w:top w:w="0" w:type="dxa"/>
            <w:left w:w="108" w:type="dxa"/>
            <w:bottom w:w="0" w:type="dxa"/>
            <w:right w:w="108" w:type="dxa"/>
          </w:tblCellMar>
        </w:tblPrEx>
        <w:trPr>
          <w:trHeight w:val="3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62" w:beforeLines="20" w:after="62" w:afterLines="20" w:line="288" w:lineRule="auto"/>
              <w:jc w:val="left"/>
              <w:textAlignment w:val="center"/>
              <w:rPr>
                <w:rStyle w:val="64"/>
                <w:rFonts w:hint="default" w:ascii="仿宋" w:hAnsi="仿宋" w:eastAsia="仿宋"/>
                <w:color w:val="auto"/>
                <w:sz w:val="21"/>
                <w:szCs w:val="21"/>
                <w:lang w:bidi="ar"/>
              </w:rPr>
            </w:pPr>
            <w:r>
              <w:rPr>
                <w:rFonts w:hint="eastAsia" w:ascii="仿宋" w:hAnsi="仿宋" w:eastAsia="仿宋" w:cs="宋体"/>
                <w:szCs w:val="21"/>
              </w:rPr>
              <w:t>原厂部署服务，一年系统版本更新补丁升级服务、内置规则库等更新授权、售后维保服务。</w:t>
            </w:r>
          </w:p>
        </w:tc>
      </w:tr>
    </w:tbl>
    <w:p>
      <w:pPr>
        <w:pStyle w:val="21"/>
        <w:tabs>
          <w:tab w:val="left" w:pos="588"/>
        </w:tabs>
        <w:snapToGrid w:val="0"/>
        <w:spacing w:before="120" w:after="120" w:line="440" w:lineRule="exact"/>
        <w:jc w:val="left"/>
        <w:outlineLvl w:val="3"/>
        <w:rPr>
          <w:rFonts w:hint="eastAsia" w:ascii="仿宋" w:hAnsi="仿宋" w:eastAsia="仿宋"/>
          <w:sz w:val="22"/>
          <w:szCs w:val="22"/>
        </w:rPr>
      </w:pPr>
      <w:bookmarkStart w:id="123" w:name="_Toc193699361"/>
      <w:r>
        <w:rPr>
          <w:rFonts w:hint="eastAsia" w:ascii="仿宋" w:hAnsi="仿宋" w:eastAsia="仿宋"/>
          <w:sz w:val="22"/>
          <w:szCs w:val="22"/>
        </w:rPr>
        <w:t>6、持续</w:t>
      </w:r>
      <w:r>
        <w:rPr>
          <w:rFonts w:ascii="仿宋" w:hAnsi="仿宋" w:eastAsia="仿宋"/>
          <w:sz w:val="22"/>
          <w:szCs w:val="22"/>
        </w:rPr>
        <w:t>监测</w:t>
      </w:r>
      <w:r>
        <w:rPr>
          <w:rFonts w:hint="eastAsia" w:ascii="仿宋" w:hAnsi="仿宋" w:eastAsia="仿宋"/>
          <w:sz w:val="22"/>
          <w:szCs w:val="22"/>
        </w:rPr>
        <w:t>、</w:t>
      </w:r>
      <w:r>
        <w:rPr>
          <w:rFonts w:ascii="仿宋" w:hAnsi="仿宋" w:eastAsia="仿宋"/>
          <w:sz w:val="22"/>
          <w:szCs w:val="22"/>
        </w:rPr>
        <w:t>重保值守</w:t>
      </w:r>
      <w:r>
        <w:rPr>
          <w:rFonts w:hint="eastAsia" w:ascii="仿宋" w:hAnsi="仿宋" w:eastAsia="仿宋"/>
          <w:sz w:val="22"/>
          <w:szCs w:val="22"/>
        </w:rPr>
        <w:t>和应急响应服务</w:t>
      </w:r>
      <w:bookmarkEnd w:id="123"/>
    </w:p>
    <w:p>
      <w:pPr>
        <w:spacing w:line="360" w:lineRule="auto"/>
        <w:ind w:firstLine="420" w:firstLineChars="200"/>
      </w:pPr>
      <w:r>
        <w:rPr>
          <w:rFonts w:hint="eastAsia" w:ascii="仿宋" w:hAnsi="仿宋" w:eastAsia="仿宋" w:cs="Times New Roman"/>
          <w:szCs w:val="21"/>
        </w:rPr>
        <w:t>服务要求：本项所有服务，中标方需合理安排专业技术人员，参与人员必须具备本科或以上学历，有网络安全相关从业经验三年以上，具备信息安全行业专业资质证书，有省级以上攻防演练防守工作经验，能完成安全事件的排查和定位工作。</w:t>
      </w:r>
    </w:p>
    <w:p>
      <w:pPr>
        <w:numPr>
          <w:ilvl w:val="255"/>
          <w:numId w:val="0"/>
        </w:numPr>
        <w:spacing w:line="360" w:lineRule="auto"/>
        <w:ind w:left="420" w:leftChars="200"/>
        <w:rPr>
          <w:rFonts w:hint="eastAsia" w:ascii="仿宋" w:hAnsi="仿宋" w:eastAsia="仿宋"/>
        </w:rPr>
      </w:pPr>
    </w:p>
    <w:p>
      <w:pPr>
        <w:numPr>
          <w:ilvl w:val="0"/>
          <w:numId w:val="9"/>
        </w:numPr>
        <w:spacing w:line="360" w:lineRule="auto"/>
        <w:ind w:left="0" w:firstLine="422" w:firstLineChars="200"/>
        <w:rPr>
          <w:rFonts w:hint="eastAsia" w:ascii="仿宋" w:hAnsi="仿宋" w:eastAsia="仿宋"/>
        </w:rPr>
      </w:pPr>
      <w:r>
        <w:rPr>
          <w:rFonts w:hint="eastAsia" w:ascii="仿宋" w:hAnsi="仿宋" w:eastAsia="仿宋" w:cs="Times New Roman"/>
          <w:b/>
          <w:bCs/>
          <w:szCs w:val="21"/>
        </w:rPr>
        <w:t>持续</w:t>
      </w:r>
      <w:r>
        <w:rPr>
          <w:rFonts w:ascii="仿宋" w:hAnsi="仿宋" w:eastAsia="仿宋" w:cs="Times New Roman"/>
          <w:b/>
          <w:bCs/>
          <w:szCs w:val="21"/>
        </w:rPr>
        <w:t>监测</w:t>
      </w:r>
    </w:p>
    <w:p>
      <w:pPr>
        <w:spacing w:line="360" w:lineRule="auto"/>
        <w:ind w:firstLine="420" w:firstLineChars="200"/>
        <w:rPr>
          <w:rFonts w:hint="eastAsia" w:ascii="仿宋" w:hAnsi="仿宋" w:eastAsia="仿宋" w:cs="宋体"/>
          <w:szCs w:val="21"/>
        </w:rPr>
      </w:pPr>
      <w:r>
        <w:rPr>
          <w:rFonts w:hint="eastAsia" w:ascii="仿宋" w:hAnsi="仿宋" w:eastAsia="仿宋" w:cs="宋体"/>
          <w:kern w:val="0"/>
          <w:szCs w:val="21"/>
          <w:lang w:bidi="ar"/>
        </w:rPr>
        <w:t>▲</w:t>
      </w:r>
      <w:r>
        <w:rPr>
          <w:rFonts w:hint="eastAsia" w:ascii="仿宋" w:hAnsi="仿宋" w:eastAsia="仿宋" w:cs="宋体"/>
          <w:szCs w:val="21"/>
        </w:rPr>
        <w:t>通过MSS服务平台</w:t>
      </w:r>
      <w:r>
        <w:rPr>
          <w:rFonts w:hint="eastAsia" w:ascii="仿宋" w:hAnsi="仿宋" w:eastAsia="仿宋" w:cs="宋体"/>
          <w:b/>
          <w:bCs/>
          <w:szCs w:val="21"/>
        </w:rPr>
        <w:t>提供一年的7*24小时网络安全运营服务</w:t>
      </w:r>
      <w:r>
        <w:rPr>
          <w:rFonts w:hint="eastAsia" w:ascii="仿宋" w:hAnsi="仿宋" w:eastAsia="仿宋" w:cs="宋体"/>
          <w:szCs w:val="21"/>
        </w:rPr>
        <w:t>，主要包括</w:t>
      </w:r>
      <w:r>
        <w:rPr>
          <w:rFonts w:ascii="仿宋" w:hAnsi="仿宋" w:eastAsia="仿宋" w:cs="宋体"/>
          <w:szCs w:val="21"/>
        </w:rPr>
        <w:t>风险</w:t>
      </w:r>
      <w:r>
        <w:rPr>
          <w:rFonts w:hint="eastAsia" w:ascii="仿宋" w:hAnsi="仿宋" w:eastAsia="仿宋" w:cs="宋体"/>
          <w:szCs w:val="21"/>
        </w:rPr>
        <w:t>和攻击行为</w:t>
      </w:r>
      <w:r>
        <w:rPr>
          <w:rFonts w:ascii="仿宋" w:hAnsi="仿宋" w:eastAsia="仿宋" w:cs="宋体"/>
          <w:szCs w:val="21"/>
        </w:rPr>
        <w:t>监测</w:t>
      </w:r>
      <w:r>
        <w:rPr>
          <w:rFonts w:hint="eastAsia" w:ascii="仿宋" w:hAnsi="仿宋" w:eastAsia="仿宋" w:cs="宋体"/>
          <w:szCs w:val="21"/>
        </w:rPr>
        <w:t>。对接集团内网各安全设备，对网络中各安全设施出现的风险告警进行分析，利用日志</w:t>
      </w:r>
      <w:r>
        <w:rPr>
          <w:rFonts w:hint="eastAsia" w:ascii="仿宋" w:hAnsi="仿宋" w:eastAsia="仿宋" w:cs="宋体"/>
          <w:color w:val="000000"/>
          <w:kern w:val="0"/>
          <w:szCs w:val="21"/>
          <w:lang w:bidi="ar"/>
        </w:rPr>
        <w:t>大数据技术、检索分析技术，</w:t>
      </w:r>
      <w:r>
        <w:rPr>
          <w:rFonts w:hint="eastAsia" w:ascii="仿宋" w:hAnsi="仿宋" w:eastAsia="仿宋" w:cs="宋体"/>
          <w:szCs w:val="21"/>
        </w:rPr>
        <w:t>验证风险有效性，并协助处置风险，形成安全日志分析与风险处置报告，实现</w:t>
      </w:r>
      <w:r>
        <w:rPr>
          <w:rFonts w:ascii="仿宋" w:hAnsi="仿宋" w:eastAsia="仿宋" w:cs="宋体"/>
          <w:szCs w:val="21"/>
        </w:rPr>
        <w:t>安全告警事件</w:t>
      </w:r>
      <w:r>
        <w:rPr>
          <w:rFonts w:hint="eastAsia" w:ascii="仿宋" w:hAnsi="仿宋" w:eastAsia="仿宋" w:cs="宋体"/>
          <w:szCs w:val="21"/>
        </w:rPr>
        <w:t>的</w:t>
      </w:r>
      <w:r>
        <w:rPr>
          <w:rFonts w:ascii="仿宋" w:hAnsi="仿宋" w:eastAsia="仿宋" w:cs="宋体"/>
          <w:szCs w:val="21"/>
        </w:rPr>
        <w:t>闭环处置</w:t>
      </w:r>
      <w:r>
        <w:rPr>
          <w:rFonts w:hint="eastAsia" w:ascii="仿宋" w:hAnsi="仿宋" w:eastAsia="仿宋" w:cs="宋体"/>
          <w:szCs w:val="21"/>
        </w:rPr>
        <w:t>。</w:t>
      </w:r>
    </w:p>
    <w:p>
      <w:pPr>
        <w:spacing w:line="360" w:lineRule="auto"/>
        <w:ind w:firstLine="420" w:firstLineChars="200"/>
        <w:rPr>
          <w:rFonts w:hint="eastAsia" w:ascii="仿宋" w:hAnsi="仿宋" w:eastAsia="仿宋" w:cs="宋体"/>
          <w:szCs w:val="21"/>
        </w:rPr>
      </w:pPr>
      <w:r>
        <w:rPr>
          <w:rFonts w:hint="eastAsia" w:ascii="仿宋" w:hAnsi="仿宋" w:eastAsia="仿宋" w:cs="宋体"/>
          <w:szCs w:val="21"/>
        </w:rPr>
        <w:t>MSS平台支持FRP隧道和VPN两种远控连接方式；支持通信内容的TLS协议加密传输，可有效防止流量被拦截，避免通讯内容被监听；支持远控内网其他设备时，进行IP、账号、密码校验。</w:t>
      </w:r>
    </w:p>
    <w:p>
      <w:pPr>
        <w:pStyle w:val="2"/>
        <w:spacing w:line="360" w:lineRule="auto"/>
        <w:rPr>
          <w:rFonts w:hint="eastAsia" w:ascii="仿宋" w:hAnsi="仿宋" w:eastAsia="仿宋" w:cs="宋体"/>
          <w:color w:val="000000"/>
          <w:sz w:val="21"/>
          <w:szCs w:val="21"/>
          <w:lang w:bidi="ar"/>
        </w:rPr>
      </w:pPr>
      <w:r>
        <w:rPr>
          <w:rFonts w:hint="eastAsia" w:ascii="仿宋" w:hAnsi="仿宋" w:eastAsia="仿宋" w:cs="宋体"/>
          <w:color w:val="000000"/>
          <w:sz w:val="21"/>
          <w:szCs w:val="21"/>
          <w:lang w:bidi="ar"/>
        </w:rPr>
        <w:t>分析人员综合所发现的安全事件、攻击情况，综合评价整理网络安全态势，包括告警趋势分析、威胁类型分布分析等，并每日、每周、每月主动进行场景化分析。每周提交一次详细的安全运营报告，包括APT告警分析、恶意软件情况分析、网络攻击情况分析、Web Shell情况分析、内网安全情况分析、数据库安全情况分析、爆破行为分析、弱口令分析等。</w:t>
      </w:r>
    </w:p>
    <w:p>
      <w:pPr>
        <w:pStyle w:val="2"/>
        <w:spacing w:line="360" w:lineRule="auto"/>
        <w:rPr>
          <w:rFonts w:hint="eastAsia" w:ascii="仿宋" w:hAnsi="仿宋" w:eastAsia="仿宋" w:cs="宋体"/>
          <w:color w:val="000000"/>
          <w:sz w:val="21"/>
          <w:szCs w:val="21"/>
          <w:lang w:bidi="ar"/>
        </w:rPr>
      </w:pPr>
      <w:r>
        <w:rPr>
          <w:rFonts w:hint="eastAsia" w:ascii="仿宋" w:hAnsi="仿宋" w:eastAsia="仿宋" w:cs="宋体"/>
          <w:color w:val="000000"/>
          <w:sz w:val="21"/>
          <w:szCs w:val="21"/>
          <w:lang w:bidi="ar"/>
        </w:rPr>
        <w:t>通过对招标人集团内网所有资产的7*24小时全面、持续的安全监测，及时发现各类网络攻击行为、系统脆弱性事件，并对安全事件进行通报预警及可视化呈现，一旦发现安全事件，安全专家对安全事件进行分析及研判，第一时间通知集团安全运营工作组，协助对安全事件进行通知与处置等响应动作。</w:t>
      </w:r>
    </w:p>
    <w:p>
      <w:pPr>
        <w:spacing w:line="360" w:lineRule="auto"/>
        <w:ind w:firstLine="420" w:firstLineChars="200"/>
        <w:rPr>
          <w:rFonts w:hint="eastAsia" w:ascii="仿宋" w:hAnsi="仿宋" w:eastAsia="仿宋" w:cs="宋体"/>
          <w:szCs w:val="21"/>
        </w:rPr>
      </w:pPr>
      <w:r>
        <w:rPr>
          <w:rFonts w:hint="eastAsia" w:ascii="仿宋" w:hAnsi="仿宋" w:eastAsia="仿宋" w:cs="宋体"/>
          <w:szCs w:val="21"/>
        </w:rPr>
        <w:t>服务期内提供MSS服务平台，所有安全事件在平台内闭环处理，可以追踪事件状态处理情况。</w:t>
      </w:r>
    </w:p>
    <w:p>
      <w:pPr>
        <w:numPr>
          <w:ilvl w:val="0"/>
          <w:numId w:val="9"/>
        </w:numPr>
        <w:spacing w:line="360" w:lineRule="auto"/>
        <w:ind w:left="0" w:firstLine="422" w:firstLineChars="200"/>
        <w:rPr>
          <w:rFonts w:hint="eastAsia" w:ascii="仿宋" w:hAnsi="仿宋" w:eastAsia="仿宋" w:cs="Times New Roman"/>
          <w:b/>
          <w:bCs/>
          <w:szCs w:val="21"/>
        </w:rPr>
      </w:pPr>
      <w:r>
        <w:rPr>
          <w:rFonts w:ascii="仿宋" w:hAnsi="仿宋" w:eastAsia="仿宋" w:cs="Times New Roman"/>
          <w:b/>
          <w:bCs/>
          <w:szCs w:val="21"/>
        </w:rPr>
        <w:t>重保值守</w:t>
      </w:r>
    </w:p>
    <w:p>
      <w:pPr>
        <w:spacing w:line="360" w:lineRule="auto"/>
        <w:ind w:firstLine="420" w:firstLineChars="200"/>
        <w:rPr>
          <w:rFonts w:hint="eastAsia" w:ascii="仿宋" w:hAnsi="仿宋" w:eastAsia="仿宋" w:cs="宋体"/>
          <w:szCs w:val="21"/>
        </w:rPr>
      </w:pPr>
      <w:r>
        <w:rPr>
          <w:rFonts w:hint="eastAsia" w:ascii="仿宋" w:hAnsi="仿宋" w:eastAsia="仿宋" w:cs="宋体"/>
          <w:kern w:val="0"/>
          <w:szCs w:val="21"/>
          <w:lang w:bidi="ar"/>
        </w:rPr>
        <w:t>▲</w:t>
      </w:r>
      <w:r>
        <w:rPr>
          <w:rFonts w:hint="eastAsia" w:ascii="仿宋" w:hAnsi="仿宋" w:eastAsia="仿宋" w:cs="宋体"/>
          <w:b/>
          <w:bCs/>
          <w:szCs w:val="21"/>
        </w:rPr>
        <w:t>保障招标人国家重大节假日、国家重大活动、攻防演练等期间（不少于20人天）的网络系统的安全稳定运行现场驻场服务</w:t>
      </w:r>
      <w:r>
        <w:rPr>
          <w:rFonts w:hint="eastAsia" w:ascii="仿宋" w:hAnsi="仿宋" w:eastAsia="仿宋" w:cs="宋体"/>
          <w:szCs w:val="21"/>
        </w:rPr>
        <w:t>。提供溯源分析服务工具，对网络中出现的安全事件，通过流量进行调查取证，描绘完整攻击链并形成安全事件溯源报告。</w:t>
      </w:r>
    </w:p>
    <w:p>
      <w:pPr>
        <w:numPr>
          <w:ilvl w:val="0"/>
          <w:numId w:val="9"/>
        </w:numPr>
        <w:spacing w:line="360" w:lineRule="auto"/>
        <w:ind w:left="0" w:firstLine="422" w:firstLineChars="200"/>
        <w:rPr>
          <w:rFonts w:hint="eastAsia" w:ascii="仿宋" w:hAnsi="仿宋" w:eastAsia="仿宋" w:cs="Times New Roman"/>
          <w:b/>
          <w:bCs/>
          <w:szCs w:val="21"/>
        </w:rPr>
      </w:pPr>
      <w:r>
        <w:rPr>
          <w:rFonts w:hint="eastAsia" w:ascii="仿宋" w:hAnsi="仿宋" w:eastAsia="仿宋" w:cs="Times New Roman"/>
          <w:b/>
          <w:bCs/>
          <w:szCs w:val="21"/>
        </w:rPr>
        <w:t>应急响应</w:t>
      </w:r>
    </w:p>
    <w:p>
      <w:pPr>
        <w:spacing w:line="360" w:lineRule="auto"/>
        <w:ind w:firstLine="420" w:firstLineChars="200"/>
        <w:rPr>
          <w:rFonts w:hint="eastAsia" w:ascii="仿宋" w:hAnsi="仿宋" w:eastAsia="仿宋" w:cs="宋体"/>
          <w:szCs w:val="21"/>
        </w:rPr>
      </w:pPr>
      <w:r>
        <w:rPr>
          <w:rFonts w:hint="eastAsia" w:ascii="仿宋" w:hAnsi="仿宋" w:eastAsia="仿宋" w:cs="宋体"/>
          <w:szCs w:val="21"/>
        </w:rPr>
        <w:t>发生一般安全事件与重大安全事件，提供专家现场应急响应服务。工作内容主要包括：对安全事件进行起因分析、取证追查、后门检查、漏洞分析、数据收集和数据分析、事件处置；要求能对安全事件进行抑制、消除，恢复系统正常运行，对安全事件总结与分析等，形成协调联动机制，增强应急技术能力，健全应急响应机制。具体服务内容如下：</w:t>
      </w:r>
    </w:p>
    <w:p>
      <w:pPr>
        <w:spacing w:line="360" w:lineRule="auto"/>
        <w:ind w:firstLine="420" w:firstLineChars="200"/>
        <w:rPr>
          <w:rFonts w:hint="eastAsia" w:ascii="仿宋" w:hAnsi="仿宋" w:eastAsia="仿宋" w:cs="宋体"/>
          <w:szCs w:val="21"/>
        </w:rPr>
      </w:pPr>
      <w:r>
        <w:rPr>
          <w:rFonts w:hint="eastAsia" w:ascii="仿宋" w:hAnsi="仿宋" w:eastAsia="仿宋" w:cs="宋体"/>
          <w:szCs w:val="21"/>
        </w:rPr>
        <w:t>1）提供专人7×24电话热线技术支持(每周7天，每天24小时）；远程在线支持及邮件等支持方式服务；</w:t>
      </w:r>
    </w:p>
    <w:p>
      <w:pPr>
        <w:spacing w:line="360" w:lineRule="auto"/>
        <w:ind w:firstLine="420" w:firstLineChars="200"/>
        <w:rPr>
          <w:rFonts w:hint="eastAsia" w:ascii="仿宋" w:hAnsi="仿宋" w:eastAsia="仿宋" w:cs="宋体"/>
          <w:szCs w:val="21"/>
        </w:rPr>
      </w:pPr>
      <w:r>
        <w:rPr>
          <w:rFonts w:hint="eastAsia" w:ascii="仿宋" w:hAnsi="仿宋" w:eastAsia="仿宋" w:cs="宋体"/>
          <w:szCs w:val="21"/>
        </w:rPr>
        <w:t>2）</w:t>
      </w:r>
      <w:r>
        <w:rPr>
          <w:rFonts w:hint="eastAsia" w:ascii="仿宋" w:hAnsi="仿宋" w:eastAsia="仿宋" w:cs="宋体"/>
          <w:kern w:val="0"/>
          <w:szCs w:val="21"/>
          <w:lang w:bidi="ar"/>
        </w:rPr>
        <w:t>▲</w:t>
      </w:r>
      <w:r>
        <w:rPr>
          <w:rFonts w:hint="eastAsia" w:ascii="仿宋" w:hAnsi="仿宋" w:eastAsia="仿宋" w:cs="宋体"/>
          <w:szCs w:val="21"/>
        </w:rPr>
        <w:t>接到用户的服务请求后，如需现场处置，到达现场时间不超过2小时，在紧急故障情况下，2小时内定位问题和给出解决方案，于8小时内协助解决问题的技术支持和服务安全事件应急响应处置服务，及时协助解决安全故障，修复系统，使企业网络和信息服务恢复正常运行，尽可能挽回或减少损失。</w:t>
      </w:r>
    </w:p>
    <w:p>
      <w:pPr>
        <w:pStyle w:val="21"/>
        <w:tabs>
          <w:tab w:val="left" w:pos="588"/>
        </w:tabs>
        <w:snapToGrid w:val="0"/>
        <w:spacing w:before="120" w:after="120" w:line="440" w:lineRule="exact"/>
        <w:jc w:val="left"/>
        <w:outlineLvl w:val="3"/>
        <w:rPr>
          <w:rFonts w:hint="eastAsia" w:ascii="仿宋" w:hAnsi="仿宋" w:eastAsia="仿宋"/>
          <w:sz w:val="22"/>
          <w:szCs w:val="22"/>
        </w:rPr>
      </w:pPr>
      <w:bookmarkStart w:id="124" w:name="_Toc193699362"/>
      <w:r>
        <w:rPr>
          <w:rFonts w:hint="eastAsia" w:ascii="仿宋" w:hAnsi="仿宋" w:eastAsia="仿宋"/>
          <w:sz w:val="22"/>
          <w:szCs w:val="22"/>
        </w:rPr>
        <w:t>7、网络安全风险排查服务</w:t>
      </w:r>
      <w:bookmarkEnd w:id="124"/>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服务内容：按照要求对南方报业传媒集团的整体网络和指定应用系统进行风险排查，使用渗透测试、互联网暴露面监测、安全设备配置有效性检查、红队评估等手段，从互联网、内网等不同角度，发现信息系统漏洞和整体网络的防护薄弱点，同时检验现有网络安全体系的防护能力。形成整体的风险评估报告，能以直观的结果反映集团的网络安全现状，提供改进建议或加固方案，并通过复测验证确保修复。</w:t>
      </w:r>
    </w:p>
    <w:p>
      <w:pPr>
        <w:spacing w:line="360" w:lineRule="auto"/>
        <w:ind w:firstLine="420" w:firstLineChars="200"/>
        <w:rPr>
          <w:rFonts w:hint="eastAsia" w:ascii="仿宋" w:hAnsi="仿宋" w:eastAsia="仿宋"/>
        </w:rPr>
      </w:pPr>
      <w:r>
        <w:rPr>
          <w:rFonts w:hint="eastAsia" w:ascii="仿宋" w:hAnsi="仿宋" w:eastAsia="仿宋" w:cs="宋体"/>
          <w:kern w:val="0"/>
          <w:szCs w:val="21"/>
          <w:lang w:bidi="ar"/>
        </w:rPr>
        <w:t>▲</w:t>
      </w:r>
      <w:r>
        <w:rPr>
          <w:rFonts w:hint="eastAsia" w:ascii="仿宋" w:hAnsi="仿宋" w:eastAsia="仿宋" w:cs="Times New Roman"/>
          <w:szCs w:val="21"/>
        </w:rPr>
        <w:t>本项所有服务，总人工不少于60人天。中标方需合理安排专业技术人员，参与人员必须具备本科或以上学历，有网络安全相关从业经验五年以上，具备参与公安部HW攻击队或者全国</w:t>
      </w:r>
      <w:r>
        <w:rPr>
          <w:rFonts w:hint="eastAsia" w:ascii="仿宋" w:hAnsi="仿宋" w:eastAsia="仿宋"/>
          <w:szCs w:val="21"/>
        </w:rPr>
        <w:t>网络安全竞赛获奖经验或省级及以上攻防演练红队获奖经验等，</w:t>
      </w:r>
      <w:r>
        <w:rPr>
          <w:rFonts w:hint="eastAsia" w:ascii="仿宋" w:hAnsi="仿宋" w:eastAsia="仿宋" w:cs="Times New Roman"/>
          <w:szCs w:val="21"/>
        </w:rPr>
        <w:t>确保各项服务能够按时、高质量完成。（提供相关人员证明材料）</w:t>
      </w:r>
    </w:p>
    <w:p>
      <w:pPr>
        <w:numPr>
          <w:ilvl w:val="0"/>
          <w:numId w:val="9"/>
        </w:numPr>
        <w:spacing w:line="360" w:lineRule="auto"/>
        <w:ind w:left="0" w:firstLine="200"/>
        <w:rPr>
          <w:rFonts w:hint="eastAsia" w:ascii="仿宋" w:hAnsi="仿宋" w:eastAsia="仿宋" w:cs="Times New Roman"/>
          <w:b/>
          <w:bCs/>
          <w:szCs w:val="21"/>
        </w:rPr>
      </w:pPr>
      <w:r>
        <w:rPr>
          <w:rFonts w:hint="eastAsia" w:ascii="仿宋" w:hAnsi="仿宋" w:eastAsia="仿宋" w:cs="Times New Roman"/>
          <w:b/>
          <w:bCs/>
          <w:szCs w:val="21"/>
        </w:rPr>
        <w:t>应用系统渗透测试要求</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数量要求：中标方需对招标方不少于4个的应用系统进行渗透测试。</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测试范围：涵盖应用系统的各个层面，包括但不限于网络层、应用层、数据层等。对应用系统的身份认证机制、授权访问控制、数据传输加密、数据存储安全等关键环节进行深入检测。</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测试方法：采用黑盒测试、白盒测试或灰盒测试等多种方法相结合，模拟真实的黑客攻击场景，发现应用系统中可能存在的漏洞，如SQL注入、跨站脚本攻击（XSS）、文件上传漏洞、身份认证绕过等。</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报告要求：每次渗透测试完成后，需提交详细的测试报告，报告应包含测试过程、发现的漏洞详情、漏洞风险评级、修复建议等内容。</w:t>
      </w:r>
    </w:p>
    <w:p>
      <w:pPr>
        <w:numPr>
          <w:ilvl w:val="0"/>
          <w:numId w:val="9"/>
        </w:numPr>
        <w:spacing w:line="360" w:lineRule="auto"/>
        <w:ind w:left="0" w:firstLine="200"/>
        <w:rPr>
          <w:rFonts w:hint="eastAsia" w:ascii="仿宋" w:hAnsi="仿宋" w:eastAsia="仿宋"/>
        </w:rPr>
      </w:pPr>
      <w:r>
        <w:rPr>
          <w:rFonts w:hint="eastAsia" w:ascii="仿宋" w:hAnsi="仿宋" w:eastAsia="仿宋" w:cs="Times New Roman"/>
          <w:b/>
          <w:bCs/>
          <w:szCs w:val="21"/>
        </w:rPr>
        <w:t>AD域渗透测试要求</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数量要求：不少于2次的AD域渗透测试。</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测试范围：对招标方的AD域环境进行全面检测，包括域控制器、域用户账户、组策略、信任关系等方面。重点检测AD域中可能存在的权限滥用、弱密码、未授权访问等安全风险。</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测试方法：利用专业的渗透测试工具和技术，结合社会工程学手段，尝试获取AD域中的敏感信息，提升权限，模拟攻击者在AD域内的横向移动过程。</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报告要求：每次测试完成后，提供详细的AD域渗透测试报告，明确指出发现的安全问题及相应的风险等级，并给出切实可行的整改建议。</w:t>
      </w:r>
    </w:p>
    <w:p>
      <w:pPr>
        <w:numPr>
          <w:ilvl w:val="0"/>
          <w:numId w:val="9"/>
        </w:numPr>
        <w:spacing w:line="360" w:lineRule="auto"/>
        <w:ind w:left="0" w:firstLine="200"/>
        <w:rPr>
          <w:rFonts w:hint="eastAsia" w:ascii="仿宋" w:hAnsi="仿宋" w:eastAsia="仿宋" w:cs="Times New Roman"/>
          <w:b/>
          <w:bCs/>
          <w:szCs w:val="21"/>
        </w:rPr>
      </w:pPr>
      <w:r>
        <w:rPr>
          <w:rFonts w:hint="eastAsia" w:ascii="仿宋" w:hAnsi="仿宋" w:eastAsia="仿宋" w:cs="Times New Roman"/>
          <w:b/>
          <w:bCs/>
          <w:szCs w:val="21"/>
        </w:rPr>
        <w:t>内网高级攻防测试要求</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数量要求：不少于2次的内网高级攻防测试。</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测试范围：在招标方的内网环境中，模拟高级持续威胁（APT）攻击，从网络边界突破、内网横向移动、关键资产获取等多个阶段进行全面测试。检测内网中的安全防护措施是否有效，包括防火墙、入侵检测系统（IDS）、入侵防御系统（IPS）等安全设备的防护能力。</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测试方法：综合运用多种先进的攻击技术和手段，如0day漏洞利用、恶意软件植入、网络嗅探、端口扫描等，深入挖掘内网中的潜在安全风险。</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报告要求：每次测试结束后，提交详细的内网高级攻防测试报告，详细描述攻击过程、成功突破的防线、发现的安全漏洞以及对招标方内网安全防护体系的评估和改进建议。</w:t>
      </w:r>
    </w:p>
    <w:p>
      <w:pPr>
        <w:numPr>
          <w:ilvl w:val="0"/>
          <w:numId w:val="9"/>
        </w:numPr>
        <w:spacing w:line="360" w:lineRule="auto"/>
        <w:ind w:left="0" w:firstLine="200"/>
        <w:rPr>
          <w:rFonts w:hint="eastAsia" w:ascii="仿宋" w:hAnsi="仿宋" w:eastAsia="仿宋" w:cs="Times New Roman"/>
          <w:b/>
          <w:bCs/>
          <w:szCs w:val="21"/>
        </w:rPr>
      </w:pPr>
      <w:r>
        <w:rPr>
          <w:rFonts w:hint="eastAsia" w:ascii="仿宋" w:hAnsi="仿宋" w:eastAsia="仿宋" w:cs="Times New Roman"/>
          <w:b/>
          <w:bCs/>
          <w:szCs w:val="21"/>
        </w:rPr>
        <w:t>互联网暴露面梳理要求</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数量要求：不少于2次的互联网暴露面梳理。</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梳理范围：对招标方在互联网上暴露的所有资产进行全面梳理，包括但不限于网站、服务器、网络设备、应用程序接口（API）等。确定这些资产的IP地址、开放端口、运行的服务、使用的软件版本等信息，并分析其可能面临的安全风险。</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梳理方法：采用自动化工具扫描与人工核查相结合的方式，确保梳理结果的准确性和完整性。利用搜索引擎、网络扫描工具等对互联网上与招标方相关的信息进行收集和分析，同时对发现的资产进行详细的人工验证和风险评估。</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报告要求：每次梳理完成后，提供详细的互联网暴露面梳理报告，列出梳理出的所有资产信息、发现的安全风险点以及相应的风险评级，并提出针对性的整改建议。</w:t>
      </w:r>
    </w:p>
    <w:p>
      <w:pPr>
        <w:numPr>
          <w:ilvl w:val="0"/>
          <w:numId w:val="9"/>
        </w:numPr>
        <w:spacing w:line="360" w:lineRule="auto"/>
        <w:ind w:left="0" w:firstLine="200"/>
        <w:rPr>
          <w:rFonts w:hint="eastAsia" w:ascii="仿宋" w:hAnsi="仿宋" w:eastAsia="仿宋" w:cs="Times New Roman"/>
          <w:b/>
          <w:bCs/>
          <w:szCs w:val="21"/>
        </w:rPr>
      </w:pPr>
      <w:r>
        <w:rPr>
          <w:rFonts w:hint="eastAsia" w:ascii="仿宋" w:hAnsi="仿宋" w:eastAsia="仿宋" w:cs="Times New Roman"/>
          <w:b/>
          <w:bCs/>
          <w:szCs w:val="21"/>
        </w:rPr>
        <w:t>网络安全设备整体配置有效性测试要求</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数量要求：不少于2次的网络安全设备整体配置有效性测试。</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测试范围：对招标方现有的网络安全设备，如防火墙、IDS/IPS、VPN设备、上网行为管理设备等的配置进行全面检测，评估其是否符合安全策略要求，是否能够有效抵御各类网络攻击。</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测试方法：通过模拟实际的网络攻击场景，对安全设备的规则配置、策略执行、报警响应等功能进行测试，检查安全设备是否能够及时发现并阻止攻击行为，同时对安全设备的性能进行评估，确保其在高负载情况下仍能正常运行。</w:t>
      </w:r>
    </w:p>
    <w:p>
      <w:pPr>
        <w:spacing w:line="360" w:lineRule="auto"/>
        <w:ind w:firstLine="420" w:firstLineChars="200"/>
        <w:rPr>
          <w:rFonts w:hint="eastAsia" w:ascii="仿宋" w:hAnsi="仿宋" w:eastAsia="仿宋" w:cs="Times New Roman"/>
          <w:szCs w:val="21"/>
        </w:rPr>
      </w:pPr>
      <w:r>
        <w:rPr>
          <w:rFonts w:hint="eastAsia" w:ascii="仿宋" w:hAnsi="仿宋" w:eastAsia="仿宋" w:cs="Times New Roman"/>
          <w:szCs w:val="21"/>
        </w:rPr>
        <w:t>报告要求：每次测试完成后，提交详细的网络安全设备整体配置有效性测试报告，明确指出安全设备配置中存在的问题及不足之处，并给出优化建议。</w:t>
      </w:r>
    </w:p>
    <w:p>
      <w:pPr>
        <w:pStyle w:val="21"/>
        <w:tabs>
          <w:tab w:val="left" w:pos="588"/>
        </w:tabs>
        <w:snapToGrid w:val="0"/>
        <w:spacing w:before="120" w:after="120" w:line="440" w:lineRule="exact"/>
        <w:jc w:val="left"/>
        <w:outlineLvl w:val="3"/>
        <w:rPr>
          <w:rFonts w:hint="eastAsia" w:ascii="仿宋" w:hAnsi="仿宋" w:eastAsia="仿宋"/>
          <w:sz w:val="22"/>
          <w:szCs w:val="22"/>
        </w:rPr>
      </w:pPr>
      <w:bookmarkStart w:id="125" w:name="_Toc193699363"/>
      <w:r>
        <w:rPr>
          <w:rFonts w:hint="eastAsia" w:ascii="仿宋" w:hAnsi="仿宋" w:eastAsia="仿宋"/>
          <w:sz w:val="22"/>
          <w:szCs w:val="22"/>
        </w:rPr>
        <w:t>8、D01网络风险资产监测分析系统维保服务</w:t>
      </w:r>
      <w:bookmarkEnd w:id="125"/>
    </w:p>
    <w:p>
      <w:pPr>
        <w:spacing w:line="360" w:lineRule="auto"/>
        <w:ind w:firstLine="422" w:firstLineChars="200"/>
        <w:rPr>
          <w:rFonts w:hint="eastAsia" w:ascii="仿宋" w:hAnsi="仿宋" w:eastAsia="仿宋" w:cs="宋体"/>
          <w:b/>
          <w:bCs/>
          <w:szCs w:val="21"/>
        </w:rPr>
      </w:pPr>
      <w:r>
        <w:rPr>
          <w:rFonts w:hint="eastAsia" w:ascii="仿宋" w:hAnsi="仿宋" w:eastAsia="仿宋" w:cs="宋体"/>
          <w:b/>
          <w:bCs/>
          <w:szCs w:val="21"/>
        </w:rPr>
        <w:t>提供D01网络风险资产监测分析系统一年服务，服务内容要求包括：</w:t>
      </w:r>
    </w:p>
    <w:p>
      <w:pPr>
        <w:keepNext/>
        <w:keepLines/>
        <w:widowControl/>
        <w:numPr>
          <w:ilvl w:val="0"/>
          <w:numId w:val="10"/>
        </w:numPr>
        <w:spacing w:line="360" w:lineRule="auto"/>
        <w:ind w:firstLine="422" w:firstLineChars="200"/>
        <w:rPr>
          <w:rFonts w:hint="eastAsia" w:ascii="仿宋" w:hAnsi="仿宋" w:eastAsia="仿宋" w:cs="宋体"/>
          <w:b/>
          <w:bCs/>
          <w:szCs w:val="21"/>
        </w:rPr>
      </w:pPr>
      <w:r>
        <w:rPr>
          <w:rFonts w:hint="eastAsia" w:ascii="仿宋" w:hAnsi="仿宋" w:eastAsia="仿宋" w:cs="宋体"/>
          <w:b/>
          <w:bCs/>
          <w:szCs w:val="21"/>
        </w:rPr>
        <w:t>服务体系</w:t>
      </w:r>
    </w:p>
    <w:p>
      <w:pPr>
        <w:widowControl/>
        <w:spacing w:line="360" w:lineRule="auto"/>
        <w:ind w:firstLine="420"/>
        <w:rPr>
          <w:rFonts w:hint="eastAsia" w:ascii="仿宋" w:hAnsi="仿宋" w:eastAsia="仿宋" w:cs="宋体"/>
          <w:szCs w:val="21"/>
        </w:rPr>
      </w:pPr>
      <w:r>
        <w:rPr>
          <w:rFonts w:hint="eastAsia" w:ascii="仿宋" w:hAnsi="仿宋" w:eastAsia="仿宋" w:cs="宋体"/>
          <w:szCs w:val="21"/>
        </w:rPr>
        <w:t>维保服务方拥有经验丰富、技术扎实的应用安全工程师和客服协调人员；拥有完善的售后服务管理体系，确保本项目系统的正常运行。</w:t>
      </w:r>
    </w:p>
    <w:p>
      <w:pPr>
        <w:widowControl/>
        <w:spacing w:line="360" w:lineRule="auto"/>
        <w:ind w:firstLine="420"/>
        <w:rPr>
          <w:rFonts w:hint="eastAsia" w:ascii="仿宋" w:hAnsi="仿宋" w:eastAsia="仿宋" w:cs="宋体"/>
          <w:szCs w:val="21"/>
        </w:rPr>
      </w:pPr>
      <w:r>
        <w:rPr>
          <w:rFonts w:hint="eastAsia" w:ascii="仿宋" w:hAnsi="仿宋" w:eastAsia="仿宋" w:cs="宋体"/>
          <w:szCs w:val="21"/>
        </w:rPr>
        <w:t>维保服务方提供7*24小时技术支持，支持方式包括电话、邮件、远程及现场，并在承诺的时间内予以处理和答复。响应方式包括：</w:t>
      </w:r>
    </w:p>
    <w:p>
      <w:pPr>
        <w:widowControl/>
        <w:numPr>
          <w:ilvl w:val="0"/>
          <w:numId w:val="11"/>
        </w:numPr>
        <w:spacing w:line="360" w:lineRule="auto"/>
        <w:ind w:left="420" w:leftChars="200"/>
        <w:rPr>
          <w:rFonts w:hint="eastAsia" w:ascii="仿宋" w:hAnsi="仿宋" w:eastAsia="仿宋" w:cs="宋体"/>
          <w:szCs w:val="21"/>
        </w:rPr>
      </w:pPr>
      <w:r>
        <w:rPr>
          <w:rFonts w:hint="eastAsia" w:ascii="仿宋" w:hAnsi="仿宋" w:eastAsia="仿宋" w:cs="宋体"/>
          <w:szCs w:val="21"/>
        </w:rPr>
        <w:t>电话：由维保服务方技术服务工程师负责解答招标人有关软件应用的各种问题，维保服务方在接到服务请求后，在第一时间内协助和指导招标人制定解决问题的方案。招标人应该及时反馈维保服务方提供的解决方案是否有效，维保服务方会依据反馈决定进一步的支持措施。</w:t>
      </w:r>
    </w:p>
    <w:p>
      <w:pPr>
        <w:widowControl/>
        <w:numPr>
          <w:ilvl w:val="0"/>
          <w:numId w:val="11"/>
        </w:numPr>
        <w:spacing w:line="360" w:lineRule="auto"/>
        <w:ind w:left="420" w:leftChars="200"/>
        <w:rPr>
          <w:rFonts w:hint="eastAsia" w:ascii="仿宋" w:hAnsi="仿宋" w:eastAsia="仿宋" w:cs="宋体"/>
          <w:szCs w:val="21"/>
        </w:rPr>
      </w:pPr>
      <w:r>
        <w:rPr>
          <w:rFonts w:hint="eastAsia" w:ascii="仿宋" w:hAnsi="仿宋" w:eastAsia="仿宋" w:cs="宋体"/>
          <w:szCs w:val="21"/>
        </w:rPr>
        <w:t>邮件：招标人可通过技术咨询信箱与维保服务方的资深工程师进行探讨和咨询。</w:t>
      </w:r>
    </w:p>
    <w:p>
      <w:pPr>
        <w:widowControl/>
        <w:numPr>
          <w:ilvl w:val="0"/>
          <w:numId w:val="11"/>
        </w:numPr>
        <w:spacing w:line="360" w:lineRule="auto"/>
        <w:ind w:left="420" w:leftChars="200"/>
        <w:rPr>
          <w:rFonts w:hint="eastAsia" w:ascii="仿宋" w:hAnsi="仿宋" w:eastAsia="仿宋" w:cs="宋体"/>
          <w:szCs w:val="21"/>
        </w:rPr>
      </w:pPr>
      <w:r>
        <w:rPr>
          <w:rFonts w:hint="eastAsia" w:ascii="仿宋" w:hAnsi="仿宋" w:eastAsia="仿宋" w:cs="宋体"/>
          <w:szCs w:val="21"/>
        </w:rPr>
        <w:t>远程桌面技术：维保服务方可根据招标人提供的权限远程为招标人解决服务器或系统的疑难问题，并在调试后通知招标人关闭相关权限。</w:t>
      </w:r>
    </w:p>
    <w:p>
      <w:pPr>
        <w:widowControl/>
        <w:numPr>
          <w:ilvl w:val="0"/>
          <w:numId w:val="11"/>
        </w:numPr>
        <w:spacing w:line="360" w:lineRule="auto"/>
        <w:ind w:left="420" w:leftChars="200"/>
        <w:rPr>
          <w:rFonts w:hint="eastAsia" w:ascii="仿宋" w:hAnsi="仿宋" w:eastAsia="仿宋" w:cs="宋体"/>
          <w:szCs w:val="21"/>
        </w:rPr>
      </w:pPr>
      <w:r>
        <w:rPr>
          <w:rFonts w:hint="eastAsia" w:ascii="仿宋" w:hAnsi="仿宋" w:eastAsia="仿宋" w:cs="宋体"/>
          <w:szCs w:val="21"/>
        </w:rPr>
        <w:t>现场：如遇远程无法解决的问题或紧急问题，维保服务方提供现场技术服务。</w:t>
      </w:r>
    </w:p>
    <w:p>
      <w:pPr>
        <w:keepNext/>
        <w:keepLines/>
        <w:widowControl/>
        <w:numPr>
          <w:ilvl w:val="0"/>
          <w:numId w:val="10"/>
        </w:numPr>
        <w:spacing w:line="360" w:lineRule="auto"/>
        <w:ind w:firstLine="422" w:firstLineChars="200"/>
        <w:rPr>
          <w:rFonts w:hint="eastAsia" w:ascii="仿宋" w:hAnsi="仿宋" w:eastAsia="仿宋" w:cs="宋体"/>
          <w:b/>
          <w:bCs/>
          <w:szCs w:val="21"/>
        </w:rPr>
      </w:pPr>
      <w:r>
        <w:rPr>
          <w:rFonts w:hint="eastAsia" w:ascii="仿宋" w:hAnsi="仿宋" w:eastAsia="仿宋" w:cs="宋体"/>
          <w:b/>
          <w:bCs/>
          <w:szCs w:val="21"/>
        </w:rPr>
        <w:t>故障等级定义及响应</w:t>
      </w:r>
    </w:p>
    <w:p>
      <w:pPr>
        <w:widowControl/>
        <w:spacing w:line="360" w:lineRule="auto"/>
        <w:ind w:firstLine="420"/>
        <w:rPr>
          <w:rFonts w:hint="eastAsia" w:ascii="仿宋" w:hAnsi="仿宋" w:eastAsia="仿宋" w:cs="宋体"/>
          <w:szCs w:val="21"/>
        </w:rPr>
      </w:pPr>
      <w:r>
        <w:rPr>
          <w:rFonts w:hint="eastAsia" w:ascii="仿宋" w:hAnsi="仿宋" w:eastAsia="仿宋" w:cs="宋体"/>
          <w:szCs w:val="21"/>
        </w:rPr>
        <w:t>由于主机漏洞探测系统导致的系统各种故障，按照故障影响的范围和严重程度分为以下2类：</w:t>
      </w:r>
    </w:p>
    <w:p>
      <w:pPr>
        <w:numPr>
          <w:ilvl w:val="0"/>
          <w:numId w:val="12"/>
        </w:numPr>
        <w:spacing w:line="360" w:lineRule="auto"/>
        <w:ind w:left="420" w:leftChars="200"/>
        <w:rPr>
          <w:rFonts w:hint="eastAsia" w:ascii="仿宋" w:hAnsi="仿宋" w:eastAsia="仿宋" w:cs="宋体"/>
          <w:szCs w:val="21"/>
        </w:rPr>
      </w:pPr>
      <w:r>
        <w:rPr>
          <w:rFonts w:hint="eastAsia" w:ascii="仿宋" w:hAnsi="仿宋" w:eastAsia="仿宋" w:cs="宋体"/>
          <w:szCs w:val="21"/>
        </w:rPr>
        <w:t>重大故障：造成系统全阻等重大系统软、硬件故障、设备级硬件故障。如重要网络设备（交换机、广域网路由器）故障、端口故障等。重要部件级故障、局部网络中断、设备重起无法恢复连接等。重大故障的响应时间为：30分钟内提供远程技术支持，如不能远程解决，则2小时内赶到现场排除故障。</w:t>
      </w:r>
    </w:p>
    <w:p>
      <w:pPr>
        <w:widowControl/>
        <w:numPr>
          <w:ilvl w:val="0"/>
          <w:numId w:val="12"/>
        </w:numPr>
        <w:spacing w:line="360" w:lineRule="auto"/>
        <w:ind w:left="420" w:leftChars="200"/>
        <w:rPr>
          <w:rFonts w:hint="eastAsia" w:ascii="仿宋" w:hAnsi="仿宋" w:eastAsia="仿宋" w:cs="宋体"/>
          <w:szCs w:val="21"/>
        </w:rPr>
      </w:pPr>
      <w:r>
        <w:rPr>
          <w:rFonts w:hint="eastAsia" w:ascii="仿宋" w:hAnsi="仿宋" w:eastAsia="仿宋" w:cs="宋体"/>
          <w:szCs w:val="21"/>
        </w:rPr>
        <w:t>一般故障：网络一般告警，但不影响设备业务的正常使用。</w:t>
      </w:r>
    </w:p>
    <w:p>
      <w:pPr>
        <w:widowControl/>
        <w:spacing w:line="360" w:lineRule="auto"/>
        <w:ind w:firstLine="420"/>
        <w:rPr>
          <w:rFonts w:hint="eastAsia" w:ascii="仿宋" w:hAnsi="仿宋" w:eastAsia="仿宋" w:cs="宋体"/>
          <w:szCs w:val="21"/>
        </w:rPr>
      </w:pPr>
      <w:r>
        <w:rPr>
          <w:rFonts w:hint="eastAsia" w:ascii="仿宋" w:hAnsi="仿宋" w:eastAsia="仿宋" w:cs="宋体"/>
          <w:szCs w:val="21"/>
        </w:rPr>
        <w:t>一般故障的响应时间为：1小时内提供远程技术支持。如不能远程解决，则4小时内赶到现场排除故障。</w:t>
      </w:r>
    </w:p>
    <w:p>
      <w:pPr>
        <w:keepNext/>
        <w:keepLines/>
        <w:widowControl/>
        <w:numPr>
          <w:ilvl w:val="0"/>
          <w:numId w:val="10"/>
        </w:numPr>
        <w:spacing w:line="360" w:lineRule="auto"/>
        <w:ind w:firstLine="422" w:firstLineChars="200"/>
        <w:rPr>
          <w:rFonts w:hint="eastAsia" w:ascii="仿宋" w:hAnsi="仿宋" w:eastAsia="仿宋" w:cs="宋体"/>
          <w:b/>
          <w:bCs/>
          <w:szCs w:val="21"/>
        </w:rPr>
      </w:pPr>
      <w:r>
        <w:rPr>
          <w:rFonts w:hint="eastAsia" w:ascii="仿宋" w:hAnsi="仿宋" w:eastAsia="仿宋" w:cs="宋体"/>
          <w:b/>
          <w:bCs/>
          <w:szCs w:val="21"/>
        </w:rPr>
        <w:t>服务期内服务内容</w:t>
      </w:r>
    </w:p>
    <w:p>
      <w:pPr>
        <w:numPr>
          <w:ilvl w:val="0"/>
          <w:numId w:val="13"/>
        </w:numPr>
        <w:spacing w:line="360" w:lineRule="auto"/>
        <w:ind w:left="0" w:firstLine="420" w:firstLineChars="200"/>
        <w:rPr>
          <w:rFonts w:hint="eastAsia" w:ascii="仿宋" w:hAnsi="仿宋" w:eastAsia="仿宋"/>
          <w:szCs w:val="21"/>
        </w:rPr>
      </w:pPr>
      <w:r>
        <w:rPr>
          <w:rFonts w:hint="eastAsia" w:ascii="仿宋" w:hAnsi="仿宋" w:eastAsia="仿宋"/>
          <w:szCs w:val="21"/>
        </w:rPr>
        <w:t>资产测绘与管理服务</w:t>
      </w:r>
    </w:p>
    <w:p>
      <w:pPr>
        <w:numPr>
          <w:ilvl w:val="0"/>
          <w:numId w:val="13"/>
        </w:numPr>
        <w:spacing w:line="360" w:lineRule="auto"/>
        <w:ind w:left="420" w:leftChars="200"/>
        <w:rPr>
          <w:rFonts w:hint="eastAsia" w:ascii="仿宋" w:hAnsi="仿宋" w:eastAsia="仿宋"/>
          <w:szCs w:val="21"/>
        </w:rPr>
      </w:pPr>
      <w:r>
        <w:rPr>
          <w:rFonts w:hint="eastAsia" w:ascii="仿宋" w:hAnsi="仿宋" w:eastAsia="仿宋"/>
          <w:szCs w:val="21"/>
        </w:rPr>
        <w:t>依托于网络资产测绘分析系统对招标人的网络硬件、中间件、软件应用和系统开启服务等信息进行采集、识别、分析。</w:t>
      </w:r>
    </w:p>
    <w:p>
      <w:pPr>
        <w:numPr>
          <w:ilvl w:val="0"/>
          <w:numId w:val="13"/>
        </w:numPr>
        <w:spacing w:line="360" w:lineRule="auto"/>
        <w:ind w:left="0" w:firstLine="420" w:firstLineChars="200"/>
        <w:rPr>
          <w:rFonts w:hint="eastAsia" w:ascii="仿宋" w:hAnsi="仿宋" w:eastAsia="仿宋"/>
          <w:szCs w:val="21"/>
        </w:rPr>
      </w:pPr>
      <w:r>
        <w:rPr>
          <w:rFonts w:hint="eastAsia" w:ascii="仿宋" w:hAnsi="仿宋" w:eastAsia="仿宋"/>
          <w:szCs w:val="21"/>
        </w:rPr>
        <w:t>资产测绘技术支持服务</w:t>
      </w:r>
    </w:p>
    <w:p>
      <w:pPr>
        <w:pStyle w:val="46"/>
        <w:numPr>
          <w:ilvl w:val="0"/>
          <w:numId w:val="14"/>
        </w:numPr>
        <w:spacing w:line="360" w:lineRule="auto"/>
        <w:ind w:left="420" w:leftChars="200" w:firstLineChars="0"/>
        <w:jc w:val="left"/>
        <w:rPr>
          <w:rFonts w:hint="eastAsia" w:ascii="仿宋" w:hAnsi="仿宋" w:eastAsia="仿宋" w:cs="宋体"/>
          <w:szCs w:val="21"/>
        </w:rPr>
      </w:pPr>
      <w:r>
        <w:rPr>
          <w:rFonts w:hint="eastAsia" w:ascii="仿宋" w:hAnsi="仿宋" w:eastAsia="仿宋" w:cs="宋体"/>
          <w:szCs w:val="21"/>
        </w:rPr>
        <w:t>维护并更新网络资产测绘分析系统指纹库；</w:t>
      </w:r>
    </w:p>
    <w:p>
      <w:pPr>
        <w:pStyle w:val="46"/>
        <w:numPr>
          <w:ilvl w:val="0"/>
          <w:numId w:val="14"/>
        </w:numPr>
        <w:spacing w:line="360" w:lineRule="auto"/>
        <w:ind w:left="420" w:leftChars="200" w:firstLineChars="0"/>
        <w:jc w:val="left"/>
        <w:rPr>
          <w:rFonts w:hint="eastAsia" w:ascii="仿宋" w:hAnsi="仿宋" w:eastAsia="仿宋" w:cs="宋体"/>
          <w:szCs w:val="21"/>
        </w:rPr>
      </w:pPr>
      <w:r>
        <w:rPr>
          <w:rFonts w:hint="eastAsia" w:ascii="仿宋" w:hAnsi="仿宋" w:eastAsia="仿宋" w:cs="宋体"/>
          <w:szCs w:val="21"/>
        </w:rPr>
        <w:t>维护并更新网络资产测绘分析系统Poc漏洞验证库；</w:t>
      </w:r>
    </w:p>
    <w:p>
      <w:pPr>
        <w:pStyle w:val="46"/>
        <w:numPr>
          <w:ilvl w:val="0"/>
          <w:numId w:val="14"/>
        </w:numPr>
        <w:spacing w:line="360" w:lineRule="auto"/>
        <w:ind w:left="420" w:leftChars="200" w:firstLineChars="0"/>
        <w:jc w:val="left"/>
        <w:rPr>
          <w:rFonts w:hint="eastAsia" w:ascii="仿宋" w:hAnsi="仿宋" w:eastAsia="仿宋" w:cs="宋体"/>
          <w:szCs w:val="21"/>
        </w:rPr>
      </w:pPr>
      <w:r>
        <w:rPr>
          <w:rFonts w:hint="eastAsia" w:ascii="仿宋" w:hAnsi="仿宋" w:eastAsia="仿宋" w:cs="宋体"/>
          <w:szCs w:val="21"/>
        </w:rPr>
        <w:t>编制安全通报并协助分发安全通报；</w:t>
      </w:r>
    </w:p>
    <w:p>
      <w:pPr>
        <w:pStyle w:val="46"/>
        <w:numPr>
          <w:ilvl w:val="0"/>
          <w:numId w:val="14"/>
        </w:numPr>
        <w:spacing w:line="360" w:lineRule="auto"/>
        <w:ind w:left="420" w:leftChars="200" w:firstLineChars="0"/>
        <w:jc w:val="left"/>
        <w:rPr>
          <w:rFonts w:hint="eastAsia" w:ascii="仿宋" w:hAnsi="仿宋" w:eastAsia="仿宋" w:cs="宋体"/>
          <w:szCs w:val="21"/>
        </w:rPr>
      </w:pPr>
      <w:r>
        <w:rPr>
          <w:rFonts w:hint="eastAsia" w:ascii="仿宋" w:hAnsi="仿宋" w:eastAsia="仿宋" w:cs="宋体"/>
          <w:szCs w:val="21"/>
        </w:rPr>
        <w:t>跟进整改安全风险落实状态，记录上报；</w:t>
      </w:r>
    </w:p>
    <w:p>
      <w:pPr>
        <w:pStyle w:val="46"/>
        <w:numPr>
          <w:ilvl w:val="0"/>
          <w:numId w:val="14"/>
        </w:numPr>
        <w:spacing w:line="360" w:lineRule="auto"/>
        <w:ind w:left="420" w:leftChars="200" w:firstLineChars="0"/>
        <w:jc w:val="left"/>
        <w:rPr>
          <w:rFonts w:hint="eastAsia" w:ascii="仿宋" w:hAnsi="仿宋" w:eastAsia="仿宋" w:cs="宋体"/>
          <w:szCs w:val="21"/>
        </w:rPr>
      </w:pPr>
      <w:r>
        <w:rPr>
          <w:rFonts w:hint="eastAsia" w:ascii="仿宋" w:hAnsi="仿宋" w:eastAsia="仿宋" w:cs="宋体"/>
          <w:szCs w:val="21"/>
        </w:rPr>
        <w:t>系统故障处理；</w:t>
      </w:r>
    </w:p>
    <w:p>
      <w:pPr>
        <w:pStyle w:val="46"/>
        <w:numPr>
          <w:ilvl w:val="0"/>
          <w:numId w:val="14"/>
        </w:numPr>
        <w:spacing w:line="360" w:lineRule="auto"/>
        <w:ind w:left="420" w:leftChars="200" w:firstLineChars="0"/>
        <w:jc w:val="left"/>
        <w:rPr>
          <w:rFonts w:hint="eastAsia" w:ascii="仿宋" w:hAnsi="仿宋" w:eastAsia="仿宋" w:cs="宋体"/>
          <w:szCs w:val="21"/>
        </w:rPr>
      </w:pPr>
      <w:r>
        <w:rPr>
          <w:rFonts w:hint="eastAsia" w:ascii="仿宋" w:hAnsi="仿宋" w:eastAsia="仿宋" w:cs="宋体"/>
          <w:szCs w:val="21"/>
        </w:rPr>
        <w:t>协助安全问题整改；</w:t>
      </w:r>
    </w:p>
    <w:p>
      <w:pPr>
        <w:pStyle w:val="46"/>
        <w:numPr>
          <w:ilvl w:val="0"/>
          <w:numId w:val="14"/>
        </w:numPr>
        <w:spacing w:line="360" w:lineRule="auto"/>
        <w:ind w:left="420" w:leftChars="200" w:firstLineChars="0"/>
        <w:jc w:val="left"/>
        <w:rPr>
          <w:rFonts w:hint="eastAsia" w:ascii="仿宋" w:hAnsi="仿宋" w:eastAsia="仿宋" w:cs="宋体"/>
          <w:szCs w:val="21"/>
        </w:rPr>
      </w:pPr>
      <w:r>
        <w:rPr>
          <w:rFonts w:hint="eastAsia" w:ascii="仿宋" w:hAnsi="仿宋" w:eastAsia="仿宋" w:cs="宋体"/>
          <w:szCs w:val="21"/>
        </w:rPr>
        <w:t>每季度设备巡检并出具巡检报告；</w:t>
      </w:r>
    </w:p>
    <w:p>
      <w:pPr>
        <w:pStyle w:val="46"/>
        <w:numPr>
          <w:ilvl w:val="0"/>
          <w:numId w:val="14"/>
        </w:numPr>
        <w:spacing w:line="360" w:lineRule="auto"/>
        <w:ind w:left="420" w:leftChars="200" w:firstLineChars="0"/>
        <w:jc w:val="left"/>
        <w:rPr>
          <w:rFonts w:hint="eastAsia" w:ascii="仿宋" w:hAnsi="仿宋" w:eastAsia="仿宋" w:cs="宋体"/>
          <w:szCs w:val="21"/>
        </w:rPr>
      </w:pPr>
      <w:r>
        <w:rPr>
          <w:rFonts w:hint="eastAsia" w:ascii="仿宋" w:hAnsi="仿宋" w:eastAsia="仿宋" w:cs="宋体"/>
          <w:szCs w:val="21"/>
        </w:rPr>
        <w:t>资产分级分类和资产风险评估咨询；</w:t>
      </w:r>
    </w:p>
    <w:p>
      <w:pPr>
        <w:pStyle w:val="46"/>
        <w:numPr>
          <w:ilvl w:val="0"/>
          <w:numId w:val="14"/>
        </w:numPr>
        <w:spacing w:line="360" w:lineRule="auto"/>
        <w:ind w:left="420" w:leftChars="200" w:firstLineChars="0"/>
        <w:jc w:val="left"/>
        <w:rPr>
          <w:rFonts w:hint="eastAsia" w:ascii="仿宋" w:hAnsi="仿宋" w:eastAsia="仿宋" w:cs="宋体"/>
          <w:szCs w:val="21"/>
        </w:rPr>
      </w:pPr>
      <w:r>
        <w:rPr>
          <w:rFonts w:hint="eastAsia" w:ascii="仿宋" w:hAnsi="仿宋" w:eastAsia="仿宋" w:cs="宋体"/>
          <w:szCs w:val="21"/>
        </w:rPr>
        <w:t>系统运行数据分析统计，出具运行报告。</w:t>
      </w:r>
    </w:p>
    <w:p>
      <w:pPr>
        <w:numPr>
          <w:ilvl w:val="0"/>
          <w:numId w:val="13"/>
        </w:numPr>
        <w:spacing w:line="360" w:lineRule="auto"/>
        <w:ind w:left="0" w:firstLine="420" w:firstLineChars="200"/>
        <w:rPr>
          <w:rFonts w:hint="eastAsia" w:ascii="仿宋" w:hAnsi="仿宋" w:eastAsia="仿宋"/>
          <w:szCs w:val="21"/>
        </w:rPr>
      </w:pPr>
      <w:r>
        <w:rPr>
          <w:rFonts w:hint="eastAsia" w:ascii="仿宋" w:hAnsi="仿宋" w:eastAsia="仿宋"/>
          <w:szCs w:val="21"/>
        </w:rPr>
        <w:t>资产风险评估服务</w:t>
      </w:r>
    </w:p>
    <w:p>
      <w:pPr>
        <w:pStyle w:val="46"/>
        <w:spacing w:line="360" w:lineRule="auto"/>
        <w:rPr>
          <w:rFonts w:hint="eastAsia" w:ascii="仿宋" w:hAnsi="仿宋" w:eastAsia="仿宋" w:cs="宋体"/>
          <w:szCs w:val="21"/>
        </w:rPr>
      </w:pPr>
      <w:r>
        <w:rPr>
          <w:rFonts w:hint="eastAsia" w:ascii="仿宋" w:hAnsi="仿宋" w:eastAsia="仿宋" w:cs="宋体"/>
          <w:szCs w:val="21"/>
        </w:rPr>
        <w:t>依托于网探D01以资产属性信息为依托，快速匹配目标漏洞，判断影响范围。通过系统+专业技术人员相组合的方式对存在风险的资产进行评估和验证，以准确定位单位内部的资产风险状况</w:t>
      </w:r>
    </w:p>
    <w:p>
      <w:pPr>
        <w:numPr>
          <w:ilvl w:val="0"/>
          <w:numId w:val="13"/>
        </w:numPr>
        <w:spacing w:line="360" w:lineRule="auto"/>
        <w:ind w:left="420" w:leftChars="200"/>
        <w:rPr>
          <w:rFonts w:hint="eastAsia" w:ascii="仿宋" w:hAnsi="仿宋" w:eastAsia="仿宋"/>
          <w:szCs w:val="21"/>
        </w:rPr>
      </w:pPr>
      <w:r>
        <w:rPr>
          <w:rFonts w:hint="eastAsia" w:ascii="仿宋" w:hAnsi="仿宋" w:eastAsia="仿宋"/>
          <w:szCs w:val="21"/>
        </w:rPr>
        <w:t>日常维护的技术支持</w:t>
      </w:r>
    </w:p>
    <w:p>
      <w:pPr>
        <w:widowControl/>
        <w:spacing w:line="360" w:lineRule="auto"/>
        <w:ind w:firstLine="420" w:firstLineChars="200"/>
        <w:rPr>
          <w:rFonts w:hint="eastAsia" w:ascii="仿宋" w:hAnsi="仿宋" w:eastAsia="仿宋" w:cs="宋体"/>
          <w:szCs w:val="21"/>
        </w:rPr>
      </w:pPr>
      <w:r>
        <w:rPr>
          <w:rFonts w:hint="eastAsia" w:ascii="仿宋" w:hAnsi="仿宋" w:eastAsia="仿宋" w:cs="宋体"/>
          <w:szCs w:val="21"/>
        </w:rPr>
        <w:t>日常维保服务是指维保服务方向招标人提供关于设备日常操作维护的咨询和非紧急情况下的一般故障的处理，内容包括：</w:t>
      </w:r>
    </w:p>
    <w:p>
      <w:pPr>
        <w:widowControl/>
        <w:numPr>
          <w:ilvl w:val="0"/>
          <w:numId w:val="15"/>
        </w:numPr>
        <w:spacing w:line="360" w:lineRule="auto"/>
        <w:ind w:left="420" w:leftChars="200"/>
        <w:rPr>
          <w:rFonts w:hint="eastAsia" w:ascii="仿宋" w:hAnsi="仿宋" w:eastAsia="仿宋" w:cs="宋体"/>
          <w:szCs w:val="21"/>
        </w:rPr>
      </w:pPr>
      <w:r>
        <w:rPr>
          <w:rFonts w:hint="eastAsia" w:ascii="仿宋" w:hAnsi="仿宋" w:eastAsia="仿宋" w:cs="宋体"/>
          <w:szCs w:val="21"/>
        </w:rPr>
        <w:t>解答问题：解答在安装、配置和使用产品的过程中出现的疑问和问题；</w:t>
      </w:r>
    </w:p>
    <w:p>
      <w:pPr>
        <w:widowControl/>
        <w:numPr>
          <w:ilvl w:val="0"/>
          <w:numId w:val="15"/>
        </w:numPr>
        <w:spacing w:line="360" w:lineRule="auto"/>
        <w:ind w:left="420" w:leftChars="200"/>
        <w:rPr>
          <w:rFonts w:hint="eastAsia" w:ascii="仿宋" w:hAnsi="仿宋" w:eastAsia="仿宋" w:cs="宋体"/>
          <w:szCs w:val="21"/>
        </w:rPr>
      </w:pPr>
      <w:r>
        <w:rPr>
          <w:rFonts w:hint="eastAsia" w:ascii="仿宋" w:hAnsi="仿宋" w:eastAsia="仿宋" w:cs="宋体"/>
          <w:szCs w:val="21"/>
        </w:rPr>
        <w:t>接受反馈：接收有关产品缺陷和错误报告，以及对产品提出的改进建议；</w:t>
      </w:r>
    </w:p>
    <w:p>
      <w:pPr>
        <w:widowControl/>
        <w:numPr>
          <w:ilvl w:val="0"/>
          <w:numId w:val="15"/>
        </w:numPr>
        <w:spacing w:line="360" w:lineRule="auto"/>
        <w:ind w:left="420" w:leftChars="200"/>
        <w:rPr>
          <w:rFonts w:hint="eastAsia" w:ascii="仿宋" w:hAnsi="仿宋" w:eastAsia="仿宋" w:cs="宋体"/>
          <w:szCs w:val="21"/>
        </w:rPr>
      </w:pPr>
      <w:r>
        <w:rPr>
          <w:rFonts w:hint="eastAsia" w:ascii="仿宋" w:hAnsi="仿宋" w:eastAsia="仿宋" w:cs="宋体"/>
          <w:szCs w:val="21"/>
        </w:rPr>
        <w:t>定期更新POC漏洞库和系统版本。</w:t>
      </w:r>
    </w:p>
    <w:p>
      <w:pPr>
        <w:widowControl/>
        <w:numPr>
          <w:ilvl w:val="0"/>
          <w:numId w:val="15"/>
        </w:numPr>
        <w:spacing w:line="360" w:lineRule="auto"/>
        <w:ind w:left="420" w:leftChars="200"/>
        <w:rPr>
          <w:rFonts w:hint="eastAsia" w:ascii="仿宋" w:hAnsi="仿宋" w:eastAsia="仿宋" w:cs="宋体"/>
          <w:szCs w:val="21"/>
        </w:rPr>
      </w:pPr>
      <w:r>
        <w:rPr>
          <w:rFonts w:hint="eastAsia" w:ascii="仿宋" w:hAnsi="仿宋" w:eastAsia="仿宋" w:cs="宋体"/>
          <w:szCs w:val="21"/>
        </w:rPr>
        <w:t>提供与产品相关应用安全方面的咨询。</w:t>
      </w:r>
    </w:p>
    <w:p>
      <w:pPr>
        <w:widowControl/>
        <w:numPr>
          <w:ilvl w:val="0"/>
          <w:numId w:val="15"/>
        </w:numPr>
        <w:spacing w:line="360" w:lineRule="auto"/>
        <w:ind w:left="420" w:leftChars="200"/>
        <w:rPr>
          <w:rFonts w:hint="eastAsia" w:ascii="仿宋" w:hAnsi="仿宋" w:eastAsia="仿宋" w:cs="宋体"/>
          <w:szCs w:val="21"/>
        </w:rPr>
      </w:pPr>
      <w:r>
        <w:rPr>
          <w:rFonts w:hint="eastAsia" w:ascii="仿宋" w:hAnsi="仿宋" w:eastAsia="仿宋" w:cs="宋体"/>
          <w:szCs w:val="21"/>
        </w:rPr>
        <w:t>解决设备使用过程中出现的技术问题。</w:t>
      </w:r>
    </w:p>
    <w:p>
      <w:pPr>
        <w:widowControl/>
        <w:numPr>
          <w:ilvl w:val="0"/>
          <w:numId w:val="15"/>
        </w:numPr>
        <w:spacing w:line="360" w:lineRule="auto"/>
        <w:ind w:left="420" w:leftChars="200"/>
        <w:rPr>
          <w:rFonts w:hint="eastAsia" w:ascii="仿宋" w:hAnsi="仿宋" w:eastAsia="仿宋" w:cs="宋体"/>
          <w:szCs w:val="21"/>
        </w:rPr>
      </w:pPr>
      <w:r>
        <w:rPr>
          <w:rFonts w:hint="eastAsia" w:ascii="仿宋" w:hAnsi="仿宋" w:eastAsia="仿宋" w:cs="宋体"/>
          <w:szCs w:val="21"/>
        </w:rPr>
        <w:t>服务时效为7天24小时，且1小时响应、4小时到现场服务，以及电话支持、电子邮件支持。</w:t>
      </w:r>
    </w:p>
    <w:p>
      <w:pPr>
        <w:numPr>
          <w:ilvl w:val="0"/>
          <w:numId w:val="13"/>
        </w:numPr>
        <w:spacing w:line="360" w:lineRule="auto"/>
        <w:ind w:left="0" w:firstLine="420" w:firstLineChars="200"/>
        <w:rPr>
          <w:rFonts w:hint="eastAsia" w:ascii="仿宋" w:hAnsi="仿宋" w:eastAsia="仿宋"/>
          <w:szCs w:val="21"/>
        </w:rPr>
      </w:pPr>
      <w:r>
        <w:rPr>
          <w:rFonts w:hint="eastAsia" w:ascii="仿宋" w:hAnsi="仿宋" w:eastAsia="仿宋"/>
          <w:szCs w:val="21"/>
        </w:rPr>
        <w:t>紧急恢复支持服务</w:t>
      </w:r>
    </w:p>
    <w:p>
      <w:pPr>
        <w:widowControl/>
        <w:spacing w:line="360" w:lineRule="auto"/>
        <w:ind w:firstLine="420" w:firstLineChars="200"/>
        <w:rPr>
          <w:rFonts w:hint="eastAsia" w:ascii="仿宋" w:hAnsi="仿宋" w:eastAsia="仿宋" w:cs="宋体"/>
          <w:szCs w:val="21"/>
        </w:rPr>
      </w:pPr>
      <w:r>
        <w:rPr>
          <w:rFonts w:hint="eastAsia" w:ascii="仿宋" w:hAnsi="仿宋" w:eastAsia="仿宋" w:cs="宋体"/>
          <w:szCs w:val="21"/>
        </w:rPr>
        <w:t>紧急恢复服务是指系统发生严重故障时，招标人通过电话、传真、E—mail或网上在线申报向维保服务方寻求技术支持和帮助，维保服务方在确认招标人的服务请求后，派工程师进行系统恢复，非常紧急情况维保服务方提供便携式手提工具箱（网探D01 F910s）保障招标人正常业务使用。</w:t>
      </w:r>
    </w:p>
    <w:p>
      <w:pPr>
        <w:widowControl/>
        <w:spacing w:line="360" w:lineRule="auto"/>
        <w:ind w:firstLine="420" w:firstLineChars="200"/>
        <w:rPr>
          <w:rFonts w:hint="eastAsia" w:ascii="仿宋" w:hAnsi="仿宋" w:eastAsia="仿宋" w:cs="宋体"/>
          <w:szCs w:val="21"/>
        </w:rPr>
      </w:pPr>
      <w:r>
        <w:rPr>
          <w:rFonts w:hint="eastAsia" w:ascii="仿宋" w:hAnsi="仿宋" w:eastAsia="仿宋" w:cs="宋体"/>
          <w:szCs w:val="21"/>
        </w:rPr>
        <w:t>维保服务方应提供每周7天、每天24小时的紧急恢复服务。紧急恢复服务包括紧急电话支持服务、紧急远程支持服务和紧急现场支持服务。</w:t>
      </w:r>
    </w:p>
    <w:p>
      <w:pPr>
        <w:widowControl/>
        <w:spacing w:line="360" w:lineRule="auto"/>
        <w:ind w:firstLine="420" w:firstLineChars="200"/>
        <w:rPr>
          <w:rFonts w:hint="eastAsia" w:ascii="仿宋" w:hAnsi="仿宋" w:eastAsia="仿宋" w:cs="宋体"/>
          <w:szCs w:val="21"/>
        </w:rPr>
      </w:pPr>
      <w:r>
        <w:rPr>
          <w:rFonts w:hint="eastAsia" w:ascii="仿宋" w:hAnsi="仿宋" w:eastAsia="仿宋" w:cs="宋体"/>
          <w:szCs w:val="21"/>
        </w:rPr>
        <w:t>出现紧急情况时，必须在招标人提出服务申请后10分钟内回应，并在回应确定是否需要派工程师赴现场进行技术支持，如果需要，将立即派工程师赴现场提供紧急技术支持；同时在回应后立即派工程师进行电话支持和远程支持；维保服务方负责协调电话支持工程师、远程支持工程师和现场支持工程师的工作关系；在工作时间内出现紧急情况时，原则上维保服务方技术支持人员应到设备机房进行有关故障处理工作。</w:t>
      </w:r>
    </w:p>
    <w:p>
      <w:pPr>
        <w:widowControl/>
        <w:spacing w:line="360" w:lineRule="auto"/>
        <w:ind w:firstLine="420" w:firstLineChars="200"/>
        <w:rPr>
          <w:rFonts w:hint="eastAsia" w:ascii="仿宋" w:hAnsi="仿宋" w:eastAsia="仿宋" w:cs="宋体"/>
          <w:szCs w:val="21"/>
        </w:rPr>
      </w:pPr>
      <w:r>
        <w:rPr>
          <w:rFonts w:hint="eastAsia" w:ascii="仿宋" w:hAnsi="仿宋" w:eastAsia="仿宋" w:cs="宋体"/>
          <w:szCs w:val="21"/>
        </w:rPr>
        <w:t>紧急故障必须在2小时以内解决完毕，设备可以恢复正常工作并提供业务；特殊情况由维保服务方与招标人协商解决。</w:t>
      </w:r>
    </w:p>
    <w:p>
      <w:pPr>
        <w:widowControl/>
        <w:suppressAutoHyphens/>
        <w:spacing w:line="360" w:lineRule="auto"/>
        <w:ind w:firstLine="420" w:firstLineChars="200"/>
        <w:jc w:val="left"/>
        <w:rPr>
          <w:rFonts w:hint="eastAsia" w:ascii="仿宋" w:hAnsi="仿宋" w:eastAsia="仿宋"/>
        </w:rPr>
      </w:pPr>
      <w:r>
        <w:rPr>
          <w:rFonts w:hint="eastAsia" w:ascii="仿宋" w:hAnsi="仿宋" w:eastAsia="仿宋" w:cs="宋体"/>
          <w:szCs w:val="21"/>
        </w:rPr>
        <w:t>设备恢复正常状态后，结束紧急恢复服务。维保服务方工程师须当天给出现场技术服务报告，详细描述故障现象和处理过程，经招标方人员与维保服务方工程师共同签字确认，共同备案。</w:t>
      </w:r>
    </w:p>
    <w:p>
      <w:pPr>
        <w:pStyle w:val="21"/>
        <w:tabs>
          <w:tab w:val="left" w:pos="588"/>
        </w:tabs>
        <w:snapToGrid w:val="0"/>
        <w:spacing w:before="120" w:after="120" w:line="440" w:lineRule="exact"/>
        <w:jc w:val="left"/>
        <w:outlineLvl w:val="3"/>
        <w:rPr>
          <w:rFonts w:hint="eastAsia" w:ascii="仿宋" w:hAnsi="仿宋" w:eastAsia="仿宋"/>
          <w:sz w:val="22"/>
          <w:szCs w:val="22"/>
        </w:rPr>
      </w:pPr>
      <w:bookmarkStart w:id="126" w:name="_Toc193699364"/>
      <w:r>
        <w:rPr>
          <w:rFonts w:hint="eastAsia" w:ascii="仿宋" w:hAnsi="仿宋" w:eastAsia="仿宋"/>
          <w:sz w:val="22"/>
          <w:szCs w:val="22"/>
        </w:rPr>
        <w:t>9、安全培训服务</w:t>
      </w:r>
      <w:bookmarkEnd w:id="126"/>
    </w:p>
    <w:p>
      <w:pPr>
        <w:widowControl/>
        <w:suppressAutoHyphens/>
        <w:spacing w:line="360" w:lineRule="auto"/>
        <w:ind w:firstLine="420" w:firstLineChars="200"/>
        <w:rPr>
          <w:rFonts w:hint="eastAsia" w:ascii="仿宋" w:hAnsi="仿宋" w:eastAsia="仿宋" w:cs="宋体"/>
          <w:szCs w:val="21"/>
        </w:rPr>
      </w:pPr>
      <w:r>
        <w:rPr>
          <w:rFonts w:hint="eastAsia" w:ascii="仿宋" w:hAnsi="仿宋" w:eastAsia="仿宋" w:cs="宋体"/>
          <w:szCs w:val="21"/>
        </w:rPr>
        <w:t>提供不少于2次人员安全意识教育培训，覆盖招标方全体员工，包括管理层、普通办公人员、技术人员等不同岗位人员；</w:t>
      </w:r>
    </w:p>
    <w:p>
      <w:pPr>
        <w:widowControl/>
        <w:suppressAutoHyphens/>
        <w:spacing w:line="360" w:lineRule="auto"/>
        <w:ind w:firstLine="420" w:firstLineChars="200"/>
        <w:rPr>
          <w:rFonts w:hint="eastAsia" w:ascii="仿宋" w:hAnsi="仿宋" w:eastAsia="仿宋" w:cs="宋体"/>
          <w:szCs w:val="21"/>
        </w:rPr>
      </w:pPr>
      <w:r>
        <w:rPr>
          <w:rFonts w:hint="eastAsia" w:ascii="仿宋" w:hAnsi="仿宋" w:eastAsia="仿宋" w:cs="宋体"/>
          <w:szCs w:val="21"/>
        </w:rPr>
        <w:t>提供不少于2人次的CISP专家级技术培训课程和考试，依据CISP专家级考试大纲，全面讲解信息安全保障、信息安全技术、信息安全管理、信息安全工程、信息安全标准法规等核心知识模块；</w:t>
      </w:r>
    </w:p>
    <w:p>
      <w:pPr>
        <w:widowControl/>
        <w:suppressAutoHyphens/>
        <w:spacing w:line="360" w:lineRule="auto"/>
        <w:ind w:firstLine="420" w:firstLineChars="200"/>
        <w:rPr>
          <w:rFonts w:hint="eastAsia" w:ascii="仿宋" w:hAnsi="仿宋" w:eastAsia="仿宋" w:cs="宋体"/>
          <w:szCs w:val="21"/>
        </w:rPr>
      </w:pPr>
      <w:r>
        <w:rPr>
          <w:rFonts w:hint="eastAsia" w:ascii="仿宋" w:hAnsi="仿宋" w:eastAsia="仿宋" w:cs="宋体"/>
          <w:szCs w:val="21"/>
        </w:rPr>
        <w:t>提供1次网络安全宣传周活动协助，包括活动策划、物料设计与制作、活动组织实施等；</w:t>
      </w:r>
    </w:p>
    <w:p>
      <w:pPr>
        <w:widowControl/>
        <w:suppressAutoHyphens/>
        <w:spacing w:line="360" w:lineRule="auto"/>
        <w:ind w:firstLine="420" w:firstLineChars="200"/>
        <w:rPr>
          <w:rFonts w:hint="eastAsia" w:ascii="仿宋" w:hAnsi="仿宋" w:eastAsia="仿宋" w:cs="宋体"/>
          <w:szCs w:val="21"/>
        </w:rPr>
      </w:pPr>
      <w:r>
        <w:rPr>
          <w:rFonts w:hint="eastAsia" w:ascii="仿宋" w:hAnsi="仿宋" w:eastAsia="仿宋" w:cs="宋体"/>
          <w:szCs w:val="21"/>
        </w:rPr>
        <w:t>提供1人次ISO27001信息安全管理系统标准培训，使招标方相关人员深入理解ISO27001标准的要求、实施方法与流程。协助完成ISO27001信息安全管理体系认证资质申报工作，并通过认证。</w:t>
      </w:r>
    </w:p>
    <w:p>
      <w:pPr>
        <w:widowControl/>
        <w:suppressAutoHyphens/>
        <w:spacing w:line="360" w:lineRule="auto"/>
        <w:ind w:firstLine="420" w:firstLineChars="200"/>
        <w:rPr>
          <w:rFonts w:hint="eastAsia" w:ascii="仿宋" w:hAnsi="仿宋" w:eastAsia="仿宋" w:cs="宋体"/>
          <w:szCs w:val="21"/>
        </w:rPr>
      </w:pPr>
    </w:p>
    <w:p>
      <w:pPr>
        <w:widowControl/>
        <w:jc w:val="left"/>
        <w:rPr>
          <w:rFonts w:hint="eastAsia" w:ascii="仿宋" w:hAnsi="仿宋" w:eastAsia="仿宋" w:cs="宋体"/>
          <w:b/>
          <w:kern w:val="0"/>
          <w:sz w:val="32"/>
          <w:szCs w:val="32"/>
          <w:lang w:val="zh-CN"/>
        </w:rPr>
      </w:pPr>
      <w:r>
        <w:rPr>
          <w:rFonts w:hint="eastAsia" w:ascii="仿宋" w:hAnsi="仿宋" w:eastAsia="仿宋" w:cs="宋体"/>
          <w:b/>
          <w:bCs/>
          <w:kern w:val="0"/>
          <w:sz w:val="32"/>
          <w:szCs w:val="32"/>
          <w:lang w:val="zh-CN"/>
        </w:rPr>
        <w:br w:type="page"/>
      </w:r>
    </w:p>
    <w:p>
      <w:pPr>
        <w:pStyle w:val="30"/>
        <w:spacing w:before="240" w:after="120" w:line="360" w:lineRule="auto"/>
        <w:rPr>
          <w:rFonts w:hint="eastAsia" w:ascii="仿宋" w:hAnsi="仿宋" w:eastAsia="仿宋" w:cs="宋体"/>
          <w:b/>
          <w:bCs w:val="0"/>
          <w:kern w:val="0"/>
          <w:sz w:val="32"/>
          <w:szCs w:val="32"/>
          <w:lang w:val="zh-CN"/>
        </w:rPr>
      </w:pPr>
      <w:bookmarkStart w:id="127" w:name="_Toc193699365"/>
      <w:r>
        <w:rPr>
          <w:rFonts w:hint="eastAsia" w:ascii="仿宋" w:hAnsi="仿宋" w:eastAsia="仿宋" w:cs="宋体"/>
          <w:b/>
          <w:bCs w:val="0"/>
          <w:kern w:val="0"/>
          <w:sz w:val="32"/>
          <w:szCs w:val="32"/>
          <w:lang w:val="zh-CN"/>
        </w:rPr>
        <w:t>第四章  商务合同</w:t>
      </w:r>
      <w:bookmarkEnd w:id="127"/>
    </w:p>
    <w:p>
      <w:pPr>
        <w:pStyle w:val="4"/>
        <w:spacing w:before="156" w:beforeLines="50" w:after="156" w:afterLines="50" w:line="360" w:lineRule="auto"/>
        <w:rPr>
          <w:rFonts w:hint="eastAsia" w:ascii="仿宋" w:hAnsi="仿宋" w:eastAsia="仿宋"/>
          <w:sz w:val="28"/>
          <w:szCs w:val="28"/>
        </w:rPr>
      </w:pPr>
      <w:bookmarkStart w:id="128" w:name="_Toc164274750"/>
      <w:bookmarkStart w:id="129" w:name="_Toc193699366"/>
      <w:r>
        <w:rPr>
          <w:rFonts w:hint="eastAsia" w:ascii="仿宋" w:hAnsi="仿宋" w:eastAsia="仿宋"/>
          <w:sz w:val="28"/>
          <w:szCs w:val="28"/>
        </w:rPr>
        <w:t>总则</w:t>
      </w:r>
      <w:bookmarkEnd w:id="128"/>
      <w:bookmarkEnd w:id="129"/>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1.1本章涉及商务合同条款要求，投标人填写商务合同条款偏离表之用，并作为中标后买卖双方签订合同的基础。</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1.2针对本章合同条款内容，投标人应填写“商务合同条款偏离表”。如存在偏离应提出充分理由并在“合同条款偏离表”中加以详尽说明。</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1.3本章内容根据投标人的投标情况完善后，将作为招标人与中标人签订合同的基础。中标人为合同乙方。</w:t>
      </w:r>
    </w:p>
    <w:p>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投标人须对《商务合同书》全部条款理解清楚，并填写《合同条款偏离表》（格式见第六章）。</w:t>
      </w:r>
    </w:p>
    <w:p>
      <w:pPr>
        <w:adjustRightInd w:val="0"/>
        <w:spacing w:line="360" w:lineRule="auto"/>
        <w:ind w:firstLine="422" w:firstLineChars="200"/>
        <w:rPr>
          <w:rFonts w:hint="eastAsia" w:ascii="仿宋" w:hAnsi="仿宋" w:eastAsia="仿宋" w:cs="Times New Roman"/>
          <w:b/>
          <w:szCs w:val="24"/>
        </w:rPr>
      </w:pPr>
      <w:r>
        <w:rPr>
          <w:rFonts w:hint="eastAsia" w:ascii="仿宋" w:hAnsi="仿宋" w:eastAsia="仿宋" w:cs="Times New Roman"/>
          <w:b/>
          <w:szCs w:val="24"/>
        </w:rPr>
        <w:t>注：本合同仅供参考，并非正式合同，当投标人在成交后，应依据本合同的主要条款与招标人签订正式合同；当本合同与招标文件其他部分有冲突，应按招标文件的其他部分为准编制招标文件。合同版本与条款以甲方最新合同模板为准。</w:t>
      </w:r>
    </w:p>
    <w:p/>
    <w:p/>
    <w:p/>
    <w:p>
      <w:pPr>
        <w:widowControl/>
        <w:jc w:val="left"/>
      </w:pPr>
      <w:r>
        <w:br w:type="page"/>
      </w:r>
    </w:p>
    <w:p/>
    <w:p/>
    <w:p/>
    <w:p/>
    <w:p/>
    <w:p>
      <w:pPr>
        <w:jc w:val="center"/>
        <w:rPr>
          <w:rFonts w:hint="eastAsia" w:ascii="仿宋" w:hAnsi="仿宋" w:eastAsia="仿宋"/>
          <w:b/>
          <w:bCs/>
          <w:sz w:val="52"/>
          <w:szCs w:val="52"/>
        </w:rPr>
      </w:pPr>
      <w:bookmarkStart w:id="130" w:name="_Hlk192836289"/>
      <w:r>
        <w:rPr>
          <w:rFonts w:hint="eastAsia" w:ascii="仿宋" w:hAnsi="仿宋" w:eastAsia="仿宋"/>
          <w:b/>
          <w:bCs/>
          <w:sz w:val="52"/>
          <w:szCs w:val="52"/>
        </w:rPr>
        <w:t>2025年度网络安全建设和服务项目</w:t>
      </w:r>
    </w:p>
    <w:bookmarkEnd w:id="130"/>
    <w:p/>
    <w:p/>
    <w:p/>
    <w:p/>
    <w:p/>
    <w:p>
      <w:pPr>
        <w:jc w:val="center"/>
        <w:outlineLvl w:val="1"/>
        <w:rPr>
          <w:rFonts w:hint="eastAsia" w:ascii="仿宋" w:hAnsi="仿宋" w:eastAsia="仿宋"/>
          <w:b/>
          <w:bCs/>
          <w:sz w:val="72"/>
          <w:szCs w:val="72"/>
        </w:rPr>
      </w:pPr>
      <w:bookmarkStart w:id="131" w:name="_Toc193699367"/>
      <w:r>
        <w:rPr>
          <w:rFonts w:hint="eastAsia" w:ascii="仿宋" w:hAnsi="仿宋" w:eastAsia="仿宋"/>
          <w:b/>
          <w:bCs/>
          <w:sz w:val="72"/>
          <w:szCs w:val="72"/>
        </w:rPr>
        <w:t>合 同 书</w:t>
      </w:r>
      <w:bookmarkEnd w:id="131"/>
    </w:p>
    <w:p/>
    <w:p/>
    <w:p/>
    <w:p/>
    <w:p/>
    <w:p/>
    <w:p/>
    <w:p/>
    <w:p/>
    <w:p/>
    <w:p>
      <w:pPr>
        <w:ind w:firstLine="1405" w:firstLineChars="500"/>
        <w:rPr>
          <w:rFonts w:hint="eastAsia" w:ascii="仿宋" w:hAnsi="仿宋" w:eastAsia="仿宋"/>
          <w:b/>
          <w:bCs/>
          <w:sz w:val="28"/>
          <w:szCs w:val="28"/>
        </w:rPr>
      </w:pPr>
      <w:r>
        <w:rPr>
          <w:rFonts w:hint="eastAsia" w:ascii="仿宋" w:hAnsi="仿宋" w:eastAsia="仿宋"/>
          <w:b/>
          <w:bCs/>
          <w:sz w:val="28"/>
          <w:szCs w:val="28"/>
        </w:rPr>
        <w:t>甲  方：广东南方报业传媒集团有限公司</w:t>
      </w:r>
    </w:p>
    <w:p>
      <w:pPr>
        <w:ind w:firstLine="1405" w:firstLineChars="500"/>
        <w:rPr>
          <w:rFonts w:hint="eastAsia" w:ascii="仿宋" w:hAnsi="仿宋" w:eastAsia="仿宋"/>
          <w:b/>
          <w:bCs/>
          <w:sz w:val="28"/>
          <w:szCs w:val="28"/>
        </w:rPr>
      </w:pPr>
      <w:r>
        <w:rPr>
          <w:rFonts w:hint="eastAsia" w:ascii="仿宋" w:hAnsi="仿宋" w:eastAsia="仿宋"/>
          <w:b/>
          <w:bCs/>
          <w:sz w:val="28"/>
          <w:szCs w:val="28"/>
        </w:rPr>
        <w:t>乙  方：</w:t>
      </w:r>
    </w:p>
    <w:p/>
    <w:p/>
    <w:p/>
    <w:p/>
    <w:p/>
    <w:p>
      <w:pPr>
        <w:widowControl/>
        <w:jc w:val="left"/>
      </w:pPr>
      <w:r>
        <w:br w:type="page"/>
      </w:r>
    </w:p>
    <w:p>
      <w:pPr>
        <w:pStyle w:val="12"/>
        <w:tabs>
          <w:tab w:val="left" w:pos="630"/>
        </w:tabs>
        <w:snapToGrid w:val="0"/>
        <w:spacing w:before="93" w:beforeLines="30" w:after="93" w:afterLines="30" w:line="312" w:lineRule="auto"/>
        <w:ind w:firstLine="424" w:firstLineChars="202"/>
        <w:rPr>
          <w:rFonts w:hint="eastAsia" w:ascii="仿宋" w:hAnsi="仿宋" w:eastAsia="仿宋"/>
        </w:rPr>
      </w:pPr>
      <w:r>
        <w:rPr>
          <w:rFonts w:hint="eastAsia" w:ascii="仿宋" w:hAnsi="仿宋" w:eastAsia="仿宋"/>
        </w:rPr>
        <w:t>甲方：广东南方报业传媒集团有限公司</w:t>
      </w:r>
    </w:p>
    <w:p>
      <w:pPr>
        <w:pStyle w:val="12"/>
        <w:tabs>
          <w:tab w:val="left" w:pos="630"/>
        </w:tabs>
        <w:snapToGrid w:val="0"/>
        <w:spacing w:before="93" w:beforeLines="30" w:after="93" w:afterLines="30" w:line="312" w:lineRule="auto"/>
        <w:ind w:firstLine="424" w:firstLineChars="202"/>
        <w:rPr>
          <w:rFonts w:hint="eastAsia" w:ascii="仿宋" w:hAnsi="仿宋" w:eastAsia="仿宋"/>
        </w:rPr>
      </w:pPr>
      <w:r>
        <w:rPr>
          <w:rFonts w:hint="eastAsia" w:ascii="仿宋" w:hAnsi="仿宋" w:eastAsia="仿宋"/>
        </w:rPr>
        <w:t>乙方：</w:t>
      </w:r>
      <w:bookmarkStart w:id="132" w:name="_Hlk179884364"/>
      <w:r>
        <w:rPr>
          <w:rFonts w:hint="eastAsia" w:ascii="仿宋" w:hAnsi="仿宋" w:eastAsia="仿宋"/>
          <w:u w:val="single"/>
        </w:rPr>
        <w:t xml:space="preserve">                        </w:t>
      </w:r>
      <w:r>
        <w:rPr>
          <w:rFonts w:hint="eastAsia" w:ascii="仿宋" w:hAnsi="仿宋" w:eastAsia="仿宋"/>
          <w:color w:val="FFFFFF" w:themeColor="background1"/>
          <w:u w:val="single"/>
          <w14:textFill>
            <w14:solidFill>
              <w14:schemeClr w14:val="bg1"/>
            </w14:solidFill>
          </w14:textFill>
        </w:rPr>
        <w:t>.</w:t>
      </w:r>
      <w:bookmarkEnd w:id="132"/>
    </w:p>
    <w:p>
      <w:pPr>
        <w:pStyle w:val="12"/>
        <w:tabs>
          <w:tab w:val="left" w:pos="630"/>
        </w:tabs>
        <w:snapToGrid w:val="0"/>
        <w:spacing w:before="93" w:beforeLines="30" w:after="93" w:afterLines="30" w:line="312" w:lineRule="auto"/>
        <w:ind w:firstLine="424" w:firstLineChars="202"/>
        <w:rPr>
          <w:rFonts w:hint="eastAsia" w:ascii="仿宋" w:hAnsi="仿宋" w:eastAsia="仿宋"/>
        </w:rPr>
      </w:pP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根据</w:t>
      </w:r>
      <w:r>
        <w:rPr>
          <w:rFonts w:hint="eastAsia" w:ascii="仿宋" w:hAnsi="仿宋" w:eastAsia="仿宋"/>
          <w:u w:val="single"/>
        </w:rPr>
        <w:t>2025年度网络安全建设和服务项目</w:t>
      </w:r>
      <w:r>
        <w:rPr>
          <w:rFonts w:hint="eastAsia" w:ascii="仿宋" w:hAnsi="仿宋" w:eastAsia="仿宋"/>
        </w:rPr>
        <w:t>的采购结果，按照《中华人民共和国民法典》的规定，经双方协商，本着平等互利和诚实信用的原则，一致同意签订本合同如下。</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一、服务内容</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本项目具体服务内容详见附件1《2025年度网络安全建设和服务项目采购需求书》。</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二、合同金额</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合同金额为（大写）：</w:t>
      </w:r>
      <w:r>
        <w:rPr>
          <w:rFonts w:hint="eastAsia" w:ascii="仿宋" w:hAnsi="仿宋" w:eastAsia="仿宋"/>
          <w:u w:val="single"/>
          <w:shd w:val="pct10" w:color="auto" w:fill="FFFFFF"/>
        </w:rPr>
        <w:t xml:space="preserve">      </w:t>
      </w:r>
      <w:r>
        <w:rPr>
          <w:rFonts w:hint="eastAsia" w:ascii="仿宋" w:hAnsi="仿宋" w:eastAsia="仿宋"/>
        </w:rPr>
        <w:t>元（￥</w:t>
      </w:r>
      <w:r>
        <w:rPr>
          <w:rFonts w:hint="eastAsia" w:ascii="仿宋" w:hAnsi="仿宋" w:eastAsia="仿宋"/>
          <w:u w:val="single"/>
          <w:shd w:val="pct10" w:color="auto" w:fill="FFFFFF"/>
        </w:rPr>
        <w:t xml:space="preserve">      </w:t>
      </w:r>
      <w:r>
        <w:rPr>
          <w:rFonts w:hint="eastAsia" w:ascii="仿宋" w:hAnsi="仿宋" w:eastAsia="仿宋"/>
        </w:rPr>
        <w:t>元）人民币，其中货物部分（大写）：</w:t>
      </w:r>
      <w:r>
        <w:rPr>
          <w:rFonts w:hint="eastAsia" w:ascii="仿宋" w:hAnsi="仿宋" w:eastAsia="仿宋"/>
          <w:u w:val="single"/>
          <w:shd w:val="pct10" w:color="auto" w:fill="FFFFFF"/>
        </w:rPr>
        <w:t xml:space="preserve">      </w:t>
      </w:r>
      <w:r>
        <w:rPr>
          <w:rFonts w:hint="eastAsia" w:ascii="仿宋" w:hAnsi="仿宋" w:eastAsia="仿宋"/>
        </w:rPr>
        <w:t>元（￥</w:t>
      </w:r>
      <w:r>
        <w:rPr>
          <w:rFonts w:hint="eastAsia" w:ascii="仿宋" w:hAnsi="仿宋" w:eastAsia="仿宋"/>
          <w:u w:val="single"/>
          <w:shd w:val="pct10" w:color="auto" w:fill="FFFFFF"/>
        </w:rPr>
        <w:t xml:space="preserve">      </w:t>
      </w:r>
      <w:r>
        <w:rPr>
          <w:rFonts w:hint="eastAsia" w:ascii="仿宋" w:hAnsi="仿宋" w:eastAsia="仿宋"/>
        </w:rPr>
        <w:t>元）人民币，税率为：</w:t>
      </w:r>
      <w:r>
        <w:rPr>
          <w:rFonts w:hint="eastAsia" w:ascii="仿宋" w:hAnsi="仿宋" w:eastAsia="仿宋"/>
          <w:u w:val="single"/>
          <w:shd w:val="pct10" w:color="auto" w:fill="FFFFFF"/>
        </w:rPr>
        <w:t xml:space="preserve">      </w:t>
      </w:r>
      <w:r>
        <w:rPr>
          <w:rFonts w:hint="eastAsia" w:ascii="仿宋" w:hAnsi="仿宋" w:eastAsia="仿宋"/>
        </w:rPr>
        <w:t>；服务部分（大写）：</w:t>
      </w:r>
      <w:r>
        <w:rPr>
          <w:rFonts w:hint="eastAsia" w:ascii="仿宋" w:hAnsi="仿宋" w:eastAsia="仿宋"/>
          <w:u w:val="single"/>
          <w:shd w:val="pct10" w:color="auto" w:fill="FFFFFF"/>
        </w:rPr>
        <w:t xml:space="preserve">      </w:t>
      </w:r>
      <w:r>
        <w:rPr>
          <w:rFonts w:hint="eastAsia" w:ascii="仿宋" w:hAnsi="仿宋" w:eastAsia="仿宋"/>
        </w:rPr>
        <w:t>元（￥</w:t>
      </w:r>
      <w:r>
        <w:rPr>
          <w:rFonts w:hint="eastAsia" w:ascii="仿宋" w:hAnsi="仿宋" w:eastAsia="仿宋"/>
          <w:u w:val="single"/>
          <w:shd w:val="pct10" w:color="auto" w:fill="FFFFFF"/>
        </w:rPr>
        <w:t xml:space="preserve">      </w:t>
      </w:r>
      <w:r>
        <w:rPr>
          <w:rFonts w:hint="eastAsia" w:ascii="仿宋" w:hAnsi="仿宋" w:eastAsia="仿宋"/>
        </w:rPr>
        <w:t>）人民币，税率为：</w:t>
      </w:r>
      <w:r>
        <w:rPr>
          <w:rFonts w:hint="eastAsia" w:ascii="仿宋" w:hAnsi="仿宋" w:eastAsia="仿宋"/>
          <w:u w:val="single"/>
          <w:shd w:val="pct10" w:color="auto" w:fill="FFFFFF"/>
        </w:rPr>
        <w:t xml:space="preserve">      </w:t>
      </w:r>
      <w:r>
        <w:rPr>
          <w:rFonts w:hint="eastAsia" w:ascii="仿宋" w:hAnsi="仿宋" w:eastAsia="仿宋"/>
        </w:rPr>
        <w:t>；包括全部服务和货物及运输、安装调试、保修、各项税费等全部费用。</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乙方的收款账户为：</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收款人名称：</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开户银行：</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银行账号：</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三、履行期、履行地点</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1.履行期：货物部分自签订合同生效之日起15个工作日内完成产品部署和安全防护能力建设（其中设备内容须于合同签订生效后15天内交付到甲方指定位置），并按本合同第六条提供售后服务；服务部分自合同签订之日起，总服务时间为12个月。</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2.履行地点：广州大道中289号南方传媒大厦</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3.其他要求：设备内容交货时须提供产品厂家售后服务承诺函；经甲乙双方同意，可根据实际情况对安全服务进度作适当修改，并以修改后的进度作为本合同执行的期限。</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四、付款方式</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1.合同签订后5个工作日内，乙方向甲方开具合同金额</w:t>
      </w:r>
      <w:r>
        <w:rPr>
          <w:rFonts w:hint="eastAsia" w:ascii="仿宋" w:hAnsi="仿宋" w:eastAsia="仿宋"/>
          <w:b/>
          <w:bCs/>
        </w:rPr>
        <w:t>货物部分的30%款项</w:t>
      </w:r>
      <w:r>
        <w:rPr>
          <w:rFonts w:hint="eastAsia" w:ascii="仿宋" w:hAnsi="仿宋" w:eastAsia="仿宋"/>
        </w:rPr>
        <w:t>，以及</w:t>
      </w:r>
      <w:r>
        <w:rPr>
          <w:rFonts w:hint="eastAsia" w:ascii="仿宋" w:hAnsi="仿宋" w:eastAsia="仿宋"/>
          <w:b/>
          <w:bCs/>
        </w:rPr>
        <w:t>服务部分50%款项</w:t>
      </w:r>
      <w:r>
        <w:rPr>
          <w:rFonts w:hint="eastAsia" w:ascii="仿宋" w:hAnsi="仿宋" w:eastAsia="仿宋"/>
        </w:rPr>
        <w:t>的增值税专用发票，甲方在收到发票后10个工作日内向乙方支付对应款项。</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2.完成货</w:t>
      </w:r>
      <w:r>
        <w:rPr>
          <w:rFonts w:hint="eastAsia" w:ascii="仿宋" w:hAnsi="仿宋" w:eastAsia="仿宋"/>
          <w:b/>
          <w:bCs/>
        </w:rPr>
        <w:t>物部分（网络安全建设）并通过货物验收后5个工作日内</w:t>
      </w:r>
      <w:r>
        <w:rPr>
          <w:rFonts w:hint="eastAsia" w:ascii="仿宋" w:hAnsi="仿宋" w:eastAsia="仿宋"/>
        </w:rPr>
        <w:t>，乙方向甲方开具合同金额</w:t>
      </w:r>
      <w:r>
        <w:rPr>
          <w:rFonts w:hint="eastAsia" w:ascii="仿宋" w:hAnsi="仿宋" w:eastAsia="仿宋"/>
          <w:b/>
          <w:bCs/>
        </w:rPr>
        <w:t>货物部分65%款项</w:t>
      </w:r>
      <w:r>
        <w:rPr>
          <w:rFonts w:hint="eastAsia" w:ascii="仿宋" w:hAnsi="仿宋" w:eastAsia="仿宋"/>
        </w:rPr>
        <w:t>的增值税专用发票，甲方在收到发票后的10个工作日内向乙方支付对应款项。</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3.本合同</w:t>
      </w:r>
      <w:r>
        <w:rPr>
          <w:rFonts w:hint="eastAsia" w:ascii="仿宋" w:hAnsi="仿宋" w:eastAsia="仿宋"/>
          <w:b/>
          <w:bCs/>
        </w:rPr>
        <w:t>服务部分期限结束并经甲方服务验收合格后5个工作日内</w:t>
      </w:r>
      <w:r>
        <w:rPr>
          <w:rFonts w:hint="eastAsia" w:ascii="仿宋" w:hAnsi="仿宋" w:eastAsia="仿宋"/>
        </w:rPr>
        <w:t>，乙方向甲方开具合同金额</w:t>
      </w:r>
      <w:r>
        <w:rPr>
          <w:rFonts w:hint="eastAsia" w:ascii="仿宋" w:hAnsi="仿宋" w:eastAsia="仿宋"/>
          <w:b/>
          <w:bCs/>
        </w:rPr>
        <w:t>服务部分50%款项</w:t>
      </w:r>
      <w:r>
        <w:rPr>
          <w:rFonts w:hint="eastAsia" w:ascii="仿宋" w:hAnsi="仿宋" w:eastAsia="仿宋"/>
        </w:rPr>
        <w:t>的增值税专用发票，甲方在收到发票后的10个工作日内向乙方支付对应款项。</w:t>
      </w:r>
    </w:p>
    <w:p>
      <w:pPr>
        <w:pStyle w:val="12"/>
        <w:tabs>
          <w:tab w:val="left" w:pos="630"/>
        </w:tabs>
        <w:snapToGrid w:val="0"/>
        <w:spacing w:before="93" w:beforeLines="30" w:after="93" w:afterLines="30" w:line="360" w:lineRule="auto"/>
        <w:ind w:firstLine="420" w:firstLineChars="200"/>
        <w:rPr>
          <w:rStyle w:val="29"/>
          <w:rFonts w:asciiTheme="minorHAnsi" w:hAnsiTheme="minorHAnsi" w:eastAsiaTheme="minorEastAsia" w:cstheme="minorBidi"/>
        </w:rPr>
      </w:pPr>
      <w:r>
        <w:rPr>
          <w:rFonts w:hint="eastAsia" w:ascii="仿宋" w:hAnsi="仿宋" w:eastAsia="仿宋"/>
        </w:rPr>
        <w:t>4.货物验收通过后满12个月，经双方确认无质量问题，乙方向甲方开具合同金额货物部分的5%款项的增值税专用发票，甲方在收到发票后的10个工作日内无息向乙方支付对应款项。</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五、验收：</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货物部分：</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项目完工后，乙方自查达到项目验收条件（即安装调试完毕并满足运行条件，且各项功能达到采购文件中的技术要求），可向甲方提出验收申请，同时需提交项目验收文档（包括但不仅限于：项目实施方案、产品到货签收单、维保证明，功能测试报告，运维与操作手册，验收报告），甲方在10个工作日内进行验收。验收不合格的，应向乙方提出书面异议。乙方应在接到异议后在10个工作日内进行修改，直至验收合格。</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服务部分：</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由乙方向甲方提交安全服务总结报告，包括但不限于：《重保服务相关报告》、《互联网资产暴露面服务报告》、《渗透测试报告》、等保服务全部相关材料等。甲方根据实际情况组织内部评审，评估服务质量，经双方验收会讨论通过后完成项目验收。若服务未达到甲方的要求，则进行服务期延续，或者变更服务内容，直到达到甲方的服务要求。</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知识产权部分：</w:t>
      </w:r>
    </w:p>
    <w:p>
      <w:pPr>
        <w:pStyle w:val="12"/>
        <w:tabs>
          <w:tab w:val="left" w:pos="630"/>
        </w:tabs>
        <w:snapToGrid w:val="0"/>
        <w:spacing w:before="93" w:beforeLines="30" w:after="93" w:afterLines="30" w:line="360" w:lineRule="auto"/>
        <w:ind w:firstLine="420" w:firstLineChars="200"/>
        <w:rPr>
          <w:rFonts w:hint="eastAsia" w:ascii="仿宋" w:hAnsi="仿宋" w:eastAsia="仿宋"/>
          <w:b/>
          <w:bCs/>
        </w:rPr>
      </w:pPr>
      <w:r>
        <w:rPr>
          <w:rFonts w:hint="eastAsia" w:ascii="仿宋" w:hAnsi="仿宋" w:eastAsia="仿宋"/>
        </w:rPr>
        <w:t>双方确认，乙方所完成网络安全建设和服务成果的知识产权及其相应的申请注册、登记等权利权益均归甲方所有。甲方利用乙方服务成果所完成的新的技术成果的所有权利，包括但不限于知识产权、专利申请权和所有权，归甲方所有。未经甲方书面许可，乙方不得以任何形式使用，否则甲方有权要求乙方支付合同总金额30%的违约金，违约金不足以弥补甲方损失的，甲方有权追偿。</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六、质保期及售后服务要求</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1.</w:t>
      </w:r>
      <w:r>
        <w:rPr>
          <w:rFonts w:hint="eastAsia" w:ascii="仿宋" w:hAnsi="仿宋" w:eastAsia="仿宋"/>
          <w:b/>
          <w:bCs/>
        </w:rPr>
        <w:t>本合同的质量保证期（简称“质保期”）为12个月</w:t>
      </w:r>
      <w:r>
        <w:rPr>
          <w:rFonts w:hint="eastAsia" w:ascii="仿宋" w:hAnsi="仿宋" w:eastAsia="仿宋"/>
        </w:rPr>
        <w:t>，自验收通过之日算起，如强制性国家标准、生产厂家等对于货物的质保期长于该期限的，或招标文件、合同另有约定的，以较长期限为准。质保期内乙方对所供货物实行包修、包换及合同约定的其它事项，期满后可同时提供终身（有偿）维修保养服务。</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2.质保期内，每项货物的售后服务要求按附件2《货物内容及服务清单》中的具体内容要求执行，自验收通过之日算起。</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3.乙方对质保期内的软件负责免费版本升级和解决任何软件质量问题。</w:t>
      </w:r>
    </w:p>
    <w:p>
      <w:pPr>
        <w:pStyle w:val="12"/>
        <w:tabs>
          <w:tab w:val="left" w:pos="630"/>
        </w:tabs>
        <w:snapToGrid w:val="0"/>
        <w:spacing w:before="93" w:beforeLines="30" w:after="93" w:afterLines="30" w:line="360" w:lineRule="auto"/>
        <w:ind w:firstLine="420" w:firstLineChars="200"/>
        <w:rPr>
          <w:rFonts w:hint="eastAsia" w:ascii="仿宋" w:hAnsi="仿宋" w:eastAsia="仿宋"/>
          <w:b/>
          <w:bCs/>
        </w:rPr>
      </w:pPr>
      <w:r>
        <w:rPr>
          <w:rFonts w:hint="eastAsia" w:ascii="仿宋" w:hAnsi="仿宋" w:eastAsia="仿宋"/>
        </w:rPr>
        <w:t>4.对甲方的服务通知，乙方在接报后15分钟内响应，2小时内到达现场，8小时内处理完毕。若在24小时内仍未能有效解决，免费质保期重新开始计算。</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七、违约责任与赔偿损失</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1.乙方交付的货物、服务不符合本合同规定的，甲方有权拒收，并且乙方须向甲方支付本合同总价20%的违约金。</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2.乙方未能按本合同规定的交货时间交付货物或提供服务的，从逾期之日起每日按本合同总价3‰的数额向甲方支付违约金；逾期15日以上的，甲方有权解除合同，乙方应退还甲方已支付的全部费用并向甲方支付合同总价20%的违约金，违约金不足弥补甲方损失的，乙方还应负责赔偿。</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3.甲方有权在任何一期应付合同价款中扣除乙方按照本合同应支付的违约金及/或赔偿金。</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4.乙方应确保提供的货物及服务的合法性，不侵犯任何第三方的权利。否则，由乙方承担一切法律责任，因此给甲方造成损失的，乙方应负责赔偿。</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5.其它违约责任按《中华人民共和国民法典》处理。</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6.甲方依据本合同解除合同的，解除合同的书面通知按本合同的约定送达后即生效。甲方有权在任何一期应付合同价款中扣除乙方按照本合同应支付的违约金及/或赔偿金。如果本合同所约定的违约金和乙方的其他责任仍然无法弥补甲方因乙方违约行为遭受的全部损失的，甲方有权要求乙方赔偿全部损失，包括但不限于甲方向第三方承担的赔偿金、违约金、律师费、鉴定费、公证费、诉讼费、差旅费等直接和间接损失。</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八、争议的解决</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合同执行过程中发生的任何争议，协商不成，双方同意提交广州市越秀区人民法院。</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九、不可抗力</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十、税费</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在中国境内、外发生的与本合同执行有关的一切税费均由乙方负担。</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十一、保密责任</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1.甲乙双方应对在本合同签订或履行过程中所接触的对方信息，包括但不限于知识产权、技术资料、技术诀窍、内部管理及其他相关信息，负有保密义务。</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2.乙方在使用甲方为乙方及其工作人员提供的、或乙方在提供服务中自行获取的甲方数据、程序、用户名、口令、资料及甲方相关的业务和技术文档，包括但不限于方案设计细节、程序文件、数据结构，以及相关业务系统的硬软件、文档、测试和测试产生的数据时，应遵循以下规定：</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（1）未经甲方书面同意，不得泄露、公开或传播甲方的信息；</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（2）不得将信息用于与本合同无关之目的；</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（3）未经甲方书面许可，不得对有关信息进行修改、补充、复制；</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（4）未经甲方书面许可，不得将信息以任何方式（包括但不仅限于是使用USB存储介质、E-mai1、拍照、复印）携带出甲方场所；</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（5）未经甲方书面许可，不得将信息透露给任何第三方；</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（6）严禁在提交的软件产品中设置远程维护接口和后门程序；</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（7）不得进行系统软硬件设备的远程维护；</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（8）甲方以书面形式提出的其他保密措施。</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3.保密期限不受合同有效期的限制，在合同有效期结束后，信息接受方仍应承担保密义务，直至该等信息成为公开信息。</w:t>
      </w:r>
    </w:p>
    <w:p>
      <w:pPr>
        <w:pStyle w:val="12"/>
        <w:tabs>
          <w:tab w:val="left" w:pos="630"/>
        </w:tabs>
        <w:snapToGrid w:val="0"/>
        <w:spacing w:before="93" w:beforeLines="30" w:after="93" w:afterLines="30" w:line="360" w:lineRule="auto"/>
        <w:ind w:firstLine="420" w:firstLineChars="200"/>
        <w:rPr>
          <w:rFonts w:hint="eastAsia" w:ascii="仿宋" w:hAnsi="仿宋" w:eastAsia="仿宋"/>
          <w:b/>
          <w:bCs/>
        </w:rPr>
      </w:pPr>
      <w:r>
        <w:rPr>
          <w:rFonts w:hint="eastAsia" w:ascii="仿宋" w:hAnsi="仿宋" w:eastAsia="仿宋"/>
        </w:rPr>
        <w:t>4.甲乙双方如出现泄密行为，泄密方应承担相关的法律责任，包括但不限于对由此给对方造成的经济损失进行赔偿。乙方违反本保密条款的，除应承担赔偿责任外，还应退还已收取的全部款项，并支付合同总金额30%的违约金。</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十二、其它</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1.本合同所有附件均为合同的有效组成部分，与本合同具有同等法律效力，若附件与合同正文有任何冲突，以合同正文为准。</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2、本合同附件共2份，为</w:t>
      </w:r>
      <w:r>
        <w:rPr>
          <w:rFonts w:hint="eastAsia" w:ascii="仿宋" w:hAnsi="仿宋" w:eastAsia="仿宋"/>
          <w:u w:val="single"/>
        </w:rPr>
        <w:t>《2025年度网络安全建设和服务项目采购需求书》《货物内容和服务清单》</w:t>
      </w:r>
      <w:r>
        <w:rPr>
          <w:rFonts w:hint="eastAsia" w:ascii="仿宋" w:hAnsi="仿宋" w:eastAsia="仿宋"/>
        </w:rPr>
        <w:t>，与本合同正文具有同等法律效力。</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2.在执行本合同的过程中，所有经双方签署确认的文件（包括会议纪要、补充协议、往来信函）即成为本合同的有效组成部分。</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3.如一方地址、电话、传真号码有变更，应在变更当日内书面通知对方，否则，应承担相应责任。</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4.除甲方事先书面同意外，乙方不得部分或全部转让其应履行的合同项下的义务。</w:t>
      </w:r>
    </w:p>
    <w:p>
      <w:pPr>
        <w:pStyle w:val="12"/>
        <w:tabs>
          <w:tab w:val="left" w:pos="630"/>
        </w:tabs>
        <w:snapToGrid w:val="0"/>
        <w:spacing w:before="93" w:beforeLines="30" w:after="93" w:afterLines="30" w:line="360" w:lineRule="auto"/>
        <w:ind w:firstLine="422" w:firstLineChars="200"/>
        <w:rPr>
          <w:rFonts w:hint="eastAsia" w:ascii="仿宋" w:hAnsi="仿宋" w:eastAsia="仿宋"/>
          <w:b/>
          <w:bCs/>
        </w:rPr>
      </w:pPr>
      <w:r>
        <w:rPr>
          <w:rFonts w:hint="eastAsia" w:ascii="仿宋" w:hAnsi="仿宋" w:eastAsia="仿宋"/>
          <w:b/>
          <w:bCs/>
        </w:rPr>
        <w:t>十三、合同生效</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1.本合同在甲乙双方法人代表或其授权代表签字盖章后生效。</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2.本合同一式</w:t>
      </w:r>
      <w:r>
        <w:rPr>
          <w:rFonts w:hint="eastAsia" w:ascii="仿宋" w:hAnsi="仿宋" w:eastAsia="仿宋"/>
          <w:u w:val="single"/>
        </w:rPr>
        <w:t>肆</w:t>
      </w:r>
      <w:r>
        <w:rPr>
          <w:rFonts w:hint="eastAsia" w:ascii="仿宋" w:hAnsi="仿宋" w:eastAsia="仿宋"/>
        </w:rPr>
        <w:t>份，甲方执</w:t>
      </w:r>
      <w:r>
        <w:rPr>
          <w:rFonts w:hint="eastAsia" w:ascii="仿宋" w:hAnsi="仿宋" w:eastAsia="仿宋"/>
          <w:u w:val="single"/>
        </w:rPr>
        <w:t>叁</w:t>
      </w:r>
      <w:r>
        <w:rPr>
          <w:rFonts w:hint="eastAsia" w:ascii="仿宋" w:hAnsi="仿宋" w:eastAsia="仿宋"/>
        </w:rPr>
        <w:t>份，乙方执</w:t>
      </w:r>
      <w:r>
        <w:rPr>
          <w:rFonts w:hint="eastAsia" w:ascii="仿宋" w:hAnsi="仿宋" w:eastAsia="仿宋"/>
          <w:u w:val="single"/>
        </w:rPr>
        <w:t>壹</w:t>
      </w:r>
      <w:r>
        <w:rPr>
          <w:rFonts w:hint="eastAsia" w:ascii="仿宋" w:hAnsi="仿宋" w:eastAsia="仿宋"/>
        </w:rPr>
        <w:t>份，每份具有同等法律效力。</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附件1：《2025年度网络安全建设和服务项目采购需求书》</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附件2：《货物内容和服务清单》</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p>
    <w:p>
      <w:pPr>
        <w:widowControl/>
        <w:jc w:val="left"/>
        <w:rPr>
          <w:rFonts w:hint="eastAsia" w:ascii="仿宋" w:hAnsi="仿宋" w:eastAsia="仿宋" w:cs="Times New Roman"/>
          <w:szCs w:val="20"/>
        </w:rPr>
      </w:pPr>
      <w:r>
        <w:rPr>
          <w:rFonts w:hint="eastAsia" w:ascii="仿宋" w:hAnsi="仿宋" w:eastAsia="仿宋"/>
        </w:rPr>
        <w:br w:type="page"/>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（以下无正文，为双方签字页）</w:t>
      </w:r>
    </w:p>
    <w:p>
      <w:pPr>
        <w:pStyle w:val="12"/>
        <w:tabs>
          <w:tab w:val="left" w:pos="630"/>
        </w:tabs>
        <w:snapToGrid w:val="0"/>
        <w:spacing w:before="93" w:beforeLines="30" w:after="93" w:afterLines="30" w:line="360" w:lineRule="auto"/>
        <w:ind w:firstLine="420" w:firstLineChars="200"/>
        <w:rPr>
          <w:rFonts w:hint="eastAsia" w:ascii="仿宋" w:hAnsi="仿宋" w:eastAsia="仿宋"/>
        </w:rPr>
      </w:pPr>
    </w:p>
    <w:p>
      <w:pPr>
        <w:pStyle w:val="12"/>
        <w:tabs>
          <w:tab w:val="left" w:pos="630"/>
        </w:tabs>
        <w:snapToGrid w:val="0"/>
        <w:spacing w:before="93" w:beforeLines="30" w:after="93" w:afterLines="30" w:line="360" w:lineRule="auto"/>
        <w:ind w:firstLine="420" w:firstLineChars="200"/>
        <w:rPr>
          <w:rFonts w:hint="eastAsia" w:ascii="仿宋" w:hAnsi="仿宋" w:eastAsia="仿宋"/>
        </w:rPr>
      </w:pPr>
    </w:p>
    <w:tbl>
      <w:tblPr>
        <w:tblStyle w:val="24"/>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tcPr>
          <w:p>
            <w:pPr>
              <w:pStyle w:val="12"/>
              <w:tabs>
                <w:tab w:val="left" w:pos="630"/>
              </w:tabs>
              <w:snapToGrid w:val="0"/>
              <w:spacing w:before="93" w:beforeLines="30" w:after="93" w:afterLines="30" w:line="360" w:lineRule="auto"/>
              <w:rPr>
                <w:rFonts w:hint="eastAsia" w:ascii="仿宋" w:hAnsi="仿宋" w:eastAsia="仿宋"/>
              </w:rPr>
            </w:pPr>
            <w:r>
              <w:rPr>
                <w:rFonts w:hint="eastAsia" w:ascii="仿宋" w:hAnsi="仿宋" w:eastAsia="仿宋"/>
              </w:rPr>
              <w:t>甲方（盖章）：广东南方报业传媒集团有限公司</w:t>
            </w:r>
          </w:p>
        </w:tc>
        <w:tc>
          <w:tcPr>
            <w:tcW w:w="4261" w:type="dxa"/>
          </w:tcPr>
          <w:p>
            <w:pPr>
              <w:pStyle w:val="12"/>
              <w:tabs>
                <w:tab w:val="left" w:pos="630"/>
              </w:tabs>
              <w:snapToGrid w:val="0"/>
              <w:spacing w:before="93" w:beforeLines="30" w:after="93" w:afterLines="30" w:line="360" w:lineRule="auto"/>
              <w:rPr>
                <w:rFonts w:hint="eastAsia" w:ascii="仿宋" w:hAnsi="仿宋" w:eastAsia="仿宋"/>
              </w:rPr>
            </w:pPr>
            <w:r>
              <w:rPr>
                <w:rFonts w:hint="eastAsia" w:ascii="仿宋" w:hAnsi="仿宋" w:eastAsia="仿宋"/>
              </w:rPr>
              <w:t>乙方（盖章）：</w:t>
            </w:r>
          </w:p>
        </w:tc>
      </w:tr>
      <w:tr>
        <w:tblPrEx>
          <w:tblCellMar>
            <w:top w:w="0" w:type="dxa"/>
            <w:left w:w="108" w:type="dxa"/>
            <w:bottom w:w="0" w:type="dxa"/>
            <w:right w:w="108" w:type="dxa"/>
          </w:tblCellMar>
        </w:tblPrEx>
        <w:tc>
          <w:tcPr>
            <w:tcW w:w="4261" w:type="dxa"/>
          </w:tcPr>
          <w:p>
            <w:pPr>
              <w:pStyle w:val="12"/>
              <w:tabs>
                <w:tab w:val="left" w:pos="630"/>
              </w:tabs>
              <w:snapToGrid w:val="0"/>
              <w:spacing w:before="93" w:beforeLines="30" w:after="93" w:afterLines="30" w:line="360" w:lineRule="auto"/>
              <w:rPr>
                <w:rFonts w:hint="eastAsia" w:ascii="仿宋" w:hAnsi="仿宋" w:eastAsia="仿宋"/>
              </w:rPr>
            </w:pPr>
            <w:r>
              <w:rPr>
                <w:rFonts w:hint="eastAsia" w:ascii="仿宋" w:hAnsi="仿宋" w:eastAsia="仿宋"/>
              </w:rPr>
              <w:t>甲方代表人（签字）：</w:t>
            </w:r>
          </w:p>
        </w:tc>
        <w:tc>
          <w:tcPr>
            <w:tcW w:w="4261" w:type="dxa"/>
          </w:tcPr>
          <w:p>
            <w:pPr>
              <w:pStyle w:val="12"/>
              <w:tabs>
                <w:tab w:val="left" w:pos="630"/>
              </w:tabs>
              <w:snapToGrid w:val="0"/>
              <w:spacing w:before="93" w:beforeLines="30" w:after="93" w:afterLines="30" w:line="360" w:lineRule="auto"/>
              <w:rPr>
                <w:rFonts w:hint="eastAsia" w:ascii="仿宋" w:hAnsi="仿宋" w:eastAsia="仿宋"/>
              </w:rPr>
            </w:pPr>
            <w:r>
              <w:rPr>
                <w:rFonts w:hint="eastAsia" w:ascii="仿宋" w:hAnsi="仿宋" w:eastAsia="仿宋"/>
              </w:rPr>
              <w:t>乙方代表人（签字）：</w:t>
            </w:r>
          </w:p>
        </w:tc>
      </w:tr>
      <w:tr>
        <w:tblPrEx>
          <w:tblCellMar>
            <w:top w:w="0" w:type="dxa"/>
            <w:left w:w="108" w:type="dxa"/>
            <w:bottom w:w="0" w:type="dxa"/>
            <w:right w:w="108" w:type="dxa"/>
          </w:tblCellMar>
        </w:tblPrEx>
        <w:tc>
          <w:tcPr>
            <w:tcW w:w="4261" w:type="dxa"/>
          </w:tcPr>
          <w:p>
            <w:pPr>
              <w:pStyle w:val="12"/>
              <w:tabs>
                <w:tab w:val="left" w:pos="630"/>
              </w:tabs>
              <w:snapToGrid w:val="0"/>
              <w:spacing w:before="93" w:beforeLines="30" w:after="93" w:afterLines="30" w:line="360" w:lineRule="auto"/>
              <w:rPr>
                <w:rFonts w:hint="eastAsia" w:ascii="仿宋" w:hAnsi="仿宋" w:eastAsia="仿宋"/>
              </w:rPr>
            </w:pPr>
            <w:r>
              <w:rPr>
                <w:rFonts w:hint="eastAsia" w:ascii="仿宋" w:hAnsi="仿宋" w:eastAsia="仿宋"/>
              </w:rPr>
              <w:t>签字日期：</w:t>
            </w:r>
          </w:p>
        </w:tc>
        <w:tc>
          <w:tcPr>
            <w:tcW w:w="4261" w:type="dxa"/>
          </w:tcPr>
          <w:p>
            <w:pPr>
              <w:pStyle w:val="12"/>
              <w:tabs>
                <w:tab w:val="left" w:pos="630"/>
              </w:tabs>
              <w:snapToGrid w:val="0"/>
              <w:spacing w:before="93" w:beforeLines="30" w:after="93" w:afterLines="30" w:line="360" w:lineRule="auto"/>
              <w:rPr>
                <w:rFonts w:hint="eastAsia" w:ascii="仿宋" w:hAnsi="仿宋" w:eastAsia="仿宋"/>
              </w:rPr>
            </w:pPr>
            <w:r>
              <w:rPr>
                <w:rFonts w:hint="eastAsia" w:ascii="仿宋" w:hAnsi="仿宋" w:eastAsia="仿宋"/>
              </w:rPr>
              <w:t>签字日期：</w:t>
            </w:r>
          </w:p>
        </w:tc>
      </w:tr>
    </w:tbl>
    <w:p>
      <w:pPr>
        <w:pStyle w:val="12"/>
        <w:tabs>
          <w:tab w:val="left" w:pos="630"/>
        </w:tabs>
        <w:snapToGrid w:val="0"/>
        <w:spacing w:before="93" w:beforeLines="30" w:after="93" w:afterLines="30" w:line="360" w:lineRule="auto"/>
        <w:ind w:firstLine="420" w:firstLineChars="200"/>
        <w:rPr>
          <w:rFonts w:hint="eastAsia" w:ascii="仿宋" w:hAnsi="仿宋" w:eastAsia="仿宋"/>
        </w:rPr>
      </w:pPr>
    </w:p>
    <w:p>
      <w:pPr>
        <w:widowControl/>
        <w:jc w:val="left"/>
        <w:rPr>
          <w:rFonts w:hint="eastAsia" w:ascii="仿宋" w:hAnsi="仿宋" w:eastAsia="仿宋" w:cs="Times New Roman"/>
          <w:szCs w:val="20"/>
        </w:rPr>
      </w:pPr>
      <w:r>
        <w:rPr>
          <w:rFonts w:hint="eastAsia" w:ascii="仿宋" w:hAnsi="仿宋" w:eastAsia="仿宋"/>
        </w:rPr>
        <w:br w:type="page"/>
      </w:r>
    </w:p>
    <w:p>
      <w:pPr>
        <w:pStyle w:val="30"/>
        <w:spacing w:before="240" w:after="120" w:line="360" w:lineRule="auto"/>
        <w:rPr>
          <w:rFonts w:hint="eastAsia" w:ascii="仿宋" w:hAnsi="仿宋" w:eastAsia="仿宋" w:cs="宋体"/>
          <w:b/>
          <w:bCs w:val="0"/>
          <w:kern w:val="0"/>
          <w:sz w:val="32"/>
          <w:szCs w:val="32"/>
          <w:lang w:val="zh-CN"/>
        </w:rPr>
      </w:pPr>
      <w:bookmarkStart w:id="133" w:name="_Toc193699368"/>
      <w:r>
        <w:rPr>
          <w:rFonts w:hint="eastAsia" w:ascii="仿宋" w:hAnsi="仿宋" w:eastAsia="仿宋" w:cs="宋体"/>
          <w:b/>
          <w:bCs w:val="0"/>
          <w:kern w:val="0"/>
          <w:sz w:val="32"/>
          <w:szCs w:val="32"/>
          <w:lang w:val="zh-CN"/>
        </w:rPr>
        <w:t>第五章 评标办法（综合评估法）</w:t>
      </w:r>
      <w:bookmarkEnd w:id="133"/>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2"/>
        <w:gridCol w:w="4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752" w:type="dxa"/>
            <w:shd w:val="clear" w:color="auto" w:fill="F1F1F1" w:themeFill="background1" w:themeFillShade="F2"/>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评审项</w:t>
            </w:r>
          </w:p>
        </w:tc>
        <w:tc>
          <w:tcPr>
            <w:tcW w:w="4389" w:type="dxa"/>
            <w:shd w:val="clear" w:color="auto" w:fill="F1F1F1" w:themeFill="background1" w:themeFillShade="F2"/>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各部分分值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752" w:type="dxa"/>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商务审查</w:t>
            </w:r>
          </w:p>
        </w:tc>
        <w:tc>
          <w:tcPr>
            <w:tcW w:w="4389" w:type="dxa"/>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752" w:type="dxa"/>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技术审查</w:t>
            </w:r>
          </w:p>
        </w:tc>
        <w:tc>
          <w:tcPr>
            <w:tcW w:w="4389" w:type="dxa"/>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752" w:type="dxa"/>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价格评审</w:t>
            </w:r>
          </w:p>
        </w:tc>
        <w:tc>
          <w:tcPr>
            <w:tcW w:w="4389" w:type="dxa"/>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752" w:type="dxa"/>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总和</w:t>
            </w:r>
          </w:p>
        </w:tc>
        <w:tc>
          <w:tcPr>
            <w:tcW w:w="4389" w:type="dxa"/>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100</w:t>
            </w:r>
          </w:p>
        </w:tc>
      </w:tr>
    </w:tbl>
    <w:p>
      <w:pPr>
        <w:pStyle w:val="4"/>
        <w:spacing w:before="156" w:beforeLines="50" w:after="156" w:afterLines="50" w:line="360" w:lineRule="auto"/>
        <w:rPr>
          <w:rFonts w:hint="eastAsia" w:ascii="仿宋" w:hAnsi="仿宋" w:eastAsia="仿宋"/>
          <w:sz w:val="24"/>
          <w:szCs w:val="24"/>
        </w:rPr>
      </w:pPr>
      <w:bookmarkStart w:id="134" w:name="_Toc193699369"/>
      <w:r>
        <w:rPr>
          <w:rFonts w:hint="eastAsia" w:ascii="仿宋" w:hAnsi="仿宋" w:eastAsia="仿宋"/>
          <w:sz w:val="24"/>
          <w:szCs w:val="24"/>
        </w:rPr>
        <w:t>评标办法前附表</w:t>
      </w:r>
      <w:bookmarkEnd w:id="134"/>
    </w:p>
    <w:p>
      <w:pPr>
        <w:pStyle w:val="4"/>
        <w:spacing w:before="156" w:beforeLines="50" w:after="156" w:afterLines="50" w:line="360" w:lineRule="auto"/>
        <w:rPr>
          <w:rFonts w:hint="eastAsia" w:ascii="仿宋" w:hAnsi="仿宋" w:eastAsia="仿宋"/>
          <w:sz w:val="24"/>
          <w:szCs w:val="24"/>
        </w:rPr>
      </w:pPr>
      <w:bookmarkStart w:id="135" w:name="_Toc193699370"/>
      <w:r>
        <w:rPr>
          <w:rFonts w:hint="eastAsia" w:ascii="仿宋" w:hAnsi="仿宋" w:eastAsia="仿宋"/>
          <w:sz w:val="24"/>
          <w:szCs w:val="24"/>
        </w:rPr>
        <w:t>（一）初步评审表</w:t>
      </w:r>
      <w:bookmarkEnd w:id="135"/>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76"/>
        <w:gridCol w:w="1843"/>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547" w:type="dxa"/>
            <w:gridSpan w:val="2"/>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条款号</w:t>
            </w:r>
          </w:p>
        </w:tc>
        <w:tc>
          <w:tcPr>
            <w:tcW w:w="1843"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评审因素</w:t>
            </w:r>
          </w:p>
        </w:tc>
        <w:tc>
          <w:tcPr>
            <w:tcW w:w="3906"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271" w:type="dxa"/>
            <w:vMerge w:val="restart"/>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2.1初步评审</w:t>
            </w:r>
          </w:p>
        </w:tc>
        <w:tc>
          <w:tcPr>
            <w:tcW w:w="1276" w:type="dxa"/>
            <w:vMerge w:val="restart"/>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形式评审</w:t>
            </w:r>
          </w:p>
        </w:tc>
        <w:tc>
          <w:tcPr>
            <w:tcW w:w="1843" w:type="dxa"/>
            <w:vAlign w:val="center"/>
          </w:tcPr>
          <w:p>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投标人名称</w:t>
            </w:r>
          </w:p>
        </w:tc>
        <w:tc>
          <w:tcPr>
            <w:tcW w:w="3906"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与营业执照、盖章落款一致。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法人代表证明书及法人授权书</w:t>
            </w:r>
          </w:p>
        </w:tc>
        <w:tc>
          <w:tcPr>
            <w:tcW w:w="3906"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符合第六章“投标文件格式”要求。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投标报价</w:t>
            </w:r>
          </w:p>
        </w:tc>
        <w:tc>
          <w:tcPr>
            <w:tcW w:w="3906"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按照招标文件要求进行报价，不超过本项目的最高限价。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投标有效期</w:t>
            </w:r>
          </w:p>
        </w:tc>
        <w:tc>
          <w:tcPr>
            <w:tcW w:w="3906"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响应投标有效期90天，符合招标文件“第二章 投标人须知”的相关规定。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投标保证金</w:t>
            </w:r>
          </w:p>
        </w:tc>
        <w:tc>
          <w:tcPr>
            <w:tcW w:w="3906"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按照招标文件要求的金额及形式提交投标保证金。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商务合同条款偏离表</w:t>
            </w:r>
          </w:p>
        </w:tc>
        <w:tc>
          <w:tcPr>
            <w:tcW w:w="3906"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填写《商务合同条款偏离表》，且对加“★”条款不存在负偏离。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采购需求条款偏离表</w:t>
            </w:r>
          </w:p>
        </w:tc>
        <w:tc>
          <w:tcPr>
            <w:tcW w:w="3906" w:type="dxa"/>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填写《采购需求条款偏离表》，且对加“★”条款不存在负偏离。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投标文件的签署和盖章</w:t>
            </w:r>
          </w:p>
        </w:tc>
        <w:tc>
          <w:tcPr>
            <w:tcW w:w="3906" w:type="dxa"/>
            <w:vAlign w:val="center"/>
          </w:tcPr>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（1）投标人的法定代表人（负责人）或其授权的代理人逐页签字或加盖签字章；</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（2）加盖投标人单位骑缝章；</w:t>
            </w:r>
          </w:p>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（3）逐页加盖投标人单位印章。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autoSpaceDE w:val="0"/>
              <w:autoSpaceDN w:val="0"/>
              <w:spacing w:before="93" w:beforeLines="30" w:after="93" w:afterLines="30"/>
              <w:jc w:val="left"/>
              <w:rPr>
                <w:rFonts w:hint="eastAsia" w:ascii="仿宋" w:hAnsi="仿宋" w:eastAsia="仿宋" w:cs="宋体"/>
                <w:b/>
                <w:szCs w:val="21"/>
              </w:rPr>
            </w:pPr>
          </w:p>
        </w:tc>
        <w:tc>
          <w:tcPr>
            <w:tcW w:w="1276" w:type="dxa"/>
          </w:tcPr>
          <w:p>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资格评审</w:t>
            </w:r>
          </w:p>
        </w:tc>
        <w:tc>
          <w:tcPr>
            <w:tcW w:w="1843" w:type="dxa"/>
            <w:vAlign w:val="center"/>
          </w:tcPr>
          <w:p>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资格要求</w:t>
            </w:r>
          </w:p>
        </w:tc>
        <w:tc>
          <w:tcPr>
            <w:tcW w:w="3906" w:type="dxa"/>
            <w:vAlign w:val="center"/>
          </w:tcPr>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1、投标人须在中华人民共和国境内注册的具有独立承担民事责任能力的法人或其他组织，提供营业执照或事业法人证书（分公司投标须得到总公司授权，同时提供总公司营业执照及盖章授权函）。</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2、投标人具有依法缴纳税收和社会保障资金的良好记录，良好的商业信誉和健全的财务会计制度，以及履行合同所必需的设备和专业技术能力。投标人须按照招标文件要求提供《资格声明函》。</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3、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ww.ccgp.gov.cn）查询结果为准，如相关失信记录已失效，投标人需提供相关证明资料）。</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4、单位负责人为同一人或者存在直接控股、管理关系的不同投标人，不得参加同一标段投标或者未划分标段的同一招标项目投标，以《投标人控股及管理关系情况申报表》填报的内容进行评审。5、本项目不接受联合体投标，不允许转包、违法分包。</w:t>
            </w:r>
          </w:p>
        </w:tc>
      </w:tr>
    </w:tbl>
    <w:p/>
    <w:p>
      <w:pPr>
        <w:widowControl/>
        <w:jc w:val="left"/>
        <w:rPr>
          <w:rFonts w:hint="eastAsia" w:ascii="仿宋" w:hAnsi="仿宋" w:eastAsia="仿宋" w:cs="Times New Roman"/>
          <w:b/>
          <w:bCs/>
          <w:sz w:val="24"/>
          <w:szCs w:val="24"/>
        </w:rPr>
      </w:pPr>
      <w:bookmarkStart w:id="136" w:name="_Hlk164269072"/>
      <w:r>
        <w:rPr>
          <w:rFonts w:hint="eastAsia" w:ascii="仿宋" w:hAnsi="仿宋" w:eastAsia="仿宋"/>
          <w:sz w:val="24"/>
          <w:szCs w:val="24"/>
        </w:rPr>
        <w:br w:type="page"/>
      </w:r>
    </w:p>
    <w:p>
      <w:pPr>
        <w:pStyle w:val="4"/>
        <w:spacing w:before="156" w:beforeLines="50" w:after="156" w:afterLines="50" w:line="360" w:lineRule="auto"/>
        <w:rPr>
          <w:rStyle w:val="29"/>
          <w:rFonts w:asciiTheme="minorHAnsi" w:hAnsiTheme="minorHAnsi" w:eastAsiaTheme="minorEastAsia" w:cstheme="minorBidi"/>
          <w:b w:val="0"/>
          <w:bCs w:val="0"/>
        </w:rPr>
      </w:pPr>
      <w:bookmarkStart w:id="137" w:name="_Toc193699371"/>
      <w:r>
        <w:rPr>
          <w:rFonts w:hint="eastAsia" w:ascii="仿宋" w:hAnsi="仿宋" w:eastAsia="仿宋"/>
          <w:sz w:val="24"/>
          <w:szCs w:val="24"/>
        </w:rPr>
        <w:t>（二）商务评分表</w:t>
      </w:r>
      <w:bookmarkEnd w:id="137"/>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718"/>
        <w:gridCol w:w="464"/>
        <w:gridCol w:w="6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评分项</w:t>
            </w:r>
          </w:p>
        </w:tc>
        <w:tc>
          <w:tcPr>
            <w:tcW w:w="0" w:type="auto"/>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商务</w:t>
            </w:r>
          </w:p>
        </w:tc>
        <w:tc>
          <w:tcPr>
            <w:tcW w:w="0" w:type="auto"/>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0" w:type="auto"/>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内容</w:t>
            </w:r>
          </w:p>
        </w:tc>
        <w:tc>
          <w:tcPr>
            <w:tcW w:w="0" w:type="auto"/>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分值</w:t>
            </w:r>
          </w:p>
        </w:tc>
        <w:tc>
          <w:tcPr>
            <w:tcW w:w="0" w:type="auto"/>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5" w:hRule="atLeast"/>
          <w:jc w:val="center"/>
        </w:trPr>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企业资质与能力情况</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9</w:t>
            </w:r>
          </w:p>
        </w:tc>
        <w:tc>
          <w:tcPr>
            <w:tcW w:w="0" w:type="auto"/>
            <w:vAlign w:val="center"/>
          </w:tcPr>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考察投标人的企业资质与能力情况。具体如下：</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1、投标人具备中国网络安全审查认证和市场监管大数据中心（CCRC）颁发的信息安全服务资质风险评估二级或以上证书，需提供有效证书复印件，得1分。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2、投标人具备中国网络安全审查认证和市场监管大数据中心（CCRC）颁发的信息安全服务资质应急处理二级或以上证书，需提供有效证书复印件，得1分。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3、投标人具备中国网络安全审查认证和市场监管大数据中心（CCRC）颁发的信息安全服务资质安全运维二级或以上证书，需提供有效证书复印件，得1分。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4、投标人具备中国网络安全审查认证和市场监管大数据中心（CCRC）颁发的信息安全服务资质安全集成三级或以上证书，需提供有效证书复印件，得1分。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5、投标人具备ISO27001信息安全管理体系认证证书，需提供有效证书复印件，得1分。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6、投标人具备ISO9001质量管理体系认证证书，需提供有效证书复印件，得1分。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7、</w:t>
            </w:r>
            <w:bookmarkStart w:id="138" w:name="OLE_LINK13"/>
            <w:r>
              <w:rPr>
                <w:rFonts w:hint="eastAsia" w:ascii="仿宋" w:hAnsi="仿宋" w:eastAsia="仿宋" w:cs="宋体"/>
                <w:bCs/>
                <w:szCs w:val="21"/>
              </w:rPr>
              <w:t>根据2024年度国家信息安全漏洞共享平台官方报送漏洞排名情况，第一名得3分，第二名得2分，第三名至第五名得1分，其他排名不得分。需提供官网截图证明并加盖公章。本小项满分为3分。</w:t>
            </w:r>
            <w:bookmarkEnd w:id="138"/>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本评审项将累计合计上述各小项得分，最高不超过9分。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注：提供上述所列证书或其他相关证明文件复印件，证书或相关证明文件需在有效期内。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1" w:hRule="atLeast"/>
          <w:jc w:val="center"/>
        </w:trPr>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服务人员情况</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5</w:t>
            </w:r>
          </w:p>
        </w:tc>
        <w:tc>
          <w:tcPr>
            <w:tcW w:w="0" w:type="auto"/>
            <w:vAlign w:val="center"/>
          </w:tcPr>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考察投标人拟投入本项目的专职</w:t>
            </w:r>
            <w:bookmarkStart w:id="139" w:name="OLE_LINK6"/>
            <w:r>
              <w:rPr>
                <w:rFonts w:hint="eastAsia" w:ascii="仿宋" w:hAnsi="仿宋" w:eastAsia="仿宋" w:cs="宋体"/>
                <w:bCs/>
                <w:szCs w:val="21"/>
              </w:rPr>
              <w:t>项目负责人</w:t>
            </w:r>
            <w:bookmarkEnd w:id="139"/>
            <w:r>
              <w:rPr>
                <w:rFonts w:hint="eastAsia" w:ascii="仿宋" w:hAnsi="仿宋" w:eastAsia="仿宋" w:cs="宋体"/>
                <w:bCs/>
                <w:szCs w:val="21"/>
              </w:rPr>
              <w:t>情况。具体如下：</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1、项目负责人具备本科（含）及以上学历，且从业年限不少于5年（含）；</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2、项目负责人具备项目管理协会（Project Management Institute，简称PMI）认证颁发的PMP证书；</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3、项目负责人具备中国信息安全测评中心认证颁发的注册信息安全专业人员CISP/CISE/CISO证书；</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4、项目负责人具备中国网络安全审查认证和市场监管大数据中心认证颁发的信息安全保障人员</w:t>
            </w:r>
            <w:bookmarkStart w:id="140" w:name="OLE_LINK4"/>
            <w:r>
              <w:rPr>
                <w:rFonts w:hint="eastAsia" w:ascii="仿宋" w:hAnsi="仿宋" w:eastAsia="仿宋" w:cs="宋体"/>
                <w:bCs/>
                <w:szCs w:val="21"/>
              </w:rPr>
              <w:t>CISAW</w:t>
            </w:r>
            <w:bookmarkEnd w:id="140"/>
            <w:r>
              <w:rPr>
                <w:rFonts w:hint="eastAsia" w:ascii="仿宋" w:hAnsi="仿宋" w:eastAsia="仿宋" w:cs="宋体"/>
                <w:bCs/>
                <w:szCs w:val="21"/>
              </w:rPr>
              <w:t>证书；</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5、项目负责人具备国际标准化组织认证的信息安全管理体系认证ISO/IEC27001 Foundation的证书。</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项目负责人每满足上述一项要求的，得1分；最高不超过5分。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注：①需提供项目负责人的学历证书复印件或学信网查询截图或国外学历认证书、5年以上从业经验承诺书、资质证书复印件等作为证明材料，未提供则不得分。②需提供2024年9月份至今任意一个月的有效缴纳社保的证明复印件，或劳务合同复印件等，未提供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3</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类似项目业绩</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6</w:t>
            </w:r>
          </w:p>
        </w:tc>
        <w:tc>
          <w:tcPr>
            <w:tcW w:w="0" w:type="auto"/>
            <w:vAlign w:val="center"/>
          </w:tcPr>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w:t>
            </w:r>
            <w:r>
              <w:rPr>
                <w:rFonts w:hint="eastAsia" w:ascii="仿宋" w:hAnsi="仿宋" w:eastAsia="仿宋" w:cs="宋体"/>
                <w:b/>
                <w:szCs w:val="21"/>
              </w:rPr>
              <w:t>2022年1月1日至今</w:t>
            </w:r>
            <w:r>
              <w:rPr>
                <w:rFonts w:hint="eastAsia" w:ascii="仿宋" w:hAnsi="仿宋" w:eastAsia="仿宋" w:cs="宋体"/>
                <w:bCs/>
                <w:szCs w:val="21"/>
              </w:rPr>
              <w:t>（以合同签订日期为准），承接过同类项目（</w:t>
            </w:r>
            <w:r>
              <w:rPr>
                <w:rFonts w:hint="eastAsia" w:ascii="仿宋" w:hAnsi="仿宋" w:eastAsia="仿宋" w:cs="宋体"/>
                <w:b/>
                <w:szCs w:val="21"/>
              </w:rPr>
              <w:t>信息安全服务类或网络安全服务类</w:t>
            </w:r>
            <w:r>
              <w:rPr>
                <w:rFonts w:hint="eastAsia" w:ascii="仿宋" w:hAnsi="仿宋" w:eastAsia="仿宋" w:cs="宋体"/>
                <w:bCs/>
                <w:szCs w:val="21"/>
              </w:rPr>
              <w:t>）的业绩情况。具体如下：</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投标人每具备一份</w:t>
            </w:r>
            <w:r>
              <w:rPr>
                <w:rFonts w:hint="eastAsia" w:ascii="仿宋" w:hAnsi="仿宋" w:eastAsia="仿宋" w:cs="宋体"/>
                <w:b/>
                <w:szCs w:val="21"/>
              </w:rPr>
              <w:t>合同金额不少于50万元（含）</w:t>
            </w:r>
            <w:r>
              <w:rPr>
                <w:rFonts w:hint="eastAsia" w:ascii="仿宋" w:hAnsi="仿宋" w:eastAsia="仿宋" w:cs="宋体"/>
                <w:bCs/>
                <w:szCs w:val="21"/>
              </w:rPr>
              <w:t>的同类项目业绩，得3分；本项最高不超过6分。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注：①须提供合同关键页（不限于签订合同双方的单位名称、合同名称、合同标的内容、合同金额页、合同签订页等）复印件作为证明材料，不提供不得分。②若合同无相关签订时间，则以合同中能够体现的服务起始时间进行认定。③若合同无法说明项目内容符合上述同类项目经验范围，可提供甲方出具的相应证明文件作依据（证明文件须加盖甲方印章）。④证明材料不完整、不清晰、评标委员会无法确定业绩关键信息的将不予认可。</w:t>
            </w:r>
          </w:p>
        </w:tc>
      </w:tr>
    </w:tbl>
    <w:p>
      <w:pPr>
        <w:pStyle w:val="4"/>
        <w:spacing w:before="156" w:beforeLines="50" w:after="156" w:afterLines="50" w:line="360" w:lineRule="auto"/>
        <w:rPr>
          <w:rStyle w:val="29"/>
          <w:rFonts w:asciiTheme="minorHAnsi" w:hAnsiTheme="minorHAnsi" w:eastAsiaTheme="minorEastAsia" w:cstheme="minorBidi"/>
          <w:b w:val="0"/>
          <w:bCs w:val="0"/>
        </w:rPr>
      </w:pPr>
      <w:bookmarkStart w:id="141" w:name="_Toc193699372"/>
      <w:r>
        <w:rPr>
          <w:rFonts w:hint="eastAsia" w:ascii="仿宋" w:hAnsi="仿宋" w:eastAsia="仿宋"/>
          <w:sz w:val="24"/>
          <w:szCs w:val="24"/>
        </w:rPr>
        <w:t>（三）技术评分表</w:t>
      </w:r>
      <w:bookmarkEnd w:id="141"/>
    </w:p>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566"/>
        <w:gridCol w:w="474"/>
        <w:gridCol w:w="7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gridSpan w:val="3"/>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评分项</w:t>
            </w:r>
          </w:p>
        </w:tc>
        <w:tc>
          <w:tcPr>
            <w:tcW w:w="7009"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gridSpan w:val="3"/>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技术</w:t>
            </w:r>
          </w:p>
        </w:tc>
        <w:tc>
          <w:tcPr>
            <w:tcW w:w="7009"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566"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内容</w:t>
            </w:r>
          </w:p>
        </w:tc>
        <w:tc>
          <w:tcPr>
            <w:tcW w:w="474"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分值</w:t>
            </w:r>
          </w:p>
        </w:tc>
        <w:tc>
          <w:tcPr>
            <w:tcW w:w="7009"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7" w:hRule="atLeast"/>
        </w:trPr>
        <w:tc>
          <w:tcPr>
            <w:tcW w:w="473" w:type="dxa"/>
            <w:shd w:val="clear" w:color="auto" w:fill="auto"/>
            <w:vAlign w:val="center"/>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1</w:t>
            </w:r>
          </w:p>
        </w:tc>
        <w:tc>
          <w:tcPr>
            <w:tcW w:w="566" w:type="dxa"/>
            <w:shd w:val="clear" w:color="auto" w:fill="auto"/>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项目理解</w:t>
            </w:r>
          </w:p>
        </w:tc>
        <w:tc>
          <w:tcPr>
            <w:tcW w:w="474" w:type="dxa"/>
            <w:shd w:val="clear" w:color="auto" w:fill="auto"/>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5</w:t>
            </w:r>
          </w:p>
        </w:tc>
        <w:tc>
          <w:tcPr>
            <w:tcW w:w="7009" w:type="dxa"/>
            <w:shd w:val="clear" w:color="auto" w:fill="auto"/>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考察投标人针对本项目需求的理解程度。投标人需对项目背景、需求、建设规划、实施重点等进行分析阐述，根据其理解的程度进行综合评分。具体如下：</w:t>
            </w:r>
          </w:p>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1、对项目背景、项目需求、项目建设规划、实施重点等分析详细、逻辑清晰，整体内容优秀，得5分；</w:t>
            </w:r>
          </w:p>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2、对项目背景、项目需求、项目建设规划、实施重点等分析良好、逻辑相对清晰，整体内容良好，得3分；</w:t>
            </w:r>
          </w:p>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3、对项目背景、项目需求、项目建设规划、实施重点等分析一般、逻辑不清晰，整体内容一般，得1分；</w:t>
            </w:r>
          </w:p>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4、未提供相关内容则不得分。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73" w:type="dxa"/>
            <w:shd w:val="clear" w:color="auto" w:fill="auto"/>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w:t>
            </w:r>
          </w:p>
        </w:tc>
        <w:tc>
          <w:tcPr>
            <w:tcW w:w="566" w:type="dxa"/>
            <w:shd w:val="clear" w:color="auto" w:fill="auto"/>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服务方案</w:t>
            </w:r>
          </w:p>
        </w:tc>
        <w:tc>
          <w:tcPr>
            <w:tcW w:w="474" w:type="dxa"/>
            <w:shd w:val="clear" w:color="auto" w:fill="auto"/>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15</w:t>
            </w:r>
          </w:p>
        </w:tc>
        <w:tc>
          <w:tcPr>
            <w:tcW w:w="7009" w:type="dxa"/>
            <w:shd w:val="clear" w:color="auto" w:fill="auto"/>
            <w:vAlign w:val="center"/>
          </w:tcPr>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考察投标人针对本项目所编写的服务方案。投标人须提供完善的网络安全服务方案，包括但不限于</w:t>
            </w:r>
            <w:r>
              <w:rPr>
                <w:rFonts w:hint="eastAsia" w:ascii="仿宋" w:hAnsi="仿宋" w:eastAsia="仿宋" w:cs="宋体"/>
                <w:b/>
                <w:szCs w:val="21"/>
              </w:rPr>
              <w:t>等保测评服务、持续监测服务、重保值守服务、应急响应服务、网络安全风险排查服务、及安全培训服务</w:t>
            </w:r>
            <w:r>
              <w:rPr>
                <w:rFonts w:hint="eastAsia" w:ascii="仿宋" w:hAnsi="仿宋" w:eastAsia="仿宋" w:cs="宋体"/>
                <w:bCs/>
                <w:szCs w:val="21"/>
              </w:rPr>
              <w:t>等内容。根据上述内容要点进行综合评分，具体如下：</w:t>
            </w:r>
          </w:p>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方案内容优秀，方案详尽、合理，技术路线清晰，可行性及创新性强；项目实施计划与人员组织保证合理，质量保证措施或风险管控措施合理，工期设计合理，各方职责分工明确。明确到时间节点、研究内容、交付物、负责人，工作计划充分考虑项目特点和企业实际、科学合理、可执行性强，得15分；</w:t>
            </w:r>
          </w:p>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2、方案内容良好，方案合理，技术路线较为清晰明确，具备一定可行性及创新性；工作计划完整、基本合理，有具体时间节点和交付物，得10分；</w:t>
            </w:r>
          </w:p>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3、方案内容一般，基本满足采购需求书的基本内容，部分措施较为笼统，需进一步细化才能满足实际需求，可行性一般，得5分；</w:t>
            </w:r>
          </w:p>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4、方案内容较差，工作计划存在偏差，时间节点和交付物不够明确，可操作性较差，得1分；</w:t>
            </w:r>
          </w:p>
          <w:p>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5、未提供相关内容则不得分。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vAlign w:val="center"/>
          </w:tcPr>
          <w:p>
            <w:pPr>
              <w:spacing w:before="93" w:beforeLines="30" w:after="93" w:afterLines="30"/>
              <w:jc w:val="center"/>
              <w:rPr>
                <w:rFonts w:hint="eastAsia" w:ascii="仿宋" w:hAnsi="仿宋" w:eastAsia="仿宋" w:cs="宋体"/>
                <w:bCs/>
                <w:szCs w:val="21"/>
              </w:rPr>
            </w:pPr>
            <w:bookmarkStart w:id="142" w:name="_Hlk163650616"/>
            <w:r>
              <w:rPr>
                <w:rFonts w:hint="eastAsia" w:ascii="仿宋" w:hAnsi="仿宋" w:eastAsia="仿宋" w:cs="宋体"/>
                <w:bCs/>
                <w:szCs w:val="21"/>
              </w:rPr>
              <w:t>3</w:t>
            </w:r>
          </w:p>
        </w:tc>
        <w:tc>
          <w:tcPr>
            <w:tcW w:w="566" w:type="dxa"/>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技术参数响应情况</w:t>
            </w:r>
          </w:p>
        </w:tc>
        <w:tc>
          <w:tcPr>
            <w:tcW w:w="474" w:type="dxa"/>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30</w:t>
            </w:r>
          </w:p>
        </w:tc>
        <w:tc>
          <w:tcPr>
            <w:tcW w:w="7009" w:type="dxa"/>
            <w:vAlign w:val="center"/>
          </w:tcPr>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考察投标人对采购需求书中重要技术参数的响应情况。根据投标人对招标文件“第三章 采购需求书”中各项功能需求的响应程度进行评审：</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1、投标人完全满足或完全满足且有优于功能需求清单参数要求的，得30分。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2、每有一项“▲”技术参数不响应或负偏离的，扣2分；每有一项非“▲”技术参数不响应或负偏离的扣0.5分，最多扣至0分。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注：功能需求“▲”条款功能有明确要求须提供截图等有效的证明材料，投标人需按《采购需求书》中要求提供相应的证明文件并加盖制造商公章。不提供材料或材料无效不得分。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本项目所有技术参数表中的功能需求项必须实际配置或提供相应的授权，否则视为参数不响应招标文件要求。（投标人须提供承诺函，如投标人未提供承诺函，则该项不得分）</w:t>
            </w:r>
          </w:p>
        </w:tc>
      </w:tr>
      <w:bookmarkEnd w:id="142"/>
    </w:tbl>
    <w:p>
      <w:pPr>
        <w:pStyle w:val="9"/>
        <w:spacing w:before="156" w:beforeLines="50" w:after="156" w:afterLines="50" w:line="360" w:lineRule="auto"/>
        <w:outlineLvl w:val="2"/>
        <w:rPr>
          <w:rFonts w:hint="eastAsia" w:ascii="仿宋" w:hAnsi="仿宋" w:eastAsia="仿宋"/>
          <w:b/>
          <w:bCs/>
          <w:sz w:val="22"/>
          <w:szCs w:val="28"/>
        </w:rPr>
      </w:pPr>
      <w:bookmarkStart w:id="143" w:name="_Toc178258763"/>
      <w:bookmarkStart w:id="144" w:name="_Toc193699373"/>
      <w:r>
        <w:rPr>
          <w:rFonts w:hint="eastAsia" w:ascii="仿宋" w:hAnsi="仿宋" w:eastAsia="仿宋" w:cs="宋体"/>
          <w:b/>
          <w:bCs/>
          <w:sz w:val="22"/>
          <w:szCs w:val="22"/>
        </w:rPr>
        <w:t>附表：重要技术参数响应表</w:t>
      </w:r>
      <w:bookmarkEnd w:id="143"/>
      <w:r>
        <w:rPr>
          <w:rFonts w:hint="eastAsia" w:ascii="仿宋" w:hAnsi="仿宋" w:eastAsia="仿宋" w:cs="宋体"/>
          <w:b/>
          <w:bCs/>
          <w:sz w:val="22"/>
          <w:szCs w:val="22"/>
        </w:rPr>
        <w:t>（▲号条款）</w:t>
      </w:r>
      <w:bookmarkEnd w:id="144"/>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062"/>
        <w:gridCol w:w="567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1F1F1" w:themeFill="background1" w:themeFillShade="F2"/>
            <w:vAlign w:val="center"/>
          </w:tcPr>
          <w:p>
            <w:pPr>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0" w:type="auto"/>
            <w:shd w:val="clear" w:color="auto" w:fill="F1F1F1" w:themeFill="background1" w:themeFillShade="F2"/>
            <w:vAlign w:val="center"/>
          </w:tcPr>
          <w:p>
            <w:pPr>
              <w:wordWrap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需求项</w:t>
            </w:r>
          </w:p>
        </w:tc>
        <w:tc>
          <w:tcPr>
            <w:tcW w:w="0" w:type="auto"/>
            <w:shd w:val="clear" w:color="auto" w:fill="F1F1F1" w:themeFill="background1" w:themeFillShade="F2"/>
            <w:vAlign w:val="center"/>
          </w:tcPr>
          <w:p>
            <w:pPr>
              <w:wordWrap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参数要求</w:t>
            </w:r>
          </w:p>
        </w:tc>
        <w:tc>
          <w:tcPr>
            <w:tcW w:w="0" w:type="auto"/>
            <w:shd w:val="clear" w:color="auto" w:fill="F1F1F1" w:themeFill="background1" w:themeFillShade="F2"/>
            <w:vAlign w:val="center"/>
          </w:tcPr>
          <w:p>
            <w:pPr>
              <w:wordWrap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spacing w:before="93" w:beforeLines="30" w:after="93" w:afterLines="30"/>
              <w:jc w:val="center"/>
              <w:rPr>
                <w:rFonts w:hint="eastAsia" w:ascii="仿宋" w:hAnsi="仿宋" w:eastAsia="仿宋" w:cs="宋体"/>
                <w:bCs/>
                <w:szCs w:val="21"/>
              </w:rPr>
            </w:pPr>
            <w:bookmarkStart w:id="145" w:name="_Hlk193381586"/>
            <w:r>
              <w:rPr>
                <w:rFonts w:hint="eastAsia" w:ascii="仿宋" w:hAnsi="仿宋" w:eastAsia="仿宋" w:cs="宋体"/>
                <w:bCs/>
                <w:szCs w:val="21"/>
              </w:rPr>
              <w:t>1</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主机安全监测平台扩容</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安全性与稳定性：客户端占用内存资源应不超过500MB，CPU单核使用率不超过50%，综合使用率不超过5%，客户端不得修改服务器操作系统内核或驱动，并禁止采用抓包技术，安装时不应影响业务正常运行，安装卸载无需重启系统。客户端需具有自动降级与自杀机制，来保证业务连续性要求，并支持使用非root账号运行。</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截图证明，针对不修改内核及驱动需提供第三方检测报告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主机安全监测平台扩容</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产品具备国家信息安全测评中心颁发的信息技术产品安全测评证书（EAL3级）。</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相关证明文件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3</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主机安全监测平台扩容</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容器安全支持检测集群风险，支持的风险检测类型应包括：kubernetes安全检测、docker安全检测、Harbor安全检测等。支持产品中集群风险检查规则展示，可查看检查项详情并自定义检查项启用/禁用状态。</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截图证明并加盖厂商公章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4</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主机安全监测平台扩容</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微隔离提供严格和宽松两种访问控制模式，严格模式放行满足策略的访问，拦截其他所有访问；宽松模式对配置了策略的端口进行放行/拦截控制，未配置策略的端口放行全部访问</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截图证明并加盖厂商公章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5</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主机安全监测平台扩容</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支持内存马攻击检测与告警，并可对发现的内存马进行拦截防护，覆盖：冰蝎、哥斯拉、蚁剑等常见内存马，并可上报恶意类还原代码信息，支持下载源代码文件和类文件。</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截图证明并加盖厂商公章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6</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信息系统日志分析平台扩容</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支持嵌套解析，支持通过一个解析规则对接入日志进行多层不同解析方式的解析，实现日志的快速解析，如：先采用正则进行部分字段的解析，针对解析后的字段可以选择JSON解析的方式进行二次解析。</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7</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信息系统日志分析平台扩容</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支持使用内置安全模型，内置封装后的检测语句，来支持特定模型场景下的威胁检测和安全事件响应。</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8</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信息系统日志分析平台扩容</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支持多租户模式，各个分公司数据隔离，支持基于IP、端口、域名等组合字段做细致的数据隔离划分对应的权限分配，并基于权限分配实现租户对辖内安全日志的查看和管理。</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9</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网络全流量分析平台</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支持对网络原始流量的存储与检索，提供在线预览和PCAP包下载，用于回溯取证；支持指定关键字、时间等对历史PCAP数据进行秒级检索，如使用HTTP域名、源目IP对PCAP信息进行检索。</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10</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网络全流量分析平台</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支持对网络中传输的文件进行还原，包括但不限于txt、doc、docx、rar、zip、png、bmp、jpg、exe、com等不少于50种文件类型；支持多种维度快速筛选网络文件，包括文件类型、文件大小、协议、源目IP等查询条件。</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11</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网络全流量分析平台</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支持多种网络威胁检测与分析能力，检测范围包含但不限于：Web应用攻击、弱口令、暴力破解、扫描与爬虫、数据库攻击、敏感信息泄露、恶意通信流量、内网渗透、通用应用漏洞攻击、恶意软件、后门识别、异常协议、SQL注入、WEBSHELL、命令执行等不少于120种攻击场景；产品具备网页篡改检测、webshell检测等检测类产品专利。</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w:t>
            </w:r>
            <w:r>
              <w:rPr>
                <w:rFonts w:ascii="仿宋" w:hAnsi="仿宋" w:eastAsia="仿宋" w:cs="宋体"/>
                <w:bCs/>
                <w:szCs w:val="21"/>
              </w:rPr>
              <w:t>2</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内网AD域监测服务</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支持对当前常见版本的AD域域控服务器（Windows 2008R2及以上版本）进行安全管理，包括监测攻击事件、检测AD域漏洞、基线核查等。</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w:t>
            </w:r>
            <w:r>
              <w:rPr>
                <w:rFonts w:ascii="仿宋" w:hAnsi="仿宋" w:eastAsia="仿宋" w:cs="宋体"/>
                <w:bCs/>
                <w:szCs w:val="21"/>
              </w:rPr>
              <w:t>3</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持续监测、重保值守、应急响应服务</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通过MSS服务平台提供一年的7*24小时网络安全运营服务，主要包括</w:t>
            </w:r>
            <w:r>
              <w:rPr>
                <w:rFonts w:ascii="仿宋" w:hAnsi="仿宋" w:eastAsia="仿宋" w:cs="宋体"/>
                <w:bCs/>
                <w:szCs w:val="21"/>
              </w:rPr>
              <w:t>风险</w:t>
            </w:r>
            <w:r>
              <w:rPr>
                <w:rFonts w:hint="eastAsia" w:ascii="仿宋" w:hAnsi="仿宋" w:eastAsia="仿宋" w:cs="宋体"/>
                <w:bCs/>
                <w:szCs w:val="21"/>
              </w:rPr>
              <w:t>和攻击行为</w:t>
            </w:r>
            <w:r>
              <w:rPr>
                <w:rFonts w:ascii="仿宋" w:hAnsi="仿宋" w:eastAsia="仿宋" w:cs="宋体"/>
                <w:bCs/>
                <w:szCs w:val="21"/>
              </w:rPr>
              <w:t>监测</w:t>
            </w:r>
            <w:r>
              <w:rPr>
                <w:rFonts w:hint="eastAsia" w:ascii="仿宋" w:hAnsi="仿宋" w:eastAsia="仿宋" w:cs="宋体"/>
                <w:bCs/>
                <w:szCs w:val="21"/>
              </w:rPr>
              <w:t>。对接集团内网各安全设备，对网络中各安全设施出现的风险告警进行分析，利用日志大数据技术、检索分析技术，验证风险有效性，并协助处置风险，形成安全日志分析与风险处置报告，实现</w:t>
            </w:r>
            <w:r>
              <w:rPr>
                <w:rFonts w:ascii="仿宋" w:hAnsi="仿宋" w:eastAsia="仿宋" w:cs="宋体"/>
                <w:bCs/>
                <w:szCs w:val="21"/>
              </w:rPr>
              <w:t>安全告警事件</w:t>
            </w:r>
            <w:r>
              <w:rPr>
                <w:rFonts w:hint="eastAsia" w:ascii="仿宋" w:hAnsi="仿宋" w:eastAsia="仿宋" w:cs="宋体"/>
                <w:bCs/>
                <w:szCs w:val="21"/>
              </w:rPr>
              <w:t>的</w:t>
            </w:r>
            <w:r>
              <w:rPr>
                <w:rFonts w:ascii="仿宋" w:hAnsi="仿宋" w:eastAsia="仿宋" w:cs="宋体"/>
                <w:bCs/>
                <w:szCs w:val="21"/>
              </w:rPr>
              <w:t>闭环处置</w:t>
            </w:r>
            <w:r>
              <w:rPr>
                <w:rFonts w:hint="eastAsia" w:ascii="仿宋" w:hAnsi="仿宋" w:eastAsia="仿宋" w:cs="宋体"/>
                <w:bCs/>
                <w:szCs w:val="21"/>
              </w:rPr>
              <w:t>。</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提供承诺说明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w:t>
            </w:r>
            <w:r>
              <w:rPr>
                <w:rFonts w:ascii="仿宋" w:hAnsi="仿宋" w:eastAsia="仿宋" w:cs="宋体"/>
                <w:bCs/>
                <w:szCs w:val="21"/>
              </w:rPr>
              <w:t>4</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持续监测、重保值守、应急响应服务</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保障招标人国家重大节假日、国家重大活动、攻防演练等期间（不少于20人天）的网络系统的安全稳定运行现场驻场服务。提供溯源分析服务工具，对网络中出现的安全事件，通过流量进行调查取证，描绘完整攻击链并形成安全事件溯源报告。</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提供承诺说明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w:t>
            </w:r>
            <w:r>
              <w:rPr>
                <w:rFonts w:ascii="仿宋" w:hAnsi="仿宋" w:eastAsia="仿宋" w:cs="宋体"/>
                <w:bCs/>
                <w:szCs w:val="21"/>
              </w:rPr>
              <w:t>5</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持续监测、重保值守、应急响应服务</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接到用户的服务请求后，如需现场处置，到达现场时间不超过2小时，在紧急故障情况下，2小时内定位问题和给出解决方案，于8小时内协助解决问题的技术支持和服务安全事件应急响应处置服务，及时协助解决安全故障，修复系统，使企业网络和信息服务恢复正常运行，尽可能挽回或减少损失。</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提供承诺说明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w:t>
            </w:r>
            <w:r>
              <w:rPr>
                <w:rFonts w:ascii="仿宋" w:hAnsi="仿宋" w:eastAsia="仿宋" w:cs="宋体"/>
                <w:bCs/>
                <w:szCs w:val="21"/>
              </w:rPr>
              <w:t>6</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网络安全风险排查服务</w:t>
            </w:r>
          </w:p>
        </w:tc>
        <w:tc>
          <w:tcPr>
            <w:tcW w:w="0" w:type="auto"/>
            <w:vAlign w:val="center"/>
          </w:tcPr>
          <w:p>
            <w:pPr>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本项所有服务，总人工不少于60人天。中标方需合理安排专业技术人员，参与人员必须具备本科或以上学历，有网络安全相关从业经验五年以上，具备参与公安部HW攻击队或者全国网络安全竞赛获奖经验或省级及以上攻防演练红队获奖经验等，确保各项服务能够按时、高质量完成。</w:t>
            </w:r>
          </w:p>
        </w:tc>
        <w:tc>
          <w:tcPr>
            <w:tcW w:w="0" w:type="auto"/>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相关人员证明材料</w:t>
            </w:r>
          </w:p>
        </w:tc>
      </w:tr>
      <w:bookmarkEnd w:id="145"/>
    </w:tbl>
    <w:p/>
    <w:p>
      <w:pPr>
        <w:pStyle w:val="4"/>
        <w:spacing w:before="156" w:beforeLines="50" w:after="156" w:afterLines="50" w:line="360" w:lineRule="auto"/>
        <w:rPr>
          <w:rFonts w:hint="eastAsia" w:ascii="仿宋" w:hAnsi="仿宋" w:eastAsia="仿宋"/>
          <w:sz w:val="24"/>
          <w:szCs w:val="24"/>
        </w:rPr>
      </w:pPr>
      <w:bookmarkStart w:id="146" w:name="_Toc193699374"/>
      <w:r>
        <w:rPr>
          <w:rFonts w:hint="eastAsia" w:ascii="仿宋" w:hAnsi="仿宋" w:eastAsia="仿宋"/>
          <w:sz w:val="24"/>
          <w:szCs w:val="24"/>
        </w:rPr>
        <w:t>（四）价格评分表</w:t>
      </w:r>
      <w:bookmarkEnd w:id="146"/>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851"/>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gridSpan w:val="3"/>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评分项</w:t>
            </w:r>
          </w:p>
        </w:tc>
        <w:tc>
          <w:tcPr>
            <w:tcW w:w="5607"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gridSpan w:val="3"/>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价格</w:t>
            </w:r>
          </w:p>
        </w:tc>
        <w:tc>
          <w:tcPr>
            <w:tcW w:w="5607"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1134"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内容</w:t>
            </w:r>
          </w:p>
        </w:tc>
        <w:tc>
          <w:tcPr>
            <w:tcW w:w="851"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分值</w:t>
            </w:r>
          </w:p>
        </w:tc>
        <w:tc>
          <w:tcPr>
            <w:tcW w:w="5607" w:type="dxa"/>
            <w:shd w:val="clear" w:color="auto" w:fill="F1F1F1" w:themeFill="background1" w:themeFillShade="F2"/>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w:t>
            </w:r>
          </w:p>
        </w:tc>
        <w:tc>
          <w:tcPr>
            <w:tcW w:w="1134" w:type="dxa"/>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价格分</w:t>
            </w:r>
          </w:p>
        </w:tc>
        <w:tc>
          <w:tcPr>
            <w:tcW w:w="851" w:type="dxa"/>
            <w:vAlign w:val="center"/>
          </w:tcPr>
          <w:p>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30</w:t>
            </w:r>
          </w:p>
        </w:tc>
        <w:tc>
          <w:tcPr>
            <w:tcW w:w="5607" w:type="dxa"/>
          </w:tcPr>
          <w:p>
            <w:pPr>
              <w:spacing w:before="93" w:beforeLines="30" w:after="93" w:afterLines="30"/>
              <w:rPr>
                <w:rFonts w:hint="eastAsia" w:ascii="仿宋" w:hAnsi="仿宋" w:eastAsia="仿宋" w:cs="宋体"/>
                <w:bCs/>
                <w:szCs w:val="21"/>
              </w:rPr>
            </w:pPr>
            <w:bookmarkStart w:id="147" w:name="OLE_LINK1"/>
            <w:r>
              <w:rPr>
                <w:rFonts w:hint="eastAsia" w:ascii="仿宋" w:hAnsi="仿宋" w:eastAsia="仿宋" w:cs="宋体"/>
                <w:bCs/>
                <w:szCs w:val="21"/>
              </w:rPr>
              <w:t>本项目价格分采用</w:t>
            </w:r>
            <w:r>
              <w:rPr>
                <w:rFonts w:hint="eastAsia" w:ascii="仿宋" w:hAnsi="仿宋" w:eastAsia="仿宋" w:cs="宋体"/>
                <w:bCs/>
                <w:szCs w:val="21"/>
                <w:u w:val="single"/>
              </w:rPr>
              <w:t>基准价最优法</w:t>
            </w:r>
            <w:r>
              <w:rPr>
                <w:rFonts w:hint="eastAsia" w:ascii="仿宋" w:hAnsi="仿宋" w:eastAsia="仿宋" w:cs="宋体"/>
                <w:bCs/>
                <w:szCs w:val="21"/>
              </w:rPr>
              <w:t>计算，以</w:t>
            </w:r>
            <w:r>
              <w:rPr>
                <w:rFonts w:hint="eastAsia" w:ascii="仿宋" w:hAnsi="仿宋" w:eastAsia="仿宋" w:cs="宋体"/>
                <w:bCs/>
                <w:szCs w:val="21"/>
                <w:u w:val="single"/>
              </w:rPr>
              <w:t>各投标人所报的含税总价</w:t>
            </w:r>
            <w:r>
              <w:rPr>
                <w:rFonts w:hint="eastAsia" w:ascii="仿宋" w:hAnsi="仿宋" w:eastAsia="仿宋" w:cs="宋体"/>
                <w:bCs/>
                <w:szCs w:val="21"/>
              </w:rPr>
              <w:t>为价格分评分依据。具体如下：</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1、将各有效投标人（如有修正，以修正后为准）的含税总价作为价格部分的评标价；</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（1）若有效投标人不超过5家（含）时，取所有的有效投标人评标价的算数平均值作为基准价A；</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（2）若有效投标人大于5家时，则在所有的有效投标人评标价中去掉一个最高值和一个最低值后，取其余评标价的算数平均值作为基准价A。</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2、将各投标人评标价与基准价A进行比较。</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如投标人的评标价等于时，计为满分（即30分）；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如投标人的评标价高于基准价，则每高于基准价1%扣0.6分，即：投标人价格得分＝30-|基准价–评标价|÷基准价×0.6×100；</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如投标人的评标价低于基准价，则每低于基准价1%扣0.3分，即：投标人价格得分＝30-|基准价–评标价|÷基准价×0.3×100。</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说明：如价格有算术性修正，请以修正后的价格为准。</w:t>
            </w:r>
          </w:p>
          <w:p>
            <w:pPr>
              <w:spacing w:before="93" w:beforeLines="30" w:after="93" w:afterLines="30"/>
              <w:rPr>
                <w:rFonts w:hint="eastAsia" w:ascii="仿宋" w:hAnsi="仿宋" w:eastAsia="仿宋" w:cs="宋体"/>
                <w:bCs/>
                <w:szCs w:val="21"/>
              </w:rPr>
            </w:pPr>
            <w:r>
              <w:rPr>
                <w:rFonts w:hint="eastAsia" w:ascii="仿宋" w:hAnsi="仿宋" w:eastAsia="仿宋" w:cs="宋体"/>
                <w:bCs/>
                <w:szCs w:val="21"/>
              </w:rPr>
              <w:t>备注：价格得分四舍五入，小数点后保留两位有效数。价格得分不执行负分，最低为0分。</w:t>
            </w:r>
            <w:bookmarkEnd w:id="147"/>
          </w:p>
        </w:tc>
      </w:tr>
    </w:tbl>
    <w:p/>
    <w:bookmarkEnd w:id="136"/>
    <w:p>
      <w:pPr>
        <w:pStyle w:val="32"/>
        <w:ind w:firstLine="0" w:firstLineChars="0"/>
        <w:rPr>
          <w:rFonts w:hint="eastAsia" w:ascii="仿宋" w:hAnsi="仿宋" w:eastAsia="仿宋"/>
          <w:sz w:val="21"/>
        </w:rPr>
      </w:pPr>
      <w:r>
        <w:rPr>
          <w:rFonts w:hint="eastAsia" w:ascii="仿宋" w:hAnsi="仿宋" w:eastAsia="仿宋"/>
          <w:sz w:val="21"/>
        </w:rPr>
        <w:t>备注：</w:t>
      </w:r>
    </w:p>
    <w:p>
      <w:pPr>
        <w:pStyle w:val="32"/>
        <w:ind w:firstLine="420"/>
        <w:rPr>
          <w:rFonts w:hint="eastAsia" w:ascii="仿宋" w:hAnsi="仿宋" w:eastAsia="仿宋"/>
          <w:sz w:val="21"/>
        </w:rPr>
      </w:pPr>
      <w:r>
        <w:rPr>
          <w:rFonts w:hint="eastAsia" w:ascii="仿宋" w:hAnsi="仿宋" w:eastAsia="仿宋"/>
          <w:sz w:val="21"/>
        </w:rPr>
        <w:t>1.评标委员会各评委对有效投标文件按评审标准独立评审打分，投标人商务技术最终得分为各评委个人打分的算术平均值（四舍五入后，小数点后保留两位有效数）。</w:t>
      </w:r>
    </w:p>
    <w:p>
      <w:pPr>
        <w:pStyle w:val="32"/>
        <w:ind w:firstLine="422"/>
        <w:rPr>
          <w:rFonts w:hint="eastAsia" w:ascii="仿宋" w:hAnsi="仿宋" w:eastAsia="仿宋"/>
          <w:b/>
          <w:bCs/>
          <w:sz w:val="21"/>
        </w:rPr>
      </w:pPr>
      <w:r>
        <w:rPr>
          <w:rFonts w:hint="eastAsia" w:ascii="仿宋" w:hAnsi="仿宋" w:eastAsia="仿宋"/>
          <w:b/>
          <w:bCs/>
          <w:sz w:val="21"/>
        </w:rPr>
        <w:t>2.本项目商务部分设置评分基准线。若投标人的商务评分低于基准线，其投标应答将被视为存在重大商务技术偏差，则投标应答无效，不进入技术部分评审。</w:t>
      </w:r>
    </w:p>
    <w:p>
      <w:pPr>
        <w:pStyle w:val="32"/>
        <w:ind w:firstLine="422"/>
        <w:rPr>
          <w:rFonts w:hint="eastAsia" w:ascii="仿宋" w:hAnsi="仿宋" w:eastAsia="仿宋"/>
          <w:b/>
          <w:bCs/>
          <w:sz w:val="21"/>
        </w:rPr>
      </w:pPr>
      <w:r>
        <w:rPr>
          <w:rFonts w:hint="eastAsia" w:ascii="仿宋" w:hAnsi="仿宋" w:eastAsia="仿宋"/>
          <w:b/>
          <w:bCs/>
          <w:sz w:val="21"/>
        </w:rPr>
        <w:t>商务评分基准线＝本项目商务部分分值×60%（即20×60%=12分）</w:t>
      </w:r>
    </w:p>
    <w:p>
      <w:pPr>
        <w:pStyle w:val="32"/>
        <w:ind w:firstLine="420" w:firstLineChars="0"/>
        <w:rPr>
          <w:rFonts w:hint="eastAsia" w:ascii="仿宋" w:hAnsi="仿宋" w:eastAsia="仿宋"/>
          <w:sz w:val="21"/>
        </w:rPr>
      </w:pPr>
      <w:r>
        <w:rPr>
          <w:rFonts w:hint="eastAsia" w:ascii="仿宋" w:hAnsi="仿宋" w:eastAsia="仿宋"/>
          <w:sz w:val="21"/>
        </w:rPr>
        <w:t>3.综合评分相等时以投标报价低的优先；投标报价也相等的，按技术得分由高到低顺序排列决定，若技术得分也相同，按商务得分由高到低顺序排列决定，若技术、商务得分也相同时，由评标委员会投票决定推选中标候选人。</w:t>
      </w:r>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48" w:name="_Toc193699375"/>
      <w:r>
        <w:rPr>
          <w:rFonts w:hint="eastAsia" w:ascii="仿宋" w:hAnsi="仿宋" w:eastAsia="仿宋"/>
          <w:sz w:val="28"/>
          <w:szCs w:val="28"/>
        </w:rPr>
        <w:t>1.</w:t>
      </w:r>
      <w:r>
        <w:rPr>
          <w:rFonts w:hint="eastAsia" w:ascii="仿宋" w:hAnsi="仿宋" w:eastAsia="仿宋"/>
          <w:sz w:val="28"/>
          <w:szCs w:val="28"/>
        </w:rPr>
        <w:tab/>
      </w:r>
      <w:r>
        <w:rPr>
          <w:rFonts w:hint="eastAsia" w:ascii="仿宋" w:hAnsi="仿宋" w:eastAsia="仿宋"/>
          <w:sz w:val="28"/>
          <w:szCs w:val="28"/>
        </w:rPr>
        <w:t>评标方法</w:t>
      </w:r>
      <w:bookmarkEnd w:id="148"/>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本招标项目评审采用综合评估法。评标委员会对满足招标文件实质要求的投标文件，根据本章第2.2款规定的评分因素和评分标准进行评分，按照综合评分由高到低的顺序推荐中标候选人，但投标报价低于其成本的除外。</w:t>
      </w:r>
    </w:p>
    <w:p>
      <w:pPr>
        <w:pStyle w:val="21"/>
        <w:tabs>
          <w:tab w:val="left" w:pos="602"/>
        </w:tabs>
        <w:snapToGrid w:val="0"/>
        <w:spacing w:before="120" w:after="120" w:line="440" w:lineRule="exact"/>
        <w:jc w:val="left"/>
        <w:rPr>
          <w:rFonts w:hint="eastAsia" w:ascii="仿宋" w:hAnsi="仿宋" w:eastAsia="仿宋"/>
          <w:sz w:val="28"/>
          <w:szCs w:val="28"/>
        </w:rPr>
      </w:pPr>
      <w:bookmarkStart w:id="149" w:name="_Toc193699376"/>
      <w:r>
        <w:rPr>
          <w:rFonts w:hint="eastAsia" w:ascii="仿宋" w:hAnsi="仿宋" w:eastAsia="仿宋"/>
          <w:sz w:val="28"/>
          <w:szCs w:val="28"/>
        </w:rPr>
        <w:t>2.</w:t>
      </w:r>
      <w:r>
        <w:rPr>
          <w:rFonts w:hint="eastAsia" w:ascii="仿宋" w:hAnsi="仿宋" w:eastAsia="仿宋"/>
          <w:sz w:val="28"/>
          <w:szCs w:val="28"/>
        </w:rPr>
        <w:tab/>
      </w:r>
      <w:r>
        <w:rPr>
          <w:rFonts w:hint="eastAsia" w:ascii="仿宋" w:hAnsi="仿宋" w:eastAsia="仿宋"/>
          <w:sz w:val="28"/>
          <w:szCs w:val="28"/>
        </w:rPr>
        <w:t>评审标准</w:t>
      </w:r>
      <w:bookmarkEnd w:id="149"/>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2.1初步评审标准</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初步评审标准：</w:t>
      </w:r>
      <w:r>
        <w:rPr>
          <w:rFonts w:hint="eastAsia" w:ascii="仿宋" w:hAnsi="仿宋" w:eastAsia="仿宋"/>
          <w:u w:val="single"/>
        </w:rPr>
        <w:t>见评标办法前附表</w:t>
      </w:r>
      <w:r>
        <w:rPr>
          <w:rFonts w:hint="eastAsia" w:ascii="仿宋" w:hAnsi="仿宋" w:eastAsia="仿宋"/>
        </w:rPr>
        <w:t>。</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2.2详细评审标准</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详细评审标准：</w:t>
      </w:r>
      <w:r>
        <w:rPr>
          <w:rFonts w:hint="eastAsia" w:ascii="仿宋" w:hAnsi="仿宋" w:eastAsia="仿宋"/>
          <w:u w:val="single"/>
        </w:rPr>
        <w:t>见评标办法前附表</w:t>
      </w:r>
      <w:r>
        <w:rPr>
          <w:rFonts w:hint="eastAsia" w:ascii="仿宋" w:hAnsi="仿宋" w:eastAsia="仿宋"/>
        </w:rPr>
        <w:t>。</w:t>
      </w:r>
    </w:p>
    <w:p>
      <w:pPr>
        <w:pStyle w:val="21"/>
        <w:tabs>
          <w:tab w:val="left" w:pos="602"/>
        </w:tabs>
        <w:snapToGrid w:val="0"/>
        <w:spacing w:before="120" w:after="120" w:line="440" w:lineRule="exact"/>
        <w:jc w:val="left"/>
        <w:rPr>
          <w:rFonts w:hint="eastAsia" w:ascii="仿宋" w:hAnsi="仿宋" w:eastAsia="仿宋"/>
          <w:sz w:val="28"/>
          <w:szCs w:val="28"/>
        </w:rPr>
      </w:pPr>
      <w:bookmarkStart w:id="150" w:name="_Toc193699377"/>
      <w:r>
        <w:rPr>
          <w:rFonts w:hint="eastAsia" w:ascii="仿宋" w:hAnsi="仿宋" w:eastAsia="仿宋"/>
          <w:sz w:val="28"/>
          <w:szCs w:val="28"/>
        </w:rPr>
        <w:t>3.</w:t>
      </w:r>
      <w:r>
        <w:rPr>
          <w:rFonts w:hint="eastAsia" w:ascii="仿宋" w:hAnsi="仿宋" w:eastAsia="仿宋"/>
          <w:sz w:val="28"/>
          <w:szCs w:val="28"/>
        </w:rPr>
        <w:tab/>
      </w:r>
      <w:r>
        <w:rPr>
          <w:rFonts w:hint="eastAsia" w:ascii="仿宋" w:hAnsi="仿宋" w:eastAsia="仿宋"/>
          <w:sz w:val="28"/>
          <w:szCs w:val="28"/>
        </w:rPr>
        <w:t>评标程序</w:t>
      </w:r>
      <w:bookmarkEnd w:id="150"/>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3.1初步评审</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3.1.1评标委员会根据本章第2.1款规定的标准对投标文件进行初步评审。有一项不符合评审标准的，评标委员会应当否决其投标。</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3.1.2投标人有以下情形之一的，评标委员会应当否决其投标：</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（1）第二章“投标人须知”第1.8款规定的任何一种情形的；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（2）不按照评标委员会要求澄清、说明或者补正的；</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（3）投标文件未经投标单位盖章和单位负责人签字；</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（4）允许联合体投标的，投标联合体没有递交联合体协议；</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（5）投标人不符合国家或者招标文件规定的资格条件；</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（6）同一投标人递交两个以上不同的投标文件或者投标报价，但招标文件要求递交备选投标的除外；</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（7）投标报价低于成本或者高于招标文件设定的最高投标限价；</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（8）投标文件没有对招标文件的实质性要求和条件做出响应；</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（9）投标人有串通投标、弄虚作假、行贿等违法行为；</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（10）投标人以他人名义投标；</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（11）没有按照招标文件要求提供投标担保或者所提供的投标担保有瑕疵；</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（12）投标文件载明的招标项目完成期限超过招标文件规定的期限；</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（13）明显不符合技术规格、技术标准的要求；</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（14）投标文件载明的货物包装方式、检验标准和方法等不符合招标文件的要求；</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（15）投标文件附有招标人不能接受的条件；</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（16）不符合招标文件中规定的其他实质性要求。</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3.1.3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3.1.4投标报价有算术错误的，评标委员会按照以下原则对投标报价进行修正，修正的价格经投标人书面确认后具有约束力。投标人不接受修正价格的，评标委员会应当否决其投标。</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（1）投标文件中的大写金额与小写金额不一致的，以大写金额为准；</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（2）总价金额与根据单价计算出的结果不一致的，以单价金额为准修正总价，但单价金额小数点有明显错误的除外。</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3.2详细评审</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3.2.1评标委员会按照本章第2.2款规定的评审因素和量化标准进行评分，并计算出综合评估得分。</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3.2.2评分分值计算原则上保留小数点后两位，小数点后第三位“四舍五入”。另有规定的，见评标办法前附表。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3.3投标文件的澄清</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3.3.1在评标过程中，评标委员会应当以书面形式要求投标人对所递交的投标文件中不明确的内容进行书面澄清、说明或者对投标文件中的细微偏差进行补正。评标委员会不接受投标人主动提出的澄清、说明或者补正。</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3.3.2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3.3.3澄清、说明和补正不得改变投标文件的实质性内容（算术性错误修正的除外）。投标人的书面澄清、说明和补正属于投标选文件的组成部分。</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3.3.4评标委员会对投标人递交的澄清、说明或者补正有疑问的，可以要求投标人进一步澄清、说明或者补正，直至满足评标委员会的要求。</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3.3.5评标委员会必要时可以要求投标人递交有关证明和证件的原件，以便核验。</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3.4中标候选人推荐原则</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3.4.1评标委员会按照综合评分由高到低的顺序推荐中标候选人。综合评分相同的，处理原则见评标办法前附表。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3.4.2中标候选人推荐原则见评标办法前附表。</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3.5评标结果</w:t>
      </w:r>
    </w:p>
    <w:p>
      <w:pPr>
        <w:pStyle w:val="12"/>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3.5.1评标委员会完成评标后，应当向招标人递交书面评标报告。评标委员会分组评标的，应当形成统一、完整的评标报告。</w:t>
      </w:r>
    </w:p>
    <w:p/>
    <w:p/>
    <w:p/>
    <w:p>
      <w:pPr>
        <w:widowControl/>
        <w:jc w:val="left"/>
      </w:pPr>
      <w:r>
        <w:br w:type="page"/>
      </w:r>
    </w:p>
    <w:p>
      <w:pPr>
        <w:pStyle w:val="30"/>
        <w:spacing w:before="240" w:after="120" w:line="360" w:lineRule="auto"/>
        <w:rPr>
          <w:rFonts w:hint="eastAsia" w:ascii="仿宋" w:hAnsi="仿宋" w:eastAsia="仿宋" w:cs="宋体"/>
          <w:b/>
          <w:bCs w:val="0"/>
          <w:kern w:val="0"/>
          <w:sz w:val="32"/>
          <w:szCs w:val="32"/>
          <w:lang w:val="zh-CN"/>
        </w:rPr>
      </w:pPr>
      <w:bookmarkStart w:id="151" w:name="_Toc193699378"/>
      <w:r>
        <w:rPr>
          <w:rFonts w:hint="eastAsia" w:ascii="仿宋" w:hAnsi="仿宋" w:eastAsia="仿宋" w:cs="宋体"/>
          <w:b/>
          <w:bCs w:val="0"/>
          <w:kern w:val="0"/>
          <w:sz w:val="32"/>
          <w:szCs w:val="32"/>
          <w:lang w:val="zh-CN"/>
        </w:rPr>
        <w:t>第六章  投标文件格式</w:t>
      </w:r>
      <w:bookmarkEnd w:id="151"/>
    </w:p>
    <w:p>
      <w:pPr>
        <w:pStyle w:val="32"/>
        <w:ind w:firstLine="0" w:firstLineChars="0"/>
        <w:rPr>
          <w:rFonts w:hint="eastAsia" w:ascii="仿宋" w:hAnsi="仿宋" w:eastAsia="仿宋"/>
          <w:sz w:val="21"/>
        </w:rPr>
      </w:pPr>
      <w:r>
        <w:rPr>
          <w:rFonts w:hint="eastAsia" w:ascii="仿宋" w:hAnsi="仿宋" w:eastAsia="仿宋"/>
          <w:sz w:val="21"/>
        </w:rPr>
        <w:t>说明：</w:t>
      </w:r>
    </w:p>
    <w:p>
      <w:pPr>
        <w:pStyle w:val="32"/>
        <w:ind w:firstLine="420"/>
        <w:rPr>
          <w:rFonts w:hint="eastAsia" w:ascii="仿宋" w:hAnsi="仿宋" w:eastAsia="仿宋"/>
          <w:sz w:val="21"/>
        </w:rPr>
      </w:pPr>
      <w:r>
        <w:rPr>
          <w:rFonts w:hint="eastAsia" w:ascii="仿宋" w:hAnsi="仿宋" w:eastAsia="仿宋"/>
          <w:sz w:val="21"/>
        </w:rPr>
        <w:t>本格式应根据第二章 投标人须知前附表3.1条款中关于纸质文件提供顺序进行修改，应与投标文件组成顺序一一对应。</w:t>
      </w:r>
    </w:p>
    <w:p>
      <w:pPr>
        <w:pStyle w:val="12"/>
        <w:tabs>
          <w:tab w:val="left" w:pos="630"/>
        </w:tabs>
        <w:snapToGrid w:val="0"/>
        <w:spacing w:line="440" w:lineRule="exact"/>
        <w:ind w:firstLine="426" w:firstLineChars="202"/>
        <w:rPr>
          <w:rFonts w:hint="eastAsia" w:ascii="仿宋" w:hAnsi="仿宋" w:eastAsia="仿宋"/>
          <w:b/>
          <w:bCs/>
        </w:rPr>
      </w:pPr>
      <w:r>
        <w:rPr>
          <w:rFonts w:hint="eastAsia" w:ascii="仿宋" w:hAnsi="仿宋" w:eastAsia="仿宋"/>
          <w:b/>
          <w:bCs/>
        </w:rPr>
        <w:t>第一分册 商务、技术分册投标文件</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商务、技术分册封面</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评标索引表</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投标函</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法定代表人（负责人）身份证明</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法定代表人（负责人）授权委托书</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资格审查资料</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商务合同条款偏离表</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实质性条款偏离表</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采购需求条款偏离表</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服务承诺函</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同类项目业绩情况</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拟投入本项目服务人员</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关键技术性条款应答情况</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其他资料（若有）</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项目理解（格式自拟）</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服务方案（格式自拟）</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投标人认为需要提供的其他资料（格式自拟）</w:t>
      </w:r>
    </w:p>
    <w:p>
      <w:pPr>
        <w:pStyle w:val="12"/>
        <w:tabs>
          <w:tab w:val="left" w:pos="630"/>
        </w:tabs>
        <w:snapToGrid w:val="0"/>
        <w:spacing w:line="440" w:lineRule="exact"/>
        <w:ind w:firstLine="424" w:firstLineChars="202"/>
        <w:rPr>
          <w:rFonts w:hint="eastAsia" w:ascii="仿宋" w:hAnsi="仿宋" w:eastAsia="仿宋"/>
        </w:rPr>
      </w:pPr>
    </w:p>
    <w:p>
      <w:pPr>
        <w:pStyle w:val="12"/>
        <w:tabs>
          <w:tab w:val="left" w:pos="630"/>
        </w:tabs>
        <w:snapToGrid w:val="0"/>
        <w:spacing w:line="440" w:lineRule="exact"/>
        <w:ind w:firstLine="426" w:firstLineChars="202"/>
        <w:rPr>
          <w:rFonts w:hint="eastAsia" w:ascii="仿宋" w:hAnsi="仿宋" w:eastAsia="仿宋"/>
          <w:b/>
          <w:bCs/>
        </w:rPr>
      </w:pPr>
      <w:r>
        <w:rPr>
          <w:rFonts w:hint="eastAsia" w:ascii="仿宋" w:hAnsi="仿宋" w:eastAsia="仿宋"/>
          <w:b/>
          <w:bCs/>
        </w:rPr>
        <w:t>第二分册 经济分册投标文件</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经济分册封面</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投标报价一览表</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分项报价报</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招标代理服务费承诺书</w:t>
      </w:r>
    </w:p>
    <w:p>
      <w:pPr>
        <w:pStyle w:val="12"/>
        <w:numPr>
          <w:ilvl w:val="0"/>
          <w:numId w:val="16"/>
        </w:numPr>
        <w:tabs>
          <w:tab w:val="left" w:pos="630"/>
        </w:tabs>
        <w:snapToGrid w:val="0"/>
        <w:spacing w:line="440" w:lineRule="exact"/>
        <w:rPr>
          <w:rFonts w:hint="eastAsia" w:ascii="仿宋" w:hAnsi="仿宋" w:eastAsia="仿宋"/>
        </w:rPr>
      </w:pPr>
      <w:r>
        <w:rPr>
          <w:rFonts w:hint="eastAsia" w:ascii="仿宋" w:hAnsi="仿宋" w:eastAsia="仿宋"/>
        </w:rPr>
        <w:t>投标保证金凭证</w:t>
      </w:r>
    </w:p>
    <w:p/>
    <w:p>
      <w:pPr>
        <w:widowControl/>
        <w:jc w:val="left"/>
      </w:pPr>
      <w:r>
        <w:br w:type="page"/>
      </w:r>
    </w:p>
    <w:p>
      <w:pPr>
        <w:pStyle w:val="4"/>
        <w:spacing w:before="156" w:beforeLines="50" w:after="156" w:afterLines="50" w:line="360" w:lineRule="auto"/>
        <w:rPr>
          <w:rFonts w:hint="eastAsia" w:ascii="仿宋" w:hAnsi="仿宋" w:eastAsia="仿宋"/>
          <w:sz w:val="28"/>
          <w:szCs w:val="28"/>
        </w:rPr>
      </w:pPr>
      <w:bookmarkStart w:id="152" w:name="_Toc193699379"/>
      <w:r>
        <w:rPr>
          <w:rFonts w:hint="eastAsia" w:ascii="仿宋" w:hAnsi="仿宋" w:eastAsia="仿宋"/>
          <w:sz w:val="28"/>
          <w:szCs w:val="28"/>
        </w:rPr>
        <w:t>第一分册</w:t>
      </w:r>
      <w:bookmarkEnd w:id="152"/>
    </w:p>
    <w:p>
      <w:pPr>
        <w:pStyle w:val="21"/>
        <w:tabs>
          <w:tab w:val="left" w:pos="602"/>
        </w:tabs>
        <w:snapToGrid w:val="0"/>
        <w:spacing w:before="120" w:after="120" w:line="440" w:lineRule="exact"/>
        <w:jc w:val="left"/>
        <w:rPr>
          <w:rFonts w:hint="eastAsia" w:ascii="仿宋" w:hAnsi="仿宋" w:eastAsia="仿宋"/>
          <w:sz w:val="28"/>
          <w:szCs w:val="28"/>
        </w:rPr>
      </w:pPr>
      <w:bookmarkStart w:id="153" w:name="_Toc193699380"/>
      <w:r>
        <w:rPr>
          <w:rFonts w:hint="eastAsia" w:ascii="仿宋" w:hAnsi="仿宋" w:eastAsia="仿宋"/>
          <w:sz w:val="28"/>
          <w:szCs w:val="28"/>
        </w:rPr>
        <w:t>1.</w:t>
      </w:r>
      <w:r>
        <w:rPr>
          <w:rFonts w:hint="eastAsia" w:ascii="仿宋" w:hAnsi="仿宋" w:eastAsia="仿宋"/>
          <w:sz w:val="28"/>
          <w:szCs w:val="28"/>
        </w:rPr>
        <w:tab/>
      </w:r>
      <w:r>
        <w:rPr>
          <w:rFonts w:hint="eastAsia" w:ascii="仿宋" w:hAnsi="仿宋" w:eastAsia="仿宋"/>
          <w:sz w:val="28"/>
          <w:szCs w:val="28"/>
        </w:rPr>
        <w:t>商务、技术分册投标文件封面</w:t>
      </w:r>
      <w:bookmarkEnd w:id="153"/>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cs="Times New Roman"/>
          <w:b/>
          <w:bCs/>
          <w:sz w:val="28"/>
          <w:szCs w:val="28"/>
        </w:rPr>
      </w:pPr>
      <w:r>
        <w:rPr>
          <w:rFonts w:hint="eastAsia" w:ascii="仿宋" w:hAnsi="仿宋" w:eastAsia="仿宋" w:cs="Times New Roman"/>
          <w:b/>
          <w:bCs/>
          <w:sz w:val="28"/>
          <w:szCs w:val="28"/>
          <w:u w:val="single"/>
        </w:rPr>
        <w:t xml:space="preserve">           </w:t>
      </w:r>
      <w:r>
        <w:rPr>
          <w:rFonts w:hint="eastAsia" w:ascii="仿宋" w:hAnsi="仿宋" w:eastAsia="仿宋" w:cs="Times New Roman"/>
          <w:b/>
          <w:bCs/>
          <w:sz w:val="28"/>
          <w:szCs w:val="28"/>
        </w:rPr>
        <w:t>（项目名称）</w:t>
      </w: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cs="宋体"/>
          <w:b/>
          <w:sz w:val="24"/>
          <w:szCs w:val="24"/>
        </w:rPr>
      </w:pPr>
      <w:r>
        <w:rPr>
          <w:rFonts w:hint="eastAsia" w:ascii="仿宋" w:hAnsi="仿宋" w:eastAsia="仿宋" w:cs="宋体"/>
          <w:b/>
          <w:sz w:val="24"/>
          <w:szCs w:val="24"/>
        </w:rPr>
        <w:t>投标文件（商务、技术分册）部分</w:t>
      </w: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r>
        <w:rPr>
          <w:rFonts w:hint="eastAsia" w:ascii="仿宋" w:hAnsi="仿宋" w:eastAsia="仿宋"/>
          <w:sz w:val="24"/>
          <w:szCs w:val="28"/>
        </w:rPr>
        <w:t>投标人名称：</w:t>
      </w:r>
      <w:r>
        <w:rPr>
          <w:rFonts w:ascii="仿宋" w:hAnsi="仿宋" w:eastAsia="仿宋"/>
          <w:sz w:val="24"/>
          <w:szCs w:val="28"/>
          <w:u w:val="single"/>
        </w:rPr>
        <w:t xml:space="preserve">    </w:t>
      </w:r>
      <w:r>
        <w:rPr>
          <w:rFonts w:hint="eastAsia" w:ascii="仿宋" w:hAnsi="仿宋" w:eastAsia="仿宋"/>
          <w:sz w:val="24"/>
          <w:szCs w:val="28"/>
          <w:u w:val="single"/>
        </w:rPr>
        <w:t xml:space="preserve">      </w:t>
      </w:r>
      <w:r>
        <w:rPr>
          <w:rFonts w:hint="eastAsia" w:ascii="仿宋" w:hAnsi="仿宋" w:eastAsia="仿宋"/>
          <w:sz w:val="24"/>
          <w:szCs w:val="28"/>
        </w:rPr>
        <w:t>（盖单位章）</w:t>
      </w:r>
    </w:p>
    <w:p>
      <w:pPr>
        <w:spacing w:before="93" w:beforeLines="30" w:after="93" w:afterLines="30" w:line="360" w:lineRule="auto"/>
        <w:jc w:val="center"/>
        <w:rPr>
          <w:rFonts w:hint="eastAsia" w:ascii="仿宋" w:hAnsi="仿宋" w:eastAsia="仿宋"/>
          <w:sz w:val="24"/>
          <w:szCs w:val="28"/>
        </w:rPr>
      </w:pPr>
      <w:r>
        <w:rPr>
          <w:rFonts w:hint="eastAsia" w:ascii="仿宋" w:hAnsi="仿宋" w:eastAsia="仿宋"/>
          <w:sz w:val="24"/>
          <w:szCs w:val="28"/>
        </w:rPr>
        <w:t>日期：</w:t>
      </w:r>
      <w:r>
        <w:rPr>
          <w:rFonts w:hint="eastAsia" w:ascii="仿宋" w:hAnsi="仿宋" w:eastAsia="仿宋"/>
          <w:sz w:val="24"/>
          <w:szCs w:val="28"/>
          <w:u w:val="single"/>
        </w:rPr>
        <w:t xml:space="preserve">    </w:t>
      </w:r>
      <w:r>
        <w:rPr>
          <w:rFonts w:hint="eastAsia" w:ascii="仿宋" w:hAnsi="仿宋" w:eastAsia="仿宋"/>
          <w:sz w:val="24"/>
          <w:szCs w:val="28"/>
        </w:rPr>
        <w:t>年</w:t>
      </w:r>
      <w:r>
        <w:rPr>
          <w:rFonts w:hint="eastAsia" w:ascii="仿宋" w:hAnsi="仿宋" w:eastAsia="仿宋"/>
          <w:sz w:val="24"/>
          <w:szCs w:val="28"/>
          <w:u w:val="single"/>
        </w:rPr>
        <w:t xml:space="preserve">    </w:t>
      </w:r>
      <w:r>
        <w:rPr>
          <w:rFonts w:hint="eastAsia" w:ascii="仿宋" w:hAnsi="仿宋" w:eastAsia="仿宋"/>
          <w:sz w:val="24"/>
          <w:szCs w:val="28"/>
        </w:rPr>
        <w:t>月</w:t>
      </w:r>
      <w:r>
        <w:rPr>
          <w:rFonts w:hint="eastAsia" w:ascii="仿宋" w:hAnsi="仿宋" w:eastAsia="仿宋"/>
          <w:sz w:val="24"/>
          <w:szCs w:val="28"/>
          <w:u w:val="single"/>
        </w:rPr>
        <w:t xml:space="preserve">    </w:t>
      </w:r>
      <w:r>
        <w:rPr>
          <w:rFonts w:hint="eastAsia" w:ascii="仿宋" w:hAnsi="仿宋" w:eastAsia="仿宋"/>
          <w:sz w:val="24"/>
          <w:szCs w:val="28"/>
        </w:rPr>
        <w:t>日</w:t>
      </w: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
    <w:p>
      <w:pPr>
        <w:widowControl/>
        <w:jc w:val="left"/>
      </w:pPr>
      <w:r>
        <w:br w:type="page"/>
      </w:r>
    </w:p>
    <w:p/>
    <w:p>
      <w:pPr>
        <w:pStyle w:val="21"/>
        <w:tabs>
          <w:tab w:val="left" w:pos="602"/>
        </w:tabs>
        <w:snapToGrid w:val="0"/>
        <w:spacing w:before="120" w:after="120" w:line="440" w:lineRule="exact"/>
        <w:jc w:val="left"/>
        <w:rPr>
          <w:rFonts w:hint="eastAsia" w:ascii="仿宋" w:hAnsi="仿宋" w:eastAsia="仿宋"/>
          <w:sz w:val="28"/>
          <w:szCs w:val="28"/>
        </w:rPr>
      </w:pPr>
      <w:bookmarkStart w:id="154" w:name="_Toc193699381"/>
      <w:r>
        <w:rPr>
          <w:rFonts w:hint="eastAsia" w:ascii="仿宋" w:hAnsi="仿宋" w:eastAsia="仿宋"/>
          <w:sz w:val="28"/>
          <w:szCs w:val="28"/>
        </w:rPr>
        <w:t>2.</w:t>
      </w:r>
      <w:r>
        <w:rPr>
          <w:rFonts w:hint="eastAsia" w:ascii="仿宋" w:hAnsi="仿宋" w:eastAsia="仿宋"/>
          <w:sz w:val="28"/>
          <w:szCs w:val="28"/>
        </w:rPr>
        <w:tab/>
      </w:r>
      <w:r>
        <w:rPr>
          <w:rFonts w:hint="eastAsia" w:ascii="仿宋" w:hAnsi="仿宋" w:eastAsia="仿宋"/>
          <w:sz w:val="28"/>
          <w:szCs w:val="28"/>
        </w:rPr>
        <w:t>评标索引表</w:t>
      </w:r>
      <w:bookmarkEnd w:id="154"/>
    </w:p>
    <w:p>
      <w:pPr>
        <w:spacing w:line="360" w:lineRule="auto"/>
        <w:jc w:val="center"/>
        <w:rPr>
          <w:rFonts w:hint="eastAsia" w:ascii="仿宋" w:hAnsi="仿宋" w:eastAsia="仿宋"/>
          <w:b/>
          <w:sz w:val="28"/>
          <w:szCs w:val="28"/>
        </w:rPr>
      </w:pPr>
      <w:r>
        <w:rPr>
          <w:rFonts w:hint="eastAsia" w:ascii="仿宋" w:hAnsi="仿宋" w:eastAsia="仿宋"/>
          <w:b/>
          <w:sz w:val="28"/>
          <w:szCs w:val="28"/>
        </w:rPr>
        <w:t>评标索引表</w:t>
      </w:r>
    </w:p>
    <w:p>
      <w:pPr>
        <w:pStyle w:val="32"/>
        <w:ind w:firstLine="0" w:firstLineChars="0"/>
        <w:rPr>
          <w:rFonts w:hint="eastAsia" w:ascii="仿宋" w:hAnsi="仿宋" w:eastAsia="仿宋"/>
          <w:b/>
          <w:bCs/>
          <w:sz w:val="21"/>
        </w:rPr>
      </w:pPr>
      <w:r>
        <w:rPr>
          <w:rFonts w:hint="eastAsia" w:ascii="仿宋" w:hAnsi="仿宋" w:eastAsia="仿宋"/>
          <w:b/>
          <w:bCs/>
          <w:sz w:val="21"/>
        </w:rPr>
        <w:t>说明：</w:t>
      </w:r>
    </w:p>
    <w:p>
      <w:pPr>
        <w:pStyle w:val="32"/>
        <w:ind w:firstLine="420"/>
        <w:rPr>
          <w:rFonts w:hint="eastAsia" w:ascii="仿宋" w:hAnsi="仿宋" w:eastAsia="仿宋"/>
          <w:sz w:val="21"/>
        </w:rPr>
      </w:pPr>
      <w:r>
        <w:rPr>
          <w:rFonts w:hint="eastAsia" w:ascii="仿宋" w:hAnsi="仿宋" w:eastAsia="仿宋"/>
          <w:sz w:val="21"/>
        </w:rPr>
        <w:t>此部分内容建议按照第五章“评标办法”的评审标准的顺序一一罗列。</w:t>
      </w:r>
    </w:p>
    <w:p>
      <w:pPr>
        <w:pStyle w:val="32"/>
        <w:ind w:firstLine="0" w:firstLineChars="0"/>
        <w:jc w:val="center"/>
        <w:rPr>
          <w:rFonts w:hint="eastAsia" w:ascii="仿宋" w:hAnsi="仿宋" w:eastAsia="仿宋"/>
          <w:b/>
          <w:bCs/>
          <w:sz w:val="22"/>
          <w:szCs w:val="22"/>
        </w:rPr>
      </w:pPr>
      <w:r>
        <w:rPr>
          <w:rFonts w:hint="eastAsia" w:ascii="仿宋" w:hAnsi="仿宋" w:eastAsia="仿宋"/>
          <w:b/>
          <w:bCs/>
          <w:sz w:val="22"/>
          <w:szCs w:val="22"/>
        </w:rPr>
        <w:t>资格审查索引表</w:t>
      </w:r>
    </w:p>
    <w:tbl>
      <w:tblPr>
        <w:tblStyle w:val="24"/>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114"/>
        <w:gridCol w:w="3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993"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4114"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评审因素</w:t>
            </w:r>
          </w:p>
        </w:tc>
        <w:tc>
          <w:tcPr>
            <w:tcW w:w="3689"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1</w:t>
            </w:r>
          </w:p>
        </w:tc>
        <w:tc>
          <w:tcPr>
            <w:tcW w:w="4114"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投标人名称</w:t>
            </w: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w:t>
            </w:r>
          </w:p>
        </w:tc>
        <w:tc>
          <w:tcPr>
            <w:tcW w:w="4114"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法人代表证明书及法人授权书</w:t>
            </w: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w:t>
            </w:r>
          </w:p>
        </w:tc>
        <w:tc>
          <w:tcPr>
            <w:tcW w:w="4114" w:type="dxa"/>
            <w:vAlign w:val="center"/>
          </w:tcPr>
          <w:p>
            <w:pPr>
              <w:autoSpaceDE w:val="0"/>
              <w:autoSpaceDN w:val="0"/>
              <w:spacing w:before="93" w:beforeLines="30" w:after="93" w:afterLines="30" w:line="440" w:lineRule="exact"/>
              <w:jc w:val="center"/>
              <w:rPr>
                <w:rFonts w:hint="eastAsia" w:ascii="仿宋" w:hAnsi="仿宋" w:eastAsia="仿宋" w:cs="宋体"/>
                <w:bCs/>
                <w:szCs w:val="21"/>
              </w:rPr>
            </w:pPr>
            <w:r>
              <w:rPr>
                <w:rFonts w:hint="eastAsia" w:ascii="仿宋" w:hAnsi="仿宋" w:eastAsia="仿宋" w:cs="宋体"/>
                <w:bCs/>
                <w:szCs w:val="21"/>
              </w:rPr>
              <w:t>……</w:t>
            </w: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p>
        </w:tc>
        <w:tc>
          <w:tcPr>
            <w:tcW w:w="4114" w:type="dxa"/>
            <w:vAlign w:val="center"/>
          </w:tcPr>
          <w:p>
            <w:pPr>
              <w:autoSpaceDE w:val="0"/>
              <w:autoSpaceDN w:val="0"/>
              <w:snapToGrid w:val="0"/>
              <w:spacing w:before="93" w:beforeLines="30" w:after="93" w:afterLines="30"/>
              <w:jc w:val="center"/>
              <w:rPr>
                <w:rFonts w:hint="eastAsia" w:ascii="仿宋" w:hAnsi="仿宋" w:eastAsia="仿宋" w:cs="宋体"/>
                <w:bCs/>
                <w:szCs w:val="21"/>
              </w:rPr>
            </w:pP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p>
        </w:tc>
      </w:tr>
    </w:tbl>
    <w:p>
      <w:pPr>
        <w:pStyle w:val="32"/>
        <w:ind w:firstLine="0" w:firstLineChars="0"/>
        <w:jc w:val="center"/>
        <w:rPr>
          <w:rFonts w:hint="eastAsia" w:ascii="仿宋" w:hAnsi="仿宋" w:eastAsia="仿宋"/>
          <w:b/>
          <w:bCs/>
          <w:sz w:val="22"/>
          <w:szCs w:val="22"/>
        </w:rPr>
      </w:pPr>
      <w:r>
        <w:rPr>
          <w:rFonts w:hint="eastAsia" w:ascii="仿宋" w:hAnsi="仿宋" w:eastAsia="仿宋"/>
          <w:b/>
          <w:bCs/>
          <w:sz w:val="22"/>
          <w:szCs w:val="22"/>
        </w:rPr>
        <w:t>商务审查索引表</w:t>
      </w:r>
    </w:p>
    <w:tbl>
      <w:tblPr>
        <w:tblStyle w:val="24"/>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114"/>
        <w:gridCol w:w="3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4" w:hRule="atLeast"/>
          <w:tblHeader/>
          <w:jc w:val="center"/>
        </w:trPr>
        <w:tc>
          <w:tcPr>
            <w:tcW w:w="993"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4114"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评审因素</w:t>
            </w:r>
          </w:p>
        </w:tc>
        <w:tc>
          <w:tcPr>
            <w:tcW w:w="3689"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1</w:t>
            </w:r>
          </w:p>
        </w:tc>
        <w:tc>
          <w:tcPr>
            <w:tcW w:w="4114" w:type="dxa"/>
            <w:vAlign w:val="center"/>
          </w:tcPr>
          <w:p>
            <w:pPr>
              <w:autoSpaceDE w:val="0"/>
              <w:autoSpaceDN w:val="0"/>
              <w:spacing w:before="93" w:beforeLines="30" w:after="93" w:afterLines="30"/>
              <w:jc w:val="center"/>
              <w:rPr>
                <w:rFonts w:hint="eastAsia" w:ascii="仿宋" w:hAnsi="仿宋" w:eastAsia="仿宋" w:cs="宋体"/>
                <w:bCs/>
                <w:szCs w:val="21"/>
              </w:rPr>
            </w:pP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w:t>
            </w:r>
          </w:p>
        </w:tc>
        <w:tc>
          <w:tcPr>
            <w:tcW w:w="4114" w:type="dxa"/>
            <w:vAlign w:val="center"/>
          </w:tcPr>
          <w:p>
            <w:pPr>
              <w:autoSpaceDE w:val="0"/>
              <w:autoSpaceDN w:val="0"/>
              <w:spacing w:before="93" w:beforeLines="30" w:after="93" w:afterLines="30"/>
              <w:jc w:val="center"/>
              <w:rPr>
                <w:rFonts w:hint="eastAsia" w:ascii="仿宋" w:hAnsi="仿宋" w:eastAsia="仿宋" w:cs="宋体"/>
                <w:bCs/>
                <w:szCs w:val="21"/>
              </w:rPr>
            </w:pP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w:t>
            </w:r>
          </w:p>
        </w:tc>
        <w:tc>
          <w:tcPr>
            <w:tcW w:w="4114" w:type="dxa"/>
            <w:vAlign w:val="center"/>
          </w:tcPr>
          <w:p>
            <w:pPr>
              <w:autoSpaceDE w:val="0"/>
              <w:autoSpaceDN w:val="0"/>
              <w:spacing w:before="93" w:beforeLines="30" w:after="93" w:afterLines="30" w:line="440" w:lineRule="exact"/>
              <w:jc w:val="center"/>
              <w:rPr>
                <w:rFonts w:hint="eastAsia" w:ascii="仿宋" w:hAnsi="仿宋" w:eastAsia="仿宋" w:cs="宋体"/>
                <w:bCs/>
                <w:szCs w:val="21"/>
              </w:rPr>
            </w:pPr>
            <w:r>
              <w:rPr>
                <w:rFonts w:hint="eastAsia" w:ascii="仿宋" w:hAnsi="仿宋" w:eastAsia="仿宋" w:cs="宋体"/>
                <w:bCs/>
                <w:szCs w:val="21"/>
              </w:rPr>
              <w:t>……</w:t>
            </w: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p>
        </w:tc>
        <w:tc>
          <w:tcPr>
            <w:tcW w:w="4114" w:type="dxa"/>
            <w:vAlign w:val="center"/>
          </w:tcPr>
          <w:p>
            <w:pPr>
              <w:autoSpaceDE w:val="0"/>
              <w:autoSpaceDN w:val="0"/>
              <w:snapToGrid w:val="0"/>
              <w:spacing w:before="93" w:beforeLines="30" w:after="93" w:afterLines="30"/>
              <w:jc w:val="center"/>
              <w:rPr>
                <w:rFonts w:hint="eastAsia" w:ascii="仿宋" w:hAnsi="仿宋" w:eastAsia="仿宋" w:cs="宋体"/>
                <w:bCs/>
                <w:szCs w:val="21"/>
              </w:rPr>
            </w:pP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p>
        </w:tc>
      </w:tr>
    </w:tbl>
    <w:p>
      <w:pPr>
        <w:pStyle w:val="32"/>
        <w:ind w:firstLine="0" w:firstLineChars="0"/>
        <w:jc w:val="center"/>
        <w:rPr>
          <w:rFonts w:hint="eastAsia" w:ascii="仿宋" w:hAnsi="仿宋" w:eastAsia="仿宋"/>
          <w:b/>
          <w:bCs/>
          <w:sz w:val="22"/>
          <w:szCs w:val="22"/>
        </w:rPr>
      </w:pPr>
      <w:r>
        <w:rPr>
          <w:rFonts w:hint="eastAsia" w:ascii="仿宋" w:hAnsi="仿宋" w:eastAsia="仿宋"/>
          <w:b/>
          <w:bCs/>
          <w:sz w:val="22"/>
          <w:szCs w:val="22"/>
        </w:rPr>
        <w:t>技术审查索引表</w:t>
      </w:r>
    </w:p>
    <w:tbl>
      <w:tblPr>
        <w:tblStyle w:val="24"/>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114"/>
        <w:gridCol w:w="3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993"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4114"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评审因素</w:t>
            </w:r>
          </w:p>
        </w:tc>
        <w:tc>
          <w:tcPr>
            <w:tcW w:w="3689" w:type="dxa"/>
            <w:shd w:val="clear" w:color="auto" w:fill="F1F1F1" w:themeFill="background1" w:themeFillShade="F2"/>
            <w:vAlign w:val="center"/>
          </w:tcPr>
          <w:p>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1</w:t>
            </w:r>
          </w:p>
        </w:tc>
        <w:tc>
          <w:tcPr>
            <w:tcW w:w="4114" w:type="dxa"/>
            <w:vAlign w:val="center"/>
          </w:tcPr>
          <w:p>
            <w:pPr>
              <w:autoSpaceDE w:val="0"/>
              <w:autoSpaceDN w:val="0"/>
              <w:spacing w:before="93" w:beforeLines="30" w:after="93" w:afterLines="30"/>
              <w:jc w:val="center"/>
              <w:rPr>
                <w:rFonts w:hint="eastAsia" w:ascii="仿宋" w:hAnsi="仿宋" w:eastAsia="仿宋" w:cs="宋体"/>
                <w:bCs/>
                <w:szCs w:val="21"/>
              </w:rPr>
            </w:pP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w:t>
            </w:r>
          </w:p>
        </w:tc>
        <w:tc>
          <w:tcPr>
            <w:tcW w:w="4114" w:type="dxa"/>
            <w:vAlign w:val="center"/>
          </w:tcPr>
          <w:p>
            <w:pPr>
              <w:autoSpaceDE w:val="0"/>
              <w:autoSpaceDN w:val="0"/>
              <w:spacing w:before="93" w:beforeLines="30" w:after="93" w:afterLines="30"/>
              <w:jc w:val="center"/>
              <w:rPr>
                <w:rFonts w:hint="eastAsia" w:ascii="仿宋" w:hAnsi="仿宋" w:eastAsia="仿宋" w:cs="宋体"/>
                <w:bCs/>
                <w:szCs w:val="21"/>
              </w:rPr>
            </w:pP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w:t>
            </w:r>
          </w:p>
        </w:tc>
        <w:tc>
          <w:tcPr>
            <w:tcW w:w="4114" w:type="dxa"/>
            <w:vAlign w:val="center"/>
          </w:tcPr>
          <w:p>
            <w:pPr>
              <w:autoSpaceDE w:val="0"/>
              <w:autoSpaceDN w:val="0"/>
              <w:spacing w:before="93" w:beforeLines="30" w:after="93" w:afterLines="30" w:line="440" w:lineRule="exact"/>
              <w:jc w:val="center"/>
              <w:rPr>
                <w:rFonts w:hint="eastAsia" w:ascii="仿宋" w:hAnsi="仿宋" w:eastAsia="仿宋" w:cs="宋体"/>
                <w:bCs/>
                <w:szCs w:val="21"/>
              </w:rPr>
            </w:pPr>
            <w:r>
              <w:rPr>
                <w:rFonts w:hint="eastAsia" w:ascii="仿宋" w:hAnsi="仿宋" w:eastAsia="仿宋" w:cs="宋体"/>
                <w:bCs/>
                <w:szCs w:val="21"/>
              </w:rPr>
              <w:t>……</w:t>
            </w: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pPr>
              <w:autoSpaceDE w:val="0"/>
              <w:autoSpaceDN w:val="0"/>
              <w:spacing w:before="93" w:beforeLines="30" w:after="93" w:afterLines="30"/>
              <w:jc w:val="center"/>
              <w:rPr>
                <w:rFonts w:hint="eastAsia" w:ascii="仿宋" w:hAnsi="仿宋" w:eastAsia="仿宋" w:cs="宋体"/>
                <w:bCs/>
                <w:szCs w:val="21"/>
              </w:rPr>
            </w:pPr>
          </w:p>
        </w:tc>
        <w:tc>
          <w:tcPr>
            <w:tcW w:w="4114" w:type="dxa"/>
            <w:vAlign w:val="center"/>
          </w:tcPr>
          <w:p>
            <w:pPr>
              <w:autoSpaceDE w:val="0"/>
              <w:autoSpaceDN w:val="0"/>
              <w:snapToGrid w:val="0"/>
              <w:spacing w:before="93" w:beforeLines="30" w:after="93" w:afterLines="30"/>
              <w:jc w:val="center"/>
              <w:rPr>
                <w:rFonts w:hint="eastAsia" w:ascii="仿宋" w:hAnsi="仿宋" w:eastAsia="仿宋" w:cs="宋体"/>
                <w:bCs/>
                <w:szCs w:val="21"/>
              </w:rPr>
            </w:pPr>
          </w:p>
        </w:tc>
        <w:tc>
          <w:tcPr>
            <w:tcW w:w="3689" w:type="dxa"/>
            <w:vAlign w:val="center"/>
          </w:tcPr>
          <w:p>
            <w:pPr>
              <w:autoSpaceDE w:val="0"/>
              <w:autoSpaceDN w:val="0"/>
              <w:spacing w:before="93" w:beforeLines="30" w:after="93" w:afterLines="30"/>
              <w:jc w:val="center"/>
              <w:rPr>
                <w:rFonts w:hint="eastAsia" w:ascii="仿宋" w:hAnsi="仿宋" w:eastAsia="仿宋" w:cs="宋体"/>
                <w:bCs/>
                <w:szCs w:val="21"/>
              </w:rPr>
            </w:pPr>
          </w:p>
        </w:tc>
      </w:tr>
    </w:tbl>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55" w:name="_Toc193699382"/>
      <w:r>
        <w:rPr>
          <w:rFonts w:hint="eastAsia" w:ascii="仿宋" w:hAnsi="仿宋" w:eastAsia="仿宋"/>
          <w:sz w:val="28"/>
          <w:szCs w:val="28"/>
        </w:rPr>
        <w:t>3.</w:t>
      </w:r>
      <w:r>
        <w:rPr>
          <w:rFonts w:hint="eastAsia" w:ascii="仿宋" w:hAnsi="仿宋" w:eastAsia="仿宋"/>
          <w:sz w:val="28"/>
          <w:szCs w:val="28"/>
        </w:rPr>
        <w:tab/>
      </w:r>
      <w:r>
        <w:rPr>
          <w:rFonts w:hint="eastAsia" w:ascii="仿宋" w:hAnsi="仿宋" w:eastAsia="仿宋"/>
          <w:sz w:val="28"/>
          <w:szCs w:val="28"/>
        </w:rPr>
        <w:t>投标函</w:t>
      </w:r>
      <w:bookmarkEnd w:id="155"/>
    </w:p>
    <w:p>
      <w:pPr>
        <w:spacing w:line="360" w:lineRule="auto"/>
        <w:jc w:val="center"/>
        <w:rPr>
          <w:rFonts w:hint="eastAsia" w:ascii="仿宋" w:hAnsi="仿宋" w:eastAsia="仿宋"/>
          <w:b/>
          <w:sz w:val="28"/>
          <w:szCs w:val="28"/>
        </w:rPr>
      </w:pPr>
      <w:r>
        <w:rPr>
          <w:rFonts w:hint="eastAsia" w:ascii="仿宋" w:hAnsi="仿宋" w:eastAsia="仿宋"/>
          <w:b/>
          <w:sz w:val="28"/>
          <w:szCs w:val="28"/>
        </w:rPr>
        <w:t>投标函</w:t>
      </w:r>
    </w:p>
    <w:p>
      <w:pPr>
        <w:pStyle w:val="32"/>
        <w:ind w:firstLine="0" w:firstLineChars="0"/>
        <w:rPr>
          <w:rFonts w:hint="eastAsia" w:ascii="仿宋" w:hAnsi="仿宋" w:eastAsia="仿宋"/>
          <w:sz w:val="21"/>
        </w:rPr>
      </w:pPr>
      <w:r>
        <w:rPr>
          <w:rFonts w:hint="eastAsia" w:ascii="仿宋" w:hAnsi="仿宋" w:eastAsia="仿宋"/>
          <w:sz w:val="21"/>
        </w:rPr>
        <w:t>致：</w:t>
      </w:r>
      <w:r>
        <w:rPr>
          <w:rFonts w:hint="eastAsia" w:ascii="仿宋" w:hAnsi="仿宋" w:eastAsia="仿宋"/>
          <w:sz w:val="21"/>
          <w:u w:val="single"/>
        </w:rPr>
        <w:t>广东南方报业传媒集团有限公司、广东省南方文化产权交易所股份有限公司</w:t>
      </w:r>
    </w:p>
    <w:p>
      <w:pPr>
        <w:pStyle w:val="32"/>
        <w:ind w:firstLine="420"/>
        <w:rPr>
          <w:rFonts w:hint="eastAsia" w:ascii="仿宋" w:hAnsi="仿宋" w:eastAsia="仿宋"/>
          <w:sz w:val="21"/>
        </w:rPr>
      </w:pPr>
      <w:r>
        <w:rPr>
          <w:rFonts w:hint="eastAsia" w:ascii="仿宋" w:hAnsi="仿宋" w:eastAsia="仿宋"/>
          <w:sz w:val="21"/>
          <w:u w:val="single"/>
        </w:rPr>
        <w:t xml:space="preserve">      </w:t>
      </w:r>
      <w:r>
        <w:rPr>
          <w:rFonts w:hint="eastAsia" w:ascii="仿宋" w:hAnsi="仿宋" w:eastAsia="仿宋"/>
          <w:sz w:val="21"/>
        </w:rPr>
        <w:t>（投标人名称）（以下称“我方”）已仔细研究了</w:t>
      </w:r>
      <w:r>
        <w:rPr>
          <w:rFonts w:hint="eastAsia" w:ascii="仿宋" w:hAnsi="仿宋" w:eastAsia="仿宋"/>
          <w:sz w:val="21"/>
          <w:u w:val="single"/>
        </w:rPr>
        <w:t>2025年度网络安全建设和服务项目</w:t>
      </w:r>
      <w:r>
        <w:rPr>
          <w:rFonts w:hint="eastAsia" w:ascii="仿宋" w:hAnsi="仿宋" w:eastAsia="仿宋"/>
          <w:sz w:val="21"/>
        </w:rPr>
        <w:t>（项目编号：</w:t>
      </w:r>
      <w:r>
        <w:rPr>
          <w:rFonts w:hint="eastAsia" w:ascii="仿宋" w:hAnsi="仿宋" w:eastAsia="仿宋"/>
          <w:sz w:val="21"/>
          <w:u w:val="single"/>
        </w:rPr>
        <w:t>WJS-202503140012</w:t>
      </w:r>
      <w:r>
        <w:rPr>
          <w:rFonts w:hint="eastAsia" w:ascii="仿宋" w:hAnsi="仿宋" w:eastAsia="仿宋"/>
          <w:sz w:val="21"/>
        </w:rPr>
        <w:t>）招标文件的全部内容，包括澄清或者修改文件以及有关附件，我方将严格按照招标文件要求递交符合要求的全部投标文件。</w:t>
      </w:r>
    </w:p>
    <w:p>
      <w:pPr>
        <w:pStyle w:val="32"/>
        <w:ind w:firstLine="420"/>
        <w:rPr>
          <w:rFonts w:hint="eastAsia" w:ascii="仿宋" w:hAnsi="仿宋" w:eastAsia="仿宋"/>
          <w:sz w:val="21"/>
        </w:rPr>
      </w:pPr>
      <w:r>
        <w:rPr>
          <w:rFonts w:hint="eastAsia" w:ascii="仿宋" w:hAnsi="仿宋" w:eastAsia="仿宋"/>
          <w:sz w:val="21"/>
        </w:rPr>
        <w:t>我方承诺如下内容：</w:t>
      </w:r>
    </w:p>
    <w:p>
      <w:pPr>
        <w:pStyle w:val="32"/>
        <w:ind w:firstLine="420"/>
        <w:rPr>
          <w:rFonts w:hint="eastAsia" w:ascii="仿宋" w:hAnsi="仿宋" w:eastAsia="仿宋"/>
          <w:sz w:val="21"/>
        </w:rPr>
      </w:pPr>
      <w:r>
        <w:rPr>
          <w:rFonts w:hint="eastAsia" w:ascii="仿宋" w:hAnsi="仿宋" w:eastAsia="仿宋"/>
          <w:sz w:val="21"/>
        </w:rPr>
        <w:t>1.</w:t>
      </w:r>
      <w:r>
        <w:rPr>
          <w:rFonts w:hint="eastAsia" w:ascii="仿宋" w:hAnsi="仿宋" w:eastAsia="仿宋"/>
          <w:sz w:val="21"/>
        </w:rPr>
        <w:tab/>
      </w:r>
      <w:r>
        <w:rPr>
          <w:rFonts w:hint="eastAsia" w:ascii="仿宋" w:hAnsi="仿宋" w:eastAsia="仿宋"/>
          <w:sz w:val="21"/>
        </w:rPr>
        <w:t>我方的投标文件包含第二章“投标人须知”第3.1款规定的全部内容。</w:t>
      </w:r>
    </w:p>
    <w:p>
      <w:pPr>
        <w:pStyle w:val="32"/>
        <w:ind w:firstLine="420"/>
        <w:rPr>
          <w:rFonts w:hint="eastAsia" w:ascii="仿宋" w:hAnsi="仿宋" w:eastAsia="仿宋"/>
          <w:sz w:val="21"/>
        </w:rPr>
      </w:pPr>
      <w:r>
        <w:rPr>
          <w:rFonts w:hint="eastAsia" w:ascii="仿宋" w:hAnsi="仿宋" w:eastAsia="仿宋"/>
          <w:sz w:val="21"/>
        </w:rPr>
        <w:t>2.</w:t>
      </w:r>
      <w:r>
        <w:rPr>
          <w:rFonts w:hint="eastAsia" w:ascii="仿宋" w:hAnsi="仿宋" w:eastAsia="仿宋"/>
          <w:sz w:val="21"/>
        </w:rPr>
        <w:tab/>
      </w:r>
      <w:r>
        <w:rPr>
          <w:rFonts w:hint="eastAsia" w:ascii="仿宋" w:hAnsi="仿宋" w:eastAsia="仿宋"/>
          <w:sz w:val="21"/>
        </w:rPr>
        <w:t>我方承诺在招标文件规定的投标有效期（</w:t>
      </w:r>
      <w:r>
        <w:rPr>
          <w:rFonts w:hint="eastAsia" w:ascii="仿宋" w:hAnsi="仿宋" w:eastAsia="仿宋"/>
          <w:b/>
          <w:bCs/>
          <w:sz w:val="21"/>
          <w:u w:val="single"/>
        </w:rPr>
        <w:t>投标有效期为90天</w:t>
      </w:r>
      <w:r>
        <w:rPr>
          <w:rFonts w:hint="eastAsia" w:ascii="仿宋" w:hAnsi="仿宋" w:eastAsia="仿宋"/>
          <w:sz w:val="21"/>
        </w:rPr>
        <w:t>）内不修改、撤销投标文件。</w:t>
      </w:r>
    </w:p>
    <w:p>
      <w:pPr>
        <w:pStyle w:val="32"/>
        <w:ind w:firstLine="420"/>
        <w:rPr>
          <w:rFonts w:hint="eastAsia" w:ascii="仿宋" w:hAnsi="仿宋" w:eastAsia="仿宋"/>
          <w:sz w:val="21"/>
        </w:rPr>
      </w:pPr>
      <w:r>
        <w:rPr>
          <w:rFonts w:hint="eastAsia" w:ascii="仿宋" w:hAnsi="仿宋" w:eastAsia="仿宋"/>
          <w:sz w:val="21"/>
        </w:rPr>
        <w:t>3.</w:t>
      </w:r>
      <w:r>
        <w:rPr>
          <w:rFonts w:hint="eastAsia" w:ascii="仿宋" w:hAnsi="仿宋" w:eastAsia="仿宋"/>
          <w:sz w:val="21"/>
        </w:rPr>
        <w:tab/>
      </w:r>
      <w:r>
        <w:rPr>
          <w:rFonts w:hint="eastAsia" w:ascii="仿宋" w:hAnsi="仿宋" w:eastAsia="仿宋"/>
          <w:sz w:val="21"/>
        </w:rPr>
        <w:t>随同本投标函递交投标保证金一份，</w:t>
      </w:r>
      <w:r>
        <w:rPr>
          <w:rFonts w:hint="eastAsia" w:ascii="仿宋" w:hAnsi="仿宋" w:eastAsia="仿宋"/>
          <w:b/>
          <w:bCs/>
          <w:sz w:val="21"/>
        </w:rPr>
        <w:t>金额为人民币（大写）</w:t>
      </w:r>
      <w:r>
        <w:rPr>
          <w:rFonts w:hint="eastAsia" w:ascii="仿宋" w:hAnsi="仿宋" w:eastAsia="仿宋"/>
          <w:b/>
          <w:bCs/>
          <w:sz w:val="21"/>
          <w:u w:val="single"/>
        </w:rPr>
        <w:t xml:space="preserve">    </w:t>
      </w:r>
      <w:r>
        <w:rPr>
          <w:rFonts w:hint="eastAsia" w:ascii="仿宋" w:hAnsi="仿宋" w:eastAsia="仿宋"/>
          <w:b/>
          <w:bCs/>
          <w:sz w:val="21"/>
        </w:rPr>
        <w:t>（</w:t>
      </w:r>
      <w:r>
        <w:rPr>
          <w:rFonts w:ascii="Calibri" w:hAnsi="Calibri" w:eastAsia="仿宋" w:cs="Calibri"/>
          <w:b/>
          <w:bCs/>
          <w:sz w:val="21"/>
        </w:rPr>
        <w:t>¥</w:t>
      </w:r>
      <w:r>
        <w:rPr>
          <w:rFonts w:hint="eastAsia" w:ascii="仿宋" w:hAnsi="仿宋" w:eastAsia="仿宋"/>
          <w:b/>
          <w:bCs/>
          <w:sz w:val="21"/>
          <w:u w:val="single"/>
        </w:rPr>
        <w:t xml:space="preserve">    </w:t>
      </w:r>
      <w:r>
        <w:rPr>
          <w:rFonts w:hint="eastAsia" w:ascii="仿宋" w:hAnsi="仿宋" w:eastAsia="仿宋"/>
          <w:b/>
          <w:bCs/>
          <w:sz w:val="21"/>
        </w:rPr>
        <w:t>元）</w:t>
      </w:r>
      <w:r>
        <w:rPr>
          <w:rFonts w:hint="eastAsia" w:ascii="仿宋" w:hAnsi="仿宋" w:eastAsia="仿宋"/>
          <w:sz w:val="21"/>
        </w:rPr>
        <w:t>。</w:t>
      </w:r>
    </w:p>
    <w:p>
      <w:pPr>
        <w:pStyle w:val="32"/>
        <w:ind w:firstLine="420"/>
        <w:rPr>
          <w:rFonts w:hint="eastAsia" w:ascii="仿宋" w:hAnsi="仿宋" w:eastAsia="仿宋"/>
          <w:sz w:val="21"/>
        </w:rPr>
      </w:pPr>
      <w:r>
        <w:rPr>
          <w:rFonts w:hint="eastAsia" w:ascii="仿宋" w:hAnsi="仿宋" w:eastAsia="仿宋"/>
          <w:sz w:val="21"/>
        </w:rPr>
        <w:t>4.</w:t>
      </w:r>
      <w:r>
        <w:rPr>
          <w:rFonts w:hint="eastAsia" w:ascii="仿宋" w:hAnsi="仿宋" w:eastAsia="仿宋"/>
          <w:sz w:val="21"/>
        </w:rPr>
        <w:tab/>
      </w:r>
      <w:r>
        <w:rPr>
          <w:rFonts w:hint="eastAsia" w:ascii="仿宋" w:hAnsi="仿宋" w:eastAsia="仿宋"/>
          <w:sz w:val="21"/>
        </w:rPr>
        <w:t>我方承诺如果在规定的唱价时间后，在投标有效期内撤回投标文件，投标保证金将被贵方没收。</w:t>
      </w:r>
    </w:p>
    <w:p>
      <w:pPr>
        <w:pStyle w:val="32"/>
        <w:ind w:firstLine="420"/>
        <w:rPr>
          <w:rFonts w:hint="eastAsia" w:ascii="仿宋" w:hAnsi="仿宋" w:eastAsia="仿宋"/>
          <w:sz w:val="21"/>
        </w:rPr>
      </w:pPr>
      <w:r>
        <w:rPr>
          <w:rFonts w:hint="eastAsia" w:ascii="仿宋" w:hAnsi="仿宋" w:eastAsia="仿宋"/>
          <w:sz w:val="21"/>
        </w:rPr>
        <w:t>5.</w:t>
      </w:r>
      <w:r>
        <w:rPr>
          <w:rFonts w:hint="eastAsia" w:ascii="仿宋" w:hAnsi="仿宋" w:eastAsia="仿宋"/>
          <w:sz w:val="21"/>
        </w:rPr>
        <w:tab/>
      </w:r>
      <w:r>
        <w:rPr>
          <w:rFonts w:hint="eastAsia" w:ascii="仿宋" w:hAnsi="仿宋" w:eastAsia="仿宋"/>
          <w:sz w:val="21"/>
        </w:rPr>
        <w:t>我方已经详细地阅读了全部招标文件及其附件，包括澄清及参考文件（如果有的话）。我方已完全清晰理解招标文件的要求，不存在任何含糊不清和误解之处，同意放弃对这些文件所提出的异议和质疑的权利</w:t>
      </w:r>
    </w:p>
    <w:p>
      <w:pPr>
        <w:pStyle w:val="32"/>
        <w:ind w:firstLine="420"/>
        <w:rPr>
          <w:rFonts w:hint="eastAsia" w:ascii="仿宋" w:hAnsi="仿宋" w:eastAsia="仿宋"/>
          <w:sz w:val="21"/>
        </w:rPr>
      </w:pPr>
      <w:r>
        <w:rPr>
          <w:rFonts w:hint="eastAsia" w:ascii="仿宋" w:hAnsi="仿宋" w:eastAsia="仿宋"/>
          <w:sz w:val="21"/>
        </w:rPr>
        <w:t>6.</w:t>
      </w:r>
      <w:r>
        <w:rPr>
          <w:rFonts w:hint="eastAsia" w:ascii="仿宋" w:hAnsi="仿宋" w:eastAsia="仿宋"/>
          <w:sz w:val="21"/>
        </w:rPr>
        <w:tab/>
      </w:r>
      <w:r>
        <w:rPr>
          <w:rFonts w:hint="eastAsia" w:ascii="仿宋" w:hAnsi="仿宋" w:eastAsia="仿宋"/>
          <w:sz w:val="21"/>
        </w:rPr>
        <w:t>我方在评标过程中根据评标委员会要求提供的符合相关规定的澄清文件，构成投标文件的组成部分。</w:t>
      </w:r>
    </w:p>
    <w:p>
      <w:pPr>
        <w:pStyle w:val="32"/>
        <w:ind w:firstLine="420"/>
        <w:rPr>
          <w:rFonts w:hint="eastAsia" w:ascii="仿宋" w:hAnsi="仿宋" w:eastAsia="仿宋"/>
          <w:sz w:val="21"/>
        </w:rPr>
      </w:pPr>
      <w:r>
        <w:rPr>
          <w:rFonts w:hint="eastAsia" w:ascii="仿宋" w:hAnsi="仿宋" w:eastAsia="仿宋"/>
          <w:sz w:val="21"/>
        </w:rPr>
        <w:t>7.</w:t>
      </w:r>
      <w:r>
        <w:rPr>
          <w:rFonts w:hint="eastAsia" w:ascii="仿宋" w:hAnsi="仿宋" w:eastAsia="仿宋"/>
          <w:sz w:val="21"/>
        </w:rPr>
        <w:tab/>
      </w:r>
      <w:r>
        <w:rPr>
          <w:rFonts w:hint="eastAsia" w:ascii="仿宋" w:hAnsi="仿宋" w:eastAsia="仿宋"/>
          <w:sz w:val="21"/>
        </w:rPr>
        <w:t>我方为本次报价所提交的所有证明其合格和资格的文件是真实的和正确的，并愿为其真实性和正确性承担法律责任。</w:t>
      </w:r>
    </w:p>
    <w:p>
      <w:pPr>
        <w:pStyle w:val="32"/>
        <w:ind w:firstLine="420"/>
        <w:rPr>
          <w:rFonts w:hint="eastAsia" w:ascii="仿宋" w:hAnsi="仿宋" w:eastAsia="仿宋"/>
          <w:sz w:val="21"/>
        </w:rPr>
      </w:pPr>
      <w:r>
        <w:rPr>
          <w:rFonts w:hint="eastAsia" w:ascii="仿宋" w:hAnsi="仿宋" w:eastAsia="仿宋"/>
          <w:sz w:val="21"/>
        </w:rPr>
        <w:t>8.</w:t>
      </w:r>
      <w:r>
        <w:rPr>
          <w:rFonts w:hint="eastAsia" w:ascii="仿宋" w:hAnsi="仿宋" w:eastAsia="仿宋"/>
          <w:sz w:val="21"/>
        </w:rPr>
        <w:tab/>
      </w:r>
      <w:r>
        <w:rPr>
          <w:rFonts w:hint="eastAsia" w:ascii="仿宋" w:hAnsi="仿宋" w:eastAsia="仿宋"/>
          <w:sz w:val="21"/>
        </w:rPr>
        <w:t>我方为中华人民共和国境内的合法经营主体，具有独立的民事行为能力；我方具备履行合同所必需的设备和专业技术能力；我方有依法缴纳税收和社会保障资金的良好记录。</w:t>
      </w:r>
    </w:p>
    <w:p>
      <w:pPr>
        <w:pStyle w:val="32"/>
        <w:ind w:firstLine="420"/>
        <w:rPr>
          <w:rFonts w:hint="eastAsia" w:ascii="仿宋" w:hAnsi="仿宋" w:eastAsia="仿宋"/>
          <w:sz w:val="21"/>
        </w:rPr>
      </w:pPr>
      <w:r>
        <w:rPr>
          <w:rFonts w:hint="eastAsia" w:ascii="仿宋" w:hAnsi="仿宋" w:eastAsia="仿宋"/>
          <w:sz w:val="21"/>
        </w:rPr>
        <w:t>9.</w:t>
      </w:r>
      <w:r>
        <w:rPr>
          <w:rFonts w:hint="eastAsia" w:ascii="仿宋" w:hAnsi="仿宋" w:eastAsia="仿宋"/>
          <w:sz w:val="21"/>
        </w:rPr>
        <w:tab/>
      </w:r>
      <w:r>
        <w:rPr>
          <w:rFonts w:hint="eastAsia" w:ascii="仿宋" w:hAnsi="仿宋" w:eastAsia="仿宋"/>
          <w:sz w:val="21"/>
        </w:rPr>
        <w:t>我方同意提供贵方可能要求的与投标有关的一切数据或者资料，并完全理解贵方不一定接受最低价的投标。</w:t>
      </w:r>
    </w:p>
    <w:p>
      <w:pPr>
        <w:pStyle w:val="32"/>
        <w:ind w:firstLine="420"/>
        <w:rPr>
          <w:rFonts w:hint="eastAsia" w:ascii="仿宋" w:hAnsi="仿宋" w:eastAsia="仿宋"/>
          <w:sz w:val="21"/>
        </w:rPr>
      </w:pPr>
      <w:r>
        <w:rPr>
          <w:rFonts w:hint="eastAsia" w:ascii="仿宋" w:hAnsi="仿宋" w:eastAsia="仿宋"/>
          <w:sz w:val="21"/>
        </w:rPr>
        <w:t>10.</w:t>
      </w:r>
      <w:r>
        <w:rPr>
          <w:rFonts w:hint="eastAsia" w:ascii="仿宋" w:hAnsi="仿宋" w:eastAsia="仿宋"/>
          <w:sz w:val="21"/>
        </w:rPr>
        <w:tab/>
      </w:r>
      <w:r>
        <w:rPr>
          <w:rFonts w:hint="eastAsia" w:ascii="仿宋" w:hAnsi="仿宋" w:eastAsia="仿宋"/>
          <w:sz w:val="21"/>
        </w:rPr>
        <w:t>我方承诺不向第三方透露与招标相关的所有信息。</w:t>
      </w:r>
    </w:p>
    <w:p>
      <w:pPr>
        <w:pStyle w:val="32"/>
        <w:ind w:firstLine="420"/>
        <w:rPr>
          <w:rFonts w:hint="eastAsia" w:ascii="仿宋" w:hAnsi="仿宋" w:eastAsia="仿宋"/>
          <w:sz w:val="21"/>
        </w:rPr>
      </w:pPr>
      <w:r>
        <w:rPr>
          <w:rFonts w:hint="eastAsia" w:ascii="仿宋" w:hAnsi="仿宋" w:eastAsia="仿宋"/>
          <w:sz w:val="21"/>
        </w:rPr>
        <w:t>11.</w:t>
      </w:r>
      <w:r>
        <w:rPr>
          <w:rFonts w:hint="eastAsia" w:ascii="仿宋" w:hAnsi="仿宋" w:eastAsia="仿宋"/>
          <w:sz w:val="21"/>
        </w:rPr>
        <w:tab/>
      </w:r>
      <w:r>
        <w:rPr>
          <w:rFonts w:hint="eastAsia" w:ascii="仿宋" w:hAnsi="仿宋" w:eastAsia="仿宋"/>
          <w:sz w:val="21"/>
        </w:rPr>
        <w:t>我方承诺不存在财产被接管或冻结或破产清算状况，遵守国家有关的法律、法令和条例。</w:t>
      </w:r>
    </w:p>
    <w:p>
      <w:pPr>
        <w:pStyle w:val="32"/>
        <w:ind w:firstLine="420"/>
        <w:rPr>
          <w:rFonts w:hint="eastAsia" w:ascii="仿宋" w:hAnsi="仿宋" w:eastAsia="仿宋"/>
          <w:sz w:val="21"/>
        </w:rPr>
      </w:pPr>
      <w:r>
        <w:rPr>
          <w:rFonts w:hint="eastAsia" w:ascii="仿宋" w:hAnsi="仿宋" w:eastAsia="仿宋"/>
          <w:sz w:val="21"/>
        </w:rPr>
        <w:t>12.</w:t>
      </w:r>
      <w:r>
        <w:rPr>
          <w:rFonts w:hint="eastAsia" w:ascii="仿宋" w:hAnsi="仿宋" w:eastAsia="仿宋"/>
          <w:sz w:val="21"/>
        </w:rPr>
        <w:tab/>
      </w:r>
      <w:r>
        <w:rPr>
          <w:rFonts w:hint="eastAsia" w:ascii="仿宋" w:hAnsi="仿宋" w:eastAsia="仿宋"/>
          <w:sz w:val="21"/>
        </w:rPr>
        <w:t>如我方中标：</w:t>
      </w:r>
    </w:p>
    <w:p>
      <w:pPr>
        <w:pStyle w:val="32"/>
        <w:ind w:firstLine="420"/>
        <w:rPr>
          <w:rFonts w:hint="eastAsia" w:ascii="仿宋" w:hAnsi="仿宋" w:eastAsia="仿宋"/>
          <w:sz w:val="21"/>
        </w:rPr>
      </w:pPr>
      <w:r>
        <w:rPr>
          <w:rFonts w:hint="eastAsia" w:ascii="仿宋" w:hAnsi="仿宋" w:eastAsia="仿宋"/>
          <w:sz w:val="21"/>
        </w:rPr>
        <w:t>（1）我方承诺在收到中标通知书后，在中标通知书规定的期限内与贵方签订合同。</w:t>
      </w:r>
    </w:p>
    <w:p>
      <w:pPr>
        <w:pStyle w:val="32"/>
        <w:ind w:firstLine="420"/>
        <w:rPr>
          <w:rFonts w:hint="eastAsia" w:ascii="仿宋" w:hAnsi="仿宋" w:eastAsia="仿宋"/>
          <w:sz w:val="21"/>
        </w:rPr>
      </w:pPr>
      <w:r>
        <w:rPr>
          <w:rFonts w:hint="eastAsia" w:ascii="仿宋" w:hAnsi="仿宋" w:eastAsia="仿宋"/>
          <w:sz w:val="21"/>
        </w:rPr>
        <w:t>（2）我方承诺按照招标文件规定递交履约保证金、支付招标代理服务费和文交所综合服务费。</w:t>
      </w:r>
    </w:p>
    <w:p>
      <w:pPr>
        <w:pStyle w:val="32"/>
        <w:ind w:firstLine="420"/>
        <w:rPr>
          <w:rFonts w:hint="eastAsia" w:ascii="仿宋" w:hAnsi="仿宋" w:eastAsia="仿宋"/>
          <w:sz w:val="21"/>
        </w:rPr>
      </w:pPr>
      <w:r>
        <w:rPr>
          <w:rFonts w:hint="eastAsia" w:ascii="仿宋" w:hAnsi="仿宋" w:eastAsia="仿宋"/>
          <w:sz w:val="21"/>
        </w:rPr>
        <w:t>（3）我方承诺按照招标文件的规定及合同约定履行相关责任和义务。</w:t>
      </w:r>
    </w:p>
    <w:p>
      <w:pPr>
        <w:pStyle w:val="32"/>
        <w:ind w:firstLine="420"/>
        <w:rPr>
          <w:rFonts w:hint="eastAsia" w:ascii="仿宋" w:hAnsi="仿宋" w:eastAsia="仿宋"/>
          <w:sz w:val="21"/>
        </w:rPr>
      </w:pPr>
      <w:r>
        <w:rPr>
          <w:rFonts w:hint="eastAsia" w:ascii="仿宋" w:hAnsi="仿宋" w:eastAsia="仿宋"/>
          <w:sz w:val="21"/>
        </w:rPr>
        <w:t>（4）我方承诺提供的产品或服务符合国家对网络与信息安全的相关要求。如违反国家对对网络与信息安全的相关要求，责任完全由我方承担。</w:t>
      </w:r>
    </w:p>
    <w:p>
      <w:pPr>
        <w:pStyle w:val="32"/>
        <w:ind w:firstLine="420"/>
        <w:rPr>
          <w:rFonts w:hint="eastAsia" w:ascii="仿宋" w:hAnsi="仿宋" w:eastAsia="仿宋"/>
          <w:sz w:val="21"/>
        </w:rPr>
      </w:pPr>
      <w:r>
        <w:rPr>
          <w:rFonts w:hint="eastAsia" w:ascii="仿宋" w:hAnsi="仿宋" w:eastAsia="仿宋"/>
          <w:sz w:val="21"/>
        </w:rPr>
        <w:t>（5）我方承诺按照招标文件的规定及合同约定开具增值税发票。</w:t>
      </w:r>
    </w:p>
    <w:p>
      <w:pPr>
        <w:pStyle w:val="32"/>
        <w:ind w:firstLine="420"/>
        <w:rPr>
          <w:rFonts w:hint="eastAsia" w:ascii="仿宋" w:hAnsi="仿宋" w:eastAsia="仿宋"/>
          <w:sz w:val="21"/>
        </w:rPr>
      </w:pPr>
      <w:r>
        <w:rPr>
          <w:rFonts w:hint="eastAsia" w:ascii="仿宋" w:hAnsi="仿宋" w:eastAsia="仿宋"/>
          <w:sz w:val="21"/>
        </w:rPr>
        <w:t>（6）我方承诺中标后不转包、不分包。</w:t>
      </w:r>
    </w:p>
    <w:p>
      <w:pPr>
        <w:pStyle w:val="32"/>
        <w:ind w:firstLine="420"/>
        <w:rPr>
          <w:rFonts w:hint="eastAsia" w:ascii="仿宋" w:hAnsi="仿宋" w:eastAsia="仿宋"/>
          <w:sz w:val="21"/>
        </w:rPr>
      </w:pPr>
      <w:r>
        <w:rPr>
          <w:rFonts w:hint="eastAsia" w:ascii="仿宋" w:hAnsi="仿宋" w:eastAsia="仿宋"/>
          <w:sz w:val="21"/>
        </w:rPr>
        <w:t>我方在此声明，所递交的投标文件及有关资料内容完整、真实和准确，且不存在第二章“投标人须知”第1.8款规定的任何一种情形。如有弄虚作假，将承担相应的法律责任，并赔偿由此造成的一切损失。</w:t>
      </w:r>
    </w:p>
    <w:p>
      <w:pPr>
        <w:pStyle w:val="32"/>
        <w:ind w:firstLine="420"/>
        <w:rPr>
          <w:rFonts w:hint="eastAsia" w:ascii="仿宋" w:hAnsi="仿宋" w:eastAsia="仿宋"/>
          <w:sz w:val="21"/>
        </w:rPr>
      </w:pPr>
      <w:r>
        <w:rPr>
          <w:rFonts w:hint="eastAsia" w:ascii="仿宋" w:hAnsi="仿宋" w:eastAsia="仿宋"/>
          <w:sz w:val="21"/>
        </w:rPr>
        <w:t>13.</w:t>
      </w:r>
      <w:r>
        <w:rPr>
          <w:rFonts w:hint="eastAsia" w:ascii="仿宋" w:hAnsi="仿宋" w:eastAsia="仿宋"/>
          <w:sz w:val="21"/>
        </w:rPr>
        <w:tab/>
      </w:r>
      <w:r>
        <w:rPr>
          <w:rFonts w:hint="eastAsia" w:ascii="仿宋" w:hAnsi="仿宋" w:eastAsia="仿宋"/>
          <w:sz w:val="21"/>
        </w:rPr>
        <w:t>与本次公开招标的有关的一切正式往来通讯请寄：</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地址：_____________________  传真：_________________________</w:t>
      </w:r>
    </w:p>
    <w:p>
      <w:pPr>
        <w:pStyle w:val="32"/>
        <w:ind w:firstLine="420"/>
        <w:rPr>
          <w:rFonts w:hint="eastAsia" w:ascii="仿宋" w:hAnsi="仿宋" w:eastAsia="仿宋"/>
          <w:sz w:val="21"/>
        </w:rPr>
      </w:pPr>
      <w:r>
        <w:rPr>
          <w:rFonts w:hint="eastAsia" w:ascii="仿宋" w:hAnsi="仿宋" w:eastAsia="仿宋"/>
          <w:sz w:val="21"/>
        </w:rPr>
        <w:t>电话：_____________________  电子邮箱：_____________________</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pPr>
        <w:pStyle w:val="32"/>
        <w:ind w:firstLine="420"/>
        <w:rPr>
          <w:rFonts w:hint="eastAsia" w:ascii="仿宋" w:hAnsi="仿宋" w:eastAsia="仿宋"/>
          <w:sz w:val="21"/>
        </w:rPr>
      </w:pPr>
      <w:r>
        <w:rPr>
          <w:rFonts w:hint="eastAsia" w:ascii="仿宋" w:hAnsi="仿宋" w:eastAsia="仿宋"/>
          <w:sz w:val="21"/>
        </w:rPr>
        <w:t>法定代表人（负责人）或者其委托代理人：</w:t>
      </w:r>
      <w:r>
        <w:rPr>
          <w:rFonts w:hint="eastAsia" w:ascii="仿宋" w:hAnsi="仿宋" w:eastAsia="仿宋"/>
          <w:sz w:val="21"/>
          <w:u w:val="single"/>
        </w:rPr>
        <w:t xml:space="preserve">            </w:t>
      </w:r>
      <w:r>
        <w:rPr>
          <w:rFonts w:hint="eastAsia" w:ascii="仿宋" w:hAnsi="仿宋" w:eastAsia="仿宋"/>
          <w:sz w:val="21"/>
        </w:rPr>
        <w:t>（签字或盖章）</w:t>
      </w:r>
    </w:p>
    <w:p>
      <w:pPr>
        <w:pStyle w:val="32"/>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56" w:name="_Toc193699383"/>
      <w:r>
        <w:rPr>
          <w:rFonts w:hint="eastAsia" w:ascii="仿宋" w:hAnsi="仿宋" w:eastAsia="仿宋"/>
          <w:sz w:val="28"/>
          <w:szCs w:val="28"/>
        </w:rPr>
        <w:t>4.</w:t>
      </w:r>
      <w:r>
        <w:rPr>
          <w:rFonts w:hint="eastAsia" w:ascii="仿宋" w:hAnsi="仿宋" w:eastAsia="仿宋"/>
          <w:sz w:val="28"/>
          <w:szCs w:val="28"/>
        </w:rPr>
        <w:tab/>
      </w:r>
      <w:r>
        <w:rPr>
          <w:rFonts w:hint="eastAsia" w:ascii="仿宋" w:hAnsi="仿宋" w:eastAsia="仿宋"/>
          <w:sz w:val="28"/>
          <w:szCs w:val="28"/>
        </w:rPr>
        <w:t>法定代表人</w:t>
      </w:r>
      <w:bookmarkStart w:id="157" w:name="_Hlk163493834"/>
      <w:r>
        <w:rPr>
          <w:rFonts w:hint="eastAsia" w:ascii="仿宋" w:hAnsi="仿宋" w:eastAsia="仿宋"/>
          <w:sz w:val="28"/>
          <w:szCs w:val="28"/>
        </w:rPr>
        <w:t>（负责人）</w:t>
      </w:r>
      <w:bookmarkEnd w:id="157"/>
      <w:r>
        <w:rPr>
          <w:rFonts w:hint="eastAsia" w:ascii="仿宋" w:hAnsi="仿宋" w:eastAsia="仿宋"/>
          <w:sz w:val="28"/>
          <w:szCs w:val="28"/>
        </w:rPr>
        <w:t>身份证明</w:t>
      </w:r>
      <w:bookmarkEnd w:id="156"/>
    </w:p>
    <w:p/>
    <w:p>
      <w:pPr>
        <w:pStyle w:val="32"/>
        <w:spacing w:after="156" w:afterLines="50"/>
        <w:ind w:firstLine="482"/>
        <w:jc w:val="center"/>
        <w:rPr>
          <w:rFonts w:hint="eastAsia" w:ascii="仿宋" w:hAnsi="仿宋" w:eastAsia="仿宋"/>
          <w:b/>
          <w:bCs/>
          <w:szCs w:val="24"/>
        </w:rPr>
      </w:pPr>
      <w:r>
        <w:rPr>
          <w:rFonts w:hint="eastAsia" w:ascii="仿宋" w:hAnsi="仿宋" w:eastAsia="仿宋"/>
          <w:b/>
          <w:bCs/>
          <w:szCs w:val="24"/>
        </w:rPr>
        <w:t>法定代表人（负责人）身份证明</w:t>
      </w:r>
    </w:p>
    <w:p>
      <w:pPr>
        <w:pStyle w:val="32"/>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sz w:val="21"/>
        </w:rPr>
      </w:pPr>
      <w:r>
        <w:rPr>
          <w:rFonts w:hint="eastAsia" w:ascii="仿宋" w:hAnsi="仿宋" w:eastAsia="仿宋"/>
          <w:sz w:val="21"/>
        </w:rPr>
        <w:t>单位性质：</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sz w:val="21"/>
        </w:rPr>
      </w:pPr>
      <w:r>
        <w:rPr>
          <w:rFonts w:hint="eastAsia" w:ascii="仿宋" w:hAnsi="仿宋" w:eastAsia="仿宋"/>
          <w:sz w:val="21"/>
        </w:rPr>
        <w:t>成立时间：</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Pr>
        <w:pStyle w:val="32"/>
        <w:ind w:firstLine="420"/>
        <w:rPr>
          <w:rFonts w:hint="eastAsia" w:ascii="仿宋" w:hAnsi="仿宋" w:eastAsia="仿宋"/>
          <w:sz w:val="21"/>
        </w:rPr>
      </w:pPr>
      <w:r>
        <w:rPr>
          <w:rFonts w:hint="eastAsia" w:ascii="仿宋" w:hAnsi="仿宋" w:eastAsia="仿宋"/>
          <w:sz w:val="21"/>
        </w:rPr>
        <w:t>经营期限：</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sz w:val="21"/>
        </w:rPr>
      </w:pPr>
      <w:r>
        <w:rPr>
          <w:rFonts w:hint="eastAsia" w:ascii="仿宋" w:hAnsi="仿宋" w:eastAsia="仿宋"/>
          <w:sz w:val="21"/>
        </w:rPr>
        <w:t>姓名：</w:t>
      </w:r>
      <w:r>
        <w:rPr>
          <w:rFonts w:hint="eastAsia" w:ascii="仿宋" w:hAnsi="仿宋" w:eastAsia="仿宋"/>
          <w:sz w:val="21"/>
          <w:u w:val="single"/>
        </w:rPr>
        <w:t xml:space="preserve">        </w:t>
      </w:r>
      <w:r>
        <w:rPr>
          <w:rFonts w:hint="eastAsia" w:ascii="仿宋" w:hAnsi="仿宋" w:eastAsia="仿宋"/>
          <w:sz w:val="21"/>
        </w:rPr>
        <w:t xml:space="preserve"> 性别：</w:t>
      </w:r>
      <w:r>
        <w:rPr>
          <w:rFonts w:hint="eastAsia" w:ascii="仿宋" w:hAnsi="仿宋" w:eastAsia="仿宋"/>
          <w:sz w:val="21"/>
          <w:u w:val="single"/>
        </w:rPr>
        <w:t xml:space="preserve">         </w:t>
      </w:r>
      <w:r>
        <w:rPr>
          <w:rFonts w:hint="eastAsia" w:ascii="仿宋" w:hAnsi="仿宋" w:eastAsia="仿宋"/>
          <w:sz w:val="21"/>
        </w:rPr>
        <w:t xml:space="preserve"> 年龄：</w:t>
      </w:r>
      <w:r>
        <w:rPr>
          <w:rFonts w:hint="eastAsia" w:ascii="仿宋" w:hAnsi="仿宋" w:eastAsia="仿宋"/>
          <w:sz w:val="21"/>
          <w:u w:val="single"/>
        </w:rPr>
        <w:t xml:space="preserve">        </w:t>
      </w:r>
      <w:r>
        <w:rPr>
          <w:rFonts w:hint="eastAsia" w:ascii="仿宋" w:hAnsi="仿宋" w:eastAsia="仿宋"/>
          <w:sz w:val="21"/>
        </w:rPr>
        <w:t xml:space="preserve"> 职务：</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sz w:val="21"/>
        </w:rPr>
      </w:pPr>
      <w:r>
        <w:rPr>
          <w:rFonts w:hint="eastAsia" w:ascii="仿宋" w:hAnsi="仿宋" w:eastAsia="仿宋"/>
          <w:sz w:val="21"/>
        </w:rPr>
        <w:t>系</w:t>
      </w:r>
      <w:r>
        <w:rPr>
          <w:rFonts w:hint="eastAsia" w:ascii="仿宋" w:hAnsi="仿宋" w:eastAsia="仿宋"/>
          <w:sz w:val="21"/>
          <w:u w:val="single"/>
        </w:rPr>
        <w:t xml:space="preserve">          </w:t>
      </w:r>
      <w:r>
        <w:rPr>
          <w:rFonts w:hint="eastAsia" w:ascii="仿宋" w:hAnsi="仿宋" w:eastAsia="仿宋"/>
          <w:sz w:val="21"/>
        </w:rPr>
        <w:t>[投标人单位名称]的法定代表人。</w:t>
      </w:r>
    </w:p>
    <w:p>
      <w:pPr>
        <w:pStyle w:val="32"/>
        <w:ind w:firstLine="420"/>
        <w:rPr>
          <w:rFonts w:hint="eastAsia" w:ascii="仿宋" w:hAnsi="仿宋" w:eastAsia="仿宋"/>
          <w:sz w:val="21"/>
        </w:rPr>
      </w:pPr>
      <w:r>
        <w:rPr>
          <w:rFonts w:hint="eastAsia" w:ascii="仿宋" w:hAnsi="仿宋" w:eastAsia="仿宋"/>
          <w:sz w:val="21"/>
        </w:rPr>
        <w:t>特此证明。</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附：法定代表人身份证复印件（需同时提供正面及背面）</w:t>
      </w:r>
    </w:p>
    <w:p>
      <w:pPr>
        <w:pStyle w:val="32"/>
        <w:ind w:firstLine="480"/>
      </w:pPr>
      <w:r>
        <w:rPr>
          <w:rFonts w:hint="eastAsia"/>
        </w:rPr>
        <mc:AlternateContent>
          <mc:Choice Requires="wps">
            <w:drawing>
              <wp:anchor distT="0" distB="0" distL="114300" distR="114300" simplePos="0" relativeHeight="251662336" behindDoc="0" locked="0" layoutInCell="1" allowOverlap="1">
                <wp:simplePos x="0" y="0"/>
                <wp:positionH relativeFrom="column">
                  <wp:posOffset>2714625</wp:posOffset>
                </wp:positionH>
                <wp:positionV relativeFrom="paragraph">
                  <wp:posOffset>227965</wp:posOffset>
                </wp:positionV>
                <wp:extent cx="3297555" cy="2113915"/>
                <wp:effectExtent l="0" t="0" r="17145" b="19685"/>
                <wp:wrapNone/>
                <wp:docPr id="132242852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rPr>
                            </w:pPr>
                            <w:r>
                              <w:rPr>
                                <w:rFonts w:hint="eastAsia" w:ascii="仿宋" w:hAnsi="仿宋" w:eastAsia="仿宋"/>
                              </w:rPr>
                              <w:t>法定代表人（负责人）身份证复印件贴于此处</w:t>
                            </w:r>
                          </w:p>
                        </w:txbxContent>
                      </wps:txbx>
                      <wps:bodyPr upright="1"/>
                    </wps:wsp>
                  </a:graphicData>
                </a:graphic>
              </wp:anchor>
            </w:drawing>
          </mc:Choice>
          <mc:Fallback>
            <w:pict>
              <v:shape id="流程图: 可选过程 10" o:spid="_x0000_s1026" o:spt="176" type="#_x0000_t176" style="position:absolute;left:0pt;margin-left:213.75pt;margin-top:17.95pt;height:166.45pt;width:259.65pt;z-index:251662336;mso-width-relative:page;mso-height-relative:page;" fillcolor="#FFFFFF" filled="t" stroked="t" coordsize="21600,21600" o:gfxdata="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ntD9kAAAAKAQAADwAAAAAAAAABACAAAAAiAAAAZHJzL2Rvd25y&#10;ZXYueG1sUEsBAhQAFAAAAAgAh07iQAqk5dc2AgAAaAQAAA4AAAAAAAAAAQAgAAAAKAEAAGRycy9l&#10;Mm9Eb2MueG1sUEsFBgAAAAAGAAYAWQEAANAFAAAAAA==&#10;">
                <v:fill on="t" focussize="0,0"/>
                <v:stroke color="#000000" joinstyle="miter"/>
                <v:imagedata o:title=""/>
                <o:lock v:ext="edit" aspectratio="f"/>
                <v:textbox>
                  <w:txbxContent>
                    <w:p>
                      <w:pPr>
                        <w:jc w:val="center"/>
                        <w:rPr>
                          <w:rFonts w:hint="eastAsia" w:ascii="仿宋" w:hAnsi="仿宋" w:eastAsia="仿宋"/>
                        </w:rPr>
                      </w:pPr>
                      <w:r>
                        <w:rPr>
                          <w:rFonts w:hint="eastAsia" w:ascii="仿宋" w:hAnsi="仿宋" w:eastAsia="仿宋"/>
                        </w:rPr>
                        <w:t>法定代表人（负责人）身份证复印件贴于此处</w:t>
                      </w: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-581025</wp:posOffset>
                </wp:positionH>
                <wp:positionV relativeFrom="paragraph">
                  <wp:posOffset>227965</wp:posOffset>
                </wp:positionV>
                <wp:extent cx="3297555" cy="2113915"/>
                <wp:effectExtent l="0" t="0" r="17145" b="19685"/>
                <wp:wrapNone/>
                <wp:docPr id="251874477"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rPr>
                            </w:pPr>
                            <w:r>
                              <w:rPr>
                                <w:rFonts w:hint="eastAsia" w:ascii="仿宋" w:hAnsi="仿宋" w:eastAsia="仿宋"/>
                              </w:rPr>
                              <w:t>法定代表人（负责人）身份证复印件贴于此处</w:t>
                            </w:r>
                          </w:p>
                        </w:txbxContent>
                      </wps:txbx>
                      <wps:bodyPr upright="1"/>
                    </wps:wsp>
                  </a:graphicData>
                </a:graphic>
              </wp:anchor>
            </w:drawing>
          </mc:Choice>
          <mc:Fallback>
            <w:pict>
              <v:shape id="流程图: 可选过程 9" o:spid="_x0000_s1026" o:spt="176" type="#_x0000_t176" style="position:absolute;left:0pt;margin-left:-45.75pt;margin-top:17.95pt;height:166.45pt;width:259.65pt;z-index:251661312;mso-width-relative:page;mso-height-relative:page;" fillcolor="#FFFFFF" filled="t" stroked="t" coordsize="21600,21600" o:gfxdata="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zlc2QAAAAoBAAAPAAAAAAAAAAEAIAAAACIAAABkcnMvZG93bnJl&#10;di54bWxQSwECFAAUAAAACACHTuJAiIx5KTUCAABmBAAADgAAAAAAAAABACAAAAAoAQAAZHJzL2Uy&#10;b0RvYy54bWxQSwUGAAAAAAYABgBZAQAAzwUAAAAA&#10;">
                <v:fill on="t" focussize="0,0"/>
                <v:stroke color="#000000" joinstyle="miter"/>
                <v:imagedata o:title=""/>
                <o:lock v:ext="edit" aspectratio="f"/>
                <v:textbox>
                  <w:txbxContent>
                    <w:p>
                      <w:pPr>
                        <w:jc w:val="center"/>
                        <w:rPr>
                          <w:rFonts w:hint="eastAsia" w:ascii="仿宋" w:hAnsi="仿宋" w:eastAsia="仿宋"/>
                        </w:rPr>
                      </w:pPr>
                      <w:r>
                        <w:rPr>
                          <w:rFonts w:hint="eastAsia" w:ascii="仿宋" w:hAnsi="仿宋" w:eastAsia="仿宋"/>
                        </w:rPr>
                        <w:t>法定代表人（负责人）身份证复印件贴于此处</w:t>
                      </w:r>
                    </w:p>
                  </w:txbxContent>
                </v:textbox>
              </v:shape>
            </w:pict>
          </mc:Fallback>
        </mc:AlternateContent>
      </w: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80"/>
      </w:pPr>
    </w:p>
    <w:p>
      <w:pPr>
        <w:pStyle w:val="32"/>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Pr>
        <w:pStyle w:val="32"/>
        <w:ind w:firstLine="480"/>
      </w:pPr>
    </w:p>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58" w:name="_Toc193699384"/>
      <w:r>
        <w:rPr>
          <w:rFonts w:hint="eastAsia" w:ascii="仿宋" w:hAnsi="仿宋" w:eastAsia="仿宋"/>
          <w:sz w:val="28"/>
          <w:szCs w:val="28"/>
        </w:rPr>
        <w:t>5.</w:t>
      </w:r>
      <w:r>
        <w:rPr>
          <w:rFonts w:hint="eastAsia" w:ascii="仿宋" w:hAnsi="仿宋" w:eastAsia="仿宋"/>
          <w:sz w:val="28"/>
          <w:szCs w:val="28"/>
        </w:rPr>
        <w:tab/>
      </w:r>
      <w:r>
        <w:rPr>
          <w:rFonts w:hint="eastAsia" w:ascii="仿宋" w:hAnsi="仿宋" w:eastAsia="仿宋"/>
          <w:sz w:val="28"/>
          <w:szCs w:val="28"/>
        </w:rPr>
        <w:t>法定代表人（负责人）授权委托书</w:t>
      </w:r>
      <w:bookmarkEnd w:id="158"/>
    </w:p>
    <w:p/>
    <w:p>
      <w:pPr>
        <w:pStyle w:val="32"/>
        <w:spacing w:after="156" w:afterLines="50"/>
        <w:ind w:firstLine="482"/>
        <w:jc w:val="center"/>
        <w:rPr>
          <w:rFonts w:hint="eastAsia" w:ascii="仿宋" w:hAnsi="仿宋" w:eastAsia="仿宋"/>
          <w:b/>
          <w:bCs/>
          <w:szCs w:val="24"/>
        </w:rPr>
      </w:pPr>
      <w:r>
        <w:rPr>
          <w:rFonts w:hint="eastAsia" w:ascii="仿宋" w:hAnsi="仿宋" w:eastAsia="仿宋"/>
          <w:b/>
          <w:bCs/>
          <w:szCs w:val="24"/>
        </w:rPr>
        <w:t>法定代表人（负责人）授权委托书</w:t>
      </w:r>
    </w:p>
    <w:p>
      <w:pPr>
        <w:pStyle w:val="32"/>
        <w:ind w:firstLine="420"/>
        <w:rPr>
          <w:rFonts w:hint="eastAsia" w:ascii="仿宋" w:hAnsi="仿宋" w:eastAsia="仿宋"/>
          <w:sz w:val="21"/>
        </w:rPr>
      </w:pPr>
      <w:r>
        <w:rPr>
          <w:rFonts w:hint="eastAsia" w:ascii="仿宋" w:hAnsi="仿宋" w:eastAsia="仿宋"/>
          <w:sz w:val="21"/>
        </w:rPr>
        <w:t>本人</w:t>
      </w:r>
      <w:r>
        <w:rPr>
          <w:rFonts w:hint="eastAsia" w:ascii="仿宋" w:hAnsi="仿宋" w:eastAsia="仿宋"/>
          <w:sz w:val="21"/>
          <w:u w:val="single"/>
        </w:rPr>
        <w:t xml:space="preserve">    </w:t>
      </w:r>
      <w:r>
        <w:rPr>
          <w:rFonts w:hint="eastAsia" w:ascii="仿宋" w:hAnsi="仿宋" w:eastAsia="仿宋"/>
          <w:sz w:val="21"/>
        </w:rPr>
        <w:t>[投标人法定代表人（负责人）姓名]系</w:t>
      </w:r>
      <w:r>
        <w:rPr>
          <w:rFonts w:hint="eastAsia" w:ascii="仿宋" w:hAnsi="仿宋" w:eastAsia="仿宋"/>
          <w:sz w:val="21"/>
          <w:u w:val="single"/>
        </w:rPr>
        <w:t xml:space="preserve">    </w:t>
      </w:r>
      <w:r>
        <w:rPr>
          <w:rFonts w:hint="eastAsia" w:ascii="仿宋" w:hAnsi="仿宋" w:eastAsia="仿宋"/>
          <w:sz w:val="21"/>
        </w:rPr>
        <w:t>[投标人名称]的法定代表人，现委托</w:t>
      </w:r>
      <w:r>
        <w:rPr>
          <w:rFonts w:hint="eastAsia" w:ascii="仿宋" w:hAnsi="仿宋" w:eastAsia="仿宋"/>
          <w:sz w:val="21"/>
          <w:u w:val="single"/>
        </w:rPr>
        <w:t xml:space="preserve">    </w:t>
      </w:r>
      <w:r>
        <w:rPr>
          <w:rFonts w:hint="eastAsia" w:ascii="仿宋" w:hAnsi="仿宋" w:eastAsia="仿宋"/>
          <w:sz w:val="21"/>
        </w:rPr>
        <w:t>[委托代理人姓名]为我方代理人。代理人根据授权，以我方名义全权处理</w:t>
      </w:r>
      <w:r>
        <w:rPr>
          <w:rFonts w:hint="eastAsia" w:ascii="仿宋" w:hAnsi="仿宋" w:eastAsia="仿宋"/>
          <w:sz w:val="21"/>
          <w:u w:val="single"/>
        </w:rPr>
        <w:t xml:space="preserve">    </w:t>
      </w:r>
      <w:r>
        <w:rPr>
          <w:rFonts w:hint="eastAsia" w:ascii="仿宋" w:hAnsi="仿宋" w:eastAsia="仿宋"/>
          <w:sz w:val="21"/>
        </w:rPr>
        <w:t>项目[招标项目名称]签署、澄清、说明、补正、递交、撤回、修改投标文件，签订合同和处理一切有关事宜，其法律后果由我方承担。</w:t>
      </w:r>
    </w:p>
    <w:p>
      <w:pPr>
        <w:pStyle w:val="32"/>
        <w:ind w:firstLine="420"/>
        <w:rPr>
          <w:rFonts w:hint="eastAsia" w:ascii="仿宋" w:hAnsi="仿宋" w:eastAsia="仿宋"/>
          <w:sz w:val="21"/>
        </w:rPr>
      </w:pPr>
      <w:r>
        <w:rPr>
          <w:rFonts w:hint="eastAsia" w:ascii="仿宋" w:hAnsi="仿宋" w:eastAsia="仿宋"/>
          <w:sz w:val="21"/>
        </w:rPr>
        <w:t>委托代理人无转委托权。</w:t>
      </w:r>
    </w:p>
    <w:p>
      <w:pPr>
        <w:pStyle w:val="32"/>
        <w:ind w:firstLine="420"/>
        <w:rPr>
          <w:rFonts w:hint="eastAsia" w:ascii="仿宋" w:hAnsi="仿宋" w:eastAsia="仿宋"/>
          <w:sz w:val="21"/>
        </w:rPr>
      </w:pPr>
      <w:r>
        <w:rPr>
          <w:rFonts w:hint="eastAsia" w:ascii="仿宋" w:hAnsi="仿宋" w:eastAsia="仿宋"/>
          <w:sz w:val="21"/>
        </w:rPr>
        <w:t>附：委托代理人身份证复印件（需同时提供正面及背面）</w:t>
      </w:r>
    </w:p>
    <w:p>
      <w:pPr>
        <w:pStyle w:val="32"/>
        <w:ind w:firstLine="480"/>
        <w:rPr>
          <w:rFonts w:hint="eastAsia" w:ascii="仿宋" w:hAnsi="仿宋" w:eastAsia="仿宋"/>
          <w:sz w:val="21"/>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-641985</wp:posOffset>
                </wp:positionH>
                <wp:positionV relativeFrom="paragraph">
                  <wp:posOffset>211455</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rPr>
                            </w:pPr>
                            <w:r>
                              <w:rPr>
                                <w:rFonts w:hint="eastAsia" w:ascii="仿宋" w:hAnsi="仿宋" w:eastAsia="仿宋"/>
                              </w:rPr>
                              <w:t>委托代理人身份证复印件贴于此处</w:t>
                            </w:r>
                          </w:p>
                        </w:txbxContent>
                      </wps:txbx>
                      <wps:bodyPr upright="1"/>
                    </wps:wsp>
                  </a:graphicData>
                </a:graphic>
              </wp:anchor>
            </w:drawing>
          </mc:Choice>
          <mc:Fallback>
            <w:pict>
              <v:shape id="流程图: 可选过程 9" o:spid="_x0000_s1026" o:spt="176" type="#_x0000_t176" style="position:absolute;left:0pt;margin-left:-50.55pt;margin-top:16.65pt;height:166.45pt;width:259.65pt;z-index:251659264;mso-width-relative:page;mso-height-relative:page;" fillcolor="#FFFFFF" filled="t" stroked="t" coordsize="21600,21600" o:gfxdata="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m3t+2AAAAAsBAAAPAAAAAAAAAAEAIAAAACIAAABkcnMvZG93bnJldi54bWxQSwEC&#10;FAAUAAAACACHTuJAvdKSIi0CAABeBAAADgAAAAAAAAABACAAAAAnAQAAZHJzL2Uyb0RvYy54bWxQ&#10;SwUGAAAAAAYABgBZAQAAxgUAAAAA&#10;">
                <v:fill on="t" focussize="0,0"/>
                <v:stroke color="#000000" joinstyle="miter"/>
                <v:imagedata o:title=""/>
                <o:lock v:ext="edit" aspectratio="f"/>
                <v:textbox>
                  <w:txbxContent>
                    <w:p>
                      <w:pPr>
                        <w:jc w:val="center"/>
                        <w:rPr>
                          <w:rFonts w:hint="eastAsia" w:ascii="仿宋" w:hAnsi="仿宋" w:eastAsia="仿宋"/>
                        </w:rPr>
                      </w:pPr>
                      <w:r>
                        <w:rPr>
                          <w:rFonts w:hint="eastAsia" w:ascii="仿宋" w:hAnsi="仿宋" w:eastAsia="仿宋"/>
                        </w:rPr>
                        <w:t>委托代理人身份证复印件贴于此处</w:t>
                      </w: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2653665</wp:posOffset>
                </wp:positionH>
                <wp:positionV relativeFrom="paragraph">
                  <wp:posOffset>211455</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rPr>
                            </w:pPr>
                            <w:r>
                              <w:rPr>
                                <w:rFonts w:hint="eastAsia" w:ascii="仿宋" w:hAnsi="仿宋" w:eastAsia="仿宋"/>
                              </w:rPr>
                              <w:t>委托代理人身份证复印件贴于此处</w:t>
                            </w:r>
                          </w:p>
                        </w:txbxContent>
                      </wps:txbx>
                      <wps:bodyPr upright="1"/>
                    </wps:wsp>
                  </a:graphicData>
                </a:graphic>
              </wp:anchor>
            </w:drawing>
          </mc:Choice>
          <mc:Fallback>
            <w:pict>
              <v:shape id="流程图: 可选过程 10" o:spid="_x0000_s1026" o:spt="176" type="#_x0000_t176" style="position:absolute;left:0pt;margin-left:208.95pt;margin-top:16.65pt;height:166.45pt;width:259.65pt;z-index:251660288;mso-width-relative:page;mso-height-relative:page;" fillcolor="#FFFFFF" filled="t" stroked="t" coordsize="21600,21600" o:gfxdata="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mgatgAAAAKAQAADwAAAAAAAAABACAAAAAiAAAAZHJzL2Rvd25yZXYueG1sUEsB&#10;AhQAFAAAAAgAh07iQKgDjj0uAgAAXwQAAA4AAAAAAAAAAQAgAAAAJwEAAGRycy9lMm9Eb2MueG1s&#10;UEsFBgAAAAAGAAYAWQEAAMcFAAAAAA==&#10;">
                <v:fill on="t" focussize="0,0"/>
                <v:stroke color="#000000" joinstyle="miter"/>
                <v:imagedata o:title=""/>
                <o:lock v:ext="edit" aspectratio="f"/>
                <v:textbox>
                  <w:txbxContent>
                    <w:p>
                      <w:pPr>
                        <w:jc w:val="center"/>
                        <w:rPr>
                          <w:rFonts w:hint="eastAsia" w:ascii="仿宋" w:hAnsi="仿宋" w:eastAsia="仿宋"/>
                        </w:rPr>
                      </w:pPr>
                      <w:r>
                        <w:rPr>
                          <w:rFonts w:hint="eastAsia" w:ascii="仿宋" w:hAnsi="仿宋" w:eastAsia="仿宋"/>
                        </w:rPr>
                        <w:t>委托代理人身份证复印件贴于此处</w:t>
                      </w:r>
                    </w:p>
                  </w:txbxContent>
                </v:textbox>
              </v:shape>
            </w:pict>
          </mc:Fallback>
        </mc:AlternateContent>
      </w:r>
    </w:p>
    <w:p>
      <w:pPr>
        <w:pStyle w:val="32"/>
        <w:ind w:firstLine="420"/>
        <w:rPr>
          <w:rFonts w:hint="eastAsia" w:ascii="仿宋" w:hAnsi="仿宋" w:eastAsia="仿宋"/>
          <w:sz w:val="21"/>
        </w:rPr>
      </w:pPr>
    </w:p>
    <w:p>
      <w:pPr>
        <w:pStyle w:val="32"/>
        <w:ind w:firstLine="420"/>
        <w:rPr>
          <w:rFonts w:hint="eastAsia" w:ascii="仿宋" w:hAnsi="仿宋" w:eastAsia="仿宋"/>
          <w:sz w:val="21"/>
        </w:rPr>
      </w:pPr>
    </w:p>
    <w:p>
      <w:pPr>
        <w:pStyle w:val="32"/>
        <w:ind w:firstLine="420"/>
        <w:rPr>
          <w:rFonts w:hint="eastAsia" w:ascii="仿宋" w:hAnsi="仿宋" w:eastAsia="仿宋"/>
          <w:sz w:val="21"/>
        </w:rPr>
      </w:pPr>
    </w:p>
    <w:p>
      <w:pPr>
        <w:pStyle w:val="32"/>
        <w:ind w:firstLine="420"/>
        <w:rPr>
          <w:rFonts w:hint="eastAsia" w:ascii="仿宋" w:hAnsi="仿宋" w:eastAsia="仿宋"/>
          <w:sz w:val="21"/>
        </w:rPr>
      </w:pPr>
    </w:p>
    <w:p>
      <w:pPr>
        <w:pStyle w:val="32"/>
        <w:ind w:firstLine="420"/>
        <w:rPr>
          <w:rFonts w:hint="eastAsia" w:ascii="仿宋" w:hAnsi="仿宋" w:eastAsia="仿宋"/>
          <w:sz w:val="21"/>
        </w:rPr>
      </w:pPr>
    </w:p>
    <w:p>
      <w:pPr>
        <w:pStyle w:val="32"/>
        <w:ind w:firstLine="420"/>
        <w:rPr>
          <w:rFonts w:hint="eastAsia" w:ascii="仿宋" w:hAnsi="仿宋" w:eastAsia="仿宋"/>
          <w:sz w:val="21"/>
        </w:rPr>
      </w:pPr>
    </w:p>
    <w:p>
      <w:pPr>
        <w:pStyle w:val="32"/>
        <w:ind w:firstLine="420"/>
        <w:rPr>
          <w:rFonts w:hint="eastAsia" w:ascii="仿宋" w:hAnsi="仿宋" w:eastAsia="仿宋"/>
          <w:sz w:val="21"/>
        </w:rPr>
      </w:pP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pPr>
        <w:pStyle w:val="32"/>
        <w:ind w:firstLine="420"/>
        <w:rPr>
          <w:rFonts w:hint="eastAsia" w:ascii="仿宋" w:hAnsi="仿宋" w:eastAsia="仿宋"/>
          <w:sz w:val="21"/>
        </w:rPr>
      </w:pPr>
      <w:r>
        <w:rPr>
          <w:rFonts w:hint="eastAsia" w:ascii="仿宋" w:hAnsi="仿宋" w:eastAsia="仿宋"/>
          <w:sz w:val="21"/>
        </w:rPr>
        <w:t>法定代表人（负责人）：</w:t>
      </w:r>
      <w:r>
        <w:rPr>
          <w:rFonts w:hint="eastAsia" w:ascii="仿宋" w:hAnsi="仿宋" w:eastAsia="仿宋"/>
          <w:sz w:val="21"/>
          <w:u w:val="single"/>
        </w:rPr>
        <w:t xml:space="preserve">                    </w:t>
      </w:r>
      <w:r>
        <w:rPr>
          <w:rFonts w:hint="eastAsia" w:ascii="仿宋" w:hAnsi="仿宋" w:eastAsia="仿宋"/>
          <w:sz w:val="21"/>
        </w:rPr>
        <w:t>（签字或盖章）</w:t>
      </w:r>
    </w:p>
    <w:p>
      <w:pPr>
        <w:pStyle w:val="32"/>
        <w:ind w:firstLine="420"/>
        <w:rPr>
          <w:rFonts w:hint="eastAsia" w:ascii="仿宋" w:hAnsi="仿宋" w:eastAsia="仿宋"/>
          <w:sz w:val="21"/>
        </w:rPr>
      </w:pPr>
      <w:r>
        <w:rPr>
          <w:rFonts w:hint="eastAsia" w:ascii="仿宋" w:hAnsi="仿宋" w:eastAsia="仿宋"/>
          <w:sz w:val="21"/>
        </w:rPr>
        <w:t>身份证号码：</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sz w:val="21"/>
        </w:rPr>
      </w:pPr>
      <w:r>
        <w:rPr>
          <w:rFonts w:hint="eastAsia" w:ascii="仿宋" w:hAnsi="仿宋" w:eastAsia="仿宋"/>
          <w:sz w:val="21"/>
        </w:rPr>
        <w:t>委托代理人：</w:t>
      </w:r>
      <w:r>
        <w:rPr>
          <w:rFonts w:hint="eastAsia" w:ascii="仿宋" w:hAnsi="仿宋" w:eastAsia="仿宋"/>
          <w:sz w:val="21"/>
          <w:u w:val="single"/>
        </w:rPr>
        <w:t xml:space="preserve">                              </w:t>
      </w:r>
      <w:r>
        <w:rPr>
          <w:rFonts w:hint="eastAsia" w:ascii="仿宋" w:hAnsi="仿宋" w:eastAsia="仿宋"/>
          <w:sz w:val="21"/>
        </w:rPr>
        <w:t xml:space="preserve">（签字或盖章） </w:t>
      </w:r>
    </w:p>
    <w:p>
      <w:pPr>
        <w:pStyle w:val="32"/>
        <w:ind w:firstLine="420"/>
        <w:rPr>
          <w:rFonts w:hint="eastAsia" w:ascii="仿宋" w:hAnsi="仿宋" w:eastAsia="仿宋"/>
          <w:sz w:val="21"/>
        </w:rPr>
      </w:pPr>
      <w:r>
        <w:rPr>
          <w:rFonts w:hint="eastAsia" w:ascii="仿宋" w:hAnsi="仿宋" w:eastAsia="仿宋"/>
          <w:sz w:val="21"/>
        </w:rPr>
        <w:t>身份证号码：</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sz w:val="21"/>
        </w:rPr>
      </w:pPr>
      <w:r>
        <w:rPr>
          <w:rFonts w:hint="eastAsia" w:ascii="仿宋" w:hAnsi="仿宋" w:eastAsia="仿宋"/>
          <w:sz w:val="21"/>
        </w:rPr>
        <w:t>联系方式（手机）：</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59" w:name="_Toc193699385"/>
      <w:r>
        <w:rPr>
          <w:rFonts w:hint="eastAsia" w:ascii="仿宋" w:hAnsi="仿宋" w:eastAsia="仿宋"/>
          <w:sz w:val="28"/>
          <w:szCs w:val="28"/>
        </w:rPr>
        <w:t>6.</w:t>
      </w:r>
      <w:r>
        <w:rPr>
          <w:rFonts w:hint="eastAsia" w:ascii="仿宋" w:hAnsi="仿宋" w:eastAsia="仿宋"/>
          <w:sz w:val="28"/>
          <w:szCs w:val="28"/>
        </w:rPr>
        <w:tab/>
      </w:r>
      <w:r>
        <w:rPr>
          <w:rFonts w:hint="eastAsia" w:ascii="仿宋" w:hAnsi="仿宋" w:eastAsia="仿宋"/>
          <w:sz w:val="28"/>
          <w:szCs w:val="28"/>
        </w:rPr>
        <w:t>资格审查资料</w:t>
      </w:r>
      <w:bookmarkEnd w:id="159"/>
    </w:p>
    <w:p>
      <w:pPr>
        <w:pStyle w:val="32"/>
        <w:ind w:firstLine="0" w:firstLineChars="0"/>
        <w:rPr>
          <w:rFonts w:hint="eastAsia" w:ascii="仿宋" w:hAnsi="仿宋" w:eastAsia="仿宋"/>
          <w:sz w:val="21"/>
        </w:rPr>
      </w:pPr>
      <w:r>
        <w:rPr>
          <w:rFonts w:hint="eastAsia" w:ascii="仿宋" w:hAnsi="仿宋" w:eastAsia="仿宋"/>
          <w:sz w:val="21"/>
        </w:rPr>
        <w:t>说明：</w:t>
      </w:r>
    </w:p>
    <w:p>
      <w:pPr>
        <w:pStyle w:val="32"/>
        <w:ind w:firstLine="420"/>
        <w:rPr>
          <w:rFonts w:hint="eastAsia" w:ascii="仿宋" w:hAnsi="仿宋" w:eastAsia="仿宋"/>
          <w:sz w:val="21"/>
        </w:rPr>
      </w:pPr>
      <w:r>
        <w:rPr>
          <w:rFonts w:hint="eastAsia" w:ascii="仿宋" w:hAnsi="仿宋" w:eastAsia="仿宋"/>
          <w:sz w:val="21"/>
        </w:rPr>
        <w:t>按照招标公告“2.投标人资格要求”资质条件中提到的资格证明文件等相关材料，提供复印件等证明文件。</w:t>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60" w:name="_Toc191289719"/>
      <w:bookmarkStart w:id="161" w:name="_Toc193699386"/>
      <w:r>
        <w:rPr>
          <w:rFonts w:hint="eastAsia" w:ascii="仿宋" w:hAnsi="仿宋" w:eastAsia="仿宋"/>
          <w:sz w:val="24"/>
          <w:szCs w:val="24"/>
        </w:rPr>
        <w:t>6.1</w:t>
      </w:r>
      <w:r>
        <w:rPr>
          <w:rFonts w:hint="eastAsia" w:ascii="仿宋" w:hAnsi="仿宋" w:eastAsia="仿宋"/>
          <w:sz w:val="24"/>
          <w:szCs w:val="24"/>
        </w:rPr>
        <w:tab/>
      </w:r>
      <w:r>
        <w:rPr>
          <w:rFonts w:hint="eastAsia" w:ascii="仿宋" w:hAnsi="仿宋" w:eastAsia="仿宋"/>
          <w:sz w:val="24"/>
          <w:szCs w:val="24"/>
        </w:rPr>
        <w:t>投标人基本情况表</w:t>
      </w:r>
      <w:bookmarkEnd w:id="160"/>
      <w:bookmarkEnd w:id="161"/>
    </w:p>
    <w:p>
      <w:pPr>
        <w:spacing w:line="360" w:lineRule="auto"/>
        <w:jc w:val="center"/>
        <w:rPr>
          <w:rFonts w:hint="eastAsia" w:ascii="仿宋" w:hAnsi="仿宋" w:eastAsia="仿宋"/>
          <w:b/>
          <w:sz w:val="28"/>
          <w:szCs w:val="28"/>
        </w:rPr>
      </w:pPr>
      <w:r>
        <w:rPr>
          <w:rFonts w:hint="eastAsia" w:ascii="仿宋" w:hAnsi="仿宋" w:eastAsia="仿宋"/>
          <w:b/>
          <w:sz w:val="28"/>
          <w:szCs w:val="28"/>
        </w:rPr>
        <w:t>投标人基本情况表</w:t>
      </w:r>
    </w:p>
    <w:tbl>
      <w:tblPr>
        <w:tblStyle w:val="24"/>
        <w:tblW w:w="8503"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3"/>
        <w:gridCol w:w="889"/>
        <w:gridCol w:w="945"/>
        <w:gridCol w:w="833"/>
        <w:gridCol w:w="417"/>
        <w:gridCol w:w="310"/>
        <w:gridCol w:w="1069"/>
        <w:gridCol w:w="487"/>
        <w:gridCol w:w="1840"/>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1713" w:type="dxa"/>
            <w:tcBorders>
              <w:top w:val="doub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投标人名称</w:t>
            </w:r>
          </w:p>
        </w:tc>
        <w:tc>
          <w:tcPr>
            <w:tcW w:w="6790" w:type="dxa"/>
            <w:gridSpan w:val="8"/>
            <w:tcBorders>
              <w:top w:val="double" w:color="auto" w:sz="4" w:space="0"/>
              <w:left w:val="single" w:color="auto" w:sz="4" w:space="0"/>
              <w:bottom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1713" w:type="dxa"/>
            <w:tcBorders>
              <w:top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注册地址</w:t>
            </w:r>
          </w:p>
        </w:tc>
        <w:tc>
          <w:tcPr>
            <w:tcW w:w="3394"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c>
          <w:tcPr>
            <w:tcW w:w="1069" w:type="dxa"/>
            <w:tcBorders>
              <w:top w:val="single" w:color="auto" w:sz="4" w:space="0"/>
              <w:left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邮政编码</w:t>
            </w:r>
          </w:p>
        </w:tc>
        <w:tc>
          <w:tcPr>
            <w:tcW w:w="2326" w:type="dxa"/>
            <w:gridSpan w:val="2"/>
            <w:tcBorders>
              <w:top w:val="single" w:color="auto" w:sz="4" w:space="0"/>
              <w:left w:val="single" w:color="auto" w:sz="4" w:space="0"/>
              <w:bottom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cantSplit/>
          <w:trHeight w:val="701" w:hRule="atLeast"/>
          <w:jc w:val="center"/>
        </w:trPr>
        <w:tc>
          <w:tcPr>
            <w:tcW w:w="1713" w:type="dxa"/>
            <w:vMerge w:val="restart"/>
            <w:tcBorders>
              <w:top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联系方式</w:t>
            </w:r>
          </w:p>
        </w:tc>
        <w:tc>
          <w:tcPr>
            <w:tcW w:w="889" w:type="dxa"/>
            <w:tcBorders>
              <w:top w:val="single" w:color="auto" w:sz="4" w:space="0"/>
              <w:left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联系人</w:t>
            </w:r>
          </w:p>
        </w:tc>
        <w:tc>
          <w:tcPr>
            <w:tcW w:w="2504"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c>
          <w:tcPr>
            <w:tcW w:w="1069" w:type="dxa"/>
            <w:tcBorders>
              <w:top w:val="single" w:color="auto" w:sz="4" w:space="0"/>
              <w:left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电 话</w:t>
            </w:r>
          </w:p>
        </w:tc>
        <w:tc>
          <w:tcPr>
            <w:tcW w:w="2326" w:type="dxa"/>
            <w:gridSpan w:val="2"/>
            <w:tcBorders>
              <w:top w:val="single" w:color="auto" w:sz="4" w:space="0"/>
              <w:left w:val="single" w:color="auto" w:sz="4" w:space="0"/>
              <w:bottom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cantSplit/>
          <w:trHeight w:val="710" w:hRule="atLeast"/>
          <w:jc w:val="center"/>
        </w:trPr>
        <w:tc>
          <w:tcPr>
            <w:tcW w:w="1713" w:type="dxa"/>
            <w:vMerge w:val="continue"/>
            <w:tcBorders>
              <w:top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c>
          <w:tcPr>
            <w:tcW w:w="88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传  真</w:t>
            </w:r>
          </w:p>
        </w:tc>
        <w:tc>
          <w:tcPr>
            <w:tcW w:w="2504" w:type="dxa"/>
            <w:gridSpan w:val="4"/>
            <w:tcBorders>
              <w:top w:val="single" w:color="auto" w:sz="4" w:space="0"/>
              <w:left w:val="single" w:color="auto" w:sz="4" w:space="0"/>
              <w:bottom w:val="nil"/>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c>
          <w:tcPr>
            <w:tcW w:w="10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网 址</w:t>
            </w:r>
          </w:p>
        </w:tc>
        <w:tc>
          <w:tcPr>
            <w:tcW w:w="2326" w:type="dxa"/>
            <w:gridSpan w:val="2"/>
            <w:tcBorders>
              <w:top w:val="single" w:color="auto" w:sz="4" w:space="0"/>
              <w:left w:val="single" w:color="auto" w:sz="4" w:space="0"/>
              <w:bottom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711" w:hRule="atLeast"/>
          <w:jc w:val="center"/>
        </w:trPr>
        <w:tc>
          <w:tcPr>
            <w:tcW w:w="1713" w:type="dxa"/>
            <w:tcBorders>
              <w:top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组织结构</w:t>
            </w:r>
          </w:p>
        </w:tc>
        <w:tc>
          <w:tcPr>
            <w:tcW w:w="6790" w:type="dxa"/>
            <w:gridSpan w:val="8"/>
            <w:tcBorders>
              <w:top w:val="single" w:color="auto" w:sz="4" w:space="0"/>
              <w:left w:val="single" w:color="auto" w:sz="4" w:space="0"/>
              <w:bottom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704" w:hRule="atLeast"/>
          <w:jc w:val="center"/>
        </w:trPr>
        <w:tc>
          <w:tcPr>
            <w:tcW w:w="1713" w:type="dxa"/>
            <w:tcBorders>
              <w:top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法定代表人（负责人）</w:t>
            </w:r>
          </w:p>
        </w:tc>
        <w:tc>
          <w:tcPr>
            <w:tcW w:w="88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姓名</w:t>
            </w:r>
          </w:p>
        </w:tc>
        <w:tc>
          <w:tcPr>
            <w:tcW w:w="219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c>
          <w:tcPr>
            <w:tcW w:w="186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电话</w:t>
            </w:r>
          </w:p>
        </w:tc>
        <w:tc>
          <w:tcPr>
            <w:tcW w:w="1839" w:type="dxa"/>
            <w:tcBorders>
              <w:top w:val="single" w:color="auto" w:sz="4" w:space="0"/>
              <w:left w:val="single" w:color="auto" w:sz="4" w:space="0"/>
              <w:bottom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713" w:type="dxa"/>
            <w:tcBorders>
              <w:top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成立时间</w:t>
            </w:r>
          </w:p>
        </w:tc>
        <w:tc>
          <w:tcPr>
            <w:tcW w:w="1834" w:type="dxa"/>
            <w:gridSpan w:val="2"/>
            <w:tcBorders>
              <w:top w:val="single" w:color="auto" w:sz="4" w:space="0"/>
              <w:left w:val="single" w:color="auto" w:sz="4" w:space="0"/>
              <w:bottom w:val="nil"/>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c>
          <w:tcPr>
            <w:tcW w:w="4956" w:type="dxa"/>
            <w:gridSpan w:val="6"/>
            <w:tcBorders>
              <w:top w:val="single" w:color="auto" w:sz="4" w:space="0"/>
              <w:left w:val="single" w:color="auto" w:sz="4" w:space="0"/>
              <w:bottom w:val="single" w:color="auto" w:sz="4" w:space="0"/>
            </w:tcBorders>
            <w:vAlign w:val="center"/>
          </w:tcPr>
          <w:p>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员工人数：</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cantSplit/>
          <w:trHeight w:val="998" w:hRule="atLeast"/>
          <w:jc w:val="center"/>
        </w:trPr>
        <w:tc>
          <w:tcPr>
            <w:tcW w:w="1713" w:type="dxa"/>
            <w:tcBorders>
              <w:top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统一社会信用代码</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c>
          <w:tcPr>
            <w:tcW w:w="833"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其中</w:t>
            </w:r>
          </w:p>
        </w:tc>
        <w:tc>
          <w:tcPr>
            <w:tcW w:w="2283"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高级职称</w:t>
            </w:r>
          </w:p>
        </w:tc>
        <w:tc>
          <w:tcPr>
            <w:tcW w:w="1839" w:type="dxa"/>
            <w:tcBorders>
              <w:top w:val="single" w:color="auto" w:sz="4" w:space="0"/>
              <w:left w:val="single" w:color="auto" w:sz="4" w:space="0"/>
              <w:bottom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cantSplit/>
          <w:trHeight w:val="910" w:hRule="atLeast"/>
          <w:jc w:val="center"/>
        </w:trPr>
        <w:tc>
          <w:tcPr>
            <w:tcW w:w="1713" w:type="dxa"/>
            <w:tcBorders>
              <w:top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开户银行</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c>
          <w:tcPr>
            <w:tcW w:w="833"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c>
          <w:tcPr>
            <w:tcW w:w="2283"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中级职称</w:t>
            </w:r>
          </w:p>
        </w:tc>
        <w:tc>
          <w:tcPr>
            <w:tcW w:w="1839" w:type="dxa"/>
            <w:tcBorders>
              <w:top w:val="single" w:color="auto" w:sz="4" w:space="0"/>
              <w:left w:val="single" w:color="auto" w:sz="4" w:space="0"/>
              <w:bottom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cantSplit/>
          <w:trHeight w:val="702" w:hRule="atLeast"/>
          <w:jc w:val="center"/>
        </w:trPr>
        <w:tc>
          <w:tcPr>
            <w:tcW w:w="1713" w:type="dxa"/>
            <w:tcBorders>
              <w:top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账号</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c>
          <w:tcPr>
            <w:tcW w:w="833" w:type="dxa"/>
            <w:vMerge w:val="continue"/>
            <w:tcBorders>
              <w:top w:val="nil"/>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c>
          <w:tcPr>
            <w:tcW w:w="2283"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初级职称</w:t>
            </w:r>
          </w:p>
        </w:tc>
        <w:tc>
          <w:tcPr>
            <w:tcW w:w="1839" w:type="dxa"/>
            <w:tcBorders>
              <w:top w:val="single" w:color="auto" w:sz="4" w:space="0"/>
              <w:left w:val="single" w:color="auto" w:sz="4" w:space="0"/>
              <w:bottom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712" w:hRule="atLeast"/>
          <w:jc w:val="center"/>
        </w:trPr>
        <w:tc>
          <w:tcPr>
            <w:tcW w:w="1713" w:type="dxa"/>
            <w:tcBorders>
              <w:top w:val="single" w:color="auto" w:sz="4" w:space="0"/>
              <w:bottom w:val="double" w:color="auto" w:sz="4" w:space="0"/>
              <w:righ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备注</w:t>
            </w:r>
          </w:p>
        </w:tc>
        <w:tc>
          <w:tcPr>
            <w:tcW w:w="6790" w:type="dxa"/>
            <w:gridSpan w:val="8"/>
            <w:tcBorders>
              <w:left w:val="single" w:color="auto" w:sz="4" w:space="0"/>
            </w:tcBorders>
            <w:vAlign w:val="center"/>
          </w:tcPr>
          <w:p>
            <w:pPr>
              <w:autoSpaceDE w:val="0"/>
              <w:autoSpaceDN w:val="0"/>
              <w:spacing w:before="62" w:beforeLines="20" w:after="62" w:afterLines="20" w:line="288" w:lineRule="auto"/>
              <w:jc w:val="center"/>
              <w:rPr>
                <w:rFonts w:hint="eastAsia" w:ascii="仿宋" w:hAnsi="仿宋" w:eastAsia="仿宋" w:cs="宋体"/>
                <w:szCs w:val="21"/>
              </w:rPr>
            </w:pPr>
          </w:p>
        </w:tc>
      </w:tr>
    </w:tbl>
    <w:p>
      <w:pPr>
        <w:pStyle w:val="32"/>
        <w:ind w:firstLine="0" w:firstLineChars="0"/>
        <w:rPr>
          <w:rFonts w:hint="eastAsia" w:ascii="仿宋" w:hAnsi="仿宋" w:eastAsia="仿宋"/>
          <w:sz w:val="21"/>
        </w:rPr>
      </w:pPr>
      <w:r>
        <w:rPr>
          <w:rFonts w:hint="eastAsia" w:ascii="仿宋" w:hAnsi="仿宋" w:eastAsia="仿宋"/>
          <w:sz w:val="21"/>
        </w:rPr>
        <w:t>备注：以上信息如没有的可以不填写。</w:t>
      </w:r>
    </w:p>
    <w:p>
      <w:pPr>
        <w:pStyle w:val="32"/>
        <w:ind w:firstLine="0" w:firstLineChars="0"/>
        <w:rPr>
          <w:rFonts w:hint="eastAsia" w:ascii="仿宋" w:hAnsi="仿宋" w:eastAsia="仿宋"/>
          <w:sz w:val="21"/>
        </w:rPr>
      </w:pPr>
    </w:p>
    <w:p>
      <w:pPr>
        <w:widowControl/>
        <w:jc w:val="left"/>
        <w:rPr>
          <w:rFonts w:hint="eastAsia" w:ascii="仿宋" w:hAnsi="仿宋" w:eastAsia="仿宋" w:cs="Times New Roman"/>
          <w:b/>
          <w:bCs/>
          <w:sz w:val="24"/>
          <w:szCs w:val="24"/>
        </w:rPr>
      </w:pPr>
      <w:r>
        <w:rPr>
          <w:rFonts w:ascii="仿宋" w:hAnsi="仿宋" w:eastAsia="仿宋"/>
          <w:sz w:val="24"/>
          <w:szCs w:val="24"/>
        </w:rPr>
        <w:br w:type="page"/>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62" w:name="_Toc191289720"/>
      <w:bookmarkStart w:id="163" w:name="_Toc193699387"/>
      <w:r>
        <w:rPr>
          <w:rFonts w:hint="eastAsia" w:ascii="仿宋" w:hAnsi="仿宋" w:eastAsia="仿宋"/>
          <w:sz w:val="24"/>
          <w:szCs w:val="24"/>
        </w:rPr>
        <w:t>6.2</w:t>
      </w:r>
      <w:r>
        <w:rPr>
          <w:rFonts w:hint="eastAsia" w:ascii="仿宋" w:hAnsi="仿宋" w:eastAsia="仿宋"/>
          <w:sz w:val="24"/>
          <w:szCs w:val="24"/>
        </w:rPr>
        <w:tab/>
      </w:r>
      <w:r>
        <w:rPr>
          <w:rFonts w:hint="eastAsia" w:ascii="仿宋" w:hAnsi="仿宋" w:eastAsia="仿宋"/>
          <w:sz w:val="24"/>
          <w:szCs w:val="24"/>
        </w:rPr>
        <w:t>资格要求材料</w:t>
      </w:r>
      <w:bookmarkEnd w:id="162"/>
      <w:bookmarkEnd w:id="163"/>
    </w:p>
    <w:p>
      <w:pPr>
        <w:pStyle w:val="32"/>
        <w:ind w:firstLine="0" w:firstLineChars="0"/>
        <w:rPr>
          <w:rFonts w:hint="eastAsia" w:ascii="仿宋" w:hAnsi="仿宋" w:eastAsia="仿宋"/>
          <w:sz w:val="21"/>
        </w:rPr>
      </w:pPr>
      <w:r>
        <w:rPr>
          <w:rFonts w:hint="eastAsia" w:ascii="仿宋" w:hAnsi="仿宋" w:eastAsia="仿宋"/>
          <w:sz w:val="21"/>
        </w:rPr>
        <w:t>说明：</w:t>
      </w:r>
    </w:p>
    <w:p>
      <w:pPr>
        <w:pStyle w:val="32"/>
        <w:ind w:firstLine="420"/>
        <w:rPr>
          <w:rFonts w:hint="eastAsia" w:ascii="仿宋" w:hAnsi="仿宋" w:eastAsia="仿宋"/>
          <w:sz w:val="21"/>
        </w:rPr>
      </w:pPr>
      <w:r>
        <w:rPr>
          <w:rFonts w:hint="eastAsia" w:ascii="仿宋" w:hAnsi="仿宋" w:eastAsia="仿宋"/>
          <w:sz w:val="21"/>
        </w:rPr>
        <w:t>按照第一章“招标公告”中“2. 投标人资格要求”。</w:t>
      </w:r>
    </w:p>
    <w:p>
      <w:pPr>
        <w:pStyle w:val="32"/>
        <w:ind w:firstLine="420"/>
        <w:rPr>
          <w:rFonts w:hint="eastAsia" w:ascii="仿宋" w:hAnsi="仿宋" w:eastAsia="仿宋"/>
          <w:sz w:val="21"/>
        </w:rPr>
      </w:pPr>
      <w:r>
        <w:rPr>
          <w:rFonts w:hint="eastAsia" w:ascii="仿宋" w:hAnsi="仿宋" w:eastAsia="仿宋"/>
          <w:sz w:val="21"/>
        </w:rPr>
        <w:t>1、投标人须在中华人民共和国境内注册的具有独立承担民事责任能力的法人或其他组织，提供营业执照或事业法人证书（分公司投标须得到总公司授权，同时提供总公司营业执照及盖章授权函）。</w:t>
      </w:r>
    </w:p>
    <w:p>
      <w:pPr>
        <w:pStyle w:val="32"/>
        <w:ind w:firstLine="0" w:firstLineChars="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投标人需提供查询截图）。</w:t>
      </w:r>
    </w:p>
    <w:p>
      <w:pPr>
        <w:pStyle w:val="32"/>
        <w:ind w:firstLine="0" w:firstLineChars="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3、单位负责人为同一人或者存在直接控股、管理关系的不同投标人，不得参加同一标段投标或者未划分标段的同一招标项目投标，以《投标人控股及管理关系情况申报表》填报的内容进行评审。</w:t>
      </w:r>
    </w:p>
    <w:p>
      <w:pPr>
        <w:pStyle w:val="32"/>
        <w:ind w:firstLine="0" w:firstLineChars="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4、联合体情况：我司为非联合体投标。</w:t>
      </w:r>
    </w:p>
    <w:p>
      <w:pPr>
        <w:pStyle w:val="32"/>
        <w:ind w:firstLine="0" w:firstLineChars="0"/>
        <w:rPr>
          <w:rFonts w:hint="eastAsia" w:ascii="仿宋" w:hAnsi="仿宋" w:eastAsia="仿宋"/>
          <w:sz w:val="21"/>
        </w:rPr>
      </w:pPr>
    </w:p>
    <w:p/>
    <w:p>
      <w:pPr>
        <w:widowControl/>
        <w:jc w:val="left"/>
      </w:pPr>
      <w:r>
        <w:br w:type="page"/>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64" w:name="_Toc193699388"/>
      <w:bookmarkStart w:id="165" w:name="_Toc191289721"/>
      <w:r>
        <w:rPr>
          <w:rFonts w:hint="eastAsia" w:ascii="仿宋" w:hAnsi="仿宋" w:eastAsia="仿宋"/>
          <w:sz w:val="24"/>
          <w:szCs w:val="24"/>
        </w:rPr>
        <w:t>6.3</w:t>
      </w:r>
      <w:r>
        <w:rPr>
          <w:rFonts w:hint="eastAsia" w:ascii="仿宋" w:hAnsi="仿宋" w:eastAsia="仿宋"/>
          <w:sz w:val="24"/>
          <w:szCs w:val="24"/>
        </w:rPr>
        <w:tab/>
      </w:r>
      <w:r>
        <w:rPr>
          <w:rFonts w:hint="eastAsia" w:ascii="仿宋" w:hAnsi="仿宋" w:eastAsia="仿宋"/>
          <w:sz w:val="24"/>
          <w:szCs w:val="24"/>
        </w:rPr>
        <w:t>关于资格的声明函</w:t>
      </w:r>
      <w:bookmarkEnd w:id="164"/>
      <w:bookmarkEnd w:id="165"/>
    </w:p>
    <w:p>
      <w:pPr>
        <w:spacing w:line="360" w:lineRule="auto"/>
        <w:jc w:val="center"/>
        <w:rPr>
          <w:rFonts w:hint="eastAsia" w:ascii="仿宋" w:hAnsi="仿宋" w:eastAsia="仿宋"/>
          <w:b/>
          <w:sz w:val="28"/>
          <w:szCs w:val="28"/>
        </w:rPr>
      </w:pPr>
      <w:r>
        <w:rPr>
          <w:rFonts w:hint="eastAsia" w:ascii="仿宋" w:hAnsi="仿宋" w:eastAsia="仿宋"/>
          <w:b/>
          <w:sz w:val="28"/>
          <w:szCs w:val="28"/>
        </w:rPr>
        <w:t>资格声明函</w:t>
      </w:r>
    </w:p>
    <w:p>
      <w:pPr>
        <w:pStyle w:val="32"/>
        <w:ind w:firstLine="199" w:firstLineChars="95"/>
        <w:rPr>
          <w:rFonts w:hint="eastAsia" w:ascii="仿宋" w:hAnsi="仿宋" w:eastAsia="仿宋"/>
          <w:sz w:val="21"/>
        </w:rPr>
      </w:pPr>
      <w:r>
        <w:rPr>
          <w:rFonts w:hint="eastAsia" w:ascii="仿宋" w:hAnsi="仿宋" w:eastAsia="仿宋"/>
          <w:sz w:val="21"/>
        </w:rPr>
        <w:t>致：</w:t>
      </w:r>
      <w:r>
        <w:rPr>
          <w:rFonts w:hint="eastAsia" w:ascii="仿宋" w:hAnsi="仿宋" w:eastAsia="仿宋"/>
          <w:sz w:val="21"/>
          <w:u w:val="single"/>
        </w:rPr>
        <w:t>广东南方报业传媒集团有限公司、广东省南方文化产权交易所股份有限公司</w:t>
      </w:r>
    </w:p>
    <w:p>
      <w:pPr>
        <w:pStyle w:val="32"/>
        <w:ind w:firstLine="420"/>
        <w:rPr>
          <w:rFonts w:hint="eastAsia" w:ascii="仿宋" w:hAnsi="仿宋" w:eastAsia="仿宋"/>
          <w:sz w:val="21"/>
        </w:rPr>
      </w:pPr>
      <w:r>
        <w:rPr>
          <w:rFonts w:hint="eastAsia" w:ascii="仿宋" w:hAnsi="仿宋" w:eastAsia="仿宋"/>
          <w:sz w:val="21"/>
        </w:rPr>
        <w:t>我方愿响应</w:t>
      </w:r>
      <w:bookmarkStart w:id="166" w:name="_Hlk163488172"/>
      <w:r>
        <w:rPr>
          <w:rFonts w:hint="eastAsia" w:ascii="仿宋" w:hAnsi="仿宋" w:eastAsia="仿宋"/>
          <w:sz w:val="21"/>
          <w:u w:val="single"/>
        </w:rPr>
        <w:t>2025年度网络安全建设和服务项目</w:t>
      </w:r>
      <w:r>
        <w:rPr>
          <w:rFonts w:hint="eastAsia" w:ascii="仿宋" w:hAnsi="仿宋" w:eastAsia="仿宋"/>
          <w:sz w:val="21"/>
        </w:rPr>
        <w:t>（项目编号：</w:t>
      </w:r>
      <w:r>
        <w:rPr>
          <w:rFonts w:hint="eastAsia" w:ascii="仿宋" w:hAnsi="仿宋" w:eastAsia="仿宋"/>
          <w:sz w:val="21"/>
          <w:u w:val="single"/>
        </w:rPr>
        <w:t>WJS-202503140012</w:t>
      </w:r>
      <w:r>
        <w:rPr>
          <w:rFonts w:hint="eastAsia" w:ascii="仿宋" w:hAnsi="仿宋" w:eastAsia="仿宋"/>
          <w:sz w:val="21"/>
        </w:rPr>
        <w:t>）</w:t>
      </w:r>
      <w:bookmarkEnd w:id="166"/>
      <w:r>
        <w:rPr>
          <w:rFonts w:hint="eastAsia" w:ascii="仿宋" w:hAnsi="仿宋" w:eastAsia="仿宋"/>
          <w:sz w:val="21"/>
        </w:rPr>
        <w:t>，参与投标应答，提供招标人需求中规定的货物或服务，并按招标文件要求提交所附资格文件且声明和保证如下：</w:t>
      </w:r>
    </w:p>
    <w:p>
      <w:pPr>
        <w:pStyle w:val="32"/>
        <w:ind w:firstLine="420"/>
        <w:rPr>
          <w:rFonts w:hint="eastAsia" w:ascii="仿宋" w:hAnsi="仿宋" w:eastAsia="仿宋"/>
          <w:sz w:val="21"/>
        </w:rPr>
      </w:pPr>
      <w:r>
        <w:rPr>
          <w:rFonts w:hint="eastAsia" w:ascii="仿宋" w:hAnsi="仿宋" w:eastAsia="仿宋"/>
          <w:sz w:val="21"/>
        </w:rPr>
        <w:t>1、我方为本次投标所提交的所有证明其合格和资格的文件是真实的和正确的，并愿为其真实性和正确性承担法律责任；</w:t>
      </w:r>
    </w:p>
    <w:p>
      <w:pPr>
        <w:pStyle w:val="32"/>
        <w:ind w:firstLine="420"/>
        <w:rPr>
          <w:rFonts w:hint="eastAsia" w:ascii="仿宋" w:hAnsi="仿宋" w:eastAsia="仿宋"/>
          <w:sz w:val="21"/>
        </w:rPr>
      </w:pPr>
      <w:r>
        <w:rPr>
          <w:rFonts w:hint="eastAsia" w:ascii="仿宋" w:hAnsi="仿宋" w:eastAsia="仿宋"/>
          <w:sz w:val="21"/>
        </w:rPr>
        <w:t>2、我方为中华人民共和国境内的合法经营主体，具有独立的民事行为能力；具有依法缴纳税收和社会保障资金的良好记录；具有良好的商业信誉和健全的财务会计制度；具备履行合同所必需的专业技术能力。</w:t>
      </w:r>
    </w:p>
    <w:p>
      <w:pPr>
        <w:pStyle w:val="32"/>
        <w:ind w:firstLine="420"/>
        <w:rPr>
          <w:rFonts w:hint="eastAsia" w:ascii="仿宋" w:hAnsi="仿宋" w:eastAsia="仿宋"/>
          <w:sz w:val="21"/>
        </w:rPr>
      </w:pPr>
      <w:r>
        <w:rPr>
          <w:rFonts w:hint="eastAsia" w:ascii="仿宋" w:hAnsi="仿宋" w:eastAsia="仿宋"/>
          <w:sz w:val="21"/>
        </w:rPr>
        <w:t>3、我方（企业）具备招标公告中规定的资格条件，并已清楚招标文件的要求及有关文件规定，并承诺在本次招标采购活动中，如有违法、违规、弄虚作假行为，所造成的损失、不良后果及法律责任，一律由我方（企业）承担。</w:t>
      </w:r>
    </w:p>
    <w:p>
      <w:pPr>
        <w:pStyle w:val="32"/>
        <w:ind w:firstLine="420"/>
        <w:rPr>
          <w:rFonts w:hint="eastAsia" w:ascii="仿宋" w:hAnsi="仿宋" w:eastAsia="仿宋"/>
          <w:sz w:val="21"/>
        </w:rPr>
      </w:pPr>
      <w:r>
        <w:rPr>
          <w:rFonts w:hint="eastAsia" w:ascii="仿宋" w:hAnsi="仿宋" w:eastAsia="仿宋"/>
          <w:sz w:val="21"/>
        </w:rPr>
        <w:t>4、我方是依法注册的法人（或其他组织），在法律上、财务上和运作上完全独立于</w:t>
      </w:r>
      <w:r>
        <w:rPr>
          <w:rFonts w:hint="eastAsia" w:ascii="仿宋" w:hAnsi="仿宋" w:eastAsia="仿宋"/>
          <w:sz w:val="21"/>
          <w:u w:val="single"/>
        </w:rPr>
        <w:t>广东南方报业传媒集团有限公司</w:t>
      </w:r>
      <w:r>
        <w:rPr>
          <w:rFonts w:hint="eastAsia" w:ascii="仿宋" w:hAnsi="仿宋" w:eastAsia="仿宋"/>
          <w:sz w:val="21"/>
        </w:rPr>
        <w:t>（招标人）及</w:t>
      </w:r>
      <w:r>
        <w:rPr>
          <w:rFonts w:hint="eastAsia" w:ascii="仿宋" w:hAnsi="仿宋" w:eastAsia="仿宋"/>
          <w:sz w:val="21"/>
          <w:u w:val="single"/>
        </w:rPr>
        <w:t>广东省南方文化产权交易所股份有限公司</w:t>
      </w:r>
      <w:r>
        <w:rPr>
          <w:rFonts w:hint="eastAsia" w:ascii="仿宋" w:hAnsi="仿宋" w:eastAsia="仿宋"/>
          <w:sz w:val="21"/>
        </w:rPr>
        <w:t>（招标代理机构）。</w:t>
      </w:r>
    </w:p>
    <w:p>
      <w:pPr>
        <w:pStyle w:val="32"/>
        <w:ind w:firstLine="420"/>
        <w:rPr>
          <w:rFonts w:hint="eastAsia" w:ascii="仿宋" w:hAnsi="仿宋" w:eastAsia="仿宋"/>
          <w:sz w:val="21"/>
        </w:rPr>
      </w:pPr>
      <w:r>
        <w:rPr>
          <w:rFonts w:hint="eastAsia" w:ascii="仿宋" w:hAnsi="仿宋" w:eastAsia="仿宋"/>
          <w:sz w:val="21"/>
        </w:rPr>
        <w:t>5、我方非联合体参与本项目投标。</w:t>
      </w:r>
    </w:p>
    <w:p>
      <w:pPr>
        <w:pStyle w:val="32"/>
        <w:ind w:firstLine="420"/>
        <w:rPr>
          <w:rFonts w:hint="eastAsia" w:ascii="仿宋" w:hAnsi="仿宋" w:eastAsia="仿宋"/>
          <w:sz w:val="21"/>
        </w:rPr>
      </w:pPr>
      <w:r>
        <w:rPr>
          <w:rFonts w:hint="eastAsia" w:ascii="仿宋" w:hAnsi="仿宋" w:eastAsia="仿宋"/>
          <w:sz w:val="21"/>
        </w:rPr>
        <w:t>6、我方在参加本次投标前3年内，在经营活动及参与采购活动中没有重大违法活动及涉嫌违规行为，并没有因而被有关部门警告或处分的记录。</w:t>
      </w:r>
    </w:p>
    <w:p>
      <w:pPr>
        <w:pStyle w:val="32"/>
        <w:ind w:firstLine="420"/>
        <w:rPr>
          <w:rFonts w:hint="eastAsia" w:ascii="仿宋" w:hAnsi="仿宋" w:eastAsia="仿宋"/>
          <w:sz w:val="21"/>
        </w:rPr>
      </w:pPr>
      <w:r>
        <w:rPr>
          <w:rFonts w:hint="eastAsia" w:ascii="仿宋" w:hAnsi="仿宋" w:eastAsia="仿宋"/>
          <w:sz w:val="21"/>
        </w:rPr>
        <w:t>特此声明！</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投标人名称（盖章）：</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sz w:val="21"/>
        </w:rPr>
      </w:pPr>
      <w:r>
        <w:rPr>
          <w:rFonts w:hint="eastAsia" w:ascii="仿宋" w:hAnsi="仿宋" w:eastAsia="仿宋"/>
          <w:sz w:val="21"/>
        </w:rPr>
        <w:t>法定代表或其授权代表（签字或盖章）：</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
    <w:p>
      <w:pPr>
        <w:widowControl/>
        <w:jc w:val="left"/>
      </w:pPr>
      <w:r>
        <w:br w:type="page"/>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67" w:name="_Toc191289722"/>
      <w:bookmarkStart w:id="168" w:name="_Toc193699389"/>
      <w:r>
        <w:rPr>
          <w:rFonts w:hint="eastAsia" w:ascii="仿宋" w:hAnsi="仿宋" w:eastAsia="仿宋"/>
          <w:sz w:val="24"/>
          <w:szCs w:val="24"/>
        </w:rPr>
        <w:t>6.4</w:t>
      </w:r>
      <w:r>
        <w:rPr>
          <w:rFonts w:hint="eastAsia" w:ascii="仿宋" w:hAnsi="仿宋" w:eastAsia="仿宋"/>
          <w:sz w:val="24"/>
          <w:szCs w:val="24"/>
        </w:rPr>
        <w:tab/>
      </w:r>
      <w:r>
        <w:rPr>
          <w:rFonts w:hint="eastAsia" w:ascii="仿宋" w:hAnsi="仿宋" w:eastAsia="仿宋"/>
          <w:sz w:val="24"/>
          <w:szCs w:val="24"/>
        </w:rPr>
        <w:t>投标人控股及管理关系情况申报</w:t>
      </w:r>
      <w:bookmarkEnd w:id="167"/>
      <w:bookmarkEnd w:id="168"/>
    </w:p>
    <w:p>
      <w:pPr>
        <w:spacing w:line="360" w:lineRule="auto"/>
        <w:jc w:val="center"/>
        <w:rPr>
          <w:rFonts w:hint="eastAsia" w:ascii="仿宋" w:hAnsi="仿宋" w:eastAsia="仿宋"/>
          <w:b/>
          <w:sz w:val="28"/>
          <w:szCs w:val="28"/>
        </w:rPr>
      </w:pPr>
      <w:bookmarkStart w:id="169" w:name="_Toc14134_WPSOffice_Level3"/>
      <w:r>
        <w:rPr>
          <w:rFonts w:hint="eastAsia" w:ascii="仿宋" w:hAnsi="仿宋" w:eastAsia="仿宋"/>
          <w:b/>
          <w:sz w:val="28"/>
          <w:szCs w:val="28"/>
        </w:rPr>
        <w:t>投标人控股及管理关系情况申报表</w:t>
      </w:r>
      <w:bookmarkEnd w:id="169"/>
    </w:p>
    <w:p>
      <w:pPr>
        <w:pStyle w:val="32"/>
        <w:ind w:firstLine="0" w:firstLineChars="0"/>
        <w:rPr>
          <w:rFonts w:hint="eastAsia" w:ascii="仿宋" w:hAnsi="仿宋" w:eastAsia="仿宋"/>
          <w:sz w:val="21"/>
        </w:rPr>
      </w:pPr>
      <w:r>
        <w:rPr>
          <w:rFonts w:hint="eastAsia" w:ascii="仿宋" w:hAnsi="仿宋" w:eastAsia="仿宋"/>
          <w:sz w:val="21"/>
        </w:rPr>
        <w:t>致：</w:t>
      </w:r>
      <w:r>
        <w:rPr>
          <w:rFonts w:hint="eastAsia" w:ascii="仿宋" w:hAnsi="仿宋" w:eastAsia="仿宋"/>
          <w:sz w:val="21"/>
          <w:u w:val="single"/>
        </w:rPr>
        <w:t>广东南方报业传媒集团有限公司、广东省南方文化产权交易所股份有限公司</w:t>
      </w:r>
    </w:p>
    <w:p>
      <w:pPr>
        <w:pStyle w:val="32"/>
        <w:ind w:firstLine="199" w:firstLineChars="95"/>
        <w:rPr>
          <w:rFonts w:hint="eastAsia" w:ascii="仿宋" w:hAnsi="仿宋" w:eastAsia="仿宋"/>
          <w:sz w:val="21"/>
        </w:rPr>
      </w:pPr>
      <w:r>
        <w:rPr>
          <w:rFonts w:hint="eastAsia" w:ascii="仿宋" w:hAnsi="仿宋" w:eastAsia="仿宋"/>
          <w:sz w:val="21"/>
        </w:rPr>
        <w:t>我方参加</w:t>
      </w:r>
      <w:r>
        <w:rPr>
          <w:rFonts w:hint="eastAsia" w:ascii="仿宋" w:hAnsi="仿宋" w:eastAsia="仿宋"/>
          <w:sz w:val="21"/>
          <w:u w:val="single"/>
        </w:rPr>
        <w:t>2025年度网络安全建设和服务项目</w:t>
      </w:r>
      <w:r>
        <w:rPr>
          <w:rFonts w:hint="eastAsia" w:ascii="仿宋" w:hAnsi="仿宋" w:eastAsia="仿宋"/>
          <w:sz w:val="21"/>
        </w:rPr>
        <w:t>（项目编号：</w:t>
      </w:r>
      <w:r>
        <w:rPr>
          <w:rFonts w:hint="eastAsia" w:ascii="仿宋" w:hAnsi="仿宋" w:eastAsia="仿宋"/>
          <w:sz w:val="21"/>
          <w:u w:val="single"/>
        </w:rPr>
        <w:t>WJS-202503140012</w:t>
      </w:r>
      <w:r>
        <w:rPr>
          <w:rFonts w:hint="eastAsia" w:ascii="仿宋" w:hAnsi="仿宋" w:eastAsia="仿宋"/>
          <w:sz w:val="21"/>
        </w:rPr>
        <w:t>）的投标，根据法律法规维护采购公正性的相关规定，特就本单位控股及管理关系情况申报如下，并承担申报不实的责任。</w:t>
      </w:r>
    </w:p>
    <w:tbl>
      <w:tblPr>
        <w:tblStyle w:val="24"/>
        <w:tblW w:w="878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2240"/>
        <w:gridCol w:w="461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926" w:type="dxa"/>
            <w:vAlign w:val="center"/>
          </w:tcPr>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申报人名称</w:t>
            </w:r>
          </w:p>
        </w:tc>
        <w:tc>
          <w:tcPr>
            <w:tcW w:w="6859" w:type="dxa"/>
            <w:gridSpan w:val="2"/>
            <w:vAlign w:val="center"/>
          </w:tcPr>
          <w:p>
            <w:pPr>
              <w:rPr>
                <w:rFonts w:hint="eastAsia" w:ascii="仿宋" w:hAnsi="仿宋" w:eastAsia="仿宋"/>
              </w:rPr>
            </w:pPr>
            <w:r>
              <w:rPr>
                <w:rFonts w:hint="eastAsia" w:ascii="仿宋" w:hAnsi="仿宋" w:eastAsia="仿宋"/>
                <w:szCs w:val="21"/>
              </w:rPr>
              <w:t>【    [投标人名称]】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926" w:type="dxa"/>
            <w:vMerge w:val="restart"/>
            <w:vAlign w:val="center"/>
          </w:tcPr>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法定代表人/单位负责人</w:t>
            </w:r>
          </w:p>
        </w:tc>
        <w:tc>
          <w:tcPr>
            <w:tcW w:w="2240" w:type="dxa"/>
            <w:vAlign w:val="center"/>
          </w:tcPr>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姓    名</w:t>
            </w:r>
          </w:p>
        </w:tc>
        <w:tc>
          <w:tcPr>
            <w:tcW w:w="4619" w:type="dxa"/>
            <w:vAlign w:val="center"/>
          </w:tcPr>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szCs w:val="21"/>
              </w:rPr>
              <w:t>【    [投标人法定代表人/负责人姓名]】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926" w:type="dxa"/>
            <w:vMerge w:val="continue"/>
            <w:vAlign w:val="center"/>
          </w:tcPr>
          <w:p>
            <w:pPr>
              <w:autoSpaceDE w:val="0"/>
              <w:autoSpaceDN w:val="0"/>
              <w:spacing w:before="62" w:beforeLines="20" w:after="62" w:afterLines="20" w:line="288" w:lineRule="auto"/>
              <w:jc w:val="center"/>
              <w:rPr>
                <w:rFonts w:hint="eastAsia" w:ascii="仿宋" w:hAnsi="仿宋" w:eastAsia="仿宋"/>
              </w:rPr>
            </w:pPr>
          </w:p>
        </w:tc>
        <w:tc>
          <w:tcPr>
            <w:tcW w:w="2240" w:type="dxa"/>
            <w:vAlign w:val="center"/>
          </w:tcPr>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身份证号</w:t>
            </w:r>
          </w:p>
        </w:tc>
        <w:tc>
          <w:tcPr>
            <w:tcW w:w="4619" w:type="dxa"/>
            <w:vAlign w:val="center"/>
          </w:tcPr>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szCs w:val="21"/>
              </w:rPr>
              <w:t>【    [投标人法定代表人/负责人身份证号]】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926" w:type="dxa"/>
            <w:vAlign w:val="center"/>
          </w:tcPr>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控股股东/投资人名称</w:t>
            </w:r>
          </w:p>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及出资比例</w:t>
            </w:r>
          </w:p>
        </w:tc>
        <w:tc>
          <w:tcPr>
            <w:tcW w:w="6859" w:type="dxa"/>
            <w:gridSpan w:val="2"/>
            <w:vAlign w:val="center"/>
          </w:tcPr>
          <w:p>
            <w:pPr>
              <w:autoSpaceDE w:val="0"/>
              <w:autoSpaceDN w:val="0"/>
              <w:spacing w:before="62" w:beforeLines="20" w:after="62" w:afterLines="20" w:line="288" w:lineRule="auto"/>
              <w:jc w:val="left"/>
              <w:rPr>
                <w:rFonts w:hint="eastAsia" w:ascii="仿宋" w:hAnsi="仿宋" w:eastAsia="仿宋"/>
              </w:rPr>
            </w:pPr>
            <w:r>
              <w:rPr>
                <w:rFonts w:hint="eastAsia" w:ascii="仿宋" w:hAnsi="仿宋" w:eastAsia="仿宋"/>
                <w:szCs w:val="21"/>
              </w:rPr>
              <w:t>【    [公司名称]/    [自然人]，出资比例    %，[投标人控股股东/投资人名称及出资比例]】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926" w:type="dxa"/>
            <w:vAlign w:val="center"/>
          </w:tcPr>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非控股股东/投资人名称</w:t>
            </w:r>
          </w:p>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及出资比例</w:t>
            </w:r>
          </w:p>
        </w:tc>
        <w:tc>
          <w:tcPr>
            <w:tcW w:w="6859" w:type="dxa"/>
            <w:gridSpan w:val="2"/>
            <w:vAlign w:val="center"/>
          </w:tcPr>
          <w:p>
            <w:pPr>
              <w:autoSpaceDE w:val="0"/>
              <w:autoSpaceDN w:val="0"/>
              <w:spacing w:before="62" w:beforeLines="20" w:after="62" w:afterLines="20" w:line="288" w:lineRule="auto"/>
              <w:jc w:val="left"/>
              <w:rPr>
                <w:rFonts w:hint="eastAsia" w:ascii="仿宋" w:hAnsi="仿宋" w:eastAsia="仿宋"/>
              </w:rPr>
            </w:pPr>
            <w:r>
              <w:rPr>
                <w:rFonts w:hint="eastAsia" w:ascii="仿宋" w:hAnsi="仿宋" w:eastAsia="仿宋"/>
                <w:szCs w:val="21"/>
              </w:rPr>
              <w:t>【    [公司名称]/    [自然人]，出资比例    %，[投标人非控股股东/投资人名称及出资比例，应从出资比例由高到低进行填写]】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1926" w:type="dxa"/>
            <w:vMerge w:val="restart"/>
            <w:vAlign w:val="center"/>
          </w:tcPr>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管理关系单位名称</w:t>
            </w:r>
          </w:p>
        </w:tc>
        <w:tc>
          <w:tcPr>
            <w:tcW w:w="2240" w:type="dxa"/>
            <w:vAlign w:val="center"/>
          </w:tcPr>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管理关系单位名称</w:t>
            </w:r>
          </w:p>
        </w:tc>
        <w:tc>
          <w:tcPr>
            <w:tcW w:w="4619" w:type="dxa"/>
            <w:vAlign w:val="center"/>
          </w:tcPr>
          <w:p>
            <w:pPr>
              <w:autoSpaceDE w:val="0"/>
              <w:autoSpaceDN w:val="0"/>
              <w:spacing w:before="62" w:beforeLines="20" w:after="62" w:afterLines="20" w:line="288" w:lineRule="auto"/>
              <w:jc w:val="left"/>
              <w:rPr>
                <w:rFonts w:hint="eastAsia" w:ascii="仿宋" w:hAnsi="仿宋" w:eastAsia="仿宋"/>
              </w:rPr>
            </w:pPr>
            <w:r>
              <w:rPr>
                <w:rFonts w:hint="eastAsia" w:ascii="仿宋" w:hAnsi="仿宋" w:eastAsia="仿宋"/>
                <w:szCs w:val="21"/>
              </w:rPr>
              <w:t>【    [管理单位全称]】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926" w:type="dxa"/>
            <w:vMerge w:val="continue"/>
            <w:vAlign w:val="center"/>
          </w:tcPr>
          <w:p>
            <w:pPr>
              <w:autoSpaceDE w:val="0"/>
              <w:autoSpaceDN w:val="0"/>
              <w:spacing w:before="62" w:beforeLines="20" w:after="62" w:afterLines="20" w:line="288" w:lineRule="auto"/>
              <w:jc w:val="center"/>
              <w:rPr>
                <w:rFonts w:hint="eastAsia" w:ascii="仿宋" w:hAnsi="仿宋" w:eastAsia="仿宋"/>
              </w:rPr>
            </w:pPr>
          </w:p>
        </w:tc>
        <w:tc>
          <w:tcPr>
            <w:tcW w:w="2240" w:type="dxa"/>
            <w:vAlign w:val="center"/>
          </w:tcPr>
          <w:p>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被管理关系单位名称</w:t>
            </w:r>
          </w:p>
        </w:tc>
        <w:tc>
          <w:tcPr>
            <w:tcW w:w="4619" w:type="dxa"/>
            <w:vAlign w:val="center"/>
          </w:tcPr>
          <w:p>
            <w:pPr>
              <w:autoSpaceDE w:val="0"/>
              <w:autoSpaceDN w:val="0"/>
              <w:spacing w:before="62" w:beforeLines="20" w:after="62" w:afterLines="20" w:line="288" w:lineRule="auto"/>
              <w:jc w:val="left"/>
              <w:rPr>
                <w:rFonts w:hint="eastAsia" w:ascii="仿宋" w:hAnsi="仿宋" w:eastAsia="仿宋"/>
              </w:rPr>
            </w:pPr>
            <w:r>
              <w:rPr>
                <w:rFonts w:hint="eastAsia" w:ascii="仿宋" w:hAnsi="仿宋" w:eastAsia="仿宋"/>
                <w:szCs w:val="21"/>
              </w:rPr>
              <w:t>【    [被管理单位全称，应列明所有被管理单位]】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785" w:type="dxa"/>
            <w:gridSpan w:val="3"/>
            <w:vAlign w:val="center"/>
          </w:tcPr>
          <w:p>
            <w:pPr>
              <w:autoSpaceDE w:val="0"/>
              <w:autoSpaceDN w:val="0"/>
              <w:spacing w:before="62" w:beforeLines="20" w:after="62" w:afterLines="20" w:line="288" w:lineRule="auto"/>
              <w:jc w:val="left"/>
              <w:rPr>
                <w:rFonts w:hint="eastAsia" w:ascii="仿宋" w:hAnsi="仿宋" w:eastAsia="仿宋"/>
              </w:rPr>
            </w:pPr>
            <w:r>
              <w:rPr>
                <w:rFonts w:hint="eastAsia" w:ascii="仿宋" w:hAnsi="仿宋" w:eastAsia="仿宋"/>
              </w:rPr>
              <w:t>备注：</w:t>
            </w:r>
          </w:p>
        </w:tc>
      </w:tr>
    </w:tbl>
    <w:p>
      <w:pPr>
        <w:pStyle w:val="32"/>
        <w:ind w:firstLine="199" w:firstLineChars="95"/>
        <w:rPr>
          <w:rFonts w:hint="eastAsia" w:ascii="仿宋" w:hAnsi="仿宋" w:eastAsia="仿宋"/>
          <w:sz w:val="21"/>
        </w:rPr>
      </w:pPr>
      <w:r>
        <w:rPr>
          <w:rFonts w:hint="eastAsia" w:ascii="仿宋" w:hAnsi="仿宋" w:eastAsia="仿宋"/>
          <w:sz w:val="21"/>
        </w:rPr>
        <w:t>说明：1.控股股东/投资人是指出资比例在50%以上，或者出资比例不足50%，但享有公司股东会/董事会控制权的投资方（含单位或者个人）；</w:t>
      </w:r>
    </w:p>
    <w:p>
      <w:pPr>
        <w:pStyle w:val="32"/>
        <w:ind w:firstLine="199" w:firstLineChars="95"/>
        <w:rPr>
          <w:rFonts w:hint="eastAsia" w:ascii="仿宋" w:hAnsi="仿宋" w:eastAsia="仿宋"/>
          <w:sz w:val="21"/>
        </w:rPr>
      </w:pPr>
      <w:r>
        <w:rPr>
          <w:rFonts w:hint="eastAsia" w:ascii="仿宋" w:hAnsi="仿宋" w:eastAsia="仿宋"/>
          <w:sz w:val="21"/>
        </w:rPr>
        <w:t xml:space="preserve">    2.管理关系单位是指与不具有出资持股关系的其他单位之间存在管理与被管理关系的单位；</w:t>
      </w:r>
    </w:p>
    <w:p>
      <w:pPr>
        <w:pStyle w:val="32"/>
        <w:ind w:firstLine="199" w:firstLineChars="95"/>
        <w:rPr>
          <w:rFonts w:hint="eastAsia" w:ascii="仿宋" w:hAnsi="仿宋" w:eastAsia="仿宋"/>
          <w:sz w:val="21"/>
        </w:rPr>
      </w:pPr>
      <w:r>
        <w:rPr>
          <w:rFonts w:hint="eastAsia" w:ascii="仿宋" w:hAnsi="仿宋" w:eastAsia="仿宋"/>
          <w:sz w:val="21"/>
        </w:rPr>
        <w:t xml:space="preserve">    3.如未有相关情况，请在相应栏填写“无”。</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pPr>
        <w:pStyle w:val="32"/>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70" w:name="_Toc191289723"/>
      <w:bookmarkStart w:id="171" w:name="_Toc176186363"/>
      <w:bookmarkStart w:id="172" w:name="_Toc193699390"/>
      <w:r>
        <w:rPr>
          <w:rFonts w:hint="eastAsia" w:ascii="仿宋" w:hAnsi="仿宋" w:eastAsia="仿宋"/>
          <w:sz w:val="24"/>
          <w:szCs w:val="24"/>
        </w:rPr>
        <w:t>6.5</w:t>
      </w:r>
      <w:r>
        <w:rPr>
          <w:rFonts w:hint="eastAsia" w:ascii="仿宋" w:hAnsi="仿宋" w:eastAsia="仿宋"/>
          <w:sz w:val="24"/>
          <w:szCs w:val="24"/>
        </w:rPr>
        <w:tab/>
      </w:r>
      <w:r>
        <w:rPr>
          <w:rFonts w:hint="eastAsia" w:ascii="仿宋" w:hAnsi="仿宋" w:eastAsia="仿宋"/>
          <w:sz w:val="24"/>
          <w:szCs w:val="24"/>
        </w:rPr>
        <w:t>关于审计报告或银行资信证明</w:t>
      </w:r>
      <w:bookmarkEnd w:id="170"/>
      <w:bookmarkEnd w:id="171"/>
      <w:bookmarkEnd w:id="172"/>
    </w:p>
    <w:p>
      <w:pPr>
        <w:pStyle w:val="32"/>
        <w:ind w:firstLine="0" w:firstLineChars="0"/>
        <w:rPr>
          <w:rFonts w:hint="eastAsia" w:ascii="仿宋" w:hAnsi="仿宋" w:eastAsia="仿宋"/>
          <w:b/>
          <w:bCs/>
          <w:sz w:val="21"/>
        </w:rPr>
      </w:pPr>
      <w:r>
        <w:rPr>
          <w:rFonts w:hint="eastAsia" w:ascii="仿宋" w:hAnsi="仿宋" w:eastAsia="仿宋"/>
          <w:b/>
          <w:bCs/>
          <w:sz w:val="21"/>
        </w:rPr>
        <w:t>说明：</w:t>
      </w:r>
    </w:p>
    <w:p>
      <w:pPr>
        <w:pStyle w:val="32"/>
        <w:ind w:firstLine="420"/>
        <w:rPr>
          <w:rFonts w:hint="eastAsia" w:ascii="仿宋" w:hAnsi="仿宋" w:eastAsia="仿宋"/>
          <w:sz w:val="21"/>
        </w:rPr>
      </w:pPr>
      <w:r>
        <w:rPr>
          <w:rFonts w:hint="eastAsia" w:ascii="仿宋" w:hAnsi="仿宋" w:eastAsia="仿宋"/>
          <w:sz w:val="21"/>
        </w:rPr>
        <w:t>投标人须提供2023年度第三方审计机构出具的审计报告或2024年银行出具的资信证明。</w:t>
      </w:r>
    </w:p>
    <w:p/>
    <w:p>
      <w:pPr>
        <w:pStyle w:val="32"/>
        <w:ind w:firstLine="0" w:firstLineChars="0"/>
        <w:rPr>
          <w:rFonts w:hint="eastAsia" w:ascii="仿宋" w:hAnsi="仿宋" w:eastAsia="仿宋"/>
          <w:sz w:val="21"/>
        </w:rPr>
      </w:pPr>
    </w:p>
    <w:p>
      <w:pPr>
        <w:pStyle w:val="32"/>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pPr>
        <w:pStyle w:val="32"/>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pPr>
        <w:pStyle w:val="32"/>
        <w:pBdr>
          <w:top w:val="double" w:color="auto" w:sz="6" w:space="1"/>
          <w:left w:val="double" w:color="auto" w:sz="6" w:space="4"/>
          <w:bottom w:val="double" w:color="auto" w:sz="6" w:space="1"/>
          <w:right w:val="double" w:color="auto" w:sz="6" w:space="4"/>
        </w:pBdr>
        <w:ind w:firstLine="0" w:firstLineChars="0"/>
        <w:jc w:val="center"/>
        <w:rPr>
          <w:rFonts w:hint="eastAsia" w:ascii="仿宋" w:hAnsi="仿宋" w:eastAsia="仿宋"/>
          <w:b/>
          <w:bCs/>
          <w:sz w:val="21"/>
        </w:rPr>
      </w:pPr>
      <w:r>
        <w:rPr>
          <w:rFonts w:hint="eastAsia" w:ascii="仿宋" w:hAnsi="仿宋" w:eastAsia="仿宋"/>
          <w:b/>
          <w:bCs/>
          <w:sz w:val="21"/>
        </w:rPr>
        <w:t>提供清晰的审计报告扫描件或银行出具的资信证明材料</w:t>
      </w:r>
    </w:p>
    <w:p>
      <w:pPr>
        <w:pStyle w:val="32"/>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pPr>
        <w:pStyle w:val="32"/>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pPr>
        <w:pStyle w:val="32"/>
        <w:ind w:firstLine="0" w:firstLineChars="0"/>
        <w:rPr>
          <w:rFonts w:hint="eastAsia" w:ascii="仿宋" w:hAnsi="仿宋" w:eastAsia="仿宋"/>
          <w:sz w:val="21"/>
        </w:rPr>
      </w:pPr>
    </w:p>
    <w:p/>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73" w:name="_Toc193699391"/>
      <w:r>
        <w:rPr>
          <w:rFonts w:hint="eastAsia" w:ascii="仿宋" w:hAnsi="仿宋" w:eastAsia="仿宋"/>
          <w:sz w:val="28"/>
          <w:szCs w:val="28"/>
        </w:rPr>
        <w:t>7.</w:t>
      </w:r>
      <w:r>
        <w:rPr>
          <w:rFonts w:hint="eastAsia" w:ascii="仿宋" w:hAnsi="仿宋" w:eastAsia="仿宋"/>
          <w:sz w:val="28"/>
          <w:szCs w:val="28"/>
        </w:rPr>
        <w:tab/>
      </w:r>
      <w:r>
        <w:rPr>
          <w:rFonts w:hint="eastAsia" w:ascii="仿宋" w:hAnsi="仿宋" w:eastAsia="仿宋"/>
          <w:sz w:val="28"/>
          <w:szCs w:val="28"/>
        </w:rPr>
        <w:t>商务合同条款偏离表</w:t>
      </w:r>
      <w:bookmarkEnd w:id="173"/>
    </w:p>
    <w:p>
      <w:pPr>
        <w:spacing w:line="360" w:lineRule="auto"/>
        <w:jc w:val="center"/>
        <w:rPr>
          <w:rFonts w:hint="eastAsia" w:ascii="仿宋" w:hAnsi="仿宋" w:eastAsia="仿宋"/>
          <w:b/>
          <w:sz w:val="28"/>
          <w:szCs w:val="28"/>
        </w:rPr>
      </w:pPr>
      <w:r>
        <w:rPr>
          <w:rFonts w:hint="eastAsia" w:ascii="仿宋" w:hAnsi="仿宋" w:eastAsia="仿宋"/>
          <w:b/>
          <w:sz w:val="28"/>
          <w:szCs w:val="28"/>
        </w:rPr>
        <w:t>商务合同条款偏离表</w:t>
      </w:r>
    </w:p>
    <w:p>
      <w:pPr>
        <w:pStyle w:val="32"/>
        <w:ind w:firstLineChars="95"/>
        <w:rPr>
          <w:rFonts w:hint="eastAsia" w:ascii="仿宋" w:hAnsi="仿宋" w:eastAsia="仿宋"/>
          <w:b/>
          <w:bCs/>
          <w:sz w:val="21"/>
        </w:rPr>
      </w:pPr>
      <w:r>
        <w:rPr>
          <w:rFonts w:hint="eastAsia" w:ascii="仿宋" w:hAnsi="仿宋" w:eastAsia="仿宋"/>
          <w:b/>
          <w:bCs/>
          <w:sz w:val="21"/>
        </w:rPr>
        <w:t>项目编号：WJS-202503140012</w:t>
      </w:r>
    </w:p>
    <w:p>
      <w:pPr>
        <w:pStyle w:val="32"/>
        <w:ind w:firstLineChars="95"/>
        <w:rPr>
          <w:rFonts w:hint="eastAsia" w:ascii="仿宋" w:hAnsi="仿宋" w:eastAsia="仿宋"/>
          <w:b/>
          <w:bCs/>
          <w:sz w:val="21"/>
        </w:rPr>
      </w:pPr>
      <w:r>
        <w:rPr>
          <w:rFonts w:hint="eastAsia" w:ascii="仿宋" w:hAnsi="仿宋" w:eastAsia="仿宋"/>
          <w:b/>
          <w:bCs/>
          <w:sz w:val="21"/>
        </w:rPr>
        <w:t>项目名称：2025年度网络安全建设和服务项目</w:t>
      </w:r>
    </w:p>
    <w:tbl>
      <w:tblPr>
        <w:tblStyle w:val="25"/>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787"/>
        <w:gridCol w:w="2553"/>
        <w:gridCol w:w="2138"/>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8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787"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招标文件条目号</w:t>
            </w:r>
          </w:p>
        </w:tc>
        <w:tc>
          <w:tcPr>
            <w:tcW w:w="2553"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招标文件的合同条款</w:t>
            </w:r>
          </w:p>
        </w:tc>
        <w:tc>
          <w:tcPr>
            <w:tcW w:w="213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投标文件的合同条款响应情况</w:t>
            </w:r>
          </w:p>
        </w:tc>
        <w:tc>
          <w:tcPr>
            <w:tcW w:w="134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bl>
    <w:p>
      <w:pPr>
        <w:pStyle w:val="32"/>
        <w:ind w:firstLine="0" w:firstLineChars="0"/>
        <w:rPr>
          <w:rFonts w:hint="eastAsia" w:ascii="仿宋" w:hAnsi="仿宋" w:eastAsia="仿宋"/>
          <w:sz w:val="21"/>
        </w:rPr>
      </w:pPr>
      <w:r>
        <w:rPr>
          <w:rFonts w:hint="eastAsia" w:ascii="仿宋" w:hAnsi="仿宋" w:eastAsia="仿宋"/>
          <w:sz w:val="21"/>
        </w:rPr>
        <w:t>备注：投标人对照“第四章 商务合同”条款内容进行偏离应答。</w:t>
      </w:r>
    </w:p>
    <w:p>
      <w:pPr>
        <w:pStyle w:val="32"/>
        <w:ind w:firstLine="420"/>
        <w:rPr>
          <w:rFonts w:hint="eastAsia" w:ascii="仿宋" w:hAnsi="仿宋" w:eastAsia="仿宋"/>
          <w:sz w:val="21"/>
        </w:rPr>
      </w:pPr>
      <w:r>
        <w:rPr>
          <w:rFonts w:hint="eastAsia" w:ascii="仿宋" w:hAnsi="仿宋" w:eastAsia="仿宋"/>
          <w:sz w:val="21"/>
        </w:rPr>
        <w:t>1、如有优于招标文件要求的条件或与招标文件要求有偏离的条目应填写“商务合同条款偏离表”。</w:t>
      </w:r>
    </w:p>
    <w:p>
      <w:pPr>
        <w:pStyle w:val="32"/>
        <w:ind w:firstLine="420"/>
        <w:rPr>
          <w:rFonts w:hint="eastAsia" w:ascii="仿宋" w:hAnsi="仿宋" w:eastAsia="仿宋"/>
          <w:sz w:val="21"/>
        </w:rPr>
      </w:pPr>
      <w:r>
        <w:rPr>
          <w:rFonts w:hint="eastAsia" w:ascii="仿宋" w:hAnsi="仿宋" w:eastAsia="仿宋"/>
          <w:sz w:val="21"/>
        </w:rPr>
        <w:t>投标人保证：除商务合同条款偏离表列出的偏差外，投标人响应招标文件的商务合同全部要求。以上所指条款以</w:t>
      </w:r>
      <w:r>
        <w:rPr>
          <w:rFonts w:hint="eastAsia" w:ascii="仿宋" w:hAnsi="仿宋" w:eastAsia="仿宋"/>
          <w:b/>
          <w:bCs/>
          <w:sz w:val="21"/>
          <w:u w:val="single"/>
        </w:rPr>
        <w:t>最小条目号</w:t>
      </w:r>
      <w:r>
        <w:rPr>
          <w:rFonts w:hint="eastAsia" w:ascii="仿宋" w:hAnsi="仿宋" w:eastAsia="仿宋"/>
          <w:sz w:val="21"/>
        </w:rPr>
        <w:t>所在内容认定为一条款。</w:t>
      </w:r>
    </w:p>
    <w:p>
      <w:pPr>
        <w:pStyle w:val="32"/>
        <w:ind w:firstLine="420"/>
        <w:rPr>
          <w:rFonts w:hint="eastAsia" w:ascii="仿宋" w:hAnsi="仿宋" w:eastAsia="仿宋"/>
          <w:sz w:val="21"/>
        </w:rPr>
      </w:pPr>
      <w:r>
        <w:rPr>
          <w:rFonts w:hint="eastAsia" w:ascii="仿宋" w:hAnsi="仿宋" w:eastAsia="仿宋"/>
          <w:sz w:val="21"/>
        </w:rPr>
        <w:t>2、如全部无偏离在“商务合同条款偏离表”中“投标文件的合同条款响应情况”一栏中填写“全部条款无偏离”。</w:t>
      </w:r>
      <w:r>
        <w:rPr>
          <w:rFonts w:hint="eastAsia" w:ascii="仿宋" w:hAnsi="仿宋" w:eastAsia="仿宋"/>
          <w:b/>
          <w:bCs/>
          <w:sz w:val="21"/>
        </w:rPr>
        <w:t>若投标人提供空白表格，则视为“商务合同条款全部响应无偏离”。</w:t>
      </w:r>
    </w:p>
    <w:p>
      <w:pPr>
        <w:pStyle w:val="32"/>
        <w:ind w:firstLine="420"/>
        <w:rPr>
          <w:rFonts w:hint="eastAsia" w:ascii="仿宋" w:hAnsi="仿宋" w:eastAsia="仿宋"/>
          <w:sz w:val="21"/>
        </w:rPr>
      </w:pPr>
      <w:r>
        <w:rPr>
          <w:rFonts w:hint="eastAsia" w:ascii="仿宋" w:hAnsi="仿宋" w:eastAsia="仿宋"/>
          <w:sz w:val="21"/>
        </w:rPr>
        <w:t>3、“商务合同条款偏离表”需加盖单位章。</w:t>
      </w:r>
    </w:p>
    <w:p>
      <w:pPr>
        <w:pStyle w:val="32"/>
        <w:ind w:firstLine="420"/>
        <w:rPr>
          <w:rFonts w:hint="eastAsia" w:ascii="仿宋" w:hAnsi="仿宋" w:eastAsia="仿宋"/>
          <w:sz w:val="21"/>
        </w:rPr>
      </w:pPr>
      <w:r>
        <w:rPr>
          <w:rFonts w:hint="eastAsia" w:ascii="仿宋" w:hAnsi="仿宋" w:eastAsia="仿宋"/>
          <w:sz w:val="21"/>
        </w:rPr>
        <w:t>4、正偏离（优于招标文件要求），无偏离（“等于”招标文件要求），负偏离（低于招标文件要求）。投标人正偏离的，需在说明一栏给出详细的文字说明。</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pPr>
        <w:pStyle w:val="32"/>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74" w:name="_Toc193699392"/>
      <w:r>
        <w:rPr>
          <w:rFonts w:hint="eastAsia" w:ascii="仿宋" w:hAnsi="仿宋" w:eastAsia="仿宋"/>
          <w:sz w:val="28"/>
          <w:szCs w:val="28"/>
        </w:rPr>
        <w:t>8.</w:t>
      </w:r>
      <w:r>
        <w:rPr>
          <w:rFonts w:hint="eastAsia" w:ascii="仿宋" w:hAnsi="仿宋" w:eastAsia="仿宋"/>
          <w:sz w:val="28"/>
          <w:szCs w:val="28"/>
        </w:rPr>
        <w:tab/>
      </w:r>
      <w:r>
        <w:rPr>
          <w:rFonts w:hint="eastAsia" w:ascii="仿宋" w:hAnsi="仿宋" w:eastAsia="仿宋"/>
          <w:sz w:val="28"/>
          <w:szCs w:val="28"/>
        </w:rPr>
        <w:t>实质性条款偏离表</w:t>
      </w:r>
      <w:bookmarkEnd w:id="174"/>
    </w:p>
    <w:p>
      <w:pPr>
        <w:spacing w:line="360" w:lineRule="auto"/>
        <w:jc w:val="center"/>
        <w:rPr>
          <w:rFonts w:hint="eastAsia" w:ascii="仿宋" w:hAnsi="仿宋" w:eastAsia="仿宋"/>
          <w:b/>
          <w:sz w:val="28"/>
          <w:szCs w:val="28"/>
        </w:rPr>
      </w:pPr>
      <w:r>
        <w:rPr>
          <w:rFonts w:hint="eastAsia" w:ascii="仿宋" w:hAnsi="仿宋" w:eastAsia="仿宋"/>
          <w:b/>
          <w:sz w:val="28"/>
          <w:szCs w:val="28"/>
        </w:rPr>
        <w:t>实质性条款偏离表（★条款）</w:t>
      </w:r>
    </w:p>
    <w:p>
      <w:pPr>
        <w:pStyle w:val="32"/>
        <w:ind w:firstLineChars="95"/>
        <w:rPr>
          <w:rFonts w:hint="eastAsia" w:ascii="仿宋" w:hAnsi="仿宋" w:eastAsia="仿宋"/>
          <w:b/>
          <w:bCs/>
          <w:sz w:val="21"/>
        </w:rPr>
      </w:pPr>
      <w:r>
        <w:rPr>
          <w:rFonts w:hint="eastAsia" w:ascii="仿宋" w:hAnsi="仿宋" w:eastAsia="仿宋"/>
          <w:b/>
          <w:bCs/>
          <w:sz w:val="21"/>
        </w:rPr>
        <w:t>项目编号：WJS-202503140012</w:t>
      </w:r>
    </w:p>
    <w:p>
      <w:pPr>
        <w:pStyle w:val="32"/>
        <w:ind w:firstLineChars="95"/>
        <w:rPr>
          <w:rFonts w:hint="eastAsia" w:ascii="仿宋" w:hAnsi="仿宋" w:eastAsia="仿宋"/>
          <w:b/>
          <w:bCs/>
          <w:sz w:val="21"/>
        </w:rPr>
      </w:pPr>
      <w:r>
        <w:rPr>
          <w:rFonts w:hint="eastAsia" w:ascii="仿宋" w:hAnsi="仿宋" w:eastAsia="仿宋"/>
          <w:b/>
          <w:bCs/>
          <w:sz w:val="21"/>
        </w:rPr>
        <w:t>项目名称：2025年度网络安全建设和服务项目</w:t>
      </w:r>
    </w:p>
    <w:tbl>
      <w:tblPr>
        <w:tblStyle w:val="25"/>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787"/>
        <w:gridCol w:w="2553"/>
        <w:gridCol w:w="2138"/>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8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787"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招标文件条目号</w:t>
            </w:r>
          </w:p>
        </w:tc>
        <w:tc>
          <w:tcPr>
            <w:tcW w:w="2553"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招标文件的实质性条款</w:t>
            </w:r>
          </w:p>
        </w:tc>
        <w:tc>
          <w:tcPr>
            <w:tcW w:w="213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投标文件的实质性条款响应情况</w:t>
            </w:r>
          </w:p>
        </w:tc>
        <w:tc>
          <w:tcPr>
            <w:tcW w:w="134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bl>
    <w:p>
      <w:pPr>
        <w:pStyle w:val="32"/>
        <w:ind w:firstLine="0" w:firstLineChars="0"/>
        <w:rPr>
          <w:rFonts w:hint="eastAsia" w:ascii="仿宋" w:hAnsi="仿宋" w:eastAsia="仿宋"/>
          <w:sz w:val="21"/>
        </w:rPr>
      </w:pPr>
      <w:r>
        <w:rPr>
          <w:rFonts w:hint="eastAsia" w:ascii="仿宋" w:hAnsi="仿宋" w:eastAsia="仿宋"/>
          <w:sz w:val="21"/>
        </w:rPr>
        <w:t>备注：投标人对照招标文件正文及“第三章 采购需求书”：</w:t>
      </w:r>
    </w:p>
    <w:p>
      <w:pPr>
        <w:pStyle w:val="32"/>
        <w:ind w:firstLine="420"/>
        <w:rPr>
          <w:rFonts w:hint="eastAsia" w:ascii="仿宋" w:hAnsi="仿宋" w:eastAsia="仿宋"/>
          <w:sz w:val="21"/>
        </w:rPr>
      </w:pPr>
      <w:r>
        <w:rPr>
          <w:rFonts w:hint="eastAsia" w:ascii="仿宋" w:hAnsi="仿宋" w:eastAsia="仿宋"/>
          <w:sz w:val="21"/>
        </w:rPr>
        <w:t>1、如有优于招标文件★条款要求的条件或与招标文件★条款要求有偏离的条目应填写“实质性条款偏离表”。</w:t>
      </w:r>
    </w:p>
    <w:p>
      <w:pPr>
        <w:pStyle w:val="32"/>
        <w:ind w:firstLine="420"/>
        <w:rPr>
          <w:rFonts w:hint="eastAsia" w:ascii="仿宋" w:hAnsi="仿宋" w:eastAsia="仿宋"/>
          <w:sz w:val="21"/>
        </w:rPr>
      </w:pPr>
      <w:r>
        <w:rPr>
          <w:rFonts w:hint="eastAsia" w:ascii="仿宋" w:hAnsi="仿宋" w:eastAsia="仿宋"/>
          <w:sz w:val="21"/>
        </w:rPr>
        <w:t>投标人保证：除实质性条款偏离表列出的偏差外，投标人响应招标文件的全部要求。以上所指条款以</w:t>
      </w:r>
      <w:r>
        <w:rPr>
          <w:rFonts w:hint="eastAsia" w:ascii="仿宋" w:hAnsi="仿宋" w:eastAsia="仿宋"/>
          <w:b/>
          <w:bCs/>
          <w:sz w:val="21"/>
          <w:u w:val="single"/>
        </w:rPr>
        <w:t>最小条目号</w:t>
      </w:r>
      <w:r>
        <w:rPr>
          <w:rFonts w:hint="eastAsia" w:ascii="仿宋" w:hAnsi="仿宋" w:eastAsia="仿宋"/>
          <w:sz w:val="21"/>
        </w:rPr>
        <w:t>所在内容认定为一条款。</w:t>
      </w:r>
    </w:p>
    <w:p>
      <w:pPr>
        <w:pStyle w:val="32"/>
        <w:ind w:firstLine="420"/>
        <w:rPr>
          <w:rFonts w:hint="eastAsia" w:ascii="仿宋" w:hAnsi="仿宋" w:eastAsia="仿宋"/>
          <w:sz w:val="21"/>
        </w:rPr>
      </w:pPr>
      <w:r>
        <w:rPr>
          <w:rFonts w:hint="eastAsia" w:ascii="仿宋" w:hAnsi="仿宋" w:eastAsia="仿宋"/>
          <w:sz w:val="21"/>
        </w:rPr>
        <w:t>2、如全部无偏离在“实质性条款偏离表”中“投标文件的实质性条款响应”一栏中填写“全部条款无偏离”。</w:t>
      </w:r>
      <w:r>
        <w:rPr>
          <w:rFonts w:hint="eastAsia" w:ascii="仿宋" w:hAnsi="仿宋" w:eastAsia="仿宋"/>
          <w:b/>
          <w:bCs/>
          <w:sz w:val="21"/>
        </w:rPr>
        <w:t>若投标人提供空白表格，则视为“实质性条款全部响应无偏离”。</w:t>
      </w:r>
    </w:p>
    <w:p>
      <w:pPr>
        <w:pStyle w:val="32"/>
        <w:ind w:firstLine="420"/>
        <w:rPr>
          <w:rFonts w:hint="eastAsia" w:ascii="仿宋" w:hAnsi="仿宋" w:eastAsia="仿宋"/>
          <w:sz w:val="21"/>
        </w:rPr>
      </w:pPr>
      <w:r>
        <w:rPr>
          <w:rFonts w:hint="eastAsia" w:ascii="仿宋" w:hAnsi="仿宋" w:eastAsia="仿宋"/>
          <w:sz w:val="21"/>
        </w:rPr>
        <w:t>3、“实质性条款偏离表”需加盖单位章。</w:t>
      </w:r>
    </w:p>
    <w:p>
      <w:pPr>
        <w:pStyle w:val="32"/>
        <w:ind w:firstLine="420"/>
        <w:rPr>
          <w:rFonts w:hint="eastAsia" w:ascii="仿宋" w:hAnsi="仿宋" w:eastAsia="仿宋"/>
          <w:sz w:val="21"/>
        </w:rPr>
      </w:pPr>
      <w:r>
        <w:rPr>
          <w:rFonts w:hint="eastAsia" w:ascii="仿宋" w:hAnsi="仿宋" w:eastAsia="仿宋"/>
          <w:sz w:val="21"/>
        </w:rPr>
        <w:t>4、正偏离（优于招标文件要求），无偏离（“等于”招标文件要求），负偏离（低于招标文件要求）。投标人正偏离的，需在说明一栏给出详细的文字说明。</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pPr>
        <w:pStyle w:val="32"/>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75" w:name="_Toc193699393"/>
      <w:r>
        <w:rPr>
          <w:rFonts w:hint="eastAsia" w:ascii="仿宋" w:hAnsi="仿宋" w:eastAsia="仿宋"/>
          <w:sz w:val="28"/>
          <w:szCs w:val="28"/>
        </w:rPr>
        <w:t>9.</w:t>
      </w:r>
      <w:r>
        <w:rPr>
          <w:rFonts w:hint="eastAsia" w:ascii="仿宋" w:hAnsi="仿宋" w:eastAsia="仿宋"/>
          <w:sz w:val="28"/>
          <w:szCs w:val="28"/>
        </w:rPr>
        <w:tab/>
      </w:r>
      <w:r>
        <w:rPr>
          <w:rFonts w:hint="eastAsia" w:ascii="仿宋" w:hAnsi="仿宋" w:eastAsia="仿宋"/>
          <w:sz w:val="28"/>
          <w:szCs w:val="28"/>
        </w:rPr>
        <w:t>采购需求条款偏离表</w:t>
      </w:r>
      <w:bookmarkEnd w:id="175"/>
    </w:p>
    <w:p>
      <w:pPr>
        <w:spacing w:line="360" w:lineRule="auto"/>
        <w:jc w:val="center"/>
        <w:rPr>
          <w:rFonts w:hint="eastAsia" w:ascii="仿宋" w:hAnsi="仿宋" w:eastAsia="仿宋"/>
          <w:b/>
          <w:sz w:val="28"/>
          <w:szCs w:val="28"/>
        </w:rPr>
      </w:pPr>
      <w:r>
        <w:rPr>
          <w:rFonts w:hint="eastAsia" w:ascii="仿宋" w:hAnsi="仿宋" w:eastAsia="仿宋"/>
          <w:b/>
          <w:sz w:val="28"/>
          <w:szCs w:val="28"/>
        </w:rPr>
        <w:t>采购需求条款偏离表</w:t>
      </w:r>
    </w:p>
    <w:p>
      <w:pPr>
        <w:pStyle w:val="32"/>
        <w:ind w:firstLineChars="95"/>
        <w:rPr>
          <w:rFonts w:hint="eastAsia" w:ascii="仿宋" w:hAnsi="仿宋" w:eastAsia="仿宋"/>
          <w:b/>
          <w:bCs/>
          <w:sz w:val="21"/>
        </w:rPr>
      </w:pPr>
      <w:r>
        <w:rPr>
          <w:rFonts w:hint="eastAsia" w:ascii="仿宋" w:hAnsi="仿宋" w:eastAsia="仿宋"/>
          <w:b/>
          <w:bCs/>
          <w:sz w:val="21"/>
        </w:rPr>
        <w:t>项目编号：WJS-202503140012</w:t>
      </w:r>
    </w:p>
    <w:p>
      <w:pPr>
        <w:pStyle w:val="32"/>
        <w:ind w:firstLineChars="95"/>
        <w:rPr>
          <w:rFonts w:hint="eastAsia" w:ascii="仿宋" w:hAnsi="仿宋" w:eastAsia="仿宋"/>
          <w:b/>
          <w:bCs/>
          <w:sz w:val="21"/>
        </w:rPr>
      </w:pPr>
      <w:r>
        <w:rPr>
          <w:rFonts w:hint="eastAsia" w:ascii="仿宋" w:hAnsi="仿宋" w:eastAsia="仿宋"/>
          <w:b/>
          <w:bCs/>
          <w:sz w:val="21"/>
        </w:rPr>
        <w:t>项目名称：2025年度网络安全建设和服务项目</w:t>
      </w:r>
    </w:p>
    <w:tbl>
      <w:tblPr>
        <w:tblStyle w:val="25"/>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787"/>
        <w:gridCol w:w="2553"/>
        <w:gridCol w:w="2138"/>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8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787"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招标文件条目号</w:t>
            </w:r>
          </w:p>
        </w:tc>
        <w:tc>
          <w:tcPr>
            <w:tcW w:w="2553"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招标文件的采购需求条款</w:t>
            </w:r>
          </w:p>
        </w:tc>
        <w:tc>
          <w:tcPr>
            <w:tcW w:w="213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投标文件的采购需求响应情况</w:t>
            </w:r>
          </w:p>
        </w:tc>
        <w:tc>
          <w:tcPr>
            <w:tcW w:w="134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pPr>
              <w:autoSpaceDE w:val="0"/>
              <w:autoSpaceDN w:val="0"/>
              <w:spacing w:before="62" w:beforeLines="20" w:after="62" w:afterLines="20"/>
              <w:jc w:val="center"/>
              <w:rPr>
                <w:rFonts w:hint="eastAsia" w:ascii="仿宋" w:hAnsi="仿宋" w:eastAsia="仿宋" w:cs="宋体"/>
                <w:szCs w:val="21"/>
              </w:rPr>
            </w:pPr>
          </w:p>
        </w:tc>
      </w:tr>
    </w:tbl>
    <w:p>
      <w:pPr>
        <w:pStyle w:val="32"/>
        <w:ind w:firstLine="0" w:firstLineChars="0"/>
        <w:rPr>
          <w:rFonts w:hint="eastAsia" w:ascii="仿宋" w:hAnsi="仿宋" w:eastAsia="仿宋"/>
          <w:sz w:val="21"/>
        </w:rPr>
      </w:pPr>
      <w:r>
        <w:rPr>
          <w:rFonts w:hint="eastAsia" w:ascii="仿宋" w:hAnsi="仿宋" w:eastAsia="仿宋"/>
          <w:sz w:val="21"/>
        </w:rPr>
        <w:t>备注：投标人对照“第三章 采购需求书”：</w:t>
      </w:r>
    </w:p>
    <w:p>
      <w:pPr>
        <w:pStyle w:val="32"/>
        <w:ind w:firstLine="420"/>
        <w:rPr>
          <w:rFonts w:hint="eastAsia" w:ascii="仿宋" w:hAnsi="仿宋" w:eastAsia="仿宋"/>
          <w:sz w:val="21"/>
        </w:rPr>
      </w:pPr>
      <w:r>
        <w:rPr>
          <w:rFonts w:hint="eastAsia" w:ascii="仿宋" w:hAnsi="仿宋" w:eastAsia="仿宋"/>
          <w:sz w:val="21"/>
        </w:rPr>
        <w:t>1、如有优于招标文件要求的条件或与招标文件要求有偏离的条目应填写“采购需求条款偏离表”。</w:t>
      </w:r>
    </w:p>
    <w:p>
      <w:pPr>
        <w:pStyle w:val="32"/>
        <w:ind w:firstLine="420"/>
        <w:rPr>
          <w:rFonts w:hint="eastAsia" w:ascii="仿宋" w:hAnsi="仿宋" w:eastAsia="仿宋"/>
          <w:sz w:val="21"/>
        </w:rPr>
      </w:pPr>
      <w:r>
        <w:rPr>
          <w:rFonts w:hint="eastAsia" w:ascii="仿宋" w:hAnsi="仿宋" w:eastAsia="仿宋"/>
          <w:sz w:val="21"/>
        </w:rPr>
        <w:t>投标人保证：除采购需求条款偏离表列出的偏差外，投标人响应招标文件的全部要求。以上所指条款以</w:t>
      </w:r>
      <w:r>
        <w:rPr>
          <w:rFonts w:hint="eastAsia" w:ascii="仿宋" w:hAnsi="仿宋" w:eastAsia="仿宋"/>
          <w:b/>
          <w:bCs/>
          <w:sz w:val="21"/>
          <w:u w:val="single"/>
        </w:rPr>
        <w:t>最小条目号</w:t>
      </w:r>
      <w:r>
        <w:rPr>
          <w:rFonts w:hint="eastAsia" w:ascii="仿宋" w:hAnsi="仿宋" w:eastAsia="仿宋"/>
          <w:sz w:val="21"/>
        </w:rPr>
        <w:t>所在内容认定为一条款。</w:t>
      </w:r>
    </w:p>
    <w:p>
      <w:pPr>
        <w:pStyle w:val="32"/>
        <w:ind w:firstLine="420"/>
        <w:rPr>
          <w:rFonts w:hint="eastAsia" w:ascii="仿宋" w:hAnsi="仿宋" w:eastAsia="仿宋"/>
          <w:sz w:val="21"/>
        </w:rPr>
      </w:pPr>
      <w:r>
        <w:rPr>
          <w:rFonts w:hint="eastAsia" w:ascii="仿宋" w:hAnsi="仿宋" w:eastAsia="仿宋"/>
          <w:sz w:val="21"/>
        </w:rPr>
        <w:t>2、如全部无偏离在“采购需求条款偏离表”中“投标文件的采购需求响应情况”一栏中填写“全部条款无偏离”。</w:t>
      </w:r>
      <w:r>
        <w:rPr>
          <w:rFonts w:hint="eastAsia" w:ascii="仿宋" w:hAnsi="仿宋" w:eastAsia="仿宋"/>
          <w:b/>
          <w:bCs/>
          <w:sz w:val="21"/>
        </w:rPr>
        <w:t>若投标人提供空白表格，则视为“采购需求条款全部响应无偏离”。</w:t>
      </w:r>
    </w:p>
    <w:p>
      <w:pPr>
        <w:pStyle w:val="32"/>
        <w:ind w:firstLine="420"/>
        <w:rPr>
          <w:rFonts w:hint="eastAsia" w:ascii="仿宋" w:hAnsi="仿宋" w:eastAsia="仿宋"/>
          <w:sz w:val="21"/>
        </w:rPr>
      </w:pPr>
      <w:r>
        <w:rPr>
          <w:rFonts w:hint="eastAsia" w:ascii="仿宋" w:hAnsi="仿宋" w:eastAsia="仿宋"/>
          <w:sz w:val="21"/>
        </w:rPr>
        <w:t>3、“采购需求条款偏离表”需加盖单位章。</w:t>
      </w:r>
    </w:p>
    <w:p>
      <w:pPr>
        <w:pStyle w:val="32"/>
        <w:ind w:firstLine="420"/>
        <w:rPr>
          <w:rFonts w:hint="eastAsia" w:ascii="仿宋" w:hAnsi="仿宋" w:eastAsia="仿宋"/>
          <w:sz w:val="21"/>
        </w:rPr>
      </w:pPr>
      <w:r>
        <w:rPr>
          <w:rFonts w:hint="eastAsia" w:ascii="仿宋" w:hAnsi="仿宋" w:eastAsia="仿宋"/>
          <w:sz w:val="21"/>
        </w:rPr>
        <w:t>4、正偏离（优于招标文件要求），无偏离（“等于”招标文件要求），负偏离（低于招标文件要求）。投标人正偏离的，需在说明一栏给出详细的文字说明。</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pPr>
        <w:pStyle w:val="32"/>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76" w:name="_Toc193699394"/>
      <w:r>
        <w:rPr>
          <w:rFonts w:hint="eastAsia" w:ascii="仿宋" w:hAnsi="仿宋" w:eastAsia="仿宋"/>
          <w:sz w:val="28"/>
          <w:szCs w:val="28"/>
        </w:rPr>
        <w:t>10.服务承诺函</w:t>
      </w:r>
      <w:bookmarkEnd w:id="176"/>
    </w:p>
    <w:p>
      <w:pPr>
        <w:spacing w:line="360" w:lineRule="auto"/>
        <w:jc w:val="center"/>
        <w:rPr>
          <w:rFonts w:hint="eastAsia" w:ascii="仿宋" w:hAnsi="仿宋" w:eastAsia="仿宋"/>
          <w:b/>
          <w:sz w:val="28"/>
          <w:szCs w:val="28"/>
        </w:rPr>
      </w:pPr>
      <w:bookmarkStart w:id="177" w:name="OLE_LINK12"/>
      <w:r>
        <w:rPr>
          <w:rFonts w:hint="eastAsia" w:ascii="仿宋" w:hAnsi="仿宋" w:eastAsia="仿宋"/>
          <w:b/>
          <w:sz w:val="28"/>
          <w:szCs w:val="28"/>
        </w:rPr>
        <w:t>服务承诺函</w:t>
      </w:r>
    </w:p>
    <w:bookmarkEnd w:id="177"/>
    <w:p>
      <w:pPr>
        <w:pStyle w:val="32"/>
        <w:ind w:firstLine="0" w:firstLineChars="0"/>
        <w:rPr>
          <w:rFonts w:hint="eastAsia" w:ascii="仿宋" w:hAnsi="仿宋" w:eastAsia="仿宋"/>
          <w:sz w:val="21"/>
        </w:rPr>
      </w:pPr>
      <w:r>
        <w:rPr>
          <w:rFonts w:hint="eastAsia" w:ascii="仿宋" w:hAnsi="仿宋" w:eastAsia="仿宋"/>
          <w:sz w:val="21"/>
        </w:rPr>
        <w:t>致：</w:t>
      </w:r>
      <w:r>
        <w:rPr>
          <w:rFonts w:hint="eastAsia" w:ascii="仿宋" w:hAnsi="仿宋" w:eastAsia="仿宋"/>
          <w:sz w:val="21"/>
          <w:u w:val="single"/>
        </w:rPr>
        <w:t>广东南方报业传媒集团有限公司、广东省南方文化产权交易所股份有限公司</w:t>
      </w:r>
    </w:p>
    <w:p>
      <w:pPr>
        <w:pStyle w:val="32"/>
        <w:ind w:firstLine="420"/>
        <w:rPr>
          <w:rFonts w:hint="eastAsia" w:ascii="仿宋" w:hAnsi="仿宋" w:eastAsia="仿宋"/>
          <w:sz w:val="21"/>
        </w:rPr>
      </w:pPr>
      <w:r>
        <w:rPr>
          <w:rFonts w:hint="eastAsia" w:ascii="仿宋" w:hAnsi="仿宋" w:eastAsia="仿宋"/>
          <w:sz w:val="21"/>
        </w:rPr>
        <w:t>关于我公司在贵公司组织的“</w:t>
      </w:r>
      <w:r>
        <w:rPr>
          <w:rFonts w:hint="eastAsia" w:ascii="仿宋" w:hAnsi="仿宋" w:eastAsia="仿宋"/>
          <w:sz w:val="21"/>
          <w:u w:val="single"/>
        </w:rPr>
        <w:t xml:space="preserve">  （项目名称）  </w:t>
      </w:r>
      <w:r>
        <w:rPr>
          <w:rFonts w:hint="eastAsia" w:ascii="仿宋" w:hAnsi="仿宋" w:eastAsia="仿宋"/>
          <w:sz w:val="21"/>
        </w:rPr>
        <w:t>”中，我方已仔细研究了招标文件的全部内容，现我公司承诺如下内容：</w:t>
      </w:r>
    </w:p>
    <w:p>
      <w:pPr>
        <w:pStyle w:val="32"/>
        <w:ind w:firstLine="420"/>
        <w:rPr>
          <w:rFonts w:hint="eastAsia" w:ascii="仿宋" w:hAnsi="仿宋" w:eastAsia="仿宋"/>
          <w:sz w:val="21"/>
        </w:rPr>
      </w:pPr>
      <w:r>
        <w:rPr>
          <w:rFonts w:hint="eastAsia" w:ascii="仿宋" w:hAnsi="仿宋" w:eastAsia="仿宋"/>
          <w:sz w:val="21"/>
        </w:rPr>
        <w:t>1、我公司充分理解本次招标的需求内容，将严格按照招标人的要求开展各项目工作。</w:t>
      </w:r>
    </w:p>
    <w:p>
      <w:pPr>
        <w:pStyle w:val="32"/>
        <w:ind w:firstLine="420"/>
        <w:rPr>
          <w:rFonts w:hint="eastAsia" w:ascii="仿宋" w:hAnsi="仿宋" w:eastAsia="仿宋"/>
          <w:sz w:val="21"/>
        </w:rPr>
      </w:pPr>
      <w:r>
        <w:rPr>
          <w:rFonts w:hint="eastAsia" w:ascii="仿宋" w:hAnsi="仿宋" w:eastAsia="仿宋"/>
          <w:sz w:val="21"/>
        </w:rPr>
        <w:t>2、我公司承诺本项目所有技术参数表中的功能需求项均能按照要求及投标应答进行实际配置或提供相应的授权，确保参数满足招标文件要求。</w:t>
      </w:r>
    </w:p>
    <w:p>
      <w:pPr>
        <w:pStyle w:val="32"/>
        <w:ind w:firstLine="420"/>
        <w:rPr>
          <w:rFonts w:hint="eastAsia" w:ascii="仿宋" w:hAnsi="仿宋" w:eastAsia="仿宋"/>
          <w:sz w:val="21"/>
        </w:rPr>
      </w:pPr>
      <w:r>
        <w:rPr>
          <w:rFonts w:hint="eastAsia" w:ascii="仿宋" w:hAnsi="仿宋" w:eastAsia="仿宋"/>
          <w:sz w:val="21"/>
        </w:rPr>
        <w:t>3、我公司承诺按照投标应答时所列的团队人员清单安排到岗，按质按量按时提供项目需求书所规定的各项设备安装、调试及相关技术服务。</w:t>
      </w:r>
    </w:p>
    <w:p>
      <w:pPr>
        <w:pStyle w:val="32"/>
        <w:ind w:firstLine="420"/>
        <w:rPr>
          <w:rFonts w:hint="eastAsia" w:ascii="仿宋" w:hAnsi="仿宋" w:eastAsia="仿宋"/>
          <w:sz w:val="21"/>
        </w:rPr>
      </w:pPr>
      <w:r>
        <w:rPr>
          <w:rFonts w:hint="eastAsia" w:ascii="仿宋" w:hAnsi="仿宋" w:eastAsia="仿宋"/>
          <w:sz w:val="21"/>
        </w:rPr>
        <w:t>4、针对本项目中所列的等保测评服务为非关键服务内容，如我司作为中标人将持有有效的等保测评资格证书从而开展服务或经招标人确认后将等保测评工作委托给具备有公安部第三研究所颁发的《网络安全等级测评与检测评估机构服务认证证书》的服务商执行。</w:t>
      </w:r>
    </w:p>
    <w:p>
      <w:pPr>
        <w:pStyle w:val="32"/>
        <w:ind w:firstLine="420"/>
        <w:rPr>
          <w:rFonts w:hint="eastAsia" w:ascii="仿宋" w:hAnsi="仿宋" w:eastAsia="仿宋"/>
          <w:sz w:val="21"/>
        </w:rPr>
      </w:pPr>
      <w:r>
        <w:rPr>
          <w:rFonts w:hint="eastAsia" w:ascii="仿宋" w:hAnsi="仿宋" w:eastAsia="仿宋"/>
          <w:sz w:val="21"/>
        </w:rPr>
        <w:t>5、我公司针对本项目列有相应的保密措施，若我司中标本项目，承诺将严格按照要求及所列措施对参与本项目过程中所接触的所有商业和技术等信息做好各项保密工作。如因我司保密不当导致信息泄漏，对招标利益、项目活动执行等造成影响的，我司将按照合同条款和采购需求中的规定承担相应责任。</w:t>
      </w:r>
    </w:p>
    <w:p>
      <w:pPr>
        <w:pStyle w:val="32"/>
        <w:ind w:firstLine="420"/>
        <w:rPr>
          <w:rFonts w:hint="eastAsia" w:ascii="仿宋" w:hAnsi="仿宋" w:eastAsia="仿宋"/>
          <w:sz w:val="21"/>
        </w:rPr>
      </w:pPr>
      <w:r>
        <w:rPr>
          <w:rFonts w:hint="eastAsia" w:ascii="仿宋" w:hAnsi="仿宋" w:eastAsia="仿宋"/>
          <w:sz w:val="21"/>
        </w:rPr>
        <w:t>6、如若我司在本项目中中标，我公司承诺按照招标人要求开具符合法律要求的发票。</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特此承诺！</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pPr>
        <w:pStyle w:val="32"/>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78" w:name="_Toc193699395"/>
      <w:r>
        <w:rPr>
          <w:rFonts w:hint="eastAsia" w:ascii="仿宋" w:hAnsi="仿宋" w:eastAsia="仿宋"/>
          <w:sz w:val="28"/>
          <w:szCs w:val="28"/>
        </w:rPr>
        <w:t>11.同类项目业绩情况</w:t>
      </w:r>
      <w:bookmarkEnd w:id="178"/>
    </w:p>
    <w:p>
      <w:pPr>
        <w:spacing w:line="360" w:lineRule="auto"/>
        <w:jc w:val="center"/>
        <w:rPr>
          <w:rFonts w:hint="eastAsia" w:ascii="仿宋" w:hAnsi="仿宋" w:eastAsia="仿宋"/>
          <w:b/>
          <w:sz w:val="28"/>
          <w:szCs w:val="28"/>
        </w:rPr>
      </w:pPr>
      <w:r>
        <w:rPr>
          <w:rFonts w:hint="eastAsia" w:ascii="仿宋" w:hAnsi="仿宋" w:eastAsia="仿宋"/>
          <w:b/>
          <w:sz w:val="28"/>
          <w:szCs w:val="28"/>
          <w:u w:val="single"/>
        </w:rPr>
        <w:t>2022年1月1日（含）至今</w:t>
      </w:r>
      <w:r>
        <w:rPr>
          <w:rFonts w:hint="eastAsia" w:ascii="仿宋" w:hAnsi="仿宋" w:eastAsia="仿宋"/>
          <w:b/>
          <w:sz w:val="28"/>
          <w:szCs w:val="28"/>
        </w:rPr>
        <w:t>具备的同类项目业绩表</w:t>
      </w:r>
    </w:p>
    <w:tbl>
      <w:tblPr>
        <w:tblStyle w:val="25"/>
        <w:tblW w:w="11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417"/>
        <w:gridCol w:w="1701"/>
        <w:gridCol w:w="1280"/>
        <w:gridCol w:w="1638"/>
        <w:gridCol w:w="1472"/>
        <w:gridCol w:w="155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1"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417"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合同名称</w:t>
            </w:r>
          </w:p>
        </w:tc>
        <w:tc>
          <w:tcPr>
            <w:tcW w:w="1701"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合同类型</w:t>
            </w:r>
          </w:p>
        </w:tc>
        <w:tc>
          <w:tcPr>
            <w:tcW w:w="1280"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合同金额</w:t>
            </w:r>
          </w:p>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（万元）</w:t>
            </w:r>
          </w:p>
        </w:tc>
        <w:tc>
          <w:tcPr>
            <w:tcW w:w="163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甲方名称</w:t>
            </w:r>
          </w:p>
        </w:tc>
        <w:tc>
          <w:tcPr>
            <w:tcW w:w="1472"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甲方类型</w:t>
            </w:r>
          </w:p>
        </w:tc>
        <w:tc>
          <w:tcPr>
            <w:tcW w:w="1559"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签订合同时间</w:t>
            </w:r>
          </w:p>
        </w:tc>
        <w:tc>
          <w:tcPr>
            <w:tcW w:w="1134"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投标文件对应页码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51"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示例1</w:t>
            </w: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某某合同</w:t>
            </w: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信息安全服务类/网络安全服务类</w:t>
            </w:r>
          </w:p>
        </w:tc>
        <w:tc>
          <w:tcPr>
            <w:tcW w:w="1280"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N万元</w:t>
            </w:r>
          </w:p>
        </w:tc>
        <w:tc>
          <w:tcPr>
            <w:tcW w:w="1638"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某单位</w:t>
            </w:r>
          </w:p>
        </w:tc>
        <w:tc>
          <w:tcPr>
            <w:tcW w:w="1472"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企业/事业机关单位</w:t>
            </w: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2022年1月1日</w:t>
            </w:r>
          </w:p>
        </w:tc>
        <w:tc>
          <w:tcPr>
            <w:tcW w:w="1134"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详见第M页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51"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280"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6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72"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134"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51"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280"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6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72"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134"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5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280"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6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72"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134"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5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280"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6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72"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134"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5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280"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63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72"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134" w:type="dxa"/>
            <w:vAlign w:val="center"/>
          </w:tcPr>
          <w:p>
            <w:pPr>
              <w:autoSpaceDE w:val="0"/>
              <w:autoSpaceDN w:val="0"/>
              <w:spacing w:before="62" w:beforeLines="20" w:after="62" w:afterLines="20"/>
              <w:jc w:val="center"/>
              <w:rPr>
                <w:rFonts w:hint="eastAsia" w:ascii="仿宋" w:hAnsi="仿宋" w:eastAsia="仿宋" w:cs="宋体"/>
                <w:szCs w:val="21"/>
              </w:rPr>
            </w:pPr>
          </w:p>
        </w:tc>
      </w:tr>
    </w:tbl>
    <w:p>
      <w:pPr>
        <w:pStyle w:val="32"/>
        <w:ind w:firstLine="0" w:firstLineChars="0"/>
        <w:rPr>
          <w:rFonts w:hint="eastAsia" w:ascii="仿宋" w:hAnsi="仿宋" w:eastAsia="仿宋"/>
          <w:sz w:val="21"/>
        </w:rPr>
      </w:pPr>
      <w:r>
        <w:rPr>
          <w:rFonts w:hint="eastAsia" w:ascii="仿宋" w:hAnsi="仿宋" w:eastAsia="仿宋"/>
          <w:sz w:val="21"/>
        </w:rPr>
        <w:t>备注：投标人必须如实填写，须按第五章 评标办法中“商务评分表”的评审细则要求提供有效证明材料，否则不予认可。</w:t>
      </w:r>
    </w:p>
    <w:p/>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79" w:name="_Toc193699396"/>
      <w:r>
        <w:rPr>
          <w:rFonts w:hint="eastAsia" w:ascii="仿宋" w:hAnsi="仿宋" w:eastAsia="仿宋"/>
          <w:sz w:val="28"/>
          <w:szCs w:val="28"/>
        </w:rPr>
        <w:t>12.拟投入本项目服务人员</w:t>
      </w:r>
      <w:bookmarkEnd w:id="179"/>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80" w:name="_Toc191289730"/>
      <w:bookmarkStart w:id="181" w:name="_Toc193699397"/>
      <w:r>
        <w:rPr>
          <w:rFonts w:hint="eastAsia" w:ascii="仿宋" w:hAnsi="仿宋" w:eastAsia="仿宋"/>
          <w:sz w:val="24"/>
          <w:szCs w:val="24"/>
        </w:rPr>
        <w:t>12.1</w:t>
      </w:r>
      <w:r>
        <w:rPr>
          <w:rFonts w:hint="eastAsia" w:ascii="仿宋" w:hAnsi="仿宋" w:eastAsia="仿宋"/>
          <w:sz w:val="24"/>
          <w:szCs w:val="24"/>
        </w:rPr>
        <w:tab/>
      </w:r>
      <w:r>
        <w:rPr>
          <w:rFonts w:hint="eastAsia" w:ascii="仿宋" w:hAnsi="仿宋" w:eastAsia="仿宋"/>
          <w:sz w:val="24"/>
          <w:szCs w:val="24"/>
        </w:rPr>
        <w:t>项目负责人情况</w:t>
      </w:r>
      <w:bookmarkEnd w:id="180"/>
      <w:bookmarkEnd w:id="181"/>
    </w:p>
    <w:p>
      <w:pPr>
        <w:spacing w:line="360" w:lineRule="auto"/>
        <w:jc w:val="center"/>
        <w:rPr>
          <w:rFonts w:hint="eastAsia" w:ascii="仿宋" w:hAnsi="仿宋" w:eastAsia="仿宋"/>
          <w:b/>
          <w:sz w:val="28"/>
          <w:szCs w:val="28"/>
        </w:rPr>
      </w:pPr>
      <w:r>
        <w:rPr>
          <w:rFonts w:hint="eastAsia" w:ascii="仿宋" w:hAnsi="仿宋" w:eastAsia="仿宋"/>
          <w:b/>
          <w:sz w:val="28"/>
          <w:szCs w:val="28"/>
        </w:rPr>
        <w:t>项目负责人情况表</w:t>
      </w:r>
    </w:p>
    <w:tbl>
      <w:tblPr>
        <w:tblStyle w:val="24"/>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492"/>
        <w:gridCol w:w="1174"/>
        <w:gridCol w:w="605"/>
        <w:gridCol w:w="501"/>
        <w:gridCol w:w="321"/>
        <w:gridCol w:w="964"/>
        <w:gridCol w:w="576"/>
        <w:gridCol w:w="869"/>
        <w:gridCol w:w="550"/>
        <w:gridCol w:w="125"/>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97" w:type="dxa"/>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姓名</w:t>
            </w:r>
          </w:p>
        </w:tc>
        <w:tc>
          <w:tcPr>
            <w:tcW w:w="1666" w:type="dxa"/>
            <w:gridSpan w:val="2"/>
          </w:tcPr>
          <w:p>
            <w:pPr>
              <w:autoSpaceDE w:val="0"/>
              <w:autoSpaceDN w:val="0"/>
              <w:spacing w:before="93" w:beforeLines="30" w:after="93" w:afterLines="30"/>
              <w:jc w:val="center"/>
              <w:rPr>
                <w:rFonts w:hint="eastAsia" w:ascii="仿宋" w:hAnsi="仿宋" w:eastAsia="仿宋" w:cs="宋体"/>
                <w:bCs/>
                <w:szCs w:val="21"/>
              </w:rPr>
            </w:pPr>
          </w:p>
        </w:tc>
        <w:tc>
          <w:tcPr>
            <w:tcW w:w="1106" w:type="dxa"/>
            <w:gridSpan w:val="2"/>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性别</w:t>
            </w:r>
          </w:p>
        </w:tc>
        <w:tc>
          <w:tcPr>
            <w:tcW w:w="1861" w:type="dxa"/>
            <w:gridSpan w:val="3"/>
          </w:tcPr>
          <w:p>
            <w:pPr>
              <w:autoSpaceDE w:val="0"/>
              <w:autoSpaceDN w:val="0"/>
              <w:spacing w:before="93" w:beforeLines="30" w:after="93" w:afterLines="30"/>
              <w:jc w:val="center"/>
              <w:rPr>
                <w:rFonts w:hint="eastAsia" w:ascii="仿宋" w:hAnsi="仿宋" w:eastAsia="仿宋" w:cs="宋体"/>
                <w:bCs/>
                <w:szCs w:val="21"/>
              </w:rPr>
            </w:pPr>
          </w:p>
        </w:tc>
        <w:tc>
          <w:tcPr>
            <w:tcW w:w="1544" w:type="dxa"/>
            <w:gridSpan w:val="3"/>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年龄</w:t>
            </w:r>
          </w:p>
        </w:tc>
        <w:tc>
          <w:tcPr>
            <w:tcW w:w="1643" w:type="dxa"/>
          </w:tcPr>
          <w:p>
            <w:pPr>
              <w:autoSpaceDE w:val="0"/>
              <w:autoSpaceDN w:val="0"/>
              <w:spacing w:before="93" w:beforeLines="30" w:after="93" w:afterLines="30"/>
              <w:jc w:val="center"/>
              <w:rPr>
                <w:rFonts w:hint="eastAsia"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97" w:type="dxa"/>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职务</w:t>
            </w:r>
          </w:p>
        </w:tc>
        <w:tc>
          <w:tcPr>
            <w:tcW w:w="1666" w:type="dxa"/>
            <w:gridSpan w:val="2"/>
          </w:tcPr>
          <w:p>
            <w:pPr>
              <w:autoSpaceDE w:val="0"/>
              <w:autoSpaceDN w:val="0"/>
              <w:spacing w:before="93" w:beforeLines="30" w:after="93" w:afterLines="30"/>
              <w:jc w:val="center"/>
              <w:rPr>
                <w:rFonts w:hint="eastAsia" w:ascii="仿宋" w:hAnsi="仿宋" w:eastAsia="仿宋" w:cs="宋体"/>
                <w:bCs/>
                <w:szCs w:val="21"/>
              </w:rPr>
            </w:pPr>
          </w:p>
        </w:tc>
        <w:tc>
          <w:tcPr>
            <w:tcW w:w="1106" w:type="dxa"/>
            <w:gridSpan w:val="2"/>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职称</w:t>
            </w:r>
          </w:p>
        </w:tc>
        <w:tc>
          <w:tcPr>
            <w:tcW w:w="1861" w:type="dxa"/>
            <w:gridSpan w:val="3"/>
          </w:tcPr>
          <w:p>
            <w:pPr>
              <w:autoSpaceDE w:val="0"/>
              <w:autoSpaceDN w:val="0"/>
              <w:spacing w:before="93" w:beforeLines="30" w:after="93" w:afterLines="30"/>
              <w:jc w:val="center"/>
              <w:rPr>
                <w:rFonts w:hint="eastAsia" w:ascii="仿宋" w:hAnsi="仿宋" w:eastAsia="仿宋" w:cs="宋体"/>
                <w:bCs/>
                <w:szCs w:val="21"/>
              </w:rPr>
            </w:pPr>
          </w:p>
        </w:tc>
        <w:tc>
          <w:tcPr>
            <w:tcW w:w="1544" w:type="dxa"/>
            <w:gridSpan w:val="3"/>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学历</w:t>
            </w:r>
          </w:p>
        </w:tc>
        <w:tc>
          <w:tcPr>
            <w:tcW w:w="1643" w:type="dxa"/>
          </w:tcPr>
          <w:p>
            <w:pPr>
              <w:autoSpaceDE w:val="0"/>
              <w:autoSpaceDN w:val="0"/>
              <w:spacing w:before="93" w:beforeLines="30" w:after="93" w:afterLines="30"/>
              <w:jc w:val="center"/>
              <w:rPr>
                <w:rFonts w:hint="eastAsia"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97" w:type="dxa"/>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专业</w:t>
            </w:r>
          </w:p>
        </w:tc>
        <w:tc>
          <w:tcPr>
            <w:tcW w:w="1666" w:type="dxa"/>
            <w:gridSpan w:val="2"/>
          </w:tcPr>
          <w:p>
            <w:pPr>
              <w:autoSpaceDE w:val="0"/>
              <w:autoSpaceDN w:val="0"/>
              <w:spacing w:before="93" w:beforeLines="30" w:after="93" w:afterLines="30"/>
              <w:jc w:val="center"/>
              <w:rPr>
                <w:rFonts w:hint="eastAsia" w:ascii="仿宋" w:hAnsi="仿宋" w:eastAsia="仿宋" w:cs="宋体"/>
                <w:bCs/>
                <w:szCs w:val="21"/>
              </w:rPr>
            </w:pPr>
          </w:p>
        </w:tc>
        <w:tc>
          <w:tcPr>
            <w:tcW w:w="1106" w:type="dxa"/>
            <w:gridSpan w:val="2"/>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电话</w:t>
            </w:r>
          </w:p>
        </w:tc>
        <w:tc>
          <w:tcPr>
            <w:tcW w:w="1861" w:type="dxa"/>
            <w:gridSpan w:val="3"/>
          </w:tcPr>
          <w:p>
            <w:pPr>
              <w:autoSpaceDE w:val="0"/>
              <w:autoSpaceDN w:val="0"/>
              <w:spacing w:before="93" w:beforeLines="30" w:after="93" w:afterLines="30"/>
              <w:jc w:val="center"/>
              <w:rPr>
                <w:rFonts w:hint="eastAsia" w:ascii="仿宋" w:hAnsi="仿宋" w:eastAsia="仿宋" w:cs="宋体"/>
                <w:bCs/>
                <w:szCs w:val="21"/>
              </w:rPr>
            </w:pPr>
          </w:p>
        </w:tc>
        <w:tc>
          <w:tcPr>
            <w:tcW w:w="1544" w:type="dxa"/>
            <w:gridSpan w:val="3"/>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E-mail</w:t>
            </w:r>
          </w:p>
        </w:tc>
        <w:tc>
          <w:tcPr>
            <w:tcW w:w="1643" w:type="dxa"/>
          </w:tcPr>
          <w:p>
            <w:pPr>
              <w:autoSpaceDE w:val="0"/>
              <w:autoSpaceDN w:val="0"/>
              <w:spacing w:before="93" w:beforeLines="30" w:after="93" w:afterLines="30"/>
              <w:jc w:val="center"/>
              <w:rPr>
                <w:rFonts w:hint="eastAsia"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789" w:type="dxa"/>
            <w:gridSpan w:val="2"/>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参加工作时间</w:t>
            </w:r>
          </w:p>
        </w:tc>
        <w:tc>
          <w:tcPr>
            <w:tcW w:w="2601" w:type="dxa"/>
            <w:gridSpan w:val="4"/>
          </w:tcPr>
          <w:p>
            <w:pPr>
              <w:autoSpaceDE w:val="0"/>
              <w:autoSpaceDN w:val="0"/>
              <w:spacing w:before="93" w:beforeLines="30" w:after="93" w:afterLines="30"/>
              <w:jc w:val="center"/>
              <w:rPr>
                <w:rFonts w:hint="eastAsia" w:ascii="仿宋" w:hAnsi="仿宋" w:eastAsia="仿宋" w:cs="宋体"/>
                <w:bCs/>
                <w:szCs w:val="21"/>
              </w:rPr>
            </w:pPr>
          </w:p>
        </w:tc>
        <w:tc>
          <w:tcPr>
            <w:tcW w:w="2409" w:type="dxa"/>
            <w:gridSpan w:val="3"/>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从业</w:t>
            </w:r>
            <w:r>
              <w:rPr>
                <w:rFonts w:ascii="仿宋" w:hAnsi="仿宋" w:eastAsia="仿宋" w:cs="宋体"/>
                <w:bCs/>
                <w:szCs w:val="21"/>
              </w:rPr>
              <w:t>年限</w:t>
            </w:r>
          </w:p>
        </w:tc>
        <w:tc>
          <w:tcPr>
            <w:tcW w:w="2318" w:type="dxa"/>
            <w:gridSpan w:val="3"/>
          </w:tcPr>
          <w:p>
            <w:pPr>
              <w:autoSpaceDE w:val="0"/>
              <w:autoSpaceDN w:val="0"/>
              <w:spacing w:before="93" w:beforeLines="30" w:after="93" w:afterLines="30"/>
              <w:jc w:val="center"/>
              <w:rPr>
                <w:rFonts w:hint="eastAsia"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789" w:type="dxa"/>
            <w:gridSpan w:val="2"/>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获得资质情况</w:t>
            </w:r>
          </w:p>
        </w:tc>
        <w:tc>
          <w:tcPr>
            <w:tcW w:w="7328" w:type="dxa"/>
            <w:gridSpan w:val="10"/>
          </w:tcPr>
          <w:p>
            <w:pPr>
              <w:autoSpaceDE w:val="0"/>
              <w:autoSpaceDN w:val="0"/>
              <w:spacing w:before="93" w:beforeLines="30" w:after="93" w:afterLines="30"/>
              <w:jc w:val="center"/>
              <w:rPr>
                <w:rFonts w:hint="eastAsia"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9117" w:type="dxa"/>
            <w:gridSpan w:val="12"/>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参与过的同类</w:t>
            </w:r>
            <w:r>
              <w:rPr>
                <w:rFonts w:ascii="仿宋" w:hAnsi="仿宋" w:eastAsia="仿宋" w:cs="宋体"/>
                <w:bCs/>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789" w:type="dxa"/>
            <w:gridSpan w:val="2"/>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甲方单位</w:t>
            </w:r>
          </w:p>
        </w:tc>
        <w:tc>
          <w:tcPr>
            <w:tcW w:w="1779" w:type="dxa"/>
            <w:gridSpan w:val="2"/>
            <w:vAlign w:val="center"/>
          </w:tcPr>
          <w:p>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项目名称</w:t>
            </w:r>
          </w:p>
        </w:tc>
        <w:tc>
          <w:tcPr>
            <w:tcW w:w="1786" w:type="dxa"/>
            <w:gridSpan w:val="3"/>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担任职务或承担工作内容</w:t>
            </w:r>
          </w:p>
        </w:tc>
        <w:tc>
          <w:tcPr>
            <w:tcW w:w="1995" w:type="dxa"/>
            <w:gridSpan w:val="3"/>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服务期限</w:t>
            </w:r>
          </w:p>
        </w:tc>
        <w:tc>
          <w:tcPr>
            <w:tcW w:w="1768" w:type="dxa"/>
            <w:gridSpan w:val="2"/>
            <w:vAlign w:val="center"/>
          </w:tcPr>
          <w:p>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项目效果简述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pPr>
              <w:autoSpaceDE w:val="0"/>
              <w:autoSpaceDN w:val="0"/>
              <w:spacing w:before="93" w:beforeLines="30" w:after="93" w:afterLines="30"/>
              <w:rPr>
                <w:rFonts w:hint="eastAsia" w:ascii="仿宋" w:hAnsi="仿宋" w:eastAsia="仿宋"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pPr>
              <w:autoSpaceDE w:val="0"/>
              <w:autoSpaceDN w:val="0"/>
              <w:spacing w:before="93" w:beforeLines="30" w:after="93" w:afterLines="30"/>
              <w:rPr>
                <w:rFonts w:hint="eastAsia" w:ascii="仿宋" w:hAnsi="仿宋" w:eastAsia="仿宋"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pPr>
              <w:autoSpaceDE w:val="0"/>
              <w:autoSpaceDN w:val="0"/>
              <w:spacing w:before="93" w:beforeLines="30" w:after="93" w:afterLines="30"/>
              <w:rPr>
                <w:rFonts w:hint="eastAsia" w:ascii="仿宋" w:hAnsi="仿宋" w:eastAsia="仿宋"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pPr>
              <w:autoSpaceDE w:val="0"/>
              <w:autoSpaceDN w:val="0"/>
              <w:spacing w:before="93" w:beforeLines="30" w:after="93" w:afterLines="30"/>
              <w:rPr>
                <w:rFonts w:hint="eastAsia" w:ascii="仿宋" w:hAnsi="仿宋" w:eastAsia="仿宋"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pPr>
              <w:autoSpaceDE w:val="0"/>
              <w:autoSpaceDN w:val="0"/>
              <w:spacing w:before="93" w:beforeLines="30" w:after="93" w:afterLines="30"/>
              <w:rPr>
                <w:rFonts w:hint="eastAsia" w:ascii="仿宋" w:hAnsi="仿宋" w:eastAsia="仿宋"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pPr>
              <w:autoSpaceDE w:val="0"/>
              <w:autoSpaceDN w:val="0"/>
              <w:spacing w:before="93" w:beforeLines="30" w:after="93" w:afterLines="30"/>
              <w:rPr>
                <w:rFonts w:hint="eastAsia" w:ascii="仿宋" w:hAnsi="仿宋" w:eastAsia="仿宋"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pPr>
              <w:autoSpaceDE w:val="0"/>
              <w:autoSpaceDN w:val="0"/>
              <w:spacing w:before="93" w:beforeLines="30" w:after="93" w:afterLines="30"/>
              <w:rPr>
                <w:rFonts w:hint="eastAsia" w:ascii="仿宋" w:hAnsi="仿宋" w:eastAsia="仿宋"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pPr>
              <w:autoSpaceDE w:val="0"/>
              <w:autoSpaceDN w:val="0"/>
              <w:spacing w:before="93" w:beforeLines="30" w:after="93" w:afterLines="30"/>
              <w:rPr>
                <w:rFonts w:hint="eastAsia" w:ascii="仿宋" w:hAnsi="仿宋" w:eastAsia="仿宋"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pPr>
              <w:autoSpaceDE w:val="0"/>
              <w:autoSpaceDN w:val="0"/>
              <w:spacing w:before="93" w:beforeLines="30" w:after="93" w:afterLines="30"/>
              <w:rPr>
                <w:rFonts w:hint="eastAsia" w:ascii="仿宋" w:hAnsi="仿宋" w:eastAsia="仿宋"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pPr>
              <w:autoSpaceDE w:val="0"/>
              <w:autoSpaceDN w:val="0"/>
              <w:spacing w:before="93" w:beforeLines="30" w:after="93" w:afterLines="30"/>
              <w:rPr>
                <w:rFonts w:hint="eastAsia" w:ascii="仿宋" w:hAnsi="仿宋" w:eastAsia="仿宋" w:cs="宋体"/>
                <w:b/>
                <w:szCs w:val="21"/>
              </w:rPr>
            </w:pPr>
          </w:p>
        </w:tc>
      </w:tr>
    </w:tbl>
    <w:p>
      <w:pPr>
        <w:pStyle w:val="32"/>
        <w:ind w:firstLine="0" w:firstLineChars="0"/>
        <w:rPr>
          <w:rFonts w:hint="eastAsia" w:ascii="仿宋" w:hAnsi="仿宋" w:eastAsia="仿宋"/>
          <w:sz w:val="21"/>
        </w:rPr>
      </w:pPr>
      <w:r>
        <w:rPr>
          <w:rFonts w:hint="eastAsia" w:ascii="仿宋" w:hAnsi="仿宋" w:eastAsia="仿宋"/>
          <w:sz w:val="21"/>
        </w:rPr>
        <w:t>备注：投标人需提供项目负责人的学历证书复印件或学信网查询截图或国外学历认证书、5年以上从业经验承诺书、资质证书复印件等作为证明材料，并附上项目负责人2024年9月至今任意一个月的有效缴纳社保证明材料，或或劳务合同复印件。</w:t>
      </w:r>
    </w:p>
    <w:p>
      <w:pPr>
        <w:pStyle w:val="32"/>
        <w:ind w:firstLine="0" w:firstLineChars="0"/>
        <w:rPr>
          <w:rFonts w:hint="eastAsia" w:ascii="仿宋" w:hAnsi="仿宋" w:eastAsia="仿宋"/>
          <w:sz w:val="21"/>
        </w:rPr>
      </w:pPr>
    </w:p>
    <w:p>
      <w:pPr>
        <w:widowControl/>
        <w:jc w:val="left"/>
      </w:pPr>
      <w:r>
        <w:br w:type="page"/>
      </w:r>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82" w:name="_Toc191289731"/>
      <w:bookmarkStart w:id="183" w:name="_Toc193699398"/>
      <w:r>
        <w:rPr>
          <w:rFonts w:hint="eastAsia" w:ascii="仿宋" w:hAnsi="仿宋" w:eastAsia="仿宋"/>
          <w:sz w:val="24"/>
          <w:szCs w:val="24"/>
        </w:rPr>
        <w:t>12.2</w:t>
      </w:r>
      <w:r>
        <w:rPr>
          <w:rFonts w:hint="eastAsia" w:ascii="仿宋" w:hAnsi="仿宋" w:eastAsia="仿宋"/>
          <w:sz w:val="24"/>
          <w:szCs w:val="24"/>
        </w:rPr>
        <w:tab/>
      </w:r>
      <w:r>
        <w:rPr>
          <w:rFonts w:hint="eastAsia" w:ascii="仿宋" w:hAnsi="仿宋" w:eastAsia="仿宋"/>
          <w:sz w:val="24"/>
          <w:szCs w:val="24"/>
        </w:rPr>
        <w:t>团队人员情况</w:t>
      </w:r>
      <w:bookmarkEnd w:id="182"/>
      <w:bookmarkEnd w:id="183"/>
    </w:p>
    <w:p>
      <w:pPr>
        <w:spacing w:line="360" w:lineRule="auto"/>
        <w:jc w:val="center"/>
        <w:rPr>
          <w:rFonts w:hint="eastAsia" w:ascii="仿宋" w:hAnsi="仿宋" w:eastAsia="仿宋"/>
          <w:b/>
          <w:sz w:val="28"/>
          <w:szCs w:val="28"/>
        </w:rPr>
      </w:pPr>
      <w:r>
        <w:rPr>
          <w:rFonts w:hint="eastAsia" w:ascii="仿宋" w:hAnsi="仿宋" w:eastAsia="仿宋"/>
          <w:b/>
          <w:sz w:val="28"/>
          <w:szCs w:val="28"/>
        </w:rPr>
        <w:t>拟投入本项目服务人员明细表</w:t>
      </w:r>
    </w:p>
    <w:tbl>
      <w:tblPr>
        <w:tblStyle w:val="25"/>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087"/>
        <w:gridCol w:w="1418"/>
        <w:gridCol w:w="1417"/>
        <w:gridCol w:w="1701"/>
        <w:gridCol w:w="1559"/>
        <w:gridCol w:w="1418"/>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0201" w:type="dxa"/>
            <w:gridSpan w:val="8"/>
            <w:vAlign w:val="center"/>
          </w:tcPr>
          <w:p>
            <w:pPr>
              <w:autoSpaceDE w:val="0"/>
              <w:autoSpaceDN w:val="0"/>
              <w:spacing w:before="62" w:beforeLines="20" w:after="62" w:afterLines="20"/>
              <w:rPr>
                <w:rFonts w:hint="eastAsia" w:ascii="仿宋" w:hAnsi="仿宋" w:eastAsia="仿宋" w:cs="宋体"/>
                <w:b/>
                <w:bCs/>
                <w:szCs w:val="21"/>
              </w:rPr>
            </w:pPr>
            <w:r>
              <w:rPr>
                <w:rFonts w:hint="eastAsia" w:ascii="仿宋" w:hAnsi="仿宋" w:eastAsia="仿宋" w:cs="宋体"/>
                <w:b/>
                <w:bCs/>
                <w:szCs w:val="21"/>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51"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087"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姓名</w:t>
            </w:r>
          </w:p>
        </w:tc>
        <w:tc>
          <w:tcPr>
            <w:tcW w:w="141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学历、专业、职称、认证证书</w:t>
            </w:r>
          </w:p>
        </w:tc>
        <w:tc>
          <w:tcPr>
            <w:tcW w:w="1417"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相关行业从业年限</w:t>
            </w:r>
          </w:p>
        </w:tc>
        <w:tc>
          <w:tcPr>
            <w:tcW w:w="1701"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参与过的同类项目名称</w:t>
            </w:r>
          </w:p>
        </w:tc>
        <w:tc>
          <w:tcPr>
            <w:tcW w:w="1559"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拟担任职务</w:t>
            </w:r>
          </w:p>
        </w:tc>
        <w:tc>
          <w:tcPr>
            <w:tcW w:w="1418"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承担工作内容</w:t>
            </w:r>
          </w:p>
        </w:tc>
        <w:tc>
          <w:tcPr>
            <w:tcW w:w="850" w:type="dxa"/>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51"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示例1</w:t>
            </w:r>
          </w:p>
        </w:tc>
        <w:tc>
          <w:tcPr>
            <w:tcW w:w="1087"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张三</w:t>
            </w:r>
          </w:p>
        </w:tc>
        <w:tc>
          <w:tcPr>
            <w:tcW w:w="1418"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本科、某专业、某证书</w:t>
            </w: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10</w:t>
            </w: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某某项目</w:t>
            </w: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项目负责人/技术人员</w:t>
            </w:r>
          </w:p>
        </w:tc>
        <w:tc>
          <w:tcPr>
            <w:tcW w:w="1418" w:type="dxa"/>
            <w:vAlign w:val="center"/>
          </w:tcPr>
          <w:p>
            <w:pPr>
              <w:autoSpaceDE w:val="0"/>
              <w:autoSpaceDN w:val="0"/>
              <w:spacing w:before="62" w:beforeLines="20" w:after="62" w:afterLines="20"/>
              <w:rPr>
                <w:rFonts w:hint="eastAsia" w:ascii="仿宋" w:hAnsi="仿宋" w:eastAsia="仿宋" w:cs="宋体"/>
                <w:szCs w:val="21"/>
              </w:rPr>
            </w:pPr>
          </w:p>
        </w:tc>
        <w:tc>
          <w:tcPr>
            <w:tcW w:w="850" w:type="dxa"/>
            <w:vAlign w:val="center"/>
          </w:tcPr>
          <w:p>
            <w:pPr>
              <w:autoSpaceDE w:val="0"/>
              <w:autoSpaceDN w:val="0"/>
              <w:spacing w:before="62" w:beforeLines="20" w:after="62" w:afterLines="20"/>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751"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10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8" w:type="dxa"/>
          </w:tcPr>
          <w:p>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51" w:type="dxa"/>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0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8" w:type="dxa"/>
          </w:tcPr>
          <w:p>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0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8" w:type="dxa"/>
          </w:tcPr>
          <w:p>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5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0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8" w:type="dxa"/>
          </w:tcPr>
          <w:p>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5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08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pPr>
              <w:autoSpaceDE w:val="0"/>
              <w:autoSpaceDN w:val="0"/>
              <w:spacing w:before="62" w:beforeLines="20" w:after="62" w:afterLines="20"/>
              <w:jc w:val="center"/>
              <w:rPr>
                <w:rFonts w:hint="eastAsia" w:ascii="仿宋" w:hAnsi="仿宋" w:eastAsia="仿宋" w:cs="宋体"/>
                <w:szCs w:val="21"/>
              </w:rPr>
            </w:pPr>
          </w:p>
        </w:tc>
        <w:tc>
          <w:tcPr>
            <w:tcW w:w="1418" w:type="dxa"/>
          </w:tcPr>
          <w:p>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pPr>
              <w:autoSpaceDE w:val="0"/>
              <w:autoSpaceDN w:val="0"/>
              <w:spacing w:before="62" w:beforeLines="20" w:after="62" w:afterLines="20"/>
              <w:jc w:val="center"/>
              <w:rPr>
                <w:rFonts w:hint="eastAsia" w:ascii="仿宋" w:hAnsi="仿宋" w:eastAsia="仿宋" w:cs="宋体"/>
                <w:szCs w:val="21"/>
              </w:rPr>
            </w:pPr>
          </w:p>
        </w:tc>
      </w:tr>
    </w:tbl>
    <w:p>
      <w:pPr>
        <w:pStyle w:val="32"/>
        <w:ind w:firstLine="0" w:firstLineChars="0"/>
        <w:rPr>
          <w:rFonts w:hint="eastAsia" w:ascii="仿宋" w:hAnsi="仿宋" w:eastAsia="仿宋"/>
          <w:sz w:val="21"/>
        </w:rPr>
      </w:pPr>
      <w:r>
        <w:rPr>
          <w:rFonts w:hint="eastAsia" w:ascii="仿宋" w:hAnsi="仿宋" w:eastAsia="仿宋"/>
          <w:sz w:val="21"/>
        </w:rPr>
        <w:t>说明：以上人员将作为本次项目的服务人员，未经招标人签名确认，不允许随意变更。</w:t>
      </w:r>
    </w:p>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84" w:name="_Toc193699399"/>
      <w:bookmarkStart w:id="185" w:name="_Toc191744845"/>
      <w:bookmarkStart w:id="186" w:name="_Toc190070718"/>
      <w:bookmarkStart w:id="187" w:name="_Toc178009844"/>
      <w:r>
        <w:rPr>
          <w:rFonts w:hint="eastAsia" w:ascii="仿宋" w:hAnsi="仿宋" w:eastAsia="仿宋"/>
          <w:sz w:val="28"/>
          <w:szCs w:val="28"/>
        </w:rPr>
        <w:t>13.关键技术性条款应答情况</w:t>
      </w:r>
      <w:bookmarkEnd w:id="184"/>
      <w:bookmarkEnd w:id="185"/>
    </w:p>
    <w:bookmarkEnd w:id="186"/>
    <w:bookmarkEnd w:id="187"/>
    <w:p>
      <w:pPr>
        <w:spacing w:line="360" w:lineRule="auto"/>
        <w:jc w:val="center"/>
        <w:rPr>
          <w:rFonts w:hint="eastAsia" w:ascii="仿宋" w:hAnsi="仿宋" w:eastAsia="仿宋"/>
        </w:rPr>
      </w:pPr>
      <w:r>
        <w:rPr>
          <w:rFonts w:hint="eastAsia" w:ascii="仿宋" w:hAnsi="仿宋" w:eastAsia="仿宋"/>
          <w:b/>
          <w:sz w:val="28"/>
          <w:szCs w:val="28"/>
        </w:rPr>
        <w:t>关键技术性条款应答情况表</w:t>
      </w:r>
    </w:p>
    <w:tbl>
      <w:tblPr>
        <w:tblStyle w:val="24"/>
        <w:tblW w:w="62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557"/>
        <w:gridCol w:w="3704"/>
        <w:gridCol w:w="1247"/>
        <w:gridCol w:w="1330"/>
        <w:gridCol w:w="1175"/>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000" w:type="pct"/>
            <w:gridSpan w:val="7"/>
            <w:shd w:val="clear" w:color="auto" w:fill="F1F1F1" w:themeFill="background1" w:themeFillShade="F2"/>
            <w:vAlign w:val="center"/>
          </w:tcPr>
          <w:p>
            <w:pPr>
              <w:spacing w:line="276" w:lineRule="auto"/>
              <w:jc w:val="left"/>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我司在仔细研究本项目招标文件的全部内容后，对采购需求书中关键技术性条款（▲号条款）的响应程度进行承诺及应答如下：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39" w:type="pct"/>
            <w:shd w:val="clear" w:color="auto" w:fill="F1F1F1" w:themeFill="background1" w:themeFillShade="F2"/>
            <w:vAlign w:val="center"/>
          </w:tcPr>
          <w:p>
            <w:pPr>
              <w:spacing w:line="276" w:lineRule="auto"/>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序号</w:t>
            </w:r>
          </w:p>
        </w:tc>
        <w:tc>
          <w:tcPr>
            <w:tcW w:w="733" w:type="pct"/>
            <w:shd w:val="clear" w:color="auto" w:fill="F1F1F1" w:themeFill="background1" w:themeFillShade="F2"/>
            <w:vAlign w:val="center"/>
          </w:tcPr>
          <w:p>
            <w:pPr>
              <w:spacing w:line="276" w:lineRule="auto"/>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需求项</w:t>
            </w:r>
          </w:p>
        </w:tc>
        <w:tc>
          <w:tcPr>
            <w:tcW w:w="1743" w:type="pct"/>
            <w:shd w:val="clear" w:color="auto" w:fill="F1F1F1" w:themeFill="background1" w:themeFillShade="F2"/>
            <w:vAlign w:val="center"/>
          </w:tcPr>
          <w:p>
            <w:pPr>
              <w:spacing w:line="276" w:lineRule="auto"/>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参数要求</w:t>
            </w:r>
          </w:p>
        </w:tc>
        <w:tc>
          <w:tcPr>
            <w:tcW w:w="587" w:type="pct"/>
            <w:shd w:val="clear" w:color="auto" w:fill="F1F1F1" w:themeFill="background1" w:themeFillShade="F2"/>
            <w:vAlign w:val="center"/>
          </w:tcPr>
          <w:p>
            <w:pPr>
              <w:spacing w:line="276" w:lineRule="auto"/>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证明资料</w:t>
            </w:r>
          </w:p>
        </w:tc>
        <w:tc>
          <w:tcPr>
            <w:tcW w:w="626" w:type="pct"/>
            <w:shd w:val="clear" w:color="auto" w:fill="F1F1F1" w:themeFill="background1" w:themeFillShade="F2"/>
            <w:vAlign w:val="center"/>
          </w:tcPr>
          <w:p>
            <w:pPr>
              <w:spacing w:line="276" w:lineRule="auto"/>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应答情况</w:t>
            </w:r>
          </w:p>
        </w:tc>
        <w:tc>
          <w:tcPr>
            <w:tcW w:w="553" w:type="pct"/>
            <w:shd w:val="clear" w:color="auto" w:fill="F1F1F1" w:themeFill="background1" w:themeFillShade="F2"/>
            <w:vAlign w:val="center"/>
          </w:tcPr>
          <w:p>
            <w:pPr>
              <w:spacing w:line="276" w:lineRule="auto"/>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其他</w:t>
            </w:r>
          </w:p>
          <w:p>
            <w:pPr>
              <w:spacing w:line="276" w:lineRule="auto"/>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说明</w:t>
            </w:r>
          </w:p>
        </w:tc>
        <w:tc>
          <w:tcPr>
            <w:tcW w:w="519" w:type="pct"/>
            <w:shd w:val="clear" w:color="auto" w:fill="F1F1F1" w:themeFill="background1" w:themeFillShade="F2"/>
            <w:vAlign w:val="center"/>
          </w:tcPr>
          <w:p>
            <w:pPr>
              <w:spacing w:line="276" w:lineRule="auto"/>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主机安全监测平台扩容</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安全性与稳定性：客户端占用内存资源应不超过500MB，CPU单核使用率不超过50%，综合使用率不超过5%，客户端不得修改服务器操作系统内核或驱动，并禁止采用抓包技术，安装时不应影响业务正常运行，安装卸载无需重启系统。客户端需具有自动降级与自杀机制，来保证业务连续性要求，并支持使用非root账号运行。</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截图证明，针对不修改内核及驱动需提供第三方检测报告</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主机安全监测平台扩容</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产品具备国家信息安全测评中心颁发的信息技术产品安全测评证书（EAL3级）。</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相关证明文件</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主机安全监测平台扩容</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容器安全支持检测集群风险，支持的风险检测类型应包括：kubernetes安全检测、docker安全检测、Harbor安全检测等。支持产品中集群风险检查规则展示，可查看检查项详情并自定义检查项启用/禁用状态。</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截图证明并加盖厂商公章</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主机安全监测平台扩容</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微隔离提供严格和宽松两种访问控制模式，严格模式放行满足策略的访问，拦截其他所有访问；宽松模式对配置了策略的端口进行放行/拦截控制，未配置策略的端口放行全部访问</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截图证明并加盖厂商公章</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主机安全监测平台扩容</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支持内存马攻击检测与告警，并可对发现的内存马进行拦截防护，覆盖：冰蝎、哥斯拉、蚁剑等常见内存马，并可上报恶意类还原代码信息，支持下载源代码文件和类文件。</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截图证明并加盖厂商公章</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信息系统日志分析平台扩容</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支持嵌套解析，支持通过一个解析规则对接入日志进行多层不同解析方式的解析，实现日志的快速解析，如：先采用正则进行部分字段的解析，针对解析后的字段可以选择JSON解析的方式进行二次解析。</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提供功能截图</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信息系统日志分析平台扩容</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支持使用内置安全模型，内置封装后的检测语句，来支持特定模型场景下的威胁检测和安全事件响应。</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提供功能截图</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信息系统日志分析平台扩容</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支持多租户模式，各个分公司数据隔离，支持基于IP、端口、域名等组合字段做细致的数据隔离划分对应的权限分配，并基于权限分配实现租户对辖内安全日志的查看和管理。</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提供功能截图</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网络全流量分析平台</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支持对网络原始流量的存储与检索，提供在线预览和PCAP包下载，用于回溯取证；支持指定关键字、时间等对历史PCAP数据进行秒级检索，如使用HTTP域名、源目IP对PCAP信息进行检索。</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提供功能截图</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网络全流量分析平台</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支持对网络中传输的文件进行还原，包括但不限于txt、doc、docx、rar、zip、png、bmp、jpg、exe、com等不少于50种文件类型；支持多种维度快速筛选网络文件，包括文件类型、文件大小、协议、源目IP等查询条件。</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提供功能截图</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网络全流量分析平台</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支持多种网络威胁检测与分析能力，检测范围包含但不限于：Web应用攻击、弱口令、暴力破解、扫描与爬虫、数据库攻击、敏感信息泄露、恶意通信流量、内网渗透、通用应用漏洞攻击、恶意软件、后门识别、异常协议、SQL注入、WEBSHELL、命令执行等不少于120种攻击场景；产品具备网页篡改检测、webshell检测等检测类产品专利。</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提供功能截图</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内网AD域监测服务</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支持对当前常见版本的AD域域控服务器（Windows 2008R2及以上版本）进行安全管理，包括监测攻击事件、检测AD域漏洞、基线核查等。</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提供功能截图</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持续监测、重保值守、应急响应服务</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通过MSS服务平台提供一年的7*24小时网络安全运营服务，主要包括</w:t>
            </w:r>
            <w:r>
              <w:rPr>
                <w:rFonts w:ascii="仿宋" w:hAnsi="仿宋" w:eastAsia="仿宋" w:cs="宋体"/>
                <w:bCs/>
                <w:szCs w:val="21"/>
              </w:rPr>
              <w:t>风险</w:t>
            </w:r>
            <w:r>
              <w:rPr>
                <w:rFonts w:hint="eastAsia" w:ascii="仿宋" w:hAnsi="仿宋" w:eastAsia="仿宋" w:cs="宋体"/>
                <w:bCs/>
                <w:szCs w:val="21"/>
              </w:rPr>
              <w:t>和攻击行为</w:t>
            </w:r>
            <w:r>
              <w:rPr>
                <w:rFonts w:ascii="仿宋" w:hAnsi="仿宋" w:eastAsia="仿宋" w:cs="宋体"/>
                <w:bCs/>
                <w:szCs w:val="21"/>
              </w:rPr>
              <w:t>监测</w:t>
            </w:r>
            <w:r>
              <w:rPr>
                <w:rFonts w:hint="eastAsia" w:ascii="仿宋" w:hAnsi="仿宋" w:eastAsia="仿宋" w:cs="宋体"/>
                <w:bCs/>
                <w:szCs w:val="21"/>
              </w:rPr>
              <w:t>。对接集团内网各安全设备，对网络中各安全设施出现的风险告警进行分析，利用日志大数据技术、检索分析技术，验证风险有效性，并协助处置风险，形成安全日志分析与风险处置报告，实现</w:t>
            </w:r>
            <w:r>
              <w:rPr>
                <w:rFonts w:ascii="仿宋" w:hAnsi="仿宋" w:eastAsia="仿宋" w:cs="宋体"/>
                <w:bCs/>
                <w:szCs w:val="21"/>
              </w:rPr>
              <w:t>安全告警事件</w:t>
            </w:r>
            <w:r>
              <w:rPr>
                <w:rFonts w:hint="eastAsia" w:ascii="仿宋" w:hAnsi="仿宋" w:eastAsia="仿宋" w:cs="宋体"/>
                <w:bCs/>
                <w:szCs w:val="21"/>
              </w:rPr>
              <w:t>的</w:t>
            </w:r>
            <w:r>
              <w:rPr>
                <w:rFonts w:ascii="仿宋" w:hAnsi="仿宋" w:eastAsia="仿宋" w:cs="宋体"/>
                <w:bCs/>
                <w:szCs w:val="21"/>
              </w:rPr>
              <w:t>闭环处置</w:t>
            </w:r>
            <w:r>
              <w:rPr>
                <w:rFonts w:hint="eastAsia" w:ascii="仿宋" w:hAnsi="仿宋" w:eastAsia="仿宋" w:cs="宋体"/>
                <w:bCs/>
                <w:szCs w:val="21"/>
              </w:rPr>
              <w:t>。</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提供承诺说明</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持续监测、重保值守、应急响应服务</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保障招标人国家重大节假日、国家重大活动、攻防演练等期间（不少于20人天）的网络系统的安全稳定运行现场驻场服务。提供溯源分析服务工具，对网络中出现的安全事件，通过流量进行调查取证，描绘完整攻击链并形成安全事件溯源报告。</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提供承诺说明</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15</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持续监测、重保值守、应急响应服务</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接到用户的服务请求后，如需现场处置，到达现场时间不超过2小时，在紧急故障情况下，2小时内定位问题和给出解决方案，于8小时内协助解决问题的技术支持和服务安全事件应急响应处置服务，及时协助解决安全故障，修复系统，使企业网络和信息服务恢复正常运行，尽可能挽回或减少损失。</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提供承诺说明</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9"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w:t>
            </w:r>
          </w:p>
        </w:tc>
        <w:tc>
          <w:tcPr>
            <w:tcW w:w="733"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网络安全风险排查服务</w:t>
            </w:r>
          </w:p>
        </w:tc>
        <w:tc>
          <w:tcPr>
            <w:tcW w:w="1743" w:type="pct"/>
            <w:shd w:val="clear" w:color="auto" w:fill="auto"/>
            <w:vAlign w:val="center"/>
          </w:tcPr>
          <w:p>
            <w:pPr>
              <w:spacing w:line="276" w:lineRule="auto"/>
              <w:rPr>
                <w:rFonts w:hint="eastAsia" w:ascii="仿宋" w:hAnsi="仿宋" w:eastAsia="仿宋" w:cs="仿宋"/>
                <w:color w:val="000000"/>
                <w:kern w:val="0"/>
                <w:sz w:val="20"/>
                <w:szCs w:val="20"/>
              </w:rPr>
            </w:pPr>
            <w:r>
              <w:rPr>
                <w:rFonts w:hint="eastAsia" w:ascii="仿宋" w:hAnsi="仿宋" w:eastAsia="仿宋" w:cs="宋体"/>
                <w:bCs/>
                <w:szCs w:val="21"/>
              </w:rPr>
              <w:t>本项所有服务，总人工不少于60人天。中标方需合理安排专业技术人员，参与人员必须具备本科或以上学历，有网络安全相关从业经验五年以上，具备参与公安部HW攻击队或者全国网络安全竞赛获奖经验或省级及以上攻防演练红队获奖经验等，确保各项服务能够按时、高质量完成。</w:t>
            </w:r>
          </w:p>
        </w:tc>
        <w:tc>
          <w:tcPr>
            <w:tcW w:w="587" w:type="pct"/>
            <w:shd w:val="clear" w:color="auto" w:fill="auto"/>
            <w:vAlign w:val="center"/>
          </w:tcPr>
          <w:p>
            <w:pPr>
              <w:spacing w:line="276" w:lineRule="auto"/>
              <w:jc w:val="center"/>
              <w:rPr>
                <w:rFonts w:hint="eastAsia" w:ascii="仿宋" w:hAnsi="仿宋" w:eastAsia="仿宋" w:cs="仿宋"/>
                <w:color w:val="000000"/>
                <w:kern w:val="0"/>
                <w:sz w:val="20"/>
                <w:szCs w:val="20"/>
              </w:rPr>
            </w:pPr>
            <w:r>
              <w:rPr>
                <w:rFonts w:hint="eastAsia" w:ascii="仿宋" w:hAnsi="仿宋" w:eastAsia="仿宋" w:cs="宋体"/>
                <w:bCs/>
                <w:szCs w:val="21"/>
              </w:rPr>
              <w:t>相关人员证明材料</w:t>
            </w:r>
          </w:p>
        </w:tc>
        <w:tc>
          <w:tcPr>
            <w:tcW w:w="626" w:type="pct"/>
            <w:shd w:val="clear" w:color="auto" w:fill="auto"/>
            <w:vAlign w:val="center"/>
          </w:tcPr>
          <w:p>
            <w:pPr>
              <w:rPr>
                <w:rFonts w:hint="eastAsia" w:ascii="仿宋" w:hAnsi="仿宋" w:eastAsia="仿宋"/>
              </w:rPr>
            </w:pPr>
            <w:r>
              <w:rPr>
                <w:rFonts w:hint="eastAsia" w:ascii="仿宋" w:hAnsi="仿宋" w:eastAsia="仿宋"/>
              </w:rPr>
              <w:t>□满足</w:t>
            </w:r>
          </w:p>
          <w:p>
            <w:pPr>
              <w:rPr>
                <w:rFonts w:hint="eastAsia" w:ascii="仿宋" w:hAnsi="仿宋" w:eastAsia="仿宋"/>
              </w:rPr>
            </w:pPr>
            <w:r>
              <w:rPr>
                <w:rFonts w:hint="eastAsia" w:ascii="仿宋" w:hAnsi="仿宋" w:eastAsia="仿宋"/>
              </w:rPr>
              <w:t xml:space="preserve">□部分满足或不满足，说明：    </w:t>
            </w:r>
          </w:p>
        </w:tc>
        <w:tc>
          <w:tcPr>
            <w:tcW w:w="553" w:type="pct"/>
            <w:vAlign w:val="center"/>
          </w:tcPr>
          <w:p>
            <w:pPr>
              <w:jc w:val="center"/>
              <w:rPr>
                <w:rFonts w:hint="eastAsia" w:ascii="仿宋" w:hAnsi="仿宋" w:eastAsia="仿宋"/>
              </w:rPr>
            </w:pPr>
          </w:p>
        </w:tc>
        <w:tc>
          <w:tcPr>
            <w:tcW w:w="519" w:type="pct"/>
            <w:vAlign w:val="center"/>
          </w:tcPr>
          <w:p>
            <w:pPr>
              <w:jc w:val="center"/>
              <w:rPr>
                <w:rFonts w:hint="eastAsia" w:ascii="仿宋" w:hAnsi="仿宋" w:eastAsia="仿宋"/>
              </w:rPr>
            </w:pPr>
            <w:r>
              <w:rPr>
                <w:rFonts w:hint="eastAsia" w:ascii="仿宋" w:hAnsi="仿宋" w:eastAsia="仿宋"/>
              </w:rPr>
              <w:t>见投标文件第（）页</w:t>
            </w:r>
          </w:p>
        </w:tc>
      </w:tr>
    </w:tbl>
    <w:p/>
    <w:p>
      <w:pPr>
        <w:pStyle w:val="32"/>
        <w:ind w:firstLine="0" w:firstLineChars="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pPr>
        <w:pStyle w:val="32"/>
        <w:ind w:firstLine="0" w:firstLineChars="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Pr>
        <w:pStyle w:val="32"/>
        <w:ind w:firstLine="0" w:firstLineChars="0"/>
        <w:rPr>
          <w:rFonts w:hint="eastAsia" w:ascii="仿宋" w:hAnsi="仿宋" w:eastAsia="仿宋"/>
          <w:sz w:val="21"/>
        </w:rPr>
      </w:pPr>
    </w:p>
    <w:p>
      <w:pPr>
        <w:pStyle w:val="32"/>
        <w:ind w:firstLine="0" w:firstLineChars="0"/>
        <w:rPr>
          <w:rFonts w:hint="eastAsia" w:ascii="仿宋" w:hAnsi="仿宋" w:eastAsia="仿宋"/>
          <w:sz w:val="21"/>
        </w:rPr>
      </w:pPr>
    </w:p>
    <w:p>
      <w:pPr>
        <w:spacing w:line="360" w:lineRule="auto"/>
        <w:ind w:right="17"/>
        <w:rPr>
          <w:rFonts w:hint="eastAsia" w:ascii="仿宋" w:hAnsi="仿宋" w:eastAsia="仿宋"/>
          <w:b/>
          <w:bCs/>
          <w:color w:val="FF0000"/>
          <w:sz w:val="22"/>
        </w:rPr>
      </w:pPr>
      <w:r>
        <w:rPr>
          <w:rFonts w:hint="eastAsia" w:ascii="仿宋" w:hAnsi="仿宋" w:eastAsia="仿宋"/>
          <w:b/>
          <w:bCs/>
          <w:color w:val="FF0000"/>
          <w:sz w:val="22"/>
        </w:rPr>
        <w:t>注：后附上述所涉及的相关证明材料。</w:t>
      </w:r>
    </w:p>
    <w:tbl>
      <w:tblPr>
        <w:tblStyle w:val="24"/>
        <w:tblW w:w="8501"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01"/>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1471" w:hRule="atLeast"/>
          <w:jc w:val="center"/>
        </w:trPr>
        <w:tc>
          <w:tcPr>
            <w:tcW w:w="8501" w:type="dxa"/>
            <w:shd w:val="clear" w:color="auto" w:fill="auto"/>
            <w:vAlign w:val="center"/>
          </w:tcPr>
          <w:p>
            <w:pPr>
              <w:snapToGrid w:val="0"/>
              <w:spacing w:line="360" w:lineRule="auto"/>
              <w:jc w:val="center"/>
              <w:rPr>
                <w:rFonts w:hint="eastAsia" w:ascii="仿宋" w:hAnsi="仿宋" w:eastAsia="仿宋"/>
                <w:b/>
                <w:bCs/>
                <w:sz w:val="22"/>
              </w:rPr>
            </w:pPr>
            <w:r>
              <w:rPr>
                <w:rFonts w:hint="eastAsia" w:ascii="仿宋" w:hAnsi="仿宋" w:eastAsia="仿宋"/>
                <w:b/>
                <w:bCs/>
                <w:sz w:val="22"/>
              </w:rPr>
              <w:t>（请粘贴清晰的复印件/扫描件，图片大小可自行调整）</w:t>
            </w:r>
          </w:p>
        </w:tc>
      </w:tr>
    </w:tbl>
    <w:p/>
    <w:p/>
    <w:p/>
    <w:p>
      <w:pPr>
        <w:widowControl/>
        <w:jc w:val="left"/>
        <w:rPr>
          <w:rFonts w:hint="eastAsia" w:ascii="仿宋" w:hAnsi="仿宋" w:eastAsia="仿宋" w:cs="Times New Roman"/>
          <w:b/>
          <w:bCs/>
          <w:sz w:val="28"/>
          <w:szCs w:val="28"/>
        </w:rPr>
      </w:pPr>
      <w:r>
        <w:rPr>
          <w:rFonts w:hint="eastAsia" w:ascii="仿宋" w:hAnsi="仿宋" w:eastAsia="仿宋"/>
          <w:sz w:val="28"/>
          <w:szCs w:val="28"/>
        </w:rP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88" w:name="_Toc193699400"/>
      <w:r>
        <w:rPr>
          <w:rFonts w:hint="eastAsia" w:ascii="仿宋" w:hAnsi="仿宋" w:eastAsia="仿宋"/>
          <w:sz w:val="28"/>
          <w:szCs w:val="28"/>
        </w:rPr>
        <w:t>14.其他资料（如有）</w:t>
      </w:r>
      <w:bookmarkEnd w:id="188"/>
    </w:p>
    <w:p>
      <w:pPr>
        <w:pStyle w:val="21"/>
        <w:tabs>
          <w:tab w:val="left" w:pos="588"/>
        </w:tabs>
        <w:snapToGrid w:val="0"/>
        <w:spacing w:before="120" w:after="120" w:line="440" w:lineRule="exact"/>
        <w:jc w:val="left"/>
        <w:outlineLvl w:val="2"/>
        <w:rPr>
          <w:rFonts w:hint="eastAsia" w:ascii="仿宋" w:hAnsi="仿宋" w:eastAsia="仿宋"/>
          <w:sz w:val="24"/>
          <w:szCs w:val="24"/>
        </w:rPr>
      </w:pPr>
      <w:bookmarkStart w:id="189" w:name="_Toc193699401"/>
      <w:bookmarkStart w:id="190" w:name="_Toc191289733"/>
      <w:r>
        <w:rPr>
          <w:rFonts w:hint="eastAsia" w:ascii="仿宋" w:hAnsi="仿宋" w:eastAsia="仿宋"/>
          <w:sz w:val="24"/>
          <w:szCs w:val="24"/>
        </w:rPr>
        <w:t>14.1</w:t>
      </w:r>
      <w:r>
        <w:rPr>
          <w:rFonts w:hint="eastAsia" w:ascii="仿宋" w:hAnsi="仿宋" w:eastAsia="仿宋"/>
          <w:sz w:val="24"/>
          <w:szCs w:val="24"/>
        </w:rPr>
        <w:tab/>
      </w:r>
      <w:r>
        <w:rPr>
          <w:rFonts w:hint="eastAsia" w:ascii="仿宋" w:hAnsi="仿宋" w:eastAsia="仿宋"/>
          <w:sz w:val="24"/>
          <w:szCs w:val="24"/>
        </w:rPr>
        <w:t>企业认证、资质、荣誉证书（如有）</w:t>
      </w:r>
      <w:bookmarkEnd w:id="189"/>
      <w:bookmarkEnd w:id="190"/>
    </w:p>
    <w:p>
      <w:pPr>
        <w:spacing w:line="360" w:lineRule="auto"/>
        <w:jc w:val="center"/>
        <w:rPr>
          <w:rFonts w:hint="eastAsia" w:ascii="仿宋" w:hAnsi="仿宋" w:eastAsia="仿宋"/>
          <w:b/>
          <w:sz w:val="28"/>
          <w:szCs w:val="28"/>
        </w:rPr>
      </w:pPr>
      <w:r>
        <w:rPr>
          <w:rFonts w:hint="eastAsia" w:ascii="仿宋" w:hAnsi="仿宋" w:eastAsia="仿宋"/>
          <w:b/>
          <w:sz w:val="28"/>
          <w:szCs w:val="28"/>
        </w:rPr>
        <w:t>企业认证、资质、荣誉证书</w:t>
      </w:r>
    </w:p>
    <w:tbl>
      <w:tblPr>
        <w:tblStyle w:val="24"/>
        <w:tblW w:w="85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034"/>
        <w:gridCol w:w="2665"/>
        <w:gridCol w:w="21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04" w:type="dxa"/>
            <w:tcBorders>
              <w:top w:val="single" w:color="auto" w:sz="4" w:space="0"/>
              <w:left w:val="single" w:color="auto" w:sz="4" w:space="0"/>
              <w:bottom w:val="single" w:color="auto" w:sz="4" w:space="0"/>
            </w:tcBorders>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3034" w:type="dxa"/>
            <w:tcBorders>
              <w:top w:val="single" w:color="auto" w:sz="4" w:space="0"/>
              <w:bottom w:val="single" w:color="auto" w:sz="4" w:space="0"/>
            </w:tcBorders>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企业证书名称</w:t>
            </w:r>
          </w:p>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（认证/资质/荣誉证书）</w:t>
            </w:r>
          </w:p>
        </w:tc>
        <w:tc>
          <w:tcPr>
            <w:tcW w:w="2665" w:type="dxa"/>
            <w:tcBorders>
              <w:top w:val="single" w:color="auto" w:sz="4" w:space="0"/>
              <w:bottom w:val="single" w:color="auto" w:sz="4" w:space="0"/>
            </w:tcBorders>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证书获取时间</w:t>
            </w:r>
          </w:p>
        </w:tc>
        <w:tc>
          <w:tcPr>
            <w:tcW w:w="2122" w:type="dxa"/>
            <w:tcBorders>
              <w:top w:val="single" w:color="auto" w:sz="4" w:space="0"/>
              <w:bottom w:val="single" w:color="auto" w:sz="4" w:space="0"/>
              <w:right w:val="single" w:color="auto" w:sz="4" w:space="0"/>
            </w:tcBorders>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投标文件对应页码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04" w:type="dxa"/>
            <w:tcBorders>
              <w:top w:val="single" w:color="auto" w:sz="4" w:space="0"/>
              <w:left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3034" w:type="dxa"/>
            <w:tcBorders>
              <w:top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c>
          <w:tcPr>
            <w:tcW w:w="2665" w:type="dxa"/>
            <w:tcBorders>
              <w:top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c>
          <w:tcPr>
            <w:tcW w:w="2122" w:type="dxa"/>
            <w:tcBorders>
              <w:top w:val="single" w:color="auto" w:sz="4" w:space="0"/>
              <w:bottom w:val="single" w:color="auto" w:sz="4" w:space="0"/>
              <w:right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04" w:type="dxa"/>
            <w:tcBorders>
              <w:top w:val="single" w:color="auto" w:sz="4" w:space="0"/>
              <w:left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3034" w:type="dxa"/>
            <w:tcBorders>
              <w:top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c>
          <w:tcPr>
            <w:tcW w:w="2665" w:type="dxa"/>
            <w:tcBorders>
              <w:top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c>
          <w:tcPr>
            <w:tcW w:w="2122" w:type="dxa"/>
            <w:tcBorders>
              <w:top w:val="single" w:color="auto" w:sz="4" w:space="0"/>
              <w:bottom w:val="single" w:color="auto" w:sz="4" w:space="0"/>
              <w:right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04" w:type="dxa"/>
            <w:tcBorders>
              <w:top w:val="single" w:color="auto" w:sz="4" w:space="0"/>
              <w:left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3034" w:type="dxa"/>
            <w:tcBorders>
              <w:top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c>
          <w:tcPr>
            <w:tcW w:w="2665" w:type="dxa"/>
            <w:tcBorders>
              <w:top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c>
          <w:tcPr>
            <w:tcW w:w="2122" w:type="dxa"/>
            <w:tcBorders>
              <w:top w:val="single" w:color="auto" w:sz="4" w:space="0"/>
              <w:bottom w:val="single" w:color="auto" w:sz="4" w:space="0"/>
              <w:right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04" w:type="dxa"/>
            <w:tcBorders>
              <w:top w:val="single" w:color="auto" w:sz="4" w:space="0"/>
              <w:left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c>
          <w:tcPr>
            <w:tcW w:w="3034" w:type="dxa"/>
            <w:tcBorders>
              <w:top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c>
          <w:tcPr>
            <w:tcW w:w="2665" w:type="dxa"/>
            <w:tcBorders>
              <w:top w:val="single" w:color="auto" w:sz="4" w:space="0"/>
              <w:bottom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c>
          <w:tcPr>
            <w:tcW w:w="2122" w:type="dxa"/>
            <w:tcBorders>
              <w:top w:val="single" w:color="auto" w:sz="4" w:space="0"/>
              <w:bottom w:val="single" w:color="auto" w:sz="4" w:space="0"/>
              <w:right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r>
    </w:tbl>
    <w:p>
      <w:pPr>
        <w:pStyle w:val="32"/>
        <w:ind w:firstLine="0" w:firstLineChars="0"/>
        <w:rPr>
          <w:rFonts w:hint="eastAsia" w:ascii="仿宋" w:hAnsi="仿宋" w:eastAsia="仿宋"/>
          <w:sz w:val="21"/>
        </w:rPr>
      </w:pPr>
      <w:r>
        <w:rPr>
          <w:rFonts w:hint="eastAsia" w:ascii="仿宋" w:hAnsi="仿宋" w:eastAsia="仿宋"/>
          <w:sz w:val="21"/>
        </w:rPr>
        <w:t>备注：须按上表填写顺序提供对应的证书证明材料复印件。</w:t>
      </w:r>
    </w:p>
    <w:p>
      <w:pPr>
        <w:pStyle w:val="32"/>
        <w:ind w:firstLine="0" w:firstLineChars="0"/>
        <w:rPr>
          <w:rFonts w:hint="eastAsia" w:ascii="仿宋" w:hAnsi="仿宋" w:eastAsia="仿宋"/>
          <w:sz w:val="21"/>
        </w:rPr>
      </w:pPr>
    </w:p>
    <w:p>
      <w:pPr>
        <w:pStyle w:val="21"/>
        <w:tabs>
          <w:tab w:val="left" w:pos="588"/>
        </w:tabs>
        <w:snapToGrid w:val="0"/>
        <w:spacing w:before="120" w:after="120" w:line="440" w:lineRule="exact"/>
        <w:jc w:val="left"/>
        <w:outlineLvl w:val="2"/>
        <w:rPr>
          <w:rFonts w:hint="eastAsia" w:ascii="仿宋" w:hAnsi="仿宋" w:eastAsia="仿宋"/>
          <w:sz w:val="24"/>
          <w:szCs w:val="24"/>
        </w:rPr>
      </w:pPr>
      <w:r>
        <w:rPr>
          <w:rFonts w:hint="eastAsia" w:ascii="仿宋" w:hAnsi="仿宋" w:eastAsia="仿宋"/>
          <w:sz w:val="24"/>
          <w:szCs w:val="24"/>
        </w:rPr>
        <w:t>14.2</w:t>
      </w:r>
      <w:r>
        <w:rPr>
          <w:rFonts w:hint="eastAsia" w:ascii="仿宋" w:hAnsi="仿宋" w:eastAsia="仿宋"/>
          <w:sz w:val="24"/>
          <w:szCs w:val="24"/>
        </w:rPr>
        <w:tab/>
      </w:r>
      <w:r>
        <w:rPr>
          <w:rFonts w:hint="eastAsia" w:ascii="仿宋" w:hAnsi="仿宋" w:eastAsia="仿宋"/>
          <w:sz w:val="24"/>
          <w:szCs w:val="24"/>
        </w:rPr>
        <w:t>企业其他相关材料（如有）</w:t>
      </w:r>
    </w:p>
    <w:p>
      <w:pPr>
        <w:rPr>
          <w:rFonts w:hint="eastAsia" w:ascii="仿宋" w:hAnsi="仿宋" w:eastAsia="仿宋"/>
        </w:rPr>
      </w:pPr>
    </w:p>
    <w:p>
      <w:pPr>
        <w:pStyle w:val="32"/>
        <w:ind w:firstLine="420"/>
        <w:rPr>
          <w:rFonts w:hint="eastAsia" w:ascii="仿宋" w:hAnsi="仿宋" w:eastAsia="仿宋"/>
          <w:sz w:val="21"/>
        </w:rPr>
      </w:pPr>
      <w:r>
        <w:rPr>
          <w:rFonts w:hint="eastAsia" w:ascii="仿宋" w:hAnsi="仿宋" w:eastAsia="仿宋"/>
          <w:sz w:val="21"/>
        </w:rPr>
        <w:t>投标人需2024年度国家信息安全漏洞共享平台官方报送漏洞排名官网截图证明并加盖公章。</w:t>
      </w:r>
    </w:p>
    <w:p>
      <w:pPr>
        <w:rPr>
          <w:rFonts w:hint="eastAsia" w:ascii="仿宋" w:hAnsi="仿宋" w:eastAsia="仿宋"/>
        </w:rPr>
      </w:pPr>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91" w:name="_Toc193699402"/>
      <w:r>
        <w:rPr>
          <w:rFonts w:hint="eastAsia" w:ascii="仿宋" w:hAnsi="仿宋" w:eastAsia="仿宋"/>
          <w:sz w:val="28"/>
          <w:szCs w:val="28"/>
        </w:rPr>
        <w:t>15.项目理解（格式自拟）</w:t>
      </w:r>
      <w:bookmarkEnd w:id="191"/>
    </w:p>
    <w:p>
      <w:pPr>
        <w:pStyle w:val="32"/>
        <w:ind w:firstLine="420"/>
        <w:rPr>
          <w:rFonts w:hint="eastAsia" w:ascii="仿宋" w:hAnsi="仿宋" w:eastAsia="仿宋"/>
          <w:sz w:val="21"/>
        </w:rPr>
      </w:pPr>
      <w:r>
        <w:rPr>
          <w:rFonts w:hint="eastAsia" w:ascii="仿宋" w:hAnsi="仿宋" w:eastAsia="仿宋"/>
          <w:sz w:val="21"/>
        </w:rPr>
        <w:t>建议投标人按第五章 评标办法“技术评分表”纬度编制相关内容，投标人也可自行根据实际情况补充。</w:t>
      </w:r>
    </w:p>
    <w:p>
      <w:pPr>
        <w:pStyle w:val="32"/>
        <w:ind w:firstLine="0" w:firstLineChars="0"/>
      </w:pPr>
    </w:p>
    <w:p>
      <w:pPr>
        <w:pStyle w:val="21"/>
        <w:tabs>
          <w:tab w:val="left" w:pos="602"/>
        </w:tabs>
        <w:snapToGrid w:val="0"/>
        <w:spacing w:before="120" w:after="120" w:line="440" w:lineRule="exact"/>
        <w:jc w:val="left"/>
        <w:rPr>
          <w:rFonts w:hint="eastAsia" w:ascii="仿宋" w:hAnsi="仿宋" w:eastAsia="仿宋"/>
          <w:sz w:val="28"/>
          <w:szCs w:val="28"/>
        </w:rPr>
      </w:pPr>
      <w:bookmarkStart w:id="192" w:name="_Toc193699403"/>
      <w:r>
        <w:rPr>
          <w:rFonts w:hint="eastAsia" w:ascii="仿宋" w:hAnsi="仿宋" w:eastAsia="仿宋"/>
          <w:sz w:val="28"/>
          <w:szCs w:val="28"/>
        </w:rPr>
        <w:t>16.服务方案（格式自拟）</w:t>
      </w:r>
      <w:bookmarkEnd w:id="192"/>
    </w:p>
    <w:p>
      <w:pPr>
        <w:pStyle w:val="32"/>
        <w:ind w:firstLine="420"/>
        <w:rPr>
          <w:rFonts w:hint="eastAsia" w:ascii="仿宋" w:hAnsi="仿宋" w:eastAsia="仿宋"/>
          <w:sz w:val="21"/>
        </w:rPr>
      </w:pPr>
      <w:r>
        <w:rPr>
          <w:rFonts w:hint="eastAsia" w:ascii="仿宋" w:hAnsi="仿宋" w:eastAsia="仿宋"/>
          <w:sz w:val="21"/>
        </w:rPr>
        <w:t>建议投标人按第五章 评标办法“技术评分表”纬度编制相关内容，投标人也可自行根据实际情况补充。</w:t>
      </w:r>
    </w:p>
    <w:p>
      <w:pPr>
        <w:pStyle w:val="32"/>
        <w:ind w:firstLine="422"/>
        <w:rPr>
          <w:rFonts w:hint="eastAsia" w:ascii="仿宋" w:hAnsi="仿宋" w:eastAsia="仿宋"/>
          <w:b/>
          <w:bCs/>
          <w:sz w:val="21"/>
        </w:rPr>
      </w:pPr>
      <w:r>
        <w:rPr>
          <w:rFonts w:hint="eastAsia" w:ascii="仿宋" w:hAnsi="仿宋" w:eastAsia="仿宋"/>
          <w:b/>
          <w:bCs/>
          <w:sz w:val="21"/>
        </w:rPr>
        <w:t>本项目整体服务方案内容包含但不限于：</w:t>
      </w:r>
      <w:r>
        <w:rPr>
          <w:rFonts w:hint="eastAsia" w:ascii="仿宋" w:hAnsi="仿宋" w:eastAsia="仿宋"/>
          <w:b/>
          <w:bCs/>
          <w:sz w:val="21"/>
          <w:u w:val="single"/>
        </w:rPr>
        <w:t>等保测评服务、持续监测服务、重保值守服务、应急响应服务、网络安全风险排查服务、及安全培训服务</w:t>
      </w:r>
      <w:r>
        <w:rPr>
          <w:rFonts w:hint="eastAsia" w:ascii="仿宋" w:hAnsi="仿宋" w:eastAsia="仿宋"/>
          <w:b/>
          <w:bCs/>
          <w:sz w:val="21"/>
        </w:rPr>
        <w:t>等。</w:t>
      </w:r>
    </w:p>
    <w:p>
      <w:pPr>
        <w:pStyle w:val="32"/>
        <w:ind w:firstLine="0" w:firstLineChars="0"/>
      </w:pPr>
    </w:p>
    <w:p>
      <w:pPr>
        <w:pStyle w:val="32"/>
        <w:ind w:firstLine="0" w:firstLineChars="0"/>
      </w:pPr>
    </w:p>
    <w:p>
      <w:pPr>
        <w:pStyle w:val="32"/>
        <w:ind w:firstLine="0" w:firstLineChars="0"/>
      </w:pPr>
    </w:p>
    <w:p>
      <w:pPr>
        <w:widowControl/>
        <w:jc w:val="left"/>
        <w:rPr>
          <w:rFonts w:hint="eastAsia" w:ascii="仿宋" w:hAnsi="仿宋" w:eastAsia="仿宋" w:cs="Times New Roman"/>
          <w:b/>
          <w:bCs/>
          <w:sz w:val="28"/>
          <w:szCs w:val="28"/>
        </w:rPr>
      </w:pPr>
      <w:r>
        <w:rPr>
          <w:rFonts w:hint="eastAsia" w:ascii="仿宋" w:hAnsi="仿宋" w:eastAsia="仿宋"/>
          <w:sz w:val="28"/>
          <w:szCs w:val="28"/>
        </w:rP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93" w:name="_Toc193699404"/>
      <w:r>
        <w:rPr>
          <w:rFonts w:hint="eastAsia" w:ascii="仿宋" w:hAnsi="仿宋" w:eastAsia="仿宋"/>
          <w:sz w:val="28"/>
          <w:szCs w:val="28"/>
        </w:rPr>
        <w:t>17.投标人认为需要提供的其他资料（格式自拟）</w:t>
      </w:r>
      <w:bookmarkEnd w:id="193"/>
    </w:p>
    <w:p>
      <w:pPr>
        <w:pStyle w:val="32"/>
        <w:ind w:firstLine="420"/>
        <w:rPr>
          <w:rFonts w:hint="eastAsia" w:ascii="仿宋" w:hAnsi="仿宋" w:eastAsia="仿宋"/>
          <w:sz w:val="21"/>
        </w:rPr>
      </w:pPr>
      <w:r>
        <w:rPr>
          <w:rFonts w:hint="eastAsia" w:ascii="仿宋" w:hAnsi="仿宋" w:eastAsia="仿宋"/>
          <w:sz w:val="21"/>
        </w:rPr>
        <w:t>投标人应结合招标文件要求，提供其他相关有利于体现企业实力、服务能力的其他内容。其他内容可根据企业情况自行补充。</w:t>
      </w:r>
    </w:p>
    <w:p/>
    <w:p>
      <w:pPr>
        <w:widowControl/>
        <w:jc w:val="left"/>
      </w:pPr>
      <w:r>
        <w:br w:type="page"/>
      </w:r>
    </w:p>
    <w:p>
      <w:pPr>
        <w:pStyle w:val="4"/>
        <w:spacing w:before="156" w:beforeLines="50" w:after="156" w:afterLines="50" w:line="360" w:lineRule="auto"/>
        <w:rPr>
          <w:rFonts w:hint="eastAsia" w:ascii="仿宋" w:hAnsi="仿宋" w:eastAsia="仿宋"/>
          <w:sz w:val="28"/>
          <w:szCs w:val="28"/>
        </w:rPr>
      </w:pPr>
      <w:bookmarkStart w:id="194" w:name="_Toc193699405"/>
      <w:r>
        <w:rPr>
          <w:rFonts w:hint="eastAsia" w:ascii="仿宋" w:hAnsi="仿宋" w:eastAsia="仿宋"/>
          <w:sz w:val="28"/>
          <w:szCs w:val="28"/>
        </w:rPr>
        <w:t>第二分册</w:t>
      </w:r>
      <w:bookmarkEnd w:id="194"/>
    </w:p>
    <w:p>
      <w:pPr>
        <w:pStyle w:val="21"/>
        <w:tabs>
          <w:tab w:val="left" w:pos="602"/>
        </w:tabs>
        <w:snapToGrid w:val="0"/>
        <w:spacing w:before="120" w:after="120" w:line="440" w:lineRule="exact"/>
        <w:jc w:val="left"/>
        <w:rPr>
          <w:rFonts w:hint="eastAsia" w:ascii="仿宋" w:hAnsi="仿宋" w:eastAsia="仿宋"/>
          <w:sz w:val="28"/>
          <w:szCs w:val="28"/>
        </w:rPr>
      </w:pPr>
      <w:bookmarkStart w:id="195" w:name="_Toc193699406"/>
      <w:r>
        <w:rPr>
          <w:rFonts w:hint="eastAsia" w:ascii="仿宋" w:hAnsi="仿宋" w:eastAsia="仿宋"/>
          <w:sz w:val="28"/>
          <w:szCs w:val="28"/>
        </w:rPr>
        <w:t>1.</w:t>
      </w:r>
      <w:r>
        <w:rPr>
          <w:rFonts w:hint="eastAsia" w:ascii="仿宋" w:hAnsi="仿宋" w:eastAsia="仿宋"/>
          <w:sz w:val="28"/>
          <w:szCs w:val="28"/>
        </w:rPr>
        <w:tab/>
      </w:r>
      <w:r>
        <w:rPr>
          <w:rFonts w:hint="eastAsia" w:ascii="仿宋" w:hAnsi="仿宋" w:eastAsia="仿宋"/>
          <w:sz w:val="28"/>
          <w:szCs w:val="28"/>
        </w:rPr>
        <w:t>经济分册投标文件封面</w:t>
      </w:r>
      <w:bookmarkEnd w:id="195"/>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cs="Times New Roman"/>
          <w:b/>
          <w:bCs/>
          <w:sz w:val="28"/>
          <w:szCs w:val="28"/>
        </w:rPr>
      </w:pPr>
      <w:r>
        <w:rPr>
          <w:rFonts w:hint="eastAsia" w:ascii="仿宋" w:hAnsi="仿宋" w:eastAsia="仿宋" w:cs="Times New Roman"/>
          <w:b/>
          <w:bCs/>
          <w:sz w:val="28"/>
          <w:szCs w:val="28"/>
          <w:u w:val="single"/>
        </w:rPr>
        <w:t xml:space="preserve">           </w:t>
      </w:r>
      <w:r>
        <w:rPr>
          <w:rFonts w:hint="eastAsia" w:ascii="仿宋" w:hAnsi="仿宋" w:eastAsia="仿宋" w:cs="Times New Roman"/>
          <w:b/>
          <w:bCs/>
          <w:sz w:val="28"/>
          <w:szCs w:val="28"/>
        </w:rPr>
        <w:t>（项目名称）</w:t>
      </w: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cs="宋体"/>
          <w:b/>
          <w:sz w:val="24"/>
          <w:szCs w:val="24"/>
        </w:rPr>
      </w:pPr>
      <w:r>
        <w:rPr>
          <w:rFonts w:hint="eastAsia" w:ascii="仿宋" w:hAnsi="仿宋" w:eastAsia="仿宋" w:cs="宋体"/>
          <w:b/>
          <w:sz w:val="24"/>
          <w:szCs w:val="24"/>
        </w:rPr>
        <w:t>投标文件（经济分册）部分</w:t>
      </w: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r>
        <w:rPr>
          <w:rFonts w:hint="eastAsia" w:ascii="仿宋" w:hAnsi="仿宋" w:eastAsia="仿宋"/>
          <w:sz w:val="24"/>
          <w:szCs w:val="28"/>
        </w:rPr>
        <w:t>投标人名称：</w:t>
      </w:r>
      <w:r>
        <w:rPr>
          <w:rFonts w:ascii="仿宋" w:hAnsi="仿宋" w:eastAsia="仿宋"/>
          <w:sz w:val="24"/>
          <w:szCs w:val="28"/>
          <w:u w:val="single"/>
        </w:rPr>
        <w:t xml:space="preserve">    </w:t>
      </w:r>
      <w:r>
        <w:rPr>
          <w:rFonts w:hint="eastAsia" w:ascii="仿宋" w:hAnsi="仿宋" w:eastAsia="仿宋"/>
          <w:sz w:val="24"/>
          <w:szCs w:val="28"/>
          <w:u w:val="single"/>
        </w:rPr>
        <w:t xml:space="preserve">      </w:t>
      </w:r>
      <w:r>
        <w:rPr>
          <w:rFonts w:hint="eastAsia" w:ascii="仿宋" w:hAnsi="仿宋" w:eastAsia="仿宋"/>
          <w:sz w:val="24"/>
          <w:szCs w:val="28"/>
        </w:rPr>
        <w:t>（盖单位章）</w:t>
      </w:r>
    </w:p>
    <w:p>
      <w:pPr>
        <w:spacing w:before="93" w:beforeLines="30" w:after="93" w:afterLines="30" w:line="360" w:lineRule="auto"/>
        <w:jc w:val="center"/>
        <w:rPr>
          <w:rFonts w:hint="eastAsia" w:ascii="仿宋" w:hAnsi="仿宋" w:eastAsia="仿宋"/>
          <w:sz w:val="24"/>
          <w:szCs w:val="28"/>
        </w:rPr>
      </w:pPr>
      <w:r>
        <w:rPr>
          <w:rFonts w:hint="eastAsia" w:ascii="仿宋" w:hAnsi="仿宋" w:eastAsia="仿宋"/>
          <w:sz w:val="24"/>
          <w:szCs w:val="28"/>
        </w:rPr>
        <w:t>日期：</w:t>
      </w:r>
      <w:r>
        <w:rPr>
          <w:rFonts w:hint="eastAsia" w:ascii="仿宋" w:hAnsi="仿宋" w:eastAsia="仿宋"/>
          <w:sz w:val="24"/>
          <w:szCs w:val="28"/>
          <w:u w:val="single"/>
        </w:rPr>
        <w:t xml:space="preserve">    </w:t>
      </w:r>
      <w:r>
        <w:rPr>
          <w:rFonts w:hint="eastAsia" w:ascii="仿宋" w:hAnsi="仿宋" w:eastAsia="仿宋"/>
          <w:sz w:val="24"/>
          <w:szCs w:val="28"/>
        </w:rPr>
        <w:t>年</w:t>
      </w:r>
      <w:r>
        <w:rPr>
          <w:rFonts w:hint="eastAsia" w:ascii="仿宋" w:hAnsi="仿宋" w:eastAsia="仿宋"/>
          <w:sz w:val="24"/>
          <w:szCs w:val="28"/>
          <w:u w:val="single"/>
        </w:rPr>
        <w:t xml:space="preserve">    </w:t>
      </w:r>
      <w:r>
        <w:rPr>
          <w:rFonts w:hint="eastAsia" w:ascii="仿宋" w:hAnsi="仿宋" w:eastAsia="仿宋"/>
          <w:sz w:val="24"/>
          <w:szCs w:val="28"/>
        </w:rPr>
        <w:t>月</w:t>
      </w:r>
      <w:r>
        <w:rPr>
          <w:rFonts w:hint="eastAsia" w:ascii="仿宋" w:hAnsi="仿宋" w:eastAsia="仿宋"/>
          <w:sz w:val="24"/>
          <w:szCs w:val="28"/>
          <w:u w:val="single"/>
        </w:rPr>
        <w:t xml:space="preserve">    </w:t>
      </w:r>
      <w:r>
        <w:rPr>
          <w:rFonts w:hint="eastAsia" w:ascii="仿宋" w:hAnsi="仿宋" w:eastAsia="仿宋"/>
          <w:sz w:val="24"/>
          <w:szCs w:val="28"/>
        </w:rPr>
        <w:t>日</w:t>
      </w:r>
    </w:p>
    <w:p>
      <w:pPr>
        <w:spacing w:before="93" w:beforeLines="30" w:after="93" w:afterLines="30" w:line="360" w:lineRule="auto"/>
        <w:jc w:val="center"/>
        <w:rPr>
          <w:rFonts w:hint="eastAsia" w:ascii="仿宋" w:hAnsi="仿宋" w:eastAsia="仿宋"/>
          <w:sz w:val="24"/>
          <w:szCs w:val="28"/>
        </w:rPr>
      </w:pPr>
    </w:p>
    <w:p>
      <w:pPr>
        <w:spacing w:before="93" w:beforeLines="30" w:after="93" w:afterLines="30" w:line="360" w:lineRule="auto"/>
        <w:jc w:val="center"/>
        <w:rPr>
          <w:rFonts w:hint="eastAsia" w:ascii="仿宋" w:hAnsi="仿宋" w:eastAsia="仿宋"/>
          <w:sz w:val="24"/>
          <w:szCs w:val="28"/>
        </w:rPr>
      </w:pPr>
    </w:p>
    <w:p/>
    <w:p/>
    <w:p>
      <w:pPr>
        <w:widowControl/>
        <w:jc w:val="left"/>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96" w:name="_Toc193699407"/>
      <w:r>
        <w:rPr>
          <w:rFonts w:hint="eastAsia" w:ascii="仿宋" w:hAnsi="仿宋" w:eastAsia="仿宋"/>
          <w:sz w:val="28"/>
          <w:szCs w:val="28"/>
        </w:rPr>
        <w:t>2.</w:t>
      </w:r>
      <w:r>
        <w:rPr>
          <w:rFonts w:hint="eastAsia" w:ascii="仿宋" w:hAnsi="仿宋" w:eastAsia="仿宋"/>
          <w:sz w:val="28"/>
          <w:szCs w:val="28"/>
        </w:rPr>
        <w:tab/>
      </w:r>
      <w:bookmarkStart w:id="197" w:name="_Hlk163491146"/>
      <w:r>
        <w:rPr>
          <w:rFonts w:hint="eastAsia" w:ascii="仿宋" w:hAnsi="仿宋" w:eastAsia="仿宋"/>
          <w:sz w:val="28"/>
          <w:szCs w:val="28"/>
        </w:rPr>
        <w:t>投标报价一览表</w:t>
      </w:r>
      <w:bookmarkEnd w:id="196"/>
      <w:bookmarkEnd w:id="197"/>
    </w:p>
    <w:p>
      <w:pPr>
        <w:spacing w:line="360" w:lineRule="auto"/>
        <w:jc w:val="center"/>
        <w:rPr>
          <w:rFonts w:hint="eastAsia" w:ascii="仿宋" w:hAnsi="仿宋" w:eastAsia="仿宋"/>
          <w:b/>
          <w:sz w:val="28"/>
          <w:szCs w:val="28"/>
        </w:rPr>
      </w:pPr>
      <w:r>
        <w:rPr>
          <w:rFonts w:hint="eastAsia" w:ascii="仿宋" w:hAnsi="仿宋" w:eastAsia="仿宋"/>
          <w:b/>
          <w:sz w:val="28"/>
          <w:szCs w:val="28"/>
        </w:rPr>
        <w:t>投标报价一览表</w:t>
      </w:r>
    </w:p>
    <w:p>
      <w:pPr>
        <w:pStyle w:val="32"/>
        <w:ind w:firstLineChars="95"/>
        <w:rPr>
          <w:rFonts w:hint="eastAsia" w:ascii="仿宋" w:hAnsi="仿宋" w:eastAsia="仿宋"/>
          <w:b/>
          <w:bCs/>
          <w:sz w:val="21"/>
        </w:rPr>
      </w:pPr>
      <w:r>
        <w:rPr>
          <w:rFonts w:hint="eastAsia" w:ascii="仿宋" w:hAnsi="仿宋" w:eastAsia="仿宋"/>
          <w:b/>
          <w:bCs/>
          <w:sz w:val="21"/>
        </w:rPr>
        <w:t>项目编号：WJS-202503140012</w:t>
      </w:r>
    </w:p>
    <w:p>
      <w:pPr>
        <w:pStyle w:val="32"/>
        <w:ind w:firstLineChars="95"/>
        <w:rPr>
          <w:rFonts w:hint="eastAsia" w:ascii="仿宋" w:hAnsi="仿宋" w:eastAsia="仿宋"/>
          <w:b/>
          <w:bCs/>
          <w:sz w:val="21"/>
        </w:rPr>
      </w:pPr>
      <w:r>
        <w:rPr>
          <w:rFonts w:hint="eastAsia" w:ascii="仿宋" w:hAnsi="仿宋" w:eastAsia="仿宋"/>
          <w:b/>
          <w:bCs/>
          <w:sz w:val="21"/>
        </w:rPr>
        <w:t>项目名称：2025年度网络安全建设和服务项目</w:t>
      </w:r>
    </w:p>
    <w:tbl>
      <w:tblPr>
        <w:tblStyle w:val="24"/>
        <w:tblW w:w="54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3642"/>
        <w:gridCol w:w="3288"/>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65" w:type="pct"/>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946" w:type="pct"/>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报价内容</w:t>
            </w:r>
          </w:p>
        </w:tc>
        <w:tc>
          <w:tcPr>
            <w:tcW w:w="1757" w:type="pct"/>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含税总报价（元）</w:t>
            </w:r>
          </w:p>
        </w:tc>
        <w:tc>
          <w:tcPr>
            <w:tcW w:w="832" w:type="pct"/>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465" w:type="pct"/>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1946"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2025年度网络安全建设和服务</w:t>
            </w:r>
          </w:p>
        </w:tc>
        <w:tc>
          <w:tcPr>
            <w:tcW w:w="1757" w:type="pct"/>
            <w:shd w:val="clear" w:color="auto" w:fill="auto"/>
            <w:vAlign w:val="center"/>
          </w:tcPr>
          <w:p>
            <w:pPr>
              <w:pStyle w:val="2"/>
              <w:widowControl w:val="0"/>
              <w:snapToGrid/>
              <w:spacing w:before="62" w:beforeLines="20" w:after="62" w:afterLines="20" w:line="240" w:lineRule="auto"/>
              <w:ind w:firstLine="0" w:firstLineChars="0"/>
              <w:jc w:val="center"/>
              <w:rPr>
                <w:rFonts w:hint="eastAsia" w:ascii="仿宋" w:hAnsi="仿宋" w:eastAsia="仿宋" w:cs="宋体"/>
                <w:kern w:val="2"/>
                <w:sz w:val="21"/>
                <w:szCs w:val="21"/>
              </w:rPr>
            </w:pPr>
            <w:r>
              <w:rPr>
                <w:rFonts w:hint="eastAsia" w:ascii="仿宋" w:hAnsi="仿宋" w:eastAsia="仿宋" w:cs="宋体"/>
                <w:kern w:val="2"/>
                <w:sz w:val="21"/>
                <w:szCs w:val="21"/>
              </w:rPr>
              <w:t>填写小写金额</w:t>
            </w:r>
          </w:p>
        </w:tc>
        <w:tc>
          <w:tcPr>
            <w:tcW w:w="832"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r>
    </w:tbl>
    <w:p>
      <w:pPr>
        <w:pStyle w:val="32"/>
        <w:ind w:firstLine="0" w:firstLineChars="0"/>
        <w:rPr>
          <w:rFonts w:hint="eastAsia" w:ascii="仿宋" w:hAnsi="仿宋" w:eastAsia="仿宋"/>
          <w:sz w:val="21"/>
        </w:rPr>
      </w:pPr>
      <w:r>
        <w:rPr>
          <w:rFonts w:hint="eastAsia" w:ascii="仿宋" w:hAnsi="仿宋" w:eastAsia="仿宋"/>
          <w:sz w:val="21"/>
        </w:rPr>
        <w:t>说明：</w:t>
      </w:r>
    </w:p>
    <w:p>
      <w:pPr>
        <w:pStyle w:val="32"/>
        <w:ind w:firstLine="420"/>
        <w:rPr>
          <w:rFonts w:hint="eastAsia" w:ascii="仿宋" w:hAnsi="仿宋" w:eastAsia="仿宋"/>
          <w:sz w:val="21"/>
        </w:rPr>
      </w:pPr>
      <w:r>
        <w:rPr>
          <w:rFonts w:hint="eastAsia" w:ascii="仿宋" w:hAnsi="仿宋" w:eastAsia="仿宋"/>
          <w:sz w:val="21"/>
        </w:rPr>
        <w:t>1、以上内容为实质性响应内容，投标人漏写或者错写，将导致被否决投标。</w:t>
      </w:r>
    </w:p>
    <w:p>
      <w:pPr>
        <w:pStyle w:val="32"/>
        <w:ind w:firstLine="420"/>
        <w:rPr>
          <w:rFonts w:hint="eastAsia" w:ascii="仿宋" w:hAnsi="仿宋" w:eastAsia="仿宋"/>
          <w:sz w:val="21"/>
        </w:rPr>
      </w:pPr>
      <w:r>
        <w:rPr>
          <w:rFonts w:hint="eastAsia" w:ascii="仿宋" w:hAnsi="仿宋" w:eastAsia="仿宋"/>
          <w:sz w:val="21"/>
        </w:rPr>
        <w:t>2、本项目设置最高投标限价。</w:t>
      </w:r>
      <w:r>
        <w:rPr>
          <w:rFonts w:hint="eastAsia" w:ascii="仿宋" w:hAnsi="仿宋" w:eastAsia="仿宋"/>
          <w:b/>
          <w:bCs/>
          <w:sz w:val="21"/>
          <w:u w:val="single"/>
        </w:rPr>
        <w:t>项目总价最高限价为1,982,000.00元人民币（含税），其中“网络安全风险排查服务”最高限价为181,300.00元（含税）。如投标人所报价格高于最高投标限价的，其投标将被否决</w:t>
      </w:r>
      <w:r>
        <w:rPr>
          <w:rFonts w:hint="eastAsia" w:ascii="仿宋" w:hAnsi="仿宋" w:eastAsia="仿宋"/>
          <w:b/>
          <w:bCs/>
          <w:sz w:val="21"/>
        </w:rPr>
        <w:t>。</w:t>
      </w:r>
      <w:r>
        <w:rPr>
          <w:rFonts w:hint="eastAsia" w:ascii="仿宋" w:hAnsi="仿宋" w:eastAsia="仿宋"/>
          <w:sz w:val="21"/>
        </w:rPr>
        <w:t>如投标人所报价格高于最高投标限价的，其投标将被否决。</w:t>
      </w:r>
    </w:p>
    <w:p>
      <w:pPr>
        <w:pStyle w:val="32"/>
        <w:ind w:firstLine="420"/>
        <w:rPr>
          <w:rFonts w:hint="eastAsia" w:ascii="仿宋" w:hAnsi="仿宋" w:eastAsia="仿宋"/>
          <w:sz w:val="21"/>
        </w:rPr>
      </w:pPr>
      <w:r>
        <w:rPr>
          <w:rFonts w:hint="eastAsia" w:ascii="仿宋" w:hAnsi="仿宋" w:eastAsia="仿宋"/>
          <w:sz w:val="21"/>
        </w:rPr>
        <w:t>3、本项目的总报价包括所有材料、人工、利润及相关税费等所有费用。除招标人引起的项目变更外，投标人不得向招标人收取以上报价外的任何费用，如有弄虚作假，则取消投标人本项目投标资格。</w:t>
      </w:r>
    </w:p>
    <w:p>
      <w:pPr>
        <w:pStyle w:val="32"/>
        <w:ind w:firstLine="420"/>
        <w:rPr>
          <w:rFonts w:hint="eastAsia" w:ascii="仿宋" w:hAnsi="仿宋" w:eastAsia="仿宋"/>
          <w:sz w:val="21"/>
        </w:rPr>
      </w:pPr>
      <w:r>
        <w:rPr>
          <w:rFonts w:hint="eastAsia" w:ascii="仿宋" w:hAnsi="仿宋" w:eastAsia="仿宋"/>
          <w:sz w:val="21"/>
        </w:rPr>
        <w:t>4、构成本项目报价的各个子表相互关联，互为说明；如存在不一致时，将按照以下原则进行修正：</w:t>
      </w:r>
    </w:p>
    <w:p>
      <w:pPr>
        <w:pStyle w:val="32"/>
        <w:ind w:firstLine="420"/>
        <w:rPr>
          <w:rFonts w:hint="eastAsia" w:ascii="仿宋" w:hAnsi="仿宋" w:eastAsia="仿宋"/>
          <w:sz w:val="21"/>
        </w:rPr>
      </w:pPr>
      <w:r>
        <w:rPr>
          <w:rFonts w:hint="eastAsia" w:ascii="仿宋" w:hAnsi="仿宋" w:eastAsia="仿宋"/>
          <w:sz w:val="21"/>
        </w:rPr>
        <w:t>（1）总价金额与根据单项金额累计合计的结果不一致的，以单项金额为准修正总价；</w:t>
      </w:r>
    </w:p>
    <w:p>
      <w:pPr>
        <w:pStyle w:val="32"/>
        <w:ind w:firstLine="420"/>
        <w:rPr>
          <w:rFonts w:hint="eastAsia" w:ascii="仿宋" w:hAnsi="仿宋" w:eastAsia="仿宋"/>
          <w:sz w:val="21"/>
        </w:rPr>
      </w:pPr>
      <w:r>
        <w:rPr>
          <w:rFonts w:hint="eastAsia" w:ascii="仿宋" w:hAnsi="仿宋" w:eastAsia="仿宋"/>
          <w:sz w:val="21"/>
        </w:rPr>
        <w:t>（2）总表价格与各分项子表汇总价格不一致的，以各分项子表价格金额为准修正总表价格。</w:t>
      </w:r>
    </w:p>
    <w:p>
      <w:pPr>
        <w:pStyle w:val="32"/>
        <w:ind w:firstLine="420"/>
        <w:rPr>
          <w:rFonts w:hint="eastAsia" w:ascii="仿宋" w:hAnsi="仿宋" w:eastAsia="仿宋"/>
          <w:sz w:val="21"/>
        </w:rPr>
      </w:pPr>
      <w:r>
        <w:rPr>
          <w:rFonts w:hint="eastAsia" w:ascii="仿宋" w:hAnsi="仿宋" w:eastAsia="仿宋"/>
          <w:sz w:val="21"/>
        </w:rPr>
        <w:t>5、投标人含税总价将作为价格分评审依据。</w:t>
      </w:r>
    </w:p>
    <w:p>
      <w:pPr>
        <w:pStyle w:val="32"/>
        <w:ind w:firstLine="420"/>
        <w:rPr>
          <w:rFonts w:hint="eastAsia" w:ascii="仿宋" w:hAnsi="仿宋" w:eastAsia="仿宋"/>
          <w:sz w:val="21"/>
        </w:rPr>
      </w:pPr>
      <w:r>
        <w:rPr>
          <w:rFonts w:hint="eastAsia" w:ascii="仿宋" w:hAnsi="仿宋" w:eastAsia="仿宋"/>
          <w:sz w:val="21"/>
        </w:rPr>
        <w:t>6、本次报价精确到小数点后两位（四舍五入）。</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pPr>
        <w:pStyle w:val="32"/>
        <w:ind w:firstLine="420"/>
        <w:rPr>
          <w:rFonts w:hint="eastAsia" w:ascii="仿宋" w:hAnsi="仿宋" w:eastAsia="仿宋"/>
          <w:sz w:val="21"/>
        </w:rPr>
      </w:pPr>
      <w:r>
        <w:rPr>
          <w:rFonts w:hint="eastAsia" w:ascii="仿宋" w:hAnsi="仿宋" w:eastAsia="仿宋"/>
          <w:sz w:val="21"/>
        </w:rPr>
        <w:t>法定代表人（负责人）或者其委托代理人：</w:t>
      </w:r>
      <w:r>
        <w:rPr>
          <w:rFonts w:hint="eastAsia" w:ascii="仿宋" w:hAnsi="仿宋" w:eastAsia="仿宋"/>
          <w:sz w:val="21"/>
          <w:u w:val="single"/>
        </w:rPr>
        <w:t xml:space="preserve">            </w:t>
      </w:r>
      <w:r>
        <w:rPr>
          <w:rFonts w:hint="eastAsia" w:ascii="仿宋" w:hAnsi="仿宋" w:eastAsia="仿宋"/>
          <w:sz w:val="21"/>
        </w:rPr>
        <w:t>（签字或盖章）</w:t>
      </w:r>
    </w:p>
    <w:p>
      <w:pPr>
        <w:pStyle w:val="32"/>
        <w:ind w:firstLine="420"/>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98" w:name="_Toc193699408"/>
      <w:r>
        <w:rPr>
          <w:rFonts w:hint="eastAsia" w:ascii="仿宋" w:hAnsi="仿宋" w:eastAsia="仿宋"/>
          <w:sz w:val="28"/>
          <w:szCs w:val="28"/>
        </w:rPr>
        <w:t>3.</w:t>
      </w:r>
      <w:r>
        <w:rPr>
          <w:rFonts w:hint="eastAsia" w:ascii="仿宋" w:hAnsi="仿宋" w:eastAsia="仿宋"/>
          <w:sz w:val="28"/>
          <w:szCs w:val="28"/>
        </w:rPr>
        <w:tab/>
      </w:r>
      <w:r>
        <w:rPr>
          <w:rFonts w:hint="eastAsia" w:ascii="仿宋" w:hAnsi="仿宋" w:eastAsia="仿宋"/>
          <w:sz w:val="28"/>
          <w:szCs w:val="28"/>
        </w:rPr>
        <w:t>分项报价表</w:t>
      </w:r>
      <w:bookmarkEnd w:id="198"/>
    </w:p>
    <w:p>
      <w:pPr>
        <w:spacing w:line="360" w:lineRule="auto"/>
        <w:jc w:val="center"/>
        <w:rPr>
          <w:rFonts w:hint="eastAsia" w:ascii="仿宋" w:hAnsi="仿宋" w:eastAsia="仿宋"/>
          <w:b/>
          <w:sz w:val="28"/>
          <w:szCs w:val="28"/>
        </w:rPr>
      </w:pPr>
      <w:r>
        <w:rPr>
          <w:rFonts w:hint="eastAsia" w:ascii="仿宋" w:hAnsi="仿宋" w:eastAsia="仿宋"/>
          <w:b/>
          <w:sz w:val="28"/>
          <w:szCs w:val="28"/>
        </w:rPr>
        <w:t>分项报价表</w:t>
      </w:r>
    </w:p>
    <w:p>
      <w:pPr>
        <w:pStyle w:val="32"/>
        <w:ind w:firstLineChars="95"/>
        <w:rPr>
          <w:rFonts w:hint="eastAsia" w:ascii="仿宋" w:hAnsi="仿宋" w:eastAsia="仿宋"/>
          <w:b/>
          <w:bCs/>
          <w:sz w:val="21"/>
        </w:rPr>
      </w:pPr>
      <w:r>
        <w:rPr>
          <w:rFonts w:hint="eastAsia" w:ascii="仿宋" w:hAnsi="仿宋" w:eastAsia="仿宋"/>
          <w:b/>
          <w:bCs/>
          <w:sz w:val="21"/>
        </w:rPr>
        <w:t>项目编号：WJS-202503140012</w:t>
      </w:r>
    </w:p>
    <w:p>
      <w:pPr>
        <w:pStyle w:val="32"/>
        <w:ind w:firstLineChars="95"/>
        <w:rPr>
          <w:rFonts w:hint="eastAsia" w:ascii="仿宋" w:hAnsi="仿宋" w:eastAsia="仿宋"/>
          <w:b/>
          <w:bCs/>
          <w:sz w:val="21"/>
        </w:rPr>
      </w:pPr>
      <w:r>
        <w:rPr>
          <w:rFonts w:hint="eastAsia" w:ascii="仿宋" w:hAnsi="仿宋" w:eastAsia="仿宋"/>
          <w:b/>
          <w:bCs/>
          <w:sz w:val="21"/>
        </w:rPr>
        <w:t>项目名称：2025年度网络安全建设和服务项目</w:t>
      </w:r>
    </w:p>
    <w:tbl>
      <w:tblPr>
        <w:tblStyle w:val="24"/>
        <w:tblW w:w="58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8"/>
        <w:gridCol w:w="1893"/>
        <w:gridCol w:w="1879"/>
        <w:gridCol w:w="72"/>
        <w:gridCol w:w="945"/>
        <w:gridCol w:w="14"/>
        <w:gridCol w:w="863"/>
        <w:gridCol w:w="10"/>
        <w:gridCol w:w="1600"/>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000" w:type="pct"/>
            <w:gridSpan w:val="11"/>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一、货物部分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61" w:type="pct"/>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947" w:type="pct"/>
            <w:gridSpan w:val="2"/>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报价细项</w:t>
            </w:r>
          </w:p>
        </w:tc>
        <w:tc>
          <w:tcPr>
            <w:tcW w:w="936" w:type="pct"/>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内容描述</w:t>
            </w:r>
          </w:p>
        </w:tc>
        <w:tc>
          <w:tcPr>
            <w:tcW w:w="507" w:type="pct"/>
            <w:gridSpan w:val="2"/>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数量</w:t>
            </w:r>
          </w:p>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单位</w:t>
            </w:r>
          </w:p>
        </w:tc>
        <w:tc>
          <w:tcPr>
            <w:tcW w:w="437" w:type="pct"/>
            <w:gridSpan w:val="2"/>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数量</w:t>
            </w:r>
          </w:p>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A</w:t>
            </w:r>
          </w:p>
        </w:tc>
        <w:tc>
          <w:tcPr>
            <w:tcW w:w="802" w:type="pct"/>
            <w:gridSpan w:val="2"/>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含税单价（元）B</w:t>
            </w:r>
          </w:p>
        </w:tc>
        <w:tc>
          <w:tcPr>
            <w:tcW w:w="1010" w:type="pct"/>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含税报价 小计（元）A×B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61" w:type="pct"/>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947" w:type="pct"/>
            <w:gridSpan w:val="2"/>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c>
          <w:tcPr>
            <w:tcW w:w="936"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c>
          <w:tcPr>
            <w:tcW w:w="507" w:type="pct"/>
            <w:gridSpan w:val="2"/>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c>
          <w:tcPr>
            <w:tcW w:w="437" w:type="pct"/>
            <w:gridSpan w:val="2"/>
            <w:vAlign w:val="center"/>
          </w:tcPr>
          <w:p>
            <w:pPr>
              <w:autoSpaceDE w:val="0"/>
              <w:autoSpaceDN w:val="0"/>
              <w:spacing w:before="62" w:beforeLines="20" w:after="62" w:afterLines="20"/>
              <w:jc w:val="center"/>
              <w:rPr>
                <w:rFonts w:hint="eastAsia" w:ascii="仿宋" w:hAnsi="仿宋" w:eastAsia="仿宋" w:cs="宋体"/>
                <w:szCs w:val="21"/>
              </w:rPr>
            </w:pPr>
          </w:p>
        </w:tc>
        <w:tc>
          <w:tcPr>
            <w:tcW w:w="802" w:type="pct"/>
            <w:gridSpan w:val="2"/>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填写小写金额</w:t>
            </w:r>
          </w:p>
        </w:tc>
        <w:tc>
          <w:tcPr>
            <w:tcW w:w="1010"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填写小写金额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61" w:type="pct"/>
            <w:vAlign w:val="center"/>
          </w:tcPr>
          <w:p>
            <w:pPr>
              <w:autoSpaceDE w:val="0"/>
              <w:autoSpaceDN w:val="0"/>
              <w:spacing w:before="62" w:beforeLines="20" w:after="62" w:afterLines="20"/>
              <w:jc w:val="center"/>
              <w:rPr>
                <w:rFonts w:hint="eastAsia" w:ascii="仿宋" w:hAnsi="仿宋" w:eastAsia="仿宋" w:cs="宋体"/>
                <w:szCs w:val="21"/>
              </w:rPr>
            </w:pPr>
          </w:p>
        </w:tc>
        <w:tc>
          <w:tcPr>
            <w:tcW w:w="947" w:type="pct"/>
            <w:gridSpan w:val="2"/>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c>
          <w:tcPr>
            <w:tcW w:w="936"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c>
          <w:tcPr>
            <w:tcW w:w="507" w:type="pct"/>
            <w:gridSpan w:val="2"/>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c>
          <w:tcPr>
            <w:tcW w:w="437" w:type="pct"/>
            <w:gridSpan w:val="2"/>
            <w:vAlign w:val="center"/>
          </w:tcPr>
          <w:p>
            <w:pPr>
              <w:autoSpaceDE w:val="0"/>
              <w:autoSpaceDN w:val="0"/>
              <w:spacing w:before="62" w:beforeLines="20" w:after="62" w:afterLines="20"/>
              <w:jc w:val="center"/>
              <w:rPr>
                <w:rFonts w:hint="eastAsia" w:ascii="仿宋" w:hAnsi="仿宋" w:eastAsia="仿宋" w:cs="宋体"/>
                <w:szCs w:val="21"/>
              </w:rPr>
            </w:pPr>
          </w:p>
        </w:tc>
        <w:tc>
          <w:tcPr>
            <w:tcW w:w="802" w:type="pct"/>
            <w:gridSpan w:val="2"/>
            <w:vAlign w:val="center"/>
          </w:tcPr>
          <w:p>
            <w:pPr>
              <w:autoSpaceDE w:val="0"/>
              <w:autoSpaceDN w:val="0"/>
              <w:spacing w:before="62" w:beforeLines="20" w:after="62" w:afterLines="20"/>
              <w:jc w:val="center"/>
              <w:rPr>
                <w:rFonts w:hint="eastAsia" w:ascii="仿宋" w:hAnsi="仿宋" w:eastAsia="仿宋" w:cs="宋体"/>
                <w:szCs w:val="21"/>
              </w:rPr>
            </w:pPr>
          </w:p>
        </w:tc>
        <w:tc>
          <w:tcPr>
            <w:tcW w:w="1010"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61" w:type="pct"/>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947" w:type="pct"/>
            <w:gridSpan w:val="2"/>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936"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c>
          <w:tcPr>
            <w:tcW w:w="507" w:type="pct"/>
            <w:gridSpan w:val="2"/>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c>
          <w:tcPr>
            <w:tcW w:w="437" w:type="pct"/>
            <w:gridSpan w:val="2"/>
            <w:vAlign w:val="center"/>
          </w:tcPr>
          <w:p>
            <w:pPr>
              <w:autoSpaceDE w:val="0"/>
              <w:autoSpaceDN w:val="0"/>
              <w:spacing w:before="62" w:beforeLines="20" w:after="62" w:afterLines="20"/>
              <w:jc w:val="center"/>
              <w:rPr>
                <w:rFonts w:hint="eastAsia" w:ascii="仿宋" w:hAnsi="仿宋" w:eastAsia="仿宋" w:cs="宋体"/>
                <w:szCs w:val="21"/>
              </w:rPr>
            </w:pPr>
          </w:p>
        </w:tc>
        <w:tc>
          <w:tcPr>
            <w:tcW w:w="802" w:type="pct"/>
            <w:gridSpan w:val="2"/>
            <w:vAlign w:val="center"/>
          </w:tcPr>
          <w:p>
            <w:pPr>
              <w:autoSpaceDE w:val="0"/>
              <w:autoSpaceDN w:val="0"/>
              <w:spacing w:before="62" w:beforeLines="20" w:after="62" w:afterLines="20"/>
              <w:jc w:val="center"/>
              <w:rPr>
                <w:rFonts w:hint="eastAsia" w:ascii="仿宋" w:hAnsi="仿宋" w:eastAsia="仿宋" w:cs="宋体"/>
                <w:szCs w:val="21"/>
              </w:rPr>
            </w:pPr>
          </w:p>
        </w:tc>
        <w:tc>
          <w:tcPr>
            <w:tcW w:w="1010"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990" w:type="pct"/>
            <w:gridSpan w:val="10"/>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b/>
                <w:bCs/>
                <w:szCs w:val="21"/>
              </w:rPr>
              <w:t>含税价格 小计1</w:t>
            </w:r>
            <w:r>
              <w:rPr>
                <w:rFonts w:hint="eastAsia" w:ascii="仿宋" w:hAnsi="仿宋" w:eastAsia="仿宋"/>
                <w:b/>
                <w:bCs/>
              </w:rPr>
              <w:t>（元）</w:t>
            </w:r>
          </w:p>
        </w:tc>
        <w:tc>
          <w:tcPr>
            <w:tcW w:w="1010"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00" w:type="pct"/>
            <w:gridSpan w:val="11"/>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b/>
                <w:bCs/>
              </w:rPr>
              <w:t>二、服务部分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65" w:type="pct"/>
            <w:gridSpan w:val="2"/>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b/>
                <w:bCs/>
              </w:rPr>
            </w:pPr>
            <w:r>
              <w:rPr>
                <w:rFonts w:hint="eastAsia" w:ascii="仿宋" w:hAnsi="仿宋" w:eastAsia="仿宋" w:cs="宋体"/>
                <w:b/>
                <w:bCs/>
                <w:szCs w:val="21"/>
              </w:rPr>
              <w:t>序号</w:t>
            </w:r>
          </w:p>
        </w:tc>
        <w:tc>
          <w:tcPr>
            <w:tcW w:w="943" w:type="pct"/>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b/>
                <w:bCs/>
              </w:rPr>
            </w:pPr>
            <w:r>
              <w:rPr>
                <w:rFonts w:hint="eastAsia" w:ascii="仿宋" w:hAnsi="仿宋" w:eastAsia="仿宋" w:cs="宋体"/>
                <w:b/>
                <w:bCs/>
                <w:szCs w:val="21"/>
              </w:rPr>
              <w:t>报价细项</w:t>
            </w:r>
          </w:p>
        </w:tc>
        <w:tc>
          <w:tcPr>
            <w:tcW w:w="972" w:type="pct"/>
            <w:gridSpan w:val="2"/>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b/>
                <w:bCs/>
              </w:rPr>
            </w:pPr>
            <w:r>
              <w:rPr>
                <w:rFonts w:hint="eastAsia" w:ascii="仿宋" w:hAnsi="仿宋" w:eastAsia="仿宋" w:cs="宋体"/>
                <w:b/>
                <w:bCs/>
                <w:szCs w:val="21"/>
              </w:rPr>
              <w:t>内容描述</w:t>
            </w:r>
          </w:p>
        </w:tc>
        <w:tc>
          <w:tcPr>
            <w:tcW w:w="478" w:type="pct"/>
            <w:gridSpan w:val="2"/>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数量</w:t>
            </w:r>
          </w:p>
          <w:p>
            <w:pPr>
              <w:autoSpaceDE w:val="0"/>
              <w:autoSpaceDN w:val="0"/>
              <w:spacing w:before="62" w:beforeLines="20" w:after="62" w:afterLines="20"/>
              <w:jc w:val="center"/>
              <w:rPr>
                <w:rFonts w:hint="eastAsia" w:ascii="仿宋" w:hAnsi="仿宋" w:eastAsia="仿宋"/>
                <w:b/>
                <w:bCs/>
              </w:rPr>
            </w:pPr>
            <w:r>
              <w:rPr>
                <w:rFonts w:hint="eastAsia" w:ascii="仿宋" w:hAnsi="仿宋" w:eastAsia="仿宋" w:cs="宋体"/>
                <w:b/>
                <w:bCs/>
                <w:szCs w:val="21"/>
              </w:rPr>
              <w:t>单位</w:t>
            </w:r>
          </w:p>
        </w:tc>
        <w:tc>
          <w:tcPr>
            <w:tcW w:w="435" w:type="pct"/>
            <w:gridSpan w:val="2"/>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数量</w:t>
            </w:r>
          </w:p>
          <w:p>
            <w:pPr>
              <w:autoSpaceDE w:val="0"/>
              <w:autoSpaceDN w:val="0"/>
              <w:spacing w:before="62" w:beforeLines="20" w:after="62" w:afterLines="20"/>
              <w:jc w:val="center"/>
              <w:rPr>
                <w:rFonts w:hint="eastAsia" w:ascii="仿宋" w:hAnsi="仿宋" w:eastAsia="仿宋"/>
                <w:b/>
                <w:bCs/>
              </w:rPr>
            </w:pPr>
            <w:r>
              <w:rPr>
                <w:rFonts w:hint="eastAsia" w:ascii="仿宋" w:hAnsi="仿宋" w:eastAsia="仿宋" w:cs="宋体"/>
                <w:b/>
                <w:bCs/>
                <w:szCs w:val="21"/>
              </w:rPr>
              <w:t>A</w:t>
            </w:r>
          </w:p>
        </w:tc>
        <w:tc>
          <w:tcPr>
            <w:tcW w:w="797" w:type="pct"/>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b/>
                <w:bCs/>
              </w:rPr>
            </w:pPr>
            <w:r>
              <w:rPr>
                <w:rFonts w:hint="eastAsia" w:ascii="仿宋" w:hAnsi="仿宋" w:eastAsia="仿宋" w:cs="宋体"/>
                <w:b/>
                <w:bCs/>
                <w:szCs w:val="21"/>
              </w:rPr>
              <w:t>含税单价（元）B</w:t>
            </w:r>
          </w:p>
        </w:tc>
        <w:tc>
          <w:tcPr>
            <w:tcW w:w="1010" w:type="pct"/>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b/>
                <w:bCs/>
                <w:szCs w:val="21"/>
              </w:rPr>
              <w:t>含税报价 小计（元）A×B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65" w:type="pct"/>
            <w:gridSpan w:val="2"/>
            <w:shd w:val="clear" w:color="auto" w:fill="auto"/>
            <w:vAlign w:val="center"/>
          </w:tcPr>
          <w:p>
            <w:pPr>
              <w:autoSpaceDE w:val="0"/>
              <w:autoSpaceDN w:val="0"/>
              <w:spacing w:before="62" w:beforeLines="20" w:after="62" w:afterLines="20"/>
              <w:jc w:val="center"/>
              <w:rPr>
                <w:rFonts w:hint="eastAsia" w:ascii="仿宋" w:hAnsi="仿宋" w:eastAsia="仿宋"/>
              </w:rPr>
            </w:pPr>
            <w:r>
              <w:rPr>
                <w:rFonts w:hint="eastAsia" w:ascii="仿宋" w:hAnsi="仿宋" w:eastAsia="仿宋"/>
              </w:rPr>
              <w:t>1</w:t>
            </w:r>
          </w:p>
        </w:tc>
        <w:tc>
          <w:tcPr>
            <w:tcW w:w="943" w:type="pct"/>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972" w:type="pct"/>
            <w:gridSpan w:val="2"/>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478" w:type="pct"/>
            <w:gridSpan w:val="2"/>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435" w:type="pct"/>
            <w:gridSpan w:val="2"/>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797" w:type="pct"/>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1010"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65" w:type="pct"/>
            <w:gridSpan w:val="2"/>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943" w:type="pct"/>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972" w:type="pct"/>
            <w:gridSpan w:val="2"/>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478" w:type="pct"/>
            <w:gridSpan w:val="2"/>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435" w:type="pct"/>
            <w:gridSpan w:val="2"/>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797" w:type="pct"/>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1010"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65" w:type="pct"/>
            <w:gridSpan w:val="2"/>
            <w:shd w:val="clear" w:color="auto" w:fill="auto"/>
            <w:vAlign w:val="center"/>
          </w:tcPr>
          <w:p>
            <w:pPr>
              <w:autoSpaceDE w:val="0"/>
              <w:autoSpaceDN w:val="0"/>
              <w:spacing w:before="62" w:beforeLines="20" w:after="62" w:afterLines="20"/>
              <w:jc w:val="center"/>
              <w:rPr>
                <w:rFonts w:hint="eastAsia" w:ascii="仿宋" w:hAnsi="仿宋" w:eastAsia="仿宋"/>
                <w:b/>
                <w:bCs/>
              </w:rPr>
            </w:pPr>
            <w:r>
              <w:rPr>
                <w:rFonts w:hint="eastAsia" w:ascii="仿宋" w:hAnsi="仿宋" w:eastAsia="仿宋"/>
                <w:b/>
                <w:bCs/>
              </w:rPr>
              <w:t>……</w:t>
            </w:r>
          </w:p>
        </w:tc>
        <w:tc>
          <w:tcPr>
            <w:tcW w:w="943" w:type="pct"/>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972" w:type="pct"/>
            <w:gridSpan w:val="2"/>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478" w:type="pct"/>
            <w:gridSpan w:val="2"/>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435" w:type="pct"/>
            <w:gridSpan w:val="2"/>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797" w:type="pct"/>
            <w:shd w:val="clear" w:color="auto" w:fill="auto"/>
            <w:vAlign w:val="center"/>
          </w:tcPr>
          <w:p>
            <w:pPr>
              <w:autoSpaceDE w:val="0"/>
              <w:autoSpaceDN w:val="0"/>
              <w:spacing w:before="62" w:beforeLines="20" w:after="62" w:afterLines="20"/>
              <w:jc w:val="center"/>
              <w:rPr>
                <w:rFonts w:hint="eastAsia" w:ascii="仿宋" w:hAnsi="仿宋" w:eastAsia="仿宋"/>
                <w:b/>
                <w:bCs/>
              </w:rPr>
            </w:pPr>
          </w:p>
        </w:tc>
        <w:tc>
          <w:tcPr>
            <w:tcW w:w="1010"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990" w:type="pct"/>
            <w:gridSpan w:val="10"/>
            <w:shd w:val="clear" w:color="auto" w:fill="auto"/>
            <w:vAlign w:val="center"/>
          </w:tcPr>
          <w:p>
            <w:pPr>
              <w:autoSpaceDE w:val="0"/>
              <w:autoSpaceDN w:val="0"/>
              <w:spacing w:before="62" w:beforeLines="20" w:after="62" w:afterLines="20"/>
              <w:jc w:val="center"/>
              <w:rPr>
                <w:rFonts w:hint="eastAsia" w:ascii="仿宋" w:hAnsi="仿宋" w:eastAsia="仿宋"/>
                <w:b/>
                <w:bCs/>
              </w:rPr>
            </w:pPr>
            <w:r>
              <w:rPr>
                <w:rFonts w:hint="eastAsia" w:ascii="仿宋" w:hAnsi="仿宋" w:eastAsia="仿宋" w:cs="宋体"/>
                <w:b/>
                <w:bCs/>
                <w:szCs w:val="21"/>
              </w:rPr>
              <w:t>含税价格 小计2</w:t>
            </w:r>
            <w:r>
              <w:rPr>
                <w:rFonts w:hint="eastAsia" w:ascii="仿宋" w:hAnsi="仿宋" w:eastAsia="仿宋"/>
                <w:b/>
                <w:bCs/>
              </w:rPr>
              <w:t>（元）</w:t>
            </w:r>
          </w:p>
        </w:tc>
        <w:tc>
          <w:tcPr>
            <w:tcW w:w="1010"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990" w:type="pct"/>
            <w:gridSpan w:val="10"/>
            <w:shd w:val="clear" w:color="auto" w:fill="auto"/>
            <w:vAlign w:val="center"/>
          </w:tcPr>
          <w:p>
            <w:pPr>
              <w:autoSpaceDE w:val="0"/>
              <w:autoSpaceDN w:val="0"/>
              <w:spacing w:before="62" w:beforeLines="20" w:after="62" w:afterLines="20"/>
              <w:jc w:val="center"/>
              <w:rPr>
                <w:rFonts w:hint="eastAsia" w:ascii="仿宋" w:hAnsi="仿宋" w:eastAsia="仿宋"/>
                <w:b/>
                <w:bCs/>
              </w:rPr>
            </w:pPr>
            <w:r>
              <w:rPr>
                <w:rFonts w:hint="eastAsia" w:ascii="仿宋" w:hAnsi="仿宋" w:eastAsia="仿宋"/>
                <w:b/>
                <w:bCs/>
              </w:rPr>
              <w:t>合计 含税总价（1+2）（元）</w:t>
            </w:r>
          </w:p>
        </w:tc>
        <w:tc>
          <w:tcPr>
            <w:tcW w:w="1010" w:type="pct"/>
            <w:shd w:val="clear" w:color="auto" w:fill="auto"/>
            <w:vAlign w:val="center"/>
          </w:tcPr>
          <w:p>
            <w:pPr>
              <w:autoSpaceDE w:val="0"/>
              <w:autoSpaceDN w:val="0"/>
              <w:spacing w:before="62" w:beforeLines="20" w:after="62" w:afterLines="20"/>
              <w:jc w:val="center"/>
              <w:rPr>
                <w:rFonts w:hint="eastAsia" w:ascii="仿宋" w:hAnsi="仿宋" w:eastAsia="仿宋" w:cs="宋体"/>
                <w:szCs w:val="21"/>
              </w:rPr>
            </w:pPr>
          </w:p>
        </w:tc>
      </w:tr>
    </w:tbl>
    <w:p>
      <w:pPr>
        <w:pStyle w:val="32"/>
        <w:ind w:firstLine="0" w:firstLineChars="0"/>
        <w:rPr>
          <w:rFonts w:hint="eastAsia" w:ascii="仿宋" w:hAnsi="仿宋" w:eastAsia="仿宋"/>
          <w:sz w:val="21"/>
        </w:rPr>
      </w:pPr>
      <w:r>
        <w:rPr>
          <w:rFonts w:hint="eastAsia" w:ascii="仿宋" w:hAnsi="仿宋" w:eastAsia="仿宋"/>
          <w:sz w:val="21"/>
        </w:rPr>
        <w:t>说明：</w:t>
      </w:r>
    </w:p>
    <w:p>
      <w:pPr>
        <w:pStyle w:val="32"/>
        <w:ind w:firstLine="420"/>
        <w:rPr>
          <w:rFonts w:hint="eastAsia" w:ascii="仿宋" w:hAnsi="仿宋" w:eastAsia="仿宋"/>
          <w:sz w:val="21"/>
        </w:rPr>
      </w:pPr>
      <w:r>
        <w:rPr>
          <w:rFonts w:hint="eastAsia" w:ascii="仿宋" w:hAnsi="仿宋" w:eastAsia="仿宋"/>
          <w:sz w:val="21"/>
        </w:rPr>
        <w:t>1、本报价表是各分项的报价明细。请投标人应按照技术规范书要求，根据自身的服务情况，填写出详细的分项报价清单。投标人可在本表中的适当位置插入行，但不得对本表的格式进行结构性更改。</w:t>
      </w:r>
    </w:p>
    <w:p>
      <w:pPr>
        <w:pStyle w:val="32"/>
        <w:ind w:firstLine="422"/>
        <w:rPr>
          <w:rFonts w:hint="eastAsia" w:ascii="仿宋" w:hAnsi="仿宋" w:eastAsia="仿宋"/>
          <w:b/>
          <w:bCs/>
          <w:sz w:val="21"/>
        </w:rPr>
      </w:pPr>
      <w:r>
        <w:rPr>
          <w:rFonts w:hint="eastAsia" w:ascii="仿宋" w:hAnsi="仿宋" w:eastAsia="仿宋"/>
          <w:b/>
          <w:bCs/>
          <w:sz w:val="21"/>
        </w:rPr>
        <w:t>2、本表的“服务部分”，必须包含“网络安全风险排查服务”该项报价，其服务要求详见“第三章 采购需求书”-“一、项目需求清单”的第7项。</w:t>
      </w:r>
      <w:r>
        <w:rPr>
          <w:rFonts w:hint="eastAsia" w:ascii="仿宋" w:hAnsi="仿宋" w:eastAsia="仿宋"/>
          <w:b/>
          <w:bCs/>
          <w:sz w:val="21"/>
          <w:u w:val="single"/>
        </w:rPr>
        <w:t>本报价细项最高限价为181,300.00元（含税）。如投标人所报价格高于最高投标限价的，其投标将被否决</w:t>
      </w:r>
      <w:r>
        <w:rPr>
          <w:rFonts w:hint="eastAsia" w:ascii="仿宋" w:hAnsi="仿宋" w:eastAsia="仿宋"/>
          <w:b/>
          <w:bCs/>
          <w:sz w:val="21"/>
        </w:rPr>
        <w:t>。</w:t>
      </w:r>
    </w:p>
    <w:p>
      <w:pPr>
        <w:pStyle w:val="32"/>
        <w:ind w:firstLine="420"/>
        <w:rPr>
          <w:rFonts w:hint="eastAsia" w:ascii="仿宋" w:hAnsi="仿宋" w:eastAsia="仿宋"/>
          <w:sz w:val="21"/>
        </w:rPr>
      </w:pPr>
      <w:r>
        <w:rPr>
          <w:rFonts w:hint="eastAsia" w:ascii="仿宋" w:hAnsi="仿宋" w:eastAsia="仿宋"/>
          <w:sz w:val="21"/>
        </w:rPr>
        <w:t>3、本表中，“合计含税总价”的价格应与《报价一览表》中对应的含税总报价一致，均不得超出最高限价。</w:t>
      </w:r>
    </w:p>
    <w:p>
      <w:pPr>
        <w:pStyle w:val="32"/>
        <w:ind w:firstLine="420"/>
        <w:rPr>
          <w:rFonts w:hint="eastAsia" w:ascii="仿宋" w:hAnsi="仿宋" w:eastAsia="仿宋"/>
          <w:sz w:val="21"/>
        </w:rPr>
      </w:pPr>
      <w:r>
        <w:rPr>
          <w:rFonts w:hint="eastAsia" w:ascii="仿宋" w:hAnsi="仿宋" w:eastAsia="仿宋"/>
          <w:sz w:val="21"/>
        </w:rPr>
        <w:t>4、投标报价为投标人最终的投标报价，包含《第三章 采购需求书》所述服务需要的全部费用。如果投标人在中标并签署合同后，在项目实施过程中出现任何遗漏，均由中标单位免费提供，招标人将不再支付任何费用。</w:t>
      </w:r>
    </w:p>
    <w:p>
      <w:pPr>
        <w:pStyle w:val="32"/>
        <w:ind w:firstLine="420"/>
        <w:rPr>
          <w:rFonts w:hint="eastAsia" w:ascii="仿宋" w:hAnsi="仿宋" w:eastAsia="仿宋"/>
          <w:sz w:val="21"/>
        </w:rPr>
      </w:pPr>
      <w:r>
        <w:rPr>
          <w:rFonts w:hint="eastAsia" w:ascii="仿宋" w:hAnsi="仿宋" w:eastAsia="仿宋"/>
          <w:sz w:val="21"/>
        </w:rPr>
        <w:t>5、本表中，报价项精确到小数点后两位（四舍五入）。</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pPr>
        <w:pStyle w:val="32"/>
        <w:ind w:firstLine="420"/>
        <w:rPr>
          <w:rFonts w:hint="eastAsia" w:ascii="仿宋" w:hAnsi="仿宋" w:eastAsia="仿宋"/>
          <w:sz w:val="21"/>
        </w:rPr>
      </w:pPr>
      <w:r>
        <w:rPr>
          <w:rFonts w:hint="eastAsia" w:ascii="仿宋" w:hAnsi="仿宋" w:eastAsia="仿宋"/>
          <w:sz w:val="21"/>
        </w:rPr>
        <w:t>法定代表人（负责人）或者其委托代理人：</w:t>
      </w:r>
      <w:r>
        <w:rPr>
          <w:rFonts w:hint="eastAsia" w:ascii="仿宋" w:hAnsi="仿宋" w:eastAsia="仿宋"/>
          <w:sz w:val="21"/>
          <w:u w:val="single"/>
        </w:rPr>
        <w:t xml:space="preserve">            </w:t>
      </w:r>
      <w:r>
        <w:rPr>
          <w:rFonts w:hint="eastAsia" w:ascii="仿宋" w:hAnsi="仿宋" w:eastAsia="仿宋"/>
          <w:sz w:val="21"/>
        </w:rPr>
        <w:t>（签字或盖章）</w:t>
      </w:r>
    </w:p>
    <w:p>
      <w:pPr>
        <w:pStyle w:val="32"/>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pPr>
        <w:pStyle w:val="32"/>
        <w:ind w:firstLine="420"/>
        <w:rPr>
          <w:rFonts w:hint="eastAsia" w:ascii="仿宋" w:hAnsi="仿宋" w:eastAsia="仿宋"/>
          <w:sz w:val="21"/>
        </w:rPr>
      </w:pPr>
    </w:p>
    <w:p>
      <w:pPr>
        <w:pStyle w:val="32"/>
        <w:ind w:firstLine="480"/>
      </w:pP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199" w:name="_Toc193699409"/>
      <w:r>
        <w:rPr>
          <w:rFonts w:hint="eastAsia" w:ascii="仿宋" w:hAnsi="仿宋" w:eastAsia="仿宋"/>
          <w:sz w:val="28"/>
          <w:szCs w:val="28"/>
        </w:rPr>
        <w:t>4.</w:t>
      </w:r>
      <w:r>
        <w:rPr>
          <w:rFonts w:hint="eastAsia" w:ascii="仿宋" w:hAnsi="仿宋" w:eastAsia="仿宋"/>
          <w:sz w:val="28"/>
          <w:szCs w:val="28"/>
        </w:rPr>
        <w:tab/>
      </w:r>
      <w:r>
        <w:rPr>
          <w:rFonts w:hint="eastAsia" w:ascii="仿宋" w:hAnsi="仿宋" w:eastAsia="仿宋"/>
          <w:sz w:val="28"/>
          <w:szCs w:val="28"/>
        </w:rPr>
        <w:t>招标代理服务费承诺书</w:t>
      </w:r>
      <w:bookmarkEnd w:id="199"/>
    </w:p>
    <w:p>
      <w:pPr>
        <w:spacing w:line="360" w:lineRule="auto"/>
        <w:jc w:val="center"/>
        <w:rPr>
          <w:rFonts w:hint="eastAsia" w:ascii="仿宋" w:hAnsi="仿宋" w:eastAsia="仿宋"/>
          <w:b/>
          <w:sz w:val="28"/>
          <w:szCs w:val="28"/>
        </w:rPr>
      </w:pPr>
      <w:r>
        <w:rPr>
          <w:rFonts w:hint="eastAsia" w:ascii="仿宋" w:hAnsi="仿宋" w:eastAsia="仿宋"/>
          <w:b/>
          <w:sz w:val="28"/>
          <w:szCs w:val="28"/>
        </w:rPr>
        <w:t>招标代理服务费承诺书</w:t>
      </w:r>
    </w:p>
    <w:p>
      <w:pPr>
        <w:pStyle w:val="32"/>
        <w:ind w:firstLine="0" w:firstLineChars="0"/>
        <w:rPr>
          <w:rFonts w:hint="eastAsia" w:ascii="仿宋" w:hAnsi="仿宋" w:eastAsia="仿宋"/>
          <w:sz w:val="21"/>
        </w:rPr>
      </w:pPr>
      <w:r>
        <w:rPr>
          <w:rFonts w:hint="eastAsia" w:ascii="仿宋" w:hAnsi="仿宋" w:eastAsia="仿宋"/>
          <w:sz w:val="21"/>
        </w:rPr>
        <w:t>致：</w:t>
      </w:r>
      <w:r>
        <w:rPr>
          <w:rFonts w:hint="eastAsia" w:ascii="仿宋" w:hAnsi="仿宋" w:eastAsia="仿宋"/>
          <w:sz w:val="21"/>
          <w:u w:val="single"/>
        </w:rPr>
        <w:t>广东南方报业传媒集团有限公司、广东省南方文化产权交易所股份有限公司</w:t>
      </w:r>
    </w:p>
    <w:p>
      <w:pPr>
        <w:pStyle w:val="32"/>
        <w:ind w:firstLine="420"/>
        <w:rPr>
          <w:rFonts w:hint="eastAsia" w:ascii="仿宋" w:hAnsi="仿宋" w:eastAsia="仿宋"/>
          <w:sz w:val="21"/>
        </w:rPr>
      </w:pPr>
      <w:r>
        <w:rPr>
          <w:rFonts w:hint="eastAsia" w:ascii="仿宋" w:hAnsi="仿宋" w:eastAsia="仿宋"/>
          <w:sz w:val="21"/>
        </w:rPr>
        <w:t>我公司同意招标人不向贵公司支付任何费用，而由中标人向贵公司支付招标代理服务费。我公司承诺如下：</w:t>
      </w:r>
    </w:p>
    <w:p>
      <w:pPr>
        <w:pStyle w:val="32"/>
        <w:ind w:firstLine="420"/>
        <w:rPr>
          <w:rFonts w:hint="eastAsia" w:ascii="仿宋" w:hAnsi="仿宋" w:eastAsia="仿宋"/>
          <w:sz w:val="21"/>
        </w:rPr>
      </w:pPr>
      <w:r>
        <w:rPr>
          <w:rFonts w:hint="eastAsia" w:ascii="仿宋" w:hAnsi="仿宋" w:eastAsia="仿宋"/>
          <w:sz w:val="21"/>
        </w:rPr>
        <w:t>如若我司在</w:t>
      </w:r>
      <w:r>
        <w:rPr>
          <w:rFonts w:hint="eastAsia" w:ascii="仿宋" w:hAnsi="仿宋" w:eastAsia="仿宋"/>
          <w:sz w:val="21"/>
          <w:u w:val="single"/>
        </w:rPr>
        <w:t>广东省南方文化产权交易所股份有限公司</w:t>
      </w:r>
      <w:r>
        <w:rPr>
          <w:rFonts w:hint="eastAsia" w:ascii="仿宋" w:hAnsi="仿宋" w:eastAsia="仿宋"/>
          <w:sz w:val="21"/>
        </w:rPr>
        <w:t>组织的“</w:t>
      </w:r>
      <w:r>
        <w:rPr>
          <w:rFonts w:hint="eastAsia" w:ascii="仿宋" w:hAnsi="仿宋" w:eastAsia="仿宋"/>
          <w:sz w:val="21"/>
          <w:u w:val="single"/>
        </w:rPr>
        <w:t>2025年度网络安全建设和服务项目</w:t>
      </w:r>
      <w:r>
        <w:rPr>
          <w:rFonts w:hint="eastAsia" w:ascii="仿宋" w:hAnsi="仿宋" w:eastAsia="仿宋"/>
          <w:sz w:val="21"/>
        </w:rPr>
        <w:t>（项目编号：</w:t>
      </w:r>
      <w:r>
        <w:rPr>
          <w:rFonts w:hint="eastAsia" w:ascii="仿宋" w:hAnsi="仿宋" w:eastAsia="仿宋"/>
          <w:sz w:val="21"/>
          <w:u w:val="single"/>
        </w:rPr>
        <w:t>WJS-202503140012</w:t>
      </w:r>
      <w:r>
        <w:rPr>
          <w:rFonts w:hint="eastAsia" w:ascii="仿宋" w:hAnsi="仿宋" w:eastAsia="仿宋"/>
          <w:sz w:val="21"/>
        </w:rPr>
        <w:t>）”招标中获中标。我公司保证在贵公司发出中标通知书15天内按以下方式“</w:t>
      </w:r>
      <w:r>
        <w:rPr>
          <w:rFonts w:hint="eastAsia" w:ascii="仿宋" w:hAnsi="仿宋" w:eastAsia="仿宋"/>
          <w:sz w:val="21"/>
          <w:u w:val="single"/>
        </w:rPr>
        <w:t>备注（3）</w:t>
      </w:r>
      <w:r>
        <w:rPr>
          <w:rFonts w:hint="eastAsia" w:ascii="仿宋" w:hAnsi="仿宋" w:eastAsia="仿宋"/>
          <w:sz w:val="21"/>
        </w:rPr>
        <w:t>”向贵公司，即向广东省南方文化产权交易所股份有限公司缴交按招标文件规定的招标代理服务费。</w:t>
      </w:r>
    </w:p>
    <w:p>
      <w:pPr>
        <w:pStyle w:val="32"/>
        <w:ind w:firstLine="420"/>
        <w:rPr>
          <w:rFonts w:hint="eastAsia" w:ascii="仿宋" w:hAnsi="仿宋" w:eastAsia="仿宋"/>
          <w:sz w:val="21"/>
        </w:rPr>
      </w:pPr>
      <w:r>
        <w:rPr>
          <w:rFonts w:hint="eastAsia" w:ascii="仿宋" w:hAnsi="仿宋" w:eastAsia="仿宋"/>
          <w:sz w:val="21"/>
        </w:rPr>
        <w:t>特此承诺！</w:t>
      </w:r>
    </w:p>
    <w:p>
      <w:pPr>
        <w:pStyle w:val="32"/>
        <w:ind w:firstLine="420"/>
        <w:rPr>
          <w:rFonts w:hint="eastAsia" w:ascii="仿宋" w:hAnsi="仿宋" w:eastAsia="仿宋"/>
          <w:sz w:val="21"/>
        </w:rPr>
      </w:pPr>
      <w:r>
        <w:rPr>
          <w:rFonts w:hint="eastAsia" w:ascii="仿宋" w:hAnsi="仿宋" w:eastAsia="仿宋"/>
          <w:sz w:val="21"/>
        </w:rPr>
        <w:t>备注（1）：为保证投标保证金的顺利退还，请准确填写以下信息：</w:t>
      </w:r>
    </w:p>
    <w:tbl>
      <w:tblPr>
        <w:tblStyle w:val="24"/>
        <w:tblW w:w="9184" w:type="dxa"/>
        <w:jc w:val="center"/>
        <w:tblLayout w:type="fixed"/>
        <w:tblCellMar>
          <w:top w:w="0" w:type="dxa"/>
          <w:left w:w="108" w:type="dxa"/>
          <w:bottom w:w="0" w:type="dxa"/>
          <w:right w:w="108" w:type="dxa"/>
        </w:tblCellMar>
      </w:tblPr>
      <w:tblGrid>
        <w:gridCol w:w="1208"/>
        <w:gridCol w:w="4072"/>
        <w:gridCol w:w="3904"/>
      </w:tblGrid>
      <w:tr>
        <w:tblPrEx>
          <w:tblCellMar>
            <w:top w:w="0" w:type="dxa"/>
            <w:left w:w="108" w:type="dxa"/>
            <w:bottom w:w="0" w:type="dxa"/>
            <w:right w:w="108" w:type="dxa"/>
          </w:tblCellMar>
        </w:tblPrEx>
        <w:trPr>
          <w:trHeight w:val="50" w:hRule="atLeast"/>
          <w:jc w:val="center"/>
        </w:trPr>
        <w:tc>
          <w:tcPr>
            <w:tcW w:w="1208"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银行信息</w:t>
            </w:r>
          </w:p>
        </w:tc>
        <w:tc>
          <w:tcPr>
            <w:tcW w:w="4072" w:type="dxa"/>
            <w:tcBorders>
              <w:top w:val="single" w:color="auto" w:sz="4" w:space="0"/>
              <w:left w:val="nil"/>
              <w:bottom w:val="single" w:color="auto" w:sz="4" w:space="0"/>
              <w:right w:val="single" w:color="auto" w:sz="4" w:space="0"/>
            </w:tcBorders>
            <w:shd w:val="clear" w:color="auto" w:fill="F1F1F1" w:themeFill="background1" w:themeFillShade="F2"/>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收款银行信息</w:t>
            </w:r>
          </w:p>
        </w:tc>
        <w:tc>
          <w:tcPr>
            <w:tcW w:w="390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仅限填写投标人银行信息</w:t>
            </w:r>
          </w:p>
        </w:tc>
      </w:tr>
      <w:tr>
        <w:tblPrEx>
          <w:tblCellMar>
            <w:top w:w="0" w:type="dxa"/>
            <w:left w:w="108" w:type="dxa"/>
            <w:bottom w:w="0" w:type="dxa"/>
            <w:right w:w="108" w:type="dxa"/>
          </w:tblCellMar>
        </w:tblPrEx>
        <w:trPr>
          <w:trHeight w:val="50" w:hRule="atLeast"/>
          <w:jc w:val="center"/>
        </w:trPr>
        <w:tc>
          <w:tcPr>
            <w:tcW w:w="1208" w:type="dxa"/>
            <w:tcBorders>
              <w:top w:val="nil"/>
              <w:left w:val="single" w:color="auto" w:sz="4" w:space="0"/>
              <w:bottom w:val="single" w:color="auto" w:sz="4" w:space="0"/>
              <w:right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开 户 名</w:t>
            </w:r>
          </w:p>
        </w:tc>
        <w:tc>
          <w:tcPr>
            <w:tcW w:w="4072" w:type="dxa"/>
            <w:tcBorders>
              <w:top w:val="single" w:color="auto" w:sz="4" w:space="0"/>
              <w:left w:val="nil"/>
              <w:bottom w:val="single" w:color="auto" w:sz="4" w:space="0"/>
              <w:right w:val="single" w:color="auto" w:sz="4" w:space="0"/>
            </w:tcBorders>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广东省南方文化产权交易所股份有限公司</w:t>
            </w:r>
          </w:p>
        </w:tc>
        <w:tc>
          <w:tcPr>
            <w:tcW w:w="39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r>
      <w:tr>
        <w:tblPrEx>
          <w:tblCellMar>
            <w:top w:w="0" w:type="dxa"/>
            <w:left w:w="108" w:type="dxa"/>
            <w:bottom w:w="0" w:type="dxa"/>
            <w:right w:w="108" w:type="dxa"/>
          </w:tblCellMar>
        </w:tblPrEx>
        <w:trPr>
          <w:trHeight w:val="50" w:hRule="atLeast"/>
          <w:jc w:val="center"/>
        </w:trPr>
        <w:tc>
          <w:tcPr>
            <w:tcW w:w="1208" w:type="dxa"/>
            <w:tcBorders>
              <w:top w:val="nil"/>
              <w:left w:val="single" w:color="auto" w:sz="4" w:space="0"/>
              <w:bottom w:val="single" w:color="auto" w:sz="4" w:space="0"/>
              <w:right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开户银行</w:t>
            </w:r>
          </w:p>
        </w:tc>
        <w:tc>
          <w:tcPr>
            <w:tcW w:w="4072" w:type="dxa"/>
            <w:tcBorders>
              <w:top w:val="single" w:color="auto" w:sz="4" w:space="0"/>
              <w:left w:val="nil"/>
              <w:bottom w:val="single" w:color="auto" w:sz="4" w:space="0"/>
              <w:right w:val="single" w:color="auto" w:sz="4" w:space="0"/>
            </w:tcBorders>
          </w:tcPr>
          <w:p>
            <w:pPr>
              <w:autoSpaceDE w:val="0"/>
              <w:autoSpaceDN w:val="0"/>
              <w:spacing w:before="62" w:beforeLines="20" w:after="62" w:afterLines="20"/>
              <w:rPr>
                <w:rFonts w:hint="eastAsia" w:ascii="仿宋" w:hAnsi="仿宋" w:eastAsia="仿宋" w:cs="宋体"/>
                <w:szCs w:val="21"/>
              </w:rPr>
            </w:pPr>
            <w:r>
              <w:rPr>
                <w:rFonts w:hint="eastAsia" w:ascii="仿宋" w:hAnsi="仿宋" w:eastAsia="仿宋" w:cs="宋体"/>
                <w:szCs w:val="21"/>
              </w:rPr>
              <w:t>民生银行广州环市支行</w:t>
            </w:r>
          </w:p>
        </w:tc>
        <w:tc>
          <w:tcPr>
            <w:tcW w:w="39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r>
      <w:tr>
        <w:tblPrEx>
          <w:tblCellMar>
            <w:top w:w="0" w:type="dxa"/>
            <w:left w:w="108" w:type="dxa"/>
            <w:bottom w:w="0" w:type="dxa"/>
            <w:right w:w="108" w:type="dxa"/>
          </w:tblCellMar>
        </w:tblPrEx>
        <w:trPr>
          <w:trHeight w:val="50" w:hRule="atLeast"/>
          <w:jc w:val="center"/>
        </w:trPr>
        <w:tc>
          <w:tcPr>
            <w:tcW w:w="1208" w:type="dxa"/>
            <w:tcBorders>
              <w:top w:val="nil"/>
              <w:left w:val="single" w:color="auto" w:sz="4" w:space="0"/>
              <w:bottom w:val="single" w:color="auto" w:sz="4" w:space="0"/>
              <w:right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帐    号</w:t>
            </w:r>
          </w:p>
        </w:tc>
        <w:tc>
          <w:tcPr>
            <w:tcW w:w="4072" w:type="dxa"/>
            <w:tcBorders>
              <w:top w:val="single" w:color="auto" w:sz="4" w:space="0"/>
              <w:left w:val="nil"/>
              <w:bottom w:val="single" w:color="auto" w:sz="4" w:space="0"/>
              <w:right w:val="single" w:color="auto" w:sz="4" w:space="0"/>
            </w:tcBorders>
          </w:tcPr>
          <w:p>
            <w:pPr>
              <w:autoSpaceDE w:val="0"/>
              <w:autoSpaceDN w:val="0"/>
              <w:spacing w:before="62" w:beforeLines="20" w:after="62" w:afterLines="20"/>
              <w:rPr>
                <w:rFonts w:hint="eastAsia" w:ascii="仿宋" w:hAnsi="仿宋" w:eastAsia="仿宋" w:cs="宋体"/>
                <w:szCs w:val="21"/>
              </w:rPr>
            </w:pPr>
            <w:r>
              <w:rPr>
                <w:rFonts w:hint="eastAsia" w:ascii="仿宋" w:hAnsi="仿宋" w:eastAsia="仿宋" w:cs="宋体"/>
                <w:szCs w:val="21"/>
              </w:rPr>
              <w:t>683001288</w:t>
            </w:r>
          </w:p>
        </w:tc>
        <w:tc>
          <w:tcPr>
            <w:tcW w:w="39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62" w:beforeLines="20" w:after="62" w:afterLines="20"/>
              <w:jc w:val="center"/>
              <w:rPr>
                <w:rFonts w:hint="eastAsia" w:ascii="仿宋" w:hAnsi="仿宋" w:eastAsia="仿宋" w:cs="宋体"/>
                <w:szCs w:val="21"/>
              </w:rPr>
            </w:pPr>
          </w:p>
        </w:tc>
      </w:tr>
    </w:tbl>
    <w:p>
      <w:pPr>
        <w:pStyle w:val="32"/>
        <w:ind w:firstLine="420"/>
        <w:rPr>
          <w:rFonts w:hint="eastAsia" w:ascii="仿宋" w:hAnsi="仿宋" w:eastAsia="仿宋"/>
          <w:sz w:val="21"/>
        </w:rPr>
      </w:pPr>
      <w:r>
        <w:rPr>
          <w:rFonts w:hint="eastAsia" w:ascii="仿宋" w:hAnsi="仿宋" w:eastAsia="仿宋"/>
          <w:sz w:val="21"/>
        </w:rPr>
        <w:t>备注（2）：如需邮寄服务费发票，请填写以下信息：</w:t>
      </w:r>
    </w:p>
    <w:p>
      <w:pPr>
        <w:pStyle w:val="32"/>
        <w:ind w:firstLine="420"/>
        <w:rPr>
          <w:rFonts w:hint="eastAsia" w:ascii="仿宋" w:hAnsi="仿宋" w:eastAsia="仿宋"/>
          <w:sz w:val="21"/>
        </w:rPr>
      </w:pPr>
      <w:r>
        <w:rPr>
          <w:rFonts w:hint="eastAsia" w:ascii="仿宋" w:hAnsi="仿宋" w:eastAsia="仿宋"/>
          <w:sz w:val="21"/>
        </w:rPr>
        <w:t>收件人姓名及电话：</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sz w:val="21"/>
        </w:rPr>
      </w:pPr>
      <w:r>
        <w:rPr>
          <w:rFonts w:hint="eastAsia" w:ascii="仿宋" w:hAnsi="仿宋" w:eastAsia="仿宋"/>
          <w:sz w:val="21"/>
        </w:rPr>
        <w:t>收   件   地  址：</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b/>
          <w:bCs/>
          <w:sz w:val="21"/>
        </w:rPr>
      </w:pPr>
      <w:r>
        <w:rPr>
          <w:rFonts w:hint="eastAsia" w:ascii="仿宋" w:hAnsi="仿宋" w:eastAsia="仿宋"/>
          <w:sz w:val="21"/>
        </w:rPr>
        <w:t>备注（3）：中标服务费收取方式</w:t>
      </w:r>
      <w:r>
        <w:rPr>
          <w:rFonts w:hint="eastAsia" w:ascii="仿宋" w:hAnsi="仿宋" w:eastAsia="仿宋"/>
          <w:b/>
          <w:bCs/>
          <w:sz w:val="21"/>
        </w:rPr>
        <w:t>：</w:t>
      </w:r>
      <w:r>
        <w:rPr>
          <w:rFonts w:hint="eastAsia" w:ascii="仿宋" w:hAnsi="仿宋" w:eastAsia="仿宋"/>
          <w:sz w:val="21"/>
          <w:u w:val="single"/>
        </w:rPr>
        <w:t>另外支付方式（银行电汇）</w:t>
      </w:r>
      <w:r>
        <w:rPr>
          <w:rFonts w:hint="eastAsia" w:ascii="仿宋" w:hAnsi="仿宋" w:eastAsia="仿宋"/>
          <w:sz w:val="21"/>
        </w:rPr>
        <w:t>。中标人与招标人签订合同后5日内向招标代理机构缴纳服务费。投标保证金将在中标服务费交纳后退还。</w:t>
      </w:r>
    </w:p>
    <w:p>
      <w:pPr>
        <w:pStyle w:val="32"/>
        <w:ind w:firstLine="420"/>
        <w:rPr>
          <w:rFonts w:hint="eastAsia" w:ascii="仿宋" w:hAnsi="仿宋" w:eastAsia="仿宋"/>
          <w:sz w:val="21"/>
        </w:rPr>
      </w:pPr>
      <w:r>
        <w:rPr>
          <w:rFonts w:hint="eastAsia" w:ascii="仿宋" w:hAnsi="仿宋" w:eastAsia="仿宋"/>
          <w:sz w:val="21"/>
        </w:rPr>
        <w:t>因前述事项发生争议，我方同意将争议提交法院仲裁解决。</w:t>
      </w:r>
    </w:p>
    <w:p>
      <w:pPr>
        <w:pStyle w:val="32"/>
        <w:ind w:firstLine="420"/>
        <w:rPr>
          <w:rFonts w:hint="eastAsia" w:ascii="仿宋" w:hAnsi="仿宋" w:eastAsia="仿宋"/>
          <w:sz w:val="21"/>
        </w:rPr>
      </w:pPr>
    </w:p>
    <w:p>
      <w:pPr>
        <w:pStyle w:val="32"/>
        <w:ind w:firstLine="420"/>
        <w:rPr>
          <w:rFonts w:hint="eastAsia" w:ascii="仿宋" w:hAnsi="仿宋" w:eastAsia="仿宋"/>
          <w:sz w:val="21"/>
        </w:rPr>
      </w:pPr>
      <w:r>
        <w:rPr>
          <w:rFonts w:hint="eastAsia" w:ascii="仿宋" w:hAnsi="仿宋" w:eastAsia="仿宋"/>
          <w:sz w:val="21"/>
        </w:rPr>
        <w:t>承诺方盖章：</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rPr>
          <w:rFonts w:hint="eastAsia" w:ascii="仿宋" w:hAnsi="仿宋" w:eastAsia="仿宋"/>
          <w:sz w:val="21"/>
        </w:rPr>
      </w:pPr>
      <w:r>
        <w:rPr>
          <w:rFonts w:hint="eastAsia" w:ascii="仿宋" w:hAnsi="仿宋" w:eastAsia="仿宋"/>
          <w:sz w:val="21"/>
        </w:rPr>
        <w:t>承诺方授权代表签字：</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pPr>
        <w:pStyle w:val="32"/>
        <w:ind w:firstLine="420"/>
      </w:pPr>
      <w:r>
        <w:rPr>
          <w:rFonts w:hint="eastAsia" w:ascii="仿宋" w:hAnsi="仿宋" w:eastAsia="仿宋"/>
          <w:sz w:val="21"/>
        </w:rPr>
        <w:t>承诺日期：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r>
        <w:br w:type="page"/>
      </w:r>
    </w:p>
    <w:p>
      <w:pPr>
        <w:pStyle w:val="21"/>
        <w:tabs>
          <w:tab w:val="left" w:pos="602"/>
        </w:tabs>
        <w:snapToGrid w:val="0"/>
        <w:spacing w:before="120" w:after="120" w:line="440" w:lineRule="exact"/>
        <w:jc w:val="left"/>
        <w:rPr>
          <w:rFonts w:hint="eastAsia" w:ascii="仿宋" w:hAnsi="仿宋" w:eastAsia="仿宋"/>
          <w:sz w:val="28"/>
          <w:szCs w:val="28"/>
        </w:rPr>
      </w:pPr>
      <w:bookmarkStart w:id="200" w:name="_Toc193699410"/>
      <w:r>
        <w:rPr>
          <w:rFonts w:hint="eastAsia" w:ascii="仿宋" w:hAnsi="仿宋" w:eastAsia="仿宋"/>
          <w:sz w:val="28"/>
          <w:szCs w:val="28"/>
        </w:rPr>
        <w:t>5.</w:t>
      </w:r>
      <w:r>
        <w:rPr>
          <w:rFonts w:hint="eastAsia" w:ascii="仿宋" w:hAnsi="仿宋" w:eastAsia="仿宋"/>
          <w:sz w:val="28"/>
          <w:szCs w:val="28"/>
        </w:rPr>
        <w:tab/>
      </w:r>
      <w:r>
        <w:rPr>
          <w:rFonts w:hint="eastAsia" w:ascii="仿宋" w:hAnsi="仿宋" w:eastAsia="仿宋"/>
          <w:sz w:val="28"/>
          <w:szCs w:val="28"/>
        </w:rPr>
        <w:t>投标保证金凭证</w:t>
      </w:r>
      <w:bookmarkEnd w:id="200"/>
    </w:p>
    <w:p>
      <w:pPr>
        <w:pStyle w:val="32"/>
        <w:ind w:firstLine="0" w:firstLineChars="0"/>
        <w:rPr>
          <w:rFonts w:hint="eastAsia" w:ascii="仿宋" w:hAnsi="仿宋" w:eastAsia="仿宋"/>
          <w:b/>
          <w:bCs/>
          <w:sz w:val="21"/>
        </w:rPr>
      </w:pPr>
      <w:r>
        <w:rPr>
          <w:rFonts w:hint="eastAsia" w:ascii="仿宋" w:hAnsi="仿宋" w:eastAsia="仿宋"/>
          <w:b/>
          <w:bCs/>
          <w:sz w:val="21"/>
        </w:rPr>
        <w:t>说明：</w:t>
      </w:r>
    </w:p>
    <w:p>
      <w:pPr>
        <w:pStyle w:val="32"/>
        <w:ind w:firstLine="420"/>
        <w:rPr>
          <w:rFonts w:hint="eastAsia" w:ascii="仿宋" w:hAnsi="仿宋" w:eastAsia="仿宋"/>
          <w:sz w:val="21"/>
        </w:rPr>
      </w:pPr>
      <w:r>
        <w:rPr>
          <w:rFonts w:hint="eastAsia" w:ascii="仿宋" w:hAnsi="仿宋" w:eastAsia="仿宋"/>
          <w:sz w:val="21"/>
        </w:rPr>
        <w:t>投标保证金具体要求详见第二章“投标人须知”前附表。</w:t>
      </w:r>
    </w:p>
    <w:p>
      <w:pPr>
        <w:pStyle w:val="32"/>
        <w:ind w:firstLine="0" w:firstLineChars="0"/>
        <w:rPr>
          <w:rFonts w:hint="eastAsia" w:ascii="仿宋" w:hAnsi="仿宋" w:eastAsia="仿宋"/>
          <w:sz w:val="21"/>
        </w:rPr>
      </w:pPr>
    </w:p>
    <w:p>
      <w:pPr>
        <w:pStyle w:val="32"/>
        <w:ind w:firstLine="0" w:firstLineChars="0"/>
        <w:rPr>
          <w:rFonts w:hint="eastAsia" w:ascii="仿宋" w:hAnsi="仿宋" w:eastAsia="仿宋"/>
          <w:b/>
          <w:bCs/>
          <w:sz w:val="21"/>
        </w:rPr>
      </w:pPr>
      <w:r>
        <w:rPr>
          <w:rFonts w:hint="eastAsia" w:ascii="仿宋" w:hAnsi="仿宋" w:eastAsia="仿宋"/>
          <w:b/>
          <w:bCs/>
          <w:sz w:val="21"/>
        </w:rPr>
        <w:t>（1）汇款转账形式</w:t>
      </w:r>
    </w:p>
    <w:p>
      <w:pPr>
        <w:pStyle w:val="32"/>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pPr>
        <w:pStyle w:val="32"/>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pPr>
        <w:pStyle w:val="32"/>
        <w:pBdr>
          <w:top w:val="double" w:color="auto" w:sz="6" w:space="1"/>
          <w:left w:val="double" w:color="auto" w:sz="6" w:space="4"/>
          <w:bottom w:val="double" w:color="auto" w:sz="6" w:space="1"/>
          <w:right w:val="double" w:color="auto" w:sz="6" w:space="4"/>
        </w:pBdr>
        <w:ind w:firstLine="0" w:firstLineChars="0"/>
        <w:jc w:val="center"/>
        <w:rPr>
          <w:rFonts w:hint="eastAsia" w:ascii="仿宋" w:hAnsi="仿宋" w:eastAsia="仿宋"/>
          <w:b/>
          <w:bCs/>
          <w:sz w:val="21"/>
        </w:rPr>
      </w:pPr>
      <w:r>
        <w:rPr>
          <w:rFonts w:hint="eastAsia" w:ascii="仿宋" w:hAnsi="仿宋" w:eastAsia="仿宋"/>
          <w:b/>
          <w:bCs/>
          <w:sz w:val="21"/>
        </w:rPr>
        <w:t>提供清晰的投标保证金付款凭证</w:t>
      </w:r>
    </w:p>
    <w:p>
      <w:pPr>
        <w:pStyle w:val="32"/>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pPr>
        <w:pStyle w:val="32"/>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pPr>
        <w:pStyle w:val="32"/>
        <w:ind w:firstLine="0" w:firstLineChars="0"/>
        <w:rPr>
          <w:rFonts w:hint="eastAsia" w:ascii="仿宋" w:hAnsi="仿宋" w:eastAsia="仿宋"/>
          <w:sz w:val="21"/>
        </w:rPr>
      </w:pPr>
    </w:p>
    <w:p>
      <w:pPr>
        <w:widowControl/>
        <w:jc w:val="left"/>
        <w:rPr>
          <w:rFonts w:hint="eastAsia" w:ascii="仿宋" w:hAnsi="仿宋" w:eastAsia="仿宋" w:cs="Times New Roman"/>
          <w:szCs w:val="21"/>
        </w:rPr>
      </w:pPr>
      <w:r>
        <w:rPr>
          <w:rFonts w:hint="eastAsia" w:ascii="仿宋" w:hAnsi="仿宋" w:eastAsia="仿宋"/>
        </w:rPr>
        <w:br w:type="page"/>
      </w:r>
    </w:p>
    <w:p>
      <w:pPr>
        <w:pStyle w:val="32"/>
        <w:ind w:firstLine="0" w:firstLineChars="0"/>
        <w:rPr>
          <w:rFonts w:hint="eastAsia" w:ascii="仿宋" w:hAnsi="仿宋" w:eastAsia="仿宋"/>
          <w:b/>
          <w:bCs/>
          <w:sz w:val="21"/>
        </w:rPr>
      </w:pPr>
      <w:r>
        <w:rPr>
          <w:rFonts w:hint="eastAsia" w:ascii="仿宋" w:hAnsi="仿宋" w:eastAsia="仿宋"/>
          <w:b/>
          <w:bCs/>
        </w:rPr>
        <w:t>（2）</w:t>
      </w:r>
      <w:r>
        <w:rPr>
          <w:rFonts w:hint="eastAsia" w:ascii="仿宋" w:hAnsi="仿宋" w:eastAsia="仿宋"/>
          <w:b/>
          <w:bCs/>
          <w:sz w:val="21"/>
        </w:rPr>
        <w:t>银行保函参考格式</w:t>
      </w:r>
    </w:p>
    <w:p>
      <w:pPr>
        <w:pStyle w:val="32"/>
        <w:ind w:firstLine="0" w:firstLineChars="0"/>
        <w:rPr>
          <w:rFonts w:hint="eastAsia" w:ascii="仿宋" w:hAnsi="仿宋" w:eastAsia="仿宋"/>
          <w:b/>
          <w:bCs/>
        </w:rPr>
      </w:pPr>
      <w:r>
        <w:rPr>
          <w:rFonts w:hint="eastAsia" w:ascii="仿宋" w:hAnsi="仿宋" w:eastAsia="仿宋"/>
          <w:b/>
          <w:bCs/>
          <w:sz w:val="21"/>
        </w:rPr>
        <w:t>说明：①如投标人以保函形式提供投标保证金的，应提供投标保函原件，同时将投标保函复印件装订至经济分册中。②如银行开具的保函格式有所不同，招标人予以接受，但必须确保重要内容的完整性。</w:t>
      </w:r>
    </w:p>
    <w:p>
      <w:pPr>
        <w:spacing w:before="93" w:beforeLines="30" w:after="93" w:afterLines="30" w:line="360" w:lineRule="auto"/>
        <w:jc w:val="center"/>
        <w:rPr>
          <w:rFonts w:hint="eastAsia" w:ascii="仿宋" w:hAnsi="仿宋" w:eastAsia="仿宋"/>
          <w:b/>
          <w:sz w:val="28"/>
          <w:szCs w:val="28"/>
        </w:rPr>
      </w:pPr>
      <w:r>
        <w:rPr>
          <w:rFonts w:hint="eastAsia" w:ascii="仿宋" w:hAnsi="仿宋" w:eastAsia="仿宋"/>
          <w:b/>
          <w:sz w:val="28"/>
          <w:szCs w:val="28"/>
        </w:rPr>
        <w:t>投标保证金（保函）（如适用）</w:t>
      </w:r>
    </w:p>
    <w:p>
      <w:pPr>
        <w:snapToGrid w:val="0"/>
        <w:spacing w:after="156" w:afterLines="50" w:line="288" w:lineRule="auto"/>
        <w:rPr>
          <w:rFonts w:hint="eastAsia" w:ascii="仿宋" w:hAnsi="仿宋" w:eastAsia="仿宋" w:cs="宋体"/>
          <w:szCs w:val="21"/>
        </w:rPr>
      </w:pPr>
      <w:r>
        <w:rPr>
          <w:rFonts w:hint="eastAsia" w:ascii="仿宋" w:hAnsi="仿宋" w:eastAsia="仿宋" w:cs="宋体"/>
          <w:szCs w:val="21"/>
        </w:rPr>
        <w:t>致：</w:t>
      </w:r>
      <w:r>
        <w:rPr>
          <w:rFonts w:hint="eastAsia" w:ascii="仿宋" w:hAnsi="仿宋" w:eastAsia="仿宋" w:cs="宋体"/>
          <w:szCs w:val="21"/>
          <w:u w:val="single"/>
        </w:rPr>
        <w:t>（招标人名称）</w:t>
      </w:r>
    </w:p>
    <w:p>
      <w:pPr>
        <w:snapToGrid w:val="0"/>
        <w:spacing w:line="288" w:lineRule="auto"/>
        <w:ind w:firstLine="424" w:firstLineChars="202"/>
        <w:rPr>
          <w:rFonts w:hint="eastAsia" w:ascii="仿宋" w:hAnsi="仿宋" w:eastAsia="仿宋" w:cs="宋体"/>
          <w:szCs w:val="21"/>
        </w:rPr>
      </w:pPr>
      <w:r>
        <w:rPr>
          <w:rFonts w:hint="eastAsia" w:ascii="仿宋" w:hAnsi="仿宋" w:eastAsia="仿宋" w:cs="宋体"/>
          <w:szCs w:val="21"/>
        </w:rPr>
        <w:t>本保函作为</w:t>
      </w:r>
      <w:r>
        <w:rPr>
          <w:rFonts w:hint="eastAsia" w:ascii="仿宋" w:hAnsi="仿宋" w:eastAsia="仿宋" w:cs="宋体"/>
          <w:szCs w:val="21"/>
          <w:u w:val="single"/>
        </w:rPr>
        <w:t>（投标人名称）</w:t>
      </w:r>
      <w:r>
        <w:rPr>
          <w:rFonts w:hint="eastAsia" w:ascii="仿宋" w:hAnsi="仿宋" w:eastAsia="仿宋" w:cs="宋体"/>
          <w:szCs w:val="21"/>
        </w:rPr>
        <w:t>（以下简称</w:t>
      </w:r>
      <w:r>
        <w:rPr>
          <w:rFonts w:hint="eastAsia" w:ascii="仿宋" w:hAnsi="仿宋" w:eastAsia="仿宋" w:cs="宋体"/>
          <w:szCs w:val="21"/>
          <w:u w:val="single"/>
        </w:rPr>
        <w:t>投标</w:t>
      </w:r>
      <w:r>
        <w:rPr>
          <w:rFonts w:hint="eastAsia" w:ascii="仿宋" w:hAnsi="仿宋" w:eastAsia="仿宋" w:cs="宋体"/>
          <w:szCs w:val="21"/>
        </w:rPr>
        <w:t>人）对</w:t>
      </w:r>
      <w:r>
        <w:rPr>
          <w:rFonts w:hint="eastAsia" w:ascii="仿宋" w:hAnsi="仿宋" w:eastAsia="仿宋" w:cs="宋体"/>
          <w:szCs w:val="21"/>
          <w:u w:val="single"/>
        </w:rPr>
        <w:t>（招标人名称）（项目名称）</w:t>
      </w:r>
      <w:r>
        <w:rPr>
          <w:rFonts w:hint="eastAsia" w:ascii="仿宋" w:hAnsi="仿宋" w:eastAsia="仿宋" w:cs="宋体"/>
          <w:szCs w:val="21"/>
        </w:rPr>
        <w:t>的投标邀请而提供的投标保函。</w:t>
      </w:r>
    </w:p>
    <w:p>
      <w:pPr>
        <w:snapToGrid w:val="0"/>
        <w:spacing w:line="288" w:lineRule="auto"/>
        <w:ind w:firstLine="424" w:firstLineChars="202"/>
        <w:rPr>
          <w:rFonts w:hint="eastAsia" w:ascii="仿宋" w:hAnsi="仿宋" w:eastAsia="仿宋" w:cs="宋体"/>
          <w:szCs w:val="21"/>
        </w:rPr>
      </w:pPr>
      <w:r>
        <w:rPr>
          <w:rFonts w:hint="eastAsia" w:ascii="仿宋" w:hAnsi="仿宋" w:eastAsia="仿宋" w:cs="宋体"/>
          <w:iCs/>
          <w:szCs w:val="21"/>
          <w:u w:val="single"/>
        </w:rPr>
        <w:t>（出具保函银行名称）</w:t>
      </w:r>
      <w:r>
        <w:rPr>
          <w:rFonts w:hint="eastAsia" w:ascii="仿宋" w:hAnsi="仿宋" w:eastAsia="仿宋" w:cs="宋体"/>
          <w:szCs w:val="21"/>
        </w:rPr>
        <w:t>无条件地、不可撤销地具结保证并约束本行、其继承人和受让人，一旦收到贵方提出的就下述任何一种事实的书面通知，立即无追索地向贵方支付金额为</w:t>
      </w:r>
      <w:r>
        <w:rPr>
          <w:rFonts w:hint="eastAsia" w:ascii="仿宋" w:hAnsi="仿宋" w:eastAsia="仿宋" w:cs="宋体"/>
          <w:iCs/>
          <w:szCs w:val="21"/>
          <w:u w:val="single"/>
        </w:rPr>
        <w:t>（按投标须知要求规定的金额和币种）</w:t>
      </w:r>
      <w:r>
        <w:rPr>
          <w:rFonts w:hint="eastAsia" w:ascii="仿宋" w:hAnsi="仿宋" w:eastAsia="仿宋" w:cs="宋体"/>
          <w:szCs w:val="21"/>
        </w:rPr>
        <w:t>保证金：</w:t>
      </w:r>
    </w:p>
    <w:p>
      <w:pPr>
        <w:numPr>
          <w:ilvl w:val="0"/>
          <w:numId w:val="17"/>
        </w:numPr>
        <w:autoSpaceDE w:val="0"/>
        <w:autoSpaceDN w:val="0"/>
        <w:adjustRightInd w:val="0"/>
        <w:snapToGrid w:val="0"/>
        <w:spacing w:line="288" w:lineRule="auto"/>
        <w:ind w:left="0" w:firstLine="424" w:firstLineChars="202"/>
        <w:rPr>
          <w:rFonts w:hint="eastAsia" w:ascii="仿宋" w:hAnsi="仿宋" w:eastAsia="仿宋" w:cs="宋体"/>
          <w:szCs w:val="21"/>
        </w:rPr>
      </w:pPr>
      <w:r>
        <w:rPr>
          <w:rFonts w:hint="eastAsia" w:ascii="仿宋" w:hAnsi="仿宋" w:eastAsia="仿宋" w:cs="宋体"/>
          <w:szCs w:val="21"/>
        </w:rPr>
        <w:t>投标人在招标文件规定的投标截止时间后投标有效期内撤回其投标；</w:t>
      </w:r>
    </w:p>
    <w:p>
      <w:pPr>
        <w:numPr>
          <w:ilvl w:val="0"/>
          <w:numId w:val="17"/>
        </w:numPr>
        <w:autoSpaceDE w:val="0"/>
        <w:autoSpaceDN w:val="0"/>
        <w:adjustRightInd w:val="0"/>
        <w:snapToGrid w:val="0"/>
        <w:spacing w:line="288" w:lineRule="auto"/>
        <w:ind w:left="0" w:firstLine="424" w:firstLineChars="202"/>
        <w:rPr>
          <w:rFonts w:hint="eastAsia" w:ascii="仿宋" w:hAnsi="仿宋" w:eastAsia="仿宋" w:cs="宋体"/>
          <w:szCs w:val="21"/>
        </w:rPr>
      </w:pPr>
      <w:r>
        <w:rPr>
          <w:rFonts w:hint="eastAsia" w:ascii="仿宋" w:hAnsi="仿宋" w:eastAsia="仿宋" w:cs="宋体"/>
          <w:szCs w:val="21"/>
        </w:rPr>
        <w:t>投标人在投标截止时间后对投标文件作实质性修改；</w:t>
      </w:r>
    </w:p>
    <w:p>
      <w:pPr>
        <w:numPr>
          <w:ilvl w:val="0"/>
          <w:numId w:val="17"/>
        </w:numPr>
        <w:autoSpaceDE w:val="0"/>
        <w:autoSpaceDN w:val="0"/>
        <w:adjustRightInd w:val="0"/>
        <w:snapToGrid w:val="0"/>
        <w:spacing w:line="288" w:lineRule="auto"/>
        <w:ind w:left="0" w:firstLine="424" w:firstLineChars="202"/>
        <w:rPr>
          <w:rFonts w:hint="eastAsia" w:ascii="仿宋" w:hAnsi="仿宋" w:eastAsia="仿宋" w:cs="宋体"/>
          <w:szCs w:val="21"/>
        </w:rPr>
      </w:pPr>
      <w:r>
        <w:rPr>
          <w:rFonts w:hint="eastAsia" w:ascii="仿宋" w:hAnsi="仿宋" w:eastAsia="仿宋" w:cs="宋体"/>
          <w:szCs w:val="21"/>
        </w:rPr>
        <w:t>投标人在投标文件中提供虚假的文件和材料，意图骗取中标的；</w:t>
      </w:r>
    </w:p>
    <w:p>
      <w:pPr>
        <w:numPr>
          <w:ilvl w:val="0"/>
          <w:numId w:val="17"/>
        </w:numPr>
        <w:autoSpaceDE w:val="0"/>
        <w:autoSpaceDN w:val="0"/>
        <w:adjustRightInd w:val="0"/>
        <w:snapToGrid w:val="0"/>
        <w:spacing w:line="288" w:lineRule="auto"/>
        <w:ind w:left="0" w:firstLine="424" w:firstLineChars="202"/>
        <w:rPr>
          <w:rFonts w:hint="eastAsia" w:ascii="仿宋" w:hAnsi="仿宋" w:eastAsia="仿宋" w:cs="宋体"/>
          <w:szCs w:val="21"/>
        </w:rPr>
      </w:pPr>
      <w:r>
        <w:rPr>
          <w:rFonts w:hint="eastAsia" w:ascii="仿宋" w:hAnsi="仿宋" w:eastAsia="仿宋" w:cs="宋体"/>
          <w:szCs w:val="21"/>
        </w:rPr>
        <w:t>投标人串通投标的；</w:t>
      </w:r>
    </w:p>
    <w:p>
      <w:pPr>
        <w:numPr>
          <w:ilvl w:val="0"/>
          <w:numId w:val="17"/>
        </w:numPr>
        <w:autoSpaceDE w:val="0"/>
        <w:autoSpaceDN w:val="0"/>
        <w:adjustRightInd w:val="0"/>
        <w:snapToGrid w:val="0"/>
        <w:spacing w:line="288" w:lineRule="auto"/>
        <w:ind w:left="0" w:firstLine="424" w:firstLineChars="202"/>
        <w:rPr>
          <w:rFonts w:hint="eastAsia" w:ascii="仿宋" w:hAnsi="仿宋" w:eastAsia="仿宋" w:cs="宋体"/>
          <w:szCs w:val="21"/>
        </w:rPr>
      </w:pPr>
      <w:r>
        <w:rPr>
          <w:rFonts w:hint="eastAsia" w:ascii="仿宋" w:hAnsi="仿宋" w:eastAsia="仿宋" w:cs="宋体"/>
          <w:szCs w:val="21"/>
        </w:rPr>
        <w:t>在中标通知书发出后30天内，投标人无正当理由不按中标时规定的内容与招标人签订合同；</w:t>
      </w:r>
    </w:p>
    <w:p>
      <w:pPr>
        <w:numPr>
          <w:ilvl w:val="0"/>
          <w:numId w:val="17"/>
        </w:numPr>
        <w:autoSpaceDE w:val="0"/>
        <w:autoSpaceDN w:val="0"/>
        <w:adjustRightInd w:val="0"/>
        <w:snapToGrid w:val="0"/>
        <w:spacing w:line="288" w:lineRule="auto"/>
        <w:ind w:left="0" w:firstLine="424" w:firstLineChars="202"/>
        <w:rPr>
          <w:rFonts w:hint="eastAsia" w:ascii="仿宋" w:hAnsi="仿宋" w:eastAsia="仿宋" w:cs="宋体"/>
          <w:szCs w:val="21"/>
        </w:rPr>
      </w:pPr>
      <w:r>
        <w:rPr>
          <w:rFonts w:hint="eastAsia" w:ascii="仿宋" w:hAnsi="仿宋" w:eastAsia="仿宋" w:cs="宋体"/>
          <w:szCs w:val="21"/>
        </w:rPr>
        <w:t>中标人放弃中标；</w:t>
      </w:r>
    </w:p>
    <w:p>
      <w:pPr>
        <w:numPr>
          <w:ilvl w:val="0"/>
          <w:numId w:val="17"/>
        </w:numPr>
        <w:autoSpaceDE w:val="0"/>
        <w:autoSpaceDN w:val="0"/>
        <w:adjustRightInd w:val="0"/>
        <w:snapToGrid w:val="0"/>
        <w:spacing w:line="288" w:lineRule="auto"/>
        <w:ind w:left="0" w:firstLine="424" w:firstLineChars="202"/>
        <w:rPr>
          <w:rFonts w:hint="eastAsia" w:ascii="仿宋" w:hAnsi="仿宋" w:eastAsia="仿宋" w:cs="宋体"/>
          <w:szCs w:val="21"/>
        </w:rPr>
      </w:pPr>
      <w:r>
        <w:rPr>
          <w:rFonts w:hint="eastAsia" w:ascii="仿宋" w:hAnsi="仿宋" w:eastAsia="仿宋" w:cs="宋体"/>
          <w:szCs w:val="21"/>
        </w:rPr>
        <w:t>投标人违反招标文件中有关投标保证金其它规定的。</w:t>
      </w:r>
    </w:p>
    <w:p>
      <w:pPr>
        <w:snapToGrid w:val="0"/>
        <w:spacing w:line="288" w:lineRule="auto"/>
        <w:ind w:firstLine="424" w:firstLineChars="202"/>
        <w:rPr>
          <w:rFonts w:hint="eastAsia" w:ascii="仿宋" w:hAnsi="仿宋" w:eastAsia="仿宋" w:cs="宋体"/>
          <w:szCs w:val="21"/>
        </w:rPr>
      </w:pPr>
      <w:r>
        <w:rPr>
          <w:rFonts w:hint="eastAsia" w:ascii="仿宋" w:hAnsi="仿宋" w:eastAsia="仿宋" w:cs="宋体"/>
          <w:szCs w:val="21"/>
        </w:rPr>
        <w:t>本保函有效期应不短于投标有效期，从投标文件递交截止之日起计算，并在贵方和投标人同意延长的有效期内保持有效，延长的有效期只需通知本行即可。贵方有权提前终止或解除本保函。</w:t>
      </w:r>
    </w:p>
    <w:p>
      <w:pPr>
        <w:snapToGrid w:val="0"/>
        <w:spacing w:line="288" w:lineRule="auto"/>
        <w:ind w:firstLine="424" w:firstLineChars="202"/>
        <w:rPr>
          <w:rFonts w:hint="eastAsia" w:ascii="仿宋" w:hAnsi="仿宋" w:eastAsia="仿宋" w:cs="宋体"/>
          <w:szCs w:val="21"/>
        </w:rPr>
      </w:pPr>
      <w:r>
        <w:rPr>
          <w:rFonts w:hint="eastAsia" w:ascii="仿宋" w:hAnsi="仿宋" w:eastAsia="仿宋" w:cs="宋体"/>
          <w:szCs w:val="21"/>
        </w:rPr>
        <w:t>如果投标人中标，本保证金将在上述期满后继续有效，直至投标人与</w:t>
      </w:r>
      <w:r>
        <w:rPr>
          <w:rFonts w:hint="eastAsia" w:ascii="仿宋" w:hAnsi="仿宋" w:eastAsia="仿宋" w:cs="宋体"/>
          <w:szCs w:val="21"/>
          <w:u w:val="single"/>
        </w:rPr>
        <w:t>（</w:t>
      </w:r>
      <w:r>
        <w:rPr>
          <w:rFonts w:hint="eastAsia" w:ascii="仿宋" w:hAnsi="仿宋" w:eastAsia="仿宋" w:cs="宋体"/>
          <w:b/>
          <w:szCs w:val="21"/>
          <w:u w:val="single"/>
        </w:rPr>
        <w:t>招标人</w:t>
      </w:r>
      <w:r>
        <w:rPr>
          <w:rFonts w:hint="eastAsia" w:ascii="仿宋" w:hAnsi="仿宋" w:eastAsia="仿宋" w:cs="宋体"/>
          <w:szCs w:val="21"/>
          <w:u w:val="single"/>
        </w:rPr>
        <w:t>）</w:t>
      </w:r>
      <w:r>
        <w:rPr>
          <w:rFonts w:hint="eastAsia" w:ascii="仿宋" w:hAnsi="仿宋" w:eastAsia="仿宋" w:cs="宋体"/>
          <w:szCs w:val="21"/>
        </w:rPr>
        <w:t>签订合同为止，但本保函最迟不得晚于</w:t>
      </w:r>
      <w:r>
        <w:rPr>
          <w:rFonts w:hint="eastAsia" w:ascii="仿宋" w:hAnsi="仿宋" w:eastAsia="仿宋" w:cs="宋体"/>
          <w:szCs w:val="21"/>
          <w:u w:val="single"/>
        </w:rPr>
        <w:t>（填写时间）</w:t>
      </w:r>
      <w:r>
        <w:rPr>
          <w:rFonts w:hint="eastAsia" w:ascii="仿宋" w:hAnsi="仿宋" w:eastAsia="仿宋" w:cs="宋体"/>
          <w:szCs w:val="21"/>
        </w:rPr>
        <w:t>失效。</w:t>
      </w:r>
    </w:p>
    <w:p>
      <w:pPr>
        <w:snapToGrid w:val="0"/>
        <w:spacing w:line="288" w:lineRule="auto"/>
        <w:ind w:firstLine="424" w:firstLineChars="202"/>
        <w:rPr>
          <w:rFonts w:hint="eastAsia" w:ascii="仿宋" w:hAnsi="仿宋" w:eastAsia="仿宋" w:cs="宋体"/>
          <w:szCs w:val="21"/>
        </w:rPr>
      </w:pPr>
    </w:p>
    <w:p>
      <w:pPr>
        <w:snapToGrid w:val="0"/>
        <w:spacing w:line="288" w:lineRule="auto"/>
        <w:ind w:firstLine="424" w:firstLineChars="202"/>
        <w:rPr>
          <w:rFonts w:hint="eastAsia" w:ascii="仿宋" w:hAnsi="仿宋" w:eastAsia="仿宋" w:cs="宋体"/>
          <w:szCs w:val="21"/>
        </w:rPr>
      </w:pPr>
    </w:p>
    <w:p>
      <w:pPr>
        <w:snapToGrid w:val="0"/>
        <w:spacing w:line="288" w:lineRule="auto"/>
        <w:ind w:firstLine="424" w:firstLineChars="202"/>
        <w:rPr>
          <w:rFonts w:hint="eastAsia" w:ascii="仿宋" w:hAnsi="仿宋" w:eastAsia="仿宋" w:cs="宋体"/>
          <w:szCs w:val="21"/>
        </w:rPr>
      </w:pPr>
    </w:p>
    <w:p>
      <w:pPr>
        <w:snapToGrid w:val="0"/>
        <w:spacing w:line="288" w:lineRule="auto"/>
        <w:ind w:firstLine="4393" w:firstLineChars="2092"/>
        <w:rPr>
          <w:rFonts w:hint="eastAsia" w:ascii="仿宋" w:hAnsi="仿宋" w:eastAsia="仿宋" w:cs="宋体"/>
          <w:szCs w:val="21"/>
        </w:rPr>
      </w:pPr>
      <w:r>
        <w:rPr>
          <w:rFonts w:hint="eastAsia" w:ascii="仿宋" w:hAnsi="仿宋" w:eastAsia="仿宋" w:cs="宋体"/>
          <w:szCs w:val="21"/>
        </w:rPr>
        <w:t>出具保函银行名称</w:t>
      </w:r>
      <w:r>
        <w:rPr>
          <w:rFonts w:hint="eastAsia" w:ascii="仿宋" w:hAnsi="仿宋" w:eastAsia="仿宋" w:cs="宋体"/>
          <w:szCs w:val="21"/>
          <w:u w:val="single"/>
        </w:rPr>
        <w:t xml:space="preserve">                  </w:t>
      </w:r>
    </w:p>
    <w:p>
      <w:pPr>
        <w:snapToGrid w:val="0"/>
        <w:spacing w:line="288" w:lineRule="auto"/>
        <w:ind w:firstLine="4393" w:firstLineChars="2092"/>
        <w:rPr>
          <w:rFonts w:hint="eastAsia" w:ascii="仿宋" w:hAnsi="仿宋" w:eastAsia="仿宋" w:cs="宋体"/>
          <w:szCs w:val="21"/>
        </w:rPr>
      </w:pPr>
      <w:r>
        <w:rPr>
          <w:rFonts w:hint="eastAsia" w:ascii="仿宋" w:hAnsi="仿宋" w:eastAsia="仿宋" w:cs="宋体"/>
          <w:szCs w:val="21"/>
        </w:rPr>
        <w:t>签字人姓名和职务</w:t>
      </w:r>
      <w:r>
        <w:rPr>
          <w:rFonts w:hint="eastAsia" w:ascii="仿宋" w:hAnsi="仿宋" w:eastAsia="仿宋" w:cs="宋体"/>
          <w:szCs w:val="21"/>
          <w:u w:val="single"/>
        </w:rPr>
        <w:t xml:space="preserve">                  </w:t>
      </w:r>
    </w:p>
    <w:p>
      <w:pPr>
        <w:snapToGrid w:val="0"/>
        <w:spacing w:line="288" w:lineRule="auto"/>
        <w:ind w:firstLine="4393" w:firstLineChars="2092"/>
        <w:rPr>
          <w:rFonts w:hint="eastAsia" w:ascii="仿宋" w:hAnsi="仿宋" w:eastAsia="仿宋" w:cs="宋体"/>
          <w:szCs w:val="21"/>
        </w:rPr>
      </w:pPr>
      <w:r>
        <w:rPr>
          <w:rFonts w:hint="eastAsia" w:ascii="仿宋" w:hAnsi="仿宋" w:eastAsia="仿宋" w:cs="宋体"/>
          <w:szCs w:val="21"/>
        </w:rPr>
        <w:t>签  字  人 签 名</w:t>
      </w:r>
      <w:r>
        <w:rPr>
          <w:rFonts w:hint="eastAsia" w:ascii="仿宋" w:hAnsi="仿宋" w:eastAsia="仿宋" w:cs="宋体"/>
          <w:szCs w:val="21"/>
          <w:u w:val="single"/>
        </w:rPr>
        <w:t xml:space="preserve">                  </w:t>
      </w:r>
    </w:p>
    <w:p>
      <w:pPr>
        <w:snapToGrid w:val="0"/>
        <w:spacing w:line="288" w:lineRule="auto"/>
        <w:ind w:firstLine="4393" w:firstLineChars="2092"/>
        <w:rPr>
          <w:rFonts w:hint="eastAsia" w:ascii="仿宋" w:hAnsi="仿宋" w:eastAsia="仿宋" w:cs="宋体"/>
          <w:szCs w:val="21"/>
        </w:rPr>
      </w:pPr>
      <w:r>
        <w:rPr>
          <w:rFonts w:hint="eastAsia" w:ascii="仿宋" w:hAnsi="仿宋" w:eastAsia="仿宋" w:cs="宋体"/>
          <w:szCs w:val="21"/>
        </w:rPr>
        <w:t>公            章</w:t>
      </w:r>
      <w:r>
        <w:rPr>
          <w:rFonts w:hint="eastAsia" w:ascii="仿宋" w:hAnsi="仿宋" w:eastAsia="仿宋" w:cs="宋体"/>
          <w:szCs w:val="21"/>
          <w:u w:val="single"/>
        </w:rPr>
        <w:t xml:space="preserve">                  </w:t>
      </w:r>
    </w:p>
    <w:p>
      <w:pPr>
        <w:snapToGrid w:val="0"/>
        <w:spacing w:line="288" w:lineRule="auto"/>
        <w:ind w:firstLine="4393" w:firstLineChars="2092"/>
        <w:rPr>
          <w:rFonts w:hint="eastAsia" w:ascii="仿宋" w:hAnsi="仿宋" w:eastAsia="仿宋" w:cs="宋体"/>
          <w:szCs w:val="21"/>
          <w:u w:val="single"/>
        </w:rPr>
      </w:pPr>
      <w:r>
        <w:rPr>
          <w:rFonts w:hint="eastAsia" w:ascii="仿宋" w:hAnsi="仿宋" w:eastAsia="仿宋" w:cs="宋体"/>
          <w:szCs w:val="21"/>
        </w:rPr>
        <w:t>日            期</w:t>
      </w:r>
      <w:r>
        <w:rPr>
          <w:rFonts w:hint="eastAsia" w:ascii="仿宋" w:hAnsi="仿宋" w:eastAsia="仿宋" w:cs="宋体"/>
          <w:szCs w:val="21"/>
          <w:u w:val="single"/>
        </w:rPr>
        <w:t xml:space="preserve">                  </w:t>
      </w:r>
    </w:p>
    <w:p>
      <w:pPr>
        <w:rPr>
          <w:rFonts w:ascii="Times New Roman" w:hAnsi="Times New Roman"/>
          <w:szCs w:val="24"/>
        </w:rPr>
      </w:pPr>
    </w:p>
    <w:p>
      <w:pPr>
        <w:pStyle w:val="32"/>
        <w:ind w:firstLine="0" w:firstLineChars="0"/>
        <w:rPr>
          <w:rFonts w:hint="eastAsia" w:ascii="仿宋" w:hAnsi="仿宋" w:eastAsia="仿宋"/>
          <w:sz w:val="21"/>
        </w:rPr>
      </w:pPr>
    </w:p>
    <w:p/>
    <w:p/>
    <w:sectPr>
      <w:footerReference r:id="rId3" w:type="default"/>
      <w:pgSz w:w="11906" w:h="16838"/>
      <w:pgMar w:top="1440" w:right="1797" w:bottom="1440"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102CEB5-861F-415B-9072-560C041BEC2C}"/>
  </w:font>
  <w:font w:name="Arial">
    <w:panose1 w:val="020B0604020202020204"/>
    <w:charset w:val="01"/>
    <w:family w:val="swiss"/>
    <w:pitch w:val="default"/>
    <w:sig w:usb0="E0002EFF" w:usb1="C000785B" w:usb2="00000009" w:usb3="00000000" w:csb0="400001FF" w:csb1="FFFF0000"/>
    <w:embedRegular r:id="rId2" w:fontKey="{56EEA45A-CCE4-4730-B805-4D442F534D5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3775503-938D-4BAF-A9A8-C1117F9A6877}"/>
  </w:font>
  <w:font w:name="Symbol">
    <w:panose1 w:val="05050102010706020507"/>
    <w:charset w:val="02"/>
    <w:family w:val="roman"/>
    <w:pitch w:val="default"/>
    <w:sig w:usb0="00000000" w:usb1="00000000" w:usb2="00000000" w:usb3="00000000" w:csb0="80000000" w:csb1="00000000"/>
    <w:embedRegular r:id="rId4" w:fontKey="{3EA01DD4-0B9D-4F05-B462-8CBB3EFC14DE}"/>
  </w:font>
  <w:font w:name="Calibri">
    <w:panose1 w:val="020F0502020204030204"/>
    <w:charset w:val="00"/>
    <w:family w:val="swiss"/>
    <w:pitch w:val="default"/>
    <w:sig w:usb0="E4002EFF" w:usb1="C000247B" w:usb2="00000009" w:usb3="00000000" w:csb0="200001FF" w:csb1="00000000"/>
    <w:embedRegular r:id="rId5" w:fontKey="{EC940C4B-0BB9-4789-A5D1-BAC6C1F07F7D}"/>
  </w:font>
  <w:font w:name="Arial">
    <w:panose1 w:val="020B0604020202020204"/>
    <w:charset w:val="00"/>
    <w:family w:val="swiss"/>
    <w:pitch w:val="default"/>
    <w:sig w:usb0="E0002EFF" w:usb1="C000785B" w:usb2="00000009" w:usb3="00000000" w:csb0="400001FF" w:csb1="FFFF0000"/>
    <w:embedRegular r:id="rId6" w:fontKey="{10D12C3C-3D64-4979-BD27-C896279D6373}"/>
  </w:font>
  <w:font w:name="楷体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embedRegular r:id="rId7" w:fontKey="{3F44576A-DD3D-467E-8202-18AD05E6E5A7}"/>
  </w:font>
  <w:font w:name="Cambria">
    <w:panose1 w:val="02040503050406030204"/>
    <w:charset w:val="00"/>
    <w:family w:val="roman"/>
    <w:pitch w:val="default"/>
    <w:sig w:usb0="E00006FF" w:usb1="420024FF" w:usb2="02000000" w:usb3="00000000" w:csb0="2000019F" w:csb1="00000000"/>
    <w:embedRegular r:id="rId8" w:fontKey="{E95B8281-79A5-45D3-B603-68515635807C}"/>
  </w:font>
  <w:font w:name="Calibri Light">
    <w:panose1 w:val="020F0302020204030204"/>
    <w:charset w:val="00"/>
    <w:family w:val="swiss"/>
    <w:pitch w:val="default"/>
    <w:sig w:usb0="E4002EFF" w:usb1="C000247B" w:usb2="00000009" w:usb3="00000000" w:csb0="200001FF" w:csb1="00000000"/>
    <w:embedRegular r:id="rId9" w:fontKey="{F0E807C7-1B18-4D58-A809-10969BFD488A}"/>
  </w:font>
  <w:font w:name="仿宋">
    <w:panose1 w:val="02010609060101010101"/>
    <w:charset w:val="86"/>
    <w:family w:val="modern"/>
    <w:pitch w:val="default"/>
    <w:sig w:usb0="800002BF" w:usb1="38CF7CFA" w:usb2="00000016" w:usb3="00000000" w:csb0="00040001" w:csb1="00000000"/>
    <w:embedRegular r:id="rId10" w:fontKey="{F40D8397-AFB2-48F8-81B9-FF7094C63EB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rPr>
      <w:id w:val="649409457"/>
    </w:sdtPr>
    <w:sdtEndPr>
      <w:rPr>
        <w:rFonts w:ascii="仿宋" w:hAnsi="仿宋" w:eastAsia="仿宋"/>
      </w:rPr>
    </w:sdtEndPr>
    <w:sdtContent>
      <w:sdt>
        <w:sdtPr>
          <w:rPr>
            <w:rFonts w:ascii="仿宋" w:hAnsi="仿宋" w:eastAsia="仿宋"/>
          </w:rPr>
          <w:id w:val="1728636285"/>
        </w:sdtPr>
        <w:sdtEndPr>
          <w:rPr>
            <w:rFonts w:ascii="仿宋" w:hAnsi="仿宋" w:eastAsia="仿宋"/>
          </w:rPr>
        </w:sdtEndPr>
        <w:sdtContent>
          <w:p>
            <w:pPr>
              <w:pStyle w:val="14"/>
              <w:jc w:val="center"/>
              <w:rPr>
                <w:rFonts w:hint="eastAsia" w:ascii="仿宋" w:hAnsi="仿宋" w:eastAsia="仿宋"/>
              </w:rPr>
            </w:pPr>
            <w:r>
              <w:rPr>
                <w:rFonts w:hint="eastAsia" w:ascii="仿宋" w:hAnsi="仿宋" w:eastAsia="仿宋"/>
              </w:rPr>
              <w:t>第</w:t>
            </w:r>
            <w:r>
              <w:rPr>
                <w:rFonts w:ascii="仿宋" w:hAnsi="仿宋" w:eastAsia="仿宋"/>
                <w:lang w:val="zh-CN"/>
              </w:rPr>
              <w:t xml:space="preserve"> </w:t>
            </w:r>
            <w:r>
              <w:rPr>
                <w:rFonts w:ascii="仿宋" w:hAnsi="仿宋" w:eastAsia="仿宋"/>
              </w:rPr>
              <w:fldChar w:fldCharType="begin"/>
            </w:r>
            <w:r>
              <w:rPr>
                <w:rFonts w:ascii="仿宋" w:hAnsi="仿宋" w:eastAsia="仿宋"/>
              </w:rPr>
              <w:instrText xml:space="preserve">PAGE</w:instrText>
            </w:r>
            <w:r>
              <w:rPr>
                <w:rFonts w:ascii="仿宋" w:hAnsi="仿宋" w:eastAsia="仿宋"/>
              </w:rPr>
              <w:fldChar w:fldCharType="separate"/>
            </w:r>
            <w:r>
              <w:rPr>
                <w:rFonts w:ascii="仿宋" w:hAnsi="仿宋" w:eastAsia="仿宋"/>
                <w:lang w:val="zh-CN"/>
              </w:rPr>
              <w:t>2</w:t>
            </w:r>
            <w:r>
              <w:rPr>
                <w:rFonts w:ascii="仿宋" w:hAnsi="仿宋" w:eastAsia="仿宋"/>
              </w:rPr>
              <w:fldChar w:fldCharType="end"/>
            </w:r>
            <w:r>
              <w:rPr>
                <w:rFonts w:ascii="仿宋" w:hAnsi="仿宋" w:eastAsia="仿宋"/>
                <w:lang w:val="zh-CN"/>
              </w:rPr>
              <w:t xml:space="preserve"> </w:t>
            </w:r>
            <w:r>
              <w:rPr>
                <w:rFonts w:hint="eastAsia" w:ascii="仿宋" w:hAnsi="仿宋" w:eastAsia="仿宋"/>
                <w:lang w:val="zh-CN"/>
              </w:rPr>
              <w:t>页</w:t>
            </w:r>
            <w:r>
              <w:rPr>
                <w:rFonts w:ascii="仿宋" w:hAnsi="仿宋" w:eastAsia="仿宋"/>
                <w:lang w:val="zh-CN"/>
              </w:rPr>
              <w:t>/</w:t>
            </w:r>
            <w:r>
              <w:rPr>
                <w:rFonts w:hint="eastAsia" w:ascii="仿宋" w:hAnsi="仿宋" w:eastAsia="仿宋"/>
                <w:lang w:val="zh-CN"/>
              </w:rPr>
              <w:t>共</w:t>
            </w:r>
            <w:r>
              <w:rPr>
                <w:rFonts w:ascii="仿宋" w:hAnsi="仿宋" w:eastAsia="仿宋"/>
                <w:lang w:val="zh-CN"/>
              </w:rPr>
              <w:t xml:space="preserve"> </w:t>
            </w:r>
            <w:r>
              <w:rPr>
                <w:rFonts w:ascii="仿宋" w:hAnsi="仿宋" w:eastAsia="仿宋"/>
              </w:rPr>
              <w:fldChar w:fldCharType="begin"/>
            </w:r>
            <w:r>
              <w:rPr>
                <w:rFonts w:ascii="仿宋" w:hAnsi="仿宋" w:eastAsia="仿宋"/>
              </w:rPr>
              <w:instrText xml:space="preserve">NUMPAGES</w:instrText>
            </w:r>
            <w:r>
              <w:rPr>
                <w:rFonts w:ascii="仿宋" w:hAnsi="仿宋" w:eastAsia="仿宋"/>
              </w:rPr>
              <w:fldChar w:fldCharType="separate"/>
            </w:r>
            <w:r>
              <w:rPr>
                <w:rFonts w:ascii="仿宋" w:hAnsi="仿宋" w:eastAsia="仿宋"/>
                <w:lang w:val="zh-CN"/>
              </w:rPr>
              <w:t>2</w:t>
            </w:r>
            <w:r>
              <w:rPr>
                <w:rFonts w:ascii="仿宋" w:hAnsi="仿宋" w:eastAsia="仿宋"/>
              </w:rPr>
              <w:fldChar w:fldCharType="end"/>
            </w:r>
            <w:r>
              <w:rPr>
                <w:rFonts w:hint="eastAsia" w:ascii="仿宋" w:hAnsi="仿宋" w:eastAsia="仿宋"/>
              </w:rPr>
              <w:t xml:space="preserve"> 页</w:t>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12DEA"/>
    <w:multiLevelType w:val="singleLevel"/>
    <w:tmpl w:val="8CE12DEA"/>
    <w:lvl w:ilvl="0" w:tentative="0">
      <w:start w:val="1"/>
      <w:numFmt w:val="decimal"/>
      <w:lvlText w:val="(%1)"/>
      <w:lvlJc w:val="left"/>
      <w:pPr>
        <w:ind w:left="425" w:hanging="425"/>
      </w:pPr>
      <w:rPr>
        <w:rFonts w:hint="default"/>
      </w:rPr>
    </w:lvl>
  </w:abstractNum>
  <w:abstractNum w:abstractNumId="1">
    <w:nsid w:val="A6DBFE5F"/>
    <w:multiLevelType w:val="singleLevel"/>
    <w:tmpl w:val="A6DBFE5F"/>
    <w:lvl w:ilvl="0" w:tentative="0">
      <w:start w:val="4"/>
      <w:numFmt w:val="decimal"/>
      <w:suff w:val="nothing"/>
      <w:lvlText w:val="%1、"/>
      <w:lvlJc w:val="left"/>
    </w:lvl>
  </w:abstractNum>
  <w:abstractNum w:abstractNumId="2">
    <w:nsid w:val="BEBC7175"/>
    <w:multiLevelType w:val="singleLevel"/>
    <w:tmpl w:val="BEBC7175"/>
    <w:lvl w:ilvl="0" w:tentative="0">
      <w:start w:val="1"/>
      <w:numFmt w:val="bullet"/>
      <w:lvlText w:val=""/>
      <w:lvlJc w:val="left"/>
      <w:pPr>
        <w:ind w:left="420" w:hanging="420"/>
      </w:pPr>
      <w:rPr>
        <w:rFonts w:hint="default" w:ascii="Wingdings" w:hAnsi="Wingdings"/>
      </w:rPr>
    </w:lvl>
  </w:abstractNum>
  <w:abstractNum w:abstractNumId="3">
    <w:nsid w:val="BFE9B416"/>
    <w:multiLevelType w:val="singleLevel"/>
    <w:tmpl w:val="BFE9B416"/>
    <w:lvl w:ilvl="0" w:tentative="0">
      <w:start w:val="1"/>
      <w:numFmt w:val="bullet"/>
      <w:lvlText w:val=""/>
      <w:lvlJc w:val="left"/>
      <w:pPr>
        <w:ind w:left="420" w:hanging="420"/>
      </w:pPr>
      <w:rPr>
        <w:rFonts w:hint="default" w:ascii="Wingdings" w:hAnsi="Wingdings"/>
      </w:rPr>
    </w:lvl>
  </w:abstractNum>
  <w:abstractNum w:abstractNumId="4">
    <w:nsid w:val="D5349190"/>
    <w:multiLevelType w:val="singleLevel"/>
    <w:tmpl w:val="D5349190"/>
    <w:lvl w:ilvl="0" w:tentative="0">
      <w:start w:val="1"/>
      <w:numFmt w:val="decimal"/>
      <w:lvlText w:val="(%1)"/>
      <w:lvlJc w:val="left"/>
      <w:pPr>
        <w:ind w:left="425" w:hanging="425"/>
      </w:pPr>
      <w:rPr>
        <w:rFonts w:hint="default"/>
      </w:rPr>
    </w:lvl>
  </w:abstractNum>
  <w:abstractNum w:abstractNumId="5">
    <w:nsid w:val="FB70687C"/>
    <w:multiLevelType w:val="singleLevel"/>
    <w:tmpl w:val="FB70687C"/>
    <w:lvl w:ilvl="0" w:tentative="0">
      <w:start w:val="1"/>
      <w:numFmt w:val="bullet"/>
      <w:lvlText w:val=""/>
      <w:lvlJc w:val="left"/>
      <w:pPr>
        <w:ind w:left="420" w:hanging="420"/>
      </w:pPr>
      <w:rPr>
        <w:rFonts w:hint="default" w:ascii="Wingdings" w:hAnsi="Wingdings"/>
      </w:rPr>
    </w:lvl>
  </w:abstractNum>
  <w:abstractNum w:abstractNumId="6">
    <w:nsid w:val="FEFBFC88"/>
    <w:multiLevelType w:val="singleLevel"/>
    <w:tmpl w:val="FEFBFC88"/>
    <w:lvl w:ilvl="0" w:tentative="0">
      <w:start w:val="1"/>
      <w:numFmt w:val="bullet"/>
      <w:lvlText w:val=""/>
      <w:lvlJc w:val="left"/>
      <w:pPr>
        <w:ind w:left="420" w:hanging="420"/>
      </w:pPr>
      <w:rPr>
        <w:rFonts w:hint="default" w:ascii="Wingdings" w:hAnsi="Wingdings"/>
      </w:rPr>
    </w:lvl>
  </w:abstractNum>
  <w:abstractNum w:abstractNumId="7">
    <w:nsid w:val="FFF312A0"/>
    <w:multiLevelType w:val="singleLevel"/>
    <w:tmpl w:val="FFF312A0"/>
    <w:lvl w:ilvl="0" w:tentative="0">
      <w:start w:val="1"/>
      <w:numFmt w:val="bullet"/>
      <w:lvlText w:val=""/>
      <w:lvlJc w:val="left"/>
      <w:pPr>
        <w:ind w:left="420" w:hanging="420"/>
      </w:pPr>
      <w:rPr>
        <w:rFonts w:hint="default" w:ascii="Wingdings" w:hAnsi="Wingdings"/>
      </w:rPr>
    </w:lvl>
  </w:abstractNum>
  <w:abstractNum w:abstractNumId="8">
    <w:nsid w:val="0000000C"/>
    <w:multiLevelType w:val="multilevel"/>
    <w:tmpl w:val="0000000C"/>
    <w:lvl w:ilvl="0" w:tentative="0">
      <w:start w:val="1"/>
      <w:numFmt w:val="decimal"/>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FCD3326"/>
    <w:multiLevelType w:val="multilevel"/>
    <w:tmpl w:val="1FCD3326"/>
    <w:lvl w:ilvl="0" w:tentative="0">
      <w:start w:val="1"/>
      <w:numFmt w:val="upperLetter"/>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0">
    <w:nsid w:val="20905EDC"/>
    <w:multiLevelType w:val="multilevel"/>
    <w:tmpl w:val="20905EDC"/>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7D37793"/>
    <w:multiLevelType w:val="multilevel"/>
    <w:tmpl w:val="27D3779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2A071643"/>
    <w:multiLevelType w:val="multilevel"/>
    <w:tmpl w:val="2A071643"/>
    <w:lvl w:ilvl="0" w:tentative="0">
      <w:start w:val="1"/>
      <w:numFmt w:val="decimal"/>
      <w:lvlText w:val="%1."/>
      <w:lvlJc w:val="left"/>
      <w:pPr>
        <w:ind w:left="864" w:hanging="440"/>
      </w:pPr>
      <w:rPr>
        <w:rFonts w:hint="eastAsia"/>
      </w:rPr>
    </w:lvl>
    <w:lvl w:ilvl="1" w:tentative="0">
      <w:start w:val="1"/>
      <w:numFmt w:val="lowerLetter"/>
      <w:lvlText w:val="%2)"/>
      <w:lvlJc w:val="left"/>
      <w:pPr>
        <w:ind w:left="1304" w:hanging="440"/>
      </w:pPr>
    </w:lvl>
    <w:lvl w:ilvl="2" w:tentative="0">
      <w:start w:val="1"/>
      <w:numFmt w:val="lowerRoman"/>
      <w:lvlText w:val="%3."/>
      <w:lvlJc w:val="right"/>
      <w:pPr>
        <w:ind w:left="1744" w:hanging="440"/>
      </w:pPr>
    </w:lvl>
    <w:lvl w:ilvl="3" w:tentative="0">
      <w:start w:val="1"/>
      <w:numFmt w:val="decimal"/>
      <w:lvlText w:val="%4."/>
      <w:lvlJc w:val="left"/>
      <w:pPr>
        <w:ind w:left="2184" w:hanging="440"/>
      </w:pPr>
    </w:lvl>
    <w:lvl w:ilvl="4" w:tentative="0">
      <w:start w:val="1"/>
      <w:numFmt w:val="lowerLetter"/>
      <w:lvlText w:val="%5)"/>
      <w:lvlJc w:val="left"/>
      <w:pPr>
        <w:ind w:left="2624" w:hanging="440"/>
      </w:pPr>
    </w:lvl>
    <w:lvl w:ilvl="5" w:tentative="0">
      <w:start w:val="1"/>
      <w:numFmt w:val="lowerRoman"/>
      <w:lvlText w:val="%6."/>
      <w:lvlJc w:val="right"/>
      <w:pPr>
        <w:ind w:left="3064" w:hanging="440"/>
      </w:pPr>
    </w:lvl>
    <w:lvl w:ilvl="6" w:tentative="0">
      <w:start w:val="1"/>
      <w:numFmt w:val="decimal"/>
      <w:lvlText w:val="%7."/>
      <w:lvlJc w:val="left"/>
      <w:pPr>
        <w:ind w:left="3504" w:hanging="440"/>
      </w:pPr>
    </w:lvl>
    <w:lvl w:ilvl="7" w:tentative="0">
      <w:start w:val="1"/>
      <w:numFmt w:val="lowerLetter"/>
      <w:lvlText w:val="%8)"/>
      <w:lvlJc w:val="left"/>
      <w:pPr>
        <w:ind w:left="3944" w:hanging="440"/>
      </w:pPr>
    </w:lvl>
    <w:lvl w:ilvl="8" w:tentative="0">
      <w:start w:val="1"/>
      <w:numFmt w:val="lowerRoman"/>
      <w:lvlText w:val="%9."/>
      <w:lvlJc w:val="right"/>
      <w:pPr>
        <w:ind w:left="4384" w:hanging="440"/>
      </w:pPr>
    </w:lvl>
  </w:abstractNum>
  <w:abstractNum w:abstractNumId="13">
    <w:nsid w:val="2BA91D1C"/>
    <w:multiLevelType w:val="multilevel"/>
    <w:tmpl w:val="2BA91D1C"/>
    <w:lvl w:ilvl="0" w:tentative="0">
      <w:start w:val="1"/>
      <w:numFmt w:val="chineseCountingThousand"/>
      <w:lvlText w:val="%1"/>
      <w:lvlJc w:val="left"/>
      <w:pPr>
        <w:tabs>
          <w:tab w:val="left" w:pos="420"/>
        </w:tabs>
        <w:ind w:left="420" w:hanging="420"/>
      </w:pPr>
      <w:rPr>
        <w:rFonts w:hint="eastAsia"/>
        <w:b/>
        <w:i w:val="0"/>
        <w:sz w:val="28"/>
        <w:szCs w:val="28"/>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6"/>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4">
    <w:nsid w:val="55B475EA"/>
    <w:multiLevelType w:val="singleLevel"/>
    <w:tmpl w:val="55B475EA"/>
    <w:lvl w:ilvl="0" w:tentative="0">
      <w:start w:val="1"/>
      <w:numFmt w:val="chineseCounting"/>
      <w:suff w:val="nothing"/>
      <w:lvlText w:val="%1、"/>
      <w:lvlJc w:val="left"/>
      <w:pPr>
        <w:ind w:left="0" w:firstLine="420"/>
      </w:pPr>
      <w:rPr>
        <w:rFonts w:hint="eastAsia"/>
      </w:rPr>
    </w:lvl>
  </w:abstractNum>
  <w:abstractNum w:abstractNumId="15">
    <w:nsid w:val="5F8E0B5A"/>
    <w:multiLevelType w:val="multilevel"/>
    <w:tmpl w:val="5F8E0B5A"/>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6CD91362"/>
    <w:multiLevelType w:val="singleLevel"/>
    <w:tmpl w:val="6CD91362"/>
    <w:lvl w:ilvl="0" w:tentative="0">
      <w:start w:val="1"/>
      <w:numFmt w:val="decimal"/>
      <w:lvlText w:val="%1."/>
      <w:lvlJc w:val="left"/>
      <w:pPr>
        <w:ind w:left="420" w:hanging="420"/>
      </w:pPr>
      <w:rPr>
        <w:rFonts w:hint="default"/>
      </w:rPr>
    </w:lvl>
  </w:abstractNum>
  <w:num w:numId="1">
    <w:abstractNumId w:val="13"/>
  </w:num>
  <w:num w:numId="2">
    <w:abstractNumId w:val="14"/>
  </w:num>
  <w:num w:numId="3">
    <w:abstractNumId w:val="16"/>
  </w:num>
  <w:num w:numId="4">
    <w:abstractNumId w:val="11"/>
  </w:num>
  <w:num w:numId="5">
    <w:abstractNumId w:val="1"/>
  </w:num>
  <w:num w:numId="6">
    <w:abstractNumId w:val="0"/>
  </w:num>
  <w:num w:numId="7">
    <w:abstractNumId w:val="4"/>
  </w:num>
  <w:num w:numId="8">
    <w:abstractNumId w:val="9"/>
  </w:num>
  <w:num w:numId="9">
    <w:abstractNumId w:val="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
  </w:num>
  <w:num w:numId="13">
    <w:abstractNumId w:val="15"/>
  </w:num>
  <w:num w:numId="14">
    <w:abstractNumId w:val="2"/>
  </w:num>
  <w:num w:numId="15">
    <w:abstractNumId w:val="6"/>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bordersDoNotSurroundHeader w:val="1"/>
  <w:bordersDoNotSurroundFooter w:val="1"/>
  <w:documentProtection w:enforcement="0"/>
  <w:defaultTabStop w:val="4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2YzUzOTQ3ZDJiNmFlMmJiZGU2NGQzMzc3MTZkNmMifQ=="/>
  </w:docVars>
  <w:rsids>
    <w:rsidRoot w:val="00D82F88"/>
    <w:rsid w:val="00000114"/>
    <w:rsid w:val="00001124"/>
    <w:rsid w:val="00004308"/>
    <w:rsid w:val="000043D7"/>
    <w:rsid w:val="0000498D"/>
    <w:rsid w:val="0000673A"/>
    <w:rsid w:val="00011D65"/>
    <w:rsid w:val="000123B5"/>
    <w:rsid w:val="00014FC0"/>
    <w:rsid w:val="00015846"/>
    <w:rsid w:val="0002209B"/>
    <w:rsid w:val="00023C2A"/>
    <w:rsid w:val="000268DF"/>
    <w:rsid w:val="00026D8A"/>
    <w:rsid w:val="00030787"/>
    <w:rsid w:val="00030929"/>
    <w:rsid w:val="000312C8"/>
    <w:rsid w:val="000322BF"/>
    <w:rsid w:val="000334E8"/>
    <w:rsid w:val="000377B6"/>
    <w:rsid w:val="00040D44"/>
    <w:rsid w:val="00041233"/>
    <w:rsid w:val="00042B80"/>
    <w:rsid w:val="00043865"/>
    <w:rsid w:val="00043D03"/>
    <w:rsid w:val="000450CA"/>
    <w:rsid w:val="0004670C"/>
    <w:rsid w:val="00047731"/>
    <w:rsid w:val="00047D00"/>
    <w:rsid w:val="000561AA"/>
    <w:rsid w:val="00056FE9"/>
    <w:rsid w:val="00061B6A"/>
    <w:rsid w:val="0006371A"/>
    <w:rsid w:val="00063AB2"/>
    <w:rsid w:val="00063E98"/>
    <w:rsid w:val="000734B1"/>
    <w:rsid w:val="00073B1F"/>
    <w:rsid w:val="000748D9"/>
    <w:rsid w:val="0007649E"/>
    <w:rsid w:val="00081D58"/>
    <w:rsid w:val="000832C9"/>
    <w:rsid w:val="00084B65"/>
    <w:rsid w:val="0008511B"/>
    <w:rsid w:val="00095AF2"/>
    <w:rsid w:val="00096FF2"/>
    <w:rsid w:val="000A0781"/>
    <w:rsid w:val="000A1A55"/>
    <w:rsid w:val="000A52B6"/>
    <w:rsid w:val="000A627E"/>
    <w:rsid w:val="000B131D"/>
    <w:rsid w:val="000B153F"/>
    <w:rsid w:val="000B179C"/>
    <w:rsid w:val="000B253F"/>
    <w:rsid w:val="000B3ADF"/>
    <w:rsid w:val="000B4B87"/>
    <w:rsid w:val="000C1429"/>
    <w:rsid w:val="000C3688"/>
    <w:rsid w:val="000D1E5B"/>
    <w:rsid w:val="000D53A7"/>
    <w:rsid w:val="000D6489"/>
    <w:rsid w:val="000E1481"/>
    <w:rsid w:val="000E3364"/>
    <w:rsid w:val="000E6264"/>
    <w:rsid w:val="000F02EF"/>
    <w:rsid w:val="000F2C82"/>
    <w:rsid w:val="000F3CD3"/>
    <w:rsid w:val="00101F28"/>
    <w:rsid w:val="00104643"/>
    <w:rsid w:val="00105D7F"/>
    <w:rsid w:val="0010618A"/>
    <w:rsid w:val="00107862"/>
    <w:rsid w:val="00113AF0"/>
    <w:rsid w:val="00115C3C"/>
    <w:rsid w:val="00116793"/>
    <w:rsid w:val="00116C92"/>
    <w:rsid w:val="001171AE"/>
    <w:rsid w:val="00117EA5"/>
    <w:rsid w:val="0012303B"/>
    <w:rsid w:val="001244EB"/>
    <w:rsid w:val="0012485F"/>
    <w:rsid w:val="00127092"/>
    <w:rsid w:val="00130104"/>
    <w:rsid w:val="00130373"/>
    <w:rsid w:val="0013338E"/>
    <w:rsid w:val="00133EB7"/>
    <w:rsid w:val="00133F86"/>
    <w:rsid w:val="001346FA"/>
    <w:rsid w:val="001361C0"/>
    <w:rsid w:val="00136A33"/>
    <w:rsid w:val="00137C15"/>
    <w:rsid w:val="00141E08"/>
    <w:rsid w:val="001456EC"/>
    <w:rsid w:val="0015084E"/>
    <w:rsid w:val="00154612"/>
    <w:rsid w:val="001564FE"/>
    <w:rsid w:val="00160019"/>
    <w:rsid w:val="001608DD"/>
    <w:rsid w:val="001629FE"/>
    <w:rsid w:val="00166D9D"/>
    <w:rsid w:val="00171D87"/>
    <w:rsid w:val="0017295D"/>
    <w:rsid w:val="00180ECD"/>
    <w:rsid w:val="0018716F"/>
    <w:rsid w:val="001903A2"/>
    <w:rsid w:val="001913B0"/>
    <w:rsid w:val="00191C04"/>
    <w:rsid w:val="00192A5A"/>
    <w:rsid w:val="00193069"/>
    <w:rsid w:val="00193CB0"/>
    <w:rsid w:val="00193F58"/>
    <w:rsid w:val="001954BB"/>
    <w:rsid w:val="001A0418"/>
    <w:rsid w:val="001A40BE"/>
    <w:rsid w:val="001A55F9"/>
    <w:rsid w:val="001A5EE7"/>
    <w:rsid w:val="001B13B6"/>
    <w:rsid w:val="001B21A7"/>
    <w:rsid w:val="001B360D"/>
    <w:rsid w:val="001B3CCA"/>
    <w:rsid w:val="001B5C3C"/>
    <w:rsid w:val="001C07DC"/>
    <w:rsid w:val="001C4349"/>
    <w:rsid w:val="001C68B2"/>
    <w:rsid w:val="001C7752"/>
    <w:rsid w:val="001D0201"/>
    <w:rsid w:val="001D1F57"/>
    <w:rsid w:val="001E087A"/>
    <w:rsid w:val="001E1A14"/>
    <w:rsid w:val="001E5798"/>
    <w:rsid w:val="001E63FC"/>
    <w:rsid w:val="001E73F6"/>
    <w:rsid w:val="001F1CE4"/>
    <w:rsid w:val="001F1D21"/>
    <w:rsid w:val="001F4E1B"/>
    <w:rsid w:val="001F6D34"/>
    <w:rsid w:val="001F75A2"/>
    <w:rsid w:val="001F7A29"/>
    <w:rsid w:val="001F7A3A"/>
    <w:rsid w:val="001F7DDF"/>
    <w:rsid w:val="00201A67"/>
    <w:rsid w:val="00201C3C"/>
    <w:rsid w:val="00201CCD"/>
    <w:rsid w:val="002040A6"/>
    <w:rsid w:val="002047BF"/>
    <w:rsid w:val="00206A4F"/>
    <w:rsid w:val="00206D45"/>
    <w:rsid w:val="00207041"/>
    <w:rsid w:val="00207AE4"/>
    <w:rsid w:val="00211729"/>
    <w:rsid w:val="00212FA8"/>
    <w:rsid w:val="0021449D"/>
    <w:rsid w:val="0022077C"/>
    <w:rsid w:val="00224143"/>
    <w:rsid w:val="002247BE"/>
    <w:rsid w:val="00226072"/>
    <w:rsid w:val="0023143C"/>
    <w:rsid w:val="00233744"/>
    <w:rsid w:val="00235416"/>
    <w:rsid w:val="002371A7"/>
    <w:rsid w:val="002371D8"/>
    <w:rsid w:val="002415A9"/>
    <w:rsid w:val="00241A8D"/>
    <w:rsid w:val="00244BC9"/>
    <w:rsid w:val="00250666"/>
    <w:rsid w:val="00250852"/>
    <w:rsid w:val="002528AE"/>
    <w:rsid w:val="00252B00"/>
    <w:rsid w:val="00254D80"/>
    <w:rsid w:val="002576CB"/>
    <w:rsid w:val="00260524"/>
    <w:rsid w:val="00260A84"/>
    <w:rsid w:val="00260E11"/>
    <w:rsid w:val="002631A6"/>
    <w:rsid w:val="00264834"/>
    <w:rsid w:val="002723CE"/>
    <w:rsid w:val="002739A0"/>
    <w:rsid w:val="00273E87"/>
    <w:rsid w:val="002777D8"/>
    <w:rsid w:val="00280E02"/>
    <w:rsid w:val="002851BB"/>
    <w:rsid w:val="00286EA5"/>
    <w:rsid w:val="0029677A"/>
    <w:rsid w:val="00296C13"/>
    <w:rsid w:val="00297FB1"/>
    <w:rsid w:val="002A3334"/>
    <w:rsid w:val="002B173F"/>
    <w:rsid w:val="002B5418"/>
    <w:rsid w:val="002B6E45"/>
    <w:rsid w:val="002B6FC1"/>
    <w:rsid w:val="002B740C"/>
    <w:rsid w:val="002C07F7"/>
    <w:rsid w:val="002C16E4"/>
    <w:rsid w:val="002C3F15"/>
    <w:rsid w:val="002C49D9"/>
    <w:rsid w:val="002D1A00"/>
    <w:rsid w:val="002D1E75"/>
    <w:rsid w:val="002D1EA2"/>
    <w:rsid w:val="002D3779"/>
    <w:rsid w:val="002D62BF"/>
    <w:rsid w:val="002E1F0C"/>
    <w:rsid w:val="002E4E0B"/>
    <w:rsid w:val="002F07FD"/>
    <w:rsid w:val="002F3C60"/>
    <w:rsid w:val="002F4617"/>
    <w:rsid w:val="002F6DA7"/>
    <w:rsid w:val="00301C5E"/>
    <w:rsid w:val="00302563"/>
    <w:rsid w:val="00302AB7"/>
    <w:rsid w:val="00307232"/>
    <w:rsid w:val="00307D7A"/>
    <w:rsid w:val="0031441C"/>
    <w:rsid w:val="00314ACB"/>
    <w:rsid w:val="0031571C"/>
    <w:rsid w:val="00315D9E"/>
    <w:rsid w:val="00315F16"/>
    <w:rsid w:val="003179D0"/>
    <w:rsid w:val="00320218"/>
    <w:rsid w:val="00321DD2"/>
    <w:rsid w:val="00322D38"/>
    <w:rsid w:val="00323F96"/>
    <w:rsid w:val="0032408A"/>
    <w:rsid w:val="00324732"/>
    <w:rsid w:val="00327FE5"/>
    <w:rsid w:val="003311A2"/>
    <w:rsid w:val="00334EC3"/>
    <w:rsid w:val="00335F37"/>
    <w:rsid w:val="003403DA"/>
    <w:rsid w:val="003409C3"/>
    <w:rsid w:val="003437C3"/>
    <w:rsid w:val="00350F05"/>
    <w:rsid w:val="0035238F"/>
    <w:rsid w:val="003538F4"/>
    <w:rsid w:val="00357F80"/>
    <w:rsid w:val="00361FD2"/>
    <w:rsid w:val="00365449"/>
    <w:rsid w:val="00371206"/>
    <w:rsid w:val="00372AB9"/>
    <w:rsid w:val="003737E4"/>
    <w:rsid w:val="0037733F"/>
    <w:rsid w:val="0037744D"/>
    <w:rsid w:val="003818DA"/>
    <w:rsid w:val="00391BE0"/>
    <w:rsid w:val="00397FC1"/>
    <w:rsid w:val="003A0DEC"/>
    <w:rsid w:val="003A4012"/>
    <w:rsid w:val="003A7432"/>
    <w:rsid w:val="003A7F74"/>
    <w:rsid w:val="003B0B27"/>
    <w:rsid w:val="003B1139"/>
    <w:rsid w:val="003B1A83"/>
    <w:rsid w:val="003B3548"/>
    <w:rsid w:val="003B56A4"/>
    <w:rsid w:val="003B6D69"/>
    <w:rsid w:val="003C3610"/>
    <w:rsid w:val="003C43A7"/>
    <w:rsid w:val="003C48AB"/>
    <w:rsid w:val="003C73B1"/>
    <w:rsid w:val="003D01E7"/>
    <w:rsid w:val="003D25BC"/>
    <w:rsid w:val="003D4AE8"/>
    <w:rsid w:val="003D769E"/>
    <w:rsid w:val="003D78C8"/>
    <w:rsid w:val="003E047B"/>
    <w:rsid w:val="003F07DE"/>
    <w:rsid w:val="003F495B"/>
    <w:rsid w:val="003F7C1F"/>
    <w:rsid w:val="004014B7"/>
    <w:rsid w:val="00401FF8"/>
    <w:rsid w:val="00406427"/>
    <w:rsid w:val="0040738F"/>
    <w:rsid w:val="004075FD"/>
    <w:rsid w:val="00412DF1"/>
    <w:rsid w:val="00412ECE"/>
    <w:rsid w:val="00415809"/>
    <w:rsid w:val="00433396"/>
    <w:rsid w:val="00433874"/>
    <w:rsid w:val="00434648"/>
    <w:rsid w:val="00435FB8"/>
    <w:rsid w:val="004371AA"/>
    <w:rsid w:val="00440A3C"/>
    <w:rsid w:val="00444C03"/>
    <w:rsid w:val="0044586D"/>
    <w:rsid w:val="00453EF5"/>
    <w:rsid w:val="0046486F"/>
    <w:rsid w:val="00465E8F"/>
    <w:rsid w:val="00467104"/>
    <w:rsid w:val="004673A3"/>
    <w:rsid w:val="00472CA3"/>
    <w:rsid w:val="004822F0"/>
    <w:rsid w:val="004830F4"/>
    <w:rsid w:val="004877F8"/>
    <w:rsid w:val="00487D35"/>
    <w:rsid w:val="0049243C"/>
    <w:rsid w:val="004947A3"/>
    <w:rsid w:val="00496CC1"/>
    <w:rsid w:val="00497196"/>
    <w:rsid w:val="004979BD"/>
    <w:rsid w:val="004A5ADF"/>
    <w:rsid w:val="004A5B4B"/>
    <w:rsid w:val="004A7BE4"/>
    <w:rsid w:val="004C0800"/>
    <w:rsid w:val="004C3093"/>
    <w:rsid w:val="004C51D2"/>
    <w:rsid w:val="004C717A"/>
    <w:rsid w:val="004D2107"/>
    <w:rsid w:val="004D2869"/>
    <w:rsid w:val="004E5E57"/>
    <w:rsid w:val="004F0080"/>
    <w:rsid w:val="004F1F61"/>
    <w:rsid w:val="004F35D8"/>
    <w:rsid w:val="004F7CEE"/>
    <w:rsid w:val="005023E6"/>
    <w:rsid w:val="0050454E"/>
    <w:rsid w:val="00510C9D"/>
    <w:rsid w:val="00514A23"/>
    <w:rsid w:val="00516C24"/>
    <w:rsid w:val="00520A34"/>
    <w:rsid w:val="005210D1"/>
    <w:rsid w:val="0052327B"/>
    <w:rsid w:val="00523767"/>
    <w:rsid w:val="00524A0C"/>
    <w:rsid w:val="00524DA6"/>
    <w:rsid w:val="005263C9"/>
    <w:rsid w:val="005277D7"/>
    <w:rsid w:val="005315A2"/>
    <w:rsid w:val="00532DD2"/>
    <w:rsid w:val="005337CA"/>
    <w:rsid w:val="00534A06"/>
    <w:rsid w:val="0053543B"/>
    <w:rsid w:val="00535832"/>
    <w:rsid w:val="00536E91"/>
    <w:rsid w:val="00541544"/>
    <w:rsid w:val="00550310"/>
    <w:rsid w:val="00552B75"/>
    <w:rsid w:val="00554A33"/>
    <w:rsid w:val="00571DB6"/>
    <w:rsid w:val="005729D2"/>
    <w:rsid w:val="005746B9"/>
    <w:rsid w:val="00574B43"/>
    <w:rsid w:val="005764D4"/>
    <w:rsid w:val="005804B3"/>
    <w:rsid w:val="00581C17"/>
    <w:rsid w:val="00581CAE"/>
    <w:rsid w:val="00584A31"/>
    <w:rsid w:val="00584CB7"/>
    <w:rsid w:val="00585453"/>
    <w:rsid w:val="00585898"/>
    <w:rsid w:val="00585C25"/>
    <w:rsid w:val="00591C57"/>
    <w:rsid w:val="00591F78"/>
    <w:rsid w:val="00592BDD"/>
    <w:rsid w:val="00596D93"/>
    <w:rsid w:val="00596DA4"/>
    <w:rsid w:val="005A0EDD"/>
    <w:rsid w:val="005A3CFB"/>
    <w:rsid w:val="005A50B4"/>
    <w:rsid w:val="005A5C20"/>
    <w:rsid w:val="005A74D7"/>
    <w:rsid w:val="005B1BF9"/>
    <w:rsid w:val="005B429D"/>
    <w:rsid w:val="005B4DD4"/>
    <w:rsid w:val="005B5D66"/>
    <w:rsid w:val="005B6A46"/>
    <w:rsid w:val="005B721C"/>
    <w:rsid w:val="005C36D7"/>
    <w:rsid w:val="005C4D30"/>
    <w:rsid w:val="005C6F07"/>
    <w:rsid w:val="005C7095"/>
    <w:rsid w:val="005D0056"/>
    <w:rsid w:val="005D09EC"/>
    <w:rsid w:val="005D11AC"/>
    <w:rsid w:val="005D287E"/>
    <w:rsid w:val="005D2BB7"/>
    <w:rsid w:val="005D4158"/>
    <w:rsid w:val="005D7F70"/>
    <w:rsid w:val="005E250C"/>
    <w:rsid w:val="005E50D9"/>
    <w:rsid w:val="005E5CBA"/>
    <w:rsid w:val="005E5D2D"/>
    <w:rsid w:val="005F06C0"/>
    <w:rsid w:val="005F076D"/>
    <w:rsid w:val="005F29E7"/>
    <w:rsid w:val="005F3DE2"/>
    <w:rsid w:val="005F67A5"/>
    <w:rsid w:val="005F6A5F"/>
    <w:rsid w:val="0060072A"/>
    <w:rsid w:val="00600A5E"/>
    <w:rsid w:val="00601DBC"/>
    <w:rsid w:val="00605F7E"/>
    <w:rsid w:val="0061121E"/>
    <w:rsid w:val="00612C1B"/>
    <w:rsid w:val="00616FB2"/>
    <w:rsid w:val="00617B9A"/>
    <w:rsid w:val="00620839"/>
    <w:rsid w:val="00622A93"/>
    <w:rsid w:val="00624E65"/>
    <w:rsid w:val="00624F5A"/>
    <w:rsid w:val="006272C8"/>
    <w:rsid w:val="00630B96"/>
    <w:rsid w:val="006351C4"/>
    <w:rsid w:val="006418CF"/>
    <w:rsid w:val="00643775"/>
    <w:rsid w:val="00644B54"/>
    <w:rsid w:val="00650C8F"/>
    <w:rsid w:val="006511C1"/>
    <w:rsid w:val="00656DD7"/>
    <w:rsid w:val="00662A23"/>
    <w:rsid w:val="00664EBC"/>
    <w:rsid w:val="00665FF3"/>
    <w:rsid w:val="006676FB"/>
    <w:rsid w:val="00673AA0"/>
    <w:rsid w:val="00676098"/>
    <w:rsid w:val="006766BF"/>
    <w:rsid w:val="0068009A"/>
    <w:rsid w:val="00680868"/>
    <w:rsid w:val="006810FE"/>
    <w:rsid w:val="00681A98"/>
    <w:rsid w:val="006850D7"/>
    <w:rsid w:val="00686041"/>
    <w:rsid w:val="00686CB5"/>
    <w:rsid w:val="0068713C"/>
    <w:rsid w:val="0068749E"/>
    <w:rsid w:val="0068750D"/>
    <w:rsid w:val="00691A7A"/>
    <w:rsid w:val="006927CE"/>
    <w:rsid w:val="00693A58"/>
    <w:rsid w:val="0069426F"/>
    <w:rsid w:val="006970D3"/>
    <w:rsid w:val="006A0192"/>
    <w:rsid w:val="006A06E8"/>
    <w:rsid w:val="006A6B57"/>
    <w:rsid w:val="006B02A8"/>
    <w:rsid w:val="006C019A"/>
    <w:rsid w:val="006C1883"/>
    <w:rsid w:val="006C2DD4"/>
    <w:rsid w:val="006C4A23"/>
    <w:rsid w:val="006C6B99"/>
    <w:rsid w:val="006C6D4D"/>
    <w:rsid w:val="006D16D4"/>
    <w:rsid w:val="006D1DA6"/>
    <w:rsid w:val="006D4D0A"/>
    <w:rsid w:val="006D5915"/>
    <w:rsid w:val="006E30A2"/>
    <w:rsid w:val="006E3CC0"/>
    <w:rsid w:val="006E7ABF"/>
    <w:rsid w:val="006F11BF"/>
    <w:rsid w:val="006F3085"/>
    <w:rsid w:val="00701802"/>
    <w:rsid w:val="00702309"/>
    <w:rsid w:val="00703686"/>
    <w:rsid w:val="00705015"/>
    <w:rsid w:val="00705DE6"/>
    <w:rsid w:val="007065D3"/>
    <w:rsid w:val="00706FE2"/>
    <w:rsid w:val="00707223"/>
    <w:rsid w:val="00710A58"/>
    <w:rsid w:val="0071528A"/>
    <w:rsid w:val="00716EEB"/>
    <w:rsid w:val="007248A1"/>
    <w:rsid w:val="007278F1"/>
    <w:rsid w:val="007312BC"/>
    <w:rsid w:val="00733C70"/>
    <w:rsid w:val="007358BE"/>
    <w:rsid w:val="00735DC3"/>
    <w:rsid w:val="007372FC"/>
    <w:rsid w:val="0074037E"/>
    <w:rsid w:val="00741C4D"/>
    <w:rsid w:val="00742978"/>
    <w:rsid w:val="00742A38"/>
    <w:rsid w:val="00742F7E"/>
    <w:rsid w:val="00743308"/>
    <w:rsid w:val="00744012"/>
    <w:rsid w:val="00751D7A"/>
    <w:rsid w:val="00751F96"/>
    <w:rsid w:val="00754526"/>
    <w:rsid w:val="00756595"/>
    <w:rsid w:val="00757387"/>
    <w:rsid w:val="00757613"/>
    <w:rsid w:val="007611FC"/>
    <w:rsid w:val="00761B0C"/>
    <w:rsid w:val="00764258"/>
    <w:rsid w:val="007658A1"/>
    <w:rsid w:val="00770AD5"/>
    <w:rsid w:val="007711C5"/>
    <w:rsid w:val="00772C24"/>
    <w:rsid w:val="00775604"/>
    <w:rsid w:val="00777665"/>
    <w:rsid w:val="0078000F"/>
    <w:rsid w:val="00780CA0"/>
    <w:rsid w:val="00783869"/>
    <w:rsid w:val="00784F17"/>
    <w:rsid w:val="00785C49"/>
    <w:rsid w:val="00790F1A"/>
    <w:rsid w:val="0079385F"/>
    <w:rsid w:val="007A3FD7"/>
    <w:rsid w:val="007A4827"/>
    <w:rsid w:val="007A5C73"/>
    <w:rsid w:val="007A6686"/>
    <w:rsid w:val="007B2B1F"/>
    <w:rsid w:val="007B38FC"/>
    <w:rsid w:val="007C1D3E"/>
    <w:rsid w:val="007C2A58"/>
    <w:rsid w:val="007C50B9"/>
    <w:rsid w:val="007C5828"/>
    <w:rsid w:val="007D13EB"/>
    <w:rsid w:val="007D24F5"/>
    <w:rsid w:val="007D269E"/>
    <w:rsid w:val="007D35CC"/>
    <w:rsid w:val="007D41F9"/>
    <w:rsid w:val="007D4421"/>
    <w:rsid w:val="007D5047"/>
    <w:rsid w:val="007D5660"/>
    <w:rsid w:val="007D7E76"/>
    <w:rsid w:val="007E0A1B"/>
    <w:rsid w:val="007E3B6F"/>
    <w:rsid w:val="007E5045"/>
    <w:rsid w:val="007E5B85"/>
    <w:rsid w:val="007F0340"/>
    <w:rsid w:val="007F64F8"/>
    <w:rsid w:val="00801209"/>
    <w:rsid w:val="008037F7"/>
    <w:rsid w:val="008074EB"/>
    <w:rsid w:val="00814713"/>
    <w:rsid w:val="0082070D"/>
    <w:rsid w:val="008207FC"/>
    <w:rsid w:val="0082158A"/>
    <w:rsid w:val="00823696"/>
    <w:rsid w:val="00823ACF"/>
    <w:rsid w:val="00823B64"/>
    <w:rsid w:val="008256C7"/>
    <w:rsid w:val="00825E30"/>
    <w:rsid w:val="0082625F"/>
    <w:rsid w:val="008314FE"/>
    <w:rsid w:val="008344D5"/>
    <w:rsid w:val="00834B0E"/>
    <w:rsid w:val="008409BA"/>
    <w:rsid w:val="00840B2C"/>
    <w:rsid w:val="00845284"/>
    <w:rsid w:val="008464E7"/>
    <w:rsid w:val="00847734"/>
    <w:rsid w:val="0085007F"/>
    <w:rsid w:val="00850FB2"/>
    <w:rsid w:val="008529E4"/>
    <w:rsid w:val="00864137"/>
    <w:rsid w:val="00874917"/>
    <w:rsid w:val="00890038"/>
    <w:rsid w:val="008915C0"/>
    <w:rsid w:val="00894B68"/>
    <w:rsid w:val="00895CD5"/>
    <w:rsid w:val="00896F37"/>
    <w:rsid w:val="008A241F"/>
    <w:rsid w:val="008B5D6D"/>
    <w:rsid w:val="008B5FE7"/>
    <w:rsid w:val="008C0182"/>
    <w:rsid w:val="008C1000"/>
    <w:rsid w:val="008C1437"/>
    <w:rsid w:val="008C2A2E"/>
    <w:rsid w:val="008D27EC"/>
    <w:rsid w:val="008D3CB1"/>
    <w:rsid w:val="008D46A4"/>
    <w:rsid w:val="008D59AB"/>
    <w:rsid w:val="008E01C0"/>
    <w:rsid w:val="008E131E"/>
    <w:rsid w:val="008E13C2"/>
    <w:rsid w:val="008E25B2"/>
    <w:rsid w:val="008E3766"/>
    <w:rsid w:val="008E6262"/>
    <w:rsid w:val="008F2B2A"/>
    <w:rsid w:val="009012EE"/>
    <w:rsid w:val="00902C9C"/>
    <w:rsid w:val="009108A0"/>
    <w:rsid w:val="00913886"/>
    <w:rsid w:val="00914A49"/>
    <w:rsid w:val="00915560"/>
    <w:rsid w:val="00920C79"/>
    <w:rsid w:val="00921A18"/>
    <w:rsid w:val="009228F7"/>
    <w:rsid w:val="0092341C"/>
    <w:rsid w:val="009258EA"/>
    <w:rsid w:val="00926937"/>
    <w:rsid w:val="00931F59"/>
    <w:rsid w:val="00933A80"/>
    <w:rsid w:val="00935958"/>
    <w:rsid w:val="00936C20"/>
    <w:rsid w:val="009409F8"/>
    <w:rsid w:val="00941970"/>
    <w:rsid w:val="00943493"/>
    <w:rsid w:val="00945628"/>
    <w:rsid w:val="00950F2B"/>
    <w:rsid w:val="00952A8F"/>
    <w:rsid w:val="00954C44"/>
    <w:rsid w:val="00954FB7"/>
    <w:rsid w:val="00955E34"/>
    <w:rsid w:val="0095629F"/>
    <w:rsid w:val="009563E1"/>
    <w:rsid w:val="00956E95"/>
    <w:rsid w:val="00957473"/>
    <w:rsid w:val="009613AA"/>
    <w:rsid w:val="00965717"/>
    <w:rsid w:val="009662B3"/>
    <w:rsid w:val="009841E0"/>
    <w:rsid w:val="009913A0"/>
    <w:rsid w:val="0099183A"/>
    <w:rsid w:val="00993CF2"/>
    <w:rsid w:val="009A1895"/>
    <w:rsid w:val="009A33A4"/>
    <w:rsid w:val="009A51B4"/>
    <w:rsid w:val="009B09A3"/>
    <w:rsid w:val="009B0F5B"/>
    <w:rsid w:val="009B4647"/>
    <w:rsid w:val="009B7E33"/>
    <w:rsid w:val="009C017A"/>
    <w:rsid w:val="009C0885"/>
    <w:rsid w:val="009C0FBD"/>
    <w:rsid w:val="009C1791"/>
    <w:rsid w:val="009C1966"/>
    <w:rsid w:val="009C3F3D"/>
    <w:rsid w:val="009C5D07"/>
    <w:rsid w:val="009D1AE2"/>
    <w:rsid w:val="009D7E40"/>
    <w:rsid w:val="009E13E5"/>
    <w:rsid w:val="009E25E3"/>
    <w:rsid w:val="009E27A0"/>
    <w:rsid w:val="009E2C79"/>
    <w:rsid w:val="009E37D7"/>
    <w:rsid w:val="009E4350"/>
    <w:rsid w:val="009F1580"/>
    <w:rsid w:val="009F17A1"/>
    <w:rsid w:val="009F1AC3"/>
    <w:rsid w:val="00A021B7"/>
    <w:rsid w:val="00A02595"/>
    <w:rsid w:val="00A05CEF"/>
    <w:rsid w:val="00A0705B"/>
    <w:rsid w:val="00A07C0D"/>
    <w:rsid w:val="00A13E45"/>
    <w:rsid w:val="00A15F52"/>
    <w:rsid w:val="00A26613"/>
    <w:rsid w:val="00A26F1E"/>
    <w:rsid w:val="00A27EFC"/>
    <w:rsid w:val="00A305CE"/>
    <w:rsid w:val="00A3102B"/>
    <w:rsid w:val="00A3360F"/>
    <w:rsid w:val="00A34198"/>
    <w:rsid w:val="00A37C96"/>
    <w:rsid w:val="00A44384"/>
    <w:rsid w:val="00A45D30"/>
    <w:rsid w:val="00A45DB0"/>
    <w:rsid w:val="00A60220"/>
    <w:rsid w:val="00A6565E"/>
    <w:rsid w:val="00A70632"/>
    <w:rsid w:val="00A73091"/>
    <w:rsid w:val="00A73570"/>
    <w:rsid w:val="00A75750"/>
    <w:rsid w:val="00A819B4"/>
    <w:rsid w:val="00A84EF1"/>
    <w:rsid w:val="00A859B1"/>
    <w:rsid w:val="00A90C56"/>
    <w:rsid w:val="00A92479"/>
    <w:rsid w:val="00A93191"/>
    <w:rsid w:val="00A95E58"/>
    <w:rsid w:val="00A97BDF"/>
    <w:rsid w:val="00AA456F"/>
    <w:rsid w:val="00AA68A2"/>
    <w:rsid w:val="00AB514A"/>
    <w:rsid w:val="00AC1DAD"/>
    <w:rsid w:val="00AC50C2"/>
    <w:rsid w:val="00AC50FC"/>
    <w:rsid w:val="00AC5F7F"/>
    <w:rsid w:val="00AD0209"/>
    <w:rsid w:val="00AD211D"/>
    <w:rsid w:val="00AD2973"/>
    <w:rsid w:val="00AD29B0"/>
    <w:rsid w:val="00AD4CC7"/>
    <w:rsid w:val="00AE127B"/>
    <w:rsid w:val="00AE1915"/>
    <w:rsid w:val="00AE3468"/>
    <w:rsid w:val="00AE5235"/>
    <w:rsid w:val="00AE56FF"/>
    <w:rsid w:val="00AE5830"/>
    <w:rsid w:val="00AE617F"/>
    <w:rsid w:val="00AE68FE"/>
    <w:rsid w:val="00AE7A66"/>
    <w:rsid w:val="00AE7F7E"/>
    <w:rsid w:val="00AF21F0"/>
    <w:rsid w:val="00AF391B"/>
    <w:rsid w:val="00AF3C0B"/>
    <w:rsid w:val="00AF6202"/>
    <w:rsid w:val="00AF7093"/>
    <w:rsid w:val="00AF7E67"/>
    <w:rsid w:val="00B005E3"/>
    <w:rsid w:val="00B0282A"/>
    <w:rsid w:val="00B02947"/>
    <w:rsid w:val="00B03D25"/>
    <w:rsid w:val="00B07628"/>
    <w:rsid w:val="00B10FD8"/>
    <w:rsid w:val="00B174AD"/>
    <w:rsid w:val="00B22288"/>
    <w:rsid w:val="00B25433"/>
    <w:rsid w:val="00B30D75"/>
    <w:rsid w:val="00B32024"/>
    <w:rsid w:val="00B410C0"/>
    <w:rsid w:val="00B416D0"/>
    <w:rsid w:val="00B43EE5"/>
    <w:rsid w:val="00B460D9"/>
    <w:rsid w:val="00B519A6"/>
    <w:rsid w:val="00B51D7B"/>
    <w:rsid w:val="00B529B3"/>
    <w:rsid w:val="00B5462A"/>
    <w:rsid w:val="00B54B80"/>
    <w:rsid w:val="00B55412"/>
    <w:rsid w:val="00B565C1"/>
    <w:rsid w:val="00B56D4C"/>
    <w:rsid w:val="00B56EFF"/>
    <w:rsid w:val="00B635E8"/>
    <w:rsid w:val="00B64586"/>
    <w:rsid w:val="00B64679"/>
    <w:rsid w:val="00B65FF2"/>
    <w:rsid w:val="00B66041"/>
    <w:rsid w:val="00B66A0E"/>
    <w:rsid w:val="00B67150"/>
    <w:rsid w:val="00B6756B"/>
    <w:rsid w:val="00B72086"/>
    <w:rsid w:val="00B73EFC"/>
    <w:rsid w:val="00B74DB1"/>
    <w:rsid w:val="00B75C92"/>
    <w:rsid w:val="00B77F8E"/>
    <w:rsid w:val="00B80689"/>
    <w:rsid w:val="00B8106E"/>
    <w:rsid w:val="00B91570"/>
    <w:rsid w:val="00B92DB3"/>
    <w:rsid w:val="00B940BA"/>
    <w:rsid w:val="00B9548E"/>
    <w:rsid w:val="00B96495"/>
    <w:rsid w:val="00BA10C8"/>
    <w:rsid w:val="00BB24B9"/>
    <w:rsid w:val="00BB3906"/>
    <w:rsid w:val="00BB4A81"/>
    <w:rsid w:val="00BB503C"/>
    <w:rsid w:val="00BB75DD"/>
    <w:rsid w:val="00BC05E8"/>
    <w:rsid w:val="00BC0726"/>
    <w:rsid w:val="00BC5711"/>
    <w:rsid w:val="00BD01F7"/>
    <w:rsid w:val="00BD3191"/>
    <w:rsid w:val="00BD4E1E"/>
    <w:rsid w:val="00BE0A19"/>
    <w:rsid w:val="00BE0D92"/>
    <w:rsid w:val="00BE0FD5"/>
    <w:rsid w:val="00BE32C6"/>
    <w:rsid w:val="00BE4B29"/>
    <w:rsid w:val="00BE5506"/>
    <w:rsid w:val="00BE5EB4"/>
    <w:rsid w:val="00BF075B"/>
    <w:rsid w:val="00BF5522"/>
    <w:rsid w:val="00BF64DB"/>
    <w:rsid w:val="00BF69B4"/>
    <w:rsid w:val="00BF6B0C"/>
    <w:rsid w:val="00BF6DC6"/>
    <w:rsid w:val="00BF70E9"/>
    <w:rsid w:val="00C0154A"/>
    <w:rsid w:val="00C04744"/>
    <w:rsid w:val="00C07AA9"/>
    <w:rsid w:val="00C11586"/>
    <w:rsid w:val="00C12968"/>
    <w:rsid w:val="00C22F2A"/>
    <w:rsid w:val="00C2403F"/>
    <w:rsid w:val="00C26DB9"/>
    <w:rsid w:val="00C327E0"/>
    <w:rsid w:val="00C3383A"/>
    <w:rsid w:val="00C34584"/>
    <w:rsid w:val="00C3567D"/>
    <w:rsid w:val="00C4014F"/>
    <w:rsid w:val="00C415FA"/>
    <w:rsid w:val="00C42C8A"/>
    <w:rsid w:val="00C442E6"/>
    <w:rsid w:val="00C444E9"/>
    <w:rsid w:val="00C4729C"/>
    <w:rsid w:val="00C47ADA"/>
    <w:rsid w:val="00C511B3"/>
    <w:rsid w:val="00C512B8"/>
    <w:rsid w:val="00C525DC"/>
    <w:rsid w:val="00C52B15"/>
    <w:rsid w:val="00C53CF8"/>
    <w:rsid w:val="00C64801"/>
    <w:rsid w:val="00C64C02"/>
    <w:rsid w:val="00C65191"/>
    <w:rsid w:val="00C652DD"/>
    <w:rsid w:val="00C6579D"/>
    <w:rsid w:val="00C70A78"/>
    <w:rsid w:val="00C70D51"/>
    <w:rsid w:val="00C7166F"/>
    <w:rsid w:val="00C77CC5"/>
    <w:rsid w:val="00C8017A"/>
    <w:rsid w:val="00C844C4"/>
    <w:rsid w:val="00C85D5E"/>
    <w:rsid w:val="00C87601"/>
    <w:rsid w:val="00C947C2"/>
    <w:rsid w:val="00C95971"/>
    <w:rsid w:val="00CA4C5B"/>
    <w:rsid w:val="00CA5BB2"/>
    <w:rsid w:val="00CA70A5"/>
    <w:rsid w:val="00CB0021"/>
    <w:rsid w:val="00CB15C4"/>
    <w:rsid w:val="00CB3DB4"/>
    <w:rsid w:val="00CB59B2"/>
    <w:rsid w:val="00CC0CD0"/>
    <w:rsid w:val="00CC25EB"/>
    <w:rsid w:val="00CC2C75"/>
    <w:rsid w:val="00CC55EA"/>
    <w:rsid w:val="00CC643D"/>
    <w:rsid w:val="00CC6B3C"/>
    <w:rsid w:val="00CC7B8C"/>
    <w:rsid w:val="00CD097A"/>
    <w:rsid w:val="00CD1886"/>
    <w:rsid w:val="00CD4B59"/>
    <w:rsid w:val="00CD5D80"/>
    <w:rsid w:val="00CD7436"/>
    <w:rsid w:val="00CD7498"/>
    <w:rsid w:val="00CE0EC6"/>
    <w:rsid w:val="00CE27A4"/>
    <w:rsid w:val="00CE419A"/>
    <w:rsid w:val="00CE4495"/>
    <w:rsid w:val="00CF0201"/>
    <w:rsid w:val="00CF6ABE"/>
    <w:rsid w:val="00CF7495"/>
    <w:rsid w:val="00D0182F"/>
    <w:rsid w:val="00D06BA5"/>
    <w:rsid w:val="00D071F0"/>
    <w:rsid w:val="00D10DC6"/>
    <w:rsid w:val="00D1286D"/>
    <w:rsid w:val="00D142DA"/>
    <w:rsid w:val="00D20173"/>
    <w:rsid w:val="00D21E21"/>
    <w:rsid w:val="00D24600"/>
    <w:rsid w:val="00D26EE3"/>
    <w:rsid w:val="00D3535C"/>
    <w:rsid w:val="00D35BFC"/>
    <w:rsid w:val="00D36C3D"/>
    <w:rsid w:val="00D414B5"/>
    <w:rsid w:val="00D44067"/>
    <w:rsid w:val="00D44893"/>
    <w:rsid w:val="00D45A40"/>
    <w:rsid w:val="00D466C8"/>
    <w:rsid w:val="00D50A11"/>
    <w:rsid w:val="00D52218"/>
    <w:rsid w:val="00D52372"/>
    <w:rsid w:val="00D56724"/>
    <w:rsid w:val="00D57425"/>
    <w:rsid w:val="00D60343"/>
    <w:rsid w:val="00D640A0"/>
    <w:rsid w:val="00D643FE"/>
    <w:rsid w:val="00D7094E"/>
    <w:rsid w:val="00D7417C"/>
    <w:rsid w:val="00D74474"/>
    <w:rsid w:val="00D74721"/>
    <w:rsid w:val="00D763CA"/>
    <w:rsid w:val="00D80D79"/>
    <w:rsid w:val="00D82F88"/>
    <w:rsid w:val="00D8347B"/>
    <w:rsid w:val="00D838E1"/>
    <w:rsid w:val="00D85F18"/>
    <w:rsid w:val="00D92427"/>
    <w:rsid w:val="00D92483"/>
    <w:rsid w:val="00D92612"/>
    <w:rsid w:val="00D93AA6"/>
    <w:rsid w:val="00D94EAB"/>
    <w:rsid w:val="00D95D33"/>
    <w:rsid w:val="00DA04C9"/>
    <w:rsid w:val="00DA1EBC"/>
    <w:rsid w:val="00DA1FCC"/>
    <w:rsid w:val="00DA2C73"/>
    <w:rsid w:val="00DA7A9C"/>
    <w:rsid w:val="00DB287C"/>
    <w:rsid w:val="00DB3D24"/>
    <w:rsid w:val="00DB4132"/>
    <w:rsid w:val="00DB7B23"/>
    <w:rsid w:val="00DC054F"/>
    <w:rsid w:val="00DC2DC6"/>
    <w:rsid w:val="00DC4293"/>
    <w:rsid w:val="00DC7756"/>
    <w:rsid w:val="00DD1421"/>
    <w:rsid w:val="00DD1937"/>
    <w:rsid w:val="00DD4ABB"/>
    <w:rsid w:val="00DE21AB"/>
    <w:rsid w:val="00DE2FE8"/>
    <w:rsid w:val="00DE5C8E"/>
    <w:rsid w:val="00DE67B7"/>
    <w:rsid w:val="00DE6B5C"/>
    <w:rsid w:val="00DE72FC"/>
    <w:rsid w:val="00DE7AF3"/>
    <w:rsid w:val="00DF132E"/>
    <w:rsid w:val="00DF1D8E"/>
    <w:rsid w:val="00DF329C"/>
    <w:rsid w:val="00DF7C88"/>
    <w:rsid w:val="00E011B0"/>
    <w:rsid w:val="00E01FEF"/>
    <w:rsid w:val="00E02231"/>
    <w:rsid w:val="00E02F93"/>
    <w:rsid w:val="00E03C96"/>
    <w:rsid w:val="00E048E9"/>
    <w:rsid w:val="00E05328"/>
    <w:rsid w:val="00E07090"/>
    <w:rsid w:val="00E102DC"/>
    <w:rsid w:val="00E1053F"/>
    <w:rsid w:val="00E131D0"/>
    <w:rsid w:val="00E171A5"/>
    <w:rsid w:val="00E17918"/>
    <w:rsid w:val="00E2144A"/>
    <w:rsid w:val="00E25262"/>
    <w:rsid w:val="00E26A1A"/>
    <w:rsid w:val="00E32A66"/>
    <w:rsid w:val="00E35C10"/>
    <w:rsid w:val="00E3798B"/>
    <w:rsid w:val="00E4047D"/>
    <w:rsid w:val="00E40A83"/>
    <w:rsid w:val="00E425AF"/>
    <w:rsid w:val="00E4278A"/>
    <w:rsid w:val="00E43E9A"/>
    <w:rsid w:val="00E46966"/>
    <w:rsid w:val="00E54DA2"/>
    <w:rsid w:val="00E577E8"/>
    <w:rsid w:val="00E618DF"/>
    <w:rsid w:val="00E631F4"/>
    <w:rsid w:val="00E63E8C"/>
    <w:rsid w:val="00E725C7"/>
    <w:rsid w:val="00E72983"/>
    <w:rsid w:val="00E7480E"/>
    <w:rsid w:val="00E77AA3"/>
    <w:rsid w:val="00E80CE9"/>
    <w:rsid w:val="00E84FAE"/>
    <w:rsid w:val="00E8648A"/>
    <w:rsid w:val="00E876D4"/>
    <w:rsid w:val="00EA0E57"/>
    <w:rsid w:val="00EA3A0F"/>
    <w:rsid w:val="00EA45C9"/>
    <w:rsid w:val="00EA5391"/>
    <w:rsid w:val="00EA6C47"/>
    <w:rsid w:val="00EA72AC"/>
    <w:rsid w:val="00EB1595"/>
    <w:rsid w:val="00EB39E3"/>
    <w:rsid w:val="00EB4805"/>
    <w:rsid w:val="00EB5F2B"/>
    <w:rsid w:val="00EB6311"/>
    <w:rsid w:val="00EC1DF8"/>
    <w:rsid w:val="00EC4457"/>
    <w:rsid w:val="00EC478B"/>
    <w:rsid w:val="00EC64C2"/>
    <w:rsid w:val="00ED50B7"/>
    <w:rsid w:val="00EE0474"/>
    <w:rsid w:val="00EE070B"/>
    <w:rsid w:val="00EE1149"/>
    <w:rsid w:val="00EE15AE"/>
    <w:rsid w:val="00EE1FEE"/>
    <w:rsid w:val="00EE321C"/>
    <w:rsid w:val="00EE360A"/>
    <w:rsid w:val="00EE37F7"/>
    <w:rsid w:val="00EE3822"/>
    <w:rsid w:val="00EE5488"/>
    <w:rsid w:val="00EE5FEF"/>
    <w:rsid w:val="00EF0E0D"/>
    <w:rsid w:val="00EF287E"/>
    <w:rsid w:val="00EF7B3C"/>
    <w:rsid w:val="00F0088A"/>
    <w:rsid w:val="00F03DEA"/>
    <w:rsid w:val="00F056FC"/>
    <w:rsid w:val="00F05B14"/>
    <w:rsid w:val="00F07336"/>
    <w:rsid w:val="00F13B78"/>
    <w:rsid w:val="00F13E73"/>
    <w:rsid w:val="00F14F4B"/>
    <w:rsid w:val="00F15EC9"/>
    <w:rsid w:val="00F17091"/>
    <w:rsid w:val="00F20FE3"/>
    <w:rsid w:val="00F217A3"/>
    <w:rsid w:val="00F31678"/>
    <w:rsid w:val="00F34E02"/>
    <w:rsid w:val="00F367E9"/>
    <w:rsid w:val="00F40D0E"/>
    <w:rsid w:val="00F45677"/>
    <w:rsid w:val="00F46A6D"/>
    <w:rsid w:val="00F514B9"/>
    <w:rsid w:val="00F542CF"/>
    <w:rsid w:val="00F57E5C"/>
    <w:rsid w:val="00F61144"/>
    <w:rsid w:val="00F61437"/>
    <w:rsid w:val="00F6399C"/>
    <w:rsid w:val="00F65F21"/>
    <w:rsid w:val="00F66C40"/>
    <w:rsid w:val="00F71EFC"/>
    <w:rsid w:val="00F76722"/>
    <w:rsid w:val="00F80BD7"/>
    <w:rsid w:val="00F80F1F"/>
    <w:rsid w:val="00F8257C"/>
    <w:rsid w:val="00F833D4"/>
    <w:rsid w:val="00F84AFE"/>
    <w:rsid w:val="00F85CC5"/>
    <w:rsid w:val="00F95570"/>
    <w:rsid w:val="00F95B1D"/>
    <w:rsid w:val="00F96F66"/>
    <w:rsid w:val="00F970B3"/>
    <w:rsid w:val="00FA027F"/>
    <w:rsid w:val="00FA0295"/>
    <w:rsid w:val="00FA10CD"/>
    <w:rsid w:val="00FA1549"/>
    <w:rsid w:val="00FA2830"/>
    <w:rsid w:val="00FA614C"/>
    <w:rsid w:val="00FB21B8"/>
    <w:rsid w:val="00FB4257"/>
    <w:rsid w:val="00FB4397"/>
    <w:rsid w:val="00FB4FCB"/>
    <w:rsid w:val="00FB6D56"/>
    <w:rsid w:val="00FC2861"/>
    <w:rsid w:val="00FD157D"/>
    <w:rsid w:val="00FD5815"/>
    <w:rsid w:val="00FD6639"/>
    <w:rsid w:val="00FE0BFC"/>
    <w:rsid w:val="00FE14AC"/>
    <w:rsid w:val="00FE45C2"/>
    <w:rsid w:val="00FE7A8A"/>
    <w:rsid w:val="00FF08C1"/>
    <w:rsid w:val="00FF1D1A"/>
    <w:rsid w:val="00FF244B"/>
    <w:rsid w:val="00FF3347"/>
    <w:rsid w:val="00FF355F"/>
    <w:rsid w:val="00FF5D87"/>
    <w:rsid w:val="0186020E"/>
    <w:rsid w:val="03B70454"/>
    <w:rsid w:val="03F34621"/>
    <w:rsid w:val="041458AF"/>
    <w:rsid w:val="04956A61"/>
    <w:rsid w:val="05B93C52"/>
    <w:rsid w:val="07E31891"/>
    <w:rsid w:val="0CE23471"/>
    <w:rsid w:val="0E6F617E"/>
    <w:rsid w:val="0F385B9B"/>
    <w:rsid w:val="11854B30"/>
    <w:rsid w:val="147C5A6E"/>
    <w:rsid w:val="150B6FBF"/>
    <w:rsid w:val="1C23379B"/>
    <w:rsid w:val="1F3D79D4"/>
    <w:rsid w:val="2072597B"/>
    <w:rsid w:val="21C15D12"/>
    <w:rsid w:val="22884CD8"/>
    <w:rsid w:val="23EB19C9"/>
    <w:rsid w:val="24174D49"/>
    <w:rsid w:val="26527BE5"/>
    <w:rsid w:val="27EB0368"/>
    <w:rsid w:val="295936BF"/>
    <w:rsid w:val="2CF41CC7"/>
    <w:rsid w:val="2F6320A1"/>
    <w:rsid w:val="2FF80990"/>
    <w:rsid w:val="31B83C11"/>
    <w:rsid w:val="32526C01"/>
    <w:rsid w:val="33E82F8C"/>
    <w:rsid w:val="383E029A"/>
    <w:rsid w:val="430C6805"/>
    <w:rsid w:val="44F60285"/>
    <w:rsid w:val="46C5642E"/>
    <w:rsid w:val="4A657908"/>
    <w:rsid w:val="4EA95F8C"/>
    <w:rsid w:val="4FE43860"/>
    <w:rsid w:val="543C3DD0"/>
    <w:rsid w:val="575E2A44"/>
    <w:rsid w:val="59F653C5"/>
    <w:rsid w:val="5A945878"/>
    <w:rsid w:val="5B2B06FA"/>
    <w:rsid w:val="5B435A44"/>
    <w:rsid w:val="5BB074E1"/>
    <w:rsid w:val="5F7B2F51"/>
    <w:rsid w:val="5F954394"/>
    <w:rsid w:val="615D7134"/>
    <w:rsid w:val="616731A0"/>
    <w:rsid w:val="63840D5F"/>
    <w:rsid w:val="64CE15B4"/>
    <w:rsid w:val="66112082"/>
    <w:rsid w:val="6B6F018F"/>
    <w:rsid w:val="6BAD5408"/>
    <w:rsid w:val="6DB868EA"/>
    <w:rsid w:val="6EB34DFB"/>
    <w:rsid w:val="6EC15AF5"/>
    <w:rsid w:val="6EEF3241"/>
    <w:rsid w:val="6F1206B7"/>
    <w:rsid w:val="70AA100D"/>
    <w:rsid w:val="70C049EF"/>
    <w:rsid w:val="7292100D"/>
    <w:rsid w:val="72EE1D95"/>
    <w:rsid w:val="73625653"/>
    <w:rsid w:val="748D64EB"/>
    <w:rsid w:val="74D556D1"/>
    <w:rsid w:val="783D4DB1"/>
    <w:rsid w:val="7C3E1FDE"/>
    <w:rsid w:val="7ED31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3"/>
    <w:qFormat/>
    <w:uiPriority w:val="0"/>
    <w:pPr>
      <w:keepNext/>
      <w:keepLines/>
      <w:spacing w:before="260" w:after="260" w:line="416" w:lineRule="auto"/>
      <w:outlineLvl w:val="1"/>
    </w:pPr>
    <w:rPr>
      <w:rFonts w:ascii="Arial" w:hAnsi="Arial" w:eastAsia="黑体" w:cs="Times New Roman"/>
      <w:b/>
      <w:bCs/>
      <w:sz w:val="32"/>
      <w:szCs w:val="32"/>
    </w:rPr>
  </w:style>
  <w:style w:type="paragraph" w:styleId="5">
    <w:name w:val="heading 3"/>
    <w:basedOn w:val="1"/>
    <w:next w:val="1"/>
    <w:link w:val="59"/>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0"/>
    <w:pPr>
      <w:keepNext/>
      <w:numPr>
        <w:ilvl w:val="3"/>
        <w:numId w:val="1"/>
      </w:numPr>
      <w:spacing w:line="360" w:lineRule="auto"/>
      <w:jc w:val="center"/>
      <w:outlineLvl w:val="3"/>
    </w:pPr>
    <w:rPr>
      <w:sz w:val="28"/>
      <w:szCs w:val="20"/>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43"/>
    <w:qFormat/>
    <w:uiPriority w:val="0"/>
    <w:pPr>
      <w:widowControl/>
      <w:autoSpaceDE w:val="0"/>
      <w:autoSpaceDN w:val="0"/>
      <w:adjustRightInd w:val="0"/>
      <w:snapToGrid w:val="0"/>
      <w:spacing w:line="315" w:lineRule="atLeast"/>
      <w:ind w:firstLine="420" w:firstLineChars="200"/>
      <w:jc w:val="left"/>
    </w:pPr>
    <w:rPr>
      <w:rFonts w:ascii="楷体_GB2312" w:hAnsi="Times New Roman" w:eastAsia="楷体_GB2312" w:cs="Times New Roman"/>
      <w:kern w:val="0"/>
      <w:sz w:val="28"/>
      <w:szCs w:val="20"/>
    </w:rPr>
  </w:style>
  <w:style w:type="paragraph" w:styleId="7">
    <w:name w:val="toc 7"/>
    <w:basedOn w:val="1"/>
    <w:next w:val="1"/>
    <w:unhideWhenUsed/>
    <w:qFormat/>
    <w:uiPriority w:val="39"/>
    <w:pPr>
      <w:ind w:left="2520" w:leftChars="1200"/>
    </w:pPr>
    <w:rPr>
      <w14:ligatures w14:val="standardContextual"/>
    </w:rPr>
  </w:style>
  <w:style w:type="paragraph" w:styleId="8">
    <w:name w:val="annotation text"/>
    <w:basedOn w:val="1"/>
    <w:link w:val="48"/>
    <w:unhideWhenUsed/>
    <w:qFormat/>
    <w:uiPriority w:val="99"/>
    <w:pPr>
      <w:jc w:val="left"/>
    </w:pPr>
  </w:style>
  <w:style w:type="paragraph" w:styleId="9">
    <w:name w:val="Body Text"/>
    <w:basedOn w:val="1"/>
    <w:next w:val="6"/>
    <w:unhideWhenUsed/>
    <w:qFormat/>
    <w:uiPriority w:val="0"/>
    <w:pPr>
      <w:spacing w:after="120"/>
    </w:pPr>
    <w:rPr>
      <w:rFonts w:ascii="Times New Roman" w:hAnsi="Times New Roman" w:eastAsia="宋体" w:cs="Times New Roman"/>
      <w:szCs w:val="24"/>
    </w:rPr>
  </w:style>
  <w:style w:type="paragraph" w:styleId="10">
    <w:name w:val="toc 5"/>
    <w:basedOn w:val="1"/>
    <w:next w:val="1"/>
    <w:unhideWhenUsed/>
    <w:qFormat/>
    <w:uiPriority w:val="39"/>
    <w:pPr>
      <w:ind w:left="1680" w:leftChars="800"/>
    </w:pPr>
    <w:rPr>
      <w14:ligatures w14:val="standardContextual"/>
    </w:rPr>
  </w:style>
  <w:style w:type="paragraph" w:styleId="11">
    <w:name w:val="toc 3"/>
    <w:basedOn w:val="1"/>
    <w:next w:val="1"/>
    <w:unhideWhenUsed/>
    <w:qFormat/>
    <w:uiPriority w:val="39"/>
    <w:pPr>
      <w:ind w:left="840" w:leftChars="400"/>
    </w:pPr>
  </w:style>
  <w:style w:type="paragraph" w:styleId="12">
    <w:name w:val="Plain Text"/>
    <w:basedOn w:val="1"/>
    <w:link w:val="37"/>
    <w:qFormat/>
    <w:uiPriority w:val="0"/>
    <w:rPr>
      <w:rFonts w:ascii="宋体" w:hAnsi="Courier New" w:eastAsia="宋体" w:cs="Times New Roman"/>
      <w:szCs w:val="20"/>
    </w:rPr>
  </w:style>
  <w:style w:type="paragraph" w:styleId="13">
    <w:name w:val="toc 8"/>
    <w:basedOn w:val="1"/>
    <w:next w:val="1"/>
    <w:unhideWhenUsed/>
    <w:qFormat/>
    <w:uiPriority w:val="39"/>
    <w:pPr>
      <w:ind w:left="2940" w:leftChars="1400"/>
    </w:pPr>
    <w:rPr>
      <w14:ligatures w14:val="standardContextual"/>
    </w:rPr>
  </w:style>
  <w:style w:type="paragraph" w:styleId="14">
    <w:name w:val="footer"/>
    <w:basedOn w:val="1"/>
    <w:link w:val="42"/>
    <w:unhideWhenUsed/>
    <w:qFormat/>
    <w:uiPriority w:val="99"/>
    <w:pPr>
      <w:tabs>
        <w:tab w:val="center" w:pos="4153"/>
        <w:tab w:val="right" w:pos="8306"/>
      </w:tabs>
      <w:snapToGrid w:val="0"/>
      <w:jc w:val="left"/>
    </w:pPr>
    <w:rPr>
      <w:sz w:val="18"/>
      <w:szCs w:val="18"/>
    </w:rPr>
  </w:style>
  <w:style w:type="paragraph" w:styleId="15">
    <w:name w:val="header"/>
    <w:basedOn w:val="1"/>
    <w:link w:val="41"/>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right" w:leader="dot" w:pos="8296"/>
      </w:tabs>
      <w:spacing w:line="288" w:lineRule="auto"/>
    </w:pPr>
  </w:style>
  <w:style w:type="paragraph" w:styleId="17">
    <w:name w:val="toc 4"/>
    <w:basedOn w:val="1"/>
    <w:next w:val="1"/>
    <w:unhideWhenUsed/>
    <w:qFormat/>
    <w:uiPriority w:val="39"/>
    <w:pPr>
      <w:ind w:left="1260" w:leftChars="600"/>
    </w:pPr>
    <w:rPr>
      <w14:ligatures w14:val="standardContextual"/>
    </w:rPr>
  </w:style>
  <w:style w:type="paragraph" w:styleId="18">
    <w:name w:val="toc 6"/>
    <w:basedOn w:val="1"/>
    <w:next w:val="1"/>
    <w:unhideWhenUsed/>
    <w:qFormat/>
    <w:uiPriority w:val="39"/>
    <w:pPr>
      <w:ind w:left="2100" w:leftChars="1000"/>
    </w:pPr>
    <w:rPr>
      <w14:ligatures w14:val="standardContextual"/>
    </w:rPr>
  </w:style>
  <w:style w:type="paragraph" w:styleId="19">
    <w:name w:val="toc 2"/>
    <w:basedOn w:val="1"/>
    <w:next w:val="1"/>
    <w:unhideWhenUsed/>
    <w:qFormat/>
    <w:uiPriority w:val="39"/>
    <w:pPr>
      <w:tabs>
        <w:tab w:val="left" w:pos="1050"/>
        <w:tab w:val="right" w:leader="dot" w:pos="8296"/>
      </w:tabs>
      <w:ind w:left="420" w:leftChars="200"/>
    </w:pPr>
  </w:style>
  <w:style w:type="paragraph" w:styleId="20">
    <w:name w:val="toc 9"/>
    <w:basedOn w:val="1"/>
    <w:next w:val="1"/>
    <w:unhideWhenUsed/>
    <w:qFormat/>
    <w:uiPriority w:val="39"/>
    <w:pPr>
      <w:ind w:left="3360" w:leftChars="1600"/>
    </w:pPr>
    <w:rPr>
      <w14:ligatures w14:val="standardContextual"/>
    </w:rPr>
  </w:style>
  <w:style w:type="paragraph" w:styleId="21">
    <w:name w:val="Title"/>
    <w:basedOn w:val="1"/>
    <w:next w:val="1"/>
    <w:link w:val="36"/>
    <w:qFormat/>
    <w:uiPriority w:val="0"/>
    <w:pPr>
      <w:spacing w:before="240" w:after="60"/>
      <w:jc w:val="center"/>
      <w:outlineLvl w:val="1"/>
    </w:pPr>
    <w:rPr>
      <w:rFonts w:ascii="Cambria" w:hAnsi="Cambria" w:eastAsia="宋体" w:cs="Times New Roman"/>
      <w:b/>
      <w:bCs/>
      <w:sz w:val="32"/>
      <w:szCs w:val="32"/>
    </w:rPr>
  </w:style>
  <w:style w:type="paragraph" w:styleId="22">
    <w:name w:val="annotation subject"/>
    <w:basedOn w:val="8"/>
    <w:next w:val="8"/>
    <w:link w:val="49"/>
    <w:semiHidden/>
    <w:unhideWhenUsed/>
    <w:qFormat/>
    <w:uiPriority w:val="99"/>
    <w:rPr>
      <w:b/>
      <w:bCs/>
    </w:rPr>
  </w:style>
  <w:style w:type="paragraph" w:styleId="23">
    <w:name w:val="Body Text First Indent"/>
    <w:basedOn w:val="9"/>
    <w:qFormat/>
    <w:uiPriority w:val="0"/>
    <w:pPr>
      <w:ind w:firstLine="420" w:firstLineChars="100"/>
    </w:pPr>
  </w:style>
  <w:style w:type="table" w:styleId="25">
    <w:name w:val="Table Grid"/>
    <w:basedOn w:val="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FollowedHyperlink"/>
    <w:basedOn w:val="26"/>
    <w:semiHidden/>
    <w:unhideWhenUsed/>
    <w:qFormat/>
    <w:uiPriority w:val="99"/>
    <w:rPr>
      <w:color w:val="000000"/>
      <w:u w:val="single"/>
    </w:rPr>
  </w:style>
  <w:style w:type="character" w:styleId="28">
    <w:name w:val="Hyperlink"/>
    <w:basedOn w:val="26"/>
    <w:unhideWhenUsed/>
    <w:qFormat/>
    <w:uiPriority w:val="99"/>
    <w:rPr>
      <w:color w:val="0563C1" w:themeColor="hyperlink"/>
      <w:u w:val="single"/>
      <w14:textFill>
        <w14:solidFill>
          <w14:schemeClr w14:val="hlink"/>
        </w14:solidFill>
      </w14:textFill>
    </w:rPr>
  </w:style>
  <w:style w:type="character" w:styleId="29">
    <w:name w:val="annotation reference"/>
    <w:basedOn w:val="26"/>
    <w:semiHidden/>
    <w:unhideWhenUsed/>
    <w:qFormat/>
    <w:uiPriority w:val="99"/>
    <w:rPr>
      <w:sz w:val="21"/>
      <w:szCs w:val="21"/>
    </w:rPr>
  </w:style>
  <w:style w:type="paragraph" w:customStyle="1" w:styleId="30">
    <w:name w:val="bt1bt1"/>
    <w:basedOn w:val="3"/>
    <w:qFormat/>
    <w:uiPriority w:val="0"/>
    <w:pPr>
      <w:spacing w:line="240" w:lineRule="auto"/>
      <w:jc w:val="center"/>
    </w:pPr>
    <w:rPr>
      <w:rFonts w:ascii="黑体" w:hAnsi="Times New Roman" w:eastAsia="黑体" w:cs="Times New Roman"/>
      <w:b w:val="0"/>
      <w:sz w:val="36"/>
      <w:szCs w:val="36"/>
    </w:rPr>
  </w:style>
  <w:style w:type="character" w:customStyle="1" w:styleId="31">
    <w:name w:val="标题 1 字符"/>
    <w:basedOn w:val="26"/>
    <w:link w:val="3"/>
    <w:qFormat/>
    <w:uiPriority w:val="9"/>
    <w:rPr>
      <w:b/>
      <w:bCs/>
      <w:kern w:val="44"/>
      <w:sz w:val="44"/>
      <w:szCs w:val="44"/>
    </w:rPr>
  </w:style>
  <w:style w:type="paragraph" w:customStyle="1" w:styleId="32">
    <w:name w:val="正文00"/>
    <w:basedOn w:val="1"/>
    <w:qFormat/>
    <w:uiPriority w:val="0"/>
    <w:pPr>
      <w:topLinePunct/>
      <w:spacing w:line="360" w:lineRule="auto"/>
      <w:ind w:firstLine="200" w:firstLineChars="200"/>
    </w:pPr>
    <w:rPr>
      <w:rFonts w:ascii="Times New Roman" w:hAnsi="Times New Roman" w:eastAsia="宋体" w:cs="Times New Roman"/>
      <w:sz w:val="24"/>
      <w:szCs w:val="21"/>
    </w:rPr>
  </w:style>
  <w:style w:type="character" w:customStyle="1" w:styleId="33">
    <w:name w:val="标题 2 字符"/>
    <w:basedOn w:val="26"/>
    <w:link w:val="4"/>
    <w:qFormat/>
    <w:uiPriority w:val="0"/>
    <w:rPr>
      <w:rFonts w:ascii="Arial" w:hAnsi="Arial" w:eastAsia="黑体" w:cs="Times New Roman"/>
      <w:b/>
      <w:bCs/>
      <w:sz w:val="32"/>
      <w:szCs w:val="32"/>
    </w:rPr>
  </w:style>
  <w:style w:type="paragraph" w:customStyle="1" w:styleId="34">
    <w:name w:val="列出段落1"/>
    <w:basedOn w:val="1"/>
    <w:link w:val="35"/>
    <w:qFormat/>
    <w:uiPriority w:val="0"/>
    <w:pPr>
      <w:ind w:firstLine="420" w:firstLineChars="200"/>
    </w:pPr>
    <w:rPr>
      <w:rFonts w:ascii="Times New Roman" w:hAnsi="Times New Roman" w:eastAsia="宋体" w:cs="Times New Roman"/>
      <w:szCs w:val="20"/>
    </w:rPr>
  </w:style>
  <w:style w:type="character" w:customStyle="1" w:styleId="35">
    <w:name w:val="列表段落 字符"/>
    <w:link w:val="34"/>
    <w:qFormat/>
    <w:uiPriority w:val="0"/>
    <w:rPr>
      <w:rFonts w:ascii="Times New Roman" w:hAnsi="Times New Roman" w:eastAsia="宋体" w:cs="Times New Roman"/>
      <w:szCs w:val="20"/>
    </w:rPr>
  </w:style>
  <w:style w:type="character" w:customStyle="1" w:styleId="36">
    <w:name w:val="标题 字符"/>
    <w:basedOn w:val="26"/>
    <w:link w:val="21"/>
    <w:qFormat/>
    <w:uiPriority w:val="0"/>
    <w:rPr>
      <w:rFonts w:ascii="Cambria" w:hAnsi="Cambria" w:eastAsia="宋体" w:cs="Times New Roman"/>
      <w:b/>
      <w:bCs/>
      <w:sz w:val="32"/>
      <w:szCs w:val="32"/>
    </w:rPr>
  </w:style>
  <w:style w:type="character" w:customStyle="1" w:styleId="37">
    <w:name w:val="纯文本 字符"/>
    <w:basedOn w:val="26"/>
    <w:link w:val="12"/>
    <w:qFormat/>
    <w:uiPriority w:val="0"/>
    <w:rPr>
      <w:rFonts w:ascii="宋体" w:hAnsi="Courier New" w:eastAsia="宋体" w:cs="Times New Roman"/>
      <w:szCs w:val="20"/>
    </w:rPr>
  </w:style>
  <w:style w:type="paragraph" w:customStyle="1" w:styleId="3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9">
    <w:name w:val="p141_0"/>
    <w:qFormat/>
    <w:uiPriority w:val="0"/>
    <w:rPr>
      <w:rFonts w:ascii="Calibri" w:hAnsi="Calibri"/>
      <w:sz w:val="21"/>
      <w:szCs w:val="21"/>
    </w:rPr>
  </w:style>
  <w:style w:type="paragraph" w:customStyle="1" w:styleId="40">
    <w:name w:val="纯文本1"/>
    <w:basedOn w:val="1"/>
    <w:next w:val="1"/>
    <w:qFormat/>
    <w:uiPriority w:val="0"/>
    <w:pPr>
      <w:spacing w:line="400" w:lineRule="exact"/>
      <w:ind w:firstLine="420" w:firstLineChars="200"/>
    </w:pPr>
    <w:rPr>
      <w:rFonts w:ascii="宋体" w:hAnsi="Courier New" w:eastAsia="宋体" w:cs="Courier New"/>
      <w:szCs w:val="24"/>
    </w:rPr>
  </w:style>
  <w:style w:type="character" w:customStyle="1" w:styleId="41">
    <w:name w:val="页眉 字符"/>
    <w:basedOn w:val="26"/>
    <w:link w:val="15"/>
    <w:qFormat/>
    <w:uiPriority w:val="99"/>
    <w:rPr>
      <w:sz w:val="18"/>
      <w:szCs w:val="18"/>
    </w:rPr>
  </w:style>
  <w:style w:type="character" w:customStyle="1" w:styleId="42">
    <w:name w:val="页脚 字符"/>
    <w:basedOn w:val="26"/>
    <w:link w:val="14"/>
    <w:qFormat/>
    <w:uiPriority w:val="99"/>
    <w:rPr>
      <w:sz w:val="18"/>
      <w:szCs w:val="18"/>
    </w:rPr>
  </w:style>
  <w:style w:type="character" w:customStyle="1" w:styleId="43">
    <w:name w:val="正文缩进 字符"/>
    <w:link w:val="2"/>
    <w:qFormat/>
    <w:uiPriority w:val="0"/>
    <w:rPr>
      <w:rFonts w:ascii="楷体_GB2312" w:hAnsi="Times New Roman" w:eastAsia="楷体_GB2312" w:cs="Times New Roman"/>
      <w:kern w:val="0"/>
      <w:sz w:val="28"/>
      <w:szCs w:val="20"/>
    </w:rPr>
  </w:style>
  <w:style w:type="paragraph" w:customStyle="1" w:styleId="44">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5">
    <w:name w:val="未处理的提及1"/>
    <w:basedOn w:val="26"/>
    <w:semiHidden/>
    <w:unhideWhenUsed/>
    <w:qFormat/>
    <w:uiPriority w:val="99"/>
    <w:rPr>
      <w:color w:val="605E5C"/>
      <w:shd w:val="clear" w:color="auto" w:fill="E1DFDD"/>
    </w:rPr>
  </w:style>
  <w:style w:type="paragraph" w:styleId="46">
    <w:name w:val="List Paragraph"/>
    <w:basedOn w:val="1"/>
    <w:qFormat/>
    <w:uiPriority w:val="34"/>
    <w:pPr>
      <w:ind w:firstLine="420" w:firstLineChars="200"/>
    </w:pPr>
  </w:style>
  <w:style w:type="paragraph" w:customStyle="1" w:styleId="47">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8">
    <w:name w:val="批注文字 字符"/>
    <w:basedOn w:val="26"/>
    <w:link w:val="8"/>
    <w:qFormat/>
    <w:uiPriority w:val="99"/>
  </w:style>
  <w:style w:type="character" w:customStyle="1" w:styleId="49">
    <w:name w:val="批注主题 字符"/>
    <w:basedOn w:val="48"/>
    <w:link w:val="22"/>
    <w:semiHidden/>
    <w:qFormat/>
    <w:uiPriority w:val="99"/>
    <w:rPr>
      <w:b/>
      <w:bCs/>
    </w:rPr>
  </w:style>
  <w:style w:type="paragraph" w:customStyle="1" w:styleId="50">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1">
    <w:name w:val="未处理的提及2"/>
    <w:basedOn w:val="26"/>
    <w:semiHidden/>
    <w:unhideWhenUsed/>
    <w:qFormat/>
    <w:uiPriority w:val="99"/>
    <w:rPr>
      <w:color w:val="605E5C"/>
      <w:shd w:val="clear" w:color="auto" w:fill="E1DFDD"/>
    </w:rPr>
  </w:style>
  <w:style w:type="paragraph" w:customStyle="1" w:styleId="52">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53">
    <w:name w:val="修订4"/>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4">
    <w:name w:val="未处理的提及3"/>
    <w:basedOn w:val="26"/>
    <w:semiHidden/>
    <w:unhideWhenUsed/>
    <w:qFormat/>
    <w:uiPriority w:val="99"/>
    <w:rPr>
      <w:color w:val="605E5C"/>
      <w:shd w:val="clear" w:color="auto" w:fill="E1DFDD"/>
    </w:rPr>
  </w:style>
  <w:style w:type="paragraph" w:customStyle="1" w:styleId="55">
    <w:name w:val="修订5"/>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6">
    <w:name w:val="未处理的提及4"/>
    <w:basedOn w:val="26"/>
    <w:semiHidden/>
    <w:unhideWhenUsed/>
    <w:qFormat/>
    <w:uiPriority w:val="99"/>
    <w:rPr>
      <w:color w:val="605E5C"/>
      <w:shd w:val="clear" w:color="auto" w:fill="E1DFDD"/>
    </w:rPr>
  </w:style>
  <w:style w:type="paragraph" w:customStyle="1" w:styleId="57">
    <w:name w:val="修订6"/>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8">
    <w:name w:val="未处理的提及5"/>
    <w:basedOn w:val="26"/>
    <w:semiHidden/>
    <w:unhideWhenUsed/>
    <w:qFormat/>
    <w:uiPriority w:val="99"/>
    <w:rPr>
      <w:color w:val="605E5C"/>
      <w:shd w:val="clear" w:color="auto" w:fill="E1DFDD"/>
    </w:rPr>
  </w:style>
  <w:style w:type="character" w:customStyle="1" w:styleId="59">
    <w:name w:val="标题 3 字符"/>
    <w:basedOn w:val="26"/>
    <w:link w:val="5"/>
    <w:semiHidden/>
    <w:qFormat/>
    <w:uiPriority w:val="9"/>
    <w:rPr>
      <w:b/>
      <w:bCs/>
      <w:kern w:val="2"/>
      <w:sz w:val="32"/>
      <w:szCs w:val="32"/>
    </w:rPr>
  </w:style>
  <w:style w:type="paragraph" w:customStyle="1" w:styleId="60">
    <w:name w:val="null3"/>
    <w:hidden/>
    <w:qFormat/>
    <w:uiPriority w:val="0"/>
    <w:rPr>
      <w:rFonts w:hint="eastAsia" w:asciiTheme="minorHAnsi" w:hAnsiTheme="minorHAnsi" w:eastAsiaTheme="minorEastAsia" w:cstheme="minorBidi"/>
      <w:lang w:val="en-US" w:eastAsia="zh-Hans" w:bidi="ar-SA"/>
    </w:rPr>
  </w:style>
  <w:style w:type="paragraph" w:customStyle="1" w:styleId="61">
    <w:name w:val="修订7"/>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62">
    <w:name w:val="未处理的提及6"/>
    <w:basedOn w:val="26"/>
    <w:semiHidden/>
    <w:unhideWhenUsed/>
    <w:qFormat/>
    <w:uiPriority w:val="99"/>
    <w:rPr>
      <w:color w:val="605E5C"/>
      <w:shd w:val="clear" w:color="auto" w:fill="E1DFDD"/>
    </w:rPr>
  </w:style>
  <w:style w:type="character" w:customStyle="1" w:styleId="63">
    <w:name w:val="font31"/>
    <w:qFormat/>
    <w:uiPriority w:val="0"/>
    <w:rPr>
      <w:rFonts w:hint="eastAsia" w:ascii="宋体" w:hAnsi="宋体" w:eastAsia="宋体" w:cs="宋体"/>
      <w:color w:val="000000"/>
      <w:sz w:val="24"/>
      <w:szCs w:val="24"/>
    </w:rPr>
  </w:style>
  <w:style w:type="character" w:customStyle="1" w:styleId="64">
    <w:name w:val="font11"/>
    <w:basedOn w:val="26"/>
    <w:qFormat/>
    <w:uiPriority w:val="0"/>
    <w:rPr>
      <w:rFonts w:hint="eastAsia" w:ascii="宋体" w:hAnsi="宋体" w:eastAsia="宋体" w:cs="宋体"/>
      <w:color w:val="000000"/>
      <w:sz w:val="22"/>
      <w:szCs w:val="22"/>
      <w:u w:val="none"/>
    </w:rPr>
  </w:style>
  <w:style w:type="paragraph" w:customStyle="1" w:styleId="65">
    <w:name w:val="修订8"/>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66">
    <w:name w:val="未处理的提及7"/>
    <w:basedOn w:val="26"/>
    <w:semiHidden/>
    <w:unhideWhenUsed/>
    <w:qFormat/>
    <w:uiPriority w:val="99"/>
    <w:rPr>
      <w:color w:val="605E5C"/>
      <w:shd w:val="clear" w:color="auto" w:fill="E1DFDD"/>
    </w:rPr>
  </w:style>
  <w:style w:type="paragraph" w:customStyle="1" w:styleId="67">
    <w:name w:val="修订9"/>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68">
    <w:name w:val="href"/>
    <w:basedOn w:val="26"/>
    <w:qFormat/>
    <w:uiPriority w:val="0"/>
    <w:rPr>
      <w:color w:val="0000FF"/>
      <w:u w:val="single"/>
    </w:rPr>
  </w:style>
  <w:style w:type="character" w:customStyle="1" w:styleId="69">
    <w:name w:val="first-child"/>
    <w:basedOn w:val="26"/>
    <w:qFormat/>
    <w:uiPriority w:val="0"/>
    <w:rPr>
      <w:vanish/>
    </w:rPr>
  </w:style>
  <w:style w:type="paragraph" w:customStyle="1" w:styleId="70">
    <w:name w:val="修订10"/>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1">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BA9247-2607-41FF-93CD-4B186F4E53BB}">
  <ds:schemaRefs/>
</ds:datastoreItem>
</file>

<file path=docProps/app.xml><?xml version="1.0" encoding="utf-8"?>
<Properties xmlns="http://schemas.openxmlformats.org/officeDocument/2006/extended-properties" xmlns:vt="http://schemas.openxmlformats.org/officeDocument/2006/docPropsVTypes">
  <Template>Normal</Template>
  <Pages>107</Pages>
  <Words>11636</Words>
  <Characters>66329</Characters>
  <Lines>552</Lines>
  <Paragraphs>155</Paragraphs>
  <TotalTime>6</TotalTime>
  <ScaleCrop>false</ScaleCrop>
  <LinksUpToDate>false</LinksUpToDate>
  <CharactersWithSpaces>77810</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2025-04-17T08:31:00Z</dcterms:created>
  <dc:creator>caiwxi</dc:creator>
  <cp:lastModifiedBy>caiwxi</cp:lastModifiedBy>
  <dcterms:modified xsi:type="dcterms:W3CDTF">2025-04-17T09:14:17Z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6A1C436B42474F45B90F62FF9529A3EE_13</vt:lpwstr>
  </property>
  <property fmtid="{D5CDD505-2E9C-101B-9397-08002B2CF9AE}" pid="4" name="KSOTemplateDocerSaveRecord">
    <vt:lpwstr>eyJoZGlkIjoiYmI2YzUzOTQ3ZDJiNmFlMmJiZGU2NGQzMzc3MTZkNmMiLCJ1c2VySWQiOiI3OTI5OTQwMTYifQ==</vt:lpwstr>
  </property>
</Properties>
</file>