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hint="eastAsia" w:ascii="黑体" w:hAnsi="黑体" w:eastAsia="黑体"/>
          <w:spacing w:val="40"/>
          <w:sz w:val="52"/>
          <w:szCs w:val="52"/>
        </w:rPr>
      </w:pPr>
      <w:r>
        <w:rPr>
          <w:rFonts w:hint="eastAsia" w:ascii="黑体" w:hAnsi="黑体" w:eastAsia="黑体"/>
          <w:spacing w:val="40"/>
          <w:sz w:val="52"/>
          <w:szCs w:val="52"/>
        </w:rPr>
        <w:t>2026-2027年电商运输及配套</w:t>
      </w:r>
    </w:p>
    <w:p>
      <w:pPr>
        <w:jc w:val="center"/>
        <w:rPr>
          <w:rFonts w:ascii="黑体" w:hAnsi="黑体" w:eastAsia="黑体"/>
          <w:spacing w:val="40"/>
          <w:sz w:val="52"/>
        </w:rPr>
      </w:pPr>
      <w:r>
        <w:rPr>
          <w:rFonts w:hint="eastAsia" w:ascii="黑体" w:hAnsi="黑体" w:eastAsia="黑体"/>
          <w:spacing w:val="40"/>
          <w:sz w:val="52"/>
          <w:szCs w:val="52"/>
        </w:rPr>
        <w:t>服务项目</w:t>
      </w:r>
      <w:r>
        <w:rPr>
          <w:rFonts w:hint="eastAsia" w:ascii="黑体" w:hAnsi="黑体" w:eastAsia="黑体"/>
          <w:spacing w:val="40"/>
          <w:sz w:val="36"/>
        </w:rPr>
        <w:t xml:space="preserve">                           </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项目编号：ND25110109GZ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1651923"/>
      <w:bookmarkStart w:id="2" w:name="_Toc54357675"/>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经认真阅读2026-2027年电商运输及配套服务项目采购公告及附件（项目编号：</w:t>
      </w:r>
      <w:r>
        <w:rPr>
          <w:rFonts w:hint="eastAsia"/>
          <w:bCs/>
          <w:sz w:val="24"/>
          <w:u w:val="single"/>
        </w:rPr>
        <w:t>ND25110109GZ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color w:val="auto"/>
                <w:sz w:val="24"/>
              </w:rPr>
            </w:pPr>
            <w:r>
              <w:rPr>
                <w:rFonts w:hint="eastAsia" w:ascii="宋体" w:hAnsi="宋体" w:cs="仿宋"/>
                <w:sz w:val="24"/>
              </w:rPr>
              <w:t>成交供应商（乙方）应按照采购方（甲方)要求及时签署合同，并接受下</w:t>
            </w:r>
            <w:r>
              <w:rPr>
                <w:rFonts w:hint="eastAsia" w:ascii="宋体" w:hAnsi="宋体" w:cs="仿宋"/>
                <w:color w:val="auto"/>
                <w:sz w:val="24"/>
              </w:rPr>
              <w:t>列条款。</w:t>
            </w:r>
          </w:p>
          <w:p>
            <w:pPr>
              <w:ind w:firstLine="480" w:firstLineChars="200"/>
              <w:rPr>
                <w:rFonts w:ascii="宋体" w:hAnsi="宋体" w:cs="仿宋"/>
                <w:color w:val="auto"/>
                <w:sz w:val="24"/>
              </w:rPr>
            </w:pPr>
            <w:r>
              <w:rPr>
                <w:rFonts w:hint="eastAsia" w:ascii="宋体" w:hAnsi="宋体" w:cs="仿宋"/>
                <w:color w:val="auto"/>
                <w:sz w:val="24"/>
              </w:rPr>
              <w:t>1.服务期限：以实际签订合同时间为准。</w:t>
            </w:r>
          </w:p>
          <w:p>
            <w:pPr>
              <w:ind w:firstLine="480" w:firstLineChars="200"/>
              <w:rPr>
                <w:rFonts w:ascii="宋体" w:hAnsi="宋体" w:cs="仿宋"/>
                <w:color w:val="auto"/>
                <w:sz w:val="24"/>
              </w:rPr>
            </w:pPr>
            <w:r>
              <w:rPr>
                <w:rFonts w:hint="eastAsia" w:ascii="宋体" w:hAnsi="宋体" w:cs="仿宋"/>
                <w:color w:val="auto"/>
                <w:sz w:val="24"/>
              </w:rPr>
              <w:t>2.服务地点：</w:t>
            </w:r>
            <w:r>
              <w:rPr>
                <w:rFonts w:hint="eastAsia" w:ascii="宋体" w:hAnsi="宋体" w:cs="仿宋"/>
                <w:color w:val="auto"/>
                <w:sz w:val="24"/>
                <w:lang w:val="en-US" w:eastAsia="zh-CN"/>
              </w:rPr>
              <w:t>全国范围内</w:t>
            </w:r>
            <w:r>
              <w:rPr>
                <w:rFonts w:hint="eastAsia" w:ascii="宋体" w:hAnsi="宋体" w:cs="仿宋"/>
                <w:color w:val="auto"/>
                <w:sz w:val="24"/>
              </w:rPr>
              <w:t>。</w:t>
            </w:r>
          </w:p>
          <w:p>
            <w:pPr>
              <w:ind w:firstLine="480" w:firstLineChars="200"/>
              <w:rPr>
                <w:rFonts w:hint="eastAsia" w:ascii="宋体" w:hAnsi="宋体" w:cs="仿宋"/>
                <w:color w:val="auto"/>
                <w:sz w:val="24"/>
                <w:lang w:val="en-US" w:eastAsia="zh-CN"/>
              </w:rPr>
            </w:pPr>
            <w:r>
              <w:rPr>
                <w:rFonts w:hint="eastAsia" w:ascii="宋体" w:hAnsi="宋体" w:cs="仿宋"/>
                <w:color w:val="auto"/>
                <w:sz w:val="24"/>
              </w:rPr>
              <w:t>3.付款方式：</w:t>
            </w:r>
            <w:r>
              <w:rPr>
                <w:rFonts w:hint="eastAsia" w:ascii="宋体" w:hAnsi="宋体" w:cs="仿宋"/>
                <w:color w:val="auto"/>
                <w:sz w:val="24"/>
                <w:lang w:val="en-US" w:eastAsia="zh-CN"/>
              </w:rPr>
              <w:t>按单价计量结算，当月整体验收合格后次月付款。</w:t>
            </w:r>
          </w:p>
          <w:p>
            <w:pPr>
              <w:ind w:firstLine="480" w:firstLineChars="200"/>
              <w:rPr>
                <w:rFonts w:ascii="宋体" w:hAnsi="宋体" w:cs="仿宋"/>
                <w:color w:val="auto"/>
                <w:sz w:val="24"/>
              </w:rPr>
            </w:pPr>
            <w:r>
              <w:rPr>
                <w:rFonts w:hint="eastAsia" w:ascii="宋体" w:hAnsi="宋体" w:cs="仿宋"/>
                <w:color w:val="auto"/>
                <w:sz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color w:val="auto"/>
                <w:sz w:val="24"/>
              </w:rPr>
              <w:t>5.乙方的权利和义务：（1）乙方提供本合同约定</w:t>
            </w:r>
            <w:r>
              <w:rPr>
                <w:rFonts w:hint="eastAsia" w:ascii="宋体" w:hAnsi="宋体" w:cs="仿宋"/>
                <w:sz w:val="24"/>
              </w:rPr>
              <w:t>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pPr>
      <w:r>
        <w:rPr>
          <w:rFonts w:hint="eastAsia" w:cs="宋体"/>
          <w:bCs/>
          <w:sz w:val="24"/>
        </w:rPr>
        <w:t>经认真阅读2026-2027年电商运输及配套服务项目采购公告及附件（项目编号：ND25110109GZ）我方已完全了解本项目的商务与技术要求，承诺按照采购文件的要求提供产品和服务，</w:t>
      </w:r>
      <w:r>
        <w:rPr>
          <w:rFonts w:hint="eastAsia" w:cs="宋体"/>
          <w:bCs/>
          <w:sz w:val="24"/>
          <w:lang w:val="en-US" w:eastAsia="zh-CN"/>
        </w:rPr>
        <w:t>服务内容具体如下：</w:t>
      </w:r>
    </w:p>
    <w:tbl>
      <w:tblPr>
        <w:tblStyle w:val="38"/>
        <w:tblW w:w="7584" w:type="dxa"/>
        <w:jc w:val="center"/>
        <w:tblLayout w:type="autofit"/>
        <w:tblCellMar>
          <w:top w:w="15" w:type="dxa"/>
          <w:left w:w="15" w:type="dxa"/>
          <w:bottom w:w="15" w:type="dxa"/>
          <w:right w:w="15" w:type="dxa"/>
        </w:tblCellMar>
      </w:tblPr>
      <w:tblGrid>
        <w:gridCol w:w="752"/>
        <w:gridCol w:w="1671"/>
        <w:gridCol w:w="3672"/>
        <w:gridCol w:w="1489"/>
      </w:tblGrid>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671"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367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1489"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000000"/>
                <w:kern w:val="0"/>
                <w:sz w:val="24"/>
                <w:lang w:val="en-US" w:eastAsia="zh-CN" w:bidi="ar"/>
              </w:rPr>
            </w:pPr>
            <w:r>
              <w:rPr>
                <w:rFonts w:hint="eastAsia" w:ascii="宋体" w:hAnsi="宋体" w:cs="宋体"/>
                <w:b w:val="0"/>
                <w:bCs/>
                <w:color w:val="000000"/>
                <w:kern w:val="0"/>
                <w:sz w:val="24"/>
                <w:lang w:val="en-US" w:eastAsia="zh-CN" w:bidi="ar"/>
              </w:rPr>
              <w:t>1</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val="0"/>
                <w:bCs/>
                <w:color w:val="000000"/>
                <w:sz w:val="24"/>
                <w:lang w:eastAsia="zh-Hans"/>
              </w:rPr>
            </w:pPr>
            <w:r>
              <w:rPr>
                <w:rFonts w:hint="eastAsia" w:ascii="宋体" w:hAnsi="宋体" w:cs="宋体"/>
                <w:b w:val="0"/>
                <w:bCs/>
                <w:color w:val="000000"/>
                <w:sz w:val="24"/>
                <w:lang w:eastAsia="zh-Hans"/>
              </w:rPr>
              <w:t>物流运输及配套服务</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cs="宋体"/>
                <w:b w:val="0"/>
                <w:bCs/>
                <w:color w:val="000000"/>
                <w:kern w:val="0"/>
                <w:sz w:val="24"/>
                <w:lang w:bidi="ar"/>
              </w:rPr>
            </w:pPr>
            <w:r>
              <w:rPr>
                <w:rFonts w:hint="eastAsia" w:ascii="宋体" w:hAnsi="宋体" w:cs="宋体"/>
                <w:b w:val="0"/>
                <w:bCs/>
                <w:color w:val="000000"/>
                <w:kern w:val="0"/>
                <w:sz w:val="24"/>
                <w:lang w:bidi="ar"/>
              </w:rPr>
              <w:t>提供2年杂志全国物流运输及其配套服务，具体要求如下：</w:t>
            </w:r>
          </w:p>
          <w:p>
            <w:pPr>
              <w:widowControl/>
              <w:jc w:val="left"/>
              <w:textAlignment w:val="center"/>
              <w:rPr>
                <w:rFonts w:hint="eastAsia" w:ascii="宋体" w:hAnsi="宋体" w:cs="宋体"/>
                <w:b w:val="0"/>
                <w:bCs/>
                <w:color w:val="000000"/>
                <w:kern w:val="0"/>
                <w:sz w:val="24"/>
                <w:lang w:bidi="ar"/>
              </w:rPr>
            </w:pPr>
            <w:r>
              <w:rPr>
                <w:rFonts w:hint="eastAsia" w:ascii="宋体" w:hAnsi="宋体" w:cs="宋体"/>
                <w:b w:val="0"/>
                <w:bCs/>
                <w:color w:val="000000"/>
                <w:kern w:val="0"/>
                <w:sz w:val="24"/>
                <w:lang w:bidi="ar"/>
              </w:rPr>
              <w:t>1.包装要求：</w:t>
            </w:r>
            <w:r>
              <w:rPr>
                <w:rFonts w:hint="eastAsia" w:ascii="宋体" w:hAnsi="宋体" w:cs="宋体"/>
                <w:b w:val="0"/>
                <w:bCs/>
                <w:color w:val="000000"/>
                <w:kern w:val="0"/>
                <w:sz w:val="24"/>
                <w:lang w:val="en-US" w:eastAsia="zh-CN" w:bidi="ar"/>
              </w:rPr>
              <w:t>根据采购方要求</w:t>
            </w:r>
            <w:r>
              <w:rPr>
                <w:rFonts w:hint="eastAsia" w:ascii="宋体" w:hAnsi="宋体" w:cs="宋体"/>
                <w:b w:val="0"/>
                <w:bCs/>
                <w:color w:val="000000"/>
                <w:kern w:val="0"/>
                <w:sz w:val="24"/>
                <w:lang w:bidi="ar"/>
              </w:rPr>
              <w:t>提供气泡袋、飞机硬纸盒、纸箱。具体为1-5本的订单需用气泡袋及飞机盒；5-20本的订单需用硬纸盒；20本以上的提供纸箱进行包装。</w:t>
            </w:r>
          </w:p>
          <w:p>
            <w:pPr>
              <w:widowControl/>
              <w:jc w:val="left"/>
              <w:textAlignment w:val="center"/>
              <w:rPr>
                <w:rFonts w:hint="eastAsia" w:ascii="宋体" w:hAnsi="宋体" w:cs="宋体"/>
                <w:b w:val="0"/>
                <w:bCs/>
                <w:color w:val="000000"/>
                <w:kern w:val="0"/>
                <w:sz w:val="24"/>
                <w:lang w:bidi="ar"/>
              </w:rPr>
            </w:pPr>
            <w:r>
              <w:rPr>
                <w:rFonts w:hint="eastAsia" w:ascii="宋体" w:hAnsi="宋体" w:cs="宋体"/>
                <w:b w:val="0"/>
                <w:bCs/>
                <w:color w:val="000000"/>
                <w:kern w:val="0"/>
                <w:sz w:val="24"/>
                <w:lang w:bidi="ar"/>
              </w:rPr>
              <w:t>2.发货要求：17：00前交付的杂志，</w:t>
            </w:r>
            <w:r>
              <w:rPr>
                <w:rFonts w:hint="eastAsia" w:ascii="宋体" w:hAnsi="宋体" w:cs="宋体"/>
                <w:b w:val="0"/>
                <w:bCs/>
                <w:color w:val="000000"/>
                <w:kern w:val="0"/>
                <w:sz w:val="24"/>
                <w:lang w:val="en-US" w:eastAsia="zh-CN" w:bidi="ar"/>
              </w:rPr>
              <w:t>承接方</w:t>
            </w:r>
            <w:r>
              <w:rPr>
                <w:rFonts w:hint="eastAsia" w:ascii="宋体" w:hAnsi="宋体" w:cs="宋体"/>
                <w:b w:val="0"/>
                <w:bCs/>
                <w:color w:val="000000"/>
                <w:kern w:val="0"/>
                <w:sz w:val="24"/>
                <w:lang w:bidi="ar"/>
              </w:rPr>
              <w:t>需当天完成发货。</w:t>
            </w:r>
          </w:p>
          <w:p>
            <w:pPr>
              <w:widowControl/>
              <w:jc w:val="left"/>
              <w:textAlignment w:val="center"/>
              <w:rPr>
                <w:rFonts w:hint="eastAsia" w:ascii="宋体" w:hAnsi="宋体" w:cs="宋体"/>
                <w:b w:val="0"/>
                <w:bCs/>
                <w:color w:val="000000"/>
                <w:kern w:val="0"/>
                <w:sz w:val="24"/>
                <w:lang w:bidi="ar"/>
              </w:rPr>
            </w:pPr>
            <w:r>
              <w:rPr>
                <w:rFonts w:hint="eastAsia" w:ascii="宋体" w:hAnsi="宋体" w:cs="宋体"/>
                <w:b w:val="0"/>
                <w:bCs/>
                <w:color w:val="000000"/>
                <w:kern w:val="0"/>
                <w:sz w:val="24"/>
                <w:lang w:bidi="ar"/>
              </w:rPr>
              <w:t>3.服务要求：                                （1）提供一条</w:t>
            </w:r>
            <w:r>
              <w:rPr>
                <w:rFonts w:hint="eastAsia" w:ascii="宋体" w:hAnsi="宋体" w:cs="宋体"/>
                <w:b w:val="0"/>
                <w:bCs/>
                <w:color w:val="000000"/>
                <w:kern w:val="0"/>
                <w:sz w:val="24"/>
                <w:lang w:val="en-US" w:eastAsia="zh-CN" w:bidi="ar"/>
              </w:rPr>
              <w:t>24小时</w:t>
            </w:r>
            <w:r>
              <w:rPr>
                <w:rFonts w:hint="eastAsia" w:ascii="宋体" w:hAnsi="宋体" w:cs="宋体"/>
                <w:b w:val="0"/>
                <w:bCs/>
                <w:color w:val="000000"/>
                <w:kern w:val="0"/>
                <w:sz w:val="24"/>
                <w:lang w:bidi="ar"/>
              </w:rPr>
              <w:t xml:space="preserve">专线客服专员；         </w:t>
            </w:r>
          </w:p>
          <w:p>
            <w:pPr>
              <w:widowControl/>
              <w:jc w:val="left"/>
              <w:textAlignment w:val="center"/>
              <w:rPr>
                <w:rFonts w:hint="eastAsia" w:ascii="宋体" w:hAnsi="宋体" w:cs="宋体"/>
                <w:b w:val="0"/>
                <w:bCs/>
                <w:color w:val="000000"/>
                <w:kern w:val="0"/>
                <w:sz w:val="24"/>
                <w:lang w:bidi="ar"/>
              </w:rPr>
            </w:pPr>
            <w:r>
              <w:rPr>
                <w:rFonts w:hint="eastAsia" w:ascii="宋体" w:hAnsi="宋体" w:cs="宋体"/>
                <w:b w:val="0"/>
                <w:bCs/>
                <w:color w:val="000000"/>
                <w:kern w:val="0"/>
                <w:sz w:val="24"/>
                <w:lang w:bidi="ar"/>
              </w:rPr>
              <w:t>（2）提供</w:t>
            </w:r>
            <w:r>
              <w:rPr>
                <w:rFonts w:hint="eastAsia" w:ascii="宋体" w:hAnsi="宋体" w:cs="宋体"/>
                <w:b w:val="0"/>
                <w:bCs/>
                <w:color w:val="000000"/>
                <w:kern w:val="0"/>
                <w:sz w:val="24"/>
                <w:lang w:val="en-US" w:eastAsia="zh-CN" w:bidi="ar"/>
              </w:rPr>
              <w:t>一处</w:t>
            </w:r>
            <w:r>
              <w:rPr>
                <w:rFonts w:hint="eastAsia" w:ascii="宋体" w:hAnsi="宋体" w:cs="宋体"/>
                <w:b w:val="0"/>
                <w:bCs/>
                <w:color w:val="000000"/>
                <w:kern w:val="0"/>
                <w:sz w:val="24"/>
                <w:lang w:bidi="ar"/>
              </w:rPr>
              <w:t>可存</w:t>
            </w:r>
            <w:r>
              <w:rPr>
                <w:rFonts w:hint="eastAsia" w:ascii="宋体" w:hAnsi="宋体" w:cs="宋体"/>
                <w:b w:val="0"/>
                <w:bCs/>
                <w:color w:val="000000"/>
                <w:kern w:val="0"/>
                <w:sz w:val="24"/>
                <w:lang w:val="en-US" w:eastAsia="zh-CN" w:bidi="ar"/>
              </w:rPr>
              <w:t>放</w:t>
            </w:r>
            <w:r>
              <w:rPr>
                <w:rFonts w:hint="eastAsia" w:ascii="宋体" w:hAnsi="宋体" w:cs="宋体"/>
                <w:b w:val="0"/>
                <w:bCs/>
                <w:color w:val="000000"/>
                <w:kern w:val="0"/>
                <w:sz w:val="24"/>
                <w:lang w:bidi="ar"/>
              </w:rPr>
              <w:t>全年12期，每期200本杂志</w:t>
            </w:r>
            <w:r>
              <w:rPr>
                <w:rFonts w:hint="eastAsia" w:ascii="宋体" w:hAnsi="宋体" w:cs="宋体"/>
                <w:b w:val="0"/>
                <w:bCs/>
                <w:color w:val="000000"/>
                <w:kern w:val="0"/>
                <w:sz w:val="24"/>
                <w:lang w:val="en-US" w:eastAsia="zh-CN" w:bidi="ar"/>
              </w:rPr>
              <w:t>的</w:t>
            </w:r>
            <w:r>
              <w:rPr>
                <w:rFonts w:hint="eastAsia" w:ascii="宋体" w:hAnsi="宋体" w:cs="宋体"/>
                <w:b w:val="0"/>
                <w:bCs/>
                <w:color w:val="000000"/>
                <w:kern w:val="0"/>
                <w:sz w:val="24"/>
                <w:lang w:bidi="ar"/>
              </w:rPr>
              <w:t>储存仓库，杂志尺寸为：H275MM*W215MM。                                4.费用承担及赔付如下：                                        （1）费用承担：采购</w:t>
            </w:r>
            <w:r>
              <w:rPr>
                <w:rFonts w:hint="eastAsia" w:ascii="宋体" w:hAnsi="宋体" w:cs="宋体"/>
                <w:b w:val="0"/>
                <w:bCs/>
                <w:color w:val="000000"/>
                <w:kern w:val="0"/>
                <w:sz w:val="24"/>
                <w:lang w:val="en-US" w:eastAsia="zh-CN" w:bidi="ar"/>
              </w:rPr>
              <w:t>方</w:t>
            </w:r>
            <w:r>
              <w:rPr>
                <w:rFonts w:hint="eastAsia" w:ascii="宋体" w:hAnsi="宋体" w:cs="宋体"/>
                <w:b w:val="0"/>
                <w:bCs/>
                <w:color w:val="000000"/>
                <w:kern w:val="0"/>
                <w:sz w:val="24"/>
                <w:lang w:bidi="ar"/>
              </w:rPr>
              <w:t>只承担一次首重、续重的物流运输费用。订单发出后需改地址或因错发、杂志被退回，需要再次或多次重发、补发产生的运输费用均需</w:t>
            </w:r>
            <w:r>
              <w:rPr>
                <w:rFonts w:hint="eastAsia" w:ascii="宋体" w:hAnsi="宋体" w:cs="宋体"/>
                <w:b w:val="0"/>
                <w:bCs/>
                <w:color w:val="000000"/>
                <w:kern w:val="0"/>
                <w:sz w:val="24"/>
                <w:lang w:val="en-US" w:eastAsia="zh-CN" w:bidi="ar"/>
              </w:rPr>
              <w:t>承接方</w:t>
            </w:r>
            <w:r>
              <w:rPr>
                <w:rFonts w:hint="eastAsia" w:ascii="宋体" w:hAnsi="宋体" w:cs="宋体"/>
                <w:b w:val="0"/>
                <w:bCs/>
                <w:color w:val="000000"/>
                <w:kern w:val="0"/>
                <w:sz w:val="24"/>
                <w:lang w:bidi="ar"/>
              </w:rPr>
              <w:t>承担。                                                       （2）损失赔付：在包装、运输过程中导致杂志损坏，</w:t>
            </w:r>
            <w:r>
              <w:rPr>
                <w:rFonts w:hint="eastAsia" w:ascii="宋体" w:hAnsi="宋体" w:cs="宋体"/>
                <w:b w:val="0"/>
                <w:bCs/>
                <w:color w:val="000000"/>
                <w:kern w:val="0"/>
                <w:sz w:val="24"/>
                <w:lang w:val="en-US" w:eastAsia="zh-CN" w:bidi="ar"/>
              </w:rPr>
              <w:t>承接方</w:t>
            </w:r>
            <w:r>
              <w:rPr>
                <w:rFonts w:hint="eastAsia" w:ascii="宋体" w:hAnsi="宋体" w:cs="宋体"/>
                <w:b w:val="0"/>
                <w:bCs/>
                <w:color w:val="000000"/>
                <w:kern w:val="0"/>
                <w:sz w:val="24"/>
                <w:lang w:bidi="ar"/>
              </w:rPr>
              <w:t>需承担赔偿杂志的印刷费用。</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color w:val="000000"/>
                <w:kern w:val="0"/>
                <w:sz w:val="24"/>
                <w:lang w:val="en-US" w:eastAsia="zh-CN" w:bidi="ar"/>
              </w:rPr>
            </w:pPr>
            <w:r>
              <w:rPr>
                <w:rFonts w:hint="eastAsia" w:ascii="宋体" w:hAnsi="宋体" w:cs="宋体"/>
                <w:b w:val="0"/>
                <w:bCs/>
                <w:color w:val="000000"/>
                <w:kern w:val="0"/>
                <w:sz w:val="24"/>
                <w:lang w:val="en-US" w:eastAsia="zh-CN" w:bidi="ar"/>
              </w:rPr>
              <w:t>2年</w:t>
            </w:r>
          </w:p>
        </w:tc>
      </w:tr>
      <w:tr>
        <w:tblPrEx>
          <w:tblCellMar>
            <w:top w:w="15" w:type="dxa"/>
            <w:left w:w="15" w:type="dxa"/>
            <w:bottom w:w="15" w:type="dxa"/>
            <w:right w:w="15" w:type="dxa"/>
          </w:tblCellMar>
        </w:tblPrEx>
        <w:trPr>
          <w:trHeight w:val="486" w:hRule="atLeast"/>
          <w:jc w:val="center"/>
        </w:trPr>
        <w:tc>
          <w:tcPr>
            <w:tcW w:w="758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759"/>
              </w:tabs>
              <w:jc w:val="left"/>
              <w:textAlignment w:val="center"/>
              <w:rPr>
                <w:rFonts w:hint="eastAsia" w:ascii="宋体" w:hAnsi="宋体" w:cs="宋体"/>
                <w:b w:val="0"/>
                <w:bCs/>
                <w:color w:val="000000"/>
                <w:kern w:val="0"/>
                <w:sz w:val="24"/>
                <w:lang w:val="en-US" w:eastAsia="zh-CN" w:bidi="ar"/>
              </w:rPr>
            </w:pPr>
            <w:r>
              <w:rPr>
                <w:rFonts w:hint="eastAsia" w:ascii="宋体" w:hAnsi="宋体" w:cs="宋体"/>
                <w:b w:val="0"/>
                <w:bCs/>
                <w:color w:val="000000"/>
                <w:kern w:val="0"/>
                <w:sz w:val="24"/>
                <w:lang w:val="en-US" w:eastAsia="zh-CN" w:bidi="ar"/>
              </w:rPr>
              <w:t>备注：</w:t>
            </w:r>
          </w:p>
          <w:p>
            <w:pPr>
              <w:widowControl/>
              <w:tabs>
                <w:tab w:val="left" w:pos="759"/>
              </w:tabs>
              <w:jc w:val="left"/>
              <w:textAlignment w:val="center"/>
              <w:rPr>
                <w:rFonts w:hint="eastAsia" w:ascii="宋体" w:hAnsi="宋体" w:cs="宋体"/>
                <w:b w:val="0"/>
                <w:bCs/>
                <w:color w:val="000000"/>
                <w:kern w:val="0"/>
                <w:sz w:val="24"/>
                <w:lang w:val="en-US" w:eastAsia="zh-CN" w:bidi="ar"/>
              </w:rPr>
            </w:pPr>
            <w:r>
              <w:rPr>
                <w:rFonts w:hint="eastAsia" w:ascii="宋体" w:hAnsi="宋体" w:cs="宋体"/>
                <w:b w:val="0"/>
                <w:bCs/>
                <w:color w:val="000000"/>
                <w:kern w:val="0"/>
                <w:sz w:val="24"/>
                <w:lang w:val="en-US" w:eastAsia="zh-CN" w:bidi="ar"/>
              </w:rPr>
              <w:t>1.请根据上述服务内容，下载附件2填写本项目报价信息。</w:t>
            </w:r>
          </w:p>
          <w:p>
            <w:pPr>
              <w:widowControl/>
              <w:tabs>
                <w:tab w:val="left" w:pos="759"/>
              </w:tabs>
              <w:jc w:val="left"/>
              <w:textAlignment w:val="center"/>
              <w:rPr>
                <w:rFonts w:hint="default" w:ascii="宋体" w:hAnsi="宋体" w:cs="宋体"/>
                <w:b w:val="0"/>
                <w:bCs/>
                <w:color w:val="000000"/>
                <w:kern w:val="0"/>
                <w:sz w:val="24"/>
                <w:lang w:val="en-US" w:eastAsia="zh-CN" w:bidi="ar"/>
              </w:rPr>
            </w:pPr>
            <w:r>
              <w:rPr>
                <w:rFonts w:hint="eastAsia" w:ascii="宋体" w:hAnsi="宋体" w:cs="宋体"/>
                <w:b w:val="0"/>
                <w:bCs/>
                <w:color w:val="000000"/>
                <w:kern w:val="0"/>
                <w:sz w:val="24"/>
                <w:lang w:val="en-US" w:eastAsia="zh-CN" w:bidi="ar"/>
              </w:rPr>
              <w:t>2.</w:t>
            </w:r>
            <w:r>
              <w:rPr>
                <w:rFonts w:hint="eastAsia" w:ascii="宋体" w:hAnsi="宋体" w:cs="仿宋"/>
                <w:color w:val="auto"/>
                <w:sz w:val="24"/>
                <w:lang w:val="en-US" w:eastAsia="zh-CN"/>
              </w:rPr>
              <w:t>按单价计量结算，</w:t>
            </w:r>
            <w:r>
              <w:rPr>
                <w:rFonts w:hint="eastAsia" w:ascii="宋体" w:hAnsi="宋体" w:cs="宋体"/>
                <w:b w:val="0"/>
                <w:bCs/>
                <w:color w:val="000000"/>
                <w:kern w:val="0"/>
                <w:sz w:val="24"/>
                <w:lang w:val="en-US" w:eastAsia="zh-CN" w:bidi="ar"/>
              </w:rPr>
              <w:t>两年服务总费用不得超过本项目限价200000元。</w:t>
            </w:r>
          </w:p>
        </w:tc>
      </w:tr>
    </w:tbl>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bookmarkStart w:id="9" w:name="_GoBack"/>
      <w:bookmarkEnd w:id="9"/>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ascii="宋体" w:hAnsi="宋体" w:cs="宋体"/>
          <w:sz w:val="24"/>
        </w:rPr>
      </w:pPr>
      <w:r>
        <w:rPr>
          <w:rFonts w:hint="eastAsia" w:ascii="宋体" w:hAnsi="宋体" w:cs="宋体"/>
          <w:sz w:val="24"/>
        </w:rPr>
        <w:t>2、项目服务要求的具体解决方案，</w:t>
      </w:r>
    </w:p>
    <w:p>
      <w:pPr>
        <w:spacing w:line="360" w:lineRule="auto"/>
        <w:rPr>
          <w:rFonts w:ascii="宋体" w:hAnsi="宋体" w:cs="宋体"/>
          <w:sz w:val="24"/>
        </w:rPr>
      </w:pPr>
      <w:r>
        <w:rPr>
          <w:rFonts w:hint="eastAsia" w:ascii="宋体" w:hAnsi="宋体" w:cs="宋体"/>
          <w:sz w:val="24"/>
        </w:rPr>
        <w:t>3、执行保障方案。供应商需合理安排物料</w:t>
      </w:r>
      <w:r>
        <w:rPr>
          <w:rFonts w:hint="eastAsia" w:ascii="宋体" w:hAnsi="宋体" w:cs="宋体"/>
          <w:sz w:val="24"/>
          <w:lang w:val="en-US" w:eastAsia="zh-CN"/>
        </w:rPr>
        <w:t>运输</w:t>
      </w:r>
      <w:r>
        <w:rPr>
          <w:rFonts w:hint="eastAsia" w:ascii="宋体" w:hAnsi="宋体" w:cs="宋体"/>
          <w:sz w:val="24"/>
        </w:rPr>
        <w:t>、</w:t>
      </w:r>
      <w:r>
        <w:rPr>
          <w:rFonts w:hint="eastAsia" w:ascii="宋体" w:hAnsi="宋体" w:cs="宋体"/>
          <w:sz w:val="24"/>
          <w:lang w:val="en-US" w:eastAsia="zh-CN"/>
        </w:rPr>
        <w:t>存放、</w:t>
      </w:r>
      <w:r>
        <w:rPr>
          <w:rFonts w:hint="eastAsia" w:ascii="宋体" w:hAnsi="宋体" w:cs="宋体"/>
          <w:sz w:val="24"/>
        </w:rPr>
        <w:t>时间计划，制定调整优化与应急保障预案并做出相应的服务承诺，确保做好各项准备工作，及时完成采购文件中所规定的各项任务；需至少安排1名项目负责人，根据采购方要求统筹开展项目管理。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ascii="宋体" w:hAnsi="宋体" w:cs="宋体"/>
          <w:sz w:val="24"/>
        </w:rPr>
      </w:pPr>
      <w:r>
        <w:rPr>
          <w:rFonts w:hint="eastAsia" w:ascii="宋体" w:hAnsi="宋体" w:cs="宋体"/>
          <w:sz w:val="24"/>
        </w:rPr>
        <w:t>4、项目实施进度计划；</w:t>
      </w:r>
    </w:p>
    <w:p>
      <w:pPr>
        <w:spacing w:line="360" w:lineRule="auto"/>
        <w:rPr>
          <w:rFonts w:ascii="宋体" w:hAnsi="宋体" w:cs="宋体"/>
          <w:sz w:val="24"/>
        </w:rPr>
      </w:pPr>
      <w:r>
        <w:rPr>
          <w:rFonts w:hint="eastAsia" w:ascii="宋体" w:hAnsi="宋体" w:cs="宋体"/>
          <w:sz w:val="24"/>
        </w:rPr>
        <w:t>5、服务质量保证措施；</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475472674"/>
      <w:bookmarkStart w:id="4" w:name="_Toc54357656"/>
      <w:bookmarkStart w:id="5" w:name="_Toc1651899"/>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default"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default" w:hAnsi="宋体"/>
                        <w:b/>
                        <w:spacing w:val="40"/>
                        <w:sz w:val="24"/>
                        <w:szCs w:val="24"/>
                        <w:u w:val="single"/>
                      </w:rPr>
                    </w:sdtEndPr>
                    <w:sdtContent>
                      <w:r>
                        <w:rPr>
                          <w:rFonts w:hint="eastAsia" w:hAnsi="宋体"/>
                          <w:b/>
                          <w:sz w:val="24"/>
                          <w:szCs w:val="24"/>
                          <w:u w:val="single"/>
                        </w:rPr>
                        <w:t>2026-2027年电商运输及配套服务项目</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：ND25110109GZ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475472676"/>
      <w:bookmarkStart w:id="7" w:name="_Toc1651903"/>
      <w:bookmarkStart w:id="8" w:name="_Toc34146941"/>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2026-2027年电商运输及配套服务项目（项目编号：ND25110109GZ）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71AE9"/>
    <w:rsid w:val="026D09CA"/>
    <w:rsid w:val="02A770EE"/>
    <w:rsid w:val="030E4985"/>
    <w:rsid w:val="03134554"/>
    <w:rsid w:val="037E62D4"/>
    <w:rsid w:val="058362D4"/>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C2C1C81"/>
    <w:rsid w:val="0C6812B9"/>
    <w:rsid w:val="0CC93EA9"/>
    <w:rsid w:val="0CDB2D4D"/>
    <w:rsid w:val="0CE11D04"/>
    <w:rsid w:val="0D937566"/>
    <w:rsid w:val="0D982403"/>
    <w:rsid w:val="0E256736"/>
    <w:rsid w:val="0F276DB0"/>
    <w:rsid w:val="0FB16810"/>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A294CE9"/>
    <w:rsid w:val="1ACE4F42"/>
    <w:rsid w:val="1AE115A6"/>
    <w:rsid w:val="1B4B75C9"/>
    <w:rsid w:val="1BB704F8"/>
    <w:rsid w:val="1BE36C4D"/>
    <w:rsid w:val="1C614B16"/>
    <w:rsid w:val="1D6A328E"/>
    <w:rsid w:val="1D960F37"/>
    <w:rsid w:val="1DEC9A83"/>
    <w:rsid w:val="1E377AD8"/>
    <w:rsid w:val="1F455CC3"/>
    <w:rsid w:val="1FB1080F"/>
    <w:rsid w:val="1FD15227"/>
    <w:rsid w:val="20145149"/>
    <w:rsid w:val="20BB00B5"/>
    <w:rsid w:val="21E35085"/>
    <w:rsid w:val="226F1E65"/>
    <w:rsid w:val="22902F53"/>
    <w:rsid w:val="22EF6AEB"/>
    <w:rsid w:val="2352343C"/>
    <w:rsid w:val="236456FB"/>
    <w:rsid w:val="23BD55D8"/>
    <w:rsid w:val="25450FC9"/>
    <w:rsid w:val="25823461"/>
    <w:rsid w:val="25CB11E0"/>
    <w:rsid w:val="25F85394"/>
    <w:rsid w:val="272D31B5"/>
    <w:rsid w:val="278018E1"/>
    <w:rsid w:val="28294742"/>
    <w:rsid w:val="28425686"/>
    <w:rsid w:val="287F29E7"/>
    <w:rsid w:val="28BC109A"/>
    <w:rsid w:val="28FE58AC"/>
    <w:rsid w:val="29B040AC"/>
    <w:rsid w:val="29BE43EE"/>
    <w:rsid w:val="2A072476"/>
    <w:rsid w:val="2A1C5B04"/>
    <w:rsid w:val="2AB52485"/>
    <w:rsid w:val="2ABF5232"/>
    <w:rsid w:val="2AC47B11"/>
    <w:rsid w:val="2AD920D9"/>
    <w:rsid w:val="2C1B4065"/>
    <w:rsid w:val="2C561B55"/>
    <w:rsid w:val="2D005A04"/>
    <w:rsid w:val="2D303E4C"/>
    <w:rsid w:val="2E5E7FB6"/>
    <w:rsid w:val="2F6865B6"/>
    <w:rsid w:val="2F99196E"/>
    <w:rsid w:val="2FF84ACE"/>
    <w:rsid w:val="30C063C7"/>
    <w:rsid w:val="30E772EF"/>
    <w:rsid w:val="319546BB"/>
    <w:rsid w:val="322C194F"/>
    <w:rsid w:val="32834886"/>
    <w:rsid w:val="32887468"/>
    <w:rsid w:val="32A86020"/>
    <w:rsid w:val="32D06C50"/>
    <w:rsid w:val="33367874"/>
    <w:rsid w:val="337D24B6"/>
    <w:rsid w:val="339B020B"/>
    <w:rsid w:val="33E83DB8"/>
    <w:rsid w:val="345B01DE"/>
    <w:rsid w:val="3545073D"/>
    <w:rsid w:val="35470973"/>
    <w:rsid w:val="357843E3"/>
    <w:rsid w:val="359D2066"/>
    <w:rsid w:val="360B4F40"/>
    <w:rsid w:val="36286B10"/>
    <w:rsid w:val="36305FB6"/>
    <w:rsid w:val="373B6B25"/>
    <w:rsid w:val="39054E8B"/>
    <w:rsid w:val="39296EFC"/>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E76470F"/>
    <w:rsid w:val="3EB910C1"/>
    <w:rsid w:val="3ED85C6D"/>
    <w:rsid w:val="3F886276"/>
    <w:rsid w:val="405B13A1"/>
    <w:rsid w:val="41352DD4"/>
    <w:rsid w:val="413952AD"/>
    <w:rsid w:val="41744039"/>
    <w:rsid w:val="419049AE"/>
    <w:rsid w:val="42620FCF"/>
    <w:rsid w:val="429F43E5"/>
    <w:rsid w:val="430739E7"/>
    <w:rsid w:val="43EB501D"/>
    <w:rsid w:val="446261AD"/>
    <w:rsid w:val="45097338"/>
    <w:rsid w:val="46331B9A"/>
    <w:rsid w:val="467D083E"/>
    <w:rsid w:val="46D65B92"/>
    <w:rsid w:val="46E01197"/>
    <w:rsid w:val="472D063D"/>
    <w:rsid w:val="4749127A"/>
    <w:rsid w:val="47AF137D"/>
    <w:rsid w:val="486F5922"/>
    <w:rsid w:val="49496C73"/>
    <w:rsid w:val="4952642B"/>
    <w:rsid w:val="4A95628F"/>
    <w:rsid w:val="4AEA0C03"/>
    <w:rsid w:val="4AEA6C89"/>
    <w:rsid w:val="4B402DCD"/>
    <w:rsid w:val="4B615C35"/>
    <w:rsid w:val="4BBD3412"/>
    <w:rsid w:val="4C8011B4"/>
    <w:rsid w:val="4CBB7E1C"/>
    <w:rsid w:val="4D8F32B7"/>
    <w:rsid w:val="4DBB65F5"/>
    <w:rsid w:val="4ECC2059"/>
    <w:rsid w:val="4F4C2886"/>
    <w:rsid w:val="4F500B2B"/>
    <w:rsid w:val="4F600955"/>
    <w:rsid w:val="4F73032A"/>
    <w:rsid w:val="4FB92AA5"/>
    <w:rsid w:val="4FD556F6"/>
    <w:rsid w:val="4FF1626F"/>
    <w:rsid w:val="514F762F"/>
    <w:rsid w:val="52214C56"/>
    <w:rsid w:val="52495CC9"/>
    <w:rsid w:val="524E0549"/>
    <w:rsid w:val="52D05BD0"/>
    <w:rsid w:val="52D6665D"/>
    <w:rsid w:val="533B5338"/>
    <w:rsid w:val="535610E6"/>
    <w:rsid w:val="53C07BE7"/>
    <w:rsid w:val="56230387"/>
    <w:rsid w:val="56DF6C36"/>
    <w:rsid w:val="57672288"/>
    <w:rsid w:val="57B510CE"/>
    <w:rsid w:val="57BD0B53"/>
    <w:rsid w:val="57DB46EF"/>
    <w:rsid w:val="588F648C"/>
    <w:rsid w:val="58C02270"/>
    <w:rsid w:val="59332823"/>
    <w:rsid w:val="593A090E"/>
    <w:rsid w:val="59577C3B"/>
    <w:rsid w:val="59A861F5"/>
    <w:rsid w:val="5A7A6B08"/>
    <w:rsid w:val="5AC32670"/>
    <w:rsid w:val="5B0311E8"/>
    <w:rsid w:val="5B394A7C"/>
    <w:rsid w:val="5B621759"/>
    <w:rsid w:val="5D7941B7"/>
    <w:rsid w:val="5E714FA8"/>
    <w:rsid w:val="5E956B57"/>
    <w:rsid w:val="5EAD7EEE"/>
    <w:rsid w:val="5F4E0674"/>
    <w:rsid w:val="5FAA7CB5"/>
    <w:rsid w:val="5FC17308"/>
    <w:rsid w:val="5FC779E1"/>
    <w:rsid w:val="5FEF0884"/>
    <w:rsid w:val="5FF01824"/>
    <w:rsid w:val="60560179"/>
    <w:rsid w:val="61695CA6"/>
    <w:rsid w:val="61863A23"/>
    <w:rsid w:val="62606EB4"/>
    <w:rsid w:val="6338711F"/>
    <w:rsid w:val="640E33BA"/>
    <w:rsid w:val="64B0644B"/>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450A55"/>
    <w:rsid w:val="756770E2"/>
    <w:rsid w:val="75D646E4"/>
    <w:rsid w:val="762D41F7"/>
    <w:rsid w:val="766647A8"/>
    <w:rsid w:val="76DE04A2"/>
    <w:rsid w:val="76E47868"/>
    <w:rsid w:val="77500FB2"/>
    <w:rsid w:val="77C116FB"/>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8"/>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501</Words>
  <Characters>2857</Characters>
  <Lines>23</Lines>
  <Paragraphs>6</Paragraphs>
  <TotalTime>1</TotalTime>
  <ScaleCrop>false</ScaleCrop>
  <LinksUpToDate>false</LinksUpToDate>
  <CharactersWithSpaces>3352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chendzhi</cp:lastModifiedBy>
  <cp:lastPrinted>2025-11-05T04:34:00Z</cp:lastPrinted>
  <dcterms:modified xsi:type="dcterms:W3CDTF">2025-11-05T07:31:23Z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FFA8F411DE2041BC8028BA4C39EE5DAE</vt:lpwstr>
  </property>
</Properties>
</file>