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D6027">
      <w:pPr>
        <w:pStyle w:val="3"/>
        <w:pageBreakBefore w:val="0"/>
        <w:kinsoku/>
        <w:wordWrap/>
        <w:overflowPunct/>
        <w:topLinePunct w:val="0"/>
        <w:autoSpaceDE/>
        <w:autoSpaceDN/>
        <w:bidi w:val="0"/>
        <w:adjustRightInd/>
        <w:snapToGrid w:val="0"/>
        <w:spacing w:before="0" w:beforeLines="0" w:after="0" w:afterLines="0" w:line="360" w:lineRule="auto"/>
        <w:rPr>
          <w:rStyle w:val="47"/>
          <w:rFonts w:hint="eastAsia" w:ascii="宋体" w:hAnsi="宋体" w:eastAsia="宋体" w:cs="宋体"/>
          <w:b/>
          <w:bCs w:val="0"/>
          <w:sz w:val="32"/>
          <w:szCs w:val="32"/>
          <w:vertAlign w:val="baseline"/>
        </w:rPr>
      </w:pPr>
      <w:bookmarkStart w:id="1" w:name="_GoBack"/>
      <w:bookmarkEnd w:id="1"/>
      <w:r>
        <w:rPr>
          <w:rFonts w:hint="eastAsia" w:ascii="宋体" w:eastAsia="宋体" w:cs="宋体"/>
          <w:b/>
          <w:bCs w:val="0"/>
          <w:sz w:val="32"/>
          <w:szCs w:val="32"/>
          <w:lang w:val="en-US" w:eastAsia="zh-CN"/>
        </w:rPr>
        <w:t>货物</w:t>
      </w:r>
      <w:r>
        <w:rPr>
          <w:rFonts w:hint="eastAsia" w:ascii="宋体" w:hAnsi="宋体" w:eastAsia="宋体" w:cs="宋体"/>
          <w:b/>
          <w:bCs w:val="0"/>
          <w:sz w:val="32"/>
          <w:szCs w:val="32"/>
        </w:rPr>
        <w:t>采购合同</w:t>
      </w:r>
    </w:p>
    <w:tbl>
      <w:tblPr>
        <w:tblStyle w:val="3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15"/>
        <w:gridCol w:w="4615"/>
      </w:tblGrid>
      <w:tr w14:paraId="54D34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2500" w:type="pct"/>
            <w:noWrap w:val="0"/>
            <w:vAlign w:val="center"/>
          </w:tcPr>
          <w:p w14:paraId="2F234026">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firstLine="0"/>
              <w:jc w:val="both"/>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甲方：</w:t>
            </w:r>
            <w:r>
              <w:rPr>
                <w:rFonts w:hint="eastAsia" w:ascii="仿宋_GB2312" w:hAnsi="仿宋_GB2312" w:eastAsia="仿宋_GB2312" w:cs="仿宋_GB2312"/>
                <w:sz w:val="24"/>
                <w:szCs w:val="24"/>
                <w:highlight w:val="none"/>
                <w:u w:val="single"/>
                <w:lang w:val="en-US" w:eastAsia="zh-CN"/>
              </w:rPr>
              <w:t xml:space="preserve">                         </w:t>
            </w:r>
          </w:p>
          <w:p w14:paraId="7580FF21">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firstLine="0"/>
              <w:jc w:val="both"/>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地址：</w:t>
            </w:r>
            <w:r>
              <w:rPr>
                <w:rFonts w:hint="eastAsia" w:ascii="仿宋_GB2312" w:hAnsi="仿宋_GB2312" w:eastAsia="仿宋_GB2312" w:cs="仿宋_GB2312"/>
                <w:sz w:val="24"/>
                <w:szCs w:val="24"/>
                <w:highlight w:val="none"/>
                <w:u w:val="single"/>
                <w:lang w:val="en-US" w:eastAsia="zh-CN"/>
              </w:rPr>
              <w:t xml:space="preserve">                         </w:t>
            </w:r>
          </w:p>
          <w:p w14:paraId="61014320">
            <w:pPr>
              <w:keepNext w:val="0"/>
              <w:keepLines w:val="0"/>
              <w:numPr>
                <w:ilvl w:val="0"/>
                <w:numId w:val="0"/>
              </w:numPr>
              <w:rPr>
                <w:rStyle w:val="47"/>
                <w:rFonts w:hint="eastAsia" w:ascii="宋体" w:hAnsi="宋体" w:eastAsia="宋体" w:cs="宋体"/>
                <w:b/>
                <w:bCs w:val="0"/>
                <w:sz w:val="32"/>
                <w:szCs w:val="32"/>
                <w:vertAlign w:val="baseline"/>
              </w:rPr>
            </w:pPr>
            <w:r>
              <w:rPr>
                <w:rFonts w:hint="eastAsia" w:ascii="仿宋_GB2312" w:hAnsi="仿宋_GB2312" w:eastAsia="仿宋_GB2312" w:cs="仿宋_GB2312"/>
                <w:sz w:val="24"/>
                <w:szCs w:val="24"/>
                <w:highlight w:val="none"/>
                <w:lang w:eastAsia="zh-CN"/>
              </w:rPr>
              <w:t>联系方式：</w:t>
            </w:r>
            <w:r>
              <w:rPr>
                <w:rFonts w:hint="eastAsia" w:ascii="仿宋_GB2312" w:hAnsi="仿宋_GB2312" w:eastAsia="仿宋_GB2312" w:cs="仿宋_GB2312"/>
                <w:sz w:val="24"/>
                <w:szCs w:val="24"/>
                <w:highlight w:val="none"/>
                <w:u w:val="single"/>
                <w:lang w:val="en-US" w:eastAsia="zh-CN"/>
              </w:rPr>
              <w:t xml:space="preserve">                     </w:t>
            </w:r>
          </w:p>
        </w:tc>
        <w:tc>
          <w:tcPr>
            <w:tcW w:w="2500" w:type="pct"/>
            <w:noWrap w:val="0"/>
            <w:vAlign w:val="center"/>
          </w:tcPr>
          <w:p w14:paraId="66A136B2">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firstLine="0"/>
              <w:jc w:val="both"/>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乙方：</w:t>
            </w:r>
            <w:r>
              <w:rPr>
                <w:rFonts w:hint="eastAsia" w:ascii="仿宋_GB2312" w:hAnsi="仿宋_GB2312" w:eastAsia="仿宋_GB2312" w:cs="仿宋_GB2312"/>
                <w:sz w:val="24"/>
                <w:szCs w:val="24"/>
                <w:highlight w:val="none"/>
                <w:u w:val="single"/>
                <w:lang w:val="en-US" w:eastAsia="zh-CN"/>
              </w:rPr>
              <w:t xml:space="preserve">                        </w:t>
            </w:r>
          </w:p>
          <w:p w14:paraId="635F3FAE">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360" w:lineRule="auto"/>
              <w:ind w:left="0" w:firstLine="0"/>
              <w:jc w:val="both"/>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地址：</w:t>
            </w:r>
            <w:r>
              <w:rPr>
                <w:rFonts w:hint="eastAsia" w:ascii="仿宋_GB2312" w:hAnsi="仿宋_GB2312" w:eastAsia="仿宋_GB2312" w:cs="仿宋_GB2312"/>
                <w:sz w:val="24"/>
                <w:szCs w:val="24"/>
                <w:highlight w:val="none"/>
                <w:u w:val="single"/>
                <w:lang w:val="en-US" w:eastAsia="zh-CN"/>
              </w:rPr>
              <w:t xml:space="preserve">                        </w:t>
            </w:r>
          </w:p>
          <w:p w14:paraId="14B25420">
            <w:pPr>
              <w:keepNext w:val="0"/>
              <w:keepLines w:val="0"/>
              <w:numPr>
                <w:ilvl w:val="0"/>
                <w:numId w:val="0"/>
              </w:numPr>
              <w:rPr>
                <w:rStyle w:val="47"/>
                <w:rFonts w:hint="eastAsia" w:ascii="宋体" w:hAnsi="宋体" w:eastAsia="宋体" w:cs="宋体"/>
                <w:b/>
                <w:bCs w:val="0"/>
                <w:sz w:val="32"/>
                <w:szCs w:val="32"/>
                <w:vertAlign w:val="baseline"/>
              </w:rPr>
            </w:pPr>
            <w:r>
              <w:rPr>
                <w:rFonts w:hint="eastAsia" w:ascii="仿宋_GB2312" w:hAnsi="仿宋_GB2312" w:eastAsia="仿宋_GB2312" w:cs="仿宋_GB2312"/>
                <w:sz w:val="24"/>
                <w:szCs w:val="24"/>
                <w:highlight w:val="none"/>
                <w:lang w:eastAsia="zh-CN"/>
              </w:rPr>
              <w:t>联系方式：</w:t>
            </w:r>
            <w:r>
              <w:rPr>
                <w:rFonts w:hint="eastAsia" w:ascii="仿宋_GB2312" w:hAnsi="仿宋_GB2312" w:eastAsia="仿宋_GB2312" w:cs="仿宋_GB2312"/>
                <w:sz w:val="24"/>
                <w:szCs w:val="24"/>
                <w:highlight w:val="none"/>
                <w:u w:val="single"/>
                <w:lang w:val="en-US" w:eastAsia="zh-CN"/>
              </w:rPr>
              <w:t xml:space="preserve">                     </w:t>
            </w:r>
          </w:p>
        </w:tc>
      </w:tr>
    </w:tbl>
    <w:p w14:paraId="72D2E6C5">
      <w:pPr>
        <w:keepNext w:val="0"/>
        <w:keepLines w:val="0"/>
        <w:pageBreakBefore w:val="0"/>
        <w:kinsoku/>
        <w:wordWrap/>
        <w:overflowPunct/>
        <w:topLinePunct w:val="0"/>
        <w:autoSpaceDE/>
        <w:autoSpaceDN/>
        <w:bidi w:val="0"/>
        <w:adjustRightInd/>
        <w:snapToGrid w:val="0"/>
        <w:spacing w:beforeLines="0" w:afterLines="0" w:line="360" w:lineRule="auto"/>
        <w:ind w:firstLine="480" w:firstLineChars="200"/>
        <w:rPr>
          <w:rFonts w:hint="eastAsia" w:ascii="仿宋_GB2312" w:hAnsi="仿宋_GB2312" w:eastAsia="仿宋_GB2312" w:cs="仿宋_GB2312"/>
          <w:bCs/>
          <w:sz w:val="24"/>
          <w:szCs w:val="24"/>
        </w:rPr>
      </w:pPr>
    </w:p>
    <w:p w14:paraId="29A52AE7">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Chars="0" w:firstLine="480" w:firstLineChars="200"/>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sz w:val="24"/>
          <w:szCs w:val="24"/>
          <w:highlight w:val="none"/>
        </w:rPr>
        <w:t>甲、乙双方经过</w:t>
      </w:r>
      <w:r>
        <w:rPr>
          <w:rFonts w:hint="eastAsia" w:ascii="仿宋_GB2312" w:hAnsi="仿宋_GB2312" w:eastAsia="仿宋_GB2312" w:cs="仿宋_GB2312"/>
          <w:sz w:val="24"/>
          <w:szCs w:val="24"/>
          <w:highlight w:val="none"/>
          <w:lang w:eastAsia="zh-CN"/>
        </w:rPr>
        <w:t>平等</w:t>
      </w:r>
      <w:r>
        <w:rPr>
          <w:rFonts w:hint="eastAsia" w:ascii="仿宋_GB2312" w:hAnsi="仿宋_GB2312" w:eastAsia="仿宋_GB2312" w:cs="仿宋_GB2312"/>
          <w:sz w:val="24"/>
          <w:szCs w:val="24"/>
          <w:highlight w:val="none"/>
        </w:rPr>
        <w:t>友好协商，依照《中华人民共和国民法典》等相关法律法规，现就</w:t>
      </w:r>
      <w:r>
        <w:rPr>
          <w:rFonts w:hint="eastAsia" w:ascii="仿宋_GB2312" w:hAnsi="仿宋_GB2312" w:eastAsia="仿宋_GB2312" w:cs="仿宋_GB2312"/>
          <w:sz w:val="24"/>
          <w:szCs w:val="24"/>
          <w:highlight w:val="none"/>
          <w:lang w:eastAsia="zh-CN"/>
        </w:rPr>
        <w:t>甲方向乙方采购</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事宜达成如下</w:t>
      </w:r>
      <w:r>
        <w:rPr>
          <w:rFonts w:hint="eastAsia" w:ascii="仿宋_GB2312" w:hAnsi="仿宋_GB2312" w:eastAsia="仿宋_GB2312" w:cs="仿宋_GB2312"/>
          <w:sz w:val="24"/>
          <w:szCs w:val="24"/>
          <w:highlight w:val="none"/>
          <w:lang w:eastAsia="zh-CN"/>
        </w:rPr>
        <w:t>合同</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以资</w:t>
      </w:r>
      <w:r>
        <w:rPr>
          <w:rFonts w:hint="eastAsia" w:ascii="仿宋_GB2312" w:hAnsi="仿宋_GB2312" w:eastAsia="仿宋_GB2312" w:cs="仿宋_GB2312"/>
          <w:sz w:val="24"/>
          <w:szCs w:val="24"/>
          <w:highlight w:val="none"/>
        </w:rPr>
        <w:t>共同遵守。</w:t>
      </w:r>
    </w:p>
    <w:p w14:paraId="0B6DE8F3">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ind w:firstLine="0" w:firstLineChars="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第一条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采购</w:t>
      </w:r>
      <w:r>
        <w:rPr>
          <w:rFonts w:hint="eastAsia" w:ascii="仿宋_GB2312" w:hAnsi="仿宋_GB2312" w:eastAsia="仿宋_GB2312" w:cs="仿宋_GB2312"/>
          <w:b/>
          <w:sz w:val="24"/>
          <w:szCs w:val="24"/>
          <w:lang w:eastAsia="zh-CN"/>
        </w:rPr>
        <w:t>货物明细及价格</w:t>
      </w:r>
    </w:p>
    <w:tbl>
      <w:tblPr>
        <w:tblStyle w:val="35"/>
        <w:tblW w:w="9504" w:type="dxa"/>
        <w:tblInd w:w="0" w:type="dxa"/>
        <w:tblLayout w:type="fixed"/>
        <w:tblCellMar>
          <w:top w:w="0" w:type="dxa"/>
          <w:left w:w="108" w:type="dxa"/>
          <w:bottom w:w="0" w:type="dxa"/>
          <w:right w:w="108" w:type="dxa"/>
        </w:tblCellMar>
      </w:tblPr>
      <w:tblGrid>
        <w:gridCol w:w="1006"/>
        <w:gridCol w:w="1045"/>
        <w:gridCol w:w="371"/>
        <w:gridCol w:w="1416"/>
        <w:gridCol w:w="1416"/>
        <w:gridCol w:w="1416"/>
        <w:gridCol w:w="1416"/>
        <w:gridCol w:w="1418"/>
      </w:tblGrid>
      <w:tr w14:paraId="297446F2">
        <w:tblPrEx>
          <w:tblCellMar>
            <w:top w:w="0" w:type="dxa"/>
            <w:left w:w="108" w:type="dxa"/>
            <w:bottom w:w="0" w:type="dxa"/>
            <w:right w:w="108" w:type="dxa"/>
          </w:tblCellMar>
        </w:tblPrEx>
        <w:trPr>
          <w:trHeight w:val="667" w:hRule="atLeast"/>
        </w:trPr>
        <w:tc>
          <w:tcPr>
            <w:tcW w:w="1006" w:type="dxa"/>
            <w:tcBorders>
              <w:top w:val="single" w:color="auto" w:sz="4" w:space="0"/>
              <w:left w:val="single" w:color="auto" w:sz="4" w:space="0"/>
              <w:bottom w:val="single" w:color="auto" w:sz="4" w:space="0"/>
              <w:right w:val="single" w:color="auto" w:sz="4" w:space="0"/>
            </w:tcBorders>
            <w:noWrap/>
            <w:vAlign w:val="center"/>
          </w:tcPr>
          <w:p w14:paraId="79F067E1">
            <w:pPr>
              <w:keepNext w:val="0"/>
              <w:keepLines w:val="0"/>
              <w:pageBreakBefore w:val="0"/>
              <w:widowControl/>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rPr>
            </w:pPr>
            <w:bookmarkStart w:id="0" w:name="_Hlk13127185"/>
            <w:r>
              <w:rPr>
                <w:rFonts w:hint="eastAsia" w:ascii="仿宋_GB2312" w:hAnsi="仿宋_GB2312" w:eastAsia="仿宋_GB2312" w:cs="仿宋_GB2312"/>
                <w:kern w:val="0"/>
                <w:sz w:val="24"/>
                <w:szCs w:val="24"/>
              </w:rPr>
              <w:t>序号</w:t>
            </w:r>
          </w:p>
        </w:tc>
        <w:tc>
          <w:tcPr>
            <w:tcW w:w="1416" w:type="dxa"/>
            <w:gridSpan w:val="2"/>
            <w:tcBorders>
              <w:top w:val="single" w:color="auto" w:sz="4" w:space="0"/>
              <w:left w:val="nil"/>
              <w:bottom w:val="single" w:color="auto" w:sz="4" w:space="0"/>
              <w:right w:val="single" w:color="auto" w:sz="4" w:space="0"/>
            </w:tcBorders>
            <w:noWrap/>
            <w:vAlign w:val="center"/>
          </w:tcPr>
          <w:p w14:paraId="66E588E3">
            <w:pPr>
              <w:keepNext w:val="0"/>
              <w:keepLines w:val="0"/>
              <w:pageBreakBefore w:val="0"/>
              <w:widowControl/>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货物</w:t>
            </w:r>
            <w:r>
              <w:rPr>
                <w:rFonts w:hint="eastAsia" w:ascii="仿宋_GB2312" w:hAnsi="仿宋_GB2312" w:eastAsia="仿宋_GB2312" w:cs="仿宋_GB2312"/>
                <w:kern w:val="0"/>
                <w:sz w:val="24"/>
                <w:szCs w:val="24"/>
              </w:rPr>
              <w:t>名称</w:t>
            </w:r>
          </w:p>
        </w:tc>
        <w:tc>
          <w:tcPr>
            <w:tcW w:w="1416" w:type="dxa"/>
            <w:tcBorders>
              <w:top w:val="single" w:color="auto" w:sz="4" w:space="0"/>
              <w:left w:val="nil"/>
              <w:bottom w:val="single" w:color="auto" w:sz="4" w:space="0"/>
              <w:right w:val="single" w:color="auto" w:sz="4" w:space="0"/>
            </w:tcBorders>
            <w:noWrap/>
            <w:vAlign w:val="center"/>
          </w:tcPr>
          <w:p w14:paraId="4BA2F094">
            <w:pPr>
              <w:keepNext w:val="0"/>
              <w:keepLines w:val="0"/>
              <w:pageBreakBefore w:val="0"/>
              <w:widowControl/>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型号</w:t>
            </w:r>
          </w:p>
        </w:tc>
        <w:tc>
          <w:tcPr>
            <w:tcW w:w="1416" w:type="dxa"/>
            <w:tcBorders>
              <w:top w:val="single" w:color="auto" w:sz="4" w:space="0"/>
              <w:left w:val="nil"/>
              <w:bottom w:val="single" w:color="auto" w:sz="4" w:space="0"/>
              <w:right w:val="single" w:color="auto" w:sz="4" w:space="0"/>
            </w:tcBorders>
            <w:noWrap/>
            <w:vAlign w:val="center"/>
          </w:tcPr>
          <w:p w14:paraId="423417B8">
            <w:pPr>
              <w:keepNext w:val="0"/>
              <w:keepLines w:val="0"/>
              <w:pageBreakBefore w:val="0"/>
              <w:widowControl/>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1416" w:type="dxa"/>
            <w:tcBorders>
              <w:top w:val="single" w:color="auto" w:sz="4" w:space="0"/>
              <w:left w:val="nil"/>
              <w:bottom w:val="single" w:color="auto" w:sz="4" w:space="0"/>
              <w:right w:val="single" w:color="auto" w:sz="4" w:space="0"/>
            </w:tcBorders>
            <w:noWrap/>
            <w:vAlign w:val="center"/>
          </w:tcPr>
          <w:p w14:paraId="711EF563">
            <w:pPr>
              <w:keepNext w:val="0"/>
              <w:keepLines w:val="0"/>
              <w:pageBreakBefore w:val="0"/>
              <w:widowControl/>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数量</w:t>
            </w:r>
          </w:p>
        </w:tc>
        <w:tc>
          <w:tcPr>
            <w:tcW w:w="1416" w:type="dxa"/>
            <w:tcBorders>
              <w:top w:val="single" w:color="auto" w:sz="4" w:space="0"/>
              <w:left w:val="nil"/>
              <w:bottom w:val="single" w:color="auto" w:sz="4" w:space="0"/>
              <w:right w:val="single" w:color="auto" w:sz="4" w:space="0"/>
            </w:tcBorders>
            <w:noWrap w:val="0"/>
            <w:vAlign w:val="center"/>
          </w:tcPr>
          <w:p w14:paraId="6C446C1C">
            <w:pPr>
              <w:widowControl/>
              <w:snapToGrid w:val="0"/>
              <w:spacing w:beforeLines="0" w:afterLines="0"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kern w:val="0"/>
                <w:sz w:val="24"/>
                <w:szCs w:val="24"/>
              </w:rPr>
              <w:t>单价</w:t>
            </w:r>
            <w:r>
              <w:rPr>
                <w:rFonts w:hint="eastAsia" w:ascii="仿宋_GB2312" w:hAnsi="仿宋_GB2312" w:eastAsia="仿宋_GB2312" w:cs="仿宋_GB2312"/>
                <w:kern w:val="0"/>
                <w:sz w:val="24"/>
                <w:szCs w:val="24"/>
                <w:lang w:eastAsia="zh-CN"/>
              </w:rPr>
              <w:t>（元）</w:t>
            </w:r>
          </w:p>
        </w:tc>
        <w:tc>
          <w:tcPr>
            <w:tcW w:w="1418" w:type="dxa"/>
            <w:tcBorders>
              <w:top w:val="single" w:color="auto" w:sz="4" w:space="0"/>
              <w:left w:val="nil"/>
              <w:bottom w:val="single" w:color="auto" w:sz="4" w:space="0"/>
              <w:right w:val="single" w:color="auto" w:sz="4" w:space="0"/>
            </w:tcBorders>
            <w:noWrap w:val="0"/>
            <w:vAlign w:val="center"/>
          </w:tcPr>
          <w:p w14:paraId="50304956">
            <w:pPr>
              <w:keepNext w:val="0"/>
              <w:keepLines w:val="0"/>
              <w:pageBreakBefore w:val="0"/>
              <w:widowControl/>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单项合计</w:t>
            </w:r>
          </w:p>
          <w:p w14:paraId="5D9C72B6">
            <w:pPr>
              <w:pStyle w:val="2"/>
              <w:spacing w:beforeLines="0" w:afterLines="0"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kern w:val="0"/>
                <w:sz w:val="24"/>
                <w:szCs w:val="24"/>
                <w:lang w:eastAsia="zh-CN"/>
              </w:rPr>
              <w:t>（元）</w:t>
            </w:r>
          </w:p>
        </w:tc>
      </w:tr>
      <w:tr w14:paraId="0DDDAA00">
        <w:tblPrEx>
          <w:tblCellMar>
            <w:top w:w="0" w:type="dxa"/>
            <w:left w:w="108" w:type="dxa"/>
            <w:bottom w:w="0" w:type="dxa"/>
            <w:right w:w="108" w:type="dxa"/>
          </w:tblCellMar>
        </w:tblPrEx>
        <w:trPr>
          <w:trHeight w:val="533" w:hRule="atLeast"/>
        </w:trPr>
        <w:tc>
          <w:tcPr>
            <w:tcW w:w="1006" w:type="dxa"/>
            <w:tcBorders>
              <w:top w:val="nil"/>
              <w:left w:val="single" w:color="auto" w:sz="4" w:space="0"/>
              <w:bottom w:val="single" w:color="auto" w:sz="4" w:space="0"/>
              <w:right w:val="single" w:color="auto" w:sz="4" w:space="0"/>
            </w:tcBorders>
            <w:noWrap/>
            <w:vAlign w:val="center"/>
          </w:tcPr>
          <w:p w14:paraId="395D2F6F">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i w:val="0"/>
                <w:color w:val="000000"/>
                <w:kern w:val="0"/>
                <w:sz w:val="24"/>
                <w:szCs w:val="24"/>
                <w:u w:val="none"/>
                <w:lang w:val="en-US" w:eastAsia="zh-CN" w:bidi="ar"/>
              </w:rPr>
              <w:t>1</w:t>
            </w:r>
          </w:p>
        </w:tc>
        <w:tc>
          <w:tcPr>
            <w:tcW w:w="1416" w:type="dxa"/>
            <w:gridSpan w:val="2"/>
            <w:tcBorders>
              <w:top w:val="nil"/>
              <w:left w:val="nil"/>
              <w:bottom w:val="single" w:color="auto" w:sz="4" w:space="0"/>
              <w:right w:val="single" w:color="auto" w:sz="4" w:space="0"/>
            </w:tcBorders>
            <w:noWrap w:val="0"/>
            <w:vAlign w:val="center"/>
          </w:tcPr>
          <w:p w14:paraId="332ACC51">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0"/>
            <w:vAlign w:val="center"/>
          </w:tcPr>
          <w:p w14:paraId="5C15E229">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kern w:val="0"/>
                <w:sz w:val="24"/>
                <w:szCs w:val="24"/>
              </w:rPr>
            </w:pPr>
          </w:p>
        </w:tc>
        <w:tc>
          <w:tcPr>
            <w:tcW w:w="1416" w:type="dxa"/>
            <w:tcBorders>
              <w:top w:val="nil"/>
              <w:left w:val="nil"/>
              <w:bottom w:val="single" w:color="auto" w:sz="4" w:space="0"/>
              <w:right w:val="single" w:color="auto" w:sz="4" w:space="0"/>
            </w:tcBorders>
            <w:noWrap/>
            <w:vAlign w:val="center"/>
          </w:tcPr>
          <w:p w14:paraId="267D462C">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kern w:val="0"/>
                <w:sz w:val="24"/>
                <w:szCs w:val="24"/>
              </w:rPr>
            </w:pPr>
          </w:p>
        </w:tc>
        <w:tc>
          <w:tcPr>
            <w:tcW w:w="1416" w:type="dxa"/>
            <w:tcBorders>
              <w:top w:val="nil"/>
              <w:left w:val="nil"/>
              <w:bottom w:val="single" w:color="auto" w:sz="4" w:space="0"/>
              <w:right w:val="single" w:color="auto" w:sz="4" w:space="0"/>
            </w:tcBorders>
            <w:noWrap/>
            <w:vAlign w:val="center"/>
          </w:tcPr>
          <w:p w14:paraId="16A95E99">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kern w:val="0"/>
                <w:sz w:val="24"/>
                <w:szCs w:val="24"/>
              </w:rPr>
            </w:pPr>
          </w:p>
        </w:tc>
        <w:tc>
          <w:tcPr>
            <w:tcW w:w="1416" w:type="dxa"/>
            <w:tcBorders>
              <w:top w:val="nil"/>
              <w:left w:val="nil"/>
              <w:bottom w:val="single" w:color="auto" w:sz="4" w:space="0"/>
              <w:right w:val="single" w:color="auto" w:sz="4" w:space="0"/>
            </w:tcBorders>
            <w:noWrap w:val="0"/>
            <w:vAlign w:val="center"/>
          </w:tcPr>
          <w:p w14:paraId="70F62ABB">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lang w:val="en-US" w:eastAsia="zh-CN"/>
              </w:rPr>
            </w:pPr>
          </w:p>
        </w:tc>
        <w:tc>
          <w:tcPr>
            <w:tcW w:w="1418" w:type="dxa"/>
            <w:tcBorders>
              <w:top w:val="nil"/>
              <w:left w:val="nil"/>
              <w:bottom w:val="single" w:color="auto" w:sz="4" w:space="0"/>
              <w:right w:val="single" w:color="auto" w:sz="4" w:space="0"/>
            </w:tcBorders>
            <w:noWrap w:val="0"/>
            <w:vAlign w:val="center"/>
          </w:tcPr>
          <w:p w14:paraId="5ABDABDD">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lang w:val="en-US" w:eastAsia="zh-CN"/>
              </w:rPr>
            </w:pPr>
          </w:p>
        </w:tc>
      </w:tr>
      <w:tr w14:paraId="7C3CA18B">
        <w:tblPrEx>
          <w:tblCellMar>
            <w:top w:w="0" w:type="dxa"/>
            <w:left w:w="108" w:type="dxa"/>
            <w:bottom w:w="0" w:type="dxa"/>
            <w:right w:w="108" w:type="dxa"/>
          </w:tblCellMar>
        </w:tblPrEx>
        <w:trPr>
          <w:trHeight w:val="533" w:hRule="atLeast"/>
        </w:trPr>
        <w:tc>
          <w:tcPr>
            <w:tcW w:w="1006" w:type="dxa"/>
            <w:tcBorders>
              <w:top w:val="nil"/>
              <w:left w:val="single" w:color="auto" w:sz="4" w:space="0"/>
              <w:bottom w:val="single" w:color="auto" w:sz="4" w:space="0"/>
              <w:right w:val="single" w:color="auto" w:sz="4" w:space="0"/>
            </w:tcBorders>
            <w:noWrap/>
            <w:vAlign w:val="center"/>
          </w:tcPr>
          <w:p w14:paraId="12D1D29D">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u w:val="none"/>
                <w:lang w:val="en-US" w:eastAsia="zh-CN" w:bidi="ar"/>
              </w:rPr>
              <w:t>2</w:t>
            </w:r>
          </w:p>
        </w:tc>
        <w:tc>
          <w:tcPr>
            <w:tcW w:w="1416" w:type="dxa"/>
            <w:gridSpan w:val="2"/>
            <w:tcBorders>
              <w:top w:val="nil"/>
              <w:left w:val="nil"/>
              <w:bottom w:val="single" w:color="auto" w:sz="4" w:space="0"/>
              <w:right w:val="single" w:color="auto" w:sz="4" w:space="0"/>
            </w:tcBorders>
            <w:noWrap w:val="0"/>
            <w:vAlign w:val="center"/>
          </w:tcPr>
          <w:p w14:paraId="04167157">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0"/>
            <w:vAlign w:val="center"/>
          </w:tcPr>
          <w:p w14:paraId="0A293CBE">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ign w:val="center"/>
          </w:tcPr>
          <w:p w14:paraId="650DF992">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both"/>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ign w:val="center"/>
          </w:tcPr>
          <w:p w14:paraId="2549176B">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0"/>
            <w:vAlign w:val="center"/>
          </w:tcPr>
          <w:p w14:paraId="291DB8B0">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lang w:val="en-US" w:eastAsia="zh-CN"/>
              </w:rPr>
            </w:pPr>
          </w:p>
        </w:tc>
        <w:tc>
          <w:tcPr>
            <w:tcW w:w="1418" w:type="dxa"/>
            <w:tcBorders>
              <w:top w:val="nil"/>
              <w:left w:val="nil"/>
              <w:bottom w:val="single" w:color="auto" w:sz="4" w:space="0"/>
              <w:right w:val="single" w:color="auto" w:sz="4" w:space="0"/>
            </w:tcBorders>
            <w:noWrap w:val="0"/>
            <w:vAlign w:val="center"/>
          </w:tcPr>
          <w:p w14:paraId="5C4B8C3B">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lang w:val="en-US" w:eastAsia="zh-CN"/>
              </w:rPr>
            </w:pPr>
          </w:p>
        </w:tc>
      </w:tr>
      <w:tr w14:paraId="7046CA6F">
        <w:tblPrEx>
          <w:tblCellMar>
            <w:top w:w="0" w:type="dxa"/>
            <w:left w:w="108" w:type="dxa"/>
            <w:bottom w:w="0" w:type="dxa"/>
            <w:right w:w="108" w:type="dxa"/>
          </w:tblCellMar>
        </w:tblPrEx>
        <w:trPr>
          <w:trHeight w:val="533" w:hRule="atLeast"/>
        </w:trPr>
        <w:tc>
          <w:tcPr>
            <w:tcW w:w="1006" w:type="dxa"/>
            <w:tcBorders>
              <w:top w:val="nil"/>
              <w:left w:val="single" w:color="auto" w:sz="4" w:space="0"/>
              <w:bottom w:val="single" w:color="auto" w:sz="4" w:space="0"/>
              <w:right w:val="single" w:color="auto" w:sz="4" w:space="0"/>
            </w:tcBorders>
            <w:noWrap/>
            <w:vAlign w:val="center"/>
          </w:tcPr>
          <w:p w14:paraId="01EEB5D7">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u w:val="none"/>
                <w:lang w:val="en-US" w:eastAsia="zh-CN" w:bidi="ar"/>
              </w:rPr>
              <w:t>3</w:t>
            </w:r>
          </w:p>
        </w:tc>
        <w:tc>
          <w:tcPr>
            <w:tcW w:w="1416" w:type="dxa"/>
            <w:gridSpan w:val="2"/>
            <w:tcBorders>
              <w:top w:val="nil"/>
              <w:left w:val="nil"/>
              <w:bottom w:val="single" w:color="auto" w:sz="4" w:space="0"/>
              <w:right w:val="single" w:color="auto" w:sz="4" w:space="0"/>
            </w:tcBorders>
            <w:noWrap w:val="0"/>
            <w:vAlign w:val="center"/>
          </w:tcPr>
          <w:p w14:paraId="62440E6B">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both"/>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0"/>
            <w:vAlign w:val="center"/>
          </w:tcPr>
          <w:p w14:paraId="3475B378">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ign w:val="center"/>
          </w:tcPr>
          <w:p w14:paraId="45E734B8">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ign w:val="center"/>
          </w:tcPr>
          <w:p w14:paraId="2423B00E">
            <w:pPr>
              <w:keepNext w:val="0"/>
              <w:keepLines w:val="0"/>
              <w:pageBreakBefore w:val="0"/>
              <w:widowControl/>
              <w:suppressLineNumbers w:val="0"/>
              <w:kinsoku/>
              <w:wordWrap/>
              <w:overflowPunct/>
              <w:topLinePunct w:val="0"/>
              <w:autoSpaceDE/>
              <w:autoSpaceDN/>
              <w:bidi w:val="0"/>
              <w:adjustRightInd/>
              <w:snapToGrid w:val="0"/>
              <w:spacing w:beforeLines="0" w:afterLines="0" w:line="360" w:lineRule="auto"/>
              <w:jc w:val="center"/>
              <w:textAlignment w:val="center"/>
              <w:rPr>
                <w:rFonts w:hint="eastAsia" w:ascii="仿宋_GB2312" w:hAnsi="仿宋_GB2312" w:eastAsia="仿宋_GB2312" w:cs="仿宋_GB2312"/>
                <w:sz w:val="24"/>
                <w:szCs w:val="24"/>
              </w:rPr>
            </w:pPr>
          </w:p>
        </w:tc>
        <w:tc>
          <w:tcPr>
            <w:tcW w:w="1416" w:type="dxa"/>
            <w:tcBorders>
              <w:top w:val="nil"/>
              <w:left w:val="nil"/>
              <w:bottom w:val="single" w:color="auto" w:sz="4" w:space="0"/>
              <w:right w:val="single" w:color="auto" w:sz="4" w:space="0"/>
            </w:tcBorders>
            <w:noWrap w:val="0"/>
            <w:vAlign w:val="center"/>
          </w:tcPr>
          <w:p w14:paraId="4D0594B2">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lang w:val="en-US" w:eastAsia="zh-CN"/>
              </w:rPr>
            </w:pPr>
          </w:p>
        </w:tc>
        <w:tc>
          <w:tcPr>
            <w:tcW w:w="1418" w:type="dxa"/>
            <w:tcBorders>
              <w:top w:val="nil"/>
              <w:left w:val="nil"/>
              <w:bottom w:val="single" w:color="auto" w:sz="4" w:space="0"/>
              <w:right w:val="single" w:color="auto" w:sz="4" w:space="0"/>
            </w:tcBorders>
            <w:noWrap w:val="0"/>
            <w:vAlign w:val="center"/>
          </w:tcPr>
          <w:p w14:paraId="39331614">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kern w:val="0"/>
                <w:sz w:val="24"/>
                <w:szCs w:val="24"/>
                <w:lang w:val="en-US" w:eastAsia="zh-CN"/>
              </w:rPr>
            </w:pPr>
          </w:p>
        </w:tc>
      </w:tr>
      <w:tr w14:paraId="3845E402">
        <w:tblPrEx>
          <w:tblCellMar>
            <w:top w:w="0" w:type="dxa"/>
            <w:left w:w="108" w:type="dxa"/>
            <w:bottom w:w="0" w:type="dxa"/>
            <w:right w:w="108" w:type="dxa"/>
          </w:tblCellMar>
        </w:tblPrEx>
        <w:trPr>
          <w:trHeight w:val="635" w:hRule="atLeast"/>
        </w:trPr>
        <w:tc>
          <w:tcPr>
            <w:tcW w:w="2051" w:type="dxa"/>
            <w:gridSpan w:val="2"/>
            <w:tcBorders>
              <w:top w:val="single" w:color="auto" w:sz="4" w:space="0"/>
              <w:left w:val="single" w:color="auto" w:sz="4" w:space="0"/>
              <w:bottom w:val="single" w:color="auto" w:sz="4" w:space="0"/>
              <w:right w:val="single" w:color="auto" w:sz="4" w:space="0"/>
            </w:tcBorders>
            <w:noWrap/>
            <w:vAlign w:val="center"/>
          </w:tcPr>
          <w:p w14:paraId="6ED79D9C">
            <w:pPr>
              <w:keepNext w:val="0"/>
              <w:keepLines w:val="0"/>
              <w:pageBreakBefore w:val="0"/>
              <w:kinsoku/>
              <w:wordWrap/>
              <w:overflowPunct/>
              <w:topLinePunct w:val="0"/>
              <w:autoSpaceDE/>
              <w:autoSpaceDN/>
              <w:bidi w:val="0"/>
              <w:adjustRightInd/>
              <w:snapToGrid w:val="0"/>
              <w:spacing w:beforeLines="0" w:afterLines="0" w:line="360" w:lineRule="auto"/>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合同总价</w:t>
            </w:r>
          </w:p>
        </w:tc>
        <w:tc>
          <w:tcPr>
            <w:tcW w:w="7453" w:type="dxa"/>
            <w:gridSpan w:val="6"/>
            <w:tcBorders>
              <w:top w:val="single" w:color="auto" w:sz="4" w:space="0"/>
              <w:left w:val="single" w:color="auto" w:sz="4" w:space="0"/>
              <w:bottom w:val="single" w:color="auto" w:sz="4" w:space="0"/>
              <w:right w:val="single" w:color="auto" w:sz="4" w:space="0"/>
            </w:tcBorders>
            <w:noWrap w:val="0"/>
            <w:vAlign w:val="center"/>
          </w:tcPr>
          <w:p w14:paraId="7F739AC0">
            <w:pPr>
              <w:keepNext w:val="0"/>
              <w:keepLines w:val="0"/>
              <w:pageBreakBefore w:val="0"/>
              <w:kinsoku/>
              <w:wordWrap/>
              <w:overflowPunct/>
              <w:topLinePunct w:val="0"/>
              <w:autoSpaceDE/>
              <w:autoSpaceDN/>
              <w:bidi w:val="0"/>
              <w:adjustRightInd/>
              <w:snapToGrid w:val="0"/>
              <w:spacing w:beforeLines="0" w:afterLines="0" w:line="360" w:lineRule="auto"/>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sz w:val="24"/>
                <w:szCs w:val="24"/>
                <w:u w:val="none"/>
                <w:lang w:eastAsia="zh-CN"/>
              </w:rPr>
              <w:t>人民币</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u w:val="none"/>
              </w:rPr>
              <w:t>元</w:t>
            </w:r>
            <w:r>
              <w:rPr>
                <w:rFonts w:hint="eastAsia" w:ascii="仿宋_GB2312" w:hAnsi="仿宋_GB2312" w:eastAsia="仿宋_GB2312" w:cs="仿宋_GB2312"/>
                <w:sz w:val="24"/>
                <w:szCs w:val="24"/>
              </w:rPr>
              <w:t>（大写：</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lang w:val="en-US" w:eastAsia="zh-CN"/>
              </w:rPr>
              <w:t>元</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b w:val="0"/>
                <w:sz w:val="24"/>
                <w:szCs w:val="24"/>
              </w:rPr>
              <w:t>含</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b w:val="0"/>
                <w:sz w:val="24"/>
                <w:szCs w:val="24"/>
                <w:lang w:val="en-US" w:eastAsia="zh-CN"/>
              </w:rPr>
              <w:t>%</w:t>
            </w:r>
            <w:r>
              <w:rPr>
                <w:rFonts w:hint="eastAsia" w:ascii="仿宋_GB2312" w:hAnsi="仿宋_GB2312" w:eastAsia="仿宋_GB2312" w:cs="仿宋_GB2312"/>
                <w:b w:val="0"/>
                <w:sz w:val="24"/>
                <w:szCs w:val="24"/>
              </w:rPr>
              <w:t>增值税税率</w:t>
            </w:r>
            <w:r>
              <w:rPr>
                <w:rFonts w:hint="eastAsia" w:ascii="仿宋_GB2312" w:hAnsi="仿宋_GB2312" w:eastAsia="仿宋_GB2312" w:cs="仿宋_GB2312"/>
                <w:b w:val="0"/>
                <w:sz w:val="24"/>
                <w:szCs w:val="24"/>
                <w:lang w:eastAsia="zh-CN"/>
              </w:rPr>
              <w:t>。</w:t>
            </w:r>
          </w:p>
        </w:tc>
      </w:tr>
      <w:bookmarkEnd w:id="0"/>
    </w:tbl>
    <w:p w14:paraId="3C4EFA84">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sz w:val="24"/>
          <w:szCs w:val="24"/>
        </w:rPr>
        <w:t>合同</w:t>
      </w:r>
      <w:r>
        <w:rPr>
          <w:rFonts w:hint="eastAsia" w:ascii="仿宋_GB2312" w:hAnsi="仿宋_GB2312" w:eastAsia="仿宋_GB2312" w:cs="仿宋_GB2312"/>
          <w:sz w:val="24"/>
          <w:szCs w:val="24"/>
          <w:lang w:val="en-US" w:eastAsia="zh-CN"/>
        </w:rPr>
        <w:t>总价</w:t>
      </w:r>
      <w:r>
        <w:rPr>
          <w:rFonts w:hint="eastAsia" w:ascii="仿宋_GB2312" w:hAnsi="仿宋_GB2312" w:eastAsia="仿宋_GB2312" w:cs="仿宋_GB2312"/>
          <w:sz w:val="24"/>
          <w:szCs w:val="24"/>
        </w:rPr>
        <w:t>包括货物价款、</w:t>
      </w:r>
      <w:r>
        <w:rPr>
          <w:rFonts w:hint="eastAsia" w:ascii="仿宋_GB2312" w:hAnsi="仿宋_GB2312" w:eastAsia="仿宋_GB2312" w:cs="仿宋_GB2312"/>
          <w:sz w:val="24"/>
          <w:szCs w:val="24"/>
          <w:lang w:eastAsia="zh-CN"/>
        </w:rPr>
        <w:t>部件、</w:t>
      </w:r>
      <w:r>
        <w:rPr>
          <w:rFonts w:hint="eastAsia" w:ascii="仿宋_GB2312" w:hAnsi="仿宋_GB2312" w:eastAsia="仿宋_GB2312" w:cs="仿宋_GB2312"/>
          <w:sz w:val="24"/>
          <w:szCs w:val="24"/>
        </w:rPr>
        <w:t>备件、专用工具、安装、调试、检验、技术培训及技术资料和包装、运输等全部费用。合同确定的价格在合同期内不得调整，任何一方无权改变本合同约定价格。本合同如果涉及的货物进口报关等手续，均由乙方负责办理，产生的相关费用由乙方承担。</w:t>
      </w:r>
    </w:p>
    <w:p w14:paraId="576EA0B1">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ind w:firstLine="0" w:firstLineChars="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第二条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质量要求</w:t>
      </w:r>
    </w:p>
    <w:p w14:paraId="0B1E5E3F">
      <w:pPr>
        <w:keepNext w:val="0"/>
        <w:keepLines w:val="0"/>
        <w:pageBreakBefore w:val="0"/>
        <w:kinsoku/>
        <w:wordWrap/>
        <w:overflowPunct/>
        <w:topLinePunct w:val="0"/>
        <w:autoSpaceDE/>
        <w:autoSpaceDN/>
        <w:bidi w:val="0"/>
        <w:adjustRightInd/>
        <w:snapToGrid w:val="0"/>
        <w:spacing w:beforeLines="0" w:afterLines="0"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rPr>
        <w:t>乙方提供的</w:t>
      </w:r>
      <w:r>
        <w:rPr>
          <w:rFonts w:hint="eastAsia" w:ascii="仿宋_GB2312" w:hAnsi="仿宋_GB2312" w:eastAsia="仿宋_GB2312" w:cs="仿宋_GB2312"/>
          <w:sz w:val="24"/>
          <w:szCs w:val="24"/>
          <w:lang w:eastAsia="zh-CN"/>
        </w:rPr>
        <w:t>须</w:t>
      </w:r>
      <w:r>
        <w:rPr>
          <w:rFonts w:hint="eastAsia" w:ascii="仿宋_GB2312" w:hAnsi="仿宋_GB2312" w:eastAsia="仿宋_GB2312" w:cs="仿宋_GB2312"/>
          <w:sz w:val="24"/>
          <w:szCs w:val="24"/>
        </w:rPr>
        <w:t>为合法进货渠道</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全新</w:t>
      </w:r>
      <w:r>
        <w:rPr>
          <w:rFonts w:hint="eastAsia" w:ascii="仿宋_GB2312" w:hAnsi="仿宋_GB2312" w:eastAsia="仿宋_GB2312" w:cs="仿宋_GB2312"/>
          <w:sz w:val="24"/>
          <w:szCs w:val="24"/>
          <w:lang w:eastAsia="zh-CN"/>
        </w:rPr>
        <w:t>货物，具备货物相应</w:t>
      </w:r>
      <w:r>
        <w:rPr>
          <w:rFonts w:hint="eastAsia" w:ascii="仿宋_GB2312" w:hAnsi="仿宋_GB2312" w:eastAsia="仿宋_GB2312" w:cs="仿宋_GB2312"/>
          <w:sz w:val="24"/>
          <w:szCs w:val="24"/>
        </w:rPr>
        <w:t>合格证、发货单等相关资料。</w:t>
      </w:r>
    </w:p>
    <w:p w14:paraId="7F65677F">
      <w:pPr>
        <w:keepNext w:val="0"/>
        <w:keepLines w:val="0"/>
        <w:pageBreakBefore w:val="0"/>
        <w:kinsoku/>
        <w:wordWrap/>
        <w:overflowPunct/>
        <w:topLinePunct w:val="0"/>
        <w:autoSpaceDE/>
        <w:autoSpaceDN/>
        <w:bidi w:val="0"/>
        <w:adjustRightInd/>
        <w:snapToGrid w:val="0"/>
        <w:spacing w:beforeLines="0" w:afterLines="0"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所有</w:t>
      </w:r>
      <w:r>
        <w:rPr>
          <w:rFonts w:hint="eastAsia" w:ascii="仿宋_GB2312" w:hAnsi="仿宋_GB2312" w:eastAsia="仿宋_GB2312" w:cs="仿宋_GB2312"/>
          <w:sz w:val="24"/>
          <w:szCs w:val="24"/>
          <w:lang w:eastAsia="zh-CN"/>
        </w:rPr>
        <w:t>货物</w:t>
      </w:r>
      <w:r>
        <w:rPr>
          <w:rFonts w:hint="eastAsia" w:ascii="仿宋_GB2312" w:hAnsi="仿宋_GB2312" w:eastAsia="仿宋_GB2312" w:cs="仿宋_GB2312"/>
          <w:sz w:val="24"/>
          <w:szCs w:val="24"/>
        </w:rPr>
        <w:t>质保期均为到货验收合格之日</w:t>
      </w:r>
      <w:r>
        <w:rPr>
          <w:rFonts w:hint="eastAsia" w:ascii="仿宋_GB2312" w:hAnsi="仿宋_GB2312" w:eastAsia="仿宋_GB2312" w:cs="仿宋_GB2312"/>
          <w:sz w:val="24"/>
          <w:szCs w:val="24"/>
          <w:highlight w:val="none"/>
        </w:rPr>
        <w:t>起</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个月</w:t>
      </w:r>
      <w:r>
        <w:rPr>
          <w:rFonts w:hint="eastAsia" w:ascii="仿宋_GB2312" w:hAnsi="仿宋_GB2312" w:eastAsia="仿宋_GB2312" w:cs="仿宋_GB2312"/>
          <w:sz w:val="24"/>
          <w:szCs w:val="24"/>
          <w:highlight w:val="none"/>
          <w:lang w:eastAsia="zh-CN"/>
        </w:rPr>
        <w:t>。如强制性国家标准或生产厂家等对于货物的质保期长于该期限的，以较长期限为准</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质保期内乙方负责免费维修、更换有缺陷的货物、部件及提供相应的质保期服务。</w:t>
      </w:r>
    </w:p>
    <w:p w14:paraId="5A66D473">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Lines="0" w:line="360" w:lineRule="auto"/>
        <w:ind w:firstLine="0" w:firstLineChars="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第三条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包装运输和交货地点</w:t>
      </w:r>
    </w:p>
    <w:p w14:paraId="1CED493E">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bCs/>
          <w:sz w:val="24"/>
          <w:szCs w:val="24"/>
        </w:rPr>
        <w:t>采购</w:t>
      </w:r>
      <w:r>
        <w:rPr>
          <w:rFonts w:hint="eastAsia" w:ascii="仿宋_GB2312" w:hAnsi="仿宋_GB2312" w:eastAsia="仿宋_GB2312" w:cs="仿宋_GB2312"/>
          <w:sz w:val="24"/>
          <w:szCs w:val="24"/>
          <w:lang w:eastAsia="zh-CN"/>
        </w:rPr>
        <w:t>货物</w:t>
      </w:r>
      <w:r>
        <w:rPr>
          <w:rFonts w:hint="eastAsia" w:ascii="仿宋_GB2312" w:hAnsi="仿宋_GB2312" w:eastAsia="仿宋_GB2312" w:cs="仿宋_GB2312"/>
          <w:sz w:val="24"/>
          <w:szCs w:val="24"/>
        </w:rPr>
        <w:t>根据甲方要求或者行业通用方式进行包装，包装外观应使用规范的标签，标签应包括以下内容：品名、规格型号、重量、制造商、制造日期、产地等信息。</w:t>
      </w:r>
    </w:p>
    <w:p w14:paraId="48E60796">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sz w:val="24"/>
          <w:szCs w:val="24"/>
        </w:rPr>
        <w:t>（二）本合同履行期间由乙方负责将</w:t>
      </w:r>
      <w:r>
        <w:rPr>
          <w:rFonts w:hint="eastAsia" w:ascii="仿宋_GB2312" w:hAnsi="仿宋_GB2312" w:eastAsia="仿宋_GB2312" w:cs="仿宋_GB2312"/>
          <w:sz w:val="24"/>
          <w:szCs w:val="24"/>
          <w:lang w:eastAsia="zh-CN"/>
        </w:rPr>
        <w:t>货物</w:t>
      </w:r>
      <w:r>
        <w:rPr>
          <w:rFonts w:hint="eastAsia" w:ascii="仿宋_GB2312" w:hAnsi="仿宋_GB2312" w:eastAsia="仿宋_GB2312" w:cs="仿宋_GB2312"/>
          <w:sz w:val="24"/>
          <w:szCs w:val="24"/>
        </w:rPr>
        <w:t>运送到甲方指定地点，并承担运输过程中的费用及风险。甲方指定地点：</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w:t>
      </w:r>
    </w:p>
    <w:p w14:paraId="7A11C979">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ind w:firstLine="0" w:firstLineChars="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sz w:val="24"/>
          <w:szCs w:val="24"/>
          <w:lang w:eastAsia="zh-CN"/>
        </w:rPr>
        <w:t>第</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eastAsia="zh-CN"/>
        </w:rPr>
        <w:t>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bCs/>
          <w:sz w:val="24"/>
          <w:szCs w:val="24"/>
          <w:lang w:eastAsia="zh-CN"/>
        </w:rPr>
        <w:t>货物</w:t>
      </w:r>
      <w:r>
        <w:rPr>
          <w:rFonts w:hint="default" w:ascii="仿宋_GB2312" w:hAnsi="仿宋_GB2312" w:eastAsia="仿宋_GB2312" w:cs="仿宋_GB2312"/>
          <w:b/>
          <w:sz w:val="24"/>
          <w:szCs w:val="24"/>
          <w:lang w:val="en-US" w:eastAsia="zh-CN"/>
        </w:rPr>
        <w:t>检验</w:t>
      </w:r>
    </w:p>
    <w:p w14:paraId="45358503">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highlight w:val="none"/>
          <w:lang w:eastAsia="zh-CN"/>
        </w:rPr>
        <w:t>（一）</w:t>
      </w:r>
      <w:r>
        <w:rPr>
          <w:rFonts w:hint="default" w:ascii="仿宋_GB2312" w:hAnsi="仿宋_GB2312" w:eastAsia="仿宋_GB2312" w:cs="仿宋_GB2312"/>
          <w:color w:val="auto"/>
          <w:sz w:val="24"/>
          <w:szCs w:val="24"/>
          <w:highlight w:val="none"/>
          <w:lang w:val="en-US"/>
        </w:rPr>
        <w:t>检验</w:t>
      </w:r>
      <w:r>
        <w:rPr>
          <w:rFonts w:hint="eastAsia" w:ascii="仿宋_GB2312" w:hAnsi="仿宋_GB2312" w:eastAsia="仿宋_GB2312" w:cs="仿宋_GB2312"/>
          <w:color w:val="auto"/>
          <w:sz w:val="24"/>
          <w:szCs w:val="24"/>
          <w:highlight w:val="none"/>
        </w:rPr>
        <w:t>标准：</w:t>
      </w:r>
      <w:r>
        <w:rPr>
          <w:rFonts w:hint="eastAsia" w:ascii="仿宋_GB2312" w:hAnsi="仿宋_GB2312" w:eastAsia="仿宋_GB2312" w:cs="仿宋_GB2312"/>
          <w:color w:val="auto"/>
          <w:sz w:val="24"/>
          <w:szCs w:val="24"/>
          <w:highlight w:val="none"/>
          <w:lang w:eastAsia="zh-CN"/>
        </w:rPr>
        <w:t>货物包装及质量应</w:t>
      </w:r>
      <w:r>
        <w:rPr>
          <w:rFonts w:hint="eastAsia" w:ascii="仿宋_GB2312" w:hAnsi="仿宋_GB2312" w:eastAsia="仿宋_GB2312" w:cs="仿宋_GB2312"/>
          <w:color w:val="auto"/>
          <w:sz w:val="24"/>
          <w:szCs w:val="24"/>
          <w:highlight w:val="none"/>
          <w:lang w:val="en-US" w:eastAsia="zh-CN"/>
        </w:rPr>
        <w:t>符合国家标准、行业标准和厂家出厂标准，应</w:t>
      </w:r>
      <w:r>
        <w:rPr>
          <w:rFonts w:hint="eastAsia" w:ascii="仿宋_GB2312" w:hAnsi="仿宋_GB2312" w:eastAsia="仿宋_GB2312" w:cs="仿宋_GB2312"/>
          <w:color w:val="auto"/>
          <w:sz w:val="24"/>
          <w:szCs w:val="24"/>
          <w:highlight w:val="none"/>
        </w:rPr>
        <w:t>符合或优于合同</w:t>
      </w:r>
      <w:r>
        <w:rPr>
          <w:rFonts w:hint="eastAsia" w:ascii="仿宋_GB2312" w:hAnsi="仿宋_GB2312" w:eastAsia="仿宋_GB2312" w:cs="仿宋_GB2312"/>
          <w:color w:val="auto"/>
          <w:sz w:val="24"/>
          <w:szCs w:val="24"/>
          <w:highlight w:val="none"/>
          <w:lang w:eastAsia="zh-CN"/>
        </w:rPr>
        <w:t>约定，</w:t>
      </w:r>
      <w:r>
        <w:rPr>
          <w:rFonts w:hint="eastAsia" w:ascii="仿宋_GB2312" w:hAnsi="仿宋_GB2312" w:eastAsia="仿宋_GB2312" w:cs="仿宋_GB2312"/>
          <w:sz w:val="24"/>
          <w:szCs w:val="24"/>
          <w:highlight w:val="none"/>
        </w:rPr>
        <w:t>同时必须满足甲方要求。</w:t>
      </w:r>
    </w:p>
    <w:p w14:paraId="3C6A66E5">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（二）</w:t>
      </w:r>
      <w:r>
        <w:rPr>
          <w:rFonts w:hint="default" w:ascii="仿宋_GB2312" w:hAnsi="仿宋_GB2312" w:eastAsia="仿宋_GB2312" w:cs="仿宋_GB2312"/>
          <w:sz w:val="24"/>
          <w:szCs w:val="24"/>
          <w:highlight w:val="none"/>
          <w:lang w:val="en-US" w:eastAsia="zh-CN"/>
        </w:rPr>
        <w:t>检验</w:t>
      </w:r>
      <w:r>
        <w:rPr>
          <w:rFonts w:hint="eastAsia" w:ascii="仿宋_GB2312" w:hAnsi="仿宋_GB2312" w:eastAsia="仿宋_GB2312" w:cs="仿宋_GB2312"/>
          <w:sz w:val="24"/>
          <w:szCs w:val="24"/>
          <w:highlight w:val="none"/>
        </w:rPr>
        <w:t>地点：</w:t>
      </w:r>
      <w:r>
        <w:rPr>
          <w:rFonts w:hint="eastAsia" w:ascii="仿宋_GB2312" w:hAnsi="仿宋_GB2312" w:eastAsia="仿宋_GB2312" w:cs="仿宋_GB2312"/>
          <w:sz w:val="24"/>
          <w:szCs w:val="24"/>
          <w:highlight w:val="none"/>
          <w:lang w:val="en-US" w:eastAsia="zh-CN"/>
        </w:rPr>
        <w:t>本合同第三条约定的</w:t>
      </w:r>
      <w:r>
        <w:rPr>
          <w:rFonts w:hint="eastAsia" w:ascii="仿宋_GB2312" w:hAnsi="仿宋_GB2312" w:eastAsia="仿宋_GB2312" w:cs="仿宋_GB2312"/>
          <w:sz w:val="24"/>
          <w:szCs w:val="24"/>
          <w:highlight w:val="none"/>
          <w:lang w:eastAsia="zh-CN"/>
        </w:rPr>
        <w:t>甲方</w:t>
      </w:r>
      <w:r>
        <w:rPr>
          <w:rFonts w:hint="eastAsia" w:ascii="仿宋_GB2312" w:hAnsi="仿宋_GB2312" w:eastAsia="仿宋_GB2312" w:cs="仿宋_GB2312"/>
          <w:sz w:val="24"/>
          <w:szCs w:val="24"/>
          <w:highlight w:val="none"/>
        </w:rPr>
        <w:t>指定地点。</w:t>
      </w:r>
    </w:p>
    <w:p w14:paraId="7DDBC32B">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sz w:val="24"/>
          <w:szCs w:val="24"/>
          <w:highlight w:val="none"/>
          <w:lang w:eastAsia="zh-CN"/>
        </w:rPr>
        <w:t>（三）</w:t>
      </w:r>
      <w:r>
        <w:rPr>
          <w:rFonts w:hint="default" w:ascii="仿宋_GB2312" w:hAnsi="仿宋_GB2312" w:eastAsia="仿宋_GB2312" w:cs="仿宋_GB2312"/>
          <w:sz w:val="24"/>
          <w:szCs w:val="24"/>
          <w:highlight w:val="none"/>
          <w:lang w:val="en-US"/>
        </w:rPr>
        <w:t>检验</w:t>
      </w:r>
      <w:r>
        <w:rPr>
          <w:rFonts w:hint="eastAsia" w:ascii="仿宋_GB2312" w:hAnsi="仿宋_GB2312" w:eastAsia="仿宋_GB2312" w:cs="仿宋_GB2312"/>
          <w:sz w:val="24"/>
          <w:szCs w:val="24"/>
          <w:highlight w:val="none"/>
        </w:rPr>
        <w:t>方式：</w:t>
      </w:r>
      <w:r>
        <w:rPr>
          <w:rFonts w:hint="default" w:ascii="仿宋_GB2312" w:hAnsi="仿宋_GB2312" w:eastAsia="仿宋_GB2312" w:cs="仿宋_GB2312"/>
          <w:sz w:val="24"/>
          <w:szCs w:val="24"/>
          <w:highlight w:val="none"/>
          <w:lang w:val="en-US" w:eastAsia="zh-CN"/>
        </w:rPr>
        <w:t>交货后</w:t>
      </w:r>
      <w:r>
        <w:rPr>
          <w:rFonts w:hint="eastAsia" w:ascii="仿宋_GB2312" w:hAnsi="仿宋_GB2312" w:eastAsia="仿宋_GB2312" w:cs="仿宋_GB2312"/>
          <w:sz w:val="24"/>
          <w:szCs w:val="24"/>
          <w:highlight w:val="none"/>
          <w:lang w:val="en-US" w:eastAsia="zh-CN"/>
        </w:rPr>
        <w:t>乙方安装、调试完毕的</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none"/>
          <w:lang w:val="en-US" w:eastAsia="zh-CN"/>
        </w:rPr>
        <w:t>个工作日内，</w:t>
      </w:r>
      <w:r>
        <w:rPr>
          <w:rFonts w:hint="default" w:ascii="仿宋_GB2312" w:hAnsi="仿宋_GB2312" w:eastAsia="仿宋_GB2312" w:cs="仿宋_GB2312"/>
          <w:sz w:val="24"/>
          <w:szCs w:val="24"/>
          <w:highlight w:val="none"/>
          <w:lang w:val="en-US" w:eastAsia="zh-CN"/>
        </w:rPr>
        <w:t>由</w:t>
      </w:r>
      <w:r>
        <w:rPr>
          <w:rFonts w:hint="default" w:ascii="仿宋_GB2312" w:hAnsi="仿宋_GB2312" w:eastAsia="仿宋_GB2312" w:cs="仿宋_GB2312"/>
          <w:sz w:val="24"/>
          <w:szCs w:val="24"/>
          <w:highlight w:val="none"/>
          <w:lang w:val="en-US"/>
        </w:rPr>
        <w:t>甲方</w:t>
      </w:r>
      <w:r>
        <w:rPr>
          <w:rFonts w:hint="default" w:ascii="仿宋_GB2312" w:hAnsi="仿宋_GB2312" w:eastAsia="仿宋_GB2312" w:cs="仿宋_GB2312"/>
          <w:sz w:val="24"/>
          <w:szCs w:val="24"/>
          <w:highlight w:val="none"/>
          <w:lang w:val="en-US" w:eastAsia="zh-CN"/>
        </w:rPr>
        <w:t>指派的工作人员进行检验，</w:t>
      </w:r>
      <w:r>
        <w:rPr>
          <w:rFonts w:hint="default" w:ascii="仿宋_GB2312" w:hAnsi="仿宋_GB2312" w:eastAsia="仿宋_GB2312" w:cs="仿宋_GB2312"/>
          <w:sz w:val="24"/>
          <w:szCs w:val="24"/>
          <w:highlight w:val="none"/>
          <w:lang w:val="en-US"/>
        </w:rPr>
        <w:t>使用过程中随时抽检。</w:t>
      </w:r>
      <w:r>
        <w:rPr>
          <w:rFonts w:hint="eastAsia" w:ascii="仿宋_GB2312" w:hAnsi="仿宋_GB2312" w:eastAsia="仿宋_GB2312" w:cs="仿宋_GB2312"/>
          <w:sz w:val="24"/>
          <w:szCs w:val="24"/>
          <w:highlight w:val="none"/>
          <w:lang w:val="en-US" w:eastAsia="zh-CN"/>
        </w:rPr>
        <w:t>检验合格的结果仅视为货物在外观、数量、型号、规格上符合合同约定，并不免除乙方对于货物质量问题负有的相应责任。</w:t>
      </w:r>
      <w:r>
        <w:rPr>
          <w:rFonts w:hint="default" w:ascii="仿宋_GB2312" w:hAnsi="仿宋_GB2312" w:eastAsia="仿宋_GB2312" w:cs="仿宋_GB2312"/>
          <w:sz w:val="24"/>
          <w:szCs w:val="24"/>
          <w:highlight w:val="none"/>
          <w:lang w:val="en-US"/>
        </w:rPr>
        <w:tab/>
      </w:r>
    </w:p>
    <w:p w14:paraId="7F903A92">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sz w:val="24"/>
          <w:szCs w:val="24"/>
          <w:lang w:eastAsia="zh-CN"/>
        </w:rPr>
        <w:t>（四）如属</w:t>
      </w:r>
      <w:r>
        <w:rPr>
          <w:rFonts w:hint="eastAsia" w:ascii="仿宋_GB2312" w:hAnsi="仿宋_GB2312" w:eastAsia="仿宋_GB2312" w:cs="仿宋_GB2312"/>
          <w:sz w:val="24"/>
          <w:szCs w:val="24"/>
        </w:rPr>
        <w:t>可能产生职业病危害（如化学品、放射性同位素、含有放射性物质）</w:t>
      </w:r>
      <w:r>
        <w:rPr>
          <w:rFonts w:hint="eastAsia" w:ascii="仿宋_GB2312" w:hAnsi="仿宋_GB2312" w:eastAsia="仿宋_GB2312" w:cs="仿宋_GB2312"/>
          <w:sz w:val="24"/>
          <w:szCs w:val="24"/>
          <w:lang w:eastAsia="zh-CN"/>
        </w:rPr>
        <w:t>货物</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乙方</w:t>
      </w:r>
      <w:r>
        <w:rPr>
          <w:rFonts w:hint="eastAsia" w:ascii="仿宋_GB2312" w:hAnsi="仿宋_GB2312" w:eastAsia="仿宋_GB2312" w:cs="仿宋_GB2312"/>
          <w:sz w:val="24"/>
          <w:szCs w:val="24"/>
        </w:rPr>
        <w:t>须提供</w:t>
      </w:r>
      <w:r>
        <w:rPr>
          <w:rFonts w:hint="eastAsia" w:ascii="仿宋_GB2312" w:hAnsi="仿宋_GB2312" w:eastAsia="仿宋_GB2312" w:cs="仿宋_GB2312"/>
          <w:sz w:val="24"/>
          <w:szCs w:val="24"/>
          <w:lang w:eastAsia="zh-CN"/>
        </w:rPr>
        <w:t>该货物的</w:t>
      </w:r>
      <w:r>
        <w:rPr>
          <w:rFonts w:hint="eastAsia" w:ascii="仿宋_GB2312" w:hAnsi="仿宋_GB2312" w:eastAsia="仿宋_GB2312" w:cs="仿宋_GB2312"/>
          <w:sz w:val="24"/>
          <w:szCs w:val="24"/>
        </w:rPr>
        <w:t>中文说明书。说明书应当载明</w:t>
      </w:r>
      <w:r>
        <w:rPr>
          <w:rFonts w:hint="eastAsia" w:ascii="仿宋_GB2312" w:hAnsi="仿宋_GB2312" w:eastAsia="仿宋_GB2312" w:cs="仿宋_GB2312"/>
          <w:sz w:val="24"/>
          <w:szCs w:val="24"/>
          <w:lang w:eastAsia="zh-CN"/>
        </w:rPr>
        <w:t>货物</w:t>
      </w:r>
      <w:r>
        <w:rPr>
          <w:rFonts w:hint="eastAsia" w:ascii="仿宋_GB2312" w:hAnsi="仿宋_GB2312" w:eastAsia="仿宋_GB2312" w:cs="仿宋_GB2312"/>
          <w:sz w:val="24"/>
          <w:szCs w:val="24"/>
        </w:rPr>
        <w:t>特性、主要成分、存在的有害因素、可能产生的危害后果、安全使用注意事项、职业病防护以及应急救治措施等内容。</w:t>
      </w:r>
    </w:p>
    <w:p w14:paraId="10CBB88C">
      <w:pPr>
        <w:pStyle w:val="18"/>
        <w:keepNext w:val="0"/>
        <w:keepLines w:val="0"/>
        <w:pageBreakBefore w:val="0"/>
        <w:widowControl w:val="0"/>
        <w:kinsoku/>
        <w:wordWrap/>
        <w:overflowPunct/>
        <w:topLinePunct w:val="0"/>
        <w:autoSpaceDE/>
        <w:autoSpaceDN/>
        <w:bidi w:val="0"/>
        <w:adjustRightInd w:val="0"/>
        <w:snapToGrid/>
        <w:spacing w:before="157" w:beforeLines="50" w:afterLines="0" w:line="360" w:lineRule="auto"/>
        <w:ind w:firstLine="0" w:firstLineChars="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第</w:t>
      </w:r>
      <w:r>
        <w:rPr>
          <w:rFonts w:hint="eastAsia" w:ascii="仿宋_GB2312" w:hAnsi="仿宋_GB2312" w:eastAsia="仿宋_GB2312" w:cs="仿宋_GB2312"/>
          <w:b/>
          <w:sz w:val="24"/>
          <w:szCs w:val="24"/>
        </w:rPr>
        <w:t>五</w:t>
      </w:r>
      <w:r>
        <w:rPr>
          <w:rFonts w:hint="eastAsia" w:ascii="仿宋_GB2312" w:hAnsi="仿宋_GB2312" w:eastAsia="仿宋_GB2312" w:cs="仿宋_GB2312"/>
          <w:b/>
          <w:sz w:val="24"/>
          <w:szCs w:val="24"/>
          <w:lang w:eastAsia="zh-CN"/>
        </w:rPr>
        <w:t>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lang w:eastAsia="zh-CN"/>
        </w:rPr>
        <w:t>交货</w:t>
      </w:r>
      <w:r>
        <w:rPr>
          <w:rFonts w:hint="eastAsia" w:ascii="仿宋_GB2312" w:hAnsi="仿宋_GB2312" w:eastAsia="仿宋_GB2312" w:cs="仿宋_GB2312"/>
          <w:b/>
          <w:sz w:val="24"/>
          <w:szCs w:val="24"/>
        </w:rPr>
        <w:t>时间</w:t>
      </w:r>
    </w:p>
    <w:p w14:paraId="59295CE3">
      <w:pPr>
        <w:adjustRightInd w:val="0"/>
        <w:snapToGrid w:val="0"/>
        <w:spacing w:beforeLines="0" w:afterLines="0" w:line="360" w:lineRule="auto"/>
        <w:ind w:firstLine="480" w:firstLineChars="200"/>
        <w:rPr>
          <w:rFonts w:hint="eastAsia" w:ascii="仿宋_GB2312" w:hAnsi="仿宋_GB2312" w:eastAsia="仿宋_GB2312" w:cs="仿宋_GB2312"/>
          <w:b w:val="0"/>
          <w:sz w:val="24"/>
          <w:szCs w:val="24"/>
          <w:lang w:eastAsia="zh-CN"/>
        </w:rPr>
      </w:pPr>
      <w:r>
        <w:rPr>
          <w:rFonts w:hint="eastAsia" w:ascii="仿宋_GB2312" w:hAnsi="仿宋_GB2312" w:eastAsia="仿宋_GB2312" w:cs="仿宋_GB2312"/>
          <w:sz w:val="24"/>
          <w:szCs w:val="24"/>
        </w:rPr>
        <w:t>乙方须在签订合同后</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个日历天</w:t>
      </w:r>
      <w:r>
        <w:rPr>
          <w:rFonts w:hint="eastAsia" w:ascii="仿宋_GB2312" w:hAnsi="仿宋_GB2312" w:eastAsia="仿宋_GB2312" w:cs="仿宋_GB2312"/>
          <w:sz w:val="24"/>
          <w:szCs w:val="24"/>
        </w:rPr>
        <w:t>内</w:t>
      </w:r>
      <w:r>
        <w:rPr>
          <w:rFonts w:hint="eastAsia" w:ascii="仿宋_GB2312" w:hAnsi="仿宋_GB2312" w:eastAsia="仿宋_GB2312" w:cs="仿宋_GB2312"/>
          <w:sz w:val="24"/>
          <w:szCs w:val="24"/>
          <w:lang w:eastAsia="zh-CN"/>
        </w:rPr>
        <w:t>完成全部货物交付</w:t>
      </w:r>
      <w:r>
        <w:rPr>
          <w:rFonts w:hint="eastAsia" w:ascii="仿宋_GB2312" w:hAnsi="仿宋_GB2312" w:eastAsia="仿宋_GB2312" w:cs="仿宋_GB2312"/>
          <w:sz w:val="24"/>
          <w:szCs w:val="24"/>
        </w:rPr>
        <w:t>。乙方应将货物</w:t>
      </w:r>
      <w:r>
        <w:rPr>
          <w:rFonts w:hint="eastAsia" w:ascii="仿宋_GB2312" w:hAnsi="仿宋_GB2312" w:eastAsia="仿宋_GB2312" w:cs="仿宋_GB2312"/>
          <w:sz w:val="24"/>
          <w:szCs w:val="24"/>
          <w:lang w:eastAsia="zh-CN"/>
        </w:rPr>
        <w:t>有关</w:t>
      </w:r>
      <w:r>
        <w:rPr>
          <w:rFonts w:hint="eastAsia" w:ascii="仿宋_GB2312" w:hAnsi="仿宋_GB2312" w:eastAsia="仿宋_GB2312" w:cs="仿宋_GB2312"/>
          <w:sz w:val="24"/>
          <w:szCs w:val="24"/>
        </w:rPr>
        <w:t>的产品序列号、用户手册、保修手册、有关资料及配件、随机工具等</w:t>
      </w:r>
      <w:r>
        <w:rPr>
          <w:rFonts w:hint="eastAsia" w:ascii="仿宋_GB2312" w:hAnsi="仿宋_GB2312" w:eastAsia="仿宋_GB2312" w:cs="仿宋_GB2312"/>
          <w:sz w:val="24"/>
          <w:szCs w:val="24"/>
          <w:lang w:eastAsia="zh-CN"/>
        </w:rPr>
        <w:t>附随物品</w:t>
      </w:r>
      <w:r>
        <w:rPr>
          <w:rFonts w:hint="eastAsia" w:ascii="仿宋_GB2312" w:hAnsi="仿宋_GB2312" w:eastAsia="仿宋_GB2312" w:cs="仿宋_GB2312"/>
          <w:sz w:val="24"/>
          <w:szCs w:val="24"/>
        </w:rPr>
        <w:t>一并交付给甲方。</w:t>
      </w:r>
    </w:p>
    <w:p w14:paraId="02564DE5">
      <w:pPr>
        <w:keepNext w:val="0"/>
        <w:keepLines w:val="0"/>
        <w:pageBreakBefore w:val="0"/>
        <w:widowControl w:val="0"/>
        <w:kinsoku/>
        <w:wordWrap/>
        <w:overflowPunct/>
        <w:topLinePunct w:val="0"/>
        <w:autoSpaceDE/>
        <w:autoSpaceDN/>
        <w:bidi w:val="0"/>
        <w:adjustRightInd w:val="0"/>
        <w:snapToGrid w:val="0"/>
        <w:spacing w:before="157" w:beforeLines="50" w:afterLines="0" w:line="360" w:lineRule="auto"/>
        <w:ind w:firstLine="0" w:firstLineChars="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sz w:val="24"/>
          <w:szCs w:val="24"/>
          <w:lang w:eastAsia="zh-CN"/>
        </w:rPr>
        <w:t>第</w:t>
      </w:r>
      <w:r>
        <w:rPr>
          <w:rFonts w:hint="eastAsia" w:ascii="仿宋_GB2312" w:hAnsi="仿宋_GB2312" w:eastAsia="仿宋_GB2312" w:cs="仿宋_GB2312"/>
          <w:b/>
          <w:sz w:val="24"/>
          <w:szCs w:val="24"/>
        </w:rPr>
        <w:t>六</w:t>
      </w:r>
      <w:r>
        <w:rPr>
          <w:rFonts w:hint="eastAsia" w:ascii="仿宋_GB2312" w:hAnsi="仿宋_GB2312" w:eastAsia="仿宋_GB2312" w:cs="仿宋_GB2312"/>
          <w:b/>
          <w:sz w:val="24"/>
          <w:szCs w:val="24"/>
          <w:lang w:eastAsia="zh-CN"/>
        </w:rPr>
        <w:t>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color w:val="C00000"/>
          <w:sz w:val="24"/>
          <w:szCs w:val="24"/>
          <w:lang w:val="en-US" w:eastAsia="zh-CN"/>
        </w:rPr>
        <w:t xml:space="preserve"> </w:t>
      </w:r>
      <w:r>
        <w:rPr>
          <w:rFonts w:hint="eastAsia" w:ascii="仿宋_GB2312" w:hAnsi="仿宋_GB2312" w:eastAsia="仿宋_GB2312" w:cs="仿宋_GB2312"/>
          <w:b/>
          <w:color w:val="auto"/>
          <w:sz w:val="24"/>
          <w:szCs w:val="24"/>
        </w:rPr>
        <w:t>结算方式</w:t>
      </w:r>
    </w:p>
    <w:p w14:paraId="05D14E62">
      <w:pPr>
        <w:pStyle w:val="5"/>
        <w:keepNext w:val="0"/>
        <w:keepLines w:val="0"/>
        <w:pageBreakBefore w:val="0"/>
        <w:kinsoku/>
        <w:wordWrap/>
        <w:overflowPunct/>
        <w:topLinePunct w:val="0"/>
        <w:autoSpaceDE/>
        <w:autoSpaceDN/>
        <w:bidi w:val="0"/>
        <w:adjustRightInd w:val="0"/>
        <w:snapToGrid w:val="0"/>
        <w:spacing w:beforeLines="0" w:after="0" w:afterLines="0" w:line="360" w:lineRule="auto"/>
        <w:ind w:firstLineChars="200"/>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r>
        <w:rPr>
          <w:rFonts w:hint="eastAsia" w:ascii="仿宋_GB2312" w:hAnsi="仿宋_GB2312" w:eastAsia="仿宋_GB2312" w:cs="仿宋_GB2312"/>
          <w:color w:val="auto"/>
          <w:sz w:val="24"/>
          <w:szCs w:val="24"/>
        </w:rPr>
        <w:t>乙方按</w:t>
      </w:r>
      <w:r>
        <w:rPr>
          <w:rFonts w:hint="eastAsia" w:ascii="仿宋_GB2312" w:hAnsi="仿宋_GB2312" w:eastAsia="仿宋_GB2312" w:cs="仿宋_GB2312"/>
          <w:color w:val="auto"/>
          <w:sz w:val="24"/>
          <w:szCs w:val="24"/>
          <w:lang w:eastAsia="zh-CN"/>
        </w:rPr>
        <w:t>时交付货物并经甲方检验合格后，</w:t>
      </w:r>
      <w:r>
        <w:rPr>
          <w:rFonts w:hint="eastAsia" w:ascii="仿宋_GB2312" w:hAnsi="仿宋_GB2312" w:eastAsia="仿宋_GB2312" w:cs="仿宋_GB2312"/>
          <w:color w:val="auto"/>
          <w:sz w:val="24"/>
          <w:szCs w:val="24"/>
          <w:lang w:val="en-US" w:eastAsia="zh-CN"/>
        </w:rPr>
        <w:t>甲方在</w:t>
      </w:r>
      <w:r>
        <w:rPr>
          <w:rFonts w:hint="eastAsia" w:ascii="仿宋_GB2312" w:hAnsi="仿宋_GB2312" w:eastAsia="仿宋_GB2312" w:cs="仿宋_GB2312"/>
          <w:color w:val="auto"/>
          <w:sz w:val="24"/>
          <w:szCs w:val="24"/>
          <w:u w:val="single"/>
          <w:lang w:val="en-US" w:eastAsia="zh-CN"/>
        </w:rPr>
        <w:t xml:space="preserve"> 7 </w:t>
      </w:r>
      <w:r>
        <w:rPr>
          <w:rFonts w:hint="eastAsia" w:ascii="仿宋_GB2312" w:hAnsi="仿宋_GB2312" w:eastAsia="仿宋_GB2312" w:cs="仿宋_GB2312"/>
          <w:color w:val="auto"/>
          <w:sz w:val="24"/>
          <w:szCs w:val="24"/>
        </w:rPr>
        <w:t>个工作日内</w:t>
      </w:r>
      <w:r>
        <w:rPr>
          <w:rFonts w:hint="eastAsia" w:ascii="仿宋_GB2312" w:hAnsi="仿宋_GB2312" w:eastAsia="仿宋_GB2312" w:cs="仿宋_GB2312"/>
          <w:color w:val="auto"/>
          <w:sz w:val="24"/>
          <w:szCs w:val="24"/>
          <w:lang w:val="en-US" w:eastAsia="zh-CN"/>
        </w:rPr>
        <w:t>一次性向乙方</w:t>
      </w:r>
      <w:r>
        <w:rPr>
          <w:rFonts w:hint="eastAsia" w:ascii="仿宋_GB2312" w:hAnsi="仿宋_GB2312" w:eastAsia="仿宋_GB2312" w:cs="仿宋_GB2312"/>
          <w:color w:val="auto"/>
          <w:sz w:val="24"/>
          <w:szCs w:val="24"/>
        </w:rPr>
        <w:t>支付</w:t>
      </w:r>
      <w:r>
        <w:rPr>
          <w:rFonts w:hint="eastAsia" w:ascii="仿宋_GB2312" w:hAnsi="仿宋_GB2312" w:eastAsia="仿宋_GB2312" w:cs="仿宋_GB2312"/>
          <w:color w:val="auto"/>
          <w:sz w:val="24"/>
          <w:szCs w:val="24"/>
          <w:lang w:val="en-US" w:eastAsia="zh-CN"/>
        </w:rPr>
        <w:t>全部合同价款</w:t>
      </w:r>
      <w:r>
        <w:rPr>
          <w:rFonts w:hint="eastAsia" w:ascii="仿宋_GB2312" w:hAnsi="仿宋_GB2312" w:eastAsia="仿宋_GB2312" w:cs="仿宋_GB2312"/>
          <w:color w:val="auto"/>
          <w:sz w:val="24"/>
          <w:szCs w:val="24"/>
        </w:rPr>
        <w:t>，即人民币</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元（</w:t>
      </w:r>
      <w:r>
        <w:rPr>
          <w:rFonts w:hint="eastAsia" w:ascii="仿宋_GB2312" w:hAnsi="仿宋_GB2312" w:eastAsia="仿宋_GB2312" w:cs="仿宋_GB2312"/>
          <w:color w:val="auto"/>
          <w:sz w:val="24"/>
          <w:szCs w:val="24"/>
          <w:u w:val="none"/>
        </w:rPr>
        <w:t>大写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none"/>
          <w:lang w:val="en-US" w:eastAsia="zh-CN"/>
        </w:rPr>
        <w:t>元</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w:t>
      </w:r>
    </w:p>
    <w:p w14:paraId="548B10E1">
      <w:pPr>
        <w:pStyle w:val="2"/>
        <w:keepNext w:val="0"/>
        <w:keepLines w:val="0"/>
        <w:pageBreakBefore w:val="0"/>
        <w:kinsoku/>
        <w:wordWrap/>
        <w:overflowPunct/>
        <w:topLinePunct w:val="0"/>
        <w:bidi w:val="0"/>
        <w:adjustRightInd w:val="0"/>
        <w:snapToGrid w:val="0"/>
        <w:spacing w:beforeLines="0" w:after="0" w:afterLines="0" w:line="360" w:lineRule="auto"/>
        <w:ind w:firstLine="480" w:firstLineChars="200"/>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（二）</w:t>
      </w:r>
      <w:r>
        <w:rPr>
          <w:rFonts w:hint="eastAsia" w:ascii="仿宋_GB2312" w:hAnsi="仿宋_GB2312" w:eastAsia="仿宋_GB2312" w:cs="仿宋_GB2312"/>
          <w:color w:val="auto"/>
          <w:sz w:val="24"/>
          <w:szCs w:val="24"/>
        </w:rPr>
        <w:t>甲方付款前，乙方须按甲方要求及时开具足额正规</w:t>
      </w:r>
      <w:r>
        <w:rPr>
          <w:rFonts w:hint="eastAsia" w:ascii="仿宋_GB2312" w:hAnsi="仿宋_GB2312" w:eastAsia="仿宋_GB2312" w:cs="仿宋_GB2312"/>
          <w:color w:val="auto"/>
          <w:sz w:val="24"/>
          <w:szCs w:val="24"/>
          <w:lang w:eastAsia="zh-CN"/>
        </w:rPr>
        <w:t>的</w:t>
      </w:r>
      <w:r>
        <w:rPr>
          <w:rFonts w:hint="eastAsia" w:ascii="仿宋_GB2312" w:hAnsi="仿宋_GB2312" w:eastAsia="仿宋_GB2312" w:cs="仿宋_GB2312"/>
          <w:color w:val="auto"/>
          <w:sz w:val="24"/>
          <w:szCs w:val="24"/>
          <w:lang w:eastAsia="zh-CN"/>
        </w:rPr>
        <w:sym w:font="Wingdings 2" w:char="0052"/>
      </w:r>
      <w:r>
        <w:rPr>
          <w:rFonts w:hint="eastAsia" w:ascii="仿宋_GB2312" w:hAnsi="仿宋_GB2312" w:eastAsia="仿宋_GB2312" w:cs="仿宋_GB2312"/>
          <w:color w:val="auto"/>
          <w:sz w:val="24"/>
          <w:szCs w:val="24"/>
        </w:rPr>
        <w:t>增值税</w:t>
      </w:r>
      <w:r>
        <w:rPr>
          <w:rFonts w:hint="eastAsia" w:ascii="仿宋_GB2312" w:hAnsi="仿宋_GB2312" w:eastAsia="仿宋_GB2312" w:cs="仿宋_GB2312"/>
          <w:color w:val="auto"/>
          <w:sz w:val="24"/>
          <w:szCs w:val="24"/>
          <w:lang w:eastAsia="zh-CN"/>
        </w:rPr>
        <w:t>专用</w:t>
      </w:r>
      <w:r>
        <w:rPr>
          <w:rFonts w:hint="eastAsia" w:ascii="仿宋_GB2312" w:hAnsi="仿宋_GB2312" w:eastAsia="仿宋_GB2312" w:cs="仿宋_GB2312"/>
          <w:color w:val="auto"/>
          <w:sz w:val="24"/>
          <w:szCs w:val="24"/>
        </w:rPr>
        <w:t>发票</w:t>
      </w:r>
      <w:r>
        <w:rPr>
          <w:rFonts w:hint="eastAsia" w:ascii="仿宋_GB2312" w:hAnsi="仿宋_GB2312" w:eastAsia="仿宋_GB2312" w:cs="仿宋_GB2312"/>
          <w:color w:val="auto"/>
          <w:sz w:val="24"/>
          <w:szCs w:val="24"/>
          <w:lang w:eastAsia="zh-CN"/>
        </w:rPr>
        <w:sym w:font="Wingdings 2" w:char="00A3"/>
      </w:r>
      <w:r>
        <w:rPr>
          <w:rFonts w:hint="eastAsia" w:ascii="仿宋_GB2312" w:hAnsi="仿宋_GB2312" w:eastAsia="仿宋_GB2312" w:cs="仿宋_GB2312"/>
          <w:color w:val="auto"/>
          <w:sz w:val="24"/>
          <w:szCs w:val="24"/>
          <w:lang w:eastAsia="zh-CN"/>
        </w:rPr>
        <w:t>增值税普通发票</w:t>
      </w:r>
      <w:r>
        <w:rPr>
          <w:rFonts w:hint="eastAsia" w:ascii="仿宋_GB2312" w:hAnsi="仿宋_GB2312" w:eastAsia="仿宋_GB2312" w:cs="仿宋_GB2312"/>
          <w:color w:val="auto"/>
          <w:sz w:val="24"/>
          <w:szCs w:val="24"/>
        </w:rPr>
        <w:t>。乙方承诺其开具发票的形式与内容均合法、有效、完整、准确，不开具或开具不合格的，甲方有权迟延支付应付款项且不承担任何责任，且乙方的各项合同义务仍应按合同约定履行。</w:t>
      </w:r>
    </w:p>
    <w:p w14:paraId="23821BE6">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leftChars="0" w:firstLine="480" w:firstLineChars="200"/>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三）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tbl>
      <w:tblPr>
        <w:tblStyle w:val="3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5"/>
        <w:gridCol w:w="2305"/>
        <w:gridCol w:w="2308"/>
        <w:gridCol w:w="2308"/>
      </w:tblGrid>
      <w:tr w14:paraId="1AA4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14:paraId="15B9ED39">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甲方名称</w:t>
            </w:r>
          </w:p>
        </w:tc>
        <w:tc>
          <w:tcPr>
            <w:tcW w:w="1249" w:type="pct"/>
            <w:noWrap w:val="0"/>
            <w:vAlign w:val="center"/>
          </w:tcPr>
          <w:p w14:paraId="4E8F00B5">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c>
          <w:tcPr>
            <w:tcW w:w="1250" w:type="pct"/>
            <w:noWrap w:val="0"/>
            <w:vAlign w:val="center"/>
          </w:tcPr>
          <w:p w14:paraId="1108FB46">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乙方名称</w:t>
            </w:r>
          </w:p>
        </w:tc>
        <w:tc>
          <w:tcPr>
            <w:tcW w:w="1250" w:type="pct"/>
            <w:noWrap w:val="0"/>
            <w:vAlign w:val="center"/>
          </w:tcPr>
          <w:p w14:paraId="575EB063">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r>
      <w:tr w14:paraId="22892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14:paraId="723B3EA1">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rPr>
              <w:t>纳税人识别号</w:t>
            </w:r>
          </w:p>
        </w:tc>
        <w:tc>
          <w:tcPr>
            <w:tcW w:w="1249" w:type="pct"/>
            <w:noWrap w:val="0"/>
            <w:vAlign w:val="center"/>
          </w:tcPr>
          <w:p w14:paraId="3CD67A32">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c>
          <w:tcPr>
            <w:tcW w:w="1250" w:type="pct"/>
            <w:noWrap w:val="0"/>
            <w:vAlign w:val="center"/>
          </w:tcPr>
          <w:p w14:paraId="1E68212C">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rPr>
              <w:t>纳税人识别号</w:t>
            </w:r>
          </w:p>
        </w:tc>
        <w:tc>
          <w:tcPr>
            <w:tcW w:w="1250" w:type="pct"/>
            <w:noWrap w:val="0"/>
            <w:vAlign w:val="center"/>
          </w:tcPr>
          <w:p w14:paraId="4FD2EE69">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r>
      <w:tr w14:paraId="7514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14:paraId="060AB024">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rPr>
              <w:t>开户</w:t>
            </w:r>
            <w:r>
              <w:rPr>
                <w:rFonts w:hint="eastAsia" w:ascii="仿宋_GB2312" w:hAnsi="仿宋_GB2312" w:eastAsia="仿宋_GB2312" w:cs="仿宋_GB2312"/>
                <w:sz w:val="24"/>
                <w:szCs w:val="24"/>
                <w:highlight w:val="none"/>
                <w:vertAlign w:val="baseline"/>
                <w:lang w:val="en-US" w:eastAsia="zh-CN"/>
              </w:rPr>
              <w:t>银行名称</w:t>
            </w:r>
          </w:p>
        </w:tc>
        <w:tc>
          <w:tcPr>
            <w:tcW w:w="1249" w:type="pct"/>
            <w:noWrap w:val="0"/>
            <w:vAlign w:val="center"/>
          </w:tcPr>
          <w:p w14:paraId="7CDBEB33">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c>
          <w:tcPr>
            <w:tcW w:w="1250" w:type="pct"/>
            <w:noWrap w:val="0"/>
            <w:vAlign w:val="center"/>
          </w:tcPr>
          <w:p w14:paraId="196DC134">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rPr>
              <w:t>开户</w:t>
            </w:r>
            <w:r>
              <w:rPr>
                <w:rFonts w:hint="eastAsia" w:ascii="仿宋_GB2312" w:hAnsi="仿宋_GB2312" w:eastAsia="仿宋_GB2312" w:cs="仿宋_GB2312"/>
                <w:sz w:val="24"/>
                <w:szCs w:val="24"/>
                <w:highlight w:val="none"/>
                <w:vertAlign w:val="baseline"/>
                <w:lang w:val="en-US" w:eastAsia="zh-CN"/>
              </w:rPr>
              <w:t>银行名称</w:t>
            </w:r>
          </w:p>
        </w:tc>
        <w:tc>
          <w:tcPr>
            <w:tcW w:w="1250" w:type="pct"/>
            <w:noWrap w:val="0"/>
            <w:vAlign w:val="center"/>
          </w:tcPr>
          <w:p w14:paraId="5D69EA98">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r>
      <w:tr w14:paraId="4877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14:paraId="0788705F">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rPr>
              <w:t>银行</w:t>
            </w:r>
            <w:r>
              <w:rPr>
                <w:rFonts w:hint="eastAsia" w:ascii="仿宋_GB2312" w:hAnsi="仿宋_GB2312" w:eastAsia="仿宋_GB2312" w:cs="仿宋_GB2312"/>
                <w:sz w:val="24"/>
                <w:szCs w:val="24"/>
                <w:highlight w:val="none"/>
                <w:vertAlign w:val="baseline"/>
                <w:lang w:val="en-US" w:eastAsia="zh-CN"/>
              </w:rPr>
              <w:t>账号</w:t>
            </w:r>
          </w:p>
        </w:tc>
        <w:tc>
          <w:tcPr>
            <w:tcW w:w="1249" w:type="pct"/>
            <w:noWrap w:val="0"/>
            <w:vAlign w:val="center"/>
          </w:tcPr>
          <w:p w14:paraId="76CDD043">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c>
          <w:tcPr>
            <w:tcW w:w="1250" w:type="pct"/>
            <w:noWrap w:val="0"/>
            <w:vAlign w:val="center"/>
          </w:tcPr>
          <w:p w14:paraId="005CE14E">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rPr>
              <w:t>银行</w:t>
            </w:r>
            <w:r>
              <w:rPr>
                <w:rFonts w:hint="eastAsia" w:ascii="仿宋_GB2312" w:hAnsi="仿宋_GB2312" w:eastAsia="仿宋_GB2312" w:cs="仿宋_GB2312"/>
                <w:sz w:val="24"/>
                <w:szCs w:val="24"/>
                <w:highlight w:val="none"/>
                <w:vertAlign w:val="baseline"/>
                <w:lang w:val="en-US" w:eastAsia="zh-CN"/>
              </w:rPr>
              <w:t>账号</w:t>
            </w:r>
          </w:p>
        </w:tc>
        <w:tc>
          <w:tcPr>
            <w:tcW w:w="1250" w:type="pct"/>
            <w:noWrap w:val="0"/>
            <w:vAlign w:val="center"/>
          </w:tcPr>
          <w:p w14:paraId="24FD47BC">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r>
      <w:tr w14:paraId="6D35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14:paraId="3C89C65A">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地址</w:t>
            </w:r>
          </w:p>
        </w:tc>
        <w:tc>
          <w:tcPr>
            <w:tcW w:w="1249" w:type="pct"/>
            <w:noWrap w:val="0"/>
            <w:vAlign w:val="center"/>
          </w:tcPr>
          <w:p w14:paraId="19700A04">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c>
          <w:tcPr>
            <w:tcW w:w="1250" w:type="pct"/>
            <w:noWrap w:val="0"/>
            <w:vAlign w:val="center"/>
          </w:tcPr>
          <w:p w14:paraId="6C7B9E34">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地址</w:t>
            </w:r>
          </w:p>
        </w:tc>
        <w:tc>
          <w:tcPr>
            <w:tcW w:w="1250" w:type="pct"/>
            <w:noWrap w:val="0"/>
            <w:vAlign w:val="center"/>
          </w:tcPr>
          <w:p w14:paraId="38EABAC2">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r>
      <w:tr w14:paraId="58394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14:paraId="3FB0C717">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电话</w:t>
            </w:r>
          </w:p>
        </w:tc>
        <w:tc>
          <w:tcPr>
            <w:tcW w:w="1249" w:type="pct"/>
            <w:noWrap w:val="0"/>
            <w:vAlign w:val="center"/>
          </w:tcPr>
          <w:p w14:paraId="435E0879">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c>
          <w:tcPr>
            <w:tcW w:w="1250" w:type="pct"/>
            <w:noWrap w:val="0"/>
            <w:vAlign w:val="center"/>
          </w:tcPr>
          <w:p w14:paraId="6F580F8D">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电话</w:t>
            </w:r>
          </w:p>
        </w:tc>
        <w:tc>
          <w:tcPr>
            <w:tcW w:w="1250" w:type="pct"/>
            <w:noWrap w:val="0"/>
            <w:vAlign w:val="center"/>
          </w:tcPr>
          <w:p w14:paraId="4B6527F2">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240" w:lineRule="auto"/>
              <w:jc w:val="both"/>
              <w:textAlignment w:val="auto"/>
              <w:rPr>
                <w:rFonts w:hint="eastAsia" w:ascii="仿宋_GB2312" w:hAnsi="仿宋_GB2312" w:eastAsia="仿宋_GB2312" w:cs="仿宋_GB2312"/>
                <w:sz w:val="24"/>
                <w:szCs w:val="24"/>
                <w:highlight w:val="none"/>
                <w:vertAlign w:val="baseline"/>
                <w:lang w:val="en-US" w:eastAsia="zh-CN"/>
              </w:rPr>
            </w:pPr>
          </w:p>
        </w:tc>
      </w:tr>
    </w:tbl>
    <w:p w14:paraId="643F169D">
      <w:pPr>
        <w:keepNext w:val="0"/>
        <w:keepLines w:val="0"/>
        <w:pageBreakBefore w:val="0"/>
        <w:kinsoku/>
        <w:wordWrap/>
        <w:overflowPunct/>
        <w:topLinePunct w:val="0"/>
        <w:autoSpaceDE/>
        <w:autoSpaceDN/>
        <w:bidi w:val="0"/>
        <w:adjustRightInd w:val="0"/>
        <w:snapToGrid w:val="0"/>
        <w:spacing w:beforeLines="0" w:afterLines="0" w:line="360" w:lineRule="auto"/>
        <w:ind w:firstLine="480" w:firstLineChars="200"/>
        <w:jc w:val="left"/>
        <w:rPr>
          <w:rFonts w:hint="eastAsia" w:ascii="仿宋_GB2312" w:hAnsi="仿宋_GB2312" w:eastAsia="仿宋_GB2312" w:cs="仿宋_GB2312"/>
          <w:b w:val="0"/>
          <w:sz w:val="24"/>
          <w:szCs w:val="24"/>
          <w:highlight w:val="none"/>
        </w:rPr>
      </w:pPr>
    </w:p>
    <w:p w14:paraId="46E70EA7">
      <w:pPr>
        <w:keepNext w:val="0"/>
        <w:keepLines w:val="0"/>
        <w:pageBreakBefore w:val="0"/>
        <w:kinsoku/>
        <w:wordWrap/>
        <w:overflowPunct/>
        <w:topLinePunct w:val="0"/>
        <w:autoSpaceDE/>
        <w:autoSpaceDN/>
        <w:bidi w:val="0"/>
        <w:adjustRightInd/>
        <w:snapToGrid w:val="0"/>
        <w:spacing w:beforeLines="0" w:afterLines="0" w:line="360" w:lineRule="auto"/>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lang w:eastAsia="zh-CN"/>
        </w:rPr>
        <w:t>第七条</w:t>
      </w:r>
      <w:r>
        <w:rPr>
          <w:rFonts w:hint="eastAsia" w:ascii="仿宋_GB2312" w:hAnsi="仿宋_GB2312" w:eastAsia="仿宋_GB2312" w:cs="仿宋_GB2312"/>
          <w:b/>
          <w:sz w:val="24"/>
          <w:szCs w:val="24"/>
          <w:highlight w:val="none"/>
          <w:lang w:val="en-US" w:eastAsia="zh-CN"/>
        </w:rPr>
        <w:t xml:space="preserve">  </w:t>
      </w:r>
      <w:r>
        <w:rPr>
          <w:rFonts w:hint="eastAsia" w:ascii="仿宋_GB2312" w:hAnsi="仿宋_GB2312" w:eastAsia="仿宋_GB2312" w:cs="仿宋_GB2312"/>
          <w:b/>
          <w:sz w:val="24"/>
          <w:szCs w:val="24"/>
          <w:highlight w:val="none"/>
        </w:rPr>
        <w:t>质量及服务保证</w:t>
      </w:r>
    </w:p>
    <w:p w14:paraId="5D0A3C69">
      <w:pPr>
        <w:wordWrap w:val="0"/>
        <w:adjustRightInd w:val="0"/>
        <w:snapToGrid w:val="0"/>
        <w:spacing w:beforeLines="0" w:afterLines="0"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（一）</w:t>
      </w:r>
      <w:r>
        <w:rPr>
          <w:rFonts w:hint="eastAsia" w:ascii="仿宋_GB2312" w:hAnsi="仿宋_GB2312" w:eastAsia="仿宋_GB2312" w:cs="仿宋_GB2312"/>
          <w:sz w:val="24"/>
          <w:szCs w:val="24"/>
          <w:highlight w:val="none"/>
        </w:rPr>
        <w:t>乙方应严格按照合同的约定提供</w:t>
      </w:r>
      <w:r>
        <w:rPr>
          <w:rFonts w:hint="eastAsia" w:ascii="仿宋_GB2312" w:hAnsi="仿宋_GB2312" w:eastAsia="仿宋_GB2312" w:cs="仿宋_GB2312"/>
          <w:sz w:val="24"/>
          <w:szCs w:val="24"/>
          <w:highlight w:val="none"/>
          <w:lang w:eastAsia="zh-CN"/>
        </w:rPr>
        <w:t>货物</w:t>
      </w:r>
      <w:r>
        <w:rPr>
          <w:rFonts w:hint="eastAsia" w:ascii="仿宋_GB2312" w:hAnsi="仿宋_GB2312" w:eastAsia="仿宋_GB2312" w:cs="仿宋_GB2312"/>
          <w:sz w:val="24"/>
          <w:szCs w:val="24"/>
          <w:highlight w:val="none"/>
        </w:rPr>
        <w:t>。甲方在收</w:t>
      </w:r>
      <w:r>
        <w:rPr>
          <w:rFonts w:hint="eastAsia" w:ascii="仿宋_GB2312" w:hAnsi="仿宋_GB2312" w:eastAsia="仿宋_GB2312" w:cs="仿宋_GB2312"/>
          <w:sz w:val="24"/>
          <w:szCs w:val="24"/>
          <w:highlight w:val="none"/>
          <w:lang w:eastAsia="zh-CN"/>
        </w:rPr>
        <w:t>货</w:t>
      </w:r>
      <w:r>
        <w:rPr>
          <w:rFonts w:hint="eastAsia" w:ascii="仿宋_GB2312" w:hAnsi="仿宋_GB2312" w:eastAsia="仿宋_GB2312" w:cs="仿宋_GB2312"/>
          <w:sz w:val="24"/>
          <w:szCs w:val="24"/>
          <w:highlight w:val="none"/>
        </w:rPr>
        <w:t>时或者在使用过程中都可对</w:t>
      </w:r>
      <w:r>
        <w:rPr>
          <w:rFonts w:hint="eastAsia" w:ascii="仿宋_GB2312" w:hAnsi="仿宋_GB2312" w:eastAsia="仿宋_GB2312" w:cs="仿宋_GB2312"/>
          <w:sz w:val="24"/>
          <w:szCs w:val="24"/>
          <w:highlight w:val="none"/>
          <w:lang w:eastAsia="zh-CN"/>
        </w:rPr>
        <w:t>货物</w:t>
      </w:r>
      <w:r>
        <w:rPr>
          <w:rFonts w:hint="eastAsia" w:ascii="仿宋_GB2312" w:hAnsi="仿宋_GB2312" w:eastAsia="仿宋_GB2312" w:cs="仿宋_GB2312"/>
          <w:sz w:val="24"/>
          <w:szCs w:val="24"/>
          <w:highlight w:val="none"/>
        </w:rPr>
        <w:t>进行检验，对于存在的任何疑问和问题，乙方必须给予详尽的答复和解决意见。</w:t>
      </w:r>
    </w:p>
    <w:p w14:paraId="500FDAE2">
      <w:pPr>
        <w:wordWrap w:val="0"/>
        <w:adjustRightInd w:val="0"/>
        <w:snapToGrid w:val="0"/>
        <w:spacing w:beforeLines="0" w:afterLines="0" w:line="36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（二）甲方对货物使用存在培训需求的，乙方提供免费上门培训和操作指导，确保甲方正确使用货物。</w:t>
      </w:r>
    </w:p>
    <w:p w14:paraId="56E5F707">
      <w:pPr>
        <w:keepNext w:val="0"/>
        <w:keepLines w:val="0"/>
        <w:pageBreakBefore w:val="0"/>
        <w:kinsoku/>
        <w:wordWrap w:val="0"/>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三</w:t>
      </w:r>
      <w:r>
        <w:rPr>
          <w:rFonts w:hint="eastAsia" w:ascii="仿宋_GB2312" w:hAnsi="仿宋_GB2312" w:eastAsia="仿宋_GB2312" w:cs="仿宋_GB2312"/>
          <w:sz w:val="24"/>
          <w:szCs w:val="24"/>
          <w:highlight w:val="none"/>
          <w:lang w:eastAsia="zh-CN"/>
        </w:rPr>
        <w:t>）甲方在收货时发现货物质量问题的，有权立即</w:t>
      </w:r>
      <w:r>
        <w:rPr>
          <w:rFonts w:hint="eastAsia" w:ascii="仿宋_GB2312" w:hAnsi="仿宋_GB2312" w:eastAsia="仿宋_GB2312" w:cs="仿宋_GB2312"/>
          <w:sz w:val="24"/>
          <w:szCs w:val="24"/>
          <w:highlight w:val="none"/>
        </w:rPr>
        <w:t>作</w:t>
      </w:r>
      <w:r>
        <w:rPr>
          <w:rFonts w:hint="eastAsia" w:ascii="仿宋_GB2312" w:hAnsi="仿宋_GB2312" w:eastAsia="仿宋_GB2312" w:cs="仿宋_GB2312"/>
          <w:sz w:val="24"/>
          <w:szCs w:val="24"/>
          <w:highlight w:val="none"/>
          <w:lang w:eastAsia="zh-CN"/>
        </w:rPr>
        <w:t>退换货处理。</w:t>
      </w:r>
    </w:p>
    <w:p w14:paraId="529D1C01">
      <w:pPr>
        <w:pStyle w:val="2"/>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（四）</w:t>
      </w:r>
      <w:r>
        <w:rPr>
          <w:rFonts w:hint="eastAsia" w:ascii="仿宋_GB2312" w:hAnsi="仿宋_GB2312" w:eastAsia="仿宋_GB2312" w:cs="仿宋_GB2312"/>
          <w:sz w:val="24"/>
          <w:szCs w:val="24"/>
          <w:highlight w:val="none"/>
        </w:rPr>
        <w:t>乙方</w:t>
      </w:r>
      <w:r>
        <w:rPr>
          <w:rFonts w:hint="eastAsia" w:ascii="仿宋_GB2312" w:hAnsi="仿宋_GB2312" w:eastAsia="仿宋_GB2312" w:cs="仿宋_GB2312"/>
          <w:sz w:val="24"/>
          <w:szCs w:val="24"/>
          <w:highlight w:val="none"/>
          <w:lang w:val="en-US" w:eastAsia="zh-CN"/>
        </w:rPr>
        <w:t>同意，甲方在使用过程中发现的货物质量问题</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甲方有权</w:t>
      </w:r>
      <w:r>
        <w:rPr>
          <w:rFonts w:hint="eastAsia" w:ascii="仿宋_GB2312" w:hAnsi="仿宋_GB2312" w:eastAsia="仿宋_GB2312" w:cs="仿宋_GB2312"/>
          <w:sz w:val="24"/>
          <w:szCs w:val="24"/>
          <w:highlight w:val="none"/>
        </w:rPr>
        <w:t>按照下列一种或多种方式</w:t>
      </w:r>
      <w:r>
        <w:rPr>
          <w:rFonts w:hint="eastAsia" w:ascii="仿宋_GB2312" w:hAnsi="仿宋_GB2312" w:eastAsia="仿宋_GB2312" w:cs="仿宋_GB2312"/>
          <w:sz w:val="24"/>
          <w:szCs w:val="24"/>
          <w:highlight w:val="none"/>
          <w:lang w:val="en-US" w:eastAsia="zh-CN"/>
        </w:rPr>
        <w:t>进行</w:t>
      </w:r>
      <w:r>
        <w:rPr>
          <w:rFonts w:hint="eastAsia" w:ascii="仿宋_GB2312" w:hAnsi="仿宋_GB2312" w:eastAsia="仿宋_GB2312" w:cs="仿宋_GB2312"/>
          <w:sz w:val="24"/>
          <w:szCs w:val="24"/>
          <w:highlight w:val="none"/>
        </w:rPr>
        <w:t>解决</w:t>
      </w:r>
      <w:r>
        <w:rPr>
          <w:rFonts w:hint="eastAsia" w:ascii="仿宋_GB2312" w:hAnsi="仿宋_GB2312" w:eastAsia="仿宋_GB2312" w:cs="仿宋_GB2312"/>
          <w:sz w:val="24"/>
          <w:szCs w:val="24"/>
          <w:highlight w:val="none"/>
          <w:lang w:eastAsia="zh-CN"/>
        </w:rPr>
        <w:t>：</w:t>
      </w:r>
    </w:p>
    <w:p w14:paraId="098EF9C2">
      <w:pPr>
        <w:pStyle w:val="2"/>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乙方在接到</w:t>
      </w:r>
      <w:r>
        <w:rPr>
          <w:rFonts w:hint="eastAsia" w:ascii="仿宋_GB2312" w:hAnsi="仿宋_GB2312" w:eastAsia="仿宋_GB2312" w:cs="仿宋_GB2312"/>
          <w:sz w:val="24"/>
          <w:szCs w:val="24"/>
          <w:highlight w:val="none"/>
          <w:lang w:val="en-US" w:eastAsia="zh-CN"/>
        </w:rPr>
        <w:t>甲方</w:t>
      </w:r>
      <w:r>
        <w:rPr>
          <w:rFonts w:hint="eastAsia" w:ascii="仿宋_GB2312" w:hAnsi="仿宋_GB2312" w:eastAsia="仿宋_GB2312" w:cs="仿宋_GB2312"/>
          <w:sz w:val="24"/>
          <w:szCs w:val="24"/>
          <w:highlight w:val="none"/>
        </w:rPr>
        <w:t>通知后</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小时内到场解决</w:t>
      </w:r>
      <w:r>
        <w:rPr>
          <w:rFonts w:hint="eastAsia" w:ascii="仿宋_GB2312" w:hAnsi="仿宋_GB2312" w:eastAsia="仿宋_GB2312" w:cs="仿宋_GB2312"/>
          <w:sz w:val="24"/>
          <w:szCs w:val="24"/>
          <w:highlight w:val="none"/>
          <w:lang w:eastAsia="zh-CN"/>
        </w:rPr>
        <w:t>。乙方未在规定时间内到场的，甲方有权委托第三方进行解决，由此产生的一切费用和风险由乙方承担。</w:t>
      </w:r>
    </w:p>
    <w:p w14:paraId="4F759216">
      <w:pPr>
        <w:pStyle w:val="2"/>
        <w:adjustRightInd w:val="0"/>
        <w:snapToGrid w:val="0"/>
        <w:spacing w:beforeLines="0" w:afterLines="0" w:line="360" w:lineRule="auto"/>
        <w:ind w:firstLine="480" w:firstLineChars="200"/>
        <w:jc w:val="both"/>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lang w:eastAsia="zh-CN"/>
        </w:rPr>
        <w:t>甲方有权将有质量问题的货物作</w:t>
      </w:r>
      <w:r>
        <w:rPr>
          <w:rFonts w:hint="eastAsia" w:ascii="仿宋_GB2312" w:hAnsi="仿宋_GB2312" w:eastAsia="仿宋_GB2312" w:cs="仿宋_GB2312"/>
          <w:sz w:val="24"/>
          <w:szCs w:val="24"/>
          <w:highlight w:val="none"/>
        </w:rPr>
        <w:t>退货退款</w:t>
      </w:r>
      <w:r>
        <w:rPr>
          <w:rFonts w:hint="eastAsia" w:ascii="仿宋_GB2312" w:hAnsi="仿宋_GB2312" w:eastAsia="仿宋_GB2312" w:cs="仿宋_GB2312"/>
          <w:sz w:val="24"/>
          <w:szCs w:val="24"/>
          <w:highlight w:val="none"/>
          <w:lang w:eastAsia="zh-CN"/>
        </w:rPr>
        <w:t>处理</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且甲方有权视情况解除合同。</w:t>
      </w:r>
    </w:p>
    <w:p w14:paraId="39D5AB32">
      <w:pPr>
        <w:pStyle w:val="2"/>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3、乙方负责用符合或优于合同约定的货物进行更换</w:t>
      </w:r>
      <w:r>
        <w:rPr>
          <w:rFonts w:hint="eastAsia" w:ascii="仿宋_GB2312" w:hAnsi="仿宋_GB2312" w:eastAsia="仿宋_GB2312" w:cs="仿宋_GB2312"/>
          <w:sz w:val="24"/>
          <w:szCs w:val="24"/>
          <w:highlight w:val="none"/>
        </w:rPr>
        <w:t>。</w:t>
      </w:r>
    </w:p>
    <w:p w14:paraId="341D95B9">
      <w:pPr>
        <w:pStyle w:val="2"/>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4、如乙方不能及时到场解决，或出现质量问题的货物数量占采购货物总数量的百分之</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lang w:val="en-US" w:eastAsia="zh-CN"/>
        </w:rPr>
        <w:t>或出现质量问题的货物价格占合同总价百分之</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lang w:val="en-US" w:eastAsia="zh-CN"/>
        </w:rPr>
        <w:t>，或乙方更换后的货物仍无法达到约定的质量标准的，甲方有权视情况解除合同，将货物退予乙方，乙方应</w:t>
      </w:r>
      <w:r>
        <w:rPr>
          <w:rFonts w:hint="default" w:ascii="仿宋_GB2312" w:hAnsi="仿宋_GB2312" w:eastAsia="仿宋_GB2312" w:cs="仿宋_GB2312"/>
          <w:sz w:val="24"/>
          <w:szCs w:val="24"/>
          <w:highlight w:val="none"/>
        </w:rPr>
        <w:t>自合同解除之日起十日内</w:t>
      </w:r>
      <w:r>
        <w:rPr>
          <w:rFonts w:hint="eastAsia" w:ascii="仿宋_GB2312" w:hAnsi="仿宋_GB2312" w:eastAsia="仿宋_GB2312" w:cs="仿宋_GB2312"/>
          <w:sz w:val="24"/>
          <w:szCs w:val="24"/>
          <w:highlight w:val="none"/>
          <w:lang w:eastAsia="zh-CN"/>
        </w:rPr>
        <w:t>向甲方</w:t>
      </w:r>
      <w:r>
        <w:rPr>
          <w:rFonts w:hint="eastAsia" w:ascii="仿宋_GB2312" w:hAnsi="仿宋_GB2312" w:eastAsia="仿宋_GB2312" w:cs="仿宋_GB2312"/>
          <w:sz w:val="24"/>
          <w:szCs w:val="24"/>
          <w:highlight w:val="none"/>
          <w:lang w:val="en-US" w:eastAsia="zh-CN"/>
        </w:rPr>
        <w:t>退还全部货款并</w:t>
      </w:r>
      <w:r>
        <w:rPr>
          <w:rFonts w:hint="eastAsia" w:ascii="仿宋_GB2312" w:hAnsi="仿宋_GB2312" w:eastAsia="仿宋_GB2312" w:cs="仿宋_GB2312"/>
          <w:sz w:val="24"/>
          <w:szCs w:val="24"/>
          <w:highlight w:val="none"/>
        </w:rPr>
        <w:t>支付合同总价百分之三十的违约金</w:t>
      </w:r>
      <w:r>
        <w:rPr>
          <w:rFonts w:hint="eastAsia" w:ascii="仿宋_GB2312" w:hAnsi="仿宋_GB2312" w:eastAsia="仿宋_GB2312" w:cs="仿宋_GB2312"/>
          <w:sz w:val="24"/>
          <w:szCs w:val="24"/>
          <w:highlight w:val="none"/>
          <w:lang w:val="en-US" w:eastAsia="zh-CN"/>
        </w:rPr>
        <w:t>。</w:t>
      </w:r>
    </w:p>
    <w:p w14:paraId="692AA731">
      <w:pPr>
        <w:keepNext w:val="0"/>
        <w:keepLines w:val="0"/>
        <w:pageBreakBefore w:val="0"/>
        <w:kinsoku/>
        <w:wordWrap w:val="0"/>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五</w:t>
      </w:r>
      <w:r>
        <w:rPr>
          <w:rFonts w:hint="eastAsia" w:ascii="仿宋_GB2312" w:hAnsi="仿宋_GB2312" w:eastAsia="仿宋_GB2312" w:cs="仿宋_GB2312"/>
          <w:sz w:val="24"/>
          <w:szCs w:val="24"/>
          <w:highlight w:val="none"/>
          <w:lang w:eastAsia="zh-CN"/>
        </w:rPr>
        <w:t>）甲方</w:t>
      </w:r>
      <w:r>
        <w:rPr>
          <w:rFonts w:hint="eastAsia" w:ascii="仿宋_GB2312" w:hAnsi="仿宋_GB2312" w:eastAsia="仿宋_GB2312" w:cs="仿宋_GB2312"/>
          <w:sz w:val="24"/>
          <w:szCs w:val="24"/>
          <w:highlight w:val="none"/>
          <w:lang w:val="en-US" w:eastAsia="zh-CN"/>
        </w:rPr>
        <w:t>按照本条第（四）款</w:t>
      </w:r>
      <w:r>
        <w:rPr>
          <w:rFonts w:hint="eastAsia" w:ascii="仿宋_GB2312" w:hAnsi="仿宋_GB2312" w:eastAsia="仿宋_GB2312" w:cs="仿宋_GB2312"/>
          <w:sz w:val="24"/>
          <w:szCs w:val="24"/>
          <w:highlight w:val="none"/>
          <w:lang w:eastAsia="zh-CN"/>
        </w:rPr>
        <w:t>要求退货、换货的，</w:t>
      </w:r>
      <w:r>
        <w:rPr>
          <w:rFonts w:hint="eastAsia" w:ascii="仿宋_GB2312" w:hAnsi="仿宋_GB2312" w:eastAsia="仿宋_GB2312" w:cs="仿宋_GB2312"/>
          <w:sz w:val="24"/>
          <w:szCs w:val="24"/>
          <w:highlight w:val="none"/>
        </w:rPr>
        <w:t>乙方应在收到通知后</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日内</w:t>
      </w:r>
      <w:r>
        <w:rPr>
          <w:rFonts w:hint="eastAsia" w:ascii="仿宋_GB2312" w:hAnsi="仿宋_GB2312" w:eastAsia="仿宋_GB2312" w:cs="仿宋_GB2312"/>
          <w:sz w:val="24"/>
          <w:szCs w:val="24"/>
          <w:highlight w:val="none"/>
          <w:lang w:eastAsia="zh-CN"/>
        </w:rPr>
        <w:t>进行取回货物</w:t>
      </w:r>
      <w:r>
        <w:rPr>
          <w:rFonts w:hint="eastAsia" w:ascii="仿宋_GB2312" w:hAnsi="仿宋_GB2312" w:eastAsia="仿宋_GB2312" w:cs="仿宋_GB2312"/>
          <w:sz w:val="24"/>
          <w:szCs w:val="24"/>
          <w:highlight w:val="none"/>
        </w:rPr>
        <w:t>，不得占用甲方</w:t>
      </w:r>
      <w:r>
        <w:rPr>
          <w:rFonts w:hint="eastAsia" w:ascii="仿宋_GB2312" w:hAnsi="仿宋_GB2312" w:eastAsia="仿宋_GB2312" w:cs="仿宋_GB2312"/>
          <w:sz w:val="24"/>
          <w:szCs w:val="24"/>
          <w:highlight w:val="none"/>
          <w:lang w:eastAsia="zh-CN"/>
        </w:rPr>
        <w:t>办公用地</w:t>
      </w:r>
      <w:r>
        <w:rPr>
          <w:rFonts w:hint="eastAsia" w:ascii="仿宋_GB2312" w:hAnsi="仿宋_GB2312" w:eastAsia="仿宋_GB2312" w:cs="仿宋_GB2312"/>
          <w:sz w:val="24"/>
          <w:szCs w:val="24"/>
          <w:highlight w:val="none"/>
        </w:rPr>
        <w:t>和影响甲方正常的生产</w:t>
      </w:r>
      <w:r>
        <w:rPr>
          <w:rFonts w:hint="eastAsia" w:ascii="仿宋_GB2312" w:hAnsi="仿宋_GB2312" w:eastAsia="仿宋_GB2312" w:cs="仿宋_GB2312"/>
          <w:sz w:val="24"/>
          <w:szCs w:val="24"/>
          <w:highlight w:val="none"/>
          <w:lang w:eastAsia="zh-CN"/>
        </w:rPr>
        <w:t>经营，并承担</w:t>
      </w:r>
      <w:r>
        <w:rPr>
          <w:rFonts w:hint="eastAsia" w:ascii="仿宋_GB2312" w:hAnsi="仿宋_GB2312" w:eastAsia="仿宋_GB2312" w:cs="仿宋_GB2312"/>
          <w:sz w:val="24"/>
          <w:szCs w:val="24"/>
          <w:highlight w:val="none"/>
        </w:rPr>
        <w:t>由此发生的一切费用和损失。乙方</w:t>
      </w:r>
      <w:r>
        <w:rPr>
          <w:rFonts w:hint="eastAsia" w:ascii="仿宋_GB2312" w:hAnsi="仿宋_GB2312" w:eastAsia="仿宋_GB2312" w:cs="仿宋_GB2312"/>
          <w:sz w:val="24"/>
          <w:szCs w:val="24"/>
          <w:highlight w:val="none"/>
          <w:lang w:eastAsia="zh-CN"/>
        </w:rPr>
        <w:t>逾期</w:t>
      </w:r>
      <w:r>
        <w:rPr>
          <w:rFonts w:hint="eastAsia" w:ascii="仿宋_GB2312" w:hAnsi="仿宋_GB2312" w:eastAsia="仿宋_GB2312" w:cs="仿宋_GB2312"/>
          <w:sz w:val="24"/>
          <w:szCs w:val="24"/>
          <w:highlight w:val="none"/>
        </w:rPr>
        <w:t>不处理的,</w:t>
      </w:r>
      <w:r>
        <w:rPr>
          <w:rFonts w:hint="eastAsia" w:ascii="仿宋_GB2312" w:hAnsi="仿宋_GB2312" w:eastAsia="仿宋_GB2312" w:cs="仿宋_GB2312"/>
          <w:sz w:val="24"/>
          <w:szCs w:val="24"/>
          <w:highlight w:val="none"/>
          <w:lang w:val="en-US" w:eastAsia="zh-CN"/>
        </w:rPr>
        <w:t>则自通知发出之日至乙方实际取回货物之日，</w:t>
      </w:r>
      <w:r>
        <w:rPr>
          <w:rFonts w:hint="eastAsia" w:ascii="仿宋_GB2312" w:hAnsi="仿宋_GB2312" w:eastAsia="仿宋_GB2312" w:cs="仿宋_GB2312"/>
          <w:sz w:val="24"/>
          <w:szCs w:val="24"/>
          <w:highlight w:val="none"/>
        </w:rPr>
        <w:t>甲方将</w:t>
      </w:r>
      <w:r>
        <w:rPr>
          <w:rFonts w:hint="eastAsia" w:ascii="仿宋_GB2312" w:hAnsi="仿宋_GB2312" w:eastAsia="仿宋_GB2312" w:cs="仿宋_GB2312"/>
          <w:sz w:val="24"/>
          <w:szCs w:val="24"/>
          <w:highlight w:val="none"/>
          <w:lang w:val="en-US" w:eastAsia="zh-CN"/>
        </w:rPr>
        <w:t>每日按合同总价的千分之</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向乙方收取仓储费用</w:t>
      </w:r>
      <w:r>
        <w:rPr>
          <w:rFonts w:hint="eastAsia" w:ascii="仿宋_GB2312" w:hAnsi="仿宋_GB2312" w:eastAsia="仿宋_GB2312" w:cs="仿宋_GB2312"/>
          <w:sz w:val="24"/>
          <w:szCs w:val="24"/>
          <w:highlight w:val="none"/>
          <w:lang w:eastAsia="zh-CN"/>
        </w:rPr>
        <w:t>，且</w:t>
      </w:r>
      <w:r>
        <w:rPr>
          <w:rFonts w:hint="eastAsia" w:ascii="仿宋_GB2312" w:hAnsi="仿宋_GB2312" w:eastAsia="仿宋_GB2312" w:cs="仿宋_GB2312"/>
          <w:bCs w:val="0"/>
          <w:sz w:val="24"/>
          <w:szCs w:val="24"/>
          <w:highlight w:val="none"/>
          <w:lang w:eastAsia="zh-CN"/>
        </w:rPr>
        <w:t>货物</w:t>
      </w:r>
      <w:r>
        <w:rPr>
          <w:rFonts w:hint="eastAsia" w:ascii="仿宋_GB2312" w:hAnsi="仿宋_GB2312" w:eastAsia="仿宋_GB2312" w:cs="仿宋_GB2312"/>
          <w:bCs w:val="0"/>
          <w:sz w:val="24"/>
          <w:szCs w:val="24"/>
          <w:highlight w:val="none"/>
        </w:rPr>
        <w:t>的</w:t>
      </w:r>
      <w:r>
        <w:rPr>
          <w:rFonts w:hint="eastAsia" w:ascii="仿宋_GB2312" w:hAnsi="仿宋_GB2312" w:eastAsia="仿宋_GB2312" w:cs="仿宋_GB2312"/>
          <w:sz w:val="24"/>
          <w:szCs w:val="24"/>
          <w:highlight w:val="none"/>
        </w:rPr>
        <w:t>毁损、灭失的后果由乙方自行承担</w:t>
      </w:r>
      <w:r>
        <w:rPr>
          <w:rFonts w:hint="eastAsia" w:ascii="仿宋_GB2312" w:hAnsi="仿宋_GB2312" w:eastAsia="仿宋_GB2312" w:cs="仿宋_GB2312"/>
          <w:sz w:val="24"/>
          <w:szCs w:val="24"/>
          <w:highlight w:val="none"/>
          <w:lang w:eastAsia="zh-CN"/>
        </w:rPr>
        <w:t>。</w:t>
      </w:r>
    </w:p>
    <w:p w14:paraId="4E8918B9">
      <w:pPr>
        <w:wordWrap w:val="0"/>
        <w:adjustRightInd w:val="0"/>
        <w:snapToGrid w:val="0"/>
        <w:spacing w:beforeLines="0" w:afterLines="0" w:line="360" w:lineRule="auto"/>
        <w:ind w:firstLine="480" w:firstLineChars="200"/>
        <w:rPr>
          <w:rFonts w:hint="eastAsia" w:ascii="仿宋_GB2312" w:hAnsi="仿宋_GB2312" w:eastAsia="仿宋_GB2312" w:cs="仿宋_GB2312"/>
          <w:b w:val="0"/>
          <w:sz w:val="24"/>
          <w:szCs w:val="24"/>
        </w:rPr>
      </w:pPr>
      <w:r>
        <w:rPr>
          <w:rFonts w:hint="eastAsia" w:ascii="仿宋_GB2312" w:hAnsi="仿宋_GB2312" w:eastAsia="仿宋_GB2312" w:cs="仿宋_GB2312"/>
          <w:sz w:val="24"/>
          <w:szCs w:val="24"/>
          <w:highlight w:val="none"/>
          <w:lang w:val="en-US" w:eastAsia="zh-CN"/>
        </w:rPr>
        <w:t>（六）因货物质量问题造成甲方或第三方财产损害或人员伤亡的一切责任由乙方承担，甲方有权单方解除合同</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乙方应自合同解除之日起</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lang w:val="en-US" w:eastAsia="zh-CN"/>
        </w:rPr>
        <w:t>日内向甲方退还全部货款并</w:t>
      </w:r>
      <w:r>
        <w:rPr>
          <w:rFonts w:hint="eastAsia" w:ascii="仿宋_GB2312" w:hAnsi="仿宋_GB2312" w:eastAsia="仿宋_GB2312" w:cs="仿宋_GB2312"/>
          <w:sz w:val="24"/>
          <w:szCs w:val="24"/>
          <w:highlight w:val="none"/>
        </w:rPr>
        <w:t>支付合同总价百分之三十的违约金</w:t>
      </w:r>
      <w:r>
        <w:rPr>
          <w:rFonts w:hint="eastAsia" w:ascii="仿宋_GB2312" w:hAnsi="仿宋_GB2312" w:eastAsia="仿宋_GB2312" w:cs="仿宋_GB2312"/>
          <w:sz w:val="24"/>
          <w:szCs w:val="24"/>
          <w:highlight w:val="none"/>
          <w:lang w:val="en-US" w:eastAsia="zh-CN"/>
        </w:rPr>
        <w:t>及</w:t>
      </w:r>
      <w:r>
        <w:rPr>
          <w:rFonts w:hint="eastAsia" w:ascii="仿宋_GB2312" w:hAnsi="仿宋_GB2312" w:eastAsia="仿宋_GB2312" w:cs="仿宋_GB2312"/>
          <w:sz w:val="24"/>
          <w:szCs w:val="24"/>
          <w:highlight w:val="none"/>
        </w:rPr>
        <w:t>赔偿因此给甲方造成的损失</w:t>
      </w:r>
      <w:r>
        <w:rPr>
          <w:rFonts w:hint="eastAsia" w:ascii="仿宋_GB2312" w:hAnsi="仿宋_GB2312" w:eastAsia="仿宋_GB2312" w:cs="仿宋_GB2312"/>
          <w:sz w:val="24"/>
          <w:szCs w:val="24"/>
          <w:highlight w:val="none"/>
          <w:lang w:eastAsia="zh-CN"/>
        </w:rPr>
        <w:t>。</w:t>
      </w:r>
    </w:p>
    <w:p w14:paraId="13F6E0C3">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ind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eastAsia="zh-CN"/>
        </w:rPr>
        <w:t>第八条</w:t>
      </w:r>
      <w:r>
        <w:rPr>
          <w:rFonts w:hint="eastAsia" w:ascii="仿宋_GB2312" w:hAnsi="仿宋_GB2312" w:eastAsia="仿宋_GB2312" w:cs="仿宋_GB2312"/>
          <w:b/>
          <w:sz w:val="24"/>
          <w:szCs w:val="24"/>
          <w:lang w:val="en-US" w:eastAsia="zh-CN"/>
        </w:rPr>
        <w:t xml:space="preserve">  </w:t>
      </w:r>
      <w:r>
        <w:rPr>
          <w:rFonts w:hint="eastAsia" w:ascii="仿宋_GB2312" w:hAnsi="仿宋_GB2312" w:eastAsia="仿宋_GB2312" w:cs="仿宋_GB2312"/>
          <w:b/>
          <w:sz w:val="24"/>
          <w:szCs w:val="24"/>
        </w:rPr>
        <w:t>违约责任</w:t>
      </w:r>
    </w:p>
    <w:p w14:paraId="00757FC2">
      <w:pPr>
        <w:keepNext w:val="0"/>
        <w:keepLines w:val="0"/>
        <w:pageBreakBefore w:val="0"/>
        <w:kinsoku/>
        <w:wordWrap w:val="0"/>
        <w:overflowPunct/>
        <w:topLinePunct w:val="0"/>
        <w:autoSpaceDE/>
        <w:autoSpaceDN/>
        <w:bidi w:val="0"/>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rPr>
        <w:t>除法律规定或</w:t>
      </w:r>
      <w:r>
        <w:rPr>
          <w:rFonts w:hint="eastAsia" w:ascii="仿宋_GB2312" w:hAnsi="仿宋_GB2312" w:eastAsia="仿宋_GB2312" w:cs="仿宋_GB2312"/>
          <w:sz w:val="24"/>
          <w:szCs w:val="24"/>
          <w:lang w:eastAsia="zh-CN"/>
        </w:rPr>
        <w:t>本合同</w:t>
      </w:r>
      <w:r>
        <w:rPr>
          <w:rFonts w:hint="eastAsia" w:ascii="仿宋_GB2312" w:hAnsi="仿宋_GB2312" w:eastAsia="仿宋_GB2312" w:cs="仿宋_GB2312"/>
          <w:sz w:val="24"/>
          <w:szCs w:val="24"/>
        </w:rPr>
        <w:t>另有约定之外，任何一方单方解除合同，须赔偿本合同总</w:t>
      </w:r>
      <w:r>
        <w:rPr>
          <w:rFonts w:hint="eastAsia" w:ascii="仿宋_GB2312" w:hAnsi="仿宋_GB2312" w:eastAsia="仿宋_GB2312" w:cs="仿宋_GB2312"/>
          <w:sz w:val="24"/>
          <w:szCs w:val="24"/>
          <w:lang w:eastAsia="zh-CN"/>
        </w:rPr>
        <w:t>价</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eastAsia="zh-CN"/>
        </w:rPr>
        <w:t>百分之三十</w:t>
      </w:r>
      <w:r>
        <w:rPr>
          <w:rFonts w:hint="eastAsia" w:ascii="仿宋_GB2312" w:hAnsi="仿宋_GB2312" w:eastAsia="仿宋_GB2312" w:cs="仿宋_GB2312"/>
          <w:sz w:val="24"/>
          <w:szCs w:val="24"/>
        </w:rPr>
        <w:t>。</w:t>
      </w:r>
    </w:p>
    <w:p w14:paraId="4D90E2BB">
      <w:pPr>
        <w:keepNext w:val="0"/>
        <w:keepLines w:val="0"/>
        <w:pageBreakBefore w:val="0"/>
        <w:kinsoku/>
        <w:wordWrap w:val="0"/>
        <w:overflowPunct/>
        <w:topLinePunct w:val="0"/>
        <w:autoSpaceDE/>
        <w:autoSpaceDN/>
        <w:bidi w:val="0"/>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对于合同期内到货，甲方</w:t>
      </w:r>
      <w:r>
        <w:rPr>
          <w:rFonts w:hint="eastAsia" w:ascii="仿宋_GB2312" w:hAnsi="仿宋_GB2312" w:eastAsia="仿宋_GB2312" w:cs="仿宋_GB2312"/>
          <w:sz w:val="24"/>
          <w:szCs w:val="24"/>
          <w:highlight w:val="none"/>
          <w:lang w:eastAsia="zh-CN"/>
        </w:rPr>
        <w:t>无故</w:t>
      </w:r>
      <w:r>
        <w:rPr>
          <w:rFonts w:hint="eastAsia" w:ascii="仿宋_GB2312" w:hAnsi="仿宋_GB2312" w:eastAsia="仿宋_GB2312" w:cs="仿宋_GB2312"/>
          <w:sz w:val="24"/>
          <w:szCs w:val="24"/>
          <w:highlight w:val="none"/>
        </w:rPr>
        <w:t>未按合同</w:t>
      </w:r>
      <w:r>
        <w:rPr>
          <w:rFonts w:hint="eastAsia" w:ascii="仿宋_GB2312" w:hAnsi="仿宋_GB2312" w:eastAsia="仿宋_GB2312" w:cs="仿宋_GB2312"/>
          <w:sz w:val="24"/>
          <w:szCs w:val="24"/>
          <w:highlight w:val="none"/>
          <w:lang w:eastAsia="zh-CN"/>
        </w:rPr>
        <w:t>约定</w:t>
      </w:r>
      <w:r>
        <w:rPr>
          <w:rFonts w:hint="eastAsia" w:ascii="仿宋_GB2312" w:hAnsi="仿宋_GB2312" w:eastAsia="仿宋_GB2312" w:cs="仿宋_GB2312"/>
          <w:sz w:val="24"/>
          <w:szCs w:val="24"/>
          <w:highlight w:val="none"/>
        </w:rPr>
        <w:t>付款的，自合同</w:t>
      </w:r>
      <w:r>
        <w:rPr>
          <w:rFonts w:hint="eastAsia" w:ascii="仿宋_GB2312" w:hAnsi="仿宋_GB2312" w:eastAsia="仿宋_GB2312" w:cs="仿宋_GB2312"/>
          <w:sz w:val="24"/>
          <w:szCs w:val="24"/>
          <w:highlight w:val="none"/>
          <w:lang w:eastAsia="zh-CN"/>
        </w:rPr>
        <w:t>约</w:t>
      </w:r>
      <w:r>
        <w:rPr>
          <w:rFonts w:hint="eastAsia" w:ascii="仿宋_GB2312" w:hAnsi="仿宋_GB2312" w:eastAsia="仿宋_GB2312" w:cs="仿宋_GB2312"/>
          <w:sz w:val="24"/>
          <w:szCs w:val="24"/>
          <w:highlight w:val="none"/>
        </w:rPr>
        <w:t>定的付款期之次日到实际付款日，每日按</w:t>
      </w:r>
      <w:r>
        <w:rPr>
          <w:rFonts w:hint="eastAsia" w:ascii="仿宋_GB2312" w:hAnsi="仿宋_GB2312" w:eastAsia="仿宋_GB2312" w:cs="仿宋_GB2312"/>
          <w:sz w:val="24"/>
          <w:szCs w:val="24"/>
          <w:highlight w:val="none"/>
          <w:lang w:eastAsia="zh-CN"/>
        </w:rPr>
        <w:t>应付而</w:t>
      </w:r>
      <w:r>
        <w:rPr>
          <w:rFonts w:hint="eastAsia" w:ascii="仿宋_GB2312" w:hAnsi="仿宋_GB2312" w:eastAsia="仿宋_GB2312" w:cs="仿宋_GB2312"/>
          <w:sz w:val="24"/>
          <w:szCs w:val="24"/>
        </w:rPr>
        <w:t>未付货款金额的</w:t>
      </w:r>
      <w:r>
        <w:rPr>
          <w:rFonts w:hint="eastAsia" w:ascii="仿宋_GB2312" w:hAnsi="仿宋_GB2312" w:eastAsia="仿宋_GB2312" w:cs="仿宋_GB2312"/>
          <w:sz w:val="24"/>
          <w:szCs w:val="24"/>
          <w:lang w:eastAsia="zh-CN"/>
        </w:rPr>
        <w:t>千分之</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向乙方支付逾期付款违约金，但违约金总额不得超过</w:t>
      </w:r>
      <w:r>
        <w:rPr>
          <w:rFonts w:hint="eastAsia" w:ascii="仿宋_GB2312" w:hAnsi="仿宋_GB2312" w:eastAsia="仿宋_GB2312" w:cs="仿宋_GB2312"/>
          <w:sz w:val="24"/>
          <w:szCs w:val="24"/>
          <w:lang w:eastAsia="zh-CN"/>
        </w:rPr>
        <w:t>应付而</w:t>
      </w:r>
      <w:r>
        <w:rPr>
          <w:rFonts w:hint="eastAsia" w:ascii="仿宋_GB2312" w:hAnsi="仿宋_GB2312" w:eastAsia="仿宋_GB2312" w:cs="仿宋_GB2312"/>
          <w:sz w:val="24"/>
          <w:szCs w:val="24"/>
        </w:rPr>
        <w:t>未付</w:t>
      </w:r>
      <w:r>
        <w:rPr>
          <w:rFonts w:hint="eastAsia" w:ascii="仿宋_GB2312" w:hAnsi="仿宋_GB2312" w:eastAsia="仿宋_GB2312" w:cs="仿宋_GB2312"/>
          <w:sz w:val="24"/>
          <w:szCs w:val="24"/>
          <w:lang w:eastAsia="zh-CN"/>
        </w:rPr>
        <w:t>款项</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eastAsia="zh-CN"/>
        </w:rPr>
        <w:t>百分之三十</w:t>
      </w:r>
      <w:r>
        <w:rPr>
          <w:rFonts w:hint="eastAsia" w:ascii="仿宋_GB2312" w:hAnsi="仿宋_GB2312" w:eastAsia="仿宋_GB2312" w:cs="仿宋_GB2312"/>
          <w:sz w:val="24"/>
          <w:szCs w:val="24"/>
        </w:rPr>
        <w:t>。</w:t>
      </w:r>
    </w:p>
    <w:p w14:paraId="495F5FD8">
      <w:pPr>
        <w:keepNext w:val="0"/>
        <w:keepLines w:val="0"/>
        <w:pageBreakBefore w:val="0"/>
        <w:kinsoku/>
        <w:wordWrap w:val="0"/>
        <w:overflowPunct/>
        <w:topLinePunct w:val="0"/>
        <w:autoSpaceDE/>
        <w:autoSpaceDN/>
        <w:bidi w:val="0"/>
        <w:adjustRightInd w:val="0"/>
        <w:snapToGrid w:val="0"/>
        <w:spacing w:beforeLines="0" w:afterLines="0" w:line="360" w:lineRule="auto"/>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（三）</w:t>
      </w:r>
      <w:r>
        <w:rPr>
          <w:rFonts w:hint="eastAsia" w:ascii="仿宋_GB2312" w:hAnsi="仿宋_GB2312" w:eastAsia="仿宋_GB2312" w:cs="仿宋_GB2312"/>
          <w:sz w:val="24"/>
          <w:szCs w:val="24"/>
        </w:rPr>
        <w:t>乙方延迟发货</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，应按</w:t>
      </w:r>
      <w:r>
        <w:rPr>
          <w:rFonts w:hint="eastAsia" w:ascii="仿宋_GB2312" w:hAnsi="仿宋_GB2312" w:eastAsia="仿宋_GB2312" w:cs="仿宋_GB2312"/>
          <w:sz w:val="24"/>
          <w:szCs w:val="24"/>
          <w:lang w:eastAsia="zh-CN"/>
        </w:rPr>
        <w:t>本合同约定</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eastAsia="zh-CN"/>
        </w:rPr>
        <w:t>交货时间</w:t>
      </w:r>
      <w:r>
        <w:rPr>
          <w:rFonts w:hint="eastAsia" w:ascii="仿宋_GB2312" w:hAnsi="仿宋_GB2312" w:eastAsia="仿宋_GB2312" w:cs="仿宋_GB2312"/>
          <w:sz w:val="24"/>
          <w:szCs w:val="24"/>
        </w:rPr>
        <w:t>届满之日起到实际</w:t>
      </w:r>
      <w:r>
        <w:rPr>
          <w:rFonts w:hint="eastAsia" w:ascii="仿宋_GB2312" w:hAnsi="仿宋_GB2312" w:eastAsia="仿宋_GB2312" w:cs="仿宋_GB2312"/>
          <w:sz w:val="24"/>
          <w:szCs w:val="24"/>
          <w:lang w:eastAsia="zh-CN"/>
        </w:rPr>
        <w:t>交付之</w:t>
      </w:r>
      <w:r>
        <w:rPr>
          <w:rFonts w:hint="eastAsia" w:ascii="仿宋_GB2312" w:hAnsi="仿宋_GB2312" w:eastAsia="仿宋_GB2312" w:cs="仿宋_GB2312"/>
          <w:sz w:val="24"/>
          <w:szCs w:val="24"/>
        </w:rPr>
        <w:t>日，每日按</w:t>
      </w:r>
      <w:r>
        <w:rPr>
          <w:rFonts w:hint="eastAsia" w:ascii="仿宋_GB2312" w:hAnsi="仿宋_GB2312" w:eastAsia="仿宋_GB2312" w:cs="仿宋_GB2312"/>
          <w:sz w:val="24"/>
          <w:szCs w:val="24"/>
          <w:lang w:eastAsia="zh-CN"/>
        </w:rPr>
        <w:t>合同总价的千分之</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向甲方支付延迟</w:t>
      </w:r>
      <w:r>
        <w:rPr>
          <w:rFonts w:hint="eastAsia" w:ascii="仿宋_GB2312" w:hAnsi="仿宋_GB2312" w:eastAsia="仿宋_GB2312" w:cs="仿宋_GB2312"/>
          <w:sz w:val="24"/>
          <w:szCs w:val="24"/>
          <w:lang w:eastAsia="zh-CN"/>
        </w:rPr>
        <w:t>履行违约</w:t>
      </w:r>
      <w:r>
        <w:rPr>
          <w:rFonts w:hint="eastAsia" w:ascii="仿宋_GB2312" w:hAnsi="仿宋_GB2312" w:eastAsia="仿宋_GB2312" w:cs="仿宋_GB2312"/>
          <w:sz w:val="24"/>
          <w:szCs w:val="24"/>
        </w:rPr>
        <w:t>金。对于</w:t>
      </w:r>
      <w:r>
        <w:rPr>
          <w:rFonts w:hint="eastAsia" w:ascii="仿宋_GB2312" w:hAnsi="仿宋_GB2312" w:eastAsia="仿宋_GB2312" w:cs="仿宋_GB2312"/>
          <w:sz w:val="24"/>
          <w:szCs w:val="24"/>
          <w:lang w:eastAsia="zh-CN"/>
        </w:rPr>
        <w:t>货物</w:t>
      </w:r>
      <w:r>
        <w:rPr>
          <w:rFonts w:hint="eastAsia" w:ascii="仿宋_GB2312" w:hAnsi="仿宋_GB2312" w:eastAsia="仿宋_GB2312" w:cs="仿宋_GB2312"/>
          <w:sz w:val="24"/>
          <w:szCs w:val="24"/>
        </w:rPr>
        <w:t>延迟交</w:t>
      </w:r>
      <w:r>
        <w:rPr>
          <w:rFonts w:hint="eastAsia" w:ascii="仿宋_GB2312" w:hAnsi="仿宋_GB2312" w:eastAsia="仿宋_GB2312" w:cs="仿宋_GB2312"/>
          <w:sz w:val="24"/>
          <w:szCs w:val="24"/>
          <w:lang w:eastAsia="zh-CN"/>
        </w:rPr>
        <w:t>付超过</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天的</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甲方有权解除合同，</w:t>
      </w:r>
      <w:r>
        <w:rPr>
          <w:rFonts w:hint="eastAsia" w:ascii="仿宋_GB2312" w:hAnsi="仿宋_GB2312" w:eastAsia="仿宋_GB2312" w:cs="仿宋_GB2312"/>
          <w:sz w:val="24"/>
          <w:szCs w:val="24"/>
          <w:lang w:eastAsia="zh-CN"/>
        </w:rPr>
        <w:t>且</w:t>
      </w:r>
      <w:r>
        <w:rPr>
          <w:rFonts w:hint="eastAsia" w:ascii="仿宋_GB2312" w:hAnsi="仿宋_GB2312" w:eastAsia="仿宋_GB2312" w:cs="仿宋_GB2312"/>
          <w:sz w:val="24"/>
          <w:szCs w:val="24"/>
        </w:rPr>
        <w:t>乙方</w:t>
      </w:r>
      <w:r>
        <w:rPr>
          <w:rFonts w:hint="eastAsia" w:ascii="仿宋_GB2312" w:hAnsi="仿宋_GB2312" w:eastAsia="仿宋_GB2312" w:cs="仿宋_GB2312"/>
          <w:sz w:val="24"/>
          <w:szCs w:val="24"/>
          <w:lang w:eastAsia="zh-CN"/>
        </w:rPr>
        <w:t>应</w:t>
      </w:r>
      <w:r>
        <w:rPr>
          <w:rFonts w:hint="eastAsia" w:ascii="仿宋_GB2312" w:hAnsi="仿宋_GB2312" w:eastAsia="仿宋_GB2312" w:cs="仿宋_GB2312"/>
          <w:sz w:val="24"/>
          <w:szCs w:val="24"/>
        </w:rPr>
        <w:t>向甲方支付</w:t>
      </w:r>
      <w:r>
        <w:rPr>
          <w:rFonts w:hint="eastAsia" w:ascii="仿宋_GB2312" w:hAnsi="仿宋_GB2312" w:eastAsia="仿宋_GB2312" w:cs="仿宋_GB2312"/>
          <w:sz w:val="24"/>
          <w:szCs w:val="24"/>
          <w:lang w:eastAsia="zh-CN"/>
        </w:rPr>
        <w:t>合同总价百分之三十</w:t>
      </w:r>
      <w:r>
        <w:rPr>
          <w:rFonts w:hint="eastAsia" w:ascii="仿宋_GB2312" w:hAnsi="仿宋_GB2312" w:eastAsia="仿宋_GB2312" w:cs="仿宋_GB2312"/>
          <w:sz w:val="24"/>
          <w:szCs w:val="24"/>
        </w:rPr>
        <w:t>的违约金并赔偿因此给甲方造成的损失。</w:t>
      </w:r>
    </w:p>
    <w:p w14:paraId="1A15CAB5">
      <w:pPr>
        <w:keepNext w:val="0"/>
        <w:keepLines w:val="0"/>
        <w:pageBreakBefore w:val="0"/>
        <w:kinsoku/>
        <w:wordWrap w:val="0"/>
        <w:overflowPunct/>
        <w:topLinePunct w:val="0"/>
        <w:autoSpaceDE/>
        <w:autoSpaceDN/>
        <w:bidi w:val="0"/>
        <w:adjustRightInd w:val="0"/>
        <w:snapToGrid w:val="0"/>
        <w:spacing w:beforeLines="0" w:afterLines="0"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（四）货物</w:t>
      </w:r>
      <w:r>
        <w:rPr>
          <w:rFonts w:hint="eastAsia" w:ascii="仿宋_GB2312" w:hAnsi="仿宋_GB2312" w:eastAsia="仿宋_GB2312" w:cs="仿宋_GB2312"/>
          <w:sz w:val="24"/>
          <w:szCs w:val="24"/>
        </w:rPr>
        <w:t>出现质量和服务（含售后服务）问题</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，按</w:t>
      </w:r>
      <w:r>
        <w:rPr>
          <w:rFonts w:hint="eastAsia" w:ascii="仿宋_GB2312" w:hAnsi="仿宋_GB2312" w:eastAsia="仿宋_GB2312" w:cs="仿宋_GB2312"/>
          <w:sz w:val="24"/>
          <w:szCs w:val="24"/>
          <w:lang w:eastAsia="zh-CN"/>
        </w:rPr>
        <w:t>本</w:t>
      </w:r>
      <w:r>
        <w:rPr>
          <w:rFonts w:hint="eastAsia" w:ascii="仿宋_GB2312" w:hAnsi="仿宋_GB2312" w:eastAsia="仿宋_GB2312" w:cs="仿宋_GB2312"/>
          <w:sz w:val="24"/>
          <w:szCs w:val="24"/>
        </w:rPr>
        <w:t>合同</w:t>
      </w:r>
      <w:r>
        <w:rPr>
          <w:rFonts w:hint="eastAsia" w:ascii="仿宋_GB2312" w:hAnsi="仿宋_GB2312" w:eastAsia="仿宋_GB2312" w:cs="仿宋_GB2312"/>
          <w:sz w:val="24"/>
          <w:szCs w:val="24"/>
          <w:highlight w:val="none"/>
        </w:rPr>
        <w:t>第</w:t>
      </w:r>
      <w:r>
        <w:rPr>
          <w:rFonts w:hint="eastAsia" w:ascii="仿宋_GB2312" w:hAnsi="仿宋_GB2312" w:eastAsia="仿宋_GB2312" w:cs="仿宋_GB2312"/>
          <w:sz w:val="24"/>
          <w:szCs w:val="24"/>
          <w:highlight w:val="none"/>
          <w:lang w:eastAsia="zh-CN"/>
        </w:rPr>
        <w:t>七</w:t>
      </w:r>
      <w:r>
        <w:rPr>
          <w:rFonts w:hint="eastAsia" w:ascii="仿宋_GB2312" w:hAnsi="仿宋_GB2312" w:eastAsia="仿宋_GB2312" w:cs="仿宋_GB2312"/>
          <w:sz w:val="24"/>
          <w:szCs w:val="24"/>
          <w:highlight w:val="none"/>
        </w:rPr>
        <w:t>条</w:t>
      </w:r>
      <w:r>
        <w:rPr>
          <w:rFonts w:hint="eastAsia" w:ascii="仿宋_GB2312" w:hAnsi="仿宋_GB2312" w:eastAsia="仿宋_GB2312" w:cs="仿宋_GB2312"/>
          <w:sz w:val="24"/>
          <w:szCs w:val="24"/>
          <w:highlight w:val="none"/>
          <w:lang w:eastAsia="zh-CN"/>
        </w:rPr>
        <w:t>的约定</w:t>
      </w:r>
      <w:r>
        <w:rPr>
          <w:rFonts w:hint="eastAsia" w:ascii="仿宋_GB2312" w:hAnsi="仿宋_GB2312" w:eastAsia="仿宋_GB2312" w:cs="仿宋_GB2312"/>
          <w:sz w:val="24"/>
          <w:szCs w:val="24"/>
        </w:rPr>
        <w:t>执行。</w:t>
      </w:r>
    </w:p>
    <w:p w14:paraId="1BAB2010">
      <w:pPr>
        <w:wordWrap w:val="0"/>
        <w:adjustRightInd w:val="0"/>
        <w:snapToGrid w:val="0"/>
        <w:spacing w:beforeLines="0" w:afterLines="0" w:line="360" w:lineRule="auto"/>
        <w:ind w:firstLine="480" w:firstLineChars="200"/>
        <w:jc w:val="both"/>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sz w:val="24"/>
          <w:szCs w:val="24"/>
          <w:lang w:eastAsia="zh-CN"/>
        </w:rPr>
        <w:t>（五）</w:t>
      </w:r>
      <w:r>
        <w:rPr>
          <w:rFonts w:hint="eastAsia" w:ascii="仿宋_GB2312" w:hAnsi="仿宋_GB2312" w:eastAsia="仿宋_GB2312" w:cs="仿宋_GB2312"/>
          <w:sz w:val="24"/>
          <w:szCs w:val="24"/>
          <w:lang w:val="en-US" w:eastAsia="zh-CN"/>
        </w:rPr>
        <w:t>甲方依据本合同解除合同的，</w:t>
      </w:r>
      <w:r>
        <w:rPr>
          <w:rFonts w:hint="eastAsia" w:ascii="仿宋_GB2312" w:hAnsi="仿宋_GB2312" w:eastAsia="仿宋_GB2312" w:cs="仿宋_GB2312"/>
          <w:sz w:val="24"/>
          <w:szCs w:val="24"/>
        </w:rPr>
        <w:t>解除合同的书面通知按本合同的约定送达后即生效</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000000"/>
          <w:kern w:val="0"/>
          <w:sz w:val="24"/>
          <w:szCs w:val="24"/>
          <w:lang w:val="en-US" w:eastAsia="zh-CN" w:bidi="ar"/>
        </w:rPr>
        <w:t>甲方有权在任何一期应付合同价款中扣除乙方按照本合同应支付的违约金及/或赔偿金。如果本合同所约定的违约金和乙方的其他责任仍然无法弥补甲方因乙方违约行为遭受的全部损失的，甲方有权要求乙方赔偿全部损失，包括但不限于甲方向第三方承担的赔偿金、违约金、律师费、鉴定费、公证费、诉讼费、差旅费等直接和间接损失。</w:t>
      </w:r>
    </w:p>
    <w:p w14:paraId="43506875">
      <w:pPr>
        <w:keepNext w:val="0"/>
        <w:keepLines w:val="0"/>
        <w:pageBreakBefore w:val="0"/>
        <w:widowControl w:val="0"/>
        <w:tabs>
          <w:tab w:val="left" w:pos="426"/>
        </w:tabs>
        <w:kinsoku/>
        <w:wordWrap/>
        <w:overflowPunct/>
        <w:topLinePunct w:val="0"/>
        <w:autoSpaceDE/>
        <w:autoSpaceDN/>
        <w:bidi w:val="0"/>
        <w:adjustRightInd/>
        <w:snapToGrid w:val="0"/>
        <w:spacing w:before="157" w:beforeLines="50" w:afterLines="0" w:line="360" w:lineRule="auto"/>
        <w:ind w:firstLine="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w:t>
      </w:r>
      <w:r>
        <w:rPr>
          <w:rFonts w:hint="eastAsia" w:ascii="仿宋_GB2312" w:hAnsi="仿宋_GB2312" w:eastAsia="仿宋_GB2312" w:cs="仿宋_GB2312"/>
          <w:b/>
          <w:bCs/>
          <w:sz w:val="24"/>
          <w:szCs w:val="24"/>
          <w:lang w:eastAsia="zh-CN"/>
        </w:rPr>
        <w:t>九</w:t>
      </w:r>
      <w:r>
        <w:rPr>
          <w:rFonts w:hint="eastAsia" w:ascii="仿宋_GB2312" w:hAnsi="仿宋_GB2312" w:eastAsia="仿宋_GB2312" w:cs="仿宋_GB2312"/>
          <w:b/>
          <w:bCs/>
          <w:sz w:val="24"/>
          <w:szCs w:val="24"/>
        </w:rPr>
        <w:t>条</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 xml:space="preserve"> </w:t>
      </w:r>
      <w:r>
        <w:rPr>
          <w:rFonts w:hint="eastAsia" w:ascii="仿宋_GB2312" w:hAnsi="仿宋_GB2312" w:eastAsia="仿宋_GB2312" w:cs="仿宋_GB2312"/>
          <w:b/>
          <w:bCs/>
          <w:sz w:val="24"/>
          <w:szCs w:val="24"/>
          <w:highlight w:val="none"/>
          <w:lang w:val="en-US" w:eastAsia="zh-CN"/>
        </w:rPr>
        <w:t>知识产权与</w:t>
      </w:r>
      <w:r>
        <w:rPr>
          <w:rFonts w:hint="eastAsia" w:ascii="仿宋_GB2312" w:hAnsi="仿宋_GB2312" w:eastAsia="仿宋_GB2312" w:cs="仿宋_GB2312"/>
          <w:b/>
          <w:bCs/>
          <w:sz w:val="24"/>
          <w:szCs w:val="24"/>
        </w:rPr>
        <w:t>商业秘密</w:t>
      </w:r>
    </w:p>
    <w:p w14:paraId="43D26C2F">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lang w:val="en-US" w:eastAsia="zh-CN"/>
        </w:rPr>
      </w:pPr>
      <w:r>
        <w:rPr>
          <w:rFonts w:hint="eastAsia" w:ascii="仿宋_GB2312" w:hAnsi="仿宋_GB2312" w:eastAsia="仿宋_GB2312" w:cs="仿宋_GB2312"/>
          <w:b w:val="0"/>
          <w:bCs w:val="0"/>
          <w:sz w:val="24"/>
          <w:szCs w:val="24"/>
          <w:highlight w:val="none"/>
          <w:lang w:val="en-US" w:eastAsia="zh-CN"/>
        </w:rPr>
        <w:t>（一）乙方保证提供的货物不侵犯任何第三方的知识产权、所有权等合法权益，否则</w:t>
      </w:r>
      <w:r>
        <w:rPr>
          <w:rFonts w:hint="eastAsia" w:ascii="仿宋_GB2312" w:hAnsi="仿宋_GB2312" w:eastAsia="仿宋_GB2312" w:cs="仿宋_GB2312"/>
          <w:sz w:val="24"/>
          <w:szCs w:val="24"/>
          <w:lang w:eastAsia="zh-CN"/>
        </w:rPr>
        <w:t>甲方有权立即解除本合同，</w:t>
      </w:r>
      <w:r>
        <w:rPr>
          <w:rFonts w:hint="eastAsia" w:ascii="仿宋_GB2312" w:hAnsi="仿宋_GB2312" w:eastAsia="仿宋_GB2312" w:cs="仿宋_GB2312"/>
          <w:sz w:val="24"/>
          <w:szCs w:val="24"/>
        </w:rPr>
        <w:t>由此产生的一切责任由乙方承担</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b w:val="0"/>
          <w:bCs w:val="0"/>
          <w:sz w:val="24"/>
          <w:szCs w:val="24"/>
          <w:highlight w:val="none"/>
          <w:lang w:val="en-US" w:eastAsia="zh-CN"/>
        </w:rPr>
        <w:t>因此给甲方造成损失</w:t>
      </w:r>
      <w:r>
        <w:rPr>
          <w:rFonts w:hint="eastAsia" w:ascii="仿宋_GB2312" w:hAnsi="仿宋_GB2312" w:eastAsia="仿宋_GB2312" w:cs="仿宋_GB2312"/>
          <w:sz w:val="24"/>
          <w:szCs w:val="24"/>
        </w:rPr>
        <w:t>的</w:t>
      </w:r>
      <w:r>
        <w:rPr>
          <w:rFonts w:hint="eastAsia" w:ascii="仿宋_GB2312" w:hAnsi="仿宋_GB2312" w:eastAsia="仿宋_GB2312" w:cs="仿宋_GB2312"/>
          <w:b w:val="0"/>
          <w:bCs w:val="0"/>
          <w:sz w:val="24"/>
          <w:szCs w:val="24"/>
          <w:highlight w:val="none"/>
          <w:lang w:val="en-US" w:eastAsia="zh-CN"/>
        </w:rPr>
        <w:t>，乙方应负责赔偿。</w:t>
      </w:r>
    </w:p>
    <w:p w14:paraId="1316D233">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二）乙方在签订和履行本合同中知悉的甲方的全部信息（包括技术信息和经营信息等）均为甲方的商业秘密。除本合同规定之工作所需外，未经甲方事先书面同意，乙方不得使用、披露甲方的商业秘密，不得擅自使用、复制甲方的商标、标志、商业信息、技术及其他资料，</w:t>
      </w:r>
      <w:r>
        <w:rPr>
          <w:rFonts w:hint="eastAsia" w:ascii="仿宋_GB2312" w:hAnsi="仿宋_GB2312" w:eastAsia="仿宋_GB2312" w:cs="仿宋_GB2312"/>
          <w:b w:val="0"/>
          <w:bCs w:val="0"/>
          <w:color w:val="auto"/>
          <w:sz w:val="24"/>
          <w:szCs w:val="24"/>
          <w:highlight w:val="none"/>
          <w:lang w:val="en-US" w:eastAsia="zh-CN"/>
        </w:rPr>
        <w:t>否</w:t>
      </w:r>
      <w:r>
        <w:rPr>
          <w:rFonts w:hint="default" w:ascii="仿宋_GB2312" w:hAnsi="仿宋_GB2312" w:eastAsia="仿宋_GB2312" w:cs="仿宋_GB2312"/>
          <w:b w:val="0"/>
          <w:bCs w:val="0"/>
          <w:color w:val="auto"/>
          <w:sz w:val="24"/>
          <w:szCs w:val="24"/>
          <w:highlight w:val="none"/>
          <w:lang w:val="en-US" w:eastAsia="zh-CN"/>
        </w:rPr>
        <w:t>则甲方有权立即解除本合同，乙方应向甲方支付合同总价百分之三十的违约金，并赔偿因此给甲方造成的全部损失</w:t>
      </w:r>
      <w:r>
        <w:rPr>
          <w:rFonts w:hint="eastAsia" w:ascii="仿宋_GB2312" w:hAnsi="仿宋_GB2312" w:eastAsia="仿宋_GB2312" w:cs="仿宋_GB2312"/>
          <w:b w:val="0"/>
          <w:bCs w:val="0"/>
          <w:color w:val="auto"/>
          <w:sz w:val="24"/>
          <w:szCs w:val="24"/>
          <w:highlight w:val="none"/>
          <w:lang w:val="en-US" w:eastAsia="zh-CN"/>
        </w:rPr>
        <w:t>。</w:t>
      </w:r>
    </w:p>
    <w:p w14:paraId="74A8F24D">
      <w:pPr>
        <w:adjustRightInd w:val="0"/>
        <w:snapToGrid w:val="0"/>
        <w:spacing w:beforeLines="0" w:afterLines="0" w:line="360" w:lineRule="auto"/>
        <w:ind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val="0"/>
          <w:sz w:val="24"/>
          <w:szCs w:val="24"/>
          <w:highlight w:val="none"/>
          <w:lang w:val="en-US" w:eastAsia="zh-CN"/>
        </w:rPr>
        <w:t>（三）</w:t>
      </w:r>
      <w:r>
        <w:rPr>
          <w:rFonts w:hint="eastAsia" w:ascii="仿宋_GB2312" w:hAnsi="仿宋_GB2312" w:eastAsia="仿宋_GB2312" w:cs="仿宋_GB2312"/>
          <w:color w:val="000000"/>
          <w:sz w:val="24"/>
          <w:szCs w:val="24"/>
        </w:rPr>
        <w:t>本</w:t>
      </w:r>
      <w:r>
        <w:rPr>
          <w:rFonts w:hint="eastAsia" w:ascii="仿宋_GB2312" w:hAnsi="仿宋_GB2312" w:eastAsia="仿宋_GB2312" w:cs="仿宋_GB2312"/>
          <w:color w:val="000000"/>
          <w:sz w:val="24"/>
          <w:szCs w:val="24"/>
          <w:lang w:eastAsia="zh-CN"/>
        </w:rPr>
        <w:t>合同</w:t>
      </w:r>
      <w:r>
        <w:rPr>
          <w:rFonts w:hint="eastAsia" w:ascii="仿宋_GB2312" w:hAnsi="仿宋_GB2312" w:eastAsia="仿宋_GB2312" w:cs="仿宋_GB2312"/>
          <w:color w:val="000000"/>
          <w:sz w:val="24"/>
          <w:szCs w:val="24"/>
        </w:rPr>
        <w:t>有效期内及终止后，本条款仍具有法律效力。</w:t>
      </w:r>
    </w:p>
    <w:p w14:paraId="0C00F8EA">
      <w:pPr>
        <w:wordWrap w:val="0"/>
        <w:adjustRightInd w:val="0"/>
        <w:ind w:firstLine="480" w:firstLineChars="200"/>
        <w:rPr>
          <w:rFonts w:hint="eastAsia" w:ascii="仿宋_GB2312" w:hAnsi="仿宋_GB2312" w:eastAsia="仿宋_GB2312" w:cs="仿宋_GB2312"/>
          <w:bCs w:val="0"/>
          <w:sz w:val="24"/>
          <w:szCs w:val="24"/>
        </w:rPr>
      </w:pPr>
    </w:p>
    <w:p w14:paraId="5B359182">
      <w:pPr>
        <w:keepNext w:val="0"/>
        <w:keepLines w:val="0"/>
        <w:pageBreakBefore w:val="0"/>
        <w:tabs>
          <w:tab w:val="left" w:pos="426"/>
        </w:tabs>
        <w:kinsoku/>
        <w:wordWrap/>
        <w:overflowPunct/>
        <w:topLinePunct w:val="0"/>
        <w:bidi w:val="0"/>
        <w:snapToGrid w:val="0"/>
        <w:spacing w:beforeLines="0" w:afterLines="0" w:line="360" w:lineRule="auto"/>
        <w:ind w:firstLine="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w:t>
      </w:r>
      <w:r>
        <w:rPr>
          <w:rFonts w:hint="eastAsia" w:ascii="仿宋_GB2312" w:hAnsi="仿宋_GB2312" w:eastAsia="仿宋_GB2312" w:cs="仿宋_GB2312"/>
          <w:b/>
          <w:bCs/>
          <w:sz w:val="24"/>
          <w:szCs w:val="24"/>
          <w:lang w:eastAsia="zh-CN"/>
        </w:rPr>
        <w:t>十</w:t>
      </w:r>
      <w:r>
        <w:rPr>
          <w:rFonts w:hint="eastAsia" w:ascii="仿宋_GB2312" w:hAnsi="仿宋_GB2312" w:eastAsia="仿宋_GB2312" w:cs="仿宋_GB2312"/>
          <w:b/>
          <w:bCs/>
          <w:sz w:val="24"/>
          <w:szCs w:val="24"/>
        </w:rPr>
        <w:t xml:space="preserve">条  </w:t>
      </w:r>
      <w:r>
        <w:rPr>
          <w:rFonts w:hint="eastAsia" w:ascii="仿宋_GB2312" w:hAnsi="仿宋_GB2312" w:eastAsia="仿宋_GB2312" w:cs="仿宋_GB2312"/>
          <w:b/>
          <w:bCs/>
          <w:sz w:val="24"/>
          <w:szCs w:val="24"/>
          <w:highlight w:val="none"/>
          <w:lang w:val="en-US" w:eastAsia="zh-CN"/>
        </w:rPr>
        <w:t>不可抗力及</w:t>
      </w:r>
      <w:r>
        <w:rPr>
          <w:rFonts w:hint="eastAsia" w:ascii="仿宋_GB2312" w:hAnsi="仿宋_GB2312" w:eastAsia="仿宋_GB2312" w:cs="仿宋_GB2312"/>
          <w:b/>
          <w:bCs/>
          <w:sz w:val="24"/>
          <w:szCs w:val="24"/>
        </w:rPr>
        <w:t>免责</w:t>
      </w:r>
    </w:p>
    <w:p w14:paraId="51B895A0">
      <w:pPr>
        <w:keepNext w:val="0"/>
        <w:keepLines w:val="0"/>
        <w:pageBreakBefore w:val="0"/>
        <w:tabs>
          <w:tab w:val="left" w:pos="426"/>
        </w:tabs>
        <w:kinsoku/>
        <w:wordWrap/>
        <w:overflowPunct/>
        <w:topLinePunct w:val="0"/>
        <w:bidi w:val="0"/>
        <w:snapToGrid w:val="0"/>
        <w:spacing w:beforeLines="0" w:afterLines="0" w:line="360" w:lineRule="auto"/>
        <w:ind w:firstLine="480" w:firstLineChars="200"/>
        <w:textAlignment w:val="auto"/>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一）“不可抗力”是指本合同双方不能合理控制、不可预见或即使预见亦无法避免的事件，该事件妨碍、影响或延误任何一方根据本合同履行其全部或部分义务。不可抗力包括但不限于：自然原因的不可抗力，例如：地震、火灾、洪水、严重的传染性疾病等；国家机关原因的不可抗力：例如：法律、政策、行政指令、政府行为和国家政策发生根本性改变；其它不可抗力：战争、武装冲突、动乱等其他突发事件等。</w:t>
      </w:r>
    </w:p>
    <w:p w14:paraId="3F1D8570">
      <w:pPr>
        <w:keepNext w:val="0"/>
        <w:keepLines w:val="0"/>
        <w:pageBreakBefore w:val="0"/>
        <w:tabs>
          <w:tab w:val="left" w:pos="426"/>
        </w:tabs>
        <w:kinsoku/>
        <w:wordWrap/>
        <w:overflowPunct/>
        <w:topLinePunct w:val="0"/>
        <w:bidi w:val="0"/>
        <w:snapToGrid w:val="0"/>
        <w:spacing w:beforeLines="0" w:afterLines="0" w:line="360" w:lineRule="auto"/>
        <w:ind w:firstLine="480" w:firstLineChars="200"/>
        <w:textAlignment w:val="auto"/>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二）任何一方由于不可抗力原因不能履行合同时，应在不可抗力事件结束后十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14:paraId="11D129D5">
      <w:pPr>
        <w:keepNext w:val="0"/>
        <w:keepLines w:val="0"/>
        <w:pageBreakBefore w:val="0"/>
        <w:tabs>
          <w:tab w:val="left" w:pos="426"/>
        </w:tabs>
        <w:kinsoku/>
        <w:wordWrap/>
        <w:overflowPunct/>
        <w:topLinePunct w:val="0"/>
        <w:bidi w:val="0"/>
        <w:snapToGrid w:val="0"/>
        <w:spacing w:beforeLines="0" w:afterLines="0" w:line="360" w:lineRule="auto"/>
        <w:ind w:firstLine="480" w:firstLineChars="200"/>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Cs/>
          <w:sz w:val="24"/>
          <w:szCs w:val="24"/>
          <w:lang w:eastAsia="zh-CN"/>
        </w:rPr>
        <w:t>（三）</w:t>
      </w:r>
      <w:r>
        <w:rPr>
          <w:rFonts w:hint="eastAsia" w:ascii="仿宋_GB2312" w:hAnsi="仿宋_GB2312" w:eastAsia="仿宋_GB2312" w:cs="仿宋_GB2312"/>
          <w:bCs/>
          <w:sz w:val="24"/>
          <w:szCs w:val="24"/>
        </w:rPr>
        <w:t>遭受不可抗力的一方未履行上述义务或不可抗力发生在一方违约前或违约后的，不能免除其违约责任。</w:t>
      </w:r>
    </w:p>
    <w:p w14:paraId="3E50C1A2">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第</w:t>
      </w:r>
      <w:r>
        <w:rPr>
          <w:rFonts w:hint="eastAsia" w:ascii="仿宋_GB2312" w:hAnsi="仿宋_GB2312" w:eastAsia="仿宋_GB2312" w:cs="仿宋_GB2312"/>
          <w:b/>
          <w:bCs/>
          <w:sz w:val="24"/>
          <w:szCs w:val="24"/>
          <w:lang w:eastAsia="zh-CN"/>
        </w:rPr>
        <w:t>十一</w:t>
      </w:r>
      <w:r>
        <w:rPr>
          <w:rFonts w:hint="eastAsia" w:ascii="仿宋_GB2312" w:hAnsi="仿宋_GB2312" w:eastAsia="仿宋_GB2312" w:cs="仿宋_GB2312"/>
          <w:b/>
          <w:bCs/>
          <w:sz w:val="24"/>
          <w:szCs w:val="24"/>
        </w:rPr>
        <w:t xml:space="preserve">条 </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highlight w:val="none"/>
          <w:lang w:val="en-US" w:eastAsia="zh-CN"/>
        </w:rPr>
        <w:t>法律适用及争议解决</w:t>
      </w:r>
    </w:p>
    <w:p w14:paraId="586224EE">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（一）本合同受中华人民共和国法律解释和管辖，并不考虑法律冲突。</w:t>
      </w:r>
    </w:p>
    <w:p w14:paraId="06C5799C">
      <w:pPr>
        <w:keepNext w:val="0"/>
        <w:keepLines w:val="0"/>
        <w:pageBreakBefore w:val="0"/>
        <w:numPr>
          <w:ilvl w:val="0"/>
          <w:numId w:val="0"/>
        </w:numPr>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sz w:val="24"/>
          <w:szCs w:val="24"/>
          <w:highlight w:val="none"/>
          <w:lang w:eastAsia="zh-CN"/>
        </w:rPr>
        <w:t>（二）双方约定，合同签订地为广州市越秀区。有关本合同的任何争议应由双方秉承善意友好协商解决。</w:t>
      </w:r>
      <w:r>
        <w:rPr>
          <w:rFonts w:hint="eastAsia" w:ascii="仿宋_GB2312" w:hAnsi="仿宋_GB2312" w:eastAsia="仿宋_GB2312" w:cs="仿宋_GB2312"/>
          <w:b w:val="0"/>
          <w:bCs w:val="0"/>
          <w:sz w:val="24"/>
          <w:szCs w:val="24"/>
        </w:rPr>
        <w:t>若</w:t>
      </w:r>
      <w:r>
        <w:rPr>
          <w:rFonts w:hint="eastAsia" w:ascii="仿宋_GB2312" w:hAnsi="仿宋_GB2312" w:eastAsia="仿宋_GB2312" w:cs="仿宋_GB2312"/>
          <w:b w:val="0"/>
          <w:bCs w:val="0"/>
          <w:sz w:val="24"/>
          <w:szCs w:val="24"/>
          <w:lang w:eastAsia="zh-CN"/>
        </w:rPr>
        <w:t>双方</w:t>
      </w:r>
      <w:r>
        <w:rPr>
          <w:rFonts w:hint="eastAsia" w:ascii="仿宋_GB2312" w:hAnsi="仿宋_GB2312" w:eastAsia="仿宋_GB2312" w:cs="仿宋_GB2312"/>
          <w:b w:val="0"/>
          <w:bCs w:val="0"/>
          <w:sz w:val="24"/>
          <w:szCs w:val="24"/>
        </w:rPr>
        <w:t>协商不成，</w:t>
      </w:r>
      <w:r>
        <w:rPr>
          <w:rFonts w:hint="eastAsia" w:ascii="仿宋_GB2312" w:hAnsi="仿宋_GB2312" w:eastAsia="仿宋_GB2312" w:cs="仿宋_GB2312"/>
          <w:b w:val="0"/>
          <w:bCs w:val="0"/>
          <w:sz w:val="24"/>
          <w:szCs w:val="24"/>
          <w:lang w:eastAsia="zh-CN"/>
        </w:rPr>
        <w:t>一方可</w:t>
      </w:r>
      <w:r>
        <w:rPr>
          <w:rFonts w:hint="eastAsia" w:ascii="仿宋_GB2312" w:hAnsi="仿宋_GB2312" w:eastAsia="仿宋_GB2312" w:cs="仿宋_GB2312"/>
          <w:sz w:val="24"/>
          <w:szCs w:val="24"/>
          <w:highlight w:val="none"/>
          <w:lang w:eastAsia="zh-CN"/>
        </w:rPr>
        <w:t>将争议提交合同签订地有管辖权的法院诉讼解决。</w:t>
      </w:r>
    </w:p>
    <w:p w14:paraId="10F34DC0">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textAlignment w:val="auto"/>
        <w:rPr>
          <w:rFonts w:hint="eastAsia" w:ascii="仿宋_GB2312" w:hAnsi="仿宋_GB2312" w:eastAsia="仿宋_GB2312" w:cs="仿宋_GB2312"/>
          <w:b/>
          <w:sz w:val="24"/>
          <w:szCs w:val="24"/>
          <w:highlight w:val="none"/>
          <w:lang w:val="en-US" w:eastAsia="zh-CN"/>
        </w:rPr>
      </w:pPr>
      <w:r>
        <w:rPr>
          <w:rFonts w:hint="eastAsia" w:ascii="仿宋_GB2312" w:hAnsi="仿宋_GB2312" w:eastAsia="仿宋_GB2312" w:cs="仿宋_GB2312"/>
          <w:b/>
          <w:sz w:val="24"/>
          <w:szCs w:val="24"/>
          <w:highlight w:val="none"/>
        </w:rPr>
        <w:t>第</w:t>
      </w:r>
      <w:r>
        <w:rPr>
          <w:rFonts w:hint="eastAsia" w:ascii="仿宋_GB2312" w:hAnsi="仿宋_GB2312" w:eastAsia="仿宋_GB2312" w:cs="仿宋_GB2312"/>
          <w:b/>
          <w:sz w:val="24"/>
          <w:szCs w:val="24"/>
          <w:highlight w:val="none"/>
          <w:lang w:val="en-US" w:eastAsia="zh-CN"/>
        </w:rPr>
        <w:t>十二</w:t>
      </w:r>
      <w:r>
        <w:rPr>
          <w:rFonts w:hint="eastAsia" w:ascii="仿宋_GB2312" w:hAnsi="仿宋_GB2312" w:eastAsia="仿宋_GB2312" w:cs="仿宋_GB2312"/>
          <w:b/>
          <w:sz w:val="24"/>
          <w:szCs w:val="24"/>
          <w:highlight w:val="none"/>
        </w:rPr>
        <w:t>条</w:t>
      </w:r>
      <w:r>
        <w:rPr>
          <w:rFonts w:hint="eastAsia" w:ascii="仿宋_GB2312" w:hAnsi="仿宋_GB2312" w:eastAsia="仿宋_GB2312" w:cs="仿宋_GB2312"/>
          <w:b/>
          <w:sz w:val="24"/>
          <w:szCs w:val="24"/>
          <w:highlight w:val="none"/>
          <w:lang w:val="en-US" w:eastAsia="zh-CN"/>
        </w:rPr>
        <w:t xml:space="preserve">  通知与送达</w:t>
      </w:r>
    </w:p>
    <w:p w14:paraId="3A10BF39">
      <w:pPr>
        <w:keepNext w:val="0"/>
        <w:keepLines w:val="0"/>
        <w:pageBreakBefore w:val="0"/>
        <w:widowControl/>
        <w:numPr>
          <w:ilvl w:val="0"/>
          <w:numId w:val="0"/>
        </w:numPr>
        <w:tabs>
          <w:tab w:val="left" w:pos="426"/>
        </w:tabs>
        <w:kinsoku/>
        <w:wordWrap/>
        <w:overflowPunct/>
        <w:topLinePunct w:val="0"/>
        <w:autoSpaceDE/>
        <w:autoSpaceDN/>
        <w:bidi w:val="0"/>
        <w:adjustRightInd w:val="0"/>
        <w:snapToGrid w:val="0"/>
        <w:spacing w:beforeLines="0" w:afterLines="0" w:line="360" w:lineRule="auto"/>
        <w:ind w:firstLine="480" w:firstLineChars="200"/>
        <w:rPr>
          <w:rFonts w:hint="eastAsia" w:ascii="仿宋_GB2312" w:hAnsi="仿宋_GB2312" w:eastAsia="仿宋_GB2312" w:cs="仿宋_GB2312"/>
          <w:b w:val="0"/>
          <w:bCs/>
          <w:sz w:val="24"/>
          <w:szCs w:val="24"/>
          <w:highlight w:val="none"/>
          <w:lang w:eastAsia="zh-CN"/>
        </w:rPr>
      </w:pPr>
      <w:r>
        <w:rPr>
          <w:rFonts w:hint="eastAsia" w:ascii="仿宋_GB2312" w:hAnsi="仿宋_GB2312" w:eastAsia="仿宋_GB2312" w:cs="仿宋_GB2312"/>
          <w:bCs/>
          <w:sz w:val="24"/>
          <w:szCs w:val="24"/>
          <w:lang w:val="en-US" w:eastAsia="zh-CN"/>
        </w:rPr>
        <w:t>与本合同有关的通知、文件等均须采用书面形式发出，并由中国邮政特快专递（EMS）或专人送至本合同首页载明的通讯地址。EMS寄出第三日（无论对方签收与否）与对方签收日中较早的日期视为已送达日期。一方的地址如发生变更，应于变更后七天内通知对方，未通知或延迟通知的，由其承担法律后果。</w:t>
      </w:r>
    </w:p>
    <w:p w14:paraId="0C34A74F">
      <w:pPr>
        <w:keepNext w:val="0"/>
        <w:keepLines w:val="0"/>
        <w:pageBreakBefore w:val="0"/>
        <w:widowControl w:val="0"/>
        <w:kinsoku/>
        <w:wordWrap/>
        <w:overflowPunct/>
        <w:topLinePunct w:val="0"/>
        <w:autoSpaceDE/>
        <w:autoSpaceDN/>
        <w:bidi w:val="0"/>
        <w:adjustRightInd/>
        <w:snapToGrid w:val="0"/>
        <w:spacing w:before="157" w:beforeLines="50" w:afterLines="0" w:line="360" w:lineRule="auto"/>
        <w:ind w:firstLine="0" w:firstLineChars="0"/>
        <w:jc w:val="left"/>
        <w:textAlignment w:val="auto"/>
        <w:rPr>
          <w:rFonts w:hint="eastAsia" w:ascii="仿宋_GB2312" w:hAnsi="仿宋_GB2312" w:eastAsia="仿宋_GB2312" w:cs="仿宋_GB2312"/>
          <w:b/>
          <w:bCs w:val="0"/>
          <w:sz w:val="24"/>
          <w:szCs w:val="24"/>
          <w:highlight w:val="none"/>
          <w:lang w:eastAsia="zh-CN"/>
        </w:rPr>
      </w:pPr>
      <w:r>
        <w:rPr>
          <w:rFonts w:hint="eastAsia" w:ascii="仿宋_GB2312" w:hAnsi="仿宋_GB2312" w:eastAsia="仿宋_GB2312" w:cs="仿宋_GB2312"/>
          <w:b/>
          <w:bCs w:val="0"/>
          <w:sz w:val="24"/>
          <w:szCs w:val="24"/>
          <w:highlight w:val="none"/>
          <w:lang w:eastAsia="zh-CN"/>
        </w:rPr>
        <w:t>第</w:t>
      </w:r>
      <w:r>
        <w:rPr>
          <w:rFonts w:hint="eastAsia" w:ascii="仿宋_GB2312" w:hAnsi="仿宋_GB2312" w:eastAsia="仿宋_GB2312" w:cs="仿宋_GB2312"/>
          <w:b/>
          <w:bCs w:val="0"/>
          <w:sz w:val="24"/>
          <w:szCs w:val="24"/>
          <w:highlight w:val="none"/>
        </w:rPr>
        <w:t>十</w:t>
      </w:r>
      <w:r>
        <w:rPr>
          <w:rFonts w:hint="eastAsia" w:ascii="仿宋_GB2312" w:hAnsi="仿宋_GB2312" w:eastAsia="仿宋_GB2312" w:cs="仿宋_GB2312"/>
          <w:b/>
          <w:bCs w:val="0"/>
          <w:sz w:val="24"/>
          <w:szCs w:val="24"/>
          <w:highlight w:val="none"/>
          <w:lang w:eastAsia="zh-CN"/>
        </w:rPr>
        <w:t>三条</w:t>
      </w:r>
      <w:r>
        <w:rPr>
          <w:rFonts w:hint="eastAsia" w:ascii="仿宋_GB2312" w:hAnsi="仿宋_GB2312" w:eastAsia="仿宋_GB2312" w:cs="仿宋_GB2312"/>
          <w:b/>
          <w:bCs w:val="0"/>
          <w:sz w:val="24"/>
          <w:szCs w:val="24"/>
          <w:highlight w:val="none"/>
          <w:lang w:val="en-US" w:eastAsia="zh-CN"/>
        </w:rPr>
        <w:t xml:space="preserve">  </w:t>
      </w:r>
      <w:r>
        <w:rPr>
          <w:rFonts w:hint="eastAsia" w:ascii="仿宋_GB2312" w:hAnsi="仿宋_GB2312" w:eastAsia="仿宋_GB2312" w:cs="仿宋_GB2312"/>
          <w:b/>
          <w:bCs w:val="0"/>
          <w:sz w:val="24"/>
          <w:szCs w:val="24"/>
          <w:highlight w:val="none"/>
          <w:lang w:eastAsia="zh-CN"/>
        </w:rPr>
        <w:t>其他</w:t>
      </w:r>
    </w:p>
    <w:p w14:paraId="51839E08">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一</w:t>
      </w:r>
      <w:r>
        <w:rPr>
          <w:rFonts w:hint="eastAsia" w:ascii="仿宋_GB2312" w:hAnsi="仿宋_GB2312" w:eastAsia="仿宋_GB2312" w:cs="仿宋_GB2312"/>
          <w:sz w:val="24"/>
          <w:szCs w:val="24"/>
          <w:lang w:eastAsia="zh-CN"/>
        </w:rPr>
        <w:t>）本合同经双方法定代表人或授权代理人签字并盖章之日起生效，至本合同约定双方权利义务履行完毕终止。</w:t>
      </w:r>
    </w:p>
    <w:p w14:paraId="247804DC">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（二）本合同共</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eastAsia="zh-CN"/>
        </w:rPr>
        <w:t>份,其中甲方执</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eastAsia="zh-CN"/>
        </w:rPr>
        <w:t>份，乙方执</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eastAsia="zh-CN"/>
        </w:rPr>
        <w:t>份，具有同等法律效力。</w:t>
      </w:r>
    </w:p>
    <w:p w14:paraId="581192CC">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highlight w:val="none"/>
          <w:lang w:eastAsia="zh-CN"/>
        </w:rPr>
        <w:t>三</w:t>
      </w:r>
      <w:r>
        <w:rPr>
          <w:rFonts w:hint="eastAsia" w:ascii="仿宋_GB2312" w:hAnsi="仿宋_GB2312" w:eastAsia="仿宋_GB2312" w:cs="仿宋_GB2312"/>
          <w:sz w:val="24"/>
          <w:szCs w:val="24"/>
          <w:lang w:eastAsia="zh-CN"/>
        </w:rPr>
        <w:t>）在执行本合同的过程中，所有经双方签署确认的文件（包括会议纪要、补充协议、往来信函）即成为本合同的有效组成部分。本合同未尽事宜或任何一方就本合同的任何条款要求修改，须由双方签订书面补充协议。补充协议是本合同的组成部分，与本合同具有同等法律效力，不一致之处以补充协议为准。</w:t>
      </w:r>
    </w:p>
    <w:p w14:paraId="65A98016">
      <w:pPr>
        <w:keepNext w:val="0"/>
        <w:keepLines w:val="0"/>
        <w:pageBreakBefore w:val="0"/>
        <w:widowControl w:val="0"/>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highlight w:val="none"/>
          <w:lang w:eastAsia="zh-CN"/>
        </w:rPr>
        <w:t>（四）</w:t>
      </w:r>
      <w:r>
        <w:rPr>
          <w:rFonts w:hint="eastAsia" w:ascii="仿宋_GB2312" w:hAnsi="仿宋_GB2312" w:eastAsia="仿宋_GB2312" w:cs="仿宋_GB2312"/>
          <w:sz w:val="24"/>
          <w:szCs w:val="24"/>
          <w:lang w:eastAsia="zh-CN"/>
        </w:rPr>
        <w:t>本合同有附件</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eastAsia="zh-CN"/>
        </w:rPr>
        <w:t>份,是本合同的完整组成部分，与本合同具有同等法律效力。附件有：</w:t>
      </w:r>
    </w:p>
    <w:p w14:paraId="4D47EC60">
      <w:pPr>
        <w:keepNext w:val="0"/>
        <w:keepLines w:val="0"/>
        <w:pageBreakBefore w:val="0"/>
        <w:tabs>
          <w:tab w:val="left" w:pos="426"/>
        </w:tabs>
        <w:kinsoku/>
        <w:wordWrap/>
        <w:overflowPunct/>
        <w:topLinePunct w:val="0"/>
        <w:autoSpaceDE/>
        <w:autoSpaceDN/>
        <w:bidi w:val="0"/>
        <w:adjustRightInd/>
        <w:snapToGrid w:val="0"/>
        <w:spacing w:beforeLines="0" w:afterLines="0" w:line="360" w:lineRule="auto"/>
        <w:ind w:firstLine="480" w:firstLineChars="0"/>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w:t>
      </w:r>
      <w:r>
        <w:rPr>
          <w:rFonts w:hint="eastAsia" w:ascii="仿宋_GB2312" w:hAnsi="仿宋_GB2312" w:eastAsia="仿宋_GB2312" w:cs="仿宋_GB2312"/>
          <w:bCs/>
          <w:sz w:val="24"/>
          <w:szCs w:val="24"/>
          <w:lang w:eastAsia="zh-CN"/>
        </w:rPr>
        <w:t>以下无</w:t>
      </w:r>
      <w:r>
        <w:rPr>
          <w:rFonts w:hint="eastAsia" w:ascii="仿宋_GB2312" w:hAnsi="仿宋_GB2312" w:eastAsia="仿宋_GB2312" w:cs="仿宋_GB2312"/>
          <w:bCs/>
          <w:sz w:val="24"/>
          <w:szCs w:val="24"/>
        </w:rPr>
        <w:t>正文】</w:t>
      </w:r>
    </w:p>
    <w:p w14:paraId="1B2E9F61">
      <w:pPr>
        <w:adjustRightInd w:val="0"/>
        <w:snapToGrid w:val="0"/>
        <w:spacing w:beforeLines="0" w:afterLines="0" w:line="360" w:lineRule="auto"/>
        <w:rPr>
          <w:rFonts w:hint="eastAsia" w:ascii="仿宋_GB2312" w:hAnsi="仿宋_GB2312" w:eastAsia="仿宋_GB2312" w:cs="仿宋_GB2312"/>
          <w:sz w:val="24"/>
          <w:szCs w:val="24"/>
        </w:rPr>
      </w:pPr>
    </w:p>
    <w:p w14:paraId="2FC2EFCD">
      <w:pPr>
        <w:snapToGrid w:val="0"/>
        <w:spacing w:beforeLines="0" w:afterLines="0" w:line="360" w:lineRule="auto"/>
        <w:ind w:firstLine="0" w:firstLineChars="0"/>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甲方（盖章）：</w:t>
      </w:r>
      <w:r>
        <w:rPr>
          <w:rFonts w:hint="eastAsia" w:ascii="仿宋_GB2312" w:hAnsi="仿宋_GB2312" w:eastAsia="仿宋_GB2312" w:cs="仿宋_GB2312"/>
          <w:sz w:val="24"/>
          <w:szCs w:val="24"/>
          <w:shd w:val="clear" w:color="auto" w:fill="FFFFFF"/>
          <w:lang w:val="en-US" w:eastAsia="zh-CN"/>
        </w:rPr>
        <w:t xml:space="preserve">                   </w:t>
      </w:r>
      <w:r>
        <w:rPr>
          <w:rFonts w:hint="eastAsia" w:ascii="仿宋_GB2312" w:hAnsi="仿宋_GB2312" w:eastAsia="仿宋_GB2312" w:cs="仿宋_GB2312"/>
          <w:sz w:val="24"/>
          <w:szCs w:val="24"/>
          <w:shd w:val="clear" w:color="auto" w:fill="FFFFFF"/>
        </w:rPr>
        <w:t>乙方（盖章）：</w:t>
      </w:r>
    </w:p>
    <w:p w14:paraId="034AFAA4">
      <w:pPr>
        <w:snapToGrid w:val="0"/>
        <w:spacing w:beforeLines="0" w:afterLines="0" w:line="360" w:lineRule="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 xml:space="preserve">法人（授权）代表签字：      </w:t>
      </w:r>
      <w:r>
        <w:rPr>
          <w:rFonts w:hint="eastAsia" w:ascii="仿宋_GB2312" w:hAnsi="仿宋_GB2312" w:eastAsia="仿宋_GB2312" w:cs="仿宋_GB2312"/>
          <w:sz w:val="24"/>
          <w:szCs w:val="24"/>
          <w:shd w:val="clear" w:color="auto" w:fill="FFFFFF"/>
          <w:lang w:val="en-US" w:eastAsia="zh-CN"/>
        </w:rPr>
        <w:t xml:space="preserve">    </w:t>
      </w:r>
      <w:r>
        <w:rPr>
          <w:rFonts w:hint="eastAsia" w:ascii="仿宋_GB2312" w:hAnsi="仿宋_GB2312" w:eastAsia="仿宋_GB2312" w:cs="仿宋_GB2312"/>
          <w:sz w:val="24"/>
          <w:szCs w:val="24"/>
          <w:shd w:val="clear" w:color="auto" w:fill="FFFFFF"/>
        </w:rPr>
        <w:t xml:space="preserve">法人（授权）代表签字：        </w:t>
      </w:r>
    </w:p>
    <w:p w14:paraId="3ACC75EE">
      <w:pPr>
        <w:snapToGrid w:val="0"/>
        <w:spacing w:beforeLines="0" w:afterLines="0"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shd w:val="clear" w:color="auto" w:fill="FFFFFF"/>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shd w:val="clear" w:color="auto" w:fill="FFFFFF"/>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shd w:val="clear" w:color="auto" w:fill="FFFFFF"/>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shd w:val="clear" w:color="auto" w:fill="FFFFFF"/>
        </w:rPr>
        <w:t>日</w:t>
      </w:r>
      <w:r>
        <w:rPr>
          <w:rFonts w:hint="eastAsia" w:ascii="仿宋_GB2312" w:hAnsi="仿宋_GB2312" w:eastAsia="仿宋_GB2312" w:cs="仿宋_GB2312"/>
          <w:sz w:val="24"/>
          <w:szCs w:val="24"/>
          <w:shd w:val="clear" w:color="auto" w:fill="FFFFFF"/>
          <w:lang w:val="en-US" w:eastAsia="zh-CN"/>
        </w:rPr>
        <w:t xml:space="preserve">        </w:t>
      </w:r>
      <w:r>
        <w:rPr>
          <w:rFonts w:hint="eastAsia" w:ascii="仿宋_GB2312" w:hAnsi="仿宋_GB2312" w:eastAsia="仿宋_GB2312" w:cs="仿宋_GB2312"/>
          <w:sz w:val="24"/>
          <w:szCs w:val="24"/>
          <w:shd w:val="clear" w:color="auto" w:fill="FFFFFF"/>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shd w:val="clear" w:color="auto" w:fill="FFFFFF"/>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shd w:val="clear" w:color="auto" w:fill="FFFFFF"/>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shd w:val="clear" w:color="auto" w:fill="FFFFFF"/>
        </w:rPr>
        <w:t>日</w:t>
      </w:r>
    </w:p>
    <w:p w14:paraId="3E49293D">
      <w:pPr>
        <w:keepNext w:val="0"/>
        <w:keepLines w:val="0"/>
        <w:pageBreakBefore w:val="0"/>
        <w:kinsoku/>
        <w:overflowPunct/>
        <w:topLinePunct w:val="0"/>
        <w:autoSpaceDE/>
        <w:autoSpaceDN/>
        <w:bidi w:val="0"/>
        <w:snapToGrid w:val="0"/>
        <w:spacing w:beforeLines="0" w:afterLines="0" w:line="400" w:lineRule="exact"/>
        <w:textAlignment w:val="auto"/>
        <w:rPr>
          <w:rFonts w:hint="eastAsia" w:ascii="仿宋_GB2312" w:hAnsi="仿宋_GB2312" w:eastAsia="仿宋_GB2312" w:cs="仿宋_GB2312"/>
          <w:sz w:val="24"/>
          <w:szCs w:val="24"/>
          <w:highlight w:val="none"/>
          <w:lang w:val="en-US" w:eastAsia="zh-CN"/>
        </w:rPr>
      </w:pPr>
    </w:p>
    <w:p w14:paraId="2BF1BDA7">
      <w:pPr>
        <w:pStyle w:val="2"/>
        <w:spacing w:beforeLines="0" w:afterLines="0" w:line="360" w:lineRule="auto"/>
        <w:rPr>
          <w:rFonts w:hint="eastAsia" w:ascii="仿宋" w:hAnsi="仿宋" w:eastAsia="仿宋" w:cs="仿宋"/>
          <w:b/>
          <w:bCs/>
          <w:sz w:val="28"/>
          <w:szCs w:val="28"/>
        </w:rPr>
      </w:pPr>
    </w:p>
    <w:sectPr>
      <w:headerReference r:id="rId4" w:type="first"/>
      <w:footerReference r:id="rId7" w:type="first"/>
      <w:footerReference r:id="rId5" w:type="default"/>
      <w:headerReference r:id="rId3" w:type="even"/>
      <w:footerReference r:id="rId6" w:type="even"/>
      <w:endnotePr>
        <w:numFmt w:val="decimal"/>
      </w:endnotePr>
      <w:type w:val="continuous"/>
      <w:pgSz w:w="11906" w:h="16838"/>
      <w:pgMar w:top="1247" w:right="1361" w:bottom="1134" w:left="1531" w:header="851" w:footer="680"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昆仑楷体">
    <w:altName w:val="宋体"/>
    <w:panose1 w:val="00000000000000000000"/>
    <w:charset w:val="86"/>
    <w:family w:val="modern"/>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37262">
    <w:pPr>
      <w:pStyle w:val="26"/>
      <w:rPr>
        <w:rStyle w:val="40"/>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C67CF">
                          <w:pPr>
                            <w:pStyle w:val="26"/>
                            <w:rPr>
                              <w:rFonts w:hint="eastAsia" w:ascii="宋体" w:hAnsi="宋体" w:eastAsia="宋体" w:cs="宋体"/>
                              <w:lang w:eastAsia="zh-CN"/>
                            </w:rPr>
                          </w:pPr>
                          <w:r>
                            <w:rPr>
                              <w:rFonts w:hint="eastAsia" w:ascii="宋体" w:hAnsi="宋体" w:eastAsia="宋体" w:cs="宋体"/>
                              <w:lang w:eastAsia="zh-CN"/>
                            </w:rPr>
                            <w:t xml:space="preserve">第 </w:t>
                          </w: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1</w:t>
                          </w:r>
                          <w:r>
                            <w:rPr>
                              <w:rFonts w:hint="eastAsia" w:ascii="宋体" w:hAnsi="宋体" w:eastAsia="宋体" w:cs="宋体"/>
                              <w:lang w:eastAsia="zh-CN"/>
                            </w:rPr>
                            <w:fldChar w:fldCharType="end"/>
                          </w:r>
                          <w:r>
                            <w:rPr>
                              <w:rFonts w:hint="eastAsia" w:ascii="宋体" w:hAnsi="宋体" w:eastAsia="宋体" w:cs="宋体"/>
                              <w:lang w:eastAsia="zh-CN"/>
                            </w:rPr>
                            <w:t xml:space="preserve"> 页 共 </w:t>
                          </w:r>
                          <w:r>
                            <w:rPr>
                              <w:rFonts w:hint="eastAsia" w:ascii="宋体" w:hAnsi="宋体" w:eastAsia="宋体" w:cs="宋体"/>
                              <w:lang w:eastAsia="zh-CN"/>
                            </w:rPr>
                            <w:fldChar w:fldCharType="begin"/>
                          </w:r>
                          <w:r>
                            <w:rPr>
                              <w:rFonts w:hint="eastAsia" w:ascii="宋体" w:hAnsi="宋体" w:eastAsia="宋体" w:cs="宋体"/>
                              <w:lang w:eastAsia="zh-CN"/>
                            </w:rPr>
                            <w:instrText xml:space="preserve"> NUMPAGES  \* MERGEFORMAT </w:instrText>
                          </w:r>
                          <w:r>
                            <w:rPr>
                              <w:rFonts w:hint="eastAsia" w:ascii="宋体" w:hAnsi="宋体" w:eastAsia="宋体" w:cs="宋体"/>
                              <w:lang w:eastAsia="zh-CN"/>
                            </w:rPr>
                            <w:fldChar w:fldCharType="separate"/>
                          </w:r>
                          <w:r>
                            <w:rPr>
                              <w:rFonts w:hint="eastAsia" w:ascii="宋体" w:hAnsi="宋体" w:eastAsia="宋体" w:cs="宋体"/>
                              <w:lang w:eastAsia="zh-CN"/>
                            </w:rPr>
                            <w:t>5</w:t>
                          </w:r>
                          <w:r>
                            <w:rPr>
                              <w:rFonts w:hint="eastAsia" w:ascii="宋体" w:hAnsi="宋体" w:eastAsia="宋体" w:cs="宋体"/>
                              <w:lang w:eastAsia="zh-CN"/>
                            </w:rPr>
                            <w:fldChar w:fldCharType="end"/>
                          </w:r>
                          <w:r>
                            <w:rPr>
                              <w:rFonts w:hint="eastAsia" w:ascii="宋体" w:hAnsi="宋体" w:eastAsia="宋体" w:cs="宋体"/>
                              <w:lang w:eastAsia="zh-CN"/>
                            </w:rPr>
                            <w:t xml:space="preserve"> 页</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1CCC67CF">
                    <w:pPr>
                      <w:pStyle w:val="26"/>
                      <w:rPr>
                        <w:rFonts w:hint="eastAsia" w:ascii="宋体" w:hAnsi="宋体" w:eastAsia="宋体" w:cs="宋体"/>
                        <w:lang w:eastAsia="zh-CN"/>
                      </w:rPr>
                    </w:pPr>
                    <w:r>
                      <w:rPr>
                        <w:rFonts w:hint="eastAsia" w:ascii="宋体" w:hAnsi="宋体" w:eastAsia="宋体" w:cs="宋体"/>
                        <w:lang w:eastAsia="zh-CN"/>
                      </w:rPr>
                      <w:t xml:space="preserve">第 </w:t>
                    </w: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1</w:t>
                    </w:r>
                    <w:r>
                      <w:rPr>
                        <w:rFonts w:hint="eastAsia" w:ascii="宋体" w:hAnsi="宋体" w:eastAsia="宋体" w:cs="宋体"/>
                        <w:lang w:eastAsia="zh-CN"/>
                      </w:rPr>
                      <w:fldChar w:fldCharType="end"/>
                    </w:r>
                    <w:r>
                      <w:rPr>
                        <w:rFonts w:hint="eastAsia" w:ascii="宋体" w:hAnsi="宋体" w:eastAsia="宋体" w:cs="宋体"/>
                        <w:lang w:eastAsia="zh-CN"/>
                      </w:rPr>
                      <w:t xml:space="preserve"> 页 共 </w:t>
                    </w:r>
                    <w:r>
                      <w:rPr>
                        <w:rFonts w:hint="eastAsia" w:ascii="宋体" w:hAnsi="宋体" w:eastAsia="宋体" w:cs="宋体"/>
                        <w:lang w:eastAsia="zh-CN"/>
                      </w:rPr>
                      <w:fldChar w:fldCharType="begin"/>
                    </w:r>
                    <w:r>
                      <w:rPr>
                        <w:rFonts w:hint="eastAsia" w:ascii="宋体" w:hAnsi="宋体" w:eastAsia="宋体" w:cs="宋体"/>
                        <w:lang w:eastAsia="zh-CN"/>
                      </w:rPr>
                      <w:instrText xml:space="preserve"> NUMPAGES  \* MERGEFORMAT </w:instrText>
                    </w:r>
                    <w:r>
                      <w:rPr>
                        <w:rFonts w:hint="eastAsia" w:ascii="宋体" w:hAnsi="宋体" w:eastAsia="宋体" w:cs="宋体"/>
                        <w:lang w:eastAsia="zh-CN"/>
                      </w:rPr>
                      <w:fldChar w:fldCharType="separate"/>
                    </w:r>
                    <w:r>
                      <w:rPr>
                        <w:rFonts w:hint="eastAsia" w:ascii="宋体" w:hAnsi="宋体" w:eastAsia="宋体" w:cs="宋体"/>
                        <w:lang w:eastAsia="zh-CN"/>
                      </w:rPr>
                      <w:t>5</w:t>
                    </w:r>
                    <w:r>
                      <w:rPr>
                        <w:rFonts w:hint="eastAsia" w:ascii="宋体" w:hAnsi="宋体" w:eastAsia="宋体" w:cs="宋体"/>
                        <w:lang w:eastAsia="zh-CN"/>
                      </w:rPr>
                      <w:fldChar w:fldCharType="end"/>
                    </w:r>
                    <w:r>
                      <w:rPr>
                        <w:rFonts w:hint="eastAsia" w:ascii="宋体" w:hAnsi="宋体" w:eastAsia="宋体" w:cs="宋体"/>
                        <w:lang w:eastAsia="zh-CN"/>
                      </w:rPr>
                      <w:t xml:space="preserve"> 页</w:t>
                    </w:r>
                  </w:p>
                </w:txbxContent>
              </v:textbox>
            </v:shape>
          </w:pict>
        </mc:Fallback>
      </mc:AlternateContent>
    </w:r>
  </w:p>
  <w:p w14:paraId="60B355E0">
    <w:pPr>
      <w:pStyle w:val="2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64648">
    <w:pPr>
      <w:pStyle w:val="26"/>
      <w:framePr w:wrap="around" w:vAnchor="text" w:hAnchor="margin" w:xAlign="outside" w:y="1"/>
      <w:rPr>
        <w:rStyle w:val="40"/>
      </w:rPr>
    </w:pPr>
    <w:r>
      <w:fldChar w:fldCharType="begin"/>
    </w:r>
    <w:r>
      <w:rPr>
        <w:rStyle w:val="40"/>
      </w:rPr>
      <w:instrText xml:space="preserve">PAGE  </w:instrText>
    </w:r>
    <w:r>
      <w:fldChar w:fldCharType="separate"/>
    </w:r>
    <w:r>
      <w:rPr>
        <w:rStyle w:val="40"/>
        <w:rFonts w:hint="eastAsia"/>
        <w:lang/>
      </w:rPr>
      <w:t>一–2</w:t>
    </w:r>
    <w:r>
      <w:fldChar w:fldCharType="end"/>
    </w:r>
  </w:p>
  <w:p w14:paraId="5B316067">
    <w:pPr>
      <w:pStyle w:val="26"/>
      <w:ind w:right="360" w:firstLine="360"/>
      <w:jc w:val="center"/>
    </w:pPr>
    <w:r>
      <w:rPr>
        <w:kern w:val="0"/>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C126A">
    <w:pPr>
      <w:pStyle w:val="2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21E6E">
    <w:pPr>
      <w:pStyle w:val="27"/>
      <w:jc w:val="right"/>
      <w:rPr>
        <w:rFonts w:hint="eastAsia"/>
        <w:i/>
        <w:iCs/>
      </w:rPr>
    </w:pPr>
    <w:r>
      <w:rPr>
        <w:rFonts w:hint="eastAsia"/>
        <w:i/>
        <w:iCs/>
      </w:rPr>
      <w:t>横枝岗路道路排水改造工程招标文件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EB77A">
    <w:pPr>
      <w:pStyle w:val="27"/>
      <w:pBdr>
        <w:bottom w:val="none" w:color="auto" w:sz="0" w:space="0"/>
      </w:pBdr>
      <w:jc w:val="right"/>
      <w:rPr>
        <w:rFonts w:hint="eastAsia"/>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9905B5"/>
    <w:multiLevelType w:val="multilevel"/>
    <w:tmpl w:val="259905B5"/>
    <w:lvl w:ilvl="0" w:tentative="0">
      <w:start w:val="1"/>
      <w:numFmt w:val="chineseCountingThousand"/>
      <w:suff w:val="space"/>
      <w:lvlText w:val="第%1章"/>
      <w:lvlJc w:val="left"/>
      <w:pPr>
        <w:ind w:left="567" w:hanging="279"/>
      </w:pPr>
      <w:rPr>
        <w:rFonts w:hint="eastAsia" w:ascii="宋体" w:eastAsia="宋体"/>
        <w:b/>
        <w:i w:val="0"/>
        <w:spacing w:val="0"/>
        <w:position w:val="0"/>
        <w:sz w:val="44"/>
      </w:rPr>
    </w:lvl>
    <w:lvl w:ilvl="1" w:tentative="0">
      <w:start w:val="1"/>
      <w:numFmt w:val="decimal"/>
      <w:suff w:val="space"/>
      <w:lvlText w:val="%2."/>
      <w:lvlJc w:val="left"/>
      <w:pPr>
        <w:ind w:left="454" w:hanging="454"/>
      </w:pPr>
      <w:rPr>
        <w:rFonts w:hint="eastAsia" w:ascii="宋体" w:eastAsia="宋体"/>
        <w:b/>
        <w:i w:val="0"/>
        <w:sz w:val="32"/>
      </w:rPr>
    </w:lvl>
    <w:lvl w:ilvl="2" w:tentative="0">
      <w:start w:val="1"/>
      <w:numFmt w:val="decimal"/>
      <w:suff w:val="space"/>
      <w:lvlText w:val="%2.%3"/>
      <w:lvlJc w:val="left"/>
      <w:pPr>
        <w:ind w:left="454" w:hanging="454"/>
      </w:pPr>
      <w:rPr>
        <w:rFonts w:hint="eastAsia" w:ascii="宋体" w:eastAsia="宋体"/>
        <w:b/>
        <w:i w:val="0"/>
        <w:sz w:val="28"/>
      </w:rPr>
    </w:lvl>
    <w:lvl w:ilvl="3" w:tentative="0">
      <w:start w:val="1"/>
      <w:numFmt w:val="decimal"/>
      <w:pStyle w:val="9"/>
      <w:suff w:val="space"/>
      <w:lvlText w:val="%2.%3.%4_x0001__x0003_"/>
      <w:lvlJc w:val="left"/>
      <w:pPr>
        <w:ind w:left="284" w:hanging="284"/>
      </w:pPr>
      <w:rPr>
        <w:rFonts w:hint="eastAsia" w:ascii="宋体" w:eastAsia="宋体"/>
        <w:b/>
        <w:i w:val="0"/>
        <w:sz w:val="28"/>
      </w:rPr>
    </w:lvl>
    <w:lvl w:ilvl="4" w:tentative="0">
      <w:start w:val="1"/>
      <w:numFmt w:val="decimal"/>
      <w:pStyle w:val="10"/>
      <w:isLgl/>
      <w:suff w:val="space"/>
      <w:lvlText w:val="%2.%3.%4.%5"/>
      <w:lvlJc w:val="left"/>
      <w:pPr>
        <w:ind w:left="284" w:hanging="284"/>
      </w:pPr>
      <w:rPr>
        <w:rFonts w:hint="eastAsia" w:ascii="宋体" w:eastAsia="宋体"/>
        <w:b/>
        <w:i w:val="0"/>
        <w:strike w:val="0"/>
        <w:dstrike w:val="0"/>
        <w:sz w:val="28"/>
      </w:rPr>
    </w:lvl>
    <w:lvl w:ilvl="5" w:tentative="0">
      <w:start w:val="1"/>
      <w:numFmt w:val="decimal"/>
      <w:lvlRestart w:val="0"/>
      <w:suff w:val="space"/>
      <w:lvlText w:val="1.1.1.1.1.%6%5"/>
      <w:lvlJc w:val="left"/>
      <w:pPr>
        <w:ind w:left="0" w:firstLine="0"/>
      </w:pPr>
      <w:rPr>
        <w:rFonts w:hint="eastAsia" w:ascii="宋体" w:eastAsia="宋体"/>
        <w:b/>
        <w:i w:val="0"/>
        <w:sz w:val="28"/>
      </w:rPr>
    </w:lvl>
    <w:lvl w:ilvl="6" w:tentative="0">
      <w:start w:val="1"/>
      <w:numFmt w:val="none"/>
      <w:pStyle w:val="12"/>
      <w:suff w:val="nothing"/>
      <w:lvlText w:val=""/>
      <w:lvlJc w:val="left"/>
      <w:pPr>
        <w:ind w:left="0" w:firstLine="0"/>
      </w:pPr>
      <w:rPr>
        <w:rFonts w:hint="eastAsia"/>
      </w:rPr>
    </w:lvl>
    <w:lvl w:ilvl="7" w:tentative="0">
      <w:start w:val="1"/>
      <w:numFmt w:val="none"/>
      <w:pStyle w:val="13"/>
      <w:suff w:val="nothing"/>
      <w:lvlText w:val=""/>
      <w:lvlJc w:val="left"/>
      <w:pPr>
        <w:ind w:left="0" w:firstLine="0"/>
      </w:pPr>
      <w:rPr>
        <w:rFonts w:hint="eastAsia"/>
      </w:rPr>
    </w:lvl>
    <w:lvl w:ilvl="8" w:tentative="0">
      <w:start w:val="1"/>
      <w:numFmt w:val="none"/>
      <w:pStyle w:val="14"/>
      <w:suff w:val="nothing"/>
      <w:lvlText w:val=""/>
      <w:lvlJc w:val="left"/>
      <w:pPr>
        <w:ind w:left="0" w:firstLine="0"/>
      </w:pPr>
      <w:rPr>
        <w:rFonts w:hint="eastAsia"/>
      </w:rPr>
    </w:lvl>
  </w:abstractNum>
  <w:abstractNum w:abstractNumId="1">
    <w:nsid w:val="74FB0463"/>
    <w:multiLevelType w:val="multilevel"/>
    <w:tmpl w:val="74FB0463"/>
    <w:lvl w:ilvl="0" w:tentative="0">
      <w:start w:val="1"/>
      <w:numFmt w:val="decimal"/>
      <w:suff w:val="nothing"/>
      <w:lvlText w:val="第%1篇"/>
      <w:lvlJc w:val="left"/>
      <w:pPr>
        <w:ind w:left="0" w:firstLine="0"/>
      </w:pPr>
      <w:rPr>
        <w:rFonts w:hint="eastAsia"/>
        <w:spacing w:val="60"/>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center"/>
      <w:pPr>
        <w:ind w:left="0" w:firstLine="288"/>
      </w:pPr>
      <w:rPr>
        <w:rFonts w:hint="eastAsia"/>
      </w:rPr>
    </w:lvl>
    <w:lvl w:ilvl="5" w:tentative="0">
      <w:start w:val="1"/>
      <w:numFmt w:val="none"/>
      <w:pStyle w:val="11"/>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4"/>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endnotePr>
    <w:numFmt w:val="decimal"/>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BC4"/>
    <w:rsid w:val="00033336"/>
    <w:rsid w:val="000447E3"/>
    <w:rsid w:val="00047D01"/>
    <w:rsid w:val="00073810"/>
    <w:rsid w:val="00074172"/>
    <w:rsid w:val="000955CF"/>
    <w:rsid w:val="000A27A3"/>
    <w:rsid w:val="000A5C8A"/>
    <w:rsid w:val="000B16D9"/>
    <w:rsid w:val="000B45B3"/>
    <w:rsid w:val="000B4EA0"/>
    <w:rsid w:val="000D1427"/>
    <w:rsid w:val="000D3948"/>
    <w:rsid w:val="000D3DC0"/>
    <w:rsid w:val="000D6234"/>
    <w:rsid w:val="000E042C"/>
    <w:rsid w:val="00100710"/>
    <w:rsid w:val="00121EB1"/>
    <w:rsid w:val="00132B48"/>
    <w:rsid w:val="00137451"/>
    <w:rsid w:val="0014456D"/>
    <w:rsid w:val="00164B54"/>
    <w:rsid w:val="00181515"/>
    <w:rsid w:val="001B3068"/>
    <w:rsid w:val="001C6AA9"/>
    <w:rsid w:val="001C6AED"/>
    <w:rsid w:val="001E1707"/>
    <w:rsid w:val="001F4ED3"/>
    <w:rsid w:val="002027A4"/>
    <w:rsid w:val="00247D35"/>
    <w:rsid w:val="002525D3"/>
    <w:rsid w:val="002626BA"/>
    <w:rsid w:val="00264A5C"/>
    <w:rsid w:val="00270764"/>
    <w:rsid w:val="002707D3"/>
    <w:rsid w:val="00297D6A"/>
    <w:rsid w:val="002C0303"/>
    <w:rsid w:val="002C1278"/>
    <w:rsid w:val="002E3774"/>
    <w:rsid w:val="002E7A44"/>
    <w:rsid w:val="0032126F"/>
    <w:rsid w:val="00326059"/>
    <w:rsid w:val="00340B16"/>
    <w:rsid w:val="00345205"/>
    <w:rsid w:val="00346DD5"/>
    <w:rsid w:val="00352C90"/>
    <w:rsid w:val="0036296E"/>
    <w:rsid w:val="00372C6B"/>
    <w:rsid w:val="00376AFE"/>
    <w:rsid w:val="00381C92"/>
    <w:rsid w:val="00393560"/>
    <w:rsid w:val="00395912"/>
    <w:rsid w:val="00396B66"/>
    <w:rsid w:val="003A2CC0"/>
    <w:rsid w:val="003C086C"/>
    <w:rsid w:val="003C5F77"/>
    <w:rsid w:val="003D196F"/>
    <w:rsid w:val="003F3657"/>
    <w:rsid w:val="003F60C4"/>
    <w:rsid w:val="0045527A"/>
    <w:rsid w:val="00483DCD"/>
    <w:rsid w:val="004913AD"/>
    <w:rsid w:val="00497400"/>
    <w:rsid w:val="004A20F0"/>
    <w:rsid w:val="004A3DBD"/>
    <w:rsid w:val="004C4FE9"/>
    <w:rsid w:val="004C6D5F"/>
    <w:rsid w:val="004D674B"/>
    <w:rsid w:val="004E79E2"/>
    <w:rsid w:val="004F1873"/>
    <w:rsid w:val="005025E0"/>
    <w:rsid w:val="005074C6"/>
    <w:rsid w:val="0053135F"/>
    <w:rsid w:val="0054669F"/>
    <w:rsid w:val="005777D1"/>
    <w:rsid w:val="00583B75"/>
    <w:rsid w:val="005B09D8"/>
    <w:rsid w:val="005B62DC"/>
    <w:rsid w:val="005D30F1"/>
    <w:rsid w:val="005F26B8"/>
    <w:rsid w:val="006000BE"/>
    <w:rsid w:val="00605A2B"/>
    <w:rsid w:val="006063AB"/>
    <w:rsid w:val="00621BC3"/>
    <w:rsid w:val="0064363F"/>
    <w:rsid w:val="00650047"/>
    <w:rsid w:val="00654B6D"/>
    <w:rsid w:val="0068392C"/>
    <w:rsid w:val="006C523E"/>
    <w:rsid w:val="00711133"/>
    <w:rsid w:val="007805DD"/>
    <w:rsid w:val="00783458"/>
    <w:rsid w:val="00783D21"/>
    <w:rsid w:val="00791670"/>
    <w:rsid w:val="0079309F"/>
    <w:rsid w:val="00793DB4"/>
    <w:rsid w:val="007A7A48"/>
    <w:rsid w:val="007C6A95"/>
    <w:rsid w:val="007D511D"/>
    <w:rsid w:val="007E07D2"/>
    <w:rsid w:val="007F0788"/>
    <w:rsid w:val="00806A93"/>
    <w:rsid w:val="008131A5"/>
    <w:rsid w:val="008202D8"/>
    <w:rsid w:val="00825136"/>
    <w:rsid w:val="0083007D"/>
    <w:rsid w:val="00830E24"/>
    <w:rsid w:val="0084134B"/>
    <w:rsid w:val="00847447"/>
    <w:rsid w:val="00852EFD"/>
    <w:rsid w:val="00876FF6"/>
    <w:rsid w:val="008801C9"/>
    <w:rsid w:val="008D6AE3"/>
    <w:rsid w:val="008E02D8"/>
    <w:rsid w:val="00905A7A"/>
    <w:rsid w:val="00910587"/>
    <w:rsid w:val="0093161A"/>
    <w:rsid w:val="00942C74"/>
    <w:rsid w:val="00942ED3"/>
    <w:rsid w:val="009874C7"/>
    <w:rsid w:val="00997A66"/>
    <w:rsid w:val="009C4290"/>
    <w:rsid w:val="009C5A9F"/>
    <w:rsid w:val="009F4575"/>
    <w:rsid w:val="00A01543"/>
    <w:rsid w:val="00A05F50"/>
    <w:rsid w:val="00A06ABB"/>
    <w:rsid w:val="00A65AC1"/>
    <w:rsid w:val="00A674A7"/>
    <w:rsid w:val="00A942D4"/>
    <w:rsid w:val="00AA4C3D"/>
    <w:rsid w:val="00AC2EC7"/>
    <w:rsid w:val="00AD0950"/>
    <w:rsid w:val="00AD16DA"/>
    <w:rsid w:val="00AD7F6A"/>
    <w:rsid w:val="00AE25A5"/>
    <w:rsid w:val="00AF1CDD"/>
    <w:rsid w:val="00AF2702"/>
    <w:rsid w:val="00B27561"/>
    <w:rsid w:val="00B30809"/>
    <w:rsid w:val="00B43A27"/>
    <w:rsid w:val="00B46DE7"/>
    <w:rsid w:val="00B47843"/>
    <w:rsid w:val="00B7058C"/>
    <w:rsid w:val="00BA041C"/>
    <w:rsid w:val="00BB284F"/>
    <w:rsid w:val="00BF05AA"/>
    <w:rsid w:val="00BF6520"/>
    <w:rsid w:val="00C00BA7"/>
    <w:rsid w:val="00C22642"/>
    <w:rsid w:val="00C25590"/>
    <w:rsid w:val="00C40450"/>
    <w:rsid w:val="00C40DDB"/>
    <w:rsid w:val="00C43361"/>
    <w:rsid w:val="00C74D1C"/>
    <w:rsid w:val="00C92886"/>
    <w:rsid w:val="00CD48B6"/>
    <w:rsid w:val="00CD7BB7"/>
    <w:rsid w:val="00CE1E58"/>
    <w:rsid w:val="00CE636C"/>
    <w:rsid w:val="00D153FE"/>
    <w:rsid w:val="00D32B47"/>
    <w:rsid w:val="00D37ABE"/>
    <w:rsid w:val="00D60B2D"/>
    <w:rsid w:val="00D60BE0"/>
    <w:rsid w:val="00D6252E"/>
    <w:rsid w:val="00D92337"/>
    <w:rsid w:val="00D97B6F"/>
    <w:rsid w:val="00DA1188"/>
    <w:rsid w:val="00DA1EC3"/>
    <w:rsid w:val="00DB0A97"/>
    <w:rsid w:val="00DB7AD2"/>
    <w:rsid w:val="00DC710C"/>
    <w:rsid w:val="00DD61E1"/>
    <w:rsid w:val="00DF61BC"/>
    <w:rsid w:val="00E055A8"/>
    <w:rsid w:val="00E07F93"/>
    <w:rsid w:val="00E13A99"/>
    <w:rsid w:val="00E2048D"/>
    <w:rsid w:val="00E403E1"/>
    <w:rsid w:val="00E44D6E"/>
    <w:rsid w:val="00E46352"/>
    <w:rsid w:val="00E600EF"/>
    <w:rsid w:val="00E60ADB"/>
    <w:rsid w:val="00E63A12"/>
    <w:rsid w:val="00E733A6"/>
    <w:rsid w:val="00EA053E"/>
    <w:rsid w:val="00EE11E7"/>
    <w:rsid w:val="00EE5A91"/>
    <w:rsid w:val="00F26E08"/>
    <w:rsid w:val="00F31BBD"/>
    <w:rsid w:val="00F34B47"/>
    <w:rsid w:val="00F46494"/>
    <w:rsid w:val="00F715B9"/>
    <w:rsid w:val="00FA7360"/>
    <w:rsid w:val="00FB6438"/>
    <w:rsid w:val="00FC3302"/>
    <w:rsid w:val="00FF33A0"/>
    <w:rsid w:val="010D25F5"/>
    <w:rsid w:val="017E0229"/>
    <w:rsid w:val="01C810E5"/>
    <w:rsid w:val="027C6FAE"/>
    <w:rsid w:val="02816971"/>
    <w:rsid w:val="04024DF9"/>
    <w:rsid w:val="043D129E"/>
    <w:rsid w:val="045478D2"/>
    <w:rsid w:val="048F6855"/>
    <w:rsid w:val="05520476"/>
    <w:rsid w:val="05A04719"/>
    <w:rsid w:val="05F174D2"/>
    <w:rsid w:val="064C7A9D"/>
    <w:rsid w:val="065A4696"/>
    <w:rsid w:val="06CA49C6"/>
    <w:rsid w:val="079F7A46"/>
    <w:rsid w:val="07FA502D"/>
    <w:rsid w:val="08225DC3"/>
    <w:rsid w:val="08351F21"/>
    <w:rsid w:val="085F6E6E"/>
    <w:rsid w:val="08753289"/>
    <w:rsid w:val="089241BA"/>
    <w:rsid w:val="08B05B35"/>
    <w:rsid w:val="09D94767"/>
    <w:rsid w:val="0A08570A"/>
    <w:rsid w:val="0B6F19C7"/>
    <w:rsid w:val="0BA2246E"/>
    <w:rsid w:val="0BB82A74"/>
    <w:rsid w:val="0BDA18B5"/>
    <w:rsid w:val="0C550BE2"/>
    <w:rsid w:val="0C900EA0"/>
    <w:rsid w:val="0CB156F4"/>
    <w:rsid w:val="0D2A076C"/>
    <w:rsid w:val="0D6471E1"/>
    <w:rsid w:val="0E8B360C"/>
    <w:rsid w:val="0F054CE5"/>
    <w:rsid w:val="0F2363C7"/>
    <w:rsid w:val="1071772E"/>
    <w:rsid w:val="12511951"/>
    <w:rsid w:val="12D2359A"/>
    <w:rsid w:val="14743D9D"/>
    <w:rsid w:val="15CD1557"/>
    <w:rsid w:val="164B1551"/>
    <w:rsid w:val="16D84FA2"/>
    <w:rsid w:val="171C5A20"/>
    <w:rsid w:val="18077B9D"/>
    <w:rsid w:val="18121718"/>
    <w:rsid w:val="18412D30"/>
    <w:rsid w:val="18894EAF"/>
    <w:rsid w:val="188D0F62"/>
    <w:rsid w:val="18CB70EA"/>
    <w:rsid w:val="18E62C60"/>
    <w:rsid w:val="196108E6"/>
    <w:rsid w:val="1B117DBF"/>
    <w:rsid w:val="1B4B7229"/>
    <w:rsid w:val="1B546FED"/>
    <w:rsid w:val="1B9249BC"/>
    <w:rsid w:val="1BAB1952"/>
    <w:rsid w:val="1D253284"/>
    <w:rsid w:val="1E350A4F"/>
    <w:rsid w:val="1EC2044F"/>
    <w:rsid w:val="1F7118BB"/>
    <w:rsid w:val="1F9263C9"/>
    <w:rsid w:val="2149687B"/>
    <w:rsid w:val="223936D1"/>
    <w:rsid w:val="23461A83"/>
    <w:rsid w:val="236C0B92"/>
    <w:rsid w:val="23902CB9"/>
    <w:rsid w:val="246A2D91"/>
    <w:rsid w:val="24E95E7C"/>
    <w:rsid w:val="262954EC"/>
    <w:rsid w:val="26DA230B"/>
    <w:rsid w:val="280C23A9"/>
    <w:rsid w:val="28BC137F"/>
    <w:rsid w:val="29B34917"/>
    <w:rsid w:val="2A8E1BA7"/>
    <w:rsid w:val="2AC349F7"/>
    <w:rsid w:val="2B8A3338"/>
    <w:rsid w:val="2C5A4006"/>
    <w:rsid w:val="2C602AC9"/>
    <w:rsid w:val="2E687170"/>
    <w:rsid w:val="2FBF7447"/>
    <w:rsid w:val="300A4152"/>
    <w:rsid w:val="30590FCA"/>
    <w:rsid w:val="32E26DE1"/>
    <w:rsid w:val="33BB11E2"/>
    <w:rsid w:val="33F55F96"/>
    <w:rsid w:val="347A6BBB"/>
    <w:rsid w:val="34F9613B"/>
    <w:rsid w:val="360D66C5"/>
    <w:rsid w:val="36105C1B"/>
    <w:rsid w:val="36A65CE3"/>
    <w:rsid w:val="376936ED"/>
    <w:rsid w:val="37C11B3C"/>
    <w:rsid w:val="38681D78"/>
    <w:rsid w:val="38F0645D"/>
    <w:rsid w:val="38F53D91"/>
    <w:rsid w:val="397E4295"/>
    <w:rsid w:val="398B46CC"/>
    <w:rsid w:val="3A770178"/>
    <w:rsid w:val="3AAC4DC1"/>
    <w:rsid w:val="3ADF427A"/>
    <w:rsid w:val="3B4B73F9"/>
    <w:rsid w:val="3BED0EFD"/>
    <w:rsid w:val="3C42272E"/>
    <w:rsid w:val="3C5F5BE3"/>
    <w:rsid w:val="3D2168BE"/>
    <w:rsid w:val="3E646E81"/>
    <w:rsid w:val="3ED85D07"/>
    <w:rsid w:val="3F04397C"/>
    <w:rsid w:val="3FE3521B"/>
    <w:rsid w:val="3FFD4513"/>
    <w:rsid w:val="40C67C7B"/>
    <w:rsid w:val="40E96CDB"/>
    <w:rsid w:val="4190222B"/>
    <w:rsid w:val="41C73DB9"/>
    <w:rsid w:val="43017649"/>
    <w:rsid w:val="44BF4DC0"/>
    <w:rsid w:val="450140CF"/>
    <w:rsid w:val="45033C75"/>
    <w:rsid w:val="45820F01"/>
    <w:rsid w:val="45CC78E7"/>
    <w:rsid w:val="45FE1A30"/>
    <w:rsid w:val="46EF5638"/>
    <w:rsid w:val="47CE312B"/>
    <w:rsid w:val="47EA2A62"/>
    <w:rsid w:val="481A3F51"/>
    <w:rsid w:val="48AB73FA"/>
    <w:rsid w:val="48F92D60"/>
    <w:rsid w:val="494F64CE"/>
    <w:rsid w:val="49E47F26"/>
    <w:rsid w:val="4A836CC6"/>
    <w:rsid w:val="4AE07429"/>
    <w:rsid w:val="4BEE4B74"/>
    <w:rsid w:val="4C056702"/>
    <w:rsid w:val="4C3565FB"/>
    <w:rsid w:val="4DFB526D"/>
    <w:rsid w:val="4E1F0AA8"/>
    <w:rsid w:val="4EBA108C"/>
    <w:rsid w:val="4ED865A9"/>
    <w:rsid w:val="4ED9253B"/>
    <w:rsid w:val="4FED2588"/>
    <w:rsid w:val="50494360"/>
    <w:rsid w:val="51251078"/>
    <w:rsid w:val="519337FD"/>
    <w:rsid w:val="51E03A51"/>
    <w:rsid w:val="51ED6F85"/>
    <w:rsid w:val="520A0F33"/>
    <w:rsid w:val="524507AF"/>
    <w:rsid w:val="5305384C"/>
    <w:rsid w:val="53F2415E"/>
    <w:rsid w:val="55266685"/>
    <w:rsid w:val="56797C83"/>
    <w:rsid w:val="56E613FE"/>
    <w:rsid w:val="56FB687A"/>
    <w:rsid w:val="57A94E5E"/>
    <w:rsid w:val="57EB3263"/>
    <w:rsid w:val="58422195"/>
    <w:rsid w:val="58684F9F"/>
    <w:rsid w:val="5909431D"/>
    <w:rsid w:val="592C06DB"/>
    <w:rsid w:val="5A234110"/>
    <w:rsid w:val="5A450612"/>
    <w:rsid w:val="5B013997"/>
    <w:rsid w:val="5C1D0F61"/>
    <w:rsid w:val="5DF21E5A"/>
    <w:rsid w:val="5E9E645E"/>
    <w:rsid w:val="5EDA59E3"/>
    <w:rsid w:val="5F483479"/>
    <w:rsid w:val="5FBC66C7"/>
    <w:rsid w:val="5FCD4C54"/>
    <w:rsid w:val="5FD54664"/>
    <w:rsid w:val="5FEF7D5F"/>
    <w:rsid w:val="601C3A19"/>
    <w:rsid w:val="61576502"/>
    <w:rsid w:val="62237700"/>
    <w:rsid w:val="62745786"/>
    <w:rsid w:val="63743B16"/>
    <w:rsid w:val="649964D3"/>
    <w:rsid w:val="64D55764"/>
    <w:rsid w:val="663630F0"/>
    <w:rsid w:val="66BE0715"/>
    <w:rsid w:val="66DE14AF"/>
    <w:rsid w:val="674B2695"/>
    <w:rsid w:val="675D32CB"/>
    <w:rsid w:val="67C14846"/>
    <w:rsid w:val="68574470"/>
    <w:rsid w:val="695842BC"/>
    <w:rsid w:val="695E17C6"/>
    <w:rsid w:val="69D9569E"/>
    <w:rsid w:val="6AC30DC6"/>
    <w:rsid w:val="6B3936ED"/>
    <w:rsid w:val="6B613F8A"/>
    <w:rsid w:val="6BC2220C"/>
    <w:rsid w:val="6C0F047D"/>
    <w:rsid w:val="6CDC31D4"/>
    <w:rsid w:val="6D145DBE"/>
    <w:rsid w:val="6D937318"/>
    <w:rsid w:val="6DBA445D"/>
    <w:rsid w:val="6E710D9D"/>
    <w:rsid w:val="6EAB76A6"/>
    <w:rsid w:val="6F413CBF"/>
    <w:rsid w:val="6F7A2279"/>
    <w:rsid w:val="6FF02BEF"/>
    <w:rsid w:val="6FFB032E"/>
    <w:rsid w:val="705D2411"/>
    <w:rsid w:val="706D4EC0"/>
    <w:rsid w:val="70CF614B"/>
    <w:rsid w:val="71475282"/>
    <w:rsid w:val="718C11BA"/>
    <w:rsid w:val="719512DC"/>
    <w:rsid w:val="71D815ED"/>
    <w:rsid w:val="72F1771B"/>
    <w:rsid w:val="741F2C8E"/>
    <w:rsid w:val="74960249"/>
    <w:rsid w:val="750470E1"/>
    <w:rsid w:val="75421892"/>
    <w:rsid w:val="756F1B79"/>
    <w:rsid w:val="75D42B8E"/>
    <w:rsid w:val="75F42DBB"/>
    <w:rsid w:val="75F657C9"/>
    <w:rsid w:val="77A15128"/>
    <w:rsid w:val="78021994"/>
    <w:rsid w:val="780956E0"/>
    <w:rsid w:val="78AF3CF2"/>
    <w:rsid w:val="7941585F"/>
    <w:rsid w:val="79AF6455"/>
    <w:rsid w:val="7A6157CC"/>
    <w:rsid w:val="7AB949FD"/>
    <w:rsid w:val="7AC86F5F"/>
    <w:rsid w:val="7B2000AC"/>
    <w:rsid w:val="7BC32AF3"/>
    <w:rsid w:val="7C4B45A2"/>
    <w:rsid w:val="7D0663F1"/>
    <w:rsid w:val="7D236509"/>
    <w:rsid w:val="7EBF17B0"/>
    <w:rsid w:val="7ED06AD2"/>
    <w:rsid w:val="7EDB5DEB"/>
    <w:rsid w:val="7F192C0D"/>
    <w:rsid w:val="7F715C78"/>
    <w:rsid w:val="7F82447F"/>
    <w:rsid w:val="7FD129D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3">
    <w:name w:val="heading 1"/>
    <w:basedOn w:val="4"/>
    <w:next w:val="5"/>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6">
    <w:name w:val="heading 2"/>
    <w:basedOn w:val="1"/>
    <w:next w:val="7"/>
    <w:qFormat/>
    <w:uiPriority w:val="0"/>
    <w:pPr>
      <w:keepNext/>
      <w:keepLines/>
      <w:numPr>
        <w:ilvl w:val="1"/>
        <w:numId w:val="0"/>
      </w:numPr>
      <w:spacing w:before="240" w:after="120" w:line="360" w:lineRule="auto"/>
      <w:ind w:left="454" w:hanging="454"/>
      <w:outlineLvl w:val="1"/>
    </w:pPr>
    <w:rPr>
      <w:rFonts w:ascii="Arial" w:hAnsi="Arial"/>
      <w:b/>
      <w:color w:val="000000"/>
      <w:sz w:val="24"/>
      <w:szCs w:val="24"/>
    </w:rPr>
  </w:style>
  <w:style w:type="paragraph" w:styleId="8">
    <w:name w:val="heading 3"/>
    <w:basedOn w:val="1"/>
    <w:next w:val="7"/>
    <w:qFormat/>
    <w:uiPriority w:val="0"/>
    <w:pPr>
      <w:keepNext/>
      <w:keepLines/>
      <w:spacing w:before="156" w:beforeLines="50" w:after="156" w:afterLines="50" w:line="360" w:lineRule="auto"/>
      <w:jc w:val="center"/>
      <w:outlineLvl w:val="2"/>
    </w:pPr>
    <w:rPr>
      <w:b/>
      <w:sz w:val="24"/>
      <w:szCs w:val="24"/>
    </w:rPr>
  </w:style>
  <w:style w:type="paragraph" w:styleId="9">
    <w:name w:val="heading 4"/>
    <w:basedOn w:val="8"/>
    <w:next w:val="7"/>
    <w:qFormat/>
    <w:uiPriority w:val="0"/>
    <w:pPr>
      <w:numPr>
        <w:ilvl w:val="3"/>
        <w:numId w:val="1"/>
      </w:numPr>
      <w:outlineLvl w:val="3"/>
    </w:pPr>
    <w:rPr>
      <w:rFonts w:ascii="Arial" w:hAnsi="Arial"/>
      <w:b w:val="0"/>
    </w:rPr>
  </w:style>
  <w:style w:type="paragraph" w:styleId="10">
    <w:name w:val="heading 5"/>
    <w:basedOn w:val="9"/>
    <w:next w:val="7"/>
    <w:qFormat/>
    <w:uiPriority w:val="0"/>
    <w:pPr>
      <w:numPr>
        <w:ilvl w:val="4"/>
        <w:numId w:val="1"/>
      </w:numPr>
      <w:spacing w:line="240" w:lineRule="exact"/>
      <w:outlineLvl w:val="4"/>
    </w:pPr>
  </w:style>
  <w:style w:type="paragraph" w:styleId="11">
    <w:name w:val="heading 6"/>
    <w:basedOn w:val="1"/>
    <w:next w:val="1"/>
    <w:qFormat/>
    <w:uiPriority w:val="0"/>
    <w:pPr>
      <w:keepNext/>
      <w:keepLines/>
      <w:numPr>
        <w:ilvl w:val="5"/>
        <w:numId w:val="2"/>
      </w:numPr>
      <w:spacing w:before="240" w:after="64" w:line="320" w:lineRule="auto"/>
      <w:outlineLvl w:val="5"/>
    </w:pPr>
    <w:rPr>
      <w:rFonts w:ascii="Arial" w:hAnsi="Arial" w:eastAsia="黑体"/>
      <w:b/>
      <w:bCs/>
      <w:sz w:val="24"/>
      <w:szCs w:val="24"/>
    </w:rPr>
  </w:style>
  <w:style w:type="paragraph" w:styleId="12">
    <w:name w:val="heading 7"/>
    <w:basedOn w:val="1"/>
    <w:next w:val="7"/>
    <w:qFormat/>
    <w:uiPriority w:val="0"/>
    <w:pPr>
      <w:keepNext/>
      <w:keepLines/>
      <w:numPr>
        <w:ilvl w:val="6"/>
        <w:numId w:val="1"/>
      </w:numPr>
      <w:spacing w:before="240" w:after="64" w:line="320" w:lineRule="auto"/>
      <w:outlineLvl w:val="6"/>
    </w:pPr>
    <w:rPr>
      <w:b/>
      <w:sz w:val="24"/>
    </w:rPr>
  </w:style>
  <w:style w:type="paragraph" w:styleId="13">
    <w:name w:val="heading 8"/>
    <w:basedOn w:val="1"/>
    <w:next w:val="7"/>
    <w:qFormat/>
    <w:uiPriority w:val="0"/>
    <w:pPr>
      <w:keepNext/>
      <w:keepLines/>
      <w:numPr>
        <w:ilvl w:val="7"/>
        <w:numId w:val="1"/>
      </w:numPr>
      <w:spacing w:before="240" w:after="64" w:line="320" w:lineRule="auto"/>
      <w:outlineLvl w:val="7"/>
    </w:pPr>
    <w:rPr>
      <w:rFonts w:ascii="Arial" w:hAnsi="Arial" w:eastAsia="黑体"/>
      <w:sz w:val="24"/>
    </w:rPr>
  </w:style>
  <w:style w:type="paragraph" w:styleId="14">
    <w:name w:val="heading 9"/>
    <w:basedOn w:val="1"/>
    <w:next w:val="7"/>
    <w:qFormat/>
    <w:uiPriority w:val="0"/>
    <w:pPr>
      <w:keepNext/>
      <w:keepLines/>
      <w:numPr>
        <w:ilvl w:val="8"/>
        <w:numId w:val="1"/>
      </w:numPr>
      <w:spacing w:before="240" w:after="64" w:line="320" w:lineRule="auto"/>
      <w:outlineLvl w:val="8"/>
    </w:pPr>
    <w:rPr>
      <w:rFonts w:ascii="Arial" w:hAnsi="Arial" w:eastAsia="黑体"/>
    </w:rPr>
  </w:style>
  <w:style w:type="character" w:default="1" w:styleId="37">
    <w:name w:val="Default Paragraph Font"/>
    <w:semiHidden/>
    <w:uiPriority w:val="0"/>
  </w:style>
  <w:style w:type="table" w:default="1" w:styleId="35">
    <w:name w:val="Normal Table"/>
    <w:semiHidden/>
    <w:uiPriority w:val="0"/>
    <w:tblPr>
      <w:tblStyle w:val="35"/>
      <w:tblCellMar>
        <w:top w:w="0" w:type="dxa"/>
        <w:left w:w="108" w:type="dxa"/>
        <w:bottom w:w="0" w:type="dxa"/>
        <w:right w:w="108" w:type="dxa"/>
      </w:tblCellMar>
    </w:tblPr>
  </w:style>
  <w:style w:type="paragraph" w:styleId="2">
    <w:name w:val="Body Text"/>
    <w:basedOn w:val="1"/>
    <w:uiPriority w:val="0"/>
    <w:pPr>
      <w:jc w:val="center"/>
    </w:pPr>
    <w:rPr>
      <w:sz w:val="28"/>
    </w:rPr>
  </w:style>
  <w:style w:type="paragraph" w:styleId="4">
    <w:name w:val="Title"/>
    <w:basedOn w:val="1"/>
    <w:qFormat/>
    <w:uiPriority w:val="0"/>
    <w:pPr>
      <w:spacing w:before="120" w:after="60" w:line="440" w:lineRule="exact"/>
      <w:jc w:val="center"/>
    </w:pPr>
    <w:rPr>
      <w:rFonts w:ascii="宋体" w:hAnsi="宋体"/>
      <w:bCs/>
      <w:color w:val="FF0000"/>
    </w:rPr>
  </w:style>
  <w:style w:type="paragraph" w:styleId="5">
    <w:name w:val="Body Text First Indent"/>
    <w:basedOn w:val="2"/>
    <w:uiPriority w:val="0"/>
    <w:pPr>
      <w:spacing w:after="120"/>
      <w:ind w:firstLine="420"/>
      <w:jc w:val="both"/>
    </w:pPr>
    <w:rPr>
      <w:sz w:val="21"/>
    </w:rPr>
  </w:style>
  <w:style w:type="paragraph" w:styleId="7">
    <w:name w:val="Normal Indent"/>
    <w:basedOn w:val="1"/>
    <w:uiPriority w:val="0"/>
    <w:pPr>
      <w:ind w:firstLine="420"/>
    </w:pPr>
  </w:style>
  <w:style w:type="paragraph" w:styleId="15">
    <w:name w:val="caption"/>
    <w:basedOn w:val="1"/>
    <w:next w:val="1"/>
    <w:qFormat/>
    <w:uiPriority w:val="0"/>
    <w:rPr>
      <w:rFonts w:ascii="Cambria" w:hAnsi="Cambria" w:eastAsia="黑体" w:cs="Times New Roman"/>
      <w:sz w:val="20"/>
    </w:rPr>
  </w:style>
  <w:style w:type="paragraph" w:styleId="16">
    <w:name w:val="Document Map"/>
    <w:basedOn w:val="1"/>
    <w:semiHidden/>
    <w:uiPriority w:val="0"/>
    <w:pPr>
      <w:shd w:val="clear" w:color="auto" w:fill="000080"/>
    </w:pPr>
  </w:style>
  <w:style w:type="paragraph" w:styleId="17">
    <w:name w:val="annotation text"/>
    <w:basedOn w:val="1"/>
    <w:semiHidden/>
    <w:uiPriority w:val="0"/>
    <w:pPr>
      <w:jc w:val="left"/>
    </w:pPr>
  </w:style>
  <w:style w:type="paragraph" w:styleId="18">
    <w:name w:val="Body Text Indent"/>
    <w:basedOn w:val="1"/>
    <w:uiPriority w:val="0"/>
    <w:pPr>
      <w:ind w:firstLine="570"/>
    </w:pPr>
    <w:rPr>
      <w:sz w:val="28"/>
    </w:rPr>
  </w:style>
  <w:style w:type="paragraph" w:styleId="19">
    <w:name w:val="List 2"/>
    <w:basedOn w:val="1"/>
    <w:uiPriority w:val="0"/>
    <w:pPr>
      <w:autoSpaceDE w:val="0"/>
      <w:autoSpaceDN w:val="0"/>
      <w:adjustRightInd w:val="0"/>
      <w:spacing w:line="315" w:lineRule="atLeast"/>
      <w:ind w:leftChars="200" w:hanging="200" w:hangingChars="200"/>
      <w:jc w:val="left"/>
    </w:pPr>
    <w:rPr>
      <w:rFonts w:hint="eastAsia" w:ascii="昆仑楷体" w:eastAsia="昆仑楷体"/>
      <w:kern w:val="0"/>
      <w:sz w:val="30"/>
    </w:rPr>
  </w:style>
  <w:style w:type="paragraph" w:styleId="20">
    <w:name w:val="toc 3"/>
    <w:basedOn w:val="1"/>
    <w:next w:val="1"/>
    <w:semiHidden/>
    <w:uiPriority w:val="0"/>
    <w:pPr>
      <w:tabs>
        <w:tab w:val="right" w:leader="dot" w:pos="9060"/>
      </w:tabs>
      <w:snapToGrid w:val="0"/>
      <w:spacing w:line="360" w:lineRule="auto"/>
      <w:ind w:left="420" w:leftChars="200"/>
      <w:jc w:val="left"/>
    </w:pPr>
    <w:rPr>
      <w:sz w:val="24"/>
      <w:lang/>
    </w:rPr>
  </w:style>
  <w:style w:type="paragraph" w:styleId="21">
    <w:name w:val="Plain Text"/>
    <w:basedOn w:val="1"/>
    <w:uiPriority w:val="0"/>
    <w:rPr>
      <w:rFonts w:ascii="宋体" w:hAnsi="Courier New"/>
    </w:rPr>
  </w:style>
  <w:style w:type="paragraph" w:styleId="22">
    <w:name w:val="Date"/>
    <w:basedOn w:val="1"/>
    <w:next w:val="1"/>
    <w:uiPriority w:val="0"/>
  </w:style>
  <w:style w:type="paragraph" w:styleId="23">
    <w:name w:val="Body Text Indent 2"/>
    <w:basedOn w:val="1"/>
    <w:uiPriority w:val="0"/>
    <w:pPr>
      <w:spacing w:line="400" w:lineRule="exact"/>
      <w:ind w:left="425"/>
    </w:pPr>
    <w:rPr>
      <w:color w:val="000000"/>
      <w:sz w:val="24"/>
    </w:rPr>
  </w:style>
  <w:style w:type="paragraph" w:styleId="24">
    <w:name w:val="endnote text"/>
    <w:basedOn w:val="1"/>
    <w:semiHidden/>
    <w:uiPriority w:val="0"/>
    <w:pPr>
      <w:snapToGrid w:val="0"/>
      <w:jc w:val="left"/>
    </w:pPr>
  </w:style>
  <w:style w:type="paragraph" w:styleId="25">
    <w:name w:val="Balloon Text"/>
    <w:basedOn w:val="1"/>
    <w:semiHidden/>
    <w:uiPriority w:val="0"/>
    <w:rPr>
      <w:sz w:val="18"/>
      <w:szCs w:val="18"/>
    </w:rPr>
  </w:style>
  <w:style w:type="paragraph" w:styleId="26">
    <w:name w:val="footer"/>
    <w:basedOn w:val="1"/>
    <w:uiPriority w:val="0"/>
    <w:pPr>
      <w:tabs>
        <w:tab w:val="center" w:pos="4153"/>
        <w:tab w:val="right" w:pos="8306"/>
      </w:tabs>
      <w:snapToGrid w:val="0"/>
      <w:jc w:val="left"/>
    </w:pPr>
    <w:rPr>
      <w:sz w:val="18"/>
    </w:rPr>
  </w:style>
  <w:style w:type="paragraph" w:styleId="27">
    <w:name w:val="header"/>
    <w:basedOn w:val="1"/>
    <w:uiPriority w:val="0"/>
    <w:pPr>
      <w:pBdr>
        <w:bottom w:val="single" w:color="auto" w:sz="6" w:space="1"/>
      </w:pBdr>
      <w:tabs>
        <w:tab w:val="center" w:pos="4153"/>
        <w:tab w:val="right" w:pos="8306"/>
      </w:tabs>
      <w:snapToGrid w:val="0"/>
      <w:jc w:val="center"/>
    </w:pPr>
    <w:rPr>
      <w:sz w:val="18"/>
    </w:rPr>
  </w:style>
  <w:style w:type="paragraph" w:styleId="28">
    <w:name w:val="toc 1"/>
    <w:basedOn w:val="1"/>
    <w:next w:val="1"/>
    <w:semiHidden/>
    <w:uiPriority w:val="0"/>
    <w:pPr>
      <w:adjustRightInd w:val="0"/>
      <w:spacing w:line="360" w:lineRule="auto"/>
      <w:jc w:val="left"/>
      <w:textAlignment w:val="baseline"/>
    </w:pPr>
    <w:rPr>
      <w:rFonts w:ascii="宋体" w:hAnsi="宋体"/>
      <w:caps/>
      <w:kern w:val="0"/>
      <w:sz w:val="24"/>
      <w:szCs w:val="32"/>
    </w:rPr>
  </w:style>
  <w:style w:type="paragraph" w:styleId="29">
    <w:name w:val="footnote text"/>
    <w:basedOn w:val="1"/>
    <w:semiHidden/>
    <w:uiPriority w:val="0"/>
    <w:pPr>
      <w:snapToGrid w:val="0"/>
      <w:jc w:val="left"/>
    </w:pPr>
    <w:rPr>
      <w:sz w:val="18"/>
    </w:rPr>
  </w:style>
  <w:style w:type="paragraph" w:styleId="30">
    <w:name w:val="Body Text Indent 3"/>
    <w:basedOn w:val="1"/>
    <w:uiPriority w:val="0"/>
    <w:pPr>
      <w:numPr>
        <w:ilvl w:val="1"/>
        <w:numId w:val="0"/>
      </w:numPr>
      <w:tabs>
        <w:tab w:val="left" w:pos="0"/>
      </w:tabs>
      <w:spacing w:line="400" w:lineRule="exact"/>
      <w:ind w:left="563" w:leftChars="228" w:hanging="84" w:hangingChars="35"/>
    </w:pPr>
    <w:rPr>
      <w:color w:val="000000"/>
      <w:sz w:val="24"/>
    </w:rPr>
  </w:style>
  <w:style w:type="paragraph" w:styleId="31">
    <w:name w:val="toc 2"/>
    <w:basedOn w:val="1"/>
    <w:next w:val="1"/>
    <w:semiHidden/>
    <w:uiPriority w:val="0"/>
    <w:pPr>
      <w:tabs>
        <w:tab w:val="right" w:leader="dot" w:pos="9060"/>
      </w:tabs>
      <w:snapToGrid w:val="0"/>
      <w:spacing w:line="360" w:lineRule="auto"/>
      <w:ind w:left="420" w:leftChars="200"/>
      <w:jc w:val="left"/>
    </w:pPr>
    <w:rPr>
      <w:sz w:val="24"/>
      <w:szCs w:val="24"/>
      <w:lang/>
    </w:rPr>
  </w:style>
  <w:style w:type="paragraph" w:styleId="32">
    <w:name w:val="Body Text 2"/>
    <w:basedOn w:val="1"/>
    <w:uiPriority w:val="0"/>
    <w:rPr>
      <w:rFonts w:ascii="宋体" w:hAnsi="宋体"/>
      <w:szCs w:val="24"/>
      <w:u w:val="single"/>
    </w:rPr>
  </w:style>
  <w:style w:type="paragraph" w:styleId="33">
    <w:name w:val="index 1"/>
    <w:basedOn w:val="1"/>
    <w:next w:val="1"/>
    <w:semiHidden/>
    <w:uiPriority w:val="0"/>
    <w:rPr>
      <w:rFonts w:eastAsia="仿宋_GB2312"/>
      <w:sz w:val="28"/>
    </w:rPr>
  </w:style>
  <w:style w:type="paragraph" w:styleId="34">
    <w:name w:val="annotation subject"/>
    <w:basedOn w:val="17"/>
    <w:next w:val="17"/>
    <w:semiHidden/>
    <w:uiPriority w:val="0"/>
    <w:rPr>
      <w:b/>
      <w:bCs/>
    </w:rPr>
  </w:style>
  <w:style w:type="table" w:styleId="36">
    <w:name w:val="Table Grid"/>
    <w:basedOn w:val="35"/>
    <w:qFormat/>
    <w:uiPriority w:val="0"/>
    <w:pPr>
      <w:widowControl w:val="0"/>
      <w:jc w:val="both"/>
    </w:pPr>
    <w:tblPr>
      <w:tblStyle w:val="3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b/>
      <w:bCs/>
    </w:rPr>
  </w:style>
  <w:style w:type="character" w:styleId="39">
    <w:name w:val="endnote reference"/>
    <w:semiHidden/>
    <w:uiPriority w:val="0"/>
    <w:rPr>
      <w:vertAlign w:val="superscript"/>
    </w:rPr>
  </w:style>
  <w:style w:type="character" w:styleId="40">
    <w:name w:val="page number"/>
    <w:basedOn w:val="37"/>
    <w:uiPriority w:val="0"/>
  </w:style>
  <w:style w:type="character" w:styleId="41">
    <w:name w:val="FollowedHyperlink"/>
    <w:uiPriority w:val="0"/>
    <w:rPr>
      <w:color w:val="800080"/>
      <w:u w:val="single"/>
    </w:rPr>
  </w:style>
  <w:style w:type="character" w:styleId="42">
    <w:name w:val="Emphasis"/>
    <w:qFormat/>
    <w:uiPriority w:val="0"/>
    <w:rPr>
      <w:color w:val="CC0033"/>
    </w:rPr>
  </w:style>
  <w:style w:type="character" w:styleId="43">
    <w:name w:val="Hyperlink"/>
    <w:uiPriority w:val="0"/>
    <w:rPr>
      <w:color w:val="0000FF"/>
      <w:u w:val="single"/>
    </w:rPr>
  </w:style>
  <w:style w:type="character" w:styleId="44">
    <w:name w:val="annotation reference"/>
    <w:semiHidden/>
    <w:uiPriority w:val="0"/>
    <w:rPr>
      <w:sz w:val="21"/>
      <w:szCs w:val="21"/>
    </w:rPr>
  </w:style>
  <w:style w:type="character" w:styleId="45">
    <w:name w:val="footnote reference"/>
    <w:semiHidden/>
    <w:uiPriority w:val="0"/>
    <w:rPr>
      <w:vertAlign w:val="superscript"/>
    </w:rPr>
  </w:style>
  <w:style w:type="character" w:customStyle="1" w:styleId="46">
    <w:name w:val="标题 Char"/>
    <w:uiPriority w:val="0"/>
    <w:rPr>
      <w:rFonts w:ascii="Arial" w:hAnsi="Arial" w:eastAsia="宋体"/>
      <w:b/>
      <w:kern w:val="2"/>
      <w:sz w:val="44"/>
      <w:lang w:val="en-US" w:eastAsia="zh-CN" w:bidi="ar-SA"/>
    </w:rPr>
  </w:style>
  <w:style w:type="character" w:customStyle="1" w:styleId="47">
    <w:name w:val="标题 1 Char"/>
    <w:uiPriority w:val="0"/>
    <w:rPr>
      <w:rFonts w:ascii="Arial" w:hAnsi="Arial" w:eastAsia="宋体"/>
      <w:bCs/>
      <w:kern w:val="44"/>
      <w:sz w:val="36"/>
      <w:szCs w:val="36"/>
      <w:lang w:val="en-US" w:eastAsia="zh-CN" w:bidi="ar-SA"/>
    </w:rPr>
  </w:style>
  <w:style w:type="paragraph" w:customStyle="1" w:styleId="48">
    <w:name w:val="表头"/>
    <w:basedOn w:val="1"/>
    <w:uiPriority w:val="0"/>
    <w:pPr>
      <w:spacing w:line="360" w:lineRule="auto"/>
      <w:jc w:val="center"/>
    </w:pPr>
    <w:rPr>
      <w:rFonts w:ascii="黑体" w:eastAsia="黑体"/>
      <w:kern w:val="0"/>
      <w:sz w:val="24"/>
    </w:rPr>
  </w:style>
  <w:style w:type="paragraph" w:customStyle="1" w:styleId="49">
    <w:name w:val="Blockquote"/>
    <w:basedOn w:val="1"/>
    <w:uiPriority w:val="0"/>
    <w:pPr>
      <w:autoSpaceDE w:val="0"/>
      <w:autoSpaceDN w:val="0"/>
      <w:adjustRightInd w:val="0"/>
      <w:spacing w:before="100" w:after="100"/>
      <w:ind w:left="360" w:right="36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3767</Words>
  <Characters>3771</Characters>
  <Lines>24</Lines>
  <Paragraphs>6</Paragraphs>
  <TotalTime>31</TotalTime>
  <ScaleCrop>false</ScaleCrop>
  <LinksUpToDate>false</LinksUpToDate>
  <CharactersWithSpaces>4119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2019-04-11T08:17:00Z</dcterms:created>
  <dc:creator>zhangsha</dc:creator>
  <cp:lastModifiedBy>黄忠应</cp:lastModifiedBy>
  <cp:lastPrinted>2012-07-04T07:31:00Z</cp:lastPrinted>
  <dcterms:modified xsi:type="dcterms:W3CDTF">2025-08-20T07:13:23Z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AF2E5124F783448EAC94468C32E42EB1_13</vt:lpwstr>
  </property>
  <property fmtid="{D5CDD505-2E9C-101B-9397-08002B2CF9AE}" pid="4" name="KSOTemplateDocerSaveRecord">
    <vt:lpwstr>eyJoZGlkIjoiMmExNDZmMWRiNWNkZjU1ZWIzNWEzMzY5NDk1MWQ1NDUiLCJ1c2VySWQiOiIxNjEyNjE5NjUwIn0=</vt:lpwstr>
  </property>
</Properties>
</file>