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仿宋" w:hAnsi="仿宋" w:eastAsia="仿宋" w:cs="仿宋"/>
          <w:b/>
          <w:bCs/>
          <w:sz w:val="44"/>
          <w:szCs w:val="44"/>
          <w:highlight w:val="none"/>
          <w:shd w:val="clear" w:color="auto" w:fill="FFFFFF"/>
        </w:rPr>
      </w:pPr>
      <w:r>
        <w:rPr>
          <w:rFonts w:hint="eastAsia" w:ascii="仿宋" w:hAnsi="仿宋" w:eastAsia="仿宋" w:cs="仿宋"/>
          <w:b/>
          <w:bCs/>
          <w:sz w:val="44"/>
          <w:szCs w:val="44"/>
          <w:highlight w:val="none"/>
          <w:shd w:val="clear" w:color="auto" w:fill="FFFFFF"/>
        </w:rPr>
        <w:t>中山花木产业大会搭建及物料采购服务</w:t>
      </w:r>
    </w:p>
    <w:p>
      <w:pPr>
        <w:spacing w:line="276" w:lineRule="auto"/>
        <w:jc w:val="center"/>
        <w:rPr>
          <w:rFonts w:hint="eastAsia" w:ascii="方正小标宋简体" w:hAnsi="方正小标宋简体" w:eastAsia="方正小标宋简体" w:cs="方正小标宋简体"/>
          <w:color w:val="000000"/>
          <w:spacing w:val="40"/>
          <w:sz w:val="96"/>
          <w:szCs w:val="96"/>
          <w:highlight w:val="none"/>
        </w:rPr>
      </w:pPr>
      <w:r>
        <w:rPr>
          <w:rFonts w:hint="eastAsia" w:ascii="仿宋" w:hAnsi="仿宋" w:eastAsia="仿宋" w:cs="仿宋"/>
          <w:b/>
          <w:bCs/>
          <w:sz w:val="44"/>
          <w:szCs w:val="44"/>
          <w:highlight w:val="none"/>
          <w:shd w:val="clear" w:color="auto" w:fill="FFFFFF"/>
        </w:rPr>
        <w:t>项目</w:t>
      </w:r>
    </w:p>
    <w:p>
      <w:pPr>
        <w:spacing w:line="276" w:lineRule="auto"/>
        <w:jc w:val="center"/>
        <w:rPr>
          <w:rFonts w:hint="eastAsia"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0" w:name="_Toc54357675"/>
      <w:bookmarkStart w:id="1" w:name="_Toc1651923"/>
    </w:p>
    <w:bookmarkEnd w:id="0"/>
    <w:bookmarkEnd w:id="1"/>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中山花木产业大会搭建及物料采购服务项目”采购公告，我司符合本项目的资格条件，已完全了解采购公告相关内容，承诺按照采购公告的要求提供产品和服务。分项明细报价与总报价（单位：人民币元）如下：</w:t>
      </w:r>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Style w:val="11"/>
        <w:tblW w:w="1070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5"/>
        <w:gridCol w:w="1917"/>
        <w:gridCol w:w="4147"/>
        <w:gridCol w:w="798"/>
        <w:gridCol w:w="1020"/>
        <w:gridCol w:w="1250"/>
        <w:gridCol w:w="10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8"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4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内容</w:t>
            </w:r>
          </w:p>
        </w:tc>
        <w:tc>
          <w:tcPr>
            <w:tcW w:w="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单价</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8"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设计服务费</w:t>
            </w:r>
          </w:p>
        </w:tc>
        <w:tc>
          <w:tcPr>
            <w:tcW w:w="4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平面设计和三维效果设计，包括</w:t>
            </w:r>
            <w:r>
              <w:rPr>
                <w:rFonts w:hint="eastAsia" w:ascii="宋体" w:hAnsi="宋体" w:cs="宋体"/>
                <w:i w:val="0"/>
                <w:iCs w:val="0"/>
                <w:color w:val="000000"/>
                <w:kern w:val="0"/>
                <w:sz w:val="22"/>
                <w:szCs w:val="22"/>
                <w:u w:val="none"/>
                <w:lang w:val="en-US" w:eastAsia="zh-CN" w:bidi="ar"/>
              </w:rPr>
              <w:t>展位画面效果</w:t>
            </w:r>
            <w:r>
              <w:rPr>
                <w:rFonts w:hint="eastAsia" w:ascii="宋体" w:hAnsi="宋体" w:eastAsia="宋体" w:cs="宋体"/>
                <w:i w:val="0"/>
                <w:iCs w:val="0"/>
                <w:color w:val="000000"/>
                <w:kern w:val="0"/>
                <w:sz w:val="22"/>
                <w:szCs w:val="22"/>
                <w:u w:val="none"/>
                <w:lang w:val="en-US" w:eastAsia="zh-CN" w:bidi="ar"/>
              </w:rPr>
              <w:t>平面图、</w:t>
            </w:r>
            <w:r>
              <w:rPr>
                <w:rFonts w:hint="eastAsia" w:ascii="宋体" w:hAnsi="宋体" w:cs="宋体"/>
                <w:i w:val="0"/>
                <w:iCs w:val="0"/>
                <w:color w:val="000000"/>
                <w:kern w:val="0"/>
                <w:sz w:val="22"/>
                <w:szCs w:val="22"/>
                <w:u w:val="none"/>
                <w:lang w:val="en-US" w:eastAsia="zh-CN" w:bidi="ar"/>
              </w:rPr>
              <w:t>时光长廊效果图、</w:t>
            </w:r>
            <w:r>
              <w:rPr>
                <w:rFonts w:hint="eastAsia" w:ascii="宋体" w:hAnsi="宋体" w:eastAsia="宋体" w:cs="宋体"/>
                <w:i w:val="0"/>
                <w:iCs w:val="0"/>
                <w:color w:val="000000"/>
                <w:kern w:val="0"/>
                <w:sz w:val="22"/>
                <w:szCs w:val="22"/>
                <w:u w:val="none"/>
                <w:lang w:val="en-US" w:eastAsia="zh-CN" w:bidi="ar"/>
              </w:rPr>
              <w:t>三维效果图</w:t>
            </w:r>
            <w:r>
              <w:rPr>
                <w:rFonts w:hint="eastAsia" w:ascii="宋体" w:hAnsi="宋体" w:cs="宋体"/>
                <w:i w:val="0"/>
                <w:iCs w:val="0"/>
                <w:color w:val="000000"/>
                <w:kern w:val="0"/>
                <w:sz w:val="22"/>
                <w:szCs w:val="22"/>
                <w:u w:val="none"/>
                <w:lang w:val="en-US" w:eastAsia="zh-CN" w:bidi="ar"/>
              </w:rPr>
              <w:t>、展板画面等</w:t>
            </w:r>
            <w:r>
              <w:rPr>
                <w:rFonts w:hint="eastAsia" w:ascii="宋体" w:hAnsi="宋体" w:eastAsia="宋体" w:cs="宋体"/>
                <w:i w:val="0"/>
                <w:iCs w:val="0"/>
                <w:color w:val="000000"/>
                <w:kern w:val="0"/>
                <w:sz w:val="22"/>
                <w:szCs w:val="22"/>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花木产销对接区展位</w:t>
            </w:r>
          </w:p>
        </w:tc>
        <w:tc>
          <w:tcPr>
            <w:tcW w:w="4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6m*3m桁架搭建，包括但不限于6m*2.4m展板（桁架+灯布），一桌（1.2m)两椅，照明灯，一个1KW插座,铺设地毯，6m*0.6m长kt板门楣装饰，顶上安装灯布。</w:t>
            </w:r>
          </w:p>
        </w:tc>
        <w:tc>
          <w:tcPr>
            <w:tcW w:w="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农产品推广及金融宣传展区展位</w:t>
            </w:r>
          </w:p>
        </w:tc>
        <w:tc>
          <w:tcPr>
            <w:tcW w:w="4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3m*3m桁架搭建，包括但不限于</w:t>
            </w:r>
            <w:r>
              <w:rPr>
                <w:rFonts w:hint="eastAsia" w:ascii="宋体" w:hAnsi="宋体" w:cs="宋体"/>
                <w:i w:val="0"/>
                <w:iCs w:val="0"/>
                <w:color w:val="000000"/>
                <w:kern w:val="0"/>
                <w:sz w:val="22"/>
                <w:szCs w:val="22"/>
                <w:u w:val="none"/>
                <w:lang w:val="en-US" w:eastAsia="zh-CN" w:bidi="ar"/>
              </w:rPr>
              <w:t>3</w:t>
            </w:r>
            <w:r>
              <w:rPr>
                <w:rFonts w:hint="eastAsia" w:ascii="宋体" w:hAnsi="宋体" w:eastAsia="宋体" w:cs="宋体"/>
                <w:i w:val="0"/>
                <w:iCs w:val="0"/>
                <w:color w:val="000000"/>
                <w:kern w:val="0"/>
                <w:sz w:val="22"/>
                <w:szCs w:val="22"/>
                <w:u w:val="none"/>
                <w:lang w:val="en-US" w:eastAsia="zh-CN" w:bidi="ar"/>
              </w:rPr>
              <w:t>m*2.4</w:t>
            </w:r>
            <w:r>
              <w:rPr>
                <w:rFonts w:hint="eastAsia" w:ascii="宋体" w:hAnsi="宋体" w:cs="宋体"/>
                <w:i w:val="0"/>
                <w:iCs w:val="0"/>
                <w:color w:val="000000"/>
                <w:kern w:val="0"/>
                <w:sz w:val="22"/>
                <w:szCs w:val="22"/>
                <w:u w:val="none"/>
                <w:lang w:val="en-US" w:eastAsia="zh-CN" w:bidi="ar"/>
              </w:rPr>
              <w:t>m</w:t>
            </w:r>
            <w:r>
              <w:rPr>
                <w:rFonts w:hint="eastAsia" w:ascii="宋体" w:hAnsi="宋体" w:eastAsia="宋体" w:cs="宋体"/>
                <w:i w:val="0"/>
                <w:iCs w:val="0"/>
                <w:color w:val="000000"/>
                <w:kern w:val="0"/>
                <w:sz w:val="22"/>
                <w:szCs w:val="22"/>
                <w:u w:val="none"/>
                <w:lang w:val="en-US" w:eastAsia="zh-CN" w:bidi="ar"/>
              </w:rPr>
              <w:t>展板（桁架+灯布），一桌（1.2m)两椅，照明灯，一个1KW插座,铺设地毯，</w:t>
            </w:r>
            <w:r>
              <w:rPr>
                <w:rFonts w:hint="eastAsia" w:ascii="宋体" w:hAnsi="宋体" w:cs="宋体"/>
                <w:i w:val="0"/>
                <w:iCs w:val="0"/>
                <w:color w:val="000000"/>
                <w:kern w:val="0"/>
                <w:sz w:val="22"/>
                <w:szCs w:val="22"/>
                <w:u w:val="none"/>
                <w:lang w:val="en-US" w:eastAsia="zh-CN" w:bidi="ar"/>
              </w:rPr>
              <w:t>3</w:t>
            </w:r>
            <w:r>
              <w:rPr>
                <w:rFonts w:hint="eastAsia" w:ascii="宋体" w:hAnsi="宋体" w:eastAsia="宋体" w:cs="宋体"/>
                <w:i w:val="0"/>
                <w:iCs w:val="0"/>
                <w:color w:val="000000"/>
                <w:kern w:val="0"/>
                <w:sz w:val="22"/>
                <w:szCs w:val="22"/>
                <w:u w:val="none"/>
                <w:lang w:val="en-US" w:eastAsia="zh-CN" w:bidi="ar"/>
              </w:rPr>
              <w:t>m*0.6m长kt板门楣装饰，顶上安装</w:t>
            </w:r>
            <w:r>
              <w:rPr>
                <w:rFonts w:hint="eastAsia" w:ascii="宋体" w:hAnsi="宋体" w:cs="宋体"/>
                <w:i w:val="0"/>
                <w:iCs w:val="0"/>
                <w:color w:val="000000"/>
                <w:kern w:val="0"/>
                <w:sz w:val="22"/>
                <w:szCs w:val="22"/>
                <w:u w:val="none"/>
                <w:lang w:val="en-US" w:eastAsia="zh-CN" w:bidi="ar"/>
              </w:rPr>
              <w:t>灯布</w:t>
            </w:r>
            <w:r>
              <w:rPr>
                <w:rFonts w:hint="eastAsia" w:ascii="宋体" w:hAnsi="宋体" w:eastAsia="宋体" w:cs="宋体"/>
                <w:i w:val="0"/>
                <w:iCs w:val="0"/>
                <w:color w:val="000000"/>
                <w:kern w:val="0"/>
                <w:sz w:val="22"/>
                <w:szCs w:val="22"/>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花木助力“百千万”时光长廊展区</w:t>
            </w:r>
          </w:p>
        </w:tc>
        <w:tc>
          <w:tcPr>
            <w:tcW w:w="4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尺寸2m*2.78m，两面，8组，长廊总长不少于10m。采用钢架结构喷漆，搭配玻璃钢、pvc板、芙蓉板、亚克力等材料，地面基础水泥墩8个永久固定，安装电线接电</w:t>
            </w:r>
          </w:p>
        </w:tc>
        <w:tc>
          <w:tcPr>
            <w:tcW w:w="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8"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农资产业综合展区</w:t>
            </w:r>
          </w:p>
        </w:tc>
        <w:tc>
          <w:tcPr>
            <w:tcW w:w="4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市集帐篷3m*3m,门头KT板1张，配1.8m*0.6m桌，2个折叠椅，不用接电</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林婷花木展示区</w:t>
            </w:r>
          </w:p>
        </w:tc>
        <w:tc>
          <w:tcPr>
            <w:tcW w:w="4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IBM桌1.2m*0.6m</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直播区</w:t>
            </w:r>
          </w:p>
        </w:tc>
        <w:tc>
          <w:tcPr>
            <w:tcW w:w="4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6m*3m桁架搭建，包括但不限于6m*2.4展板（桁架+灯布），一桌（1.2m)两椅，照明灯，一个1KW插座,铺设地毯，6m*0.6m长kt板门楣装饰，顶上安装帐篷。</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套</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牌匾</w:t>
            </w:r>
          </w:p>
        </w:tc>
        <w:tc>
          <w:tcPr>
            <w:tcW w:w="4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木板加金属雕刻面，尺寸：宽0.3m*高0.23m</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花木行业白皮书印刷</w:t>
            </w:r>
          </w:p>
        </w:tc>
        <w:tc>
          <w:tcPr>
            <w:tcW w:w="4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封底封面250克铜板纸，内页157克铜版纸，双面印刷，尺寸A3大小，对折，32P</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安装撤场人工</w:t>
            </w:r>
          </w:p>
        </w:tc>
        <w:tc>
          <w:tcPr>
            <w:tcW w:w="4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安装撤场人工总人数不少于20人(含夜间搭建）</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w:t>
            </w:r>
            <w:r>
              <w:rPr>
                <w:rFonts w:hint="eastAsia" w:ascii="宋体" w:hAnsi="宋体" w:cs="宋体"/>
                <w:i w:val="0"/>
                <w:iCs w:val="0"/>
                <w:color w:val="000000"/>
                <w:kern w:val="0"/>
                <w:sz w:val="22"/>
                <w:szCs w:val="22"/>
                <w:u w:val="none"/>
                <w:lang w:val="en-US" w:eastAsia="zh-CN" w:bidi="ar"/>
              </w:rPr>
              <w:t>1</w:t>
            </w: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物料运输</w:t>
            </w:r>
          </w:p>
        </w:tc>
        <w:tc>
          <w:tcPr>
            <w:tcW w:w="41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12</w:t>
            </w:r>
          </w:p>
        </w:tc>
        <w:tc>
          <w:tcPr>
            <w:tcW w:w="91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bl>
    <w:p>
      <w:pPr>
        <w:pStyle w:val="6"/>
        <w:spacing w:line="570" w:lineRule="exact"/>
        <w:ind w:firstLine="562" w:firstLineChars="200"/>
        <w:jc w:val="left"/>
        <w:rPr>
          <w:rFonts w:hint="eastAsia" w:ascii="仿宋" w:hAnsi="仿宋" w:eastAsia="仿宋" w:cs="仿宋"/>
          <w:b/>
          <w:color w:val="000000"/>
          <w:kern w:val="0"/>
          <w:sz w:val="28"/>
          <w:szCs w:val="28"/>
          <w:highlight w:val="none"/>
        </w:rPr>
      </w:pPr>
    </w:p>
    <w:p>
      <w:pPr>
        <w:pStyle w:val="6"/>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spacing w:after="200" w:line="400" w:lineRule="exact"/>
        <w:jc w:val="center"/>
        <w:rPr>
          <w:rFonts w:hint="eastAsia" w:ascii="仿宋" w:hAnsi="仿宋" w:eastAsia="仿宋" w:cs="仿宋"/>
          <w:b/>
          <w:color w:val="000000"/>
          <w:sz w:val="28"/>
          <w:szCs w:val="28"/>
          <w:highlight w:val="none"/>
        </w:rPr>
        <w:sectPr>
          <w:pgSz w:w="11906" w:h="16838"/>
          <w:pgMar w:top="1440" w:right="1800" w:bottom="1440" w:left="1800" w:header="851" w:footer="992" w:gutter="0"/>
          <w:cols w:space="720" w:num="1"/>
          <w:docGrid w:type="lines" w:linePitch="312" w:charSpace="0"/>
        </w:sectPr>
      </w:pPr>
      <w:bookmarkStart w:id="2" w:name="_Toc475472676"/>
      <w:bookmarkStart w:id="3" w:name="_Toc1651903"/>
      <w:bookmarkStart w:id="4" w:name="_Toc34146941"/>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4、提供自2021年以来同类项目业绩</w:t>
      </w:r>
      <w:r>
        <w:rPr>
          <w:rFonts w:hint="eastAsia" w:ascii="仿宋_GB2312" w:hAnsi="仿宋_GB2312" w:eastAsia="仿宋_GB2312" w:cs="仿宋_GB2312"/>
          <w:sz w:val="28"/>
          <w:szCs w:val="28"/>
          <w:highlight w:val="none"/>
          <w:shd w:val="clear" w:color="auto" w:fill="FFFFFF"/>
        </w:rPr>
        <w:t>（</w:t>
      </w:r>
      <w:r>
        <w:rPr>
          <w:rFonts w:hint="eastAsia" w:ascii="仿宋_GB2312" w:hAnsi="仿宋_GB2312" w:eastAsia="仿宋_GB2312" w:cs="仿宋_GB2312"/>
          <w:sz w:val="28"/>
          <w:szCs w:val="28"/>
          <w:highlight w:val="none"/>
          <w:shd w:val="clear" w:color="auto" w:fill="FFFFFF"/>
          <w:lang w:val="en-US" w:eastAsia="zh-CN"/>
        </w:rPr>
        <w:t>搭建服务</w:t>
      </w:r>
      <w:r>
        <w:rPr>
          <w:rFonts w:hint="eastAsia" w:ascii="仿宋_GB2312" w:hAnsi="仿宋_GB2312" w:eastAsia="仿宋_GB2312" w:cs="仿宋_GB2312"/>
          <w:sz w:val="28"/>
          <w:szCs w:val="28"/>
          <w:highlight w:val="none"/>
          <w:shd w:val="clear" w:color="auto" w:fill="FFFFFF"/>
        </w:rPr>
        <w:t>）</w:t>
      </w:r>
      <w:r>
        <w:rPr>
          <w:rFonts w:hint="eastAsia" w:ascii="仿宋" w:hAnsi="仿宋" w:eastAsia="仿宋" w:cs="仿宋"/>
          <w:color w:val="000000"/>
          <w:sz w:val="28"/>
          <w:szCs w:val="28"/>
          <w:highlight w:val="none"/>
        </w:rPr>
        <w:t>两项（附合同关键页）。</w:t>
      </w:r>
    </w:p>
    <w:p>
      <w:pPr>
        <w:pStyle w:val="2"/>
        <w:rPr>
          <w:rFonts w:ascii="仿宋" w:hAnsi="仿宋" w:eastAsia="仿宋" w:cs="仿宋"/>
          <w:kern w:val="0"/>
          <w:sz w:val="28"/>
          <w:szCs w:val="28"/>
          <w:highlight w:val="none"/>
        </w:rPr>
      </w:pPr>
    </w:p>
    <w:bookmarkEnd w:id="2"/>
    <w:bookmarkEnd w:id="3"/>
    <w:bookmarkEnd w:id="4"/>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lang w:eastAsia="zh-CN"/>
        </w:rPr>
        <w:t>广东乡村振兴实业发展有限公司</w:t>
      </w:r>
      <w:r>
        <w:rPr>
          <w:rFonts w:hint="eastAsia" w:ascii="仿宋" w:hAnsi="仿宋" w:eastAsia="仿宋" w:cs="仿宋"/>
          <w:b/>
          <w:color w:val="000000"/>
          <w:sz w:val="28"/>
          <w:szCs w:val="28"/>
          <w:highlight w:val="none"/>
        </w:rPr>
        <w:t>：</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6"/>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pStyle w:val="8"/>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pPr>
        <w:widowControl/>
        <w:spacing w:after="200" w:line="480" w:lineRule="exact"/>
        <w:ind w:firstLine="480" w:firstLineChars="200"/>
        <w:rPr>
          <w:rFonts w:ascii="宋体" w:hAnsi="宋体" w:cs="宋体"/>
          <w:bCs/>
          <w:kern w:val="0"/>
          <w:sz w:val="24"/>
          <w:highlight w:val="none"/>
        </w:rPr>
      </w:pPr>
    </w:p>
    <w:p>
      <w:pPr>
        <w:pStyle w:val="7"/>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color w:val="000000"/>
          <w:sz w:val="28"/>
          <w:szCs w:val="28"/>
          <w:highlight w:val="none"/>
        </w:rPr>
        <w:t>中山花木产业大会搭建及物料采购服务项目</w:t>
      </w:r>
      <w:r>
        <w:rPr>
          <w:rFonts w:hint="eastAsia" w:ascii="仿宋" w:hAnsi="仿宋" w:eastAsia="仿宋" w:cs="仿宋"/>
          <w:bCs/>
          <w:color w:val="000000"/>
          <w:sz w:val="28"/>
          <w:szCs w:val="28"/>
          <w:highlight w:val="none"/>
        </w:rPr>
        <w:t>】的【洽谈、签约、项目服务联络等】事宜。</w:t>
      </w:r>
    </w:p>
    <w:p>
      <w:pPr>
        <w:pStyle w:val="7"/>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7"/>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7"/>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7"/>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7"/>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7"/>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7"/>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7"/>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7"/>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7"/>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7"/>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3"/>
        <w:rPr>
          <w:highlight w:val="none"/>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0"/>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0"/>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0"/>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0"/>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0"/>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0"/>
              <w:ind w:firstLine="0"/>
              <w:jc w:val="center"/>
              <w:rPr>
                <w:rFonts w:ascii="仿宋" w:hAnsi="仿宋" w:eastAsia="仿宋" w:cs="仿宋"/>
                <w:sz w:val="28"/>
                <w:szCs w:val="28"/>
                <w:highlight w:val="none"/>
              </w:rPr>
            </w:pPr>
          </w:p>
        </w:tc>
        <w:tc>
          <w:tcPr>
            <w:tcW w:w="2200" w:type="dxa"/>
          </w:tcPr>
          <w:p>
            <w:pPr>
              <w:pStyle w:val="10"/>
              <w:ind w:firstLine="0"/>
              <w:jc w:val="center"/>
              <w:rPr>
                <w:rFonts w:ascii="仿宋" w:hAnsi="仿宋" w:eastAsia="仿宋" w:cs="仿宋"/>
                <w:sz w:val="28"/>
                <w:szCs w:val="28"/>
                <w:highlight w:val="none"/>
              </w:rPr>
            </w:pPr>
          </w:p>
        </w:tc>
        <w:tc>
          <w:tcPr>
            <w:tcW w:w="3350" w:type="dxa"/>
          </w:tcPr>
          <w:p>
            <w:pPr>
              <w:pStyle w:val="10"/>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0"/>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0"/>
              <w:ind w:firstLine="0"/>
              <w:jc w:val="center"/>
              <w:rPr>
                <w:rFonts w:ascii="仿宋" w:hAnsi="仿宋" w:eastAsia="仿宋" w:cs="仿宋"/>
                <w:sz w:val="28"/>
                <w:szCs w:val="28"/>
                <w:highlight w:val="none"/>
              </w:rPr>
            </w:pPr>
          </w:p>
        </w:tc>
        <w:tc>
          <w:tcPr>
            <w:tcW w:w="2200" w:type="dxa"/>
          </w:tcPr>
          <w:p>
            <w:pPr>
              <w:pStyle w:val="10"/>
              <w:ind w:firstLine="0"/>
              <w:jc w:val="center"/>
              <w:rPr>
                <w:rFonts w:ascii="仿宋" w:hAnsi="仿宋" w:eastAsia="仿宋" w:cs="仿宋"/>
                <w:sz w:val="28"/>
                <w:szCs w:val="28"/>
                <w:highlight w:val="none"/>
              </w:rPr>
            </w:pPr>
          </w:p>
        </w:tc>
        <w:tc>
          <w:tcPr>
            <w:tcW w:w="3350" w:type="dxa"/>
          </w:tcPr>
          <w:p>
            <w:pPr>
              <w:pStyle w:val="10"/>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0"/>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0"/>
              <w:ind w:firstLine="0"/>
              <w:jc w:val="center"/>
              <w:rPr>
                <w:rFonts w:ascii="仿宋" w:hAnsi="仿宋" w:eastAsia="仿宋" w:cs="仿宋"/>
                <w:sz w:val="28"/>
                <w:szCs w:val="28"/>
                <w:highlight w:val="none"/>
              </w:rPr>
            </w:pPr>
          </w:p>
        </w:tc>
        <w:tc>
          <w:tcPr>
            <w:tcW w:w="2200" w:type="dxa"/>
          </w:tcPr>
          <w:p>
            <w:pPr>
              <w:pStyle w:val="10"/>
              <w:ind w:firstLine="0"/>
              <w:jc w:val="center"/>
              <w:rPr>
                <w:rFonts w:ascii="仿宋" w:hAnsi="仿宋" w:eastAsia="仿宋" w:cs="仿宋"/>
                <w:sz w:val="28"/>
                <w:szCs w:val="28"/>
                <w:highlight w:val="none"/>
              </w:rPr>
            </w:pPr>
          </w:p>
        </w:tc>
        <w:tc>
          <w:tcPr>
            <w:tcW w:w="3350" w:type="dxa"/>
          </w:tcPr>
          <w:p>
            <w:pPr>
              <w:pStyle w:val="10"/>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0"/>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0"/>
              <w:ind w:firstLine="0"/>
              <w:jc w:val="center"/>
              <w:rPr>
                <w:rFonts w:ascii="仿宋" w:hAnsi="仿宋" w:eastAsia="仿宋" w:cs="仿宋"/>
                <w:sz w:val="28"/>
                <w:szCs w:val="28"/>
                <w:highlight w:val="none"/>
              </w:rPr>
            </w:pPr>
          </w:p>
        </w:tc>
        <w:tc>
          <w:tcPr>
            <w:tcW w:w="2200" w:type="dxa"/>
          </w:tcPr>
          <w:p>
            <w:pPr>
              <w:pStyle w:val="10"/>
              <w:ind w:firstLine="0"/>
              <w:jc w:val="center"/>
              <w:rPr>
                <w:rFonts w:ascii="仿宋" w:hAnsi="仿宋" w:eastAsia="仿宋" w:cs="仿宋"/>
                <w:sz w:val="28"/>
                <w:szCs w:val="28"/>
                <w:highlight w:val="none"/>
              </w:rPr>
            </w:pPr>
          </w:p>
        </w:tc>
        <w:tc>
          <w:tcPr>
            <w:tcW w:w="3350" w:type="dxa"/>
          </w:tcPr>
          <w:p>
            <w:pPr>
              <w:pStyle w:val="10"/>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0"/>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0"/>
              <w:ind w:firstLine="0"/>
              <w:jc w:val="center"/>
              <w:rPr>
                <w:rFonts w:ascii="仿宋" w:hAnsi="仿宋" w:eastAsia="仿宋" w:cs="仿宋"/>
                <w:sz w:val="28"/>
                <w:szCs w:val="28"/>
                <w:highlight w:val="none"/>
              </w:rPr>
            </w:pPr>
          </w:p>
        </w:tc>
        <w:tc>
          <w:tcPr>
            <w:tcW w:w="2200" w:type="dxa"/>
          </w:tcPr>
          <w:p>
            <w:pPr>
              <w:pStyle w:val="10"/>
              <w:ind w:firstLine="0"/>
              <w:jc w:val="center"/>
              <w:rPr>
                <w:rFonts w:ascii="仿宋" w:hAnsi="仿宋" w:eastAsia="仿宋" w:cs="仿宋"/>
                <w:sz w:val="28"/>
                <w:szCs w:val="28"/>
                <w:highlight w:val="none"/>
              </w:rPr>
            </w:pPr>
          </w:p>
        </w:tc>
        <w:tc>
          <w:tcPr>
            <w:tcW w:w="3350" w:type="dxa"/>
          </w:tcPr>
          <w:p>
            <w:pPr>
              <w:pStyle w:val="10"/>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0"/>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0"/>
              <w:ind w:firstLine="0"/>
              <w:jc w:val="center"/>
              <w:rPr>
                <w:rFonts w:ascii="仿宋" w:hAnsi="仿宋" w:eastAsia="仿宋" w:cs="仿宋"/>
                <w:sz w:val="28"/>
                <w:szCs w:val="28"/>
                <w:highlight w:val="none"/>
              </w:rPr>
            </w:pPr>
          </w:p>
        </w:tc>
        <w:tc>
          <w:tcPr>
            <w:tcW w:w="2200" w:type="dxa"/>
          </w:tcPr>
          <w:p>
            <w:pPr>
              <w:pStyle w:val="10"/>
              <w:ind w:firstLine="0"/>
              <w:jc w:val="center"/>
              <w:rPr>
                <w:rFonts w:ascii="仿宋" w:hAnsi="仿宋" w:eastAsia="仿宋" w:cs="仿宋"/>
                <w:sz w:val="28"/>
                <w:szCs w:val="28"/>
                <w:highlight w:val="none"/>
              </w:rPr>
            </w:pPr>
          </w:p>
        </w:tc>
        <w:tc>
          <w:tcPr>
            <w:tcW w:w="3350" w:type="dxa"/>
          </w:tcPr>
          <w:p>
            <w:pPr>
              <w:pStyle w:val="10"/>
              <w:ind w:firstLine="0"/>
              <w:jc w:val="center"/>
              <w:rPr>
                <w:rFonts w:ascii="仿宋" w:hAnsi="仿宋" w:eastAsia="仿宋" w:cs="仿宋"/>
                <w:sz w:val="28"/>
                <w:szCs w:val="28"/>
                <w:highlight w:val="none"/>
              </w:rPr>
            </w:pPr>
          </w:p>
        </w:tc>
      </w:tr>
    </w:tbl>
    <w:p>
      <w:pPr>
        <w:pStyle w:val="9"/>
        <w:spacing w:after="200" w:line="276" w:lineRule="auto"/>
        <w:ind w:firstLine="0" w:firstLineChars="0"/>
        <w:jc w:val="left"/>
        <w:rPr>
          <w:rFonts w:ascii="仿宋" w:hAnsi="仿宋" w:eastAsia="仿宋" w:cs="仿宋"/>
          <w:b/>
          <w:kern w:val="0"/>
          <w:sz w:val="28"/>
          <w:szCs w:val="28"/>
          <w:highlight w:val="none"/>
        </w:rPr>
      </w:pPr>
    </w:p>
    <w:p>
      <w:pPr>
        <w:pStyle w:val="9"/>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【提供人员经社保局盖章的2023年</w:t>
      </w:r>
      <w:r>
        <w:rPr>
          <w:rFonts w:hint="eastAsia" w:ascii="仿宋" w:hAnsi="仿宋" w:eastAsia="仿宋" w:cs="仿宋"/>
          <w:b/>
          <w:kern w:val="0"/>
          <w:sz w:val="28"/>
          <w:szCs w:val="28"/>
          <w:highlight w:val="none"/>
          <w:lang w:val="en-US" w:eastAsia="zh-CN"/>
        </w:rPr>
        <w:t>11</w:t>
      </w:r>
      <w:r>
        <w:rPr>
          <w:rFonts w:hint="eastAsia" w:ascii="仿宋" w:hAnsi="仿宋" w:eastAsia="仿宋" w:cs="仿宋"/>
          <w:b/>
          <w:kern w:val="0"/>
          <w:sz w:val="28"/>
          <w:szCs w:val="28"/>
          <w:highlight w:val="none"/>
        </w:rPr>
        <w:t>月至今至少1个月的本单位缴纳社保的证明材料】</w:t>
      </w:r>
    </w:p>
    <w:p>
      <w:pPr>
        <w:rPr>
          <w:rFonts w:ascii="宋体" w:hAnsi="宋体" w:cs="宋体"/>
          <w:b/>
          <w:bCs/>
          <w:sz w:val="24"/>
          <w:highlight w:val="none"/>
        </w:rPr>
      </w:pPr>
    </w:p>
    <w:p>
      <w:pPr>
        <w:pStyle w:val="9"/>
        <w:spacing w:after="0"/>
        <w:ind w:firstLine="0" w:firstLineChars="0"/>
        <w:jc w:val="center"/>
        <w:rPr>
          <w:rFonts w:hint="eastAsia" w:ascii="仿宋" w:hAnsi="仿宋" w:eastAsia="仿宋" w:cs="仿宋"/>
          <w:b/>
          <w:bCs/>
          <w:sz w:val="28"/>
          <w:szCs w:val="28"/>
          <w:highlight w:val="none"/>
        </w:rPr>
        <w:sectPr>
          <w:pgSz w:w="11906" w:h="16838"/>
          <w:pgMar w:top="1440" w:right="1800" w:bottom="1440" w:left="1800" w:header="851" w:footer="992" w:gutter="0"/>
          <w:cols w:space="425" w:num="1"/>
          <w:docGrid w:type="lines" w:linePitch="312" w:charSpace="0"/>
        </w:sectPr>
      </w:pPr>
    </w:p>
    <w:p>
      <w:pPr>
        <w:pStyle w:val="9"/>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（提供项目服务方案，格式自拟）</w:t>
      </w:r>
    </w:p>
    <w:p>
      <w:pPr>
        <w:pStyle w:val="3"/>
        <w:rPr>
          <w:highlight w:val="none"/>
        </w:rPr>
        <w:sectPr>
          <w:pgSz w:w="11906" w:h="16838"/>
          <w:pgMar w:top="1440" w:right="1800" w:bottom="1440" w:left="1800" w:header="851" w:footer="992" w:gutter="0"/>
          <w:cols w:space="425" w:num="1"/>
          <w:docGrid w:type="lines" w:linePitch="312" w:charSpace="0"/>
        </w:sectPr>
      </w:pPr>
    </w:p>
    <w:p>
      <w:pPr>
        <w:pStyle w:val="9"/>
        <w:spacing w:after="0"/>
        <w:ind w:firstLine="0" w:firstLineChars="0"/>
        <w:jc w:val="center"/>
      </w:pPr>
      <w:r>
        <w:rPr>
          <w:rFonts w:hint="eastAsia" w:ascii="仿宋" w:hAnsi="仿宋" w:eastAsia="仿宋" w:cs="仿宋"/>
          <w:b/>
          <w:bCs/>
          <w:sz w:val="28"/>
          <w:szCs w:val="28"/>
          <w:highlight w:val="none"/>
        </w:rPr>
        <w:t>九、报价人认为需要补充的其他资料</w:t>
      </w:r>
    </w:p>
    <w:p>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3e983ec3-7307-41ac-9a3e-2a8f0bd3459d"/>
  </w:docVars>
  <w:rsids>
    <w:rsidRoot w:val="4BBB4EC1"/>
    <w:rsid w:val="4BBB4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3">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cs="Times New Roman"/>
      <w:sz w:val="33"/>
      <w:szCs w:val="33"/>
    </w:rPr>
  </w:style>
  <w:style w:type="paragraph" w:styleId="3">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4">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5">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6">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9">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0">
    <w:name w:val="Body Text First Indent 2"/>
    <w:basedOn w:val="4"/>
    <w:next w:val="1"/>
    <w:qFormat/>
    <w:uiPriority w:val="0"/>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2024-11-04T02:51:00Z</dcterms:created>
  <dc:creator>玉婷</dc:creator>
  <cp:lastModifiedBy>玉婷</cp:lastModifiedBy>
  <dcterms:modified xsi:type="dcterms:W3CDTF">2024-11-04T02:53:30Z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633371389FD1439E860AE41C13F15226_11</vt:lpwstr>
  </property>
</Properties>
</file>