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仿宋" w:hAnsi="仿宋" w:eastAsia="仿宋" w:cs="仿宋"/>
          <w:b/>
          <w:bCs/>
          <w:sz w:val="44"/>
          <w:szCs w:val="44"/>
          <w:highlight w:val="none"/>
          <w:shd w:val="clear" w:color="auto" w:fill="FFFFFF"/>
        </w:rPr>
      </w:pPr>
      <w:bookmarkStart w:id="0" w:name="OLE_LINK1"/>
      <w:r>
        <w:rPr>
          <w:rFonts w:hint="eastAsia" w:ascii="仿宋" w:hAnsi="仿宋" w:eastAsia="仿宋" w:cs="仿宋"/>
          <w:b/>
          <w:bCs/>
          <w:sz w:val="44"/>
          <w:szCs w:val="44"/>
          <w:highlight w:val="none"/>
          <w:shd w:val="clear" w:color="auto" w:fill="FFFFFF"/>
        </w:rPr>
        <w:t>脱贫地区“土特产”进湾区推介服务项目</w:t>
      </w:r>
    </w:p>
    <w:bookmarkEnd w:id="0"/>
    <w:p>
      <w:pPr>
        <w:spacing w:line="276" w:lineRule="auto"/>
        <w:jc w:val="center"/>
        <w:rPr>
          <w:rFonts w:hint="eastAsia"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1" w:name="_Toc1651923"/>
      <w:bookmarkStart w:id="2" w:name="_Toc54357675"/>
    </w:p>
    <w:bookmarkEnd w:id="1"/>
    <w:bookmarkEnd w:id="2"/>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eastAsia="zh-CN"/>
        </w:rPr>
        <w:t>脱贫地区‘土特产’进湾区推介服务项目</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2"/>
        <w:tblpPr w:leftFromText="180" w:rightFromText="180" w:vertAnchor="text" w:horzAnchor="page" w:tblpX="1167" w:tblpY="580"/>
        <w:tblOverlap w:val="never"/>
        <w:tblW w:w="97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9"/>
        <w:gridCol w:w="1029"/>
        <w:gridCol w:w="1479"/>
        <w:gridCol w:w="2788"/>
        <w:gridCol w:w="675"/>
        <w:gridCol w:w="634"/>
        <w:gridCol w:w="1116"/>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6"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序号</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项目类别</w:t>
            </w:r>
          </w:p>
        </w:tc>
        <w:tc>
          <w:tcPr>
            <w:tcW w:w="42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内容明细</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1</w:t>
            </w:r>
          </w:p>
        </w:tc>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搭建布置（活动地点定于广东省广州市，为期三天）</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舞台讲台包边</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现场讲台画面（背胶）</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麦牌</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麦牌画面</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3</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会场指引及展板</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立屏200cm*80cm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4</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易拉宝</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180cm*80cm</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5</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土特产展台</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稻草亚克力展台 长3m*宽0.8m*高0.85cm</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6</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木板异形展台 长2m*宽2m*高0.85cm</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7</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嘉宾台卡</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亚克力透明台牌，20cm长*10cm高，含内页</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8</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证件</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证件制作，PVC硬卡，含挂绳，双面印刷，8cm长*12cm高</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9</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采购导图</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铜板纸折页印刷；</w:t>
            </w:r>
            <w:r>
              <w:rPr>
                <w:rStyle w:val="15"/>
                <w:lang w:val="en-US" w:eastAsia="zh-CN" w:bidi="ar"/>
              </w:rPr>
              <w:t>A4规格，每份不少于25页</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10</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参会手册</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铜板纸折页印刷；</w:t>
            </w:r>
            <w:r>
              <w:rPr>
                <w:rStyle w:val="15"/>
                <w:lang w:val="en-US" w:eastAsia="zh-CN" w:bidi="ar"/>
              </w:rPr>
              <w:t>A4规格，每份不少于20页</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11</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揭牌仪式</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定制揭幕墙，材质：高密度木板基础+红色绒布（含导轨+轮子+缎面抽绳）；尺寸：2.4米宽x2米高的揭幕</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12</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推杆流沙启动台</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8M推杆启动台，需8-10人协助</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13</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候场区推杆台架</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14</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签约</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ipad电子签约台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15</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会议用水</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瓶装矿泉水350ml</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瓶</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16</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会议文具</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红绒布A3封皮本</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17</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笔记本、笔</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18</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创意策划规划设计</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整体布置方案制作、沟通、修改</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19</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施工图制作</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20</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2D二维平面设计-空间规划与设计</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21</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2D平面设计-活动主视觉与辅助视觉设计</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22</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2D平面设计-活动相关物料延展设计</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23</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3D三维设计-内场规划与设计</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24</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3D三维设计-效果图制作</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25</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搭建管理</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搭建工程估算、管理、协调、监督，与场地方沟通</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26</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AV管理</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灯光屏幕系统管理、把控</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27</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第三方资源管理</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第三方资源筛选、沟通协调及监督</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28</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现场执行导演组</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总导演（前台后台流程总控，舞台艺术总指挥）</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29</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执行技术导演（灯光，视频，音效执行，现场彩排流程进度监督）</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30</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现场执行助理</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运营物料管理</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31</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第三方人员管理(非演艺类)</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32</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现场后勤保障</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33</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现场后台统筹</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后台演艺人员管理协调及催场</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34</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现场搭建</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制作安装工人（仅安装清单上内容）含座位变更，需2个小时内完成转场</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35</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按场馆规定提前两天到场存放物料</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36</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按场馆规定延迟两天到场撤场</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37</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人员多次出工交通食宿费用</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38</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物料运输</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进场撤场运输</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39</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打印</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打印机、电脑租赁，参会议程等材料现场印刷，含会议用纸满足300人会议所需用纸</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40</w:t>
            </w:r>
          </w:p>
        </w:tc>
        <w:tc>
          <w:tcPr>
            <w:tcW w:w="10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平台推广</w:t>
            </w:r>
          </w:p>
        </w:tc>
        <w:tc>
          <w:tcPr>
            <w:tcW w:w="42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省级及以上平台不少于10个、总次数不少于20次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3"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41</w:t>
            </w:r>
          </w:p>
          <w:p>
            <w:pPr>
              <w:jc w:val="center"/>
              <w:rPr>
                <w:rFonts w:hint="default" w:ascii="宋体" w:hAnsi="宋体" w:eastAsia="宋体" w:cs="宋体"/>
                <w:b/>
                <w:bCs/>
                <w:i w:val="0"/>
                <w:iCs w:val="0"/>
                <w:color w:val="000000"/>
                <w:sz w:val="24"/>
                <w:szCs w:val="24"/>
                <w:u w:val="none"/>
                <w:lang w:val="en-US" w:eastAsia="zh-CN"/>
              </w:rPr>
            </w:pPr>
          </w:p>
        </w:tc>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摄影摄像及视频制作</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“土特产”入粤融湾区宣传片</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全方位拍摄，含正视俯视、大广角等，跟拍时长不少于3天；后期剪辑（不少于3分钟）含旁白配音、特效包装、网络素材购买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42</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“土特产”走进大湾区启动仪式视频</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视频剪辑，含调色、素材购买，时长不少于30秒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43</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农产品推介视频制作</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拍摄（跟拍1天），后期剪辑、调色、配乐与包装，每条成片不少于30秒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2"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44</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“寻味中国 食在湾区”环节背景视频</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全方位拍摄，含正视俯视、大广角等，跟拍时长不少于1天；后期剪辑\版权购买（每期不少于30秒）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期</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45</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图片直播</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现场拍摄，修图，实时上传</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场</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46</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全天活动花絮</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含拍摄与剪辑、调色、配乐与包装，成片不少于60秒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47</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主播逛展</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含拍摄与剪辑、调色、配乐与包装，成片不少于60秒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3"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48</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“12221”大家谈视频拍摄及制作</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拍摄不少于10位人物出镜，含后期剪辑（120s以内）、调色、字幕、美化配乐、特效包装（片头片尾、  图片），每期不少于60秒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期</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3"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49</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“寻味中国·食在湾区”一桌菜环节录制</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固定机位，全程摄像录制，收音，录制时长不少于10分钟</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场</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50</w:t>
            </w:r>
          </w:p>
        </w:tc>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人员聘请（需遵守指定时间段彩排）</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网红主播</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共50名，不少于20名到现场参与活动</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52</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编导</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情景剧专业编导，负责节目创作、编排、情景设计等，原创节目时长10min</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位</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52</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短剧演员</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情景剧专业演员，含交通、餐饮、妆造、排练和彩排（不少于5次）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位</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53</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主持人</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省级专业主持人，含交通、餐饮、妆造和彩排（不少于2次）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位</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54</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厨师</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专业厨师，一桌菜菜品开发与制作（不少于5道菜），含交通、餐饮、妆造与彩排（不少于2次）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位</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55</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礼仪</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专业礼仪，含交通、妆造、餐饮与彩排（不少于3次）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位</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56</w:t>
            </w: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速记</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专业速记，含交通、工作餐</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位</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6" w:hRule="atLeast"/>
        </w:trPr>
        <w:tc>
          <w:tcPr>
            <w:tcW w:w="8420"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总计</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bl>
    <w:p>
      <w:pPr>
        <w:pStyle w:val="7"/>
        <w:spacing w:line="570" w:lineRule="exact"/>
        <w:ind w:firstLine="562" w:firstLineChars="200"/>
        <w:jc w:val="left"/>
        <w:rPr>
          <w:rFonts w:hint="eastAsia" w:ascii="仿宋" w:hAnsi="仿宋" w:eastAsia="仿宋" w:cs="仿宋"/>
          <w:b/>
          <w:color w:val="000000"/>
          <w:kern w:val="0"/>
          <w:sz w:val="28"/>
          <w:szCs w:val="28"/>
          <w:highlight w:val="none"/>
        </w:rPr>
      </w:pPr>
    </w:p>
    <w:p>
      <w:pPr>
        <w:pStyle w:val="7"/>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pPr>
        <w:snapToGrid w:val="0"/>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pPr>
        <w:spacing w:line="570" w:lineRule="exact"/>
        <w:jc w:val="left"/>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pPr>
        <w:spacing w:after="200" w:line="400" w:lineRule="exact"/>
        <w:jc w:val="center"/>
        <w:rPr>
          <w:rFonts w:hint="eastAsia" w:ascii="仿宋" w:hAnsi="仿宋" w:eastAsia="仿宋" w:cs="仿宋"/>
          <w:b/>
          <w:color w:val="000000"/>
          <w:sz w:val="28"/>
          <w:szCs w:val="28"/>
          <w:highlight w:val="none"/>
        </w:rPr>
        <w:sectPr>
          <w:pgSz w:w="11906" w:h="16838"/>
          <w:pgMar w:top="1440" w:right="1800" w:bottom="1440" w:left="1800" w:header="851" w:footer="992" w:gutter="0"/>
          <w:cols w:space="720" w:num="1"/>
          <w:docGrid w:type="lines" w:linePitch="312" w:charSpace="0"/>
        </w:sectPr>
      </w:pPr>
      <w:bookmarkStart w:id="3" w:name="_Toc475472676"/>
      <w:bookmarkStart w:id="4" w:name="_Toc1651903"/>
      <w:bookmarkStart w:id="5" w:name="_Toc34146941"/>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4、提供自2021年以来同类项目</w:t>
      </w:r>
      <w:r>
        <w:rPr>
          <w:rFonts w:hint="eastAsia" w:ascii="仿宋_GB2312" w:hAnsi="仿宋_GB2312" w:eastAsia="仿宋_GB2312" w:cs="仿宋_GB2312"/>
          <w:sz w:val="28"/>
          <w:szCs w:val="28"/>
          <w:highlight w:val="none"/>
          <w:shd w:val="clear" w:color="auto" w:fill="FFFFFF"/>
        </w:rPr>
        <w:t>（</w:t>
      </w:r>
      <w:r>
        <w:rPr>
          <w:rFonts w:hint="eastAsia" w:ascii="仿宋_GB2312" w:hAnsi="仿宋_GB2312" w:eastAsia="仿宋_GB2312" w:cs="仿宋_GB2312"/>
          <w:sz w:val="28"/>
          <w:szCs w:val="28"/>
          <w:highlight w:val="none"/>
          <w:shd w:val="clear" w:color="auto" w:fill="FFFFFF"/>
          <w:lang w:val="en-US" w:eastAsia="zh-CN"/>
        </w:rPr>
        <w:t>活</w:t>
      </w:r>
      <w:bookmarkStart w:id="6" w:name="_GoBack"/>
      <w:bookmarkEnd w:id="6"/>
      <w:r>
        <w:rPr>
          <w:rFonts w:hint="eastAsia" w:ascii="仿宋_GB2312" w:hAnsi="仿宋_GB2312" w:eastAsia="仿宋_GB2312" w:cs="仿宋_GB2312"/>
          <w:sz w:val="28"/>
          <w:szCs w:val="28"/>
          <w:highlight w:val="none"/>
          <w:shd w:val="clear" w:color="auto" w:fill="FFFFFF"/>
          <w:lang w:val="en-US" w:eastAsia="zh-CN"/>
        </w:rPr>
        <w:t>动执行类</w:t>
      </w:r>
      <w:r>
        <w:rPr>
          <w:rFonts w:hint="eastAsia" w:ascii="仿宋_GB2312" w:hAnsi="仿宋_GB2312" w:eastAsia="仿宋_GB2312" w:cs="仿宋_GB2312"/>
          <w:sz w:val="28"/>
          <w:szCs w:val="28"/>
          <w:highlight w:val="none"/>
          <w:shd w:val="clear" w:color="auto" w:fill="FFFFFF"/>
        </w:rPr>
        <w:t>）</w:t>
      </w:r>
      <w:r>
        <w:rPr>
          <w:rFonts w:hint="eastAsia" w:ascii="仿宋" w:hAnsi="仿宋" w:eastAsia="仿宋" w:cs="仿宋"/>
          <w:color w:val="000000"/>
          <w:sz w:val="28"/>
          <w:szCs w:val="28"/>
          <w:highlight w:val="none"/>
        </w:rPr>
        <w:t>业绩两项（附合同关键页）。</w:t>
      </w:r>
    </w:p>
    <w:p>
      <w:pPr>
        <w:pStyle w:val="3"/>
        <w:rPr>
          <w:rFonts w:ascii="仿宋" w:hAnsi="仿宋" w:eastAsia="仿宋" w:cs="仿宋"/>
          <w:kern w:val="0"/>
          <w:sz w:val="28"/>
          <w:szCs w:val="28"/>
          <w:highlight w:val="none"/>
        </w:rPr>
      </w:pPr>
    </w:p>
    <w:bookmarkEnd w:id="3"/>
    <w:bookmarkEnd w:id="4"/>
    <w:bookmarkEnd w:id="5"/>
    <w:p>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pPr>
        <w:pStyle w:val="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pPr>
        <w:spacing w:line="276" w:lineRule="auto"/>
        <w:jc w:val="center"/>
        <w:rPr>
          <w:rFonts w:ascii="宋体" w:hAnsi="宋体" w:cs="宋体"/>
          <w:b/>
          <w:sz w:val="24"/>
          <w:highlight w:val="none"/>
        </w:rPr>
      </w:pPr>
    </w:p>
    <w:p>
      <w:pPr>
        <w:tabs>
          <w:tab w:val="left" w:pos="8364"/>
        </w:tabs>
        <w:snapToGrid w:val="0"/>
        <w:spacing w:line="360" w:lineRule="auto"/>
        <w:ind w:right="-58"/>
        <w:rPr>
          <w:rFonts w:ascii="宋体" w:hAnsi="宋体" w:cs="宋体"/>
          <w:sz w:val="24"/>
          <w:highlight w:val="none"/>
          <w:u w:val="single"/>
        </w:rPr>
      </w:pPr>
    </w:p>
    <w:p>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pPr>
        <w:widowControl/>
        <w:spacing w:after="200" w:line="480" w:lineRule="exact"/>
        <w:ind w:firstLine="480" w:firstLineChars="200"/>
        <w:rPr>
          <w:rFonts w:ascii="宋体" w:hAnsi="宋体" w:cs="宋体"/>
          <w:bCs/>
          <w:kern w:val="0"/>
          <w:sz w:val="24"/>
          <w:highlight w:val="none"/>
        </w:rPr>
      </w:pP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兹授权【***先生/女士，身份证号码***，职务为我单位***】为我方委托代理人，全权代表我单位办理【脱贫地区“土特产”进湾区推介服务项目】的【洽谈、签约、项目服务联络等】事宜。</w:t>
      </w: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pPr>
        <w:pStyle w:val="4"/>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bl>
    <w:p>
      <w:pPr>
        <w:pStyle w:val="10"/>
        <w:spacing w:after="200" w:line="276" w:lineRule="auto"/>
        <w:ind w:firstLine="0" w:firstLineChars="0"/>
        <w:jc w:val="left"/>
        <w:rPr>
          <w:rFonts w:ascii="仿宋" w:hAnsi="仿宋" w:eastAsia="仿宋" w:cs="仿宋"/>
          <w:b/>
          <w:kern w:val="0"/>
          <w:sz w:val="28"/>
          <w:szCs w:val="28"/>
          <w:highlight w:val="none"/>
        </w:rPr>
      </w:pPr>
    </w:p>
    <w:p>
      <w:pPr>
        <w:pStyle w:val="1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【提供人员经社保局盖章的2023年</w:t>
      </w:r>
      <w:r>
        <w:rPr>
          <w:rFonts w:hint="eastAsia" w:ascii="仿宋" w:hAnsi="仿宋" w:eastAsia="仿宋" w:cs="仿宋"/>
          <w:b/>
          <w:kern w:val="0"/>
          <w:sz w:val="28"/>
          <w:szCs w:val="28"/>
          <w:highlight w:val="none"/>
          <w:lang w:val="en-US" w:eastAsia="zh-CN"/>
        </w:rPr>
        <w:t>11</w:t>
      </w:r>
      <w:r>
        <w:rPr>
          <w:rFonts w:hint="eastAsia" w:ascii="仿宋" w:hAnsi="仿宋" w:eastAsia="仿宋" w:cs="仿宋"/>
          <w:b/>
          <w:kern w:val="0"/>
          <w:sz w:val="28"/>
          <w:szCs w:val="28"/>
          <w:highlight w:val="none"/>
        </w:rPr>
        <w:t>月至今至少1个月的本单位缴纳社保的证明材料】</w:t>
      </w:r>
    </w:p>
    <w:p>
      <w:pPr>
        <w:rPr>
          <w:rFonts w:ascii="宋体" w:hAnsi="宋体" w:cs="宋体"/>
          <w:b/>
          <w:bCs/>
          <w:sz w:val="24"/>
          <w:highlight w:val="none"/>
        </w:rPr>
      </w:pPr>
    </w:p>
    <w:p>
      <w:pPr>
        <w:pStyle w:val="10"/>
        <w:spacing w:after="0"/>
        <w:ind w:firstLine="0" w:firstLineChars="0"/>
        <w:jc w:val="center"/>
        <w:rPr>
          <w:rFonts w:hint="eastAsia" w:ascii="仿宋" w:hAnsi="仿宋" w:eastAsia="仿宋" w:cs="仿宋"/>
          <w:b/>
          <w:bCs/>
          <w:sz w:val="28"/>
          <w:szCs w:val="28"/>
          <w:highlight w:val="none"/>
        </w:rPr>
        <w:sectPr>
          <w:pgSz w:w="11906" w:h="16838"/>
          <w:pgMar w:top="1440" w:right="1800" w:bottom="1440" w:left="1800" w:header="851" w:footer="992" w:gutter="0"/>
          <w:cols w:space="425" w:num="1"/>
          <w:docGrid w:type="lines" w:linePitch="312" w:charSpace="0"/>
        </w:sectPr>
      </w:pPr>
    </w:p>
    <w:p>
      <w:pPr>
        <w:pStyle w:val="1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（提供项目服务方案，格式自拟）</w:t>
      </w:r>
    </w:p>
    <w:p>
      <w:pPr>
        <w:pStyle w:val="4"/>
        <w:rPr>
          <w:highlight w:val="none"/>
        </w:rPr>
      </w:pPr>
    </w:p>
    <w:p>
      <w:pPr>
        <w:pStyle w:val="10"/>
        <w:spacing w:after="0"/>
        <w:ind w:firstLine="0" w:firstLineChars="0"/>
        <w:jc w:val="center"/>
      </w:pPr>
      <w:r>
        <w:rPr>
          <w:rFonts w:hint="eastAsia" w:ascii="仿宋" w:hAnsi="仿宋" w:eastAsia="仿宋" w:cs="仿宋"/>
          <w:b/>
          <w:bCs/>
          <w:sz w:val="28"/>
          <w:szCs w:val="28"/>
          <w:highlight w:val="none"/>
        </w:rPr>
        <w:t>九、报价人认为需要补充的其他资料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heme="minorEastAsia" w:hAnsiTheme="minorEastAsia"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lMjViZjkzNzRiOTc0ZTkwNzBmMjQwOGE3ODg2YzUifQ=="/>
    <w:docVar w:name="KSO_WPS_MARK_KEY" w:val="5808c431-2423-4969-a144-8bff9d4e9b3f"/>
  </w:docVars>
  <w:rsids>
    <w:rsidRoot w:val="01B40614"/>
    <w:rsid w:val="01B40614"/>
    <w:rsid w:val="0CA21D1B"/>
    <w:rsid w:val="44D577C1"/>
    <w:rsid w:val="758A4E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font11"/>
    <w:basedOn w:val="1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2921</Words>
  <Characters>3160</Characters>
  <Lines>0</Lines>
  <Paragraphs>0</Paragraphs>
  <TotalTime>1</TotalTime>
  <ScaleCrop>false</ScaleCrop>
  <LinksUpToDate>false</LinksUpToDate>
  <CharactersWithSpaces>3372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2024-11-22T07:00:00Z</dcterms:created>
  <dc:creator>玉婷</dc:creator>
  <cp:lastModifiedBy>玉婷</cp:lastModifiedBy>
  <dcterms:modified xsi:type="dcterms:W3CDTF">2024-11-22T07:13:31Z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E0B037DDF10F4F648E5C3227CA831E08_11</vt:lpwstr>
  </property>
</Properties>
</file>