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jc w:val="right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</w:rPr>
        <w:t>合同编号：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 xml:space="preserve">              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南方报业传媒集团大院绿化服务</w:t>
      </w:r>
      <w:r>
        <w:rPr>
          <w:rFonts w:hint="eastAsia" w:ascii="方正小标宋简体" w:hAnsi="方正小标宋简体" w:eastAsia="方正小标宋简体" w:cs="方正小标宋简体"/>
        </w:rPr>
        <w:t>合同</w:t>
      </w:r>
    </w:p>
    <w:p>
      <w:pPr>
        <w:spacing w:afterLine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甲方：广东南方报业传媒集团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物业管理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有限公司     </w:t>
      </w:r>
    </w:p>
    <w:p>
      <w:pPr>
        <w:spacing w:after="0" w:afterLine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为明确甲乙双方的权利义务，依照《中华人民共和国民法典》及其他有关法律、法规的规定，遵循平等、自愿、公平和诚实信用的原则，双方就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南方报业传媒集团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室外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绿植养护</w:t>
      </w:r>
      <w:r>
        <w:rPr>
          <w:rFonts w:hint="eastAsia" w:ascii="仿宋_GB2312" w:hAnsi="仿宋_GB2312" w:eastAsia="仿宋_GB2312" w:cs="仿宋_GB2312"/>
          <w:sz w:val="28"/>
          <w:szCs w:val="28"/>
        </w:rPr>
        <w:t>事宜，签订本合同：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一、服务范围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FF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根据甲方要求，乙方向甲方提供的约定服务区为：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南方报业传媒集团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室外绿化地、花盆花箱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约2,100㎡。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乙方确认，乙方在签订本协议时已查看场地，清楚知悉服务区域范围及现有绿化情况。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乙方负责就甲方指定区域内，所有花卉植物的种植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摆放）和日常养护，内容包括配送、种植、搬运、浇水、松土、施肥（含肥料）、修剪、病虫害防治（含农药）、花盆与托盘清洁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去除危险侧枝、树木扶正、植物保护（防寒、旱、风、涝、高温）</w:t>
      </w:r>
      <w:r>
        <w:rPr>
          <w:rFonts w:hint="eastAsia" w:ascii="仿宋_GB2312" w:hAnsi="仿宋_GB2312" w:eastAsia="仿宋_GB2312" w:cs="仿宋_GB2312"/>
          <w:sz w:val="28"/>
          <w:szCs w:val="28"/>
        </w:rPr>
        <w:t>及要求的临时性、突击性任务等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服务期间，须安排1名具备园林绿化相关专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业中级或以上技术职称的项目负责人，全面统筹管理与协调工作；同时须安排2名具备1年以上的现场绿化养护经验的人员常驻项目现场，负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责日常养护操作。双方应每月至少召开一次工作会议，及时总结服务情况并持续改进提升。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、合同期限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同期为23个月，自2026年2月1日至2027年12月31日。服务期满12个月时，甲方将依据《绿化养护考核评分表》对乙方服务进行考评，评分达到90分及以上为合格，低于90分为不合格。若考评不合格，则甲方有权终止本合同。合同终止且不再续约的情况下，乙方应负责自行撤走其剩余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四、服务标准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.花卉植物</w:t>
      </w:r>
      <w:r>
        <w:rPr>
          <w:rFonts w:hint="eastAsia" w:ascii="仿宋_GB2312" w:hAnsi="仿宋_GB2312" w:eastAsia="仿宋_GB2312" w:cs="仿宋_GB2312"/>
          <w:sz w:val="28"/>
          <w:szCs w:val="28"/>
        </w:rPr>
        <w:t>历久常新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长势健康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具有观赏性</w:t>
      </w:r>
      <w:r>
        <w:rPr>
          <w:rFonts w:hint="eastAsia" w:ascii="仿宋_GB2312" w:hAnsi="仿宋_GB2312" w:eastAsia="仿宋_GB2312" w:cs="仿宋_GB2312"/>
          <w:sz w:val="28"/>
          <w:szCs w:val="28"/>
        </w:rPr>
        <w:t>；无明显病斑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虫害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残留害虫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植株枯死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更换：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如花卉植物出现枯死或甲方认为花卉植物需要更换</w:t>
      </w:r>
      <w:r>
        <w:rPr>
          <w:rFonts w:hint="eastAsia" w:ascii="仿宋_GB2312" w:hAnsi="仿宋_GB2312" w:eastAsia="仿宋_GB2312" w:cs="仿宋_GB2312"/>
          <w:sz w:val="28"/>
          <w:szCs w:val="28"/>
        </w:rPr>
        <w:t>，乙方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须按附表2《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时花栽种（摆放）品种规格要求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》的相关要求无条件</w:t>
      </w:r>
      <w:r>
        <w:rPr>
          <w:rFonts w:hint="eastAsia"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个工作日内免费进行更换。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修剪：植株无明显残枝、黄叶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株形美观自然。对出现黄叶残叶，树型不对称，有陡长枝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要及时修剪。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卫生：①清洁植物叶面， 叶面干净光亮，无残留泥土和灰尘；②保持植物的花盆、底托干净整洁，盆器内无杂物、垃圾；③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养护需</w:t>
      </w:r>
      <w:r>
        <w:rPr>
          <w:rFonts w:hint="eastAsia" w:ascii="仿宋_GB2312" w:hAnsi="仿宋_GB2312" w:eastAsia="仿宋_GB2312" w:cs="仿宋_GB2312"/>
          <w:sz w:val="28"/>
          <w:szCs w:val="28"/>
        </w:rPr>
        <w:t>保持现场清洁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将现场积水拖干、清除残叶残花等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④处理服务过程中产生的枝干等绿化垃圾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浇水：保证植物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水分</w:t>
      </w:r>
      <w:r>
        <w:rPr>
          <w:rFonts w:hint="eastAsia" w:ascii="仿宋_GB2312" w:hAnsi="仿宋_GB2312" w:eastAsia="仿宋_GB2312" w:cs="仿宋_GB2312"/>
          <w:sz w:val="28"/>
          <w:szCs w:val="28"/>
        </w:rPr>
        <w:t>不过量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不缺水，保持植物对生长水分的需求。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施肥：定期施用肥料，肥料应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无异味、无毒的有机肥或高效无机肥。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  <w:shd w:val="clear"/>
          <w:lang w:val="en-US" w:eastAsia="zh-CN"/>
        </w:rPr>
        <w:t>巡查整改与计划记录管理： 乙方须于每月25日前向甲方提交下月度书面工作计划表，并严格按照计划内容开展工作；其负责人需定期巡查，养护人员需每日巡查并完成相应养护任务；每次工作完毕须接受甲方监督检查并当场整改不足；同时所有养护、巡查、更换等作业均须同步记录，形成完整工作台账并于次月5日前提交甲方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、合同金额及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付款方式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合同总金额为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元整（大写：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增值税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详见附件《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绿植摆放及维护清单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按月结算，每月服务费为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¥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元（大写：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）。合同签订且甲方在收到乙方开具的国家正规增值税专用发票后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15个工作日内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经甲方验收合格，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按乙方提供的开户银行：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，账号：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，以转账方式支付款项，发票抬头单位为“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广东南方报业传媒集团物业管理有限公司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合同终止的，后续费用不再支付。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、甲方权利及义务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甲方有权对绿植花卉的数量、品种、规格及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质量进行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指定及</w:t>
      </w:r>
      <w:r>
        <w:rPr>
          <w:rFonts w:hint="eastAsia" w:ascii="仿宋_GB2312" w:hAnsi="仿宋_GB2312" w:eastAsia="仿宋_GB2312" w:cs="仿宋_GB2312"/>
          <w:sz w:val="28"/>
          <w:szCs w:val="28"/>
        </w:rPr>
        <w:t>监督。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乙方养护达不到甲方要求的，甲方可发出整改书面通知书或口头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警告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乙方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予</w:t>
      </w:r>
      <w:r>
        <w:rPr>
          <w:rFonts w:hint="eastAsia" w:ascii="仿宋_GB2312" w:hAnsi="仿宋_GB2312" w:eastAsia="仿宋_GB2312" w:cs="仿宋_GB2312"/>
          <w:sz w:val="28"/>
          <w:szCs w:val="28"/>
        </w:rPr>
        <w:t>整改的，乙方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就造成的损失承担赔偿责任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乙方负责人或驻场养护人员达不到甲方要求的，甲方可要求更换驻场人员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甲方负责为乙方提供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种植、摆放</w:t>
      </w:r>
      <w:r>
        <w:rPr>
          <w:rFonts w:hint="eastAsia" w:ascii="仿宋_GB2312" w:hAnsi="仿宋_GB2312" w:eastAsia="仿宋_GB2312" w:cs="仿宋_GB2312"/>
          <w:sz w:val="28"/>
          <w:szCs w:val="28"/>
        </w:rPr>
        <w:t>场地，无偿提供绿植花卉养护用水、用电。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甲方需增加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或减少养护面积或</w:t>
      </w:r>
      <w:r>
        <w:rPr>
          <w:rFonts w:hint="eastAsia" w:ascii="仿宋_GB2312" w:hAnsi="仿宋_GB2312" w:eastAsia="仿宋_GB2312" w:cs="仿宋_GB2312"/>
          <w:sz w:val="28"/>
          <w:szCs w:val="28"/>
        </w:rPr>
        <w:t>数量的，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在发出相关面积调整函后，按照合同附件对应单价相应调整服务费用</w:t>
      </w:r>
      <w:r>
        <w:rPr>
          <w:rFonts w:hint="eastAsia" w:ascii="仿宋_GB2312" w:hAnsi="仿宋_GB2312" w:eastAsia="仿宋_GB2312" w:cs="仿宋_GB2312"/>
          <w:sz w:val="28"/>
          <w:szCs w:val="28"/>
        </w:rPr>
        <w:t>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如约定的服务地点发生变化时，甲方应提前两个月通知乙方，以便于乙方及时进行相应的调整准备工作；服务地点的变更，不得超出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广州</w:t>
      </w:r>
      <w:r>
        <w:rPr>
          <w:rFonts w:hint="eastAsia" w:ascii="仿宋_GB2312" w:hAnsi="仿宋_GB2312" w:eastAsia="仿宋_GB2312" w:cs="仿宋_GB2312"/>
          <w:sz w:val="28"/>
          <w:szCs w:val="28"/>
        </w:rPr>
        <w:t>市范围；如服务地点双方无法达成一致的，须结清前期实际发生费用，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本协议自通知期满之日起终止</w:t>
      </w:r>
      <w:r>
        <w:rPr>
          <w:rFonts w:hint="eastAsia" w:ascii="仿宋_GB2312" w:hAnsi="仿宋_GB2312" w:eastAsia="仿宋_GB2312" w:cs="仿宋_GB2312"/>
          <w:sz w:val="28"/>
          <w:szCs w:val="28"/>
        </w:rPr>
        <w:t>。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、乙方权利及义务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乙方工作人员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遵守甲方的规章制度，未经许可不得进入与绿化服务业务无关的区域，或做与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绿化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服务无关的事项；不得损坏甲方办公场所的设施设备，不得影响甲方场所的环境卫生，不得影响甲方场所其他人员的工作秩序，不得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窃取</w:t>
      </w:r>
      <w:r>
        <w:rPr>
          <w:rFonts w:hint="eastAsia" w:ascii="仿宋_GB2312" w:hAnsi="仿宋_GB2312" w:eastAsia="仿宋_GB2312" w:cs="仿宋_GB2312"/>
          <w:sz w:val="28"/>
          <w:szCs w:val="28"/>
        </w:rPr>
        <w:t>甲方机密。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.乙方应对驻场工作人员进行安全生产培训，</w:t>
      </w:r>
      <w:r>
        <w:rPr>
          <w:rFonts w:hint="eastAsia"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服务过程中</w:t>
      </w:r>
      <w:r>
        <w:rPr>
          <w:rFonts w:hint="eastAsia" w:ascii="仿宋_GB2312" w:hAnsi="仿宋_GB2312" w:eastAsia="仿宋_GB2312" w:cs="仿宋_GB2312"/>
          <w:sz w:val="28"/>
          <w:szCs w:val="28"/>
        </w:rPr>
        <w:t>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提高警惕，</w:t>
      </w:r>
      <w:r>
        <w:rPr>
          <w:rFonts w:hint="eastAsia" w:ascii="仿宋_GB2312" w:hAnsi="仿宋_GB2312" w:eastAsia="仿宋_GB2312" w:cs="仿宋_GB2312"/>
          <w:sz w:val="28"/>
          <w:szCs w:val="28"/>
        </w:rPr>
        <w:t>采取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积极有效</w:t>
      </w:r>
      <w:r>
        <w:rPr>
          <w:rFonts w:hint="eastAsia" w:ascii="仿宋_GB2312" w:hAnsi="仿宋_GB2312" w:eastAsia="仿宋_GB2312" w:cs="仿宋_GB2312"/>
          <w:sz w:val="28"/>
          <w:szCs w:val="28"/>
        </w:rPr>
        <w:t>的安全防护措施，消除事故隐患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避免造成人身和财产的损害</w:t>
      </w:r>
      <w:r>
        <w:rPr>
          <w:rFonts w:hint="eastAsia" w:ascii="仿宋_GB2312" w:hAnsi="仿宋_GB2312" w:eastAsia="仿宋_GB2312" w:cs="仿宋_GB2312"/>
          <w:sz w:val="28"/>
          <w:szCs w:val="28"/>
        </w:rPr>
        <w:t>。由于乙方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日常工作中未采取有效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安全措施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或管理不善而</w:t>
      </w:r>
      <w:r>
        <w:rPr>
          <w:rFonts w:hint="eastAsia" w:ascii="仿宋_GB2312" w:hAnsi="仿宋_GB2312" w:eastAsia="仿宋_GB2312" w:cs="仿宋_GB2312"/>
          <w:sz w:val="28"/>
          <w:szCs w:val="28"/>
        </w:rPr>
        <w:t>造成事故的责任和因此发生的费用，由乙方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sz w:val="28"/>
          <w:szCs w:val="28"/>
        </w:rPr>
        <w:t>承担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全部责任，因此给甲方造成损失的，乙方应负责赔偿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乙方的日常养护需服从甲方要求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甲方的要求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及时更换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花卉植物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不得无故拒绝，花卉植物需</w:t>
      </w:r>
      <w:r>
        <w:rPr>
          <w:rFonts w:hint="eastAsia" w:ascii="仿宋_GB2312" w:hAnsi="仿宋_GB2312" w:eastAsia="仿宋_GB2312" w:cs="仿宋_GB2312"/>
          <w:sz w:val="28"/>
          <w:szCs w:val="28"/>
        </w:rPr>
        <w:t>保持应有的新鲜和美观。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、违约责任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/>
          <w:lang w:val="en-US" w:eastAsia="zh-CN"/>
        </w:rPr>
        <w:t>1.若乙方出现以下违约情形，甲方有权按以下方式追究责任：（1）未按本合同第四条第2款要求更换花卉植物或拒绝进行养护；（2）未按本合同第四条第7款要求提交月度工作计划、工作台账，或未按计划开展工作；（3）经甲方检查认定养护质量不符合本合同约定的服务标准，且在收到甲方整改通知后3个工作日内未完成整改。针对以上违约行为，甲方有权要求乙方承担违约责任，首次违约， 甲方有权向乙方发出书面警告；再次违约， 甲方有权自乙方当月服务费中扣除50%作为违约金；第三次违约，甲方有权单方解除本合同，且无需承担任何违约责任。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2.任何一方无故解除本合同的</w:t>
      </w:r>
      <w:r>
        <w:rPr>
          <w:rFonts w:hint="eastAsia" w:ascii="仿宋_GB2312" w:hAnsi="仿宋_GB2312" w:eastAsia="仿宋_GB2312" w:cs="仿宋_GB2312"/>
          <w:sz w:val="28"/>
          <w:szCs w:val="28"/>
        </w:rPr>
        <w:t>，应向守约方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28"/>
          <w:szCs w:val="28"/>
        </w:rPr>
        <w:t>本合同一年总金额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%的违约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金</w:t>
      </w:r>
      <w:r>
        <w:rPr>
          <w:rFonts w:hint="eastAsia" w:ascii="仿宋_GB2312" w:hAnsi="仿宋_GB2312" w:eastAsia="仿宋_GB2312" w:cs="仿宋_GB2312"/>
          <w:sz w:val="28"/>
          <w:szCs w:val="28"/>
        </w:rPr>
        <w:t>；本合同履行中发生争议，双方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28"/>
          <w:szCs w:val="28"/>
        </w:rPr>
        <w:t>协商解决，协商不成的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任何一方</w:t>
      </w:r>
      <w:r>
        <w:rPr>
          <w:rFonts w:hint="eastAsia" w:ascii="仿宋_GB2312" w:hAnsi="仿宋_GB2312" w:eastAsia="仿宋_GB2312" w:cs="仿宋_GB2312"/>
          <w:sz w:val="28"/>
          <w:szCs w:val="28"/>
        </w:rPr>
        <w:t>均可向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28"/>
          <w:szCs w:val="28"/>
        </w:rPr>
        <w:t>所在地人民法院起诉。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九、其他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本合同一式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份，甲乙双方签字盖章后立即生效，双方各执贰份，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附表1《绿植摆放及维护清单》、附表2《时花栽种（摆放）品种规格要求》、附表3《绿化养护考核评分表》及采购公告、报价函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具有同等效力，未尽事宜双方另行协商解决。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00" w:leftChars="0" w:hanging="1400" w:hangingChars="5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甲方：（盖章）广东</w:t>
      </w:r>
      <w:r>
        <w:rPr>
          <w:rFonts w:hint="eastAsia" w:ascii="仿宋_GB2312" w:hAnsi="仿宋_GB2312" w:eastAsia="仿宋_GB2312" w:cs="仿宋_GB2312"/>
          <w:sz w:val="28"/>
          <w:szCs w:val="28"/>
        </w:rPr>
        <w:t>南方报业传媒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乙方：（盖章）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96" w:leftChars="665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集团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物业管理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有限公司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代表签字：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代表签字：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签订日期：    年   月   日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签订日期：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绿植摆放及维护清单</w:t>
      </w:r>
    </w:p>
    <w:tbl>
      <w:tblPr>
        <w:tblStyle w:val="7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2271"/>
        <w:gridCol w:w="1617"/>
        <w:gridCol w:w="1909"/>
        <w:gridCol w:w="1635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7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区域类型</w:t>
            </w:r>
          </w:p>
        </w:tc>
        <w:tc>
          <w:tcPr>
            <w:tcW w:w="16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面积/数量</w:t>
            </w:r>
          </w:p>
        </w:tc>
        <w:tc>
          <w:tcPr>
            <w:tcW w:w="19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更换频率</w:t>
            </w:r>
          </w:p>
        </w:tc>
        <w:tc>
          <w:tcPr>
            <w:tcW w:w="16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修剪频率</w:t>
            </w:r>
          </w:p>
        </w:tc>
        <w:tc>
          <w:tcPr>
            <w:tcW w:w="218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用药频率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7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绿化地/绿化墙</w:t>
            </w:r>
          </w:p>
        </w:tc>
        <w:tc>
          <w:tcPr>
            <w:tcW w:w="16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1646㎡</w:t>
            </w:r>
          </w:p>
        </w:tc>
        <w:tc>
          <w:tcPr>
            <w:tcW w:w="19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每月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218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1月1次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7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时花种植区</w:t>
            </w:r>
          </w:p>
        </w:tc>
        <w:tc>
          <w:tcPr>
            <w:tcW w:w="16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85㎡</w:t>
            </w:r>
          </w:p>
        </w:tc>
        <w:tc>
          <w:tcPr>
            <w:tcW w:w="19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1年不少于6次</w:t>
            </w:r>
          </w:p>
        </w:tc>
        <w:tc>
          <w:tcPr>
            <w:tcW w:w="16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更换时整理</w:t>
            </w:r>
          </w:p>
        </w:tc>
        <w:tc>
          <w:tcPr>
            <w:tcW w:w="218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1月1次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7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时花花箱</w:t>
            </w:r>
          </w:p>
        </w:tc>
        <w:tc>
          <w:tcPr>
            <w:tcW w:w="16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70个</w:t>
            </w:r>
          </w:p>
        </w:tc>
        <w:tc>
          <w:tcPr>
            <w:tcW w:w="19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1年不少于6次</w:t>
            </w:r>
          </w:p>
        </w:tc>
        <w:tc>
          <w:tcPr>
            <w:tcW w:w="16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更换时整理</w:t>
            </w:r>
          </w:p>
        </w:tc>
        <w:tc>
          <w:tcPr>
            <w:tcW w:w="218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1月1次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7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炮仗花盆</w:t>
            </w:r>
          </w:p>
        </w:tc>
        <w:tc>
          <w:tcPr>
            <w:tcW w:w="16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16个</w:t>
            </w:r>
          </w:p>
        </w:tc>
        <w:tc>
          <w:tcPr>
            <w:tcW w:w="19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花后修剪，1年2次</w:t>
            </w:r>
          </w:p>
        </w:tc>
        <w:tc>
          <w:tcPr>
            <w:tcW w:w="218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1月1次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7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炮仗花花基</w:t>
            </w:r>
          </w:p>
        </w:tc>
        <w:tc>
          <w:tcPr>
            <w:tcW w:w="16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60㎡</w:t>
            </w:r>
          </w:p>
        </w:tc>
        <w:tc>
          <w:tcPr>
            <w:tcW w:w="19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花后修剪，1年2次</w:t>
            </w:r>
          </w:p>
        </w:tc>
        <w:tc>
          <w:tcPr>
            <w:tcW w:w="218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1月1次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7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绿化树木</w:t>
            </w:r>
          </w:p>
        </w:tc>
        <w:tc>
          <w:tcPr>
            <w:tcW w:w="16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63棵</w:t>
            </w:r>
          </w:p>
        </w:tc>
        <w:tc>
          <w:tcPr>
            <w:tcW w:w="19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8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1年4次（按季节防治）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7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时花循环利用区</w:t>
            </w:r>
          </w:p>
        </w:tc>
        <w:tc>
          <w:tcPr>
            <w:tcW w:w="16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60盆</w:t>
            </w:r>
          </w:p>
        </w:tc>
        <w:tc>
          <w:tcPr>
            <w:tcW w:w="19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8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1月1次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时花栽种（摆放）品种规格要求</w:t>
      </w:r>
    </w:p>
    <w:tbl>
      <w:tblPr>
        <w:tblStyle w:val="7"/>
        <w:tblW w:w="9150" w:type="dxa"/>
        <w:tblInd w:w="-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30"/>
        <w:gridCol w:w="1725"/>
        <w:gridCol w:w="1500"/>
        <w:gridCol w:w="1545"/>
        <w:gridCol w:w="120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株植高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（公分）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冠幅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（公分）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绿化地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花盆、箱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春季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大花海棠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一串红尘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13×20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牵牛花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12×20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小凤仙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10×15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毛地黄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50×60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50×60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夏季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夏瑾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18×25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一串红尘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13×20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千日红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23×30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彩叶草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红.黄穗冠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秋季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小鸟蕉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50×60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50×60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百万小玲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龙虾花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鸟尾花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桑贝斯凤仙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冬季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绣球花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月季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18×25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长春花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15*20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四季海棠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孔雀草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飘香藤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0" w:firstLineChars="0"/>
        <w:rPr>
          <w:rFonts w:ascii="华文中宋" w:hAnsi="华文中宋" w:eastAsia="华文中宋"/>
          <w:sz w:val="24"/>
          <w:szCs w:val="24"/>
        </w:rPr>
      </w:pPr>
    </w:p>
    <w:p>
      <w:pPr>
        <w:ind w:firstLine="0" w:firstLineChars="0"/>
        <w:rPr>
          <w:rFonts w:ascii="华文中宋" w:hAnsi="华文中宋" w:eastAsia="华文中宋"/>
          <w:sz w:val="24"/>
          <w:szCs w:val="24"/>
        </w:rPr>
      </w:pPr>
    </w:p>
    <w:p>
      <w:pPr>
        <w:ind w:firstLine="0" w:firstLineChars="0"/>
        <w:rPr>
          <w:rFonts w:ascii="华文中宋" w:hAnsi="华文中宋" w:eastAsia="华文中宋"/>
          <w:sz w:val="24"/>
          <w:szCs w:val="24"/>
        </w:rPr>
      </w:pPr>
    </w:p>
    <w:p>
      <w:pPr>
        <w:ind w:firstLine="0" w:firstLineChars="0"/>
        <w:rPr>
          <w:rFonts w:ascii="华文中宋" w:hAnsi="华文中宋" w:eastAsia="华文中宋"/>
          <w:sz w:val="24"/>
          <w:szCs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附表3：</w:t>
      </w:r>
    </w:p>
    <w:p>
      <w:pPr>
        <w:jc w:val="center"/>
        <w:rPr>
          <w:rFonts w:hint="eastAsia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绿化养护考核评分表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考核单位：</w:t>
      </w:r>
    </w:p>
    <w:tbl>
      <w:tblPr>
        <w:tblStyle w:val="8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917"/>
        <w:gridCol w:w="1992"/>
        <w:gridCol w:w="1223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909" w:type="dxa"/>
            <w:gridSpan w:val="2"/>
            <mc:AlternateContent>
              <mc:Choice Requires="wpsCustomData">
                <wpsCustomData:diagonals>
                  <wpsCustomData:diagonal from="30000" to="1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考核内容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得分情况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09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花卉植物历久常新，长势健康、具有观赏性；无明显病斑、虫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害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残留害虫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；无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val="en-US" w:eastAsia="zh-CN"/>
              </w:rPr>
              <w:t>植株枯死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val="en-US" w:eastAsia="zh-CN"/>
              </w:rPr>
              <w:t>满足得20分，不满足则相应扣减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3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09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修剪：植株无明显残枝、黄叶，株形美观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自然。对出现黄叶残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叶，树型不对称，有陡长枝等要及时修剪。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val="en-US" w:eastAsia="zh-CN"/>
              </w:rPr>
              <w:t>满足得20分，不满足则相应扣减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3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09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卫生：①清洁植物叶面，叶面干净光亮，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无残留泥土和灰尘；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②保持植物的花盆、底托干净整洁，盆器内无杂物、垃圾；③养护需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保持现场清洁，将现场积水拖干、清除残叶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残花等；④处理服务过程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中产生的枝干等绿化垃圾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val="en-US" w:eastAsia="zh-CN"/>
              </w:rPr>
              <w:t>满足得20分，不满足则相应扣减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3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909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浇水：保证植物水分不过量、不缺水，保持植物对生长水分的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需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求</w:t>
            </w:r>
            <w:r>
              <w:rPr>
                <w:rFonts w:hint="eastAsia"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val="en-US" w:eastAsia="zh-CN"/>
              </w:rPr>
              <w:t>满足得20分，不满足则相应扣减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3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909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施肥：定期施用肥料，肥料应为无异味、无毒的有机肥或高效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无机肥</w:t>
            </w:r>
            <w:r>
              <w:rPr>
                <w:rFonts w:hint="eastAsia"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val="en-US" w:eastAsia="zh-CN"/>
              </w:rPr>
              <w:t>满足得20分，不满足则相应扣减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3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评定结果</w:t>
            </w:r>
          </w:p>
        </w:tc>
        <w:tc>
          <w:tcPr>
            <w:tcW w:w="59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总得分</w:t>
            </w:r>
          </w:p>
        </w:tc>
        <w:tc>
          <w:tcPr>
            <w:tcW w:w="192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7" w:type="dxa"/>
            <w:vAlign w:val="center"/>
          </w:tcPr>
          <w:p>
            <w:pPr>
              <w:ind w:firstLine="960" w:firstLineChars="4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合格 □                   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不合格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697" w:type="dxa"/>
            <w:gridSpan w:val="5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评定人员：                                   评定日期：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697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日常管理人员意见：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签名：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/>
          <w:lang w:val="en-US" w:eastAsia="zh-CN"/>
        </w:rPr>
        <w:t>说明：得分90分以上为合格，90分以下为不合格。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rFonts w:hint="eastAsia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MmZhNDAxM2ZmZTE3YmVhNDg4ZWViNzhiMDNhNDkifQ=="/>
  </w:docVars>
  <w:rsids>
    <w:rsidRoot w:val="003356E1"/>
    <w:rsid w:val="00134D39"/>
    <w:rsid w:val="001804C0"/>
    <w:rsid w:val="002E4E3A"/>
    <w:rsid w:val="002E6401"/>
    <w:rsid w:val="003356E1"/>
    <w:rsid w:val="00346FEF"/>
    <w:rsid w:val="00375F0E"/>
    <w:rsid w:val="004903D6"/>
    <w:rsid w:val="004E411E"/>
    <w:rsid w:val="005A0F31"/>
    <w:rsid w:val="005F56F1"/>
    <w:rsid w:val="007456F8"/>
    <w:rsid w:val="007707C3"/>
    <w:rsid w:val="007C7171"/>
    <w:rsid w:val="00830601"/>
    <w:rsid w:val="008B7DAD"/>
    <w:rsid w:val="008F353B"/>
    <w:rsid w:val="009E6539"/>
    <w:rsid w:val="00A62117"/>
    <w:rsid w:val="00A85F20"/>
    <w:rsid w:val="00AC1373"/>
    <w:rsid w:val="00AE6072"/>
    <w:rsid w:val="00C8595E"/>
    <w:rsid w:val="00CC400B"/>
    <w:rsid w:val="00CE0410"/>
    <w:rsid w:val="00CE6AA6"/>
    <w:rsid w:val="00D16400"/>
    <w:rsid w:val="00DA7D56"/>
    <w:rsid w:val="00F3751B"/>
    <w:rsid w:val="00F57BA1"/>
    <w:rsid w:val="00F9762A"/>
    <w:rsid w:val="02490562"/>
    <w:rsid w:val="02870C4B"/>
    <w:rsid w:val="03122AAB"/>
    <w:rsid w:val="04CF25C3"/>
    <w:rsid w:val="058C7C77"/>
    <w:rsid w:val="05FC175B"/>
    <w:rsid w:val="068801D1"/>
    <w:rsid w:val="074900B4"/>
    <w:rsid w:val="082014F2"/>
    <w:rsid w:val="084F3F0E"/>
    <w:rsid w:val="08F45FAB"/>
    <w:rsid w:val="097A025E"/>
    <w:rsid w:val="09D8356D"/>
    <w:rsid w:val="0A1E1226"/>
    <w:rsid w:val="0A61156D"/>
    <w:rsid w:val="0B10701F"/>
    <w:rsid w:val="0C055230"/>
    <w:rsid w:val="0C91739F"/>
    <w:rsid w:val="0CBC352D"/>
    <w:rsid w:val="0D847989"/>
    <w:rsid w:val="0D8E5D0C"/>
    <w:rsid w:val="0DBC0131"/>
    <w:rsid w:val="0E0A0A60"/>
    <w:rsid w:val="0E166355"/>
    <w:rsid w:val="0EB926C8"/>
    <w:rsid w:val="0F0F383C"/>
    <w:rsid w:val="0F3E71D6"/>
    <w:rsid w:val="0FCE0074"/>
    <w:rsid w:val="10467E3F"/>
    <w:rsid w:val="108105E1"/>
    <w:rsid w:val="10D03607"/>
    <w:rsid w:val="11633F21"/>
    <w:rsid w:val="11886EBE"/>
    <w:rsid w:val="124D1C7F"/>
    <w:rsid w:val="12576E7E"/>
    <w:rsid w:val="12FF1CAD"/>
    <w:rsid w:val="137B6E88"/>
    <w:rsid w:val="13923F34"/>
    <w:rsid w:val="13987408"/>
    <w:rsid w:val="14047579"/>
    <w:rsid w:val="14765BCF"/>
    <w:rsid w:val="148E05B2"/>
    <w:rsid w:val="15972C3D"/>
    <w:rsid w:val="16D36F75"/>
    <w:rsid w:val="18A24FA1"/>
    <w:rsid w:val="1A0D7F88"/>
    <w:rsid w:val="1A995D0E"/>
    <w:rsid w:val="1AF26D42"/>
    <w:rsid w:val="1B2F7BC2"/>
    <w:rsid w:val="1B5B00AC"/>
    <w:rsid w:val="1B5F10BD"/>
    <w:rsid w:val="1BCC49A3"/>
    <w:rsid w:val="1C28396A"/>
    <w:rsid w:val="1CA87F06"/>
    <w:rsid w:val="1D53343E"/>
    <w:rsid w:val="1D826836"/>
    <w:rsid w:val="1ECC30FB"/>
    <w:rsid w:val="1F360ECB"/>
    <w:rsid w:val="20477D89"/>
    <w:rsid w:val="20B61750"/>
    <w:rsid w:val="216D7264"/>
    <w:rsid w:val="21D7103D"/>
    <w:rsid w:val="23016681"/>
    <w:rsid w:val="234B502B"/>
    <w:rsid w:val="2354317A"/>
    <w:rsid w:val="237337E9"/>
    <w:rsid w:val="23C37651"/>
    <w:rsid w:val="248E61DC"/>
    <w:rsid w:val="257654E2"/>
    <w:rsid w:val="25FB28D2"/>
    <w:rsid w:val="26071701"/>
    <w:rsid w:val="26AE6283"/>
    <w:rsid w:val="27451C0D"/>
    <w:rsid w:val="27594D44"/>
    <w:rsid w:val="27BF5DA2"/>
    <w:rsid w:val="28594EFE"/>
    <w:rsid w:val="29FC71DB"/>
    <w:rsid w:val="29FF633E"/>
    <w:rsid w:val="2A364946"/>
    <w:rsid w:val="2A43364A"/>
    <w:rsid w:val="2A6B0684"/>
    <w:rsid w:val="2C070F14"/>
    <w:rsid w:val="2D9E7B46"/>
    <w:rsid w:val="2DD3220F"/>
    <w:rsid w:val="2DE2244A"/>
    <w:rsid w:val="307B121F"/>
    <w:rsid w:val="32026A37"/>
    <w:rsid w:val="32A56E47"/>
    <w:rsid w:val="32B67F2A"/>
    <w:rsid w:val="33621D43"/>
    <w:rsid w:val="336B05E5"/>
    <w:rsid w:val="336C58C1"/>
    <w:rsid w:val="33914826"/>
    <w:rsid w:val="33B7459B"/>
    <w:rsid w:val="33F9273D"/>
    <w:rsid w:val="343C2FA9"/>
    <w:rsid w:val="34904AAB"/>
    <w:rsid w:val="34981127"/>
    <w:rsid w:val="34F45BD4"/>
    <w:rsid w:val="37FE2118"/>
    <w:rsid w:val="382D66F1"/>
    <w:rsid w:val="3AE867B0"/>
    <w:rsid w:val="3BA155A7"/>
    <w:rsid w:val="3C735108"/>
    <w:rsid w:val="3CB94B5C"/>
    <w:rsid w:val="3DA95EE6"/>
    <w:rsid w:val="3E5C3A5B"/>
    <w:rsid w:val="3ED6558F"/>
    <w:rsid w:val="3F573B44"/>
    <w:rsid w:val="3F8B5542"/>
    <w:rsid w:val="3FE32709"/>
    <w:rsid w:val="40024714"/>
    <w:rsid w:val="40024D47"/>
    <w:rsid w:val="40BE40F8"/>
    <w:rsid w:val="41827B32"/>
    <w:rsid w:val="41873228"/>
    <w:rsid w:val="421C290B"/>
    <w:rsid w:val="422532FF"/>
    <w:rsid w:val="42E27696"/>
    <w:rsid w:val="43422945"/>
    <w:rsid w:val="44AF7C9C"/>
    <w:rsid w:val="45A75EE2"/>
    <w:rsid w:val="46432224"/>
    <w:rsid w:val="46544C60"/>
    <w:rsid w:val="47B7350E"/>
    <w:rsid w:val="48177CEE"/>
    <w:rsid w:val="497F1BF7"/>
    <w:rsid w:val="498976C8"/>
    <w:rsid w:val="4A1B52C1"/>
    <w:rsid w:val="4A411A72"/>
    <w:rsid w:val="4AE230F2"/>
    <w:rsid w:val="4B150D64"/>
    <w:rsid w:val="4B34309F"/>
    <w:rsid w:val="4BC0507C"/>
    <w:rsid w:val="4BED753B"/>
    <w:rsid w:val="4C1710D6"/>
    <w:rsid w:val="4C9634B8"/>
    <w:rsid w:val="4C9C159F"/>
    <w:rsid w:val="4CC5239C"/>
    <w:rsid w:val="4D414454"/>
    <w:rsid w:val="4DD90A95"/>
    <w:rsid w:val="4E0169B2"/>
    <w:rsid w:val="4E494845"/>
    <w:rsid w:val="4E680423"/>
    <w:rsid w:val="4EF125D8"/>
    <w:rsid w:val="4F271156"/>
    <w:rsid w:val="4FD60FD0"/>
    <w:rsid w:val="5041622B"/>
    <w:rsid w:val="50753984"/>
    <w:rsid w:val="510A6E8F"/>
    <w:rsid w:val="51760D96"/>
    <w:rsid w:val="517D0B0B"/>
    <w:rsid w:val="51CE7AC9"/>
    <w:rsid w:val="51F65A0C"/>
    <w:rsid w:val="523C4304"/>
    <w:rsid w:val="52B46847"/>
    <w:rsid w:val="531123BB"/>
    <w:rsid w:val="53673933"/>
    <w:rsid w:val="54BC0FB4"/>
    <w:rsid w:val="563D0016"/>
    <w:rsid w:val="567F5BE4"/>
    <w:rsid w:val="573F411D"/>
    <w:rsid w:val="57AE542D"/>
    <w:rsid w:val="58553A63"/>
    <w:rsid w:val="591561CB"/>
    <w:rsid w:val="595D78EF"/>
    <w:rsid w:val="5A000902"/>
    <w:rsid w:val="5B324A48"/>
    <w:rsid w:val="5B69531B"/>
    <w:rsid w:val="5B75260E"/>
    <w:rsid w:val="5B77110E"/>
    <w:rsid w:val="5B983FBB"/>
    <w:rsid w:val="5BCD63D6"/>
    <w:rsid w:val="5C110AC3"/>
    <w:rsid w:val="5D135311"/>
    <w:rsid w:val="5D7278F6"/>
    <w:rsid w:val="5E390AC1"/>
    <w:rsid w:val="5E6F25C0"/>
    <w:rsid w:val="5EDF1992"/>
    <w:rsid w:val="5F343985"/>
    <w:rsid w:val="5FD13535"/>
    <w:rsid w:val="6003539B"/>
    <w:rsid w:val="608353C3"/>
    <w:rsid w:val="60C628BB"/>
    <w:rsid w:val="62417CB3"/>
    <w:rsid w:val="628737C8"/>
    <w:rsid w:val="64C7385C"/>
    <w:rsid w:val="64D00AA3"/>
    <w:rsid w:val="651331EE"/>
    <w:rsid w:val="658E53B8"/>
    <w:rsid w:val="65E70E49"/>
    <w:rsid w:val="65F84B49"/>
    <w:rsid w:val="662D3C42"/>
    <w:rsid w:val="665D244E"/>
    <w:rsid w:val="66D90EE2"/>
    <w:rsid w:val="66FB04C6"/>
    <w:rsid w:val="6769163E"/>
    <w:rsid w:val="68075812"/>
    <w:rsid w:val="68493861"/>
    <w:rsid w:val="688A05A4"/>
    <w:rsid w:val="69AF699C"/>
    <w:rsid w:val="69B00F83"/>
    <w:rsid w:val="6A2F7A08"/>
    <w:rsid w:val="6AB63821"/>
    <w:rsid w:val="6ADC5416"/>
    <w:rsid w:val="6BC22381"/>
    <w:rsid w:val="6C5B32D5"/>
    <w:rsid w:val="6C9D4BBC"/>
    <w:rsid w:val="6DCA5C52"/>
    <w:rsid w:val="6E710EF2"/>
    <w:rsid w:val="70043BF5"/>
    <w:rsid w:val="708856E0"/>
    <w:rsid w:val="709D09AA"/>
    <w:rsid w:val="73564AD6"/>
    <w:rsid w:val="75687E97"/>
    <w:rsid w:val="75DB2E92"/>
    <w:rsid w:val="76DC417C"/>
    <w:rsid w:val="77F2322E"/>
    <w:rsid w:val="77FA295A"/>
    <w:rsid w:val="78063B3F"/>
    <w:rsid w:val="78236374"/>
    <w:rsid w:val="78425CC7"/>
    <w:rsid w:val="78470635"/>
    <w:rsid w:val="79002EE4"/>
    <w:rsid w:val="79275C27"/>
    <w:rsid w:val="79343B1B"/>
    <w:rsid w:val="799512DF"/>
    <w:rsid w:val="79CB4606"/>
    <w:rsid w:val="7A1D352F"/>
    <w:rsid w:val="7B324BB9"/>
    <w:rsid w:val="7B5C07A8"/>
    <w:rsid w:val="7C0303E7"/>
    <w:rsid w:val="7C0B3E2A"/>
    <w:rsid w:val="7C6D0669"/>
    <w:rsid w:val="7CAC685B"/>
    <w:rsid w:val="7CBC5A24"/>
    <w:rsid w:val="7E00105A"/>
    <w:rsid w:val="7E4557EB"/>
    <w:rsid w:val="7F64262B"/>
    <w:rsid w:val="7F950B54"/>
    <w:rsid w:val="7FCE234D"/>
    <w:rsid w:val="7FF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771CAA"/>
      <w:u w:val="single"/>
    </w:rPr>
  </w:style>
  <w:style w:type="character" w:styleId="12">
    <w:name w:val="Emphasis"/>
    <w:basedOn w:val="9"/>
    <w:qFormat/>
    <w:uiPriority w:val="20"/>
    <w:rPr>
      <w:color w:val="F73131"/>
    </w:rPr>
  </w:style>
  <w:style w:type="character" w:styleId="13">
    <w:name w:val="Hyperlink"/>
    <w:basedOn w:val="9"/>
    <w:semiHidden/>
    <w:unhideWhenUsed/>
    <w:qFormat/>
    <w:uiPriority w:val="99"/>
    <w:rPr>
      <w:color w:val="2440B3"/>
      <w:u w:val="single"/>
    </w:rPr>
  </w:style>
  <w:style w:type="character" w:styleId="14">
    <w:name w:val="HTML Cite"/>
    <w:basedOn w:val="9"/>
    <w:semiHidden/>
    <w:unhideWhenUsed/>
    <w:qFormat/>
    <w:uiPriority w:val="99"/>
    <w:rPr>
      <w:color w:val="008000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9">
    <w:name w:val="c-icon26"/>
    <w:basedOn w:val="9"/>
    <w:qFormat/>
    <w:uiPriority w:val="0"/>
  </w:style>
  <w:style w:type="character" w:customStyle="1" w:styleId="20">
    <w:name w:val="hover24"/>
    <w:basedOn w:val="9"/>
    <w:qFormat/>
    <w:uiPriority w:val="0"/>
  </w:style>
  <w:style w:type="character" w:customStyle="1" w:styleId="21">
    <w:name w:val="hover25"/>
    <w:basedOn w:val="9"/>
    <w:qFormat/>
    <w:uiPriority w:val="0"/>
    <w:rPr>
      <w:color w:val="315EFB"/>
    </w:rPr>
  </w:style>
  <w:style w:type="character" w:customStyle="1" w:styleId="22">
    <w:name w:val="ca-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49877-F9B4-42DC-B061-D1A58D3D6E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550</Words>
  <Characters>3139</Characters>
  <Lines>26</Lines>
  <Paragraphs>7</Paragraphs>
  <TotalTime>4</TotalTime>
  <ScaleCrop>false</ScaleCrop>
  <LinksUpToDate>false</LinksUpToDate>
  <CharactersWithSpaces>3682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2018-04-20T11:32:00Z</dcterms:created>
  <dc:creator>MAC</dc:creator>
  <cp:lastModifiedBy>陈海霞</cp:lastModifiedBy>
  <cp:lastPrinted>2025-12-08T02:27:00Z</cp:lastPrinted>
  <dcterms:modified xsi:type="dcterms:W3CDTF">2025-12-09T06:23:01Z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B2447DD17A9247618D99CF38C521EC7F</vt:lpwstr>
  </property>
</Properties>
</file>