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jc w:val="center"/>
        <w:rPr>
          <w:rFonts w:hint="eastAsia" w:ascii="黑体" w:hAnsi="黑体" w:eastAsia="黑体"/>
          <w:b/>
          <w:spacing w:val="60"/>
          <w:sz w:val="96"/>
          <w:szCs w:val="96"/>
        </w:rPr>
      </w:pPr>
    </w:p>
    <w:p>
      <w:pPr>
        <w:spacing w:before="312" w:beforeLines="100"/>
        <w:jc w:val="center"/>
        <w:rPr>
          <w:rFonts w:hint="eastAsia" w:ascii="黑体" w:hAnsi="黑体" w:eastAsia="黑体"/>
          <w:b/>
          <w:spacing w:val="60"/>
          <w:sz w:val="96"/>
          <w:szCs w:val="96"/>
        </w:rPr>
      </w:pPr>
    </w:p>
    <w:p>
      <w:pPr>
        <w:spacing w:before="312" w:beforeLines="100"/>
        <w:jc w:val="center"/>
        <w:rPr>
          <w:rFonts w:hint="eastAsia" w:ascii="黑体" w:hAnsi="黑体" w:eastAsia="黑体"/>
          <w:b/>
          <w:spacing w:val="60"/>
          <w:sz w:val="96"/>
          <w:szCs w:val="96"/>
        </w:rPr>
      </w:pPr>
      <w:r>
        <w:rPr>
          <w:rFonts w:hint="eastAsia" w:ascii="黑体" w:hAnsi="黑体" w:eastAsia="黑体"/>
          <w:b/>
          <w:spacing w:val="60"/>
          <w:sz w:val="96"/>
          <w:szCs w:val="96"/>
        </w:rPr>
        <w:t>公开招标文件</w:t>
      </w:r>
    </w:p>
    <w:p>
      <w:pPr>
        <w:jc w:val="cente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rPr>
          <w:sz w:val="22"/>
          <w:szCs w:val="24"/>
        </w:rPr>
      </w:pPr>
    </w:p>
    <w:tbl>
      <w:tblPr>
        <w:tblStyle w:val="37"/>
        <w:tblW w:w="10018" w:type="dxa"/>
        <w:jc w:val="center"/>
        <w:tblLayout w:type="autofit"/>
        <w:tblCellMar>
          <w:top w:w="0" w:type="dxa"/>
          <w:left w:w="108" w:type="dxa"/>
          <w:bottom w:w="0" w:type="dxa"/>
          <w:right w:w="108" w:type="dxa"/>
        </w:tblCellMar>
      </w:tblPr>
      <w:tblGrid>
        <w:gridCol w:w="2452"/>
        <w:gridCol w:w="7566"/>
      </w:tblGrid>
      <w:tr>
        <w:tblPrEx>
          <w:tblCellMar>
            <w:top w:w="0" w:type="dxa"/>
            <w:left w:w="108" w:type="dxa"/>
            <w:bottom w:w="0" w:type="dxa"/>
            <w:right w:w="108" w:type="dxa"/>
          </w:tblCellMar>
        </w:tblPrEx>
        <w:trPr>
          <w:trHeight w:val="1062" w:hRule="atLeast"/>
          <w:jc w:val="center"/>
        </w:trPr>
        <w:tc>
          <w:tcPr>
            <w:tcW w:w="2452" w:type="dxa"/>
            <w:noWrap w:val="0"/>
            <w:vAlign w:val="top"/>
          </w:tcPr>
          <w:p>
            <w:pPr>
              <w:spacing w:before="468" w:beforeLines="150"/>
              <w:jc w:val="center"/>
              <w:rPr>
                <w:rFonts w:hint="eastAsia" w:ascii="黑体" w:hAnsi="黑体" w:eastAsia="黑体"/>
                <w:b/>
                <w:spacing w:val="40"/>
                <w:sz w:val="32"/>
                <w:szCs w:val="32"/>
              </w:rPr>
            </w:pPr>
            <w:r>
              <w:rPr>
                <w:rFonts w:hint="eastAsia" w:ascii="黑体" w:hAnsi="黑体" w:eastAsia="黑体"/>
                <w:b/>
                <w:spacing w:val="40"/>
                <w:sz w:val="32"/>
                <w:szCs w:val="32"/>
              </w:rPr>
              <w:t>项目名称：</w:t>
            </w:r>
          </w:p>
        </w:tc>
        <w:tc>
          <w:tcPr>
            <w:tcW w:w="7566" w:type="dxa"/>
            <w:noWrap w:val="0"/>
            <w:vAlign w:val="top"/>
          </w:tcPr>
          <w:p>
            <w:pPr>
              <w:tabs>
                <w:tab w:val="left" w:pos="-108"/>
              </w:tabs>
              <w:spacing w:before="468" w:beforeLines="150"/>
              <w:ind w:left="-107" w:leftChars="-51" w:firstLine="3"/>
              <w:jc w:val="left"/>
              <w:rPr>
                <w:rFonts w:hint="eastAsia" w:ascii="黑体" w:hAnsi="黑体" w:eastAsia="黑体"/>
                <w:b/>
                <w:sz w:val="32"/>
                <w:szCs w:val="32"/>
              </w:rPr>
            </w:pPr>
            <w:r>
              <w:rPr>
                <w:rFonts w:hint="eastAsia" w:ascii="黑体" w:hAnsi="黑体" w:eastAsia="黑体"/>
                <w:b/>
                <w:sz w:val="32"/>
                <w:szCs w:val="32"/>
              </w:rPr>
              <w:t>南方报业传媒集团核心信息系统云备份中心建设项目</w:t>
            </w:r>
          </w:p>
        </w:tc>
      </w:tr>
      <w:tr>
        <w:tblPrEx>
          <w:tblCellMar>
            <w:top w:w="0" w:type="dxa"/>
            <w:left w:w="108" w:type="dxa"/>
            <w:bottom w:w="0" w:type="dxa"/>
            <w:right w:w="108" w:type="dxa"/>
          </w:tblCellMar>
        </w:tblPrEx>
        <w:trPr>
          <w:trHeight w:val="607" w:hRule="atLeast"/>
          <w:jc w:val="center"/>
        </w:trPr>
        <w:tc>
          <w:tcPr>
            <w:tcW w:w="2452" w:type="dxa"/>
            <w:noWrap w:val="0"/>
            <w:vAlign w:val="top"/>
          </w:tcPr>
          <w:p>
            <w:pPr>
              <w:jc w:val="center"/>
              <w:rPr>
                <w:rFonts w:hint="eastAsia" w:ascii="黑体" w:hAnsi="黑体" w:eastAsia="黑体"/>
                <w:b/>
                <w:sz w:val="32"/>
                <w:szCs w:val="32"/>
              </w:rPr>
            </w:pPr>
            <w:r>
              <w:rPr>
                <w:rFonts w:hint="eastAsia" w:ascii="黑体" w:hAnsi="黑体" w:eastAsia="黑体"/>
                <w:b/>
                <w:spacing w:val="40"/>
                <w:sz w:val="32"/>
                <w:szCs w:val="32"/>
              </w:rPr>
              <w:t>项目编号：</w:t>
            </w:r>
          </w:p>
        </w:tc>
        <w:tc>
          <w:tcPr>
            <w:tcW w:w="7566" w:type="dxa"/>
            <w:noWrap w:val="0"/>
            <w:vAlign w:val="top"/>
          </w:tcPr>
          <w:p>
            <w:pPr>
              <w:tabs>
                <w:tab w:val="left" w:pos="-108"/>
              </w:tabs>
              <w:ind w:left="-107" w:leftChars="-51" w:firstLine="3"/>
              <w:jc w:val="left"/>
              <w:rPr>
                <w:rFonts w:hint="eastAsia" w:ascii="黑体" w:hAnsi="黑体" w:eastAsia="黑体"/>
                <w:b/>
                <w:sz w:val="32"/>
                <w:szCs w:val="32"/>
              </w:rPr>
            </w:pPr>
            <w:r>
              <w:rPr>
                <w:rFonts w:hint="eastAsia" w:ascii="黑体" w:hAnsi="黑体" w:eastAsia="黑体"/>
                <w:b/>
                <w:sz w:val="32"/>
                <w:szCs w:val="32"/>
              </w:rPr>
              <w:t>2024-CICDIGDZC-F1003</w:t>
            </w:r>
          </w:p>
        </w:tc>
      </w:tr>
      <w:tr>
        <w:tblPrEx>
          <w:tblCellMar>
            <w:top w:w="0" w:type="dxa"/>
            <w:left w:w="108" w:type="dxa"/>
            <w:bottom w:w="0" w:type="dxa"/>
            <w:right w:w="108" w:type="dxa"/>
          </w:tblCellMar>
        </w:tblPrEx>
        <w:trPr>
          <w:trHeight w:val="607" w:hRule="atLeast"/>
          <w:jc w:val="center"/>
        </w:trPr>
        <w:tc>
          <w:tcPr>
            <w:tcW w:w="2452" w:type="dxa"/>
            <w:noWrap w:val="0"/>
            <w:vAlign w:val="top"/>
          </w:tcPr>
          <w:p>
            <w:pPr>
              <w:jc w:val="center"/>
              <w:rPr>
                <w:rFonts w:hint="eastAsia" w:ascii="黑体" w:hAnsi="黑体" w:eastAsia="黑体"/>
                <w:b/>
                <w:sz w:val="32"/>
                <w:szCs w:val="32"/>
              </w:rPr>
            </w:pPr>
            <w:r>
              <w:rPr>
                <w:rFonts w:hint="eastAsia" w:ascii="黑体" w:hAnsi="黑体" w:eastAsia="黑体"/>
                <w:b/>
                <w:spacing w:val="40"/>
                <w:sz w:val="32"/>
                <w:szCs w:val="32"/>
              </w:rPr>
              <w:t>采购单位：</w:t>
            </w:r>
          </w:p>
        </w:tc>
        <w:tc>
          <w:tcPr>
            <w:tcW w:w="7566" w:type="dxa"/>
            <w:noWrap w:val="0"/>
            <w:vAlign w:val="top"/>
          </w:tcPr>
          <w:p>
            <w:pPr>
              <w:tabs>
                <w:tab w:val="left" w:pos="-108"/>
              </w:tabs>
              <w:ind w:left="-107" w:leftChars="-51" w:firstLine="3"/>
              <w:jc w:val="left"/>
              <w:rPr>
                <w:rFonts w:hint="eastAsia" w:ascii="黑体" w:hAnsi="黑体" w:eastAsia="黑体"/>
                <w:b/>
                <w:sz w:val="32"/>
                <w:szCs w:val="32"/>
              </w:rPr>
            </w:pPr>
            <w:r>
              <w:rPr>
                <w:rFonts w:hint="eastAsia" w:ascii="黑体" w:hAnsi="黑体" w:eastAsia="黑体"/>
                <w:b/>
                <w:sz w:val="32"/>
                <w:szCs w:val="32"/>
              </w:rPr>
              <w:t>广东南方报业传媒集团有限公司</w:t>
            </w:r>
          </w:p>
        </w:tc>
      </w:tr>
      <w:tr>
        <w:tblPrEx>
          <w:tblCellMar>
            <w:top w:w="0" w:type="dxa"/>
            <w:left w:w="108" w:type="dxa"/>
            <w:bottom w:w="0" w:type="dxa"/>
            <w:right w:w="108" w:type="dxa"/>
          </w:tblCellMar>
        </w:tblPrEx>
        <w:trPr>
          <w:trHeight w:val="607" w:hRule="atLeast"/>
          <w:jc w:val="center"/>
        </w:trPr>
        <w:tc>
          <w:tcPr>
            <w:tcW w:w="2452" w:type="dxa"/>
            <w:noWrap w:val="0"/>
            <w:vAlign w:val="top"/>
          </w:tcPr>
          <w:p>
            <w:pPr>
              <w:jc w:val="center"/>
              <w:rPr>
                <w:rFonts w:hint="eastAsia" w:ascii="黑体" w:hAnsi="黑体" w:eastAsia="黑体"/>
                <w:b/>
                <w:sz w:val="32"/>
                <w:szCs w:val="32"/>
              </w:rPr>
            </w:pPr>
            <w:r>
              <w:rPr>
                <w:rFonts w:hint="eastAsia" w:ascii="黑体" w:hAnsi="黑体" w:eastAsia="黑体"/>
                <w:b/>
                <w:spacing w:val="-10"/>
                <w:sz w:val="32"/>
                <w:szCs w:val="32"/>
              </w:rPr>
              <w:t>采购代理机构</w:t>
            </w:r>
            <w:r>
              <w:rPr>
                <w:rFonts w:hint="eastAsia" w:ascii="黑体" w:hAnsi="黑体" w:eastAsia="黑体"/>
                <w:b/>
                <w:sz w:val="32"/>
                <w:szCs w:val="32"/>
              </w:rPr>
              <w:t>：</w:t>
            </w:r>
          </w:p>
        </w:tc>
        <w:tc>
          <w:tcPr>
            <w:tcW w:w="7566" w:type="dxa"/>
            <w:noWrap w:val="0"/>
            <w:vAlign w:val="top"/>
          </w:tcPr>
          <w:p>
            <w:pPr>
              <w:tabs>
                <w:tab w:val="left" w:pos="-108"/>
              </w:tabs>
              <w:ind w:left="-107" w:leftChars="-51" w:firstLine="3"/>
              <w:jc w:val="left"/>
              <w:rPr>
                <w:rFonts w:hint="eastAsia" w:ascii="黑体" w:hAnsi="黑体" w:eastAsia="黑体"/>
                <w:b/>
                <w:spacing w:val="4"/>
                <w:sz w:val="32"/>
                <w:szCs w:val="32"/>
              </w:rPr>
            </w:pPr>
            <w:r>
              <w:rPr>
                <w:rFonts w:hint="eastAsia" w:ascii="黑体" w:hAnsi="黑体" w:eastAsia="黑体"/>
                <w:b/>
                <w:spacing w:val="4"/>
                <w:sz w:val="32"/>
                <w:szCs w:val="32"/>
              </w:rPr>
              <w:t>中通服咨询设计研究院有限公司</w:t>
            </w:r>
          </w:p>
        </w:tc>
      </w:tr>
    </w:tbl>
    <w:p>
      <w:pPr>
        <w:rPr>
          <w:sz w:val="22"/>
          <w:szCs w:val="24"/>
        </w:rPr>
      </w:pPr>
    </w:p>
    <w:p>
      <w:pPr>
        <w:pStyle w:val="3"/>
        <w:rPr>
          <w:sz w:val="22"/>
          <w:szCs w:val="28"/>
        </w:rPr>
      </w:pPr>
    </w:p>
    <w:p>
      <w:pPr>
        <w:pStyle w:val="3"/>
        <w:rPr>
          <w:sz w:val="22"/>
          <w:szCs w:val="28"/>
        </w:rPr>
      </w:pPr>
    </w:p>
    <w:p>
      <w:pPr>
        <w:spacing w:before="156" w:beforeLines="50" w:line="360" w:lineRule="auto"/>
        <w:jc w:val="center"/>
        <w:rPr>
          <w:rFonts w:hint="eastAsia" w:ascii="黑体" w:hAnsi="黑体" w:eastAsia="黑体"/>
          <w:b/>
          <w:spacing w:val="60"/>
          <w:sz w:val="40"/>
          <w:szCs w:val="40"/>
        </w:rPr>
      </w:pPr>
      <w:r>
        <w:rPr>
          <w:rFonts w:hint="eastAsia" w:ascii="黑体" w:hAnsi="黑体" w:eastAsia="黑体"/>
          <w:b/>
          <w:spacing w:val="60"/>
          <w:sz w:val="40"/>
          <w:szCs w:val="40"/>
        </w:rPr>
        <w:t>2024年12月</w:t>
      </w:r>
    </w:p>
    <w:p>
      <w:pPr>
        <w:rPr>
          <w:rFonts w:hint="eastAsia" w:ascii="黑体" w:hAnsi="黑体" w:eastAsia="黑体"/>
          <w:b/>
          <w:spacing w:val="60"/>
          <w:sz w:val="40"/>
          <w:szCs w:val="40"/>
        </w:rPr>
      </w:pPr>
    </w:p>
    <w:p>
      <w:pPr>
        <w:pageBreakBefore/>
        <w:spacing w:before="156" w:beforeLines="50" w:after="312" w:afterLines="100" w:line="480" w:lineRule="auto"/>
        <w:jc w:val="center"/>
        <w:rPr>
          <w:rFonts w:hint="eastAsia" w:ascii="黑体" w:hAnsi="黑体" w:eastAsia="黑体"/>
          <w:b/>
          <w:spacing w:val="60"/>
          <w:sz w:val="48"/>
          <w:szCs w:val="48"/>
        </w:rPr>
      </w:pPr>
      <w:r>
        <w:rPr>
          <w:rFonts w:hint="eastAsia" w:ascii="黑体" w:hAnsi="黑体" w:eastAsia="黑体"/>
          <w:b/>
          <w:spacing w:val="60"/>
          <w:sz w:val="48"/>
          <w:szCs w:val="48"/>
        </w:rPr>
        <w:t>温馨提示</w:t>
      </w:r>
    </w:p>
    <w:p>
      <w:pPr>
        <w:pStyle w:val="64"/>
        <w:numPr>
          <w:ilvl w:val="0"/>
          <w:numId w:val="1"/>
        </w:numPr>
        <w:spacing w:line="600" w:lineRule="exact"/>
        <w:ind w:firstLineChars="0"/>
        <w:jc w:val="left"/>
        <w:rPr>
          <w:rFonts w:hint="eastAsia" w:ascii="黑体" w:hAnsi="黑体" w:eastAsia="黑体"/>
          <w:sz w:val="22"/>
        </w:rPr>
      </w:pPr>
      <w:r>
        <w:rPr>
          <w:rFonts w:hint="eastAsia" w:ascii="黑体" w:hAnsi="黑体" w:eastAsia="黑体"/>
          <w:sz w:val="22"/>
        </w:rPr>
        <w:t>投标截止时间一到，本公司不接收任何投标文件，因此，请适当提前到达。</w:t>
      </w:r>
    </w:p>
    <w:p>
      <w:pPr>
        <w:pStyle w:val="64"/>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请正确填写《开标一览表》。多包项目请仔细检查包组号，包组号跟包组名称必须一致。</w:t>
      </w:r>
    </w:p>
    <w:p>
      <w:pPr>
        <w:pStyle w:val="64"/>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请仔细检查投标文件是否已按招标文件盖章、签名(或签章)、签署日期。</w:t>
      </w:r>
    </w:p>
    <w:p>
      <w:pPr>
        <w:pStyle w:val="64"/>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加★号的条款必须一一响应。</w:t>
      </w:r>
    </w:p>
    <w:p>
      <w:pPr>
        <w:pStyle w:val="64"/>
        <w:numPr>
          <w:ilvl w:val="0"/>
          <w:numId w:val="1"/>
        </w:numPr>
        <w:spacing w:line="600" w:lineRule="exact"/>
        <w:ind w:firstLineChars="0"/>
        <w:jc w:val="left"/>
        <w:rPr>
          <w:rFonts w:hint="eastAsia" w:ascii="黑体" w:hAnsi="黑体" w:eastAsia="黑体"/>
          <w:sz w:val="22"/>
          <w:szCs w:val="24"/>
        </w:rPr>
      </w:pPr>
      <w:r>
        <w:rPr>
          <w:rFonts w:hint="eastAsia" w:ascii="黑体" w:hAnsi="黑体" w:eastAsia="黑体"/>
          <w:sz w:val="22"/>
          <w:szCs w:val="24"/>
        </w:rPr>
        <w:t>投标文件应按顺序编制页码，制作目录和索引。</w:t>
      </w:r>
    </w:p>
    <w:p>
      <w:pPr>
        <w:numPr>
          <w:ilvl w:val="0"/>
          <w:numId w:val="1"/>
        </w:numPr>
        <w:tabs>
          <w:tab w:val="left" w:pos="709"/>
        </w:tabs>
        <w:spacing w:line="600" w:lineRule="exact"/>
        <w:rPr>
          <w:rFonts w:hint="eastAsia" w:ascii="黑体" w:hAnsi="黑体" w:eastAsia="黑体"/>
          <w:sz w:val="22"/>
        </w:rPr>
      </w:pPr>
      <w:r>
        <w:rPr>
          <w:rFonts w:hint="eastAsia" w:ascii="黑体" w:hAnsi="黑体" w:eastAsia="黑体"/>
          <w:sz w:val="22"/>
        </w:rPr>
        <w:t>投标人如需对项目提出询问或质疑，应按招标文件附件中的询问函和质疑函的格式提交。</w:t>
      </w:r>
    </w:p>
    <w:p>
      <w:pPr>
        <w:tabs>
          <w:tab w:val="left" w:pos="709"/>
        </w:tabs>
        <w:spacing w:before="156" w:beforeLines="50" w:line="600" w:lineRule="exact"/>
        <w:jc w:val="center"/>
        <w:rPr>
          <w:rFonts w:hint="eastAsia" w:ascii="黑体" w:hAnsi="黑体" w:eastAsia="黑体"/>
          <w:b/>
          <w:sz w:val="22"/>
          <w:szCs w:val="24"/>
        </w:rPr>
        <w:sectPr>
          <w:footerReference r:id="rId3" w:type="default"/>
          <w:pgSz w:w="11906" w:h="16838"/>
          <w:pgMar w:top="1020" w:right="1417" w:bottom="1020" w:left="1417" w:header="851" w:footer="992" w:gutter="0"/>
          <w:cols w:space="720" w:num="1"/>
          <w:docGrid w:type="linesAndChars" w:linePitch="312" w:charSpace="0"/>
        </w:sectPr>
      </w:pPr>
      <w:r>
        <w:rPr>
          <w:rFonts w:hint="eastAsia" w:ascii="黑体" w:hAnsi="黑体" w:eastAsia="黑体"/>
          <w:b/>
          <w:sz w:val="22"/>
          <w:szCs w:val="24"/>
        </w:rPr>
        <w:t xml:space="preserve"> (本提示内容非招标文件的组成部分，仅为善意提醒。如有不一致，以招标文件为准。)</w:t>
      </w:r>
    </w:p>
    <w:p>
      <w:pPr>
        <w:pStyle w:val="67"/>
        <w:keepNext w:val="0"/>
        <w:keepLines w:val="0"/>
        <w:pageBreakBefore/>
        <w:widowControl w:val="0"/>
        <w:spacing w:before="0" w:line="360" w:lineRule="auto"/>
        <w:jc w:val="center"/>
        <w:outlineLvl w:val="0"/>
        <w:rPr>
          <w:rFonts w:hint="eastAsia" w:ascii="黑体" w:hAnsi="黑体" w:eastAsia="黑体"/>
          <w:color w:val="auto"/>
          <w:sz w:val="40"/>
          <w:szCs w:val="40"/>
        </w:rPr>
      </w:pPr>
      <w:bookmarkStart w:id="0" w:name="_Toc2607"/>
      <w:bookmarkStart w:id="1" w:name="_Toc30392"/>
      <w:bookmarkStart w:id="2" w:name="_Toc14751"/>
      <w:bookmarkStart w:id="3" w:name="_Toc405313951"/>
      <w:bookmarkStart w:id="4" w:name="_Toc391627747"/>
      <w:bookmarkStart w:id="5" w:name="_Toc391367873"/>
      <w:r>
        <w:rPr>
          <w:rFonts w:hint="eastAsia" w:ascii="黑体" w:hAnsi="黑体" w:eastAsia="黑体"/>
          <w:color w:val="auto"/>
          <w:sz w:val="40"/>
          <w:szCs w:val="40"/>
          <w:lang w:val="zh-CN"/>
        </w:rPr>
        <w:t>目   录</w:t>
      </w:r>
      <w:bookmarkEnd w:id="0"/>
      <w:bookmarkEnd w:id="1"/>
      <w:bookmarkEnd w:id="2"/>
    </w:p>
    <w:p>
      <w:pPr>
        <w:pStyle w:val="27"/>
        <w:tabs>
          <w:tab w:val="right" w:leader="dot" w:pos="8306"/>
          <w:tab w:val="clear" w:pos="8273"/>
        </w:tabs>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TOC \o "1-1" \h \u </w:instrText>
      </w:r>
      <w:r>
        <w:rPr>
          <w:rFonts w:hint="eastAsia" w:ascii="微软雅黑" w:hAnsi="微软雅黑" w:eastAsia="微软雅黑" w:cs="微软雅黑"/>
          <w:b/>
          <w:bCs/>
          <w:sz w:val="24"/>
          <w:szCs w:val="24"/>
        </w:rPr>
        <w:fldChar w:fldCharType="separate"/>
      </w:r>
      <w:r>
        <w:fldChar w:fldCharType="begin"/>
      </w:r>
      <w:r>
        <w:instrText xml:space="preserve"> HYPERLINK \l "_Toc4664" </w:instrText>
      </w:r>
      <w:r>
        <w:fldChar w:fldCharType="separate"/>
      </w:r>
      <w:r>
        <w:rPr>
          <w:rFonts w:hint="eastAsia" w:ascii="微软雅黑" w:hAnsi="微软雅黑" w:eastAsia="微软雅黑" w:cs="微软雅黑"/>
          <w:b/>
          <w:bCs/>
          <w:spacing w:val="20"/>
          <w:sz w:val="24"/>
          <w:szCs w:val="24"/>
        </w:rPr>
        <w:t>第一部分 投标邀请函</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_Toc4664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5</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"_Toc5361" </w:instrText>
      </w:r>
      <w:r>
        <w:fldChar w:fldCharType="separate"/>
      </w:r>
      <w:r>
        <w:rPr>
          <w:rFonts w:hint="eastAsia" w:ascii="微软雅黑" w:hAnsi="微软雅黑" w:eastAsia="微软雅黑" w:cs="微软雅黑"/>
          <w:b/>
          <w:bCs/>
          <w:spacing w:val="20"/>
          <w:sz w:val="24"/>
          <w:szCs w:val="24"/>
        </w:rPr>
        <w:t>第二部分 采购需求书</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_Toc5361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9</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"_Toc27178" </w:instrText>
      </w:r>
      <w:r>
        <w:fldChar w:fldCharType="separate"/>
      </w:r>
      <w:r>
        <w:rPr>
          <w:rFonts w:hint="eastAsia" w:ascii="微软雅黑" w:hAnsi="微软雅黑" w:eastAsia="微软雅黑" w:cs="微软雅黑"/>
          <w:b/>
          <w:bCs/>
          <w:spacing w:val="20"/>
          <w:sz w:val="24"/>
          <w:szCs w:val="24"/>
        </w:rPr>
        <w:t>第三部分 投标须知前附表</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_Toc27178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27</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"_Toc2435" </w:instrText>
      </w:r>
      <w:r>
        <w:fldChar w:fldCharType="separate"/>
      </w:r>
      <w:r>
        <w:rPr>
          <w:rFonts w:hint="eastAsia" w:ascii="微软雅黑" w:hAnsi="微软雅黑" w:eastAsia="微软雅黑" w:cs="微软雅黑"/>
          <w:b/>
          <w:bCs/>
          <w:spacing w:val="20"/>
          <w:sz w:val="24"/>
          <w:szCs w:val="24"/>
        </w:rPr>
        <w:t>第四部分 投标须知</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_Toc2435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29</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"_Toc26844" </w:instrText>
      </w:r>
      <w:r>
        <w:fldChar w:fldCharType="separate"/>
      </w:r>
      <w:r>
        <w:rPr>
          <w:rFonts w:hint="eastAsia" w:ascii="微软雅黑" w:hAnsi="微软雅黑" w:eastAsia="微软雅黑" w:cs="微软雅黑"/>
          <w:b/>
          <w:bCs/>
          <w:spacing w:val="20"/>
          <w:sz w:val="24"/>
          <w:szCs w:val="24"/>
        </w:rPr>
        <w:t>第五部分 评标方法、步骤、标准</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_Toc26844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46</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"_Toc853" </w:instrText>
      </w:r>
      <w:r>
        <w:fldChar w:fldCharType="separate"/>
      </w:r>
      <w:r>
        <w:rPr>
          <w:rFonts w:hint="eastAsia" w:ascii="微软雅黑" w:hAnsi="微软雅黑" w:eastAsia="微软雅黑" w:cs="微软雅黑"/>
          <w:b/>
          <w:bCs/>
          <w:spacing w:val="20"/>
          <w:sz w:val="24"/>
          <w:szCs w:val="24"/>
        </w:rPr>
        <w:t>第六部分 合同书文本</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_Toc853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54</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"_Toc30800" </w:instrText>
      </w:r>
      <w:r>
        <w:fldChar w:fldCharType="separate"/>
      </w:r>
      <w:r>
        <w:rPr>
          <w:rFonts w:hint="eastAsia" w:ascii="微软雅黑" w:hAnsi="微软雅黑" w:eastAsia="微软雅黑" w:cs="微软雅黑"/>
          <w:b/>
          <w:bCs/>
          <w:spacing w:val="20"/>
          <w:sz w:val="24"/>
          <w:szCs w:val="24"/>
        </w:rPr>
        <w:t>第七部分 投标文件格式</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_Toc30800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62</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pStyle w:val="27"/>
        <w:tabs>
          <w:tab w:val="right" w:leader="dot" w:pos="8306"/>
          <w:tab w:val="clear" w:pos="8273"/>
        </w:tabs>
        <w:rPr>
          <w:rFonts w:hint="eastAsia" w:ascii="微软雅黑" w:hAnsi="微软雅黑" w:eastAsia="微软雅黑" w:cs="微软雅黑"/>
          <w:b/>
          <w:bCs/>
          <w:sz w:val="24"/>
          <w:szCs w:val="24"/>
        </w:rPr>
      </w:pPr>
      <w:r>
        <w:fldChar w:fldCharType="begin"/>
      </w:r>
      <w:r>
        <w:instrText xml:space="preserve"> HYPERLINK \l "_Toc16983" </w:instrText>
      </w:r>
      <w:r>
        <w:fldChar w:fldCharType="separate"/>
      </w:r>
      <w:r>
        <w:rPr>
          <w:rFonts w:hint="eastAsia" w:ascii="微软雅黑" w:hAnsi="微软雅黑" w:eastAsia="微软雅黑" w:cs="微软雅黑"/>
          <w:b/>
          <w:bCs/>
          <w:spacing w:val="20"/>
          <w:sz w:val="24"/>
          <w:szCs w:val="24"/>
        </w:rPr>
        <w:t>第八部分 唱标信封格式</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_Toc16983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88</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sz w:val="24"/>
          <w:szCs w:val="24"/>
        </w:rPr>
        <w:fldChar w:fldCharType="end"/>
      </w:r>
    </w:p>
    <w:p>
      <w:pP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fldChar w:fldCharType="end"/>
      </w:r>
    </w:p>
    <w:p>
      <w:pPr>
        <w:pageBreakBefore/>
        <w:spacing w:before="120" w:after="120"/>
      </w:pPr>
    </w:p>
    <w:p>
      <w:pPr>
        <w:jc w:val="center"/>
        <w:outlineLvl w:val="0"/>
        <w:rPr>
          <w:rFonts w:hint="eastAsia" w:ascii="黑体" w:hAnsi="黑体" w:eastAsia="黑体"/>
          <w:b/>
          <w:bCs/>
          <w:spacing w:val="20"/>
          <w:sz w:val="36"/>
          <w:szCs w:val="36"/>
        </w:rPr>
      </w:pPr>
      <w:bookmarkStart w:id="6" w:name="_Toc22729"/>
      <w:bookmarkStart w:id="7" w:name="_Toc25476"/>
      <w:bookmarkStart w:id="8" w:name="_Toc4664"/>
      <w:r>
        <w:rPr>
          <w:rFonts w:hint="eastAsia" w:ascii="黑体" w:hAnsi="黑体" w:eastAsia="黑体"/>
          <w:b/>
          <w:bCs/>
          <w:spacing w:val="20"/>
          <w:sz w:val="36"/>
          <w:szCs w:val="36"/>
        </w:rPr>
        <w:t>第一部分</w:t>
      </w:r>
      <w:r>
        <w:rPr>
          <w:rFonts w:ascii="黑体" w:hAnsi="黑体" w:eastAsia="黑体"/>
          <w:b/>
          <w:bCs/>
          <w:spacing w:val="20"/>
          <w:sz w:val="36"/>
          <w:szCs w:val="36"/>
        </w:rPr>
        <w:t xml:space="preserve"> </w:t>
      </w:r>
      <w:r>
        <w:rPr>
          <w:rFonts w:hint="eastAsia" w:ascii="黑体" w:hAnsi="黑体" w:eastAsia="黑体"/>
          <w:b/>
          <w:bCs/>
          <w:spacing w:val="20"/>
          <w:sz w:val="36"/>
          <w:szCs w:val="36"/>
        </w:rPr>
        <w:t>投标邀请函</w:t>
      </w:r>
      <w:bookmarkEnd w:id="3"/>
      <w:bookmarkEnd w:id="4"/>
      <w:bookmarkEnd w:id="5"/>
      <w:bookmarkEnd w:id="6"/>
      <w:bookmarkEnd w:id="7"/>
      <w:bookmarkEnd w:id="8"/>
    </w:p>
    <w:p>
      <w:pPr>
        <w:tabs>
          <w:tab w:val="left" w:pos="426"/>
        </w:tabs>
        <w:spacing w:before="312" w:beforeLines="100" w:line="360" w:lineRule="auto"/>
        <w:ind w:firstLine="480" w:firstLineChars="200"/>
        <w:rPr>
          <w:rFonts w:hint="eastAsia" w:ascii="宋体" w:hAnsi="宋体" w:cs="宋体"/>
          <w:kern w:val="0"/>
          <w:sz w:val="24"/>
          <w:szCs w:val="24"/>
        </w:rPr>
      </w:pPr>
      <w:r>
        <w:rPr>
          <w:rFonts w:hint="eastAsia" w:ascii="宋体" w:hAnsi="宋体" w:cs="宋体"/>
          <w:kern w:val="0"/>
          <w:sz w:val="24"/>
          <w:szCs w:val="24"/>
          <w:u w:val="single"/>
        </w:rPr>
        <w:t>中通服咨询设计研究院有限公司</w:t>
      </w:r>
      <w:r>
        <w:rPr>
          <w:rFonts w:hint="eastAsia" w:ascii="宋体" w:hAnsi="宋体" w:cs="宋体"/>
          <w:kern w:val="0"/>
          <w:sz w:val="24"/>
          <w:szCs w:val="24"/>
        </w:rPr>
        <w:t>受</w:t>
      </w:r>
      <w:r>
        <w:rPr>
          <w:rFonts w:hint="eastAsia" w:ascii="宋体" w:hAnsi="宋体" w:cs="宋体"/>
          <w:kern w:val="0"/>
          <w:sz w:val="24"/>
          <w:szCs w:val="24"/>
          <w:u w:val="single"/>
        </w:rPr>
        <w:t>广东南方报业传媒集团有限公司</w:t>
      </w:r>
      <w:r>
        <w:rPr>
          <w:rFonts w:hint="eastAsia" w:ascii="宋体" w:hAnsi="宋体" w:cs="宋体"/>
          <w:kern w:val="0"/>
          <w:sz w:val="24"/>
          <w:szCs w:val="24"/>
        </w:rPr>
        <w:t>的委托，采用</w:t>
      </w:r>
      <w:r>
        <w:rPr>
          <w:rFonts w:hint="eastAsia" w:ascii="宋体" w:hAnsi="宋体" w:cs="宋体"/>
          <w:kern w:val="0"/>
          <w:sz w:val="24"/>
          <w:szCs w:val="24"/>
          <w:u w:val="single"/>
        </w:rPr>
        <w:t>公开招标</w:t>
      </w:r>
      <w:r>
        <w:rPr>
          <w:rFonts w:hint="eastAsia" w:ascii="宋体" w:hAnsi="宋体" w:cs="宋体"/>
          <w:kern w:val="0"/>
          <w:sz w:val="24"/>
          <w:szCs w:val="24"/>
        </w:rPr>
        <w:t>方式组织采购</w:t>
      </w:r>
      <w:r>
        <w:rPr>
          <w:rFonts w:hint="eastAsia" w:ascii="宋体" w:hAnsi="宋体" w:cs="宋体"/>
          <w:kern w:val="0"/>
          <w:sz w:val="24"/>
          <w:szCs w:val="24"/>
          <w:u w:val="single"/>
        </w:rPr>
        <w:t>南方报业传媒集团核心信息系统云备份中心建设项目</w:t>
      </w:r>
      <w:r>
        <w:rPr>
          <w:rFonts w:hint="eastAsia" w:ascii="宋体" w:hAnsi="宋体" w:cs="宋体"/>
          <w:kern w:val="0"/>
          <w:sz w:val="24"/>
          <w:szCs w:val="24"/>
        </w:rPr>
        <w:t>。欢迎符合资格条件的国内供应商参加投标。</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sz w:val="28"/>
          <w:szCs w:val="28"/>
        </w:rPr>
      </w:pPr>
      <w:bookmarkStart w:id="9" w:name="_Toc31732"/>
      <w:bookmarkStart w:id="10" w:name="_Toc18391"/>
      <w:r>
        <w:rPr>
          <w:rFonts w:hint="eastAsia" w:ascii="微软雅黑" w:hAnsi="微软雅黑" w:eastAsia="微软雅黑" w:cs="微软雅黑"/>
          <w:b/>
          <w:sz w:val="28"/>
          <w:szCs w:val="28"/>
        </w:rPr>
        <w:t>一、项目基本情况：</w:t>
      </w:r>
      <w:bookmarkEnd w:id="9"/>
      <w:bookmarkEnd w:id="10"/>
    </w:p>
    <w:p>
      <w:pPr>
        <w:tabs>
          <w:tab w:val="left" w:pos="426"/>
        </w:tabs>
        <w:spacing w:line="360" w:lineRule="auto"/>
        <w:ind w:left="480" w:hanging="480" w:hangingChars="200"/>
        <w:rPr>
          <w:rFonts w:hint="eastAsia" w:ascii="宋体" w:hAnsi="宋体" w:cs="宋体"/>
          <w:sz w:val="24"/>
          <w:szCs w:val="24"/>
        </w:rPr>
      </w:pPr>
      <w:bookmarkStart w:id="11" w:name="_Hlk117585944"/>
      <w:r>
        <w:rPr>
          <w:rFonts w:hint="eastAsia" w:ascii="宋体" w:hAnsi="宋体" w:cs="宋体"/>
          <w:sz w:val="24"/>
          <w:szCs w:val="24"/>
        </w:rPr>
        <w:t>1、项目编号：</w:t>
      </w:r>
      <w:bookmarkEnd w:id="11"/>
      <w:r>
        <w:rPr>
          <w:rFonts w:hint="eastAsia" w:ascii="宋体" w:hAnsi="宋体" w:cs="宋体"/>
          <w:sz w:val="24"/>
          <w:szCs w:val="24"/>
        </w:rPr>
        <w:t>2024-CICDIGDZC-F1003；</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2、项目名称：南方报业传媒集团核心信息系统云备份中心建设项目；</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3、采购方式：公开招标；</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4、预算金额：人民币1,880,000.00元；</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5、最高限价：人民币1,880,000.00元；</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6、服务地点：南海基地云备份中心；</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7、服务时间：合同签订后三个月内完成；</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8、本项目招标人为</w:t>
      </w:r>
      <w:r>
        <w:rPr>
          <w:rFonts w:hint="eastAsia" w:ascii="宋体" w:hAnsi="宋体" w:cs="宋体"/>
          <w:sz w:val="24"/>
          <w:szCs w:val="24"/>
          <w:u w:val="single"/>
        </w:rPr>
        <w:t>广东南方报业传媒集团有限公司</w:t>
      </w:r>
      <w:r>
        <w:rPr>
          <w:rFonts w:hint="eastAsia" w:ascii="宋体" w:hAnsi="宋体" w:cs="宋体"/>
          <w:sz w:val="24"/>
          <w:szCs w:val="24"/>
        </w:rPr>
        <w:t>，签约人为</w:t>
      </w:r>
      <w:r>
        <w:rPr>
          <w:rFonts w:hint="eastAsia" w:ascii="宋体" w:hAnsi="宋体" w:cs="宋体"/>
          <w:sz w:val="24"/>
          <w:szCs w:val="24"/>
          <w:u w:val="single"/>
        </w:rPr>
        <w:t>南方日报社</w:t>
      </w:r>
      <w:r>
        <w:rPr>
          <w:rFonts w:hint="eastAsia" w:ascii="宋体" w:hAnsi="宋体" w:cs="宋体"/>
          <w:sz w:val="24"/>
          <w:szCs w:val="24"/>
        </w:rPr>
        <w:t>。</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2" w:name="_Toc23163"/>
      <w:bookmarkStart w:id="13" w:name="_Toc23398"/>
      <w:r>
        <w:rPr>
          <w:rFonts w:hint="eastAsia" w:ascii="微软雅黑" w:hAnsi="微软雅黑" w:eastAsia="微软雅黑" w:cs="微软雅黑"/>
          <w:b/>
          <w:sz w:val="28"/>
          <w:szCs w:val="28"/>
        </w:rPr>
        <w:t>二、采购需求：</w:t>
      </w:r>
      <w:bookmarkEnd w:id="12"/>
      <w:bookmarkEnd w:id="13"/>
    </w:p>
    <w:p>
      <w:pPr>
        <w:spacing w:line="360" w:lineRule="auto"/>
        <w:ind w:firstLine="480" w:firstLineChars="200"/>
        <w:jc w:val="left"/>
        <w:rPr>
          <w:rFonts w:ascii="Times New Roman" w:hAnsi="Times New Roman"/>
          <w:sz w:val="24"/>
          <w:szCs w:val="24"/>
        </w:rPr>
      </w:pPr>
      <w:r>
        <w:rPr>
          <w:rFonts w:hint="eastAsia" w:ascii="宋体" w:hAnsi="宋体" w:cs="宋体"/>
          <w:sz w:val="24"/>
          <w:szCs w:val="24"/>
        </w:rPr>
        <w:t>本项目拟通过公开招标的方式选定一家中标人，为采购人在南海基地提供集团核心业务的异地灾备机房建设服务，主要包括封闭式的集成模块化机柜、云计算资源、数据同步软件等。</w:t>
      </w:r>
      <w:r>
        <w:rPr>
          <w:rFonts w:ascii="Times New Roman" w:hAnsi="Times New Roman"/>
          <w:sz w:val="24"/>
          <w:szCs w:val="24"/>
        </w:rPr>
        <w:t>具体内容详见招标文件第</w:t>
      </w:r>
      <w:r>
        <w:rPr>
          <w:rFonts w:hint="eastAsia" w:ascii="Times New Roman" w:hAnsi="Times New Roman"/>
          <w:sz w:val="24"/>
          <w:szCs w:val="24"/>
        </w:rPr>
        <w:t>二</w:t>
      </w:r>
      <w:r>
        <w:rPr>
          <w:rFonts w:ascii="Times New Roman" w:hAnsi="Times New Roman"/>
          <w:sz w:val="24"/>
          <w:szCs w:val="24"/>
        </w:rPr>
        <w:t>部分</w:t>
      </w:r>
      <w:r>
        <w:rPr>
          <w:rFonts w:hint="eastAsia" w:ascii="Times New Roman" w:hAnsi="Times New Roman"/>
          <w:sz w:val="24"/>
          <w:szCs w:val="24"/>
        </w:rPr>
        <w:t>采购</w:t>
      </w:r>
      <w:r>
        <w:rPr>
          <w:rFonts w:ascii="Times New Roman" w:hAnsi="Times New Roman"/>
          <w:sz w:val="24"/>
          <w:szCs w:val="24"/>
        </w:rPr>
        <w:t>需求书。</w:t>
      </w:r>
    </w:p>
    <w:tbl>
      <w:tblPr>
        <w:tblStyle w:val="37"/>
        <w:tblW w:w="4982"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5"/>
        <w:gridCol w:w="3154"/>
        <w:gridCol w:w="3443"/>
        <w:gridCol w:w="928"/>
        <w:gridCol w:w="12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9" w:hRule="atLeast"/>
        </w:trPr>
        <w:tc>
          <w:tcPr>
            <w:tcW w:w="356"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序号</w:t>
            </w:r>
          </w:p>
        </w:tc>
        <w:tc>
          <w:tcPr>
            <w:tcW w:w="1663"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采购标的</w:t>
            </w:r>
          </w:p>
        </w:tc>
        <w:tc>
          <w:tcPr>
            <w:tcW w:w="1815"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采购内容</w:t>
            </w:r>
          </w:p>
        </w:tc>
        <w:tc>
          <w:tcPr>
            <w:tcW w:w="489"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数量/</w:t>
            </w:r>
          </w:p>
          <w:p>
            <w:pPr>
              <w:jc w:val="center"/>
              <w:rPr>
                <w:rFonts w:hint="eastAsia" w:ascii="黑体" w:hAnsi="黑体" w:eastAsia="黑体" w:cs="黑体"/>
                <w:b/>
                <w:bCs/>
                <w:sz w:val="22"/>
              </w:rPr>
            </w:pPr>
            <w:r>
              <w:rPr>
                <w:rFonts w:hint="eastAsia" w:ascii="黑体" w:hAnsi="黑体" w:eastAsia="黑体" w:cs="黑体"/>
                <w:b/>
                <w:bCs/>
                <w:sz w:val="22"/>
              </w:rPr>
              <w:t>单位</w:t>
            </w:r>
          </w:p>
        </w:tc>
        <w:tc>
          <w:tcPr>
            <w:tcW w:w="675"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服务要求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6" w:type="pct"/>
            <w:noWrap w:val="0"/>
            <w:vAlign w:val="center"/>
          </w:tcPr>
          <w:p>
            <w:pPr>
              <w:jc w:val="center"/>
              <w:rPr>
                <w:rFonts w:hint="eastAsia" w:ascii="黑体" w:hAnsi="黑体" w:eastAsia="黑体" w:cs="黑体"/>
                <w:sz w:val="22"/>
              </w:rPr>
            </w:pPr>
            <w:r>
              <w:rPr>
                <w:rFonts w:hint="eastAsia" w:ascii="黑体" w:hAnsi="黑体" w:eastAsia="黑体" w:cs="黑体"/>
                <w:sz w:val="22"/>
              </w:rPr>
              <w:t>1</w:t>
            </w:r>
          </w:p>
        </w:tc>
        <w:tc>
          <w:tcPr>
            <w:tcW w:w="1663" w:type="pct"/>
            <w:noWrap w:val="0"/>
            <w:vAlign w:val="center"/>
          </w:tcPr>
          <w:p>
            <w:pPr>
              <w:jc w:val="center"/>
              <w:rPr>
                <w:rFonts w:hint="eastAsia" w:ascii="黑体" w:hAnsi="黑体" w:eastAsia="黑体" w:cs="黑体"/>
                <w:sz w:val="22"/>
              </w:rPr>
            </w:pPr>
            <w:r>
              <w:rPr>
                <w:rFonts w:hint="eastAsia" w:ascii="黑体" w:hAnsi="黑体" w:eastAsia="黑体" w:cs="黑体"/>
                <w:sz w:val="22"/>
              </w:rPr>
              <w:t>南方报业传媒集团核心信息系统云备份中心建设</w:t>
            </w:r>
          </w:p>
        </w:tc>
        <w:tc>
          <w:tcPr>
            <w:tcW w:w="1815" w:type="pct"/>
            <w:noWrap w:val="0"/>
            <w:vAlign w:val="center"/>
          </w:tcPr>
          <w:p>
            <w:pPr>
              <w:jc w:val="left"/>
              <w:rPr>
                <w:rFonts w:hint="eastAsia" w:ascii="黑体" w:hAnsi="黑体" w:eastAsia="黑体" w:cs="黑体"/>
                <w:sz w:val="22"/>
              </w:rPr>
            </w:pPr>
            <w:r>
              <w:rPr>
                <w:rFonts w:hint="eastAsia" w:ascii="黑体" w:hAnsi="黑体" w:eastAsia="黑体" w:cs="黑体"/>
                <w:sz w:val="22"/>
              </w:rPr>
              <w:t>在南海基地构建南方报业集团核心业务的异地灾备机房，主要包括封闭式的集成模块化机柜、云计算资源、数据同步软件等</w:t>
            </w:r>
          </w:p>
        </w:tc>
        <w:tc>
          <w:tcPr>
            <w:tcW w:w="489" w:type="pct"/>
            <w:noWrap w:val="0"/>
            <w:vAlign w:val="center"/>
          </w:tcPr>
          <w:p>
            <w:pPr>
              <w:jc w:val="center"/>
              <w:rPr>
                <w:rFonts w:hint="eastAsia" w:ascii="黑体" w:hAnsi="黑体" w:eastAsia="黑体" w:cs="黑体"/>
                <w:sz w:val="22"/>
              </w:rPr>
            </w:pPr>
            <w:r>
              <w:rPr>
                <w:rFonts w:hint="eastAsia" w:ascii="黑体" w:hAnsi="黑体" w:eastAsia="黑体" w:cs="黑体"/>
                <w:sz w:val="22"/>
              </w:rPr>
              <w:t>1/项</w:t>
            </w:r>
          </w:p>
        </w:tc>
        <w:tc>
          <w:tcPr>
            <w:tcW w:w="675" w:type="pct"/>
            <w:noWrap w:val="0"/>
            <w:vAlign w:val="center"/>
          </w:tcPr>
          <w:p>
            <w:pPr>
              <w:jc w:val="center"/>
              <w:rPr>
                <w:rFonts w:hint="eastAsia" w:ascii="黑体" w:hAnsi="黑体" w:eastAsia="黑体" w:cs="黑体"/>
                <w:sz w:val="22"/>
              </w:rPr>
            </w:pPr>
            <w:r>
              <w:rPr>
                <w:rFonts w:hint="eastAsia" w:ascii="黑体" w:hAnsi="黑体" w:eastAsia="黑体" w:cs="黑体"/>
                <w:sz w:val="22"/>
              </w:rPr>
              <w:t>详见招标文件第二部分</w:t>
            </w:r>
          </w:p>
        </w:tc>
      </w:tr>
    </w:tbl>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4" w:name="_Toc23829"/>
      <w:bookmarkStart w:id="15" w:name="_Toc18433"/>
      <w:r>
        <w:rPr>
          <w:rFonts w:hint="eastAsia" w:ascii="微软雅黑" w:hAnsi="微软雅黑" w:eastAsia="微软雅黑" w:cs="微软雅黑"/>
          <w:b/>
          <w:sz w:val="28"/>
          <w:szCs w:val="28"/>
        </w:rPr>
        <w:t>三、投标供应商的资格要求：</w:t>
      </w:r>
      <w:bookmarkEnd w:id="14"/>
      <w:bookmarkEnd w:id="15"/>
    </w:p>
    <w:p>
      <w:pPr>
        <w:spacing w:line="360" w:lineRule="auto"/>
        <w:rPr>
          <w:rFonts w:hint="eastAsia" w:ascii="宋体" w:hAnsi="宋体" w:cs="宋体"/>
          <w:sz w:val="24"/>
          <w:szCs w:val="24"/>
        </w:rPr>
      </w:pPr>
      <w:r>
        <w:rPr>
          <w:rFonts w:hint="eastAsia" w:ascii="宋体" w:hAnsi="宋体" w:cs="宋体"/>
          <w:sz w:val="24"/>
          <w:szCs w:val="24"/>
        </w:rPr>
        <w:t>（一）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line="360" w:lineRule="auto"/>
        <w:rPr>
          <w:rFonts w:hint="eastAsia" w:ascii="宋体" w:hAnsi="宋体" w:cs="宋体"/>
          <w:sz w:val="24"/>
          <w:szCs w:val="24"/>
        </w:rPr>
      </w:pPr>
      <w:r>
        <w:rPr>
          <w:rFonts w:hint="eastAsia" w:ascii="宋体" w:hAnsi="宋体" w:cs="宋体"/>
          <w:sz w:val="24"/>
          <w:szCs w:val="24"/>
        </w:rPr>
        <w:t>（二）有依法缴纳税收和社会保障资金的良好记录。【提供投标截止日前6个月内任意1个月依法缴纳税收和社会保障资金的相关材料。如依法免税或不需要缴纳社会保障资金的，提供相应证明材料。】</w:t>
      </w:r>
    </w:p>
    <w:p>
      <w:pPr>
        <w:spacing w:line="360" w:lineRule="auto"/>
        <w:rPr>
          <w:rFonts w:hint="eastAsia" w:ascii="宋体" w:hAnsi="宋体" w:cs="宋体"/>
          <w:sz w:val="24"/>
          <w:szCs w:val="24"/>
        </w:rPr>
      </w:pPr>
      <w:r>
        <w:rPr>
          <w:rFonts w:hint="eastAsia" w:ascii="宋体" w:hAnsi="宋体" w:cs="宋体"/>
          <w:sz w:val="24"/>
          <w:szCs w:val="24"/>
        </w:rPr>
        <w:t>（三）具有良好的商业信誉和健全的财务会计制度。【提供2023年度财务状况报告或2024年至今任意1个月的财务状况报告复印件，或银行出具的资信证明材料复印件。】</w:t>
      </w:r>
    </w:p>
    <w:p>
      <w:pPr>
        <w:spacing w:line="360" w:lineRule="auto"/>
        <w:rPr>
          <w:rFonts w:hint="eastAsia" w:ascii="宋体" w:hAnsi="宋体" w:cs="宋体"/>
          <w:sz w:val="24"/>
          <w:szCs w:val="24"/>
        </w:rPr>
      </w:pPr>
      <w:r>
        <w:rPr>
          <w:rFonts w:hint="eastAsia" w:ascii="宋体" w:hAnsi="宋体" w:cs="宋体"/>
          <w:sz w:val="24"/>
          <w:szCs w:val="24"/>
        </w:rPr>
        <w:t>（四）履行合同所必需的设备和专业技术能力。【自拟填报设备及专业技术能力情况或提供资格声明函。】</w:t>
      </w:r>
    </w:p>
    <w:p>
      <w:pPr>
        <w:spacing w:line="360" w:lineRule="auto"/>
        <w:rPr>
          <w:rFonts w:hint="eastAsia" w:ascii="宋体" w:hAnsi="宋体" w:cs="宋体"/>
          <w:sz w:val="24"/>
          <w:szCs w:val="24"/>
        </w:rPr>
      </w:pPr>
      <w:r>
        <w:rPr>
          <w:rFonts w:hint="eastAsia" w:ascii="宋体" w:hAnsi="宋体" w:cs="宋体"/>
          <w:sz w:val="24"/>
          <w:szCs w:val="24"/>
        </w:rPr>
        <w:t>（五）参加采购活动前3年内，在经营活动中没有重大违法记录。【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64"/>
        <w:spacing w:line="360" w:lineRule="auto"/>
        <w:ind w:firstLine="0" w:firstLineChars="0"/>
        <w:rPr>
          <w:rFonts w:hint="eastAsia" w:ascii="宋体" w:hAnsi="宋体" w:cs="宋体"/>
          <w:sz w:val="24"/>
          <w:szCs w:val="24"/>
        </w:rPr>
      </w:pPr>
      <w:r>
        <w:rPr>
          <w:rFonts w:hint="eastAsia" w:ascii="宋体" w:hAnsi="宋体" w:cs="宋体"/>
          <w:sz w:val="24"/>
          <w:szCs w:val="24"/>
        </w:rPr>
        <w:t>（六）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pPr>
        <w:spacing w:line="360" w:lineRule="auto"/>
        <w:rPr>
          <w:rFonts w:hint="eastAsia" w:ascii="宋体" w:hAnsi="宋体" w:cs="宋体"/>
          <w:sz w:val="24"/>
          <w:szCs w:val="24"/>
        </w:rPr>
      </w:pPr>
      <w:r>
        <w:rPr>
          <w:rFonts w:hint="eastAsia" w:ascii="宋体" w:hAnsi="宋体" w:cs="宋体"/>
          <w:sz w:val="24"/>
          <w:szCs w:val="24"/>
        </w:rPr>
        <w:t>（七）单位负责人为同一人或者存在直接控股、管理关系的不同供应商，不得同时参加本采购项目投标。为本项目提供整体设计、规范编制或者项目管理、监理、检测等服务的供应商，不得再参与本项目投标。</w:t>
      </w:r>
    </w:p>
    <w:p>
      <w:pPr>
        <w:spacing w:line="360" w:lineRule="auto"/>
        <w:rPr>
          <w:rFonts w:hint="eastAsia" w:ascii="宋体" w:hAnsi="宋体" w:cs="宋体"/>
          <w:sz w:val="24"/>
          <w:szCs w:val="24"/>
        </w:rPr>
      </w:pPr>
      <w:r>
        <w:rPr>
          <w:rFonts w:hint="eastAsia" w:ascii="宋体" w:hAnsi="宋体" w:cs="宋体"/>
          <w:sz w:val="24"/>
          <w:szCs w:val="24"/>
        </w:rPr>
        <w:t>（八）本项目不接受联合体投标。</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16" w:name="_Toc26916"/>
      <w:bookmarkStart w:id="17" w:name="_Toc139"/>
      <w:bookmarkStart w:id="18" w:name="_Hlk58185024"/>
      <w:r>
        <w:rPr>
          <w:rFonts w:hint="eastAsia" w:ascii="微软雅黑" w:hAnsi="微软雅黑" w:eastAsia="微软雅黑" w:cs="微软雅黑"/>
          <w:b/>
          <w:sz w:val="28"/>
          <w:szCs w:val="28"/>
        </w:rPr>
        <w:t>四、获取招标文件</w:t>
      </w:r>
      <w:bookmarkEnd w:id="16"/>
      <w:bookmarkEnd w:id="17"/>
    </w:p>
    <w:bookmarkEnd w:id="18"/>
    <w:p>
      <w:pPr>
        <w:spacing w:line="360" w:lineRule="auto"/>
        <w:rPr>
          <w:rFonts w:hint="eastAsia" w:ascii="宋体" w:hAnsi="宋体" w:cs="宋体"/>
          <w:bCs/>
          <w:sz w:val="24"/>
          <w:szCs w:val="24"/>
        </w:rPr>
      </w:pPr>
      <w:r>
        <w:rPr>
          <w:rFonts w:hint="eastAsia" w:ascii="宋体" w:hAnsi="宋体" w:cs="宋体"/>
          <w:bCs/>
          <w:sz w:val="24"/>
          <w:szCs w:val="24"/>
        </w:rPr>
        <w:t>（一）申领时间：</w:t>
      </w:r>
      <w:r>
        <w:rPr>
          <w:rFonts w:hint="eastAsia" w:ascii="宋体" w:hAnsi="宋体" w:cs="宋体"/>
          <w:bCs/>
          <w:sz w:val="24"/>
          <w:szCs w:val="24"/>
          <w:u w:val="single"/>
        </w:rPr>
        <w:t>2024年12月5</w:t>
      </w:r>
      <w:r>
        <w:rPr>
          <w:rFonts w:hint="eastAsia" w:ascii="宋体" w:hAnsi="宋体" w:cs="宋体"/>
          <w:bCs/>
          <w:sz w:val="24"/>
          <w:szCs w:val="24"/>
        </w:rPr>
        <w:t>日至</w:t>
      </w:r>
      <w:r>
        <w:rPr>
          <w:rFonts w:hint="eastAsia" w:ascii="宋体" w:hAnsi="宋体" w:cs="宋体"/>
          <w:bCs/>
          <w:sz w:val="24"/>
          <w:szCs w:val="24"/>
          <w:u w:val="single"/>
        </w:rPr>
        <w:t xml:space="preserve">2024年12月11 </w:t>
      </w:r>
      <w:r>
        <w:rPr>
          <w:rFonts w:hint="eastAsia" w:ascii="宋体" w:hAnsi="宋体" w:cs="宋体"/>
          <w:bCs/>
          <w:sz w:val="24"/>
          <w:szCs w:val="24"/>
        </w:rPr>
        <w:t>日，每日上午9:00至11:30，下午14:30至17:00。</w:t>
      </w:r>
    </w:p>
    <w:p>
      <w:pPr>
        <w:tabs>
          <w:tab w:val="left" w:pos="0"/>
        </w:tabs>
        <w:spacing w:line="360" w:lineRule="auto"/>
        <w:rPr>
          <w:rFonts w:hint="eastAsia" w:ascii="宋体" w:hAnsi="宋体" w:cs="宋体"/>
          <w:bCs/>
          <w:sz w:val="24"/>
          <w:szCs w:val="24"/>
        </w:rPr>
      </w:pPr>
      <w:r>
        <w:rPr>
          <w:rFonts w:hint="eastAsia" w:ascii="宋体" w:hAnsi="宋体" w:cs="宋体"/>
          <w:bCs/>
          <w:sz w:val="24"/>
          <w:szCs w:val="24"/>
        </w:rPr>
        <w:t>（二）申领地点：</w:t>
      </w:r>
      <w:r>
        <w:rPr>
          <w:rFonts w:hint="eastAsia" w:ascii="宋体" w:hAnsi="宋体" w:cs="宋体"/>
          <w:bCs/>
          <w:sz w:val="24"/>
          <w:szCs w:val="24"/>
          <w:u w:val="single"/>
        </w:rPr>
        <w:t xml:space="preserve">  线上领取，详见公告  </w:t>
      </w:r>
      <w:r>
        <w:rPr>
          <w:rFonts w:hint="eastAsia" w:ascii="宋体" w:hAnsi="宋体" w:cs="宋体"/>
          <w:bCs/>
          <w:sz w:val="24"/>
          <w:szCs w:val="24"/>
        </w:rPr>
        <w:t>。</w:t>
      </w:r>
    </w:p>
    <w:p>
      <w:pPr>
        <w:tabs>
          <w:tab w:val="left" w:pos="0"/>
        </w:tabs>
        <w:spacing w:line="360" w:lineRule="auto"/>
        <w:rPr>
          <w:rFonts w:hint="eastAsia" w:ascii="宋体" w:hAnsi="宋体" w:cs="宋体"/>
          <w:bCs/>
          <w:sz w:val="24"/>
          <w:szCs w:val="24"/>
        </w:rPr>
      </w:pPr>
      <w:r>
        <w:rPr>
          <w:rFonts w:hint="eastAsia" w:ascii="宋体" w:hAnsi="宋体" w:cs="宋体"/>
          <w:bCs/>
          <w:sz w:val="24"/>
          <w:szCs w:val="24"/>
        </w:rPr>
        <w:t>（三）申领招标文件时需提供以下材料：</w:t>
      </w:r>
    </w:p>
    <w:p>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1.《采购文件领购登记表》：具体格式详见附件或联系采购代理人员获取；</w:t>
      </w:r>
    </w:p>
    <w:p>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2.营业执照或事业单位法人证书复印件加盖公章；</w:t>
      </w:r>
    </w:p>
    <w:p>
      <w:pPr>
        <w:tabs>
          <w:tab w:val="left" w:pos="0"/>
        </w:tabs>
        <w:spacing w:line="360" w:lineRule="auto"/>
        <w:rPr>
          <w:rFonts w:hint="eastAsia" w:ascii="宋体" w:hAnsi="宋体" w:cs="宋体"/>
          <w:bCs/>
          <w:sz w:val="24"/>
          <w:szCs w:val="24"/>
        </w:rPr>
      </w:pPr>
      <w:r>
        <w:rPr>
          <w:rFonts w:hint="eastAsia" w:ascii="宋体" w:hAnsi="宋体" w:cs="宋体"/>
          <w:bCs/>
          <w:sz w:val="24"/>
          <w:szCs w:val="24"/>
        </w:rPr>
        <w:t>（四）申领方式</w:t>
      </w:r>
    </w:p>
    <w:p>
      <w:pPr>
        <w:pStyle w:val="35"/>
        <w:spacing w:before="0" w:beforeAutospacing="0" w:after="0" w:afterAutospacing="0" w:line="360" w:lineRule="auto"/>
        <w:ind w:firstLine="480" w:firstLineChars="200"/>
        <w:rPr>
          <w:rFonts w:hint="eastAsia" w:cs="宋体"/>
          <w:bCs/>
        </w:rPr>
      </w:pPr>
      <w:r>
        <w:rPr>
          <w:rFonts w:hint="eastAsia" w:cs="宋体"/>
          <w:bCs/>
        </w:rPr>
        <w:t>网上发送。邮件主题：项目名称+项目编号+公司名称；邮件内容：列明公司名称、法定代表人或授权代表人姓名及联系方式；邮件附件：需采用A4纸幅面，将报名材料加盖企业鲜章，文件名称与主题一致。报名材料审核通过后，采购机构联系人向供应商邮箱发送招标文件电子版；审核未通过的，采购机构联系人以邮件形式回复审核情况，供应商可在招标文件申领时间内重新提交材料。采购机构或代理机构邮箱：</w:t>
      </w:r>
      <w:bookmarkStart w:id="19" w:name="_Hlk118909162"/>
      <w:r>
        <w:rPr>
          <w:rFonts w:hint="eastAsia" w:cs="宋体"/>
          <w:bCs/>
        </w:rPr>
        <w:t>xdzhong115@163.com</w:t>
      </w:r>
    </w:p>
    <w:p>
      <w:pPr>
        <w:pStyle w:val="35"/>
        <w:spacing w:before="0" w:beforeAutospacing="0" w:after="0" w:afterAutospacing="0" w:line="360" w:lineRule="auto"/>
        <w:ind w:firstLine="480" w:firstLineChars="200"/>
        <w:rPr>
          <w:rFonts w:hint="eastAsia" w:cs="宋体"/>
          <w:bCs/>
        </w:rPr>
      </w:pPr>
      <w:r>
        <w:rPr>
          <w:rFonts w:hint="eastAsia" w:cs="宋体"/>
          <w:bCs/>
        </w:rPr>
        <w:t>招标文件发售联系人：钟工  13318882515</w:t>
      </w:r>
    </w:p>
    <w:p>
      <w:pPr>
        <w:pStyle w:val="35"/>
        <w:spacing w:before="0" w:beforeAutospacing="0" w:after="0" w:afterAutospacing="0" w:line="360" w:lineRule="auto"/>
        <w:rPr>
          <w:rFonts w:hint="eastAsia" w:cs="宋体"/>
          <w:bCs/>
        </w:rPr>
      </w:pPr>
      <w:r>
        <w:rPr>
          <w:rFonts w:hint="eastAsia" w:cs="宋体"/>
        </w:rPr>
        <w:t>（五）招标文件售价：</w:t>
      </w:r>
      <w:r>
        <w:rPr>
          <w:rFonts w:hint="eastAsia" w:cs="宋体"/>
          <w:u w:val="single"/>
        </w:rPr>
        <w:t>300</w:t>
      </w:r>
      <w:r>
        <w:rPr>
          <w:rFonts w:hint="eastAsia" w:cs="宋体"/>
        </w:rPr>
        <w:t>元/份，售后不退。</w:t>
      </w:r>
      <w:bookmarkEnd w:id="19"/>
      <w:r>
        <w:rPr>
          <w:rFonts w:hint="eastAsia" w:cs="宋体"/>
          <w:bCs/>
        </w:rPr>
        <w:t>报名供应商必须于本采购项目规定的发售时间内向我司缴纳标书款，否则视为未完成报名。由采购代理机构出具发票，非因采购代理机构原因，发票一经开具不予退换。（备注：转账凭证备注栏须注明“项目名称”+“XX公司”。）</w:t>
      </w:r>
    </w:p>
    <w:p>
      <w:pPr>
        <w:pStyle w:val="35"/>
        <w:spacing w:before="0" w:beforeAutospacing="0" w:after="0" w:afterAutospacing="0" w:line="360" w:lineRule="auto"/>
        <w:ind w:firstLine="480" w:firstLineChars="200"/>
        <w:rPr>
          <w:rFonts w:hint="eastAsia" w:cs="宋体"/>
          <w:bCs/>
        </w:rPr>
      </w:pPr>
      <w:r>
        <w:rPr>
          <w:rFonts w:hint="eastAsia" w:cs="宋体"/>
          <w:bCs/>
        </w:rPr>
        <w:t>1.支付方式：银行电汇；</w:t>
      </w:r>
    </w:p>
    <w:p>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2.收款人名称：中通服咨询设计研究院有限公司；</w:t>
      </w:r>
    </w:p>
    <w:p>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3.开户银行：招商银行南京分行城北支行；</w:t>
      </w:r>
    </w:p>
    <w:p>
      <w:pPr>
        <w:tabs>
          <w:tab w:val="left" w:pos="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4.账号：12590209571010300012。</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0" w:name="_Toc15949"/>
      <w:bookmarkStart w:id="21" w:name="_Toc32528"/>
      <w:r>
        <w:rPr>
          <w:rFonts w:hint="eastAsia" w:ascii="微软雅黑" w:hAnsi="微软雅黑" w:eastAsia="微软雅黑" w:cs="微软雅黑"/>
          <w:b/>
          <w:sz w:val="28"/>
          <w:szCs w:val="28"/>
        </w:rPr>
        <w:t>五、递交投标文件截止时间、开标时间和地点</w:t>
      </w:r>
      <w:bookmarkEnd w:id="20"/>
      <w:bookmarkEnd w:id="21"/>
    </w:p>
    <w:p>
      <w:pPr>
        <w:tabs>
          <w:tab w:val="left" w:pos="284"/>
          <w:tab w:val="left" w:pos="426"/>
        </w:tabs>
        <w:spacing w:line="360" w:lineRule="auto"/>
        <w:rPr>
          <w:rFonts w:hint="eastAsia" w:ascii="宋体" w:hAnsi="宋体" w:cs="宋体"/>
          <w:sz w:val="24"/>
          <w:szCs w:val="24"/>
        </w:rPr>
      </w:pPr>
      <w:r>
        <w:rPr>
          <w:rFonts w:hint="eastAsia" w:ascii="宋体" w:hAnsi="宋体" w:cs="宋体"/>
          <w:sz w:val="24"/>
          <w:szCs w:val="24"/>
        </w:rPr>
        <w:t>（一）提交投标文件时间：</w:t>
      </w:r>
      <w:r>
        <w:rPr>
          <w:rFonts w:hint="eastAsia" w:ascii="宋体" w:hAnsi="宋体" w:cs="宋体"/>
          <w:sz w:val="24"/>
          <w:szCs w:val="24"/>
          <w:u w:val="single"/>
        </w:rPr>
        <w:t>2024年12月25日9时</w:t>
      </w:r>
      <w:r>
        <w:rPr>
          <w:rFonts w:hint="eastAsia" w:ascii="宋体" w:hAnsi="宋体" w:cs="宋体"/>
          <w:sz w:val="24"/>
          <w:szCs w:val="24"/>
          <w:u w:val="single"/>
          <w:lang w:val="en-US" w:eastAsia="zh-CN"/>
        </w:rPr>
        <w:t>0</w:t>
      </w:r>
      <w:r>
        <w:rPr>
          <w:rFonts w:hint="eastAsia" w:ascii="宋体" w:hAnsi="宋体" w:cs="宋体"/>
          <w:sz w:val="24"/>
          <w:szCs w:val="24"/>
          <w:u w:val="single"/>
        </w:rPr>
        <w:t>0分至</w:t>
      </w:r>
      <w:r>
        <w:rPr>
          <w:rFonts w:hint="eastAsia" w:ascii="宋体" w:hAnsi="宋体" w:cs="宋体"/>
          <w:sz w:val="24"/>
          <w:szCs w:val="24"/>
          <w:u w:val="single"/>
          <w:lang w:val="en-US" w:eastAsia="zh-CN"/>
        </w:rPr>
        <w:t>9</w:t>
      </w:r>
      <w:r>
        <w:rPr>
          <w:rFonts w:hint="eastAsia" w:ascii="宋体" w:hAnsi="宋体" w:cs="宋体"/>
          <w:sz w:val="24"/>
          <w:szCs w:val="24"/>
          <w:u w:val="single"/>
        </w:rPr>
        <w:t>时</w:t>
      </w:r>
      <w:r>
        <w:rPr>
          <w:rFonts w:hint="eastAsia" w:ascii="宋体" w:hAnsi="宋体" w:cs="宋体"/>
          <w:sz w:val="24"/>
          <w:szCs w:val="24"/>
          <w:u w:val="single"/>
          <w:lang w:val="en-US" w:eastAsia="zh-CN"/>
        </w:rPr>
        <w:t>3</w:t>
      </w:r>
      <w:r>
        <w:rPr>
          <w:rFonts w:hint="eastAsia" w:ascii="宋体" w:hAnsi="宋体" w:cs="宋体"/>
          <w:sz w:val="24"/>
          <w:szCs w:val="24"/>
          <w:u w:val="single"/>
        </w:rPr>
        <w:t>0分</w:t>
      </w:r>
      <w:r>
        <w:rPr>
          <w:rFonts w:hint="eastAsia" w:ascii="宋体" w:hAnsi="宋体" w:cs="宋体"/>
          <w:sz w:val="24"/>
          <w:szCs w:val="24"/>
        </w:rPr>
        <w:t>（北京时间）。</w:t>
      </w:r>
    </w:p>
    <w:p>
      <w:pPr>
        <w:tabs>
          <w:tab w:val="left" w:pos="284"/>
          <w:tab w:val="left" w:pos="426"/>
        </w:tabs>
        <w:spacing w:line="360" w:lineRule="auto"/>
        <w:rPr>
          <w:rFonts w:hint="eastAsia" w:ascii="宋体" w:hAnsi="宋体" w:cs="宋体"/>
          <w:sz w:val="24"/>
          <w:szCs w:val="24"/>
        </w:rPr>
      </w:pPr>
      <w:r>
        <w:rPr>
          <w:rFonts w:hint="eastAsia" w:ascii="宋体" w:hAnsi="宋体" w:cs="宋体"/>
          <w:sz w:val="24"/>
          <w:szCs w:val="24"/>
        </w:rPr>
        <w:t>（二）提交投标文件截止时间：</w:t>
      </w:r>
      <w:r>
        <w:rPr>
          <w:rFonts w:hint="eastAsia" w:ascii="宋体" w:hAnsi="宋体" w:cs="宋体"/>
          <w:sz w:val="24"/>
          <w:szCs w:val="24"/>
          <w:u w:val="single"/>
        </w:rPr>
        <w:t>2024年12月25日</w:t>
      </w:r>
      <w:r>
        <w:rPr>
          <w:rFonts w:hint="eastAsia" w:ascii="宋体" w:hAnsi="宋体" w:cs="宋体"/>
          <w:sz w:val="24"/>
          <w:szCs w:val="24"/>
          <w:u w:val="single"/>
          <w:lang w:val="en-US" w:eastAsia="zh-CN"/>
        </w:rPr>
        <w:t>9时</w:t>
      </w:r>
      <w:bookmarkStart w:id="184" w:name="_GoBack"/>
      <w:bookmarkEnd w:id="184"/>
      <w:r>
        <w:rPr>
          <w:rFonts w:hint="eastAsia" w:ascii="宋体" w:hAnsi="宋体" w:cs="宋体"/>
          <w:sz w:val="24"/>
          <w:szCs w:val="24"/>
          <w:u w:val="single"/>
          <w:lang w:val="en-US" w:eastAsia="zh-CN"/>
        </w:rPr>
        <w:t>3</w:t>
      </w:r>
      <w:r>
        <w:rPr>
          <w:rFonts w:hint="eastAsia" w:ascii="宋体" w:hAnsi="宋体" w:cs="宋体"/>
          <w:sz w:val="24"/>
          <w:szCs w:val="24"/>
          <w:u w:val="single"/>
        </w:rPr>
        <w:t>0分</w:t>
      </w:r>
      <w:r>
        <w:rPr>
          <w:rFonts w:hint="eastAsia" w:ascii="宋体" w:hAnsi="宋体" w:cs="宋体"/>
          <w:sz w:val="24"/>
          <w:szCs w:val="24"/>
        </w:rPr>
        <w:t>（北京时间）</w:t>
      </w:r>
    </w:p>
    <w:p>
      <w:pPr>
        <w:pStyle w:val="64"/>
        <w:tabs>
          <w:tab w:val="left" w:pos="426"/>
        </w:tabs>
        <w:spacing w:line="360" w:lineRule="auto"/>
        <w:ind w:firstLine="0" w:firstLineChars="0"/>
        <w:rPr>
          <w:rFonts w:hint="eastAsia" w:ascii="宋体" w:hAnsi="宋体" w:cs="宋体"/>
          <w:sz w:val="24"/>
          <w:szCs w:val="24"/>
        </w:rPr>
      </w:pPr>
      <w:r>
        <w:rPr>
          <w:rFonts w:hint="eastAsia" w:ascii="宋体" w:hAnsi="宋体" w:cs="宋体"/>
          <w:sz w:val="24"/>
          <w:szCs w:val="24"/>
        </w:rPr>
        <w:t>（三）提交投标文件地点/开标地点：广州市林和西横路219号康富来大厦5楼1号会议室。</w:t>
      </w:r>
    </w:p>
    <w:p>
      <w:pPr>
        <w:spacing w:line="360" w:lineRule="auto"/>
        <w:jc w:val="left"/>
        <w:rPr>
          <w:rFonts w:ascii="Times New Roman" w:hAnsi="Times New Roman"/>
          <w:sz w:val="24"/>
        </w:rPr>
      </w:pPr>
      <w:r>
        <w:rPr>
          <w:rFonts w:hint="eastAsia" w:ascii="宋体" w:hAnsi="宋体" w:cs="宋体"/>
          <w:sz w:val="24"/>
          <w:szCs w:val="24"/>
        </w:rPr>
        <w:t>（四）</w:t>
      </w:r>
      <w:r>
        <w:rPr>
          <w:rFonts w:ascii="Times New Roman" w:hAnsi="Times New Roman"/>
          <w:sz w:val="24"/>
        </w:rPr>
        <w:t>逾期送达或者未按照招标文件要求密封的投标文件，采购人、采购代理机构将拒收。</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2" w:name="_Toc1711"/>
      <w:bookmarkStart w:id="23" w:name="_Toc20183"/>
      <w:r>
        <w:rPr>
          <w:rFonts w:hint="eastAsia" w:ascii="微软雅黑" w:hAnsi="微软雅黑" w:eastAsia="微软雅黑" w:cs="微软雅黑"/>
          <w:b/>
          <w:sz w:val="28"/>
          <w:szCs w:val="28"/>
        </w:rPr>
        <w:t>六、其他补充事宜</w:t>
      </w:r>
      <w:bookmarkEnd w:id="22"/>
      <w:bookmarkEnd w:id="23"/>
    </w:p>
    <w:p>
      <w:pPr>
        <w:pStyle w:val="64"/>
        <w:tabs>
          <w:tab w:val="left" w:pos="709"/>
        </w:tabs>
        <w:spacing w:line="360" w:lineRule="auto"/>
        <w:ind w:firstLine="0" w:firstLineChars="0"/>
        <w:rPr>
          <w:rFonts w:hint="eastAsia" w:ascii="宋体" w:hAnsi="宋体" w:cs="宋体"/>
          <w:bCs/>
          <w:sz w:val="24"/>
          <w:szCs w:val="24"/>
        </w:rPr>
      </w:pPr>
      <w:r>
        <w:rPr>
          <w:rFonts w:hint="eastAsia" w:ascii="宋体" w:hAnsi="宋体" w:cs="宋体"/>
          <w:bCs/>
          <w:sz w:val="24"/>
          <w:szCs w:val="24"/>
        </w:rPr>
        <w:t>（一）本项目招标公告在南方网（http://zbtb.southcn.com/）、</w:t>
      </w:r>
      <w:r>
        <w:rPr>
          <w:rFonts w:hint="eastAsia" w:ascii="宋体" w:hAnsi="宋体" w:eastAsia="宋体" w:cs="宋体"/>
          <w:bCs/>
          <w:sz w:val="24"/>
          <w:szCs w:val="24"/>
        </w:rPr>
        <w:t>中国通服采招门户、</w:t>
      </w:r>
      <w:r>
        <w:rPr>
          <w:rFonts w:hint="eastAsia" w:ascii="宋体" w:hAnsi="宋体" w:cs="宋体"/>
          <w:bCs/>
          <w:sz w:val="24"/>
          <w:szCs w:val="24"/>
        </w:rPr>
        <w:t>中国招标投标公共服务平台、《南方日报》上发布。</w:t>
      </w:r>
    </w:p>
    <w:p>
      <w:pPr>
        <w:pStyle w:val="64"/>
        <w:tabs>
          <w:tab w:val="left" w:pos="426"/>
        </w:tabs>
        <w:spacing w:line="360" w:lineRule="auto"/>
        <w:ind w:firstLine="0" w:firstLineChars="0"/>
        <w:rPr>
          <w:rFonts w:hint="eastAsia" w:ascii="宋体" w:hAnsi="宋体" w:cs="宋体"/>
          <w:bCs/>
          <w:sz w:val="24"/>
          <w:szCs w:val="24"/>
        </w:rPr>
      </w:pPr>
      <w:r>
        <w:rPr>
          <w:rFonts w:hint="eastAsia" w:ascii="宋体" w:hAnsi="宋体" w:cs="宋体"/>
          <w:bCs/>
          <w:sz w:val="24"/>
          <w:szCs w:val="24"/>
        </w:rPr>
        <w:t>（二）本项目公告期限：20天。</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bookmarkStart w:id="24" w:name="_Toc27806"/>
      <w:bookmarkStart w:id="25" w:name="_Toc32755"/>
      <w:r>
        <w:rPr>
          <w:rFonts w:hint="eastAsia" w:ascii="微软雅黑" w:hAnsi="微软雅黑" w:eastAsia="微软雅黑" w:cs="微软雅黑"/>
          <w:b/>
          <w:sz w:val="28"/>
          <w:szCs w:val="28"/>
        </w:rPr>
        <w:t>七、对本次招标提出询问，请按以下方式联系。</w:t>
      </w:r>
      <w:bookmarkEnd w:id="24"/>
      <w:bookmarkEnd w:id="25"/>
    </w:p>
    <w:p>
      <w:pPr>
        <w:pStyle w:val="64"/>
        <w:tabs>
          <w:tab w:val="left" w:pos="567"/>
        </w:tabs>
        <w:spacing w:line="360" w:lineRule="auto"/>
        <w:ind w:firstLine="0" w:firstLineChars="0"/>
        <w:rPr>
          <w:rFonts w:hint="eastAsia" w:ascii="宋体" w:hAnsi="宋体" w:cs="宋体"/>
          <w:b/>
          <w:sz w:val="24"/>
          <w:szCs w:val="24"/>
        </w:rPr>
      </w:pPr>
      <w:r>
        <w:rPr>
          <w:rFonts w:hint="eastAsia" w:ascii="宋体" w:hAnsi="宋体" w:cs="宋体"/>
          <w:b/>
          <w:sz w:val="24"/>
          <w:szCs w:val="24"/>
        </w:rPr>
        <w:t>（一）采购人信息</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名称：广东南方报业传媒集团有限公司</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地址：广州市越秀区广州大道中289号</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联系人：蔡小姐</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联系方式：020-83002023</w:t>
      </w:r>
    </w:p>
    <w:p>
      <w:pPr>
        <w:pStyle w:val="64"/>
        <w:tabs>
          <w:tab w:val="left" w:pos="567"/>
        </w:tabs>
        <w:spacing w:line="360" w:lineRule="auto"/>
        <w:ind w:firstLine="0" w:firstLineChars="0"/>
        <w:rPr>
          <w:rFonts w:hint="eastAsia" w:ascii="宋体" w:hAnsi="宋体" w:cs="宋体"/>
          <w:b/>
          <w:sz w:val="24"/>
          <w:szCs w:val="24"/>
        </w:rPr>
      </w:pPr>
      <w:r>
        <w:rPr>
          <w:rFonts w:hint="eastAsia" w:ascii="宋体" w:hAnsi="宋体" w:cs="宋体"/>
          <w:b/>
          <w:sz w:val="24"/>
          <w:szCs w:val="24"/>
        </w:rPr>
        <w:t>（二）采购代理机构信息</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名称：中通服咨询设计研究院有限公司</w:t>
      </w:r>
    </w:p>
    <w:p>
      <w:pPr>
        <w:tabs>
          <w:tab w:val="left" w:pos="567"/>
        </w:tabs>
        <w:spacing w:line="360" w:lineRule="auto"/>
        <w:ind w:left="424" w:leftChars="202"/>
        <w:rPr>
          <w:rFonts w:hint="eastAsia" w:ascii="宋体" w:hAnsi="宋体" w:cs="宋体"/>
          <w:bCs/>
          <w:sz w:val="24"/>
          <w:szCs w:val="24"/>
        </w:rPr>
      </w:pPr>
      <w:r>
        <w:rPr>
          <w:rFonts w:hint="eastAsia" w:ascii="宋体" w:hAnsi="宋体" w:cs="宋体"/>
          <w:bCs/>
          <w:sz w:val="24"/>
          <w:szCs w:val="24"/>
        </w:rPr>
        <w:t>地址：广州市林和西横路219号康富来大厦5楼</w:t>
      </w:r>
    </w:p>
    <w:p>
      <w:pPr>
        <w:tabs>
          <w:tab w:val="left" w:pos="567"/>
        </w:tabs>
        <w:spacing w:line="360" w:lineRule="auto"/>
        <w:ind w:left="283" w:leftChars="135" w:firstLine="163" w:firstLineChars="68"/>
        <w:rPr>
          <w:rFonts w:hint="eastAsia" w:ascii="宋体" w:hAnsi="宋体" w:cs="宋体"/>
          <w:bCs/>
          <w:sz w:val="24"/>
          <w:szCs w:val="24"/>
        </w:rPr>
      </w:pPr>
      <w:r>
        <w:rPr>
          <w:rFonts w:hint="eastAsia" w:ascii="宋体" w:hAnsi="宋体" w:cs="宋体"/>
          <w:bCs/>
          <w:sz w:val="24"/>
          <w:szCs w:val="24"/>
        </w:rPr>
        <w:t>联 系 人：：蔡翠莹、钟西东、夏心安、龚戈勇、曹树林</w:t>
      </w:r>
    </w:p>
    <w:p>
      <w:pPr>
        <w:tabs>
          <w:tab w:val="left" w:pos="567"/>
        </w:tabs>
        <w:spacing w:line="360" w:lineRule="auto"/>
        <w:ind w:left="283" w:leftChars="135" w:firstLine="163" w:firstLineChars="68"/>
        <w:rPr>
          <w:rFonts w:hint="eastAsia" w:ascii="宋体" w:hAnsi="宋体" w:cs="宋体"/>
          <w:bCs/>
          <w:sz w:val="24"/>
          <w:szCs w:val="24"/>
        </w:rPr>
      </w:pPr>
      <w:r>
        <w:rPr>
          <w:rFonts w:hint="eastAsia" w:ascii="宋体" w:hAnsi="宋体" w:cs="宋体"/>
          <w:bCs/>
          <w:sz w:val="24"/>
          <w:szCs w:val="24"/>
        </w:rPr>
        <w:t>电    话：13318882515（钟）</w:t>
      </w:r>
    </w:p>
    <w:p>
      <w:pPr>
        <w:tabs>
          <w:tab w:val="left" w:pos="567"/>
        </w:tabs>
        <w:spacing w:line="360" w:lineRule="auto"/>
        <w:ind w:left="283" w:leftChars="135" w:firstLine="163" w:firstLineChars="68"/>
        <w:rPr>
          <w:rFonts w:hint="eastAsia" w:ascii="宋体" w:hAnsi="宋体" w:cs="宋体"/>
          <w:bCs/>
          <w:sz w:val="24"/>
          <w:szCs w:val="24"/>
        </w:rPr>
      </w:pPr>
      <w:r>
        <w:rPr>
          <w:rFonts w:hint="eastAsia" w:ascii="宋体" w:hAnsi="宋体" w:cs="宋体"/>
          <w:bCs/>
          <w:sz w:val="24"/>
          <w:szCs w:val="24"/>
        </w:rPr>
        <w:t>邮    箱：</w:t>
      </w:r>
      <w:r>
        <w:rPr>
          <w:rFonts w:hint="eastAsia"/>
        </w:rPr>
        <w:fldChar w:fldCharType="begin"/>
      </w:r>
      <w:r>
        <w:instrText xml:space="preserve"> HYPERLINK "mailto:xdzhong115@163.com" </w:instrText>
      </w:r>
      <w:r>
        <w:rPr>
          <w:rFonts w:hint="eastAsia"/>
        </w:rPr>
        <w:fldChar w:fldCharType="separate"/>
      </w:r>
      <w:r>
        <w:rPr>
          <w:rStyle w:val="44"/>
          <w:rFonts w:hint="eastAsia" w:ascii="宋体" w:hAnsi="宋体" w:cs="宋体"/>
          <w:bCs/>
          <w:sz w:val="24"/>
          <w:szCs w:val="24"/>
        </w:rPr>
        <w:t>xdzhong115@163.com</w:t>
      </w:r>
      <w:r>
        <w:rPr>
          <w:rStyle w:val="44"/>
          <w:rFonts w:hint="eastAsia" w:ascii="宋体" w:hAnsi="宋体" w:cs="宋体"/>
          <w:bCs/>
          <w:sz w:val="24"/>
          <w:szCs w:val="24"/>
        </w:rPr>
        <w:fldChar w:fldCharType="end"/>
      </w:r>
    </w:p>
    <w:p/>
    <w:p>
      <w:pPr>
        <w:pStyle w:val="7"/>
        <w:keepNext w:val="0"/>
        <w:keepLines w:val="0"/>
        <w:pageBreakBefore/>
        <w:spacing w:line="360" w:lineRule="auto"/>
        <w:jc w:val="center"/>
        <w:rPr>
          <w:rFonts w:hint="eastAsia" w:ascii="黑体" w:hAnsi="黑体" w:eastAsia="黑体"/>
          <w:sz w:val="48"/>
          <w:szCs w:val="48"/>
        </w:rPr>
      </w:pPr>
      <w:bookmarkStart w:id="26" w:name="_Toc405313952"/>
      <w:bookmarkStart w:id="27" w:name="_Toc31134"/>
      <w:bookmarkStart w:id="28" w:name="_Toc17380"/>
      <w:bookmarkStart w:id="29" w:name="_Toc5361"/>
      <w:r>
        <w:rPr>
          <w:rFonts w:hint="eastAsia" w:ascii="黑体" w:hAnsi="黑体" w:eastAsia="黑体"/>
          <w:spacing w:val="20"/>
          <w:sz w:val="36"/>
          <w:szCs w:val="36"/>
        </w:rPr>
        <w:t>第二部分</w:t>
      </w:r>
      <w:r>
        <w:rPr>
          <w:rFonts w:ascii="黑体" w:hAnsi="黑体" w:eastAsia="黑体"/>
          <w:spacing w:val="20"/>
          <w:sz w:val="36"/>
          <w:szCs w:val="36"/>
        </w:rPr>
        <w:t xml:space="preserve"> </w:t>
      </w:r>
      <w:r>
        <w:rPr>
          <w:rFonts w:hint="eastAsia" w:ascii="黑体" w:hAnsi="黑体" w:eastAsia="黑体"/>
          <w:spacing w:val="20"/>
          <w:sz w:val="36"/>
          <w:szCs w:val="36"/>
        </w:rPr>
        <w:t>采购需求</w:t>
      </w:r>
      <w:bookmarkEnd w:id="26"/>
      <w:bookmarkStart w:id="30" w:name="RANGE!A4"/>
      <w:bookmarkEnd w:id="30"/>
      <w:r>
        <w:rPr>
          <w:rFonts w:hint="eastAsia" w:ascii="黑体" w:hAnsi="黑体" w:eastAsia="黑体"/>
          <w:spacing w:val="20"/>
          <w:sz w:val="36"/>
          <w:szCs w:val="36"/>
        </w:rPr>
        <w:t>书</w:t>
      </w:r>
      <w:bookmarkEnd w:id="27"/>
      <w:bookmarkEnd w:id="28"/>
      <w:bookmarkEnd w:id="29"/>
    </w:p>
    <w:p>
      <w:pPr>
        <w:pStyle w:val="64"/>
        <w:tabs>
          <w:tab w:val="left" w:pos="426"/>
        </w:tabs>
        <w:spacing w:before="312" w:beforeLines="100" w:line="360" w:lineRule="auto"/>
        <w:ind w:firstLine="0" w:firstLineChars="0"/>
        <w:outlineLvl w:val="1"/>
        <w:rPr>
          <w:rFonts w:hint="eastAsia" w:ascii="宋体" w:hAnsi="宋体" w:cs="宋体"/>
          <w:sz w:val="24"/>
          <w:szCs w:val="28"/>
        </w:rPr>
      </w:pPr>
      <w:bookmarkStart w:id="31" w:name="_Toc13991"/>
      <w:bookmarkStart w:id="32" w:name="_Toc20275"/>
      <w:bookmarkStart w:id="33" w:name="_Toc13299"/>
      <w:r>
        <w:rPr>
          <w:rFonts w:hint="eastAsia" w:ascii="微软雅黑" w:hAnsi="微软雅黑" w:eastAsia="微软雅黑" w:cs="微软雅黑"/>
          <w:b/>
          <w:sz w:val="28"/>
          <w:szCs w:val="28"/>
        </w:rPr>
        <w:t>一、项目概况</w:t>
      </w:r>
      <w:bookmarkEnd w:id="31"/>
      <w:bookmarkEnd w:id="32"/>
      <w:bookmarkEnd w:id="33"/>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1、项目编号：2024-CICDIGDZC-F1003；</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2、项目名称：南方报业传媒集团核心信息系统云备份中心建设项目；</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3、采购方式：公开招标；</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4、预算金额：人民币1,880,000.00元；</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5、最高限价：人民币1,880,000.00元；</w:t>
      </w:r>
    </w:p>
    <w:p>
      <w:pPr>
        <w:tabs>
          <w:tab w:val="left" w:pos="426"/>
        </w:tabs>
        <w:spacing w:line="360" w:lineRule="auto"/>
        <w:ind w:left="480" w:hanging="480" w:hangingChars="200"/>
        <w:rPr>
          <w:rFonts w:hint="eastAsia" w:ascii="宋体" w:hAnsi="宋体" w:cs="宋体"/>
          <w:sz w:val="24"/>
          <w:szCs w:val="24"/>
        </w:rPr>
      </w:pPr>
      <w:r>
        <w:rPr>
          <w:rFonts w:hint="eastAsia" w:ascii="宋体" w:hAnsi="宋体" w:cs="宋体"/>
          <w:sz w:val="24"/>
          <w:szCs w:val="24"/>
        </w:rPr>
        <w:t>6、服务地点：南海基地云备份中心；</w:t>
      </w:r>
    </w:p>
    <w:p>
      <w:pPr>
        <w:tabs>
          <w:tab w:val="left" w:pos="426"/>
        </w:tabs>
        <w:spacing w:line="360" w:lineRule="auto"/>
        <w:ind w:left="480" w:hanging="480" w:hangingChars="200"/>
        <w:rPr>
          <w:rFonts w:hint="eastAsia" w:ascii="宋体" w:hAnsi="宋体" w:cs="宋体"/>
          <w:sz w:val="24"/>
          <w:szCs w:val="28"/>
        </w:rPr>
      </w:pPr>
      <w:r>
        <w:rPr>
          <w:rFonts w:hint="eastAsia" w:ascii="宋体" w:hAnsi="宋体" w:cs="宋体"/>
          <w:sz w:val="24"/>
          <w:szCs w:val="24"/>
        </w:rPr>
        <w:t>7、服务时间：合同签订后三个月内完成。</w:t>
      </w:r>
    </w:p>
    <w:p>
      <w:pPr>
        <w:pStyle w:val="64"/>
        <w:tabs>
          <w:tab w:val="left" w:pos="426"/>
        </w:tabs>
        <w:spacing w:before="312" w:beforeLines="100" w:line="360" w:lineRule="auto"/>
        <w:ind w:firstLine="0" w:firstLineChars="0"/>
        <w:outlineLvl w:val="1"/>
        <w:rPr>
          <w:rFonts w:hint="eastAsia" w:ascii="宋体" w:hAnsi="宋体" w:cs="宋体"/>
          <w:sz w:val="24"/>
          <w:szCs w:val="24"/>
        </w:rPr>
      </w:pPr>
      <w:bookmarkStart w:id="34" w:name="_Toc11026"/>
      <w:bookmarkStart w:id="35" w:name="_Toc12836"/>
      <w:r>
        <w:rPr>
          <w:rFonts w:hint="eastAsia" w:ascii="微软雅黑" w:hAnsi="微软雅黑" w:eastAsia="微软雅黑" w:cs="微软雅黑"/>
          <w:b/>
          <w:sz w:val="28"/>
          <w:szCs w:val="28"/>
        </w:rPr>
        <w:t>二、项目简介</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项目通过改造采购人南海基地内现有的1号网络机房，配置云资源和灾备机制，实现采购人核心业务信息系统的异地备份，实现目标业务系统RTO小于半小时、RPO为零的灾备能力。项目内容主要包括机房动环的改造、模块化机柜的安装、网络调整，以及云计算资源的配置、灾备软件的部署等。</w:t>
      </w:r>
    </w:p>
    <w:p>
      <w:pPr>
        <w:pStyle w:val="64"/>
        <w:tabs>
          <w:tab w:val="left" w:pos="426"/>
        </w:tabs>
        <w:spacing w:before="312" w:beforeLines="100" w:line="360" w:lineRule="auto"/>
        <w:ind w:firstLine="0" w:firstLineChars="0"/>
        <w:outlineLvl w:val="1"/>
        <w:rPr>
          <w:rFonts w:hint="eastAsia" w:ascii="微软雅黑" w:hAnsi="微软雅黑" w:eastAsia="微软雅黑" w:cs="微软雅黑"/>
          <w:b/>
          <w:sz w:val="28"/>
          <w:szCs w:val="28"/>
        </w:rPr>
      </w:pPr>
      <w:r>
        <w:rPr>
          <w:rFonts w:hint="eastAsia" w:ascii="微软雅黑" w:hAnsi="微软雅黑" w:eastAsia="微软雅黑" w:cs="微软雅黑"/>
          <w:b/>
          <w:sz w:val="28"/>
          <w:szCs w:val="28"/>
        </w:rPr>
        <w:t>三、服务内容及技术要求</w:t>
      </w:r>
    </w:p>
    <w:p>
      <w:pPr>
        <w:tabs>
          <w:tab w:val="left" w:pos="426"/>
        </w:tabs>
        <w:spacing w:line="360" w:lineRule="auto"/>
        <w:outlineLvl w:val="2"/>
        <w:rPr>
          <w:rFonts w:hint="eastAsia" w:ascii="宋体" w:hAnsi="宋体" w:cs="宋体"/>
          <w:b/>
          <w:bCs/>
          <w:sz w:val="28"/>
          <w:szCs w:val="28"/>
        </w:rPr>
      </w:pPr>
      <w:r>
        <w:rPr>
          <w:rFonts w:hint="eastAsia" w:ascii="宋体" w:hAnsi="宋体" w:cs="宋体"/>
          <w:b/>
          <w:bCs/>
          <w:sz w:val="28"/>
          <w:szCs w:val="28"/>
        </w:rPr>
        <w:t>(一)项目建设内容</w:t>
      </w:r>
    </w:p>
    <w:tbl>
      <w:tblPr>
        <w:tblStyle w:val="37"/>
        <w:tblpPr w:leftFromText="180" w:rightFromText="180" w:vertAnchor="text" w:horzAnchor="page" w:tblpXSpec="center" w:tblpY="32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461"/>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序号</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建设项</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1</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机房修整服务</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修整服务，包括修复墙面和地面、封堵孔洞，防漏水处理。迁移地板下带电装置、改造电箱，安装气体消防装置等。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2</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微模块机柜</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新增7个模块式气流封闭机柜，其中服务器机柜3个，网络柜4个，设备柜1个。2N方式供电，含两台20KW UPS（外置电池，单机备电时间半小时以上），内置两台12.5KW空调。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3</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网络设施</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两台48口数据中心级万兆交换机，光纤预端接14条24芯及双绞线144条，满配两端跳线。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4</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服务器设备</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5台高性能服务器，满配大容量硬盘及固态缓存盘。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5</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云平台软件</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10个CPU授权，及240T高性能存储授权（用于支撑数据库读写需求）。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6</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系统同步软件</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不少于40TB 容灾同步一体机，10个操作系统同步授权及应急接管许可。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7</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数据库同步软件</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核心Oracle数据库3节点集群实时同步到容灾中心。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874" w:type="dxa"/>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8</w:t>
            </w:r>
          </w:p>
        </w:tc>
        <w:tc>
          <w:tcPr>
            <w:tcW w:w="1461"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出口防火墙</w:t>
            </w:r>
          </w:p>
        </w:tc>
        <w:tc>
          <w:tcPr>
            <w:tcW w:w="6790"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互联网专线防火墙，多业务应用发布能力，高可用部署，带日志中心。</w:t>
            </w:r>
          </w:p>
        </w:tc>
      </w:tr>
    </w:tbl>
    <w:p>
      <w:pPr>
        <w:tabs>
          <w:tab w:val="left" w:pos="426"/>
        </w:tabs>
        <w:spacing w:line="360" w:lineRule="auto"/>
        <w:outlineLvl w:val="2"/>
        <w:rPr>
          <w:rFonts w:hint="eastAsia" w:ascii="宋体" w:hAnsi="宋体" w:cs="宋体"/>
          <w:b/>
          <w:bCs/>
          <w:szCs w:val="28"/>
        </w:rPr>
      </w:pPr>
      <w:r>
        <w:rPr>
          <w:rFonts w:hint="eastAsia" w:ascii="宋体" w:hAnsi="宋体" w:cs="宋体"/>
          <w:b/>
          <w:bCs/>
          <w:sz w:val="28"/>
          <w:szCs w:val="28"/>
        </w:rPr>
        <w:t>(二)项目技术需求书</w:t>
      </w:r>
    </w:p>
    <w:p>
      <w:pPr>
        <w:spacing w:line="360" w:lineRule="auto"/>
        <w:jc w:val="left"/>
        <w:rPr>
          <w:rFonts w:hint="eastAsia" w:ascii="宋体" w:hAnsi="宋体" w:cs="宋体"/>
          <w:b/>
          <w:bCs/>
          <w:sz w:val="24"/>
          <w:szCs w:val="24"/>
        </w:rPr>
      </w:pPr>
      <w:r>
        <w:rPr>
          <w:rFonts w:hint="eastAsia" w:ascii="宋体" w:hAnsi="宋体" w:cs="宋体"/>
          <w:b/>
          <w:bCs/>
          <w:sz w:val="24"/>
          <w:szCs w:val="24"/>
        </w:rPr>
        <w:t>A、机房环境及机柜</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1、机房环境修整，包括墙面，地面，地板，电位迁移，孔洞封堵等。</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2、机房内两路进线线路上端并两路线到新电箱（两路主开关），将两路电同时供至微模块内，微模块内单独做双路的智能配电系统，原机柜供电线路暂不做变动。</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3、微模块内供电采用两台20Kva（2N架构）独立双路供电，UPS后备电池组独立，备电时间为30分钟。</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4、微模块内制冷需求按照总功率，安装两台不少于12.5KW制冷量列间或机架式空调，空调室外机需采用占地面积少的形式。</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5、微模块内的UPS和空调设备需实现双路供电进线，并自动切换。</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6、微模块内至少设7个机柜，分别是4个网络设备柜（800宽）、3个IT设备柜（600宽），其他辅助柜按厂家方案增配。</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7、微模块内预制网络线路配置要求，每机柜到核心网络柜预端接OM4多模光纤24芯、6类网线24条；核心网络柜到出口和运营商网络柜预端接单模光纤24芯。具体数量见技术需求书。</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8、强电、网线、光纤等线路全部更改为机柜上走线。</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9、模块化机柜安装完成后，原有机柜内的设备和网络布线迁移至模块化机柜内，并清退新模块外的旧机柜设备。</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10、网络机房内新增加气体消防装置，集成到模块化机柜内，实现消防联动。</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11、对每块外置UPS电池进行状态监控。</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12、模块化机柜安装完成后，需具备防雷能力，可靠接地。</w:t>
      </w:r>
    </w:p>
    <w:p>
      <w:pPr>
        <w:spacing w:line="360" w:lineRule="auto"/>
        <w:ind w:firstLine="480" w:firstLineChars="200"/>
        <w:jc w:val="left"/>
        <w:rPr>
          <w:rFonts w:hint="eastAsia" w:ascii="宋体" w:hAnsi="宋体" w:cs="宋体"/>
          <w:sz w:val="24"/>
          <w:szCs w:val="24"/>
        </w:rPr>
      </w:pPr>
    </w:p>
    <w:p>
      <w:pPr>
        <w:ind w:firstLine="280" w:firstLineChars="100"/>
      </w:pPr>
      <w:r>
        <w:rPr>
          <w:rFonts w:hint="eastAsia" w:ascii="Times New Roman" w:hAnsi="Times New Roman" w:cs="Times New Roman"/>
          <w:sz w:val="28"/>
          <w:szCs w:val="28"/>
        </w:rPr>
        <w:t>技术参数表：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75"/>
        <w:gridCol w:w="912"/>
        <w:gridCol w:w="1952"/>
        <w:gridCol w:w="5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noWrap w:val="0"/>
            <w:vAlign w:val="center"/>
          </w:tcPr>
          <w:p>
            <w:pPr>
              <w:widowControl/>
              <w:spacing w:line="300" w:lineRule="exact"/>
              <w:jc w:val="center"/>
              <w:textAlignment w:val="center"/>
              <w:rPr>
                <w:rFonts w:hint="eastAsia" w:ascii="宋体" w:hAnsi="宋体" w:cs="宋体"/>
                <w:b/>
                <w:sz w:val="24"/>
              </w:rPr>
            </w:pPr>
            <w:r>
              <w:rPr>
                <w:rFonts w:hint="eastAsia" w:ascii="宋体" w:hAnsi="宋体" w:cs="宋体"/>
                <w:b/>
                <w:sz w:val="24"/>
              </w:rPr>
              <w:t>序号</w:t>
            </w:r>
          </w:p>
        </w:tc>
        <w:tc>
          <w:tcPr>
            <w:tcW w:w="912" w:type="dxa"/>
            <w:noWrap w:val="0"/>
            <w:vAlign w:val="top"/>
          </w:tcPr>
          <w:p>
            <w:pPr>
              <w:widowControl/>
              <w:spacing w:line="300" w:lineRule="exact"/>
              <w:jc w:val="center"/>
              <w:textAlignment w:val="center"/>
              <w:rPr>
                <w:rFonts w:hint="eastAsia" w:ascii="宋体" w:hAnsi="宋体" w:cs="宋体"/>
                <w:b/>
                <w:sz w:val="24"/>
              </w:rPr>
            </w:pPr>
            <w:r>
              <w:rPr>
                <w:rFonts w:hint="eastAsia" w:ascii="宋体" w:hAnsi="宋体" w:cs="宋体"/>
                <w:b/>
                <w:sz w:val="24"/>
              </w:rPr>
              <w:t>主项名称</w:t>
            </w:r>
          </w:p>
        </w:tc>
        <w:tc>
          <w:tcPr>
            <w:tcW w:w="1952" w:type="dxa"/>
            <w:noWrap w:val="0"/>
            <w:vAlign w:val="center"/>
          </w:tcPr>
          <w:p>
            <w:pPr>
              <w:widowControl/>
              <w:spacing w:line="300" w:lineRule="exact"/>
              <w:jc w:val="center"/>
              <w:textAlignment w:val="center"/>
              <w:rPr>
                <w:rFonts w:hint="eastAsia" w:ascii="宋体" w:hAnsi="宋体" w:cs="宋体"/>
                <w:b/>
                <w:sz w:val="24"/>
              </w:rPr>
            </w:pPr>
            <w:r>
              <w:rPr>
                <w:rFonts w:hint="eastAsia" w:ascii="宋体" w:hAnsi="宋体" w:cs="宋体"/>
                <w:b/>
                <w:sz w:val="24"/>
              </w:rPr>
              <w:t>分项名称</w:t>
            </w:r>
          </w:p>
        </w:tc>
        <w:tc>
          <w:tcPr>
            <w:tcW w:w="5593" w:type="dxa"/>
            <w:noWrap w:val="0"/>
            <w:vAlign w:val="center"/>
          </w:tcPr>
          <w:p>
            <w:pPr>
              <w:widowControl/>
              <w:spacing w:line="300" w:lineRule="exact"/>
              <w:jc w:val="center"/>
              <w:textAlignment w:val="center"/>
              <w:rPr>
                <w:rFonts w:hint="eastAsia" w:ascii="宋体" w:hAnsi="宋体" w:cs="宋体"/>
                <w:b/>
                <w:sz w:val="24"/>
              </w:rPr>
            </w:pPr>
            <w:r>
              <w:rPr>
                <w:rFonts w:hint="eastAsia" w:ascii="宋体" w:hAnsi="宋体" w:cs="宋体"/>
                <w:b/>
                <w:sz w:val="24"/>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4"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1</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整体</w:t>
            </w:r>
            <w:r>
              <w:rPr>
                <w:rFonts w:hint="eastAsia" w:ascii="宋体" w:hAnsi="宋体" w:cs="宋体"/>
                <w:sz w:val="24"/>
              </w:rPr>
              <w:br w:type="textWrapping"/>
            </w:r>
            <w:r>
              <w:rPr>
                <w:rFonts w:hint="eastAsia" w:ascii="宋体" w:hAnsi="宋体" w:cs="宋体"/>
                <w:sz w:val="24"/>
              </w:rPr>
              <w:t>要求</w:t>
            </w: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color w:val="000000"/>
                <w:sz w:val="22"/>
              </w:rPr>
              <w:t>★(1)</w:t>
            </w:r>
            <w:r>
              <w:rPr>
                <w:rFonts w:hint="eastAsia" w:ascii="宋体" w:hAnsi="宋体" w:cs="宋体"/>
                <w:sz w:val="24"/>
              </w:rPr>
              <w:t>模块化设计</w:t>
            </w:r>
          </w:p>
        </w:tc>
        <w:tc>
          <w:tcPr>
            <w:tcW w:w="5593" w:type="dxa"/>
            <w:noWrap w:val="0"/>
            <w:vAlign w:val="top"/>
          </w:tcPr>
          <w:p>
            <w:pPr>
              <w:spacing w:line="300" w:lineRule="exact"/>
              <w:jc w:val="left"/>
              <w:textAlignment w:val="center"/>
              <w:rPr>
                <w:rFonts w:hint="eastAsia" w:ascii="宋体" w:hAnsi="宋体" w:cs="宋体"/>
                <w:sz w:val="24"/>
              </w:rPr>
            </w:pPr>
            <w:r>
              <w:rPr>
                <w:rFonts w:hint="eastAsia" w:ascii="宋体" w:hAnsi="宋体" w:cs="宋体"/>
                <w:sz w:val="24"/>
              </w:rPr>
              <w:t>UPS、配电、空调、监控要求均为模块化设计，并且配电、UPS、监控主机集中放置于综合柜内，以便于维护。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color w:val="000000"/>
                <w:sz w:val="22"/>
              </w:rPr>
              <w:t>★(2)</w:t>
            </w:r>
            <w:r>
              <w:rPr>
                <w:rFonts w:hint="eastAsia" w:ascii="宋体" w:hAnsi="宋体" w:cs="宋体"/>
                <w:sz w:val="24"/>
              </w:rPr>
              <w:t>一体化设计</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采用模块化架构设计，冷热通道全密闭，防尘降噪，降低PUE，单个模块内须一体化集成机柜系统、供配电系统、制冷系统、管理系统、综合布线系统。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▲(1)品牌一致性</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为保证数据中心机房系统安装调试、运行维护的一致性和整体交付质量，UPS、空调、服务器机柜、动环监控主机、管理系统应为同一品牌（提供相关证明材料）。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▲(2)市场排名</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提供ICT Research或赛迪顾问的2023年中国微模块数据中心市场销售额排名情况证明材料。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ascii="宋体" w:hAnsi="宋体" w:cs="宋体"/>
                <w:sz w:val="24"/>
              </w:rPr>
            </w:pPr>
            <w:r>
              <w:rPr>
                <w:rFonts w:hint="eastAsia" w:ascii="宋体" w:hAnsi="宋体" w:cs="宋体"/>
                <w:sz w:val="24"/>
              </w:rPr>
              <w:t>▲(3)制造商资质</w:t>
            </w:r>
          </w:p>
        </w:tc>
        <w:tc>
          <w:tcPr>
            <w:tcW w:w="5593" w:type="dxa"/>
            <w:noWrap w:val="0"/>
            <w:vAlign w:val="top"/>
          </w:tcPr>
          <w:p>
            <w:pPr>
              <w:widowControl/>
              <w:shd w:val="clear" w:color="auto" w:fill="FFFFFF"/>
              <w:tabs>
                <w:tab w:val="left" w:pos="2908"/>
              </w:tabs>
              <w:jc w:val="left"/>
              <w:rPr>
                <w:rFonts w:hint="eastAsia" w:ascii="宋体" w:hAnsi="宋体" w:cs="宋体"/>
                <w:sz w:val="24"/>
              </w:rPr>
            </w:pPr>
            <w:r>
              <w:rPr>
                <w:rFonts w:hint="eastAsia" w:ascii="宋体" w:hAnsi="宋体" w:cs="宋体"/>
                <w:sz w:val="24"/>
              </w:rPr>
              <w:t>微模块生产厂家需提供ISO28000供应链安全管理体系认证及ISO/IEC20000-1信息技术服务管理体系认证证书复印件。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工作环境</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设备工作环境相对湿度20％～80％。温度：-20℃~+45℃。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电源制式</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380~415V/3PH/50HZ。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防雷等级</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CLASSII/C级，8/20μs。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防护等级IP</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机柜整体防护等级不小于IP20。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安装方式</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用支架安装到地面，机柜底部与室内架空防静电地板齐平。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2</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机柜</w:t>
            </w:r>
          </w:p>
          <w:p>
            <w:pPr>
              <w:widowControl/>
              <w:spacing w:line="300" w:lineRule="exact"/>
              <w:jc w:val="center"/>
              <w:textAlignment w:val="center"/>
              <w:rPr>
                <w:rFonts w:hint="eastAsia" w:ascii="宋体" w:hAnsi="宋体" w:cs="宋体"/>
                <w:sz w:val="24"/>
              </w:rPr>
            </w:pPr>
            <w:r>
              <w:rPr>
                <w:rFonts w:hint="eastAsia" w:ascii="宋体" w:hAnsi="宋体" w:cs="宋体"/>
                <w:sz w:val="24"/>
              </w:rPr>
              <w:t>系统</w:t>
            </w:r>
          </w:p>
        </w:tc>
        <w:tc>
          <w:tcPr>
            <w:tcW w:w="1952" w:type="dxa"/>
            <w:noWrap w:val="0"/>
            <w:vAlign w:val="center"/>
          </w:tcPr>
          <w:p>
            <w:pPr>
              <w:widowControl/>
              <w:spacing w:line="300" w:lineRule="exact"/>
              <w:jc w:val="left"/>
              <w:textAlignment w:val="top"/>
              <w:rPr>
                <w:rFonts w:hint="eastAsia" w:ascii="宋体" w:hAnsi="宋体" w:cs="宋体"/>
                <w:sz w:val="24"/>
              </w:rPr>
            </w:pPr>
            <w:r>
              <w:rPr>
                <w:rFonts w:hint="eastAsia" w:ascii="宋体" w:hAnsi="宋体" w:cs="宋体"/>
                <w:sz w:val="24"/>
              </w:rPr>
              <w:t>模块整体深度</w:t>
            </w:r>
          </w:p>
        </w:tc>
        <w:tc>
          <w:tcPr>
            <w:tcW w:w="5593" w:type="dxa"/>
            <w:noWrap w:val="0"/>
            <w:vAlign w:val="top"/>
          </w:tcPr>
          <w:p>
            <w:pPr>
              <w:widowControl/>
              <w:spacing w:line="300" w:lineRule="exact"/>
              <w:jc w:val="left"/>
              <w:textAlignment w:val="top"/>
              <w:rPr>
                <w:rFonts w:hint="eastAsia" w:ascii="宋体" w:hAnsi="宋体" w:cs="宋体"/>
                <w:sz w:val="24"/>
              </w:rPr>
            </w:pPr>
            <w:r>
              <w:rPr>
                <w:rFonts w:hint="eastAsia" w:ascii="宋体" w:hAnsi="宋体" w:cs="宋体"/>
                <w:sz w:val="24"/>
              </w:rPr>
              <w:t>机柜前后均密闭，配置密闭冷热通道，减少来自外界的影响。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IT机柜（宽×高）</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600*2000（含通道）*3。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网络机柜（宽×高）</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800*2000（含通道）*4。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材质</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高强度A级优质碳素冷轧钢板和镀锌板。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静载</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机柜静态承载能力≥2400kg，动态负载能力≥1000kg。提供投标产品的第三方测试机构出具的检测报告复印件封面及关键页证明。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密闭通道门</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机柜前门应采用整片式双层玻璃门，后门为双层玻璃门或密闭钣金门，且钣金内部敷设保温层，防止因为内外温差导致的凝露。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通道门锁</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机柜的前门和后门应配置电子锁和应急机械锁，支持远程开门/平板面部识别，免密码登录， 免钥匙开门。当出现机柜内温度超限或消防告警时可自动弹开或开启应急通风风扇，用于应急散热和消防联动。提供投标产品官网截图或彩页证明。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走线设计</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模块输入电缆支持上进线，模块内部电缆支持上走线。</w:t>
            </w:r>
          </w:p>
          <w:p>
            <w:pPr>
              <w:widowControl/>
              <w:spacing w:line="300" w:lineRule="exact"/>
              <w:jc w:val="left"/>
              <w:textAlignment w:val="center"/>
              <w:rPr>
                <w:rFonts w:hint="eastAsia" w:ascii="宋体" w:hAnsi="宋体" w:cs="宋体"/>
                <w:sz w:val="24"/>
              </w:rPr>
            </w:pPr>
            <w:r>
              <w:rPr>
                <w:rFonts w:hint="eastAsia" w:ascii="宋体" w:hAnsi="宋体" w:cs="宋体"/>
                <w:sz w:val="24"/>
              </w:rPr>
              <w:t>模块内部的机柜间后方约35-37U、38-40U处附近提供两个约10厘米宽数据线路机柜间圆形走线管槽。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机柜侧板</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机柜所有面板可支持单独拆卸和拼装功能。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并柜</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机柜采用专用的机柜并柜连接件，应支持无需拆卸机柜门情况下实现机柜并柜功能。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PDU</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2N架构供电，每个机柜须具备2条PDU，每条PDU具有20个10A国标插座、4个16A国标插座，带数显。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调平支脚</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机柜采用不小于直径为40mm调平支脚调节机柜的水平度，可支持调节高度范围为：10～45mm。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3</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供配电系统</w:t>
            </w: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整体要求</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配电模块整体为2N架构，模块应采用一体化设计，其中包含电源指示灯，市电输入开关、UPS输入输出开关、维修旁路开关、防雷模块、IT配电和空调配电功能，须考虑后期机柜扩容，至少应具备20路IT输出。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vMerge w:val="restart"/>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防雷器</w:t>
            </w:r>
          </w:p>
        </w:tc>
        <w:tc>
          <w:tcPr>
            <w:tcW w:w="5593" w:type="dxa"/>
            <w:noWrap w:val="0"/>
            <w:vAlign w:val="top"/>
          </w:tcPr>
          <w:p>
            <w:pPr>
              <w:widowControl/>
              <w:spacing w:line="300" w:lineRule="exact"/>
              <w:jc w:val="left"/>
              <w:textAlignment w:val="center"/>
              <w:rPr>
                <w:rFonts w:hint="eastAsia" w:ascii="宋体" w:hAnsi="宋体" w:cs="宋体"/>
                <w:sz w:val="24"/>
              </w:rPr>
            </w:pPr>
            <w:r>
              <w:rPr>
                <w:rFonts w:hint="eastAsia" w:ascii="宋体" w:hAnsi="宋体" w:cs="宋体"/>
                <w:sz w:val="24"/>
              </w:rPr>
              <w:t>模块内应标配C级防雷器，防雷器前端需具有防雷保护开关，同时具有防雷开关或防雷器故障指示的微动开关。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3"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vMerge w:val="continue"/>
            <w:noWrap w:val="0"/>
            <w:vAlign w:val="center"/>
          </w:tcPr>
          <w:p>
            <w:pPr>
              <w:spacing w:line="300" w:lineRule="exact"/>
              <w:jc w:val="left"/>
              <w:textAlignment w:val="center"/>
              <w:rPr>
                <w:rFonts w:hint="eastAsia" w:ascii="宋体" w:hAnsi="宋体" w:cs="宋体"/>
                <w:sz w:val="24"/>
              </w:rPr>
            </w:pP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防雷模块具有通信功能，防雷器状态可远程监控。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4</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UPS</w:t>
            </w: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供电配置</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机柜内应包含≥2台20kVA供电电源。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交流输入电压范围</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110～280Vac（相电压）。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外接电池节数</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32-40可调。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UPS输出功率因数</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▲(4)UPS效率</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≥95%（提供所投产品的具备带CMA或CNAS标识的第三方机构检验报告封面及关键页证明）。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产品认证要求</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CQC认证、泰尔认证。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6"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5</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制冷</w:t>
            </w:r>
          </w:p>
          <w:p>
            <w:pPr>
              <w:widowControl/>
              <w:spacing w:line="300" w:lineRule="exact"/>
              <w:jc w:val="center"/>
              <w:textAlignment w:val="center"/>
              <w:rPr>
                <w:rFonts w:hint="eastAsia" w:ascii="宋体" w:hAnsi="宋体" w:cs="宋体"/>
                <w:sz w:val="24"/>
              </w:rPr>
            </w:pPr>
            <w:r>
              <w:rPr>
                <w:rFonts w:hint="eastAsia" w:ascii="宋体" w:hAnsi="宋体" w:cs="宋体"/>
                <w:sz w:val="24"/>
              </w:rPr>
              <w:t>系统</w:t>
            </w: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室内机安装方式</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入列或机架式安装。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制冷配置</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≥2台精密空调。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制冷量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单台制冷量≥12.5kw。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压缩机</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直流变频制冷。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风机</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室内机应采用高效节能风机，实现无极调速。室内风机整体采用多风机设计。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电源制式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220V/1Ph或380/3Ph，50Hz。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送风方式和风量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水平送风，风量不小于2500m^3/h。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除湿性能</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精密空调应具备低负载除湿能力，可以实现最低10%的IT负载下的稳定除湿功能，降低高湿环境下数据中心低载运行的IT设备结露风险，提供投标系列产品的第三方权威测试机构出具的检测报告复印件封面及关键页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制冷剂</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R410A，制冷剂预充注。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冷凝水排水</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标配强排水泵，兼容上下排水。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走管方式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支持上走管或下走管，空调内外机接口管路免焊接设计。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产品认证要求</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CCC认证、节能认证。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4"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6</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监控</w:t>
            </w:r>
          </w:p>
          <w:p>
            <w:pPr>
              <w:widowControl/>
              <w:spacing w:line="300" w:lineRule="exact"/>
              <w:jc w:val="center"/>
              <w:textAlignment w:val="center"/>
              <w:rPr>
                <w:rFonts w:hint="eastAsia" w:ascii="宋体" w:hAnsi="宋体" w:cs="宋体"/>
                <w:sz w:val="24"/>
              </w:rPr>
            </w:pPr>
            <w:r>
              <w:rPr>
                <w:rFonts w:hint="eastAsia" w:ascii="宋体" w:hAnsi="宋体" w:cs="宋体"/>
                <w:sz w:val="24"/>
              </w:rPr>
              <w:t>系统</w:t>
            </w:r>
          </w:p>
        </w:tc>
        <w:tc>
          <w:tcPr>
            <w:tcW w:w="1952"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监控采集器</w:t>
            </w:r>
          </w:p>
        </w:tc>
        <w:tc>
          <w:tcPr>
            <w:tcW w:w="5593" w:type="dxa"/>
            <w:noWrap w:val="0"/>
            <w:vAlign w:val="center"/>
          </w:tcPr>
          <w:p>
            <w:pPr>
              <w:spacing w:line="300" w:lineRule="exact"/>
              <w:jc w:val="left"/>
              <w:textAlignment w:val="center"/>
              <w:rPr>
                <w:rFonts w:hint="eastAsia" w:ascii="宋体" w:hAnsi="宋体" w:cs="宋体"/>
                <w:sz w:val="24"/>
              </w:rPr>
            </w:pPr>
            <w:r>
              <w:rPr>
                <w:rFonts w:hint="eastAsia" w:ascii="宋体" w:hAnsi="宋体" w:cs="宋体"/>
                <w:sz w:val="24"/>
              </w:rPr>
              <w:t>机架安装,提供机房动环提供统一北向接口授权及对接技术文档，便于接入统一网管系统和远程WEB界面监控。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漏水监控</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每机柜应配备1个非定位式水浸传感器及对应长度的水浸检测绳，能对微模块底部进行漏水检测，提供实时告警信号。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烟雾监控</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每机柜内应配备不少于1个烟雾传感器，能对微模块内的烟雾状态监测，提供实时告警信号。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温湿度监控</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每个机柜应配备不少于2个温湿度传感器，能对微模块内环境的温湿度进行检测和数据统计。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机柜门禁监控</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可检测模块内所有机柜的门状态，并在机柜门开启超时后（超过10分钟），可以生成告警。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联动控制功能</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监控系统应支持消防联动控制，支持在紧急情况下（如机柜内烟雾传感器告警或高温告警时）前后门可自动弹开或开启强制通风。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监控显示屏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统一监控屏，可实现对模块所有动环进行监控；≥9英寸，使用电容式触控，支持多点触控，以便观看、查询通道数据。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9"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szCs w:val="24"/>
              </w:rPr>
            </w:pPr>
            <w:r>
              <w:rPr>
                <w:rFonts w:hint="eastAsia" w:ascii="宋体" w:hAnsi="宋体" w:cs="宋体"/>
                <w:sz w:val="24"/>
              </w:rPr>
              <w:t>蓄电池监控</w:t>
            </w:r>
          </w:p>
        </w:tc>
        <w:tc>
          <w:tcPr>
            <w:tcW w:w="5593" w:type="dxa"/>
            <w:noWrap w:val="0"/>
            <w:vAlign w:val="center"/>
          </w:tcPr>
          <w:p>
            <w:pPr>
              <w:widowControl/>
              <w:spacing w:line="300" w:lineRule="exact"/>
              <w:jc w:val="left"/>
              <w:textAlignment w:val="center"/>
              <w:rPr>
                <w:rFonts w:hint="eastAsia" w:ascii="宋体" w:hAnsi="宋体" w:cs="宋体"/>
                <w:sz w:val="24"/>
                <w:szCs w:val="24"/>
              </w:rPr>
            </w:pPr>
            <w:r>
              <w:rPr>
                <w:rFonts w:hint="eastAsia" w:ascii="宋体" w:hAnsi="宋体" w:cs="宋体"/>
                <w:sz w:val="24"/>
              </w:rPr>
              <w:t>对每组电池组总电压、电流，每个单体电池电压、每个单体电池内阻、温度等参数进行监测。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告警功能</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1、告警信息展示：系统任意界面上须始终显示告警数量统计信息，如出现告警，能够迅速点击进入告警展示界面。</w:t>
            </w:r>
          </w:p>
          <w:p>
            <w:pPr>
              <w:widowControl/>
              <w:spacing w:line="300" w:lineRule="exact"/>
              <w:jc w:val="left"/>
              <w:textAlignment w:val="center"/>
              <w:rPr>
                <w:rFonts w:hint="eastAsia" w:ascii="宋体" w:hAnsi="宋体" w:cs="宋体"/>
                <w:sz w:val="24"/>
              </w:rPr>
            </w:pPr>
            <w:r>
              <w:rPr>
                <w:rFonts w:hint="eastAsia" w:ascii="宋体" w:hAnsi="宋体" w:cs="宋体"/>
                <w:sz w:val="24"/>
              </w:rPr>
              <w:t>2、告警定位功能：通过告警信息，须能够迅速定位到告警设备位置，在机房布局图中能够自动高亮显示告警设备。</w:t>
            </w:r>
          </w:p>
          <w:p>
            <w:pPr>
              <w:widowControl/>
              <w:spacing w:line="300" w:lineRule="exact"/>
              <w:jc w:val="left"/>
              <w:textAlignment w:val="center"/>
              <w:rPr>
                <w:rFonts w:hint="eastAsia" w:ascii="宋体" w:hAnsi="宋体" w:cs="宋体"/>
                <w:sz w:val="24"/>
              </w:rPr>
            </w:pPr>
            <w:r>
              <w:rPr>
                <w:rFonts w:hint="eastAsia" w:ascii="宋体" w:hAnsi="宋体" w:cs="宋体"/>
                <w:sz w:val="24"/>
              </w:rPr>
              <w:t>3、告警设置功能：系统须能够支持告警设置，可以由用户自定义每一条阈值告警的上下限。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监控中心统一监控接入</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本部现有机房监控系统远程接入，可实现有机房监控系统上远程实时查看并统一显示此小型智能微模块数据中心所有数据。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监控单元软件</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监控单元软件具备软件著作权，提供采集单元的软件著作权证书复印件证明。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▲(5)监控主机</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为满足网络安全要求，监控系统的软件、采集器硬件可以满足网络安全的要求，可以通过行业主流的病毒与漏洞软件的安全扫描，通过智能联网产品网络安全认证，需提供第三方认证证书复印件。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left"/>
              <w:textAlignment w:val="center"/>
              <w:rPr>
                <w:rFonts w:hint="eastAsia" w:ascii="宋体" w:hAnsi="宋体" w:cs="宋体"/>
                <w:sz w:val="24"/>
              </w:rPr>
            </w:pPr>
          </w:p>
        </w:tc>
        <w:tc>
          <w:tcPr>
            <w:tcW w:w="912" w:type="dxa"/>
            <w:vMerge w:val="continue"/>
            <w:noWrap w:val="0"/>
            <w:vAlign w:val="center"/>
          </w:tcPr>
          <w:p>
            <w:pPr>
              <w:widowControl/>
              <w:spacing w:line="300" w:lineRule="exact"/>
              <w:jc w:val="left"/>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状态指示灯</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模块应配备状态指示灯，且与系统运行状态进行联动，具备不少于3种颜色指示灯灯光与告警指示联动功能，在微模块产生告警后可与灯光进行联动，提供投标产品官网截图或彩页证明。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7</w:t>
            </w:r>
          </w:p>
        </w:tc>
        <w:tc>
          <w:tcPr>
            <w:tcW w:w="912" w:type="dxa"/>
            <w:vMerge w:val="restart"/>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蓄电池</w:t>
            </w: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安装方式</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开放式电池架安装。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vMerge w:val="continue"/>
            <w:noWrap w:val="0"/>
            <w:vAlign w:val="center"/>
          </w:tcPr>
          <w:p>
            <w:pPr>
              <w:widowControl/>
              <w:spacing w:line="300" w:lineRule="exact"/>
              <w:jc w:val="center"/>
              <w:textAlignment w:val="center"/>
              <w:rPr>
                <w:rFonts w:hint="eastAsia" w:ascii="宋体" w:hAnsi="宋体" w:cs="宋体"/>
                <w:sz w:val="24"/>
              </w:rPr>
            </w:pPr>
          </w:p>
        </w:tc>
        <w:tc>
          <w:tcPr>
            <w:tcW w:w="912" w:type="dxa"/>
            <w:vMerge w:val="continue"/>
            <w:noWrap w:val="0"/>
            <w:vAlign w:val="center"/>
          </w:tcPr>
          <w:p>
            <w:pPr>
              <w:widowControl/>
              <w:spacing w:line="300" w:lineRule="exact"/>
              <w:jc w:val="center"/>
              <w:textAlignment w:val="center"/>
              <w:rPr>
                <w:rFonts w:hint="eastAsia" w:ascii="宋体" w:hAnsi="宋体" w:cs="宋体"/>
                <w:sz w:val="24"/>
              </w:rPr>
            </w:pP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蓄电池配置</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1、65AH/12V，不少于64块，铅酸蓄电池。</w:t>
            </w:r>
          </w:p>
          <w:p>
            <w:pPr>
              <w:widowControl/>
              <w:spacing w:line="300" w:lineRule="exact"/>
              <w:jc w:val="left"/>
              <w:textAlignment w:val="center"/>
              <w:rPr>
                <w:rFonts w:hint="eastAsia" w:ascii="宋体" w:hAnsi="宋体" w:cs="宋体"/>
                <w:sz w:val="24"/>
              </w:rPr>
            </w:pPr>
            <w:r>
              <w:rPr>
                <w:rFonts w:hint="eastAsia" w:ascii="宋体" w:hAnsi="宋体" w:cs="宋体"/>
                <w:sz w:val="24"/>
              </w:rPr>
              <w:t>2.产品工作条件要求：蓄电池产品应能在温度:-15~+50℃条件下工作。</w:t>
            </w:r>
          </w:p>
          <w:p>
            <w:pPr>
              <w:widowControl/>
              <w:spacing w:line="300" w:lineRule="exact"/>
              <w:jc w:val="left"/>
              <w:textAlignment w:val="center"/>
              <w:rPr>
                <w:rFonts w:hint="eastAsia" w:ascii="宋体" w:hAnsi="宋体" w:cs="宋体"/>
                <w:sz w:val="24"/>
              </w:rPr>
            </w:pPr>
            <w:r>
              <w:rPr>
                <w:rFonts w:hint="eastAsia" w:ascii="宋体" w:hAnsi="宋体" w:cs="宋体"/>
                <w:sz w:val="24"/>
              </w:rPr>
              <w:t>3.蓄电池安全阀开阀压力应满足范围:10~25kPa，闭阀压力应满足范围:10~20kPa。</w:t>
            </w:r>
          </w:p>
          <w:p>
            <w:pPr>
              <w:widowControl/>
              <w:spacing w:line="300" w:lineRule="exact"/>
              <w:jc w:val="left"/>
              <w:textAlignment w:val="center"/>
              <w:rPr>
                <w:rFonts w:hint="eastAsia" w:ascii="宋体" w:hAnsi="宋体" w:cs="宋体"/>
                <w:sz w:val="24"/>
              </w:rPr>
            </w:pPr>
            <w:r>
              <w:rPr>
                <w:rFonts w:hint="eastAsia" w:ascii="宋体" w:hAnsi="宋体" w:cs="宋体"/>
                <w:sz w:val="24"/>
              </w:rPr>
              <w:t>4.密封反应效率要求:蓄电池密封反应效率应不低于97%。</w:t>
            </w:r>
          </w:p>
          <w:p>
            <w:pPr>
              <w:widowControl/>
              <w:spacing w:line="300" w:lineRule="exact"/>
              <w:jc w:val="left"/>
              <w:textAlignment w:val="center"/>
              <w:rPr>
                <w:rFonts w:hint="eastAsia" w:ascii="宋体" w:hAnsi="宋体" w:cs="宋体"/>
                <w:sz w:val="24"/>
              </w:rPr>
            </w:pPr>
            <w:r>
              <w:rPr>
                <w:rFonts w:hint="eastAsia" w:ascii="宋体" w:hAnsi="宋体" w:cs="宋体"/>
                <w:sz w:val="24"/>
              </w:rPr>
              <w:t>5.容量保存率要求：蓄电池封置28天后，其容量保存率应不低于97%。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4" w:hRule="atLeast"/>
          <w:jc w:val="center"/>
        </w:trPr>
        <w:tc>
          <w:tcPr>
            <w:tcW w:w="575" w:type="dxa"/>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8</w:t>
            </w:r>
          </w:p>
        </w:tc>
        <w:tc>
          <w:tcPr>
            <w:tcW w:w="912" w:type="dxa"/>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视频监控系统</w:t>
            </w:r>
          </w:p>
        </w:tc>
        <w:tc>
          <w:tcPr>
            <w:tcW w:w="1952"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机房视频监控</w:t>
            </w:r>
          </w:p>
        </w:tc>
        <w:tc>
          <w:tcPr>
            <w:tcW w:w="5593" w:type="dxa"/>
            <w:noWrap w:val="0"/>
            <w:vAlign w:val="center"/>
          </w:tcPr>
          <w:p>
            <w:pPr>
              <w:widowControl/>
              <w:spacing w:line="300" w:lineRule="exact"/>
              <w:jc w:val="left"/>
              <w:textAlignment w:val="center"/>
              <w:rPr>
                <w:rFonts w:hint="eastAsia" w:ascii="宋体" w:hAnsi="宋体" w:cs="宋体"/>
                <w:sz w:val="24"/>
              </w:rPr>
            </w:pPr>
            <w:r>
              <w:rPr>
                <w:rFonts w:hint="eastAsia" w:ascii="宋体" w:hAnsi="宋体" w:cs="宋体"/>
                <w:sz w:val="24"/>
              </w:rPr>
              <w:t>配置2个高清摄像头，并支持不少于180天录像记录，并可接入集团现有的监控平台。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75" w:type="dxa"/>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9</w:t>
            </w:r>
          </w:p>
        </w:tc>
        <w:tc>
          <w:tcPr>
            <w:tcW w:w="912" w:type="dxa"/>
            <w:noWrap w:val="0"/>
            <w:vAlign w:val="center"/>
          </w:tcPr>
          <w:p>
            <w:pPr>
              <w:widowControl/>
              <w:spacing w:line="300" w:lineRule="exact"/>
              <w:jc w:val="center"/>
              <w:textAlignment w:val="center"/>
              <w:rPr>
                <w:rFonts w:hint="eastAsia" w:ascii="宋体" w:hAnsi="宋体" w:cs="宋体"/>
                <w:sz w:val="24"/>
              </w:rPr>
            </w:pPr>
            <w:r>
              <w:rPr>
                <w:rFonts w:hint="eastAsia" w:ascii="宋体" w:hAnsi="宋体" w:cs="宋体"/>
                <w:sz w:val="24"/>
              </w:rPr>
              <w:t>消防</w:t>
            </w:r>
          </w:p>
          <w:p>
            <w:pPr>
              <w:widowControl/>
              <w:spacing w:line="300" w:lineRule="exact"/>
              <w:jc w:val="center"/>
              <w:textAlignment w:val="center"/>
              <w:rPr>
                <w:rFonts w:hint="eastAsia" w:ascii="宋体" w:hAnsi="宋体" w:cs="宋体"/>
                <w:sz w:val="24"/>
                <w:szCs w:val="24"/>
              </w:rPr>
            </w:pPr>
            <w:r>
              <w:rPr>
                <w:rFonts w:hint="eastAsia" w:ascii="宋体" w:hAnsi="宋体" w:cs="宋体"/>
                <w:sz w:val="24"/>
              </w:rPr>
              <w:t>系统</w:t>
            </w:r>
          </w:p>
        </w:tc>
        <w:tc>
          <w:tcPr>
            <w:tcW w:w="1952" w:type="dxa"/>
            <w:noWrap w:val="0"/>
            <w:vAlign w:val="center"/>
          </w:tcPr>
          <w:p>
            <w:pPr>
              <w:widowControl/>
              <w:spacing w:line="300" w:lineRule="exact"/>
              <w:jc w:val="left"/>
              <w:textAlignment w:val="center"/>
              <w:rPr>
                <w:rFonts w:hint="eastAsia" w:ascii="宋体" w:hAnsi="宋体" w:cs="宋体"/>
                <w:sz w:val="24"/>
                <w:szCs w:val="24"/>
              </w:rPr>
            </w:pPr>
            <w:r>
              <w:rPr>
                <w:rFonts w:hint="eastAsia" w:ascii="宋体" w:hAnsi="宋体" w:cs="宋体"/>
                <w:sz w:val="24"/>
              </w:rPr>
              <w:t>消防单元</w:t>
            </w:r>
          </w:p>
        </w:tc>
        <w:tc>
          <w:tcPr>
            <w:tcW w:w="5593" w:type="dxa"/>
            <w:noWrap w:val="0"/>
            <w:vAlign w:val="center"/>
          </w:tcPr>
          <w:p>
            <w:pPr>
              <w:widowControl/>
              <w:spacing w:line="300" w:lineRule="exact"/>
              <w:jc w:val="left"/>
              <w:textAlignment w:val="center"/>
              <w:rPr>
                <w:rFonts w:hint="eastAsia" w:ascii="宋体" w:hAnsi="宋体" w:cs="宋体"/>
                <w:sz w:val="24"/>
                <w:szCs w:val="24"/>
              </w:rPr>
            </w:pPr>
            <w:r>
              <w:rPr>
                <w:rFonts w:hint="eastAsia" w:ascii="宋体" w:hAnsi="宋体" w:cs="宋体"/>
                <w:sz w:val="24"/>
                <w:szCs w:val="24"/>
              </w:rPr>
              <w:t>气体消防，包含柜式七氟丙烷气体灭火装置、七氟丙烷药剂（满足机房整体用量）、机械阀泄压口、气体灭火控制器、感烟探测器（模块机柜内和模块机柜外各1个）、温感探测器（模块机柜内和模块机柜外各部署1个）等，探测到消防信号时，利用灭火装置灭火，并弹开柜门或者打开通风设备。机房外安装声光警报装置。</w:t>
            </w:r>
          </w:p>
        </w:tc>
      </w:tr>
    </w:tbl>
    <w:p>
      <w:pPr>
        <w:pStyle w:val="13"/>
        <w:ind w:firstLine="440" w:firstLineChars="200"/>
        <w:rPr>
          <w:rFonts w:hint="eastAsia" w:ascii="仿宋" w:hAnsi="仿宋" w:cs="仿宋"/>
        </w:rPr>
      </w:pPr>
      <w:r>
        <w:rPr>
          <w:rFonts w:hint="eastAsia" w:ascii="宋体" w:hAnsi="宋体" w:cs="宋体"/>
          <w:color w:val="000000"/>
          <w:sz w:val="22"/>
        </w:rPr>
        <w:t>备注：★为必须满足的技术参数，如不满足投标无效。</w:t>
      </w:r>
    </w:p>
    <w:p>
      <w:pPr>
        <w:pStyle w:val="13"/>
        <w:ind w:firstLine="400" w:firstLineChars="200"/>
        <w:rPr>
          <w:rFonts w:hint="eastAsia" w:ascii="仿宋" w:hAnsi="仿宋" w:eastAsia="仿宋" w:cs="仿宋"/>
        </w:rPr>
      </w:pPr>
    </w:p>
    <w:p>
      <w:pPr>
        <w:tabs>
          <w:tab w:val="left" w:pos="432"/>
        </w:tabs>
        <w:spacing w:before="220" w:after="210" w:line="360" w:lineRule="auto"/>
        <w:outlineLvl w:val="3"/>
        <w:rPr>
          <w:rFonts w:hint="eastAsia" w:ascii="宋体" w:hAnsi="宋体" w:cs="宋体"/>
          <w:b/>
          <w:bCs/>
          <w:sz w:val="24"/>
          <w:szCs w:val="24"/>
        </w:rPr>
      </w:pPr>
      <w:r>
        <w:rPr>
          <w:rFonts w:hint="eastAsia" w:ascii="宋体" w:hAnsi="宋体" w:cs="宋体"/>
          <w:b/>
          <w:bCs/>
          <w:sz w:val="24"/>
          <w:szCs w:val="24"/>
        </w:rPr>
        <w:t>B、弱电布线服务</w:t>
      </w:r>
    </w:p>
    <w:p>
      <w:pPr>
        <w:pStyle w:val="13"/>
        <w:autoSpaceDE w:val="0"/>
        <w:autoSpaceDN w:val="0"/>
        <w:adjustRightInd w:val="0"/>
        <w:ind w:firstLine="480" w:firstLineChars="200"/>
        <w:jc w:val="left"/>
        <w:rPr>
          <w:rFonts w:hint="eastAsia" w:ascii="宋体" w:hAnsi="宋体" w:cs="宋体"/>
          <w:sz w:val="24"/>
          <w:szCs w:val="24"/>
        </w:rPr>
      </w:pPr>
      <w:r>
        <w:rPr>
          <w:rFonts w:hint="eastAsia" w:ascii="宋体" w:hAnsi="宋体" w:cs="宋体"/>
          <w:sz w:val="24"/>
          <w:szCs w:val="24"/>
        </w:rPr>
        <w:t>模块化机柜内须进行网络预布线，6个IT机柜，到1个网络中心机柜预端接多模光纤及6六非屏蔽线。具体数量和参数如下：</w:t>
      </w:r>
    </w:p>
    <w:tbl>
      <w:tblPr>
        <w:tblStyle w:val="37"/>
        <w:tblpPr w:leftFromText="180" w:rightFromText="180" w:vertAnchor="text" w:horzAnchor="page" w:tblpXSpec="center" w:tblpY="292"/>
        <w:tblOverlap w:val="never"/>
        <w:tblW w:w="9238" w:type="dxa"/>
        <w:jc w:val="center"/>
        <w:tblLayout w:type="fixed"/>
        <w:tblCellMar>
          <w:top w:w="0" w:type="dxa"/>
          <w:left w:w="108" w:type="dxa"/>
          <w:bottom w:w="0" w:type="dxa"/>
          <w:right w:w="108" w:type="dxa"/>
        </w:tblCellMar>
      </w:tblPr>
      <w:tblGrid>
        <w:gridCol w:w="661"/>
        <w:gridCol w:w="6336"/>
        <w:gridCol w:w="1378"/>
        <w:gridCol w:w="863"/>
      </w:tblGrid>
      <w:tr>
        <w:tblPrEx>
          <w:tblCellMar>
            <w:top w:w="0" w:type="dxa"/>
            <w:left w:w="108" w:type="dxa"/>
            <w:bottom w:w="0" w:type="dxa"/>
            <w:right w:w="108" w:type="dxa"/>
          </w:tblCellMar>
        </w:tblPrEx>
        <w:trPr>
          <w:trHeight w:val="33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CB9CA"/>
            <w:noWrap/>
            <w:vAlign w:val="center"/>
          </w:tcPr>
          <w:p>
            <w:pPr>
              <w:widowControl/>
              <w:jc w:val="center"/>
              <w:textAlignment w:val="center"/>
              <w:rPr>
                <w:rFonts w:hint="eastAsia" w:ascii="宋体" w:hAnsi="宋体" w:cs="宋体"/>
                <w:b/>
                <w:bCs/>
                <w:sz w:val="24"/>
                <w:szCs w:val="24"/>
              </w:rPr>
            </w:pPr>
            <w:r>
              <w:rPr>
                <w:rFonts w:hint="eastAsia" w:ascii="宋体" w:hAnsi="宋体" w:cs="宋体"/>
                <w:b/>
                <w:bCs/>
                <w:kern w:val="0"/>
                <w:sz w:val="24"/>
                <w:szCs w:val="24"/>
                <w:lang w:bidi="ar"/>
              </w:rPr>
              <w:t>序号</w:t>
            </w:r>
          </w:p>
        </w:tc>
        <w:tc>
          <w:tcPr>
            <w:tcW w:w="6336" w:type="dxa"/>
            <w:tcBorders>
              <w:top w:val="single" w:color="000000" w:sz="4" w:space="0"/>
              <w:left w:val="single" w:color="000000" w:sz="4" w:space="0"/>
              <w:bottom w:val="single" w:color="000000" w:sz="4" w:space="0"/>
              <w:right w:val="single" w:color="000000" w:sz="4" w:space="0"/>
            </w:tcBorders>
            <w:shd w:val="clear" w:color="auto" w:fill="ACB9CA"/>
            <w:noWrap/>
            <w:vAlign w:val="center"/>
          </w:tcPr>
          <w:p>
            <w:pPr>
              <w:widowControl/>
              <w:jc w:val="center"/>
              <w:textAlignment w:val="center"/>
              <w:rPr>
                <w:rFonts w:hint="eastAsia" w:ascii="宋体" w:hAnsi="宋体" w:cs="宋体"/>
                <w:b/>
                <w:bCs/>
                <w:sz w:val="24"/>
                <w:szCs w:val="24"/>
              </w:rPr>
            </w:pPr>
            <w:r>
              <w:rPr>
                <w:rFonts w:hint="eastAsia" w:ascii="宋体" w:hAnsi="宋体" w:cs="宋体"/>
                <w:b/>
                <w:bCs/>
                <w:kern w:val="0"/>
                <w:sz w:val="24"/>
                <w:szCs w:val="24"/>
                <w:lang w:bidi="ar"/>
              </w:rPr>
              <w:t>设备名称</w:t>
            </w:r>
          </w:p>
        </w:tc>
        <w:tc>
          <w:tcPr>
            <w:tcW w:w="1378" w:type="dxa"/>
            <w:tcBorders>
              <w:top w:val="single" w:color="000000" w:sz="4" w:space="0"/>
              <w:left w:val="single" w:color="000000" w:sz="4" w:space="0"/>
              <w:bottom w:val="single" w:color="000000" w:sz="4" w:space="0"/>
              <w:right w:val="single" w:color="000000" w:sz="4" w:space="0"/>
            </w:tcBorders>
            <w:shd w:val="clear" w:color="auto" w:fill="ACB9CA"/>
            <w:noWrap/>
            <w:vAlign w:val="center"/>
          </w:tcPr>
          <w:p>
            <w:pPr>
              <w:widowControl/>
              <w:jc w:val="center"/>
              <w:textAlignment w:val="center"/>
              <w:rPr>
                <w:rFonts w:hint="eastAsia" w:ascii="宋体" w:hAnsi="宋体" w:cs="宋体"/>
                <w:b/>
                <w:bCs/>
                <w:sz w:val="24"/>
                <w:szCs w:val="24"/>
              </w:rPr>
            </w:pPr>
            <w:r>
              <w:rPr>
                <w:rFonts w:hint="eastAsia" w:ascii="宋体" w:hAnsi="宋体" w:cs="宋体"/>
                <w:b/>
                <w:bCs/>
                <w:kern w:val="0"/>
                <w:sz w:val="24"/>
                <w:szCs w:val="24"/>
                <w:lang w:bidi="ar"/>
              </w:rPr>
              <w:t>单位</w:t>
            </w:r>
          </w:p>
        </w:tc>
        <w:tc>
          <w:tcPr>
            <w:tcW w:w="863" w:type="dxa"/>
            <w:tcBorders>
              <w:top w:val="single" w:color="000000" w:sz="4" w:space="0"/>
              <w:left w:val="single" w:color="000000" w:sz="4" w:space="0"/>
              <w:bottom w:val="single" w:color="000000" w:sz="4" w:space="0"/>
              <w:right w:val="single" w:color="000000" w:sz="4" w:space="0"/>
            </w:tcBorders>
            <w:shd w:val="clear" w:color="auto" w:fill="ACB9CA"/>
            <w:noWrap/>
            <w:vAlign w:val="center"/>
          </w:tcPr>
          <w:p>
            <w:pPr>
              <w:widowControl/>
              <w:jc w:val="center"/>
              <w:textAlignment w:val="center"/>
              <w:rPr>
                <w:rFonts w:hint="eastAsia" w:ascii="宋体" w:hAnsi="宋体" w:cs="宋体"/>
                <w:b/>
                <w:bCs/>
                <w:sz w:val="24"/>
                <w:szCs w:val="24"/>
              </w:rPr>
            </w:pPr>
            <w:r>
              <w:rPr>
                <w:rFonts w:hint="eastAsia" w:ascii="宋体" w:hAnsi="宋体" w:cs="宋体"/>
                <w:b/>
                <w:bCs/>
                <w:kern w:val="0"/>
                <w:sz w:val="24"/>
                <w:szCs w:val="24"/>
                <w:lang w:bidi="ar"/>
              </w:rPr>
              <w:t>数量</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24口6类非屏蔽配线架，1U</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个</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12</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1U理线器</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个</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12</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1U光纤配线架，可支持4个360DP，DM模块 ，带盲板</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个</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8</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24芯MPO-LC预连接光纤模块，OM4万兆多模</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个</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12</w:t>
            </w:r>
          </w:p>
        </w:tc>
      </w:tr>
      <w:tr>
        <w:tblPrEx>
          <w:tblCellMar>
            <w:top w:w="0" w:type="dxa"/>
            <w:left w:w="108" w:type="dxa"/>
            <w:bottom w:w="0" w:type="dxa"/>
            <w:right w:w="108" w:type="dxa"/>
          </w:tblCellMar>
        </w:tblPrEx>
        <w:trPr>
          <w:trHeight w:val="286"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24芯MPO-LC预连接光纤模块，OS2单模</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个</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2</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12芯OM4万兆多模预端接光缆，LSZH，10米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12</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12芯OS2单模预端接光缆，LSZH，10米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2</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超6类 非屏蔽UTP 线缆，LSZH, 23AWG, 305米/箱</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305米/箱</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7</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超6类原装28AWG数据跳线（LSZH，非屏蔽）2米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50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超6类原装28AWG数据跳线（LSZH，非屏蔽）5米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20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超6类原装28AWG数据跳线（LSZH，非屏蔽）10米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20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超6类原装28AWG数据跳线（LSZH，非屏蔽）20米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20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OM4, LSZH, 2米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40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OM4, LSZH, 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40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OM4, LSZH, 15米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OM4, LSZH, 25米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OS2, LSZH, 2米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10</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OS2, LSZH, 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4</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OS2, LSZH, 15米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4</w:t>
            </w:r>
          </w:p>
        </w:tc>
      </w:tr>
      <w:tr>
        <w:tblPrEx>
          <w:tblCellMar>
            <w:top w:w="0" w:type="dxa"/>
            <w:left w:w="108" w:type="dxa"/>
            <w:bottom w:w="0" w:type="dxa"/>
            <w:right w:w="108" w:type="dxa"/>
          </w:tblCellMar>
        </w:tblPrEx>
        <w:trPr>
          <w:trHeight w:val="285" w:hRule="atLeast"/>
          <w:jc w:val="center"/>
        </w:trPr>
        <w:tc>
          <w:tcPr>
            <w:tcW w:w="661" w:type="dxa"/>
            <w:tcBorders>
              <w:top w:val="single" w:color="000000" w:sz="4" w:space="0"/>
              <w:left w:val="single" w:color="000000" w:sz="4" w:space="0"/>
              <w:bottom w:val="single" w:color="000000" w:sz="4" w:space="0"/>
              <w:right w:val="single" w:color="000000" w:sz="4" w:space="0"/>
            </w:tcBorders>
            <w:noWrap/>
            <w:vAlign w:val="center"/>
          </w:tcPr>
          <w:p>
            <w:pPr>
              <w:pStyle w:val="64"/>
              <w:widowControl/>
              <w:numPr>
                <w:ilvl w:val="0"/>
                <w:numId w:val="2"/>
              </w:numPr>
              <w:ind w:firstLineChars="0"/>
              <w:jc w:val="center"/>
              <w:textAlignment w:val="center"/>
              <w:rPr>
                <w:rFonts w:hint="eastAsia" w:ascii="宋体" w:hAnsi="宋体" w:cs="宋体"/>
                <w:sz w:val="24"/>
                <w:szCs w:val="24"/>
              </w:rPr>
            </w:pPr>
          </w:p>
        </w:tc>
        <w:tc>
          <w:tcPr>
            <w:tcW w:w="633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sz w:val="24"/>
                <w:szCs w:val="24"/>
              </w:rPr>
            </w:pPr>
            <w:r>
              <w:rPr>
                <w:rFonts w:hint="eastAsia" w:ascii="宋体" w:hAnsi="宋体" w:cs="宋体"/>
                <w:kern w:val="0"/>
                <w:sz w:val="24"/>
                <w:szCs w:val="24"/>
                <w:lang w:bidi="ar"/>
              </w:rPr>
              <w:t>推拉式光纤跳线, 双工 LC 到 双工 LC, OS2, LSZH, 25米</w:t>
            </w:r>
          </w:p>
        </w:tc>
        <w:tc>
          <w:tcPr>
            <w:tcW w:w="137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条</w:t>
            </w:r>
          </w:p>
        </w:tc>
        <w:tc>
          <w:tcPr>
            <w:tcW w:w="863"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sz w:val="24"/>
                <w:szCs w:val="24"/>
              </w:rPr>
            </w:pPr>
            <w:r>
              <w:rPr>
                <w:rFonts w:hint="eastAsia" w:ascii="宋体" w:hAnsi="宋体" w:cs="宋体"/>
                <w:kern w:val="0"/>
                <w:sz w:val="24"/>
                <w:szCs w:val="24"/>
                <w:lang w:bidi="ar"/>
              </w:rPr>
              <w:t>4</w:t>
            </w:r>
          </w:p>
        </w:tc>
      </w:tr>
    </w:tbl>
    <w:p>
      <w:pPr>
        <w:pStyle w:val="13"/>
        <w:autoSpaceDE w:val="0"/>
        <w:autoSpaceDN w:val="0"/>
        <w:adjustRightInd w:val="0"/>
        <w:ind w:firstLine="0"/>
        <w:jc w:val="left"/>
        <w:rPr>
          <w:rFonts w:hint="eastAsia" w:ascii="宋体" w:hAnsi="宋体" w:cs="宋体"/>
        </w:rPr>
      </w:pPr>
    </w:p>
    <w:p>
      <w:pPr>
        <w:pStyle w:val="13"/>
        <w:autoSpaceDE w:val="0"/>
        <w:autoSpaceDN w:val="0"/>
        <w:adjustRightInd w:val="0"/>
        <w:ind w:left="420" w:firstLine="0"/>
        <w:jc w:val="left"/>
        <w:rPr>
          <w:rFonts w:hint="eastAsia" w:ascii="宋体" w:hAnsi="宋体" w:cs="宋体"/>
        </w:rPr>
      </w:pPr>
    </w:p>
    <w:p>
      <w:pPr>
        <w:pStyle w:val="13"/>
        <w:autoSpaceDE w:val="0"/>
        <w:autoSpaceDN w:val="0"/>
        <w:adjustRightInd w:val="0"/>
        <w:ind w:left="420" w:firstLine="0"/>
        <w:jc w:val="left"/>
        <w:rPr>
          <w:rFonts w:hint="eastAsia" w:ascii="宋体" w:hAnsi="宋体" w:cs="宋体"/>
        </w:rPr>
      </w:pPr>
    </w:p>
    <w:p>
      <w:pPr>
        <w:pStyle w:val="13"/>
        <w:autoSpaceDE w:val="0"/>
        <w:autoSpaceDN w:val="0"/>
        <w:adjustRightInd w:val="0"/>
        <w:ind w:left="420" w:firstLine="0"/>
        <w:jc w:val="left"/>
        <w:rPr>
          <w:rFonts w:hint="eastAsia" w:ascii="宋体" w:hAnsi="宋体" w:cs="宋体"/>
        </w:rPr>
      </w:pPr>
    </w:p>
    <w:p>
      <w:pPr>
        <w:pStyle w:val="13"/>
        <w:autoSpaceDE w:val="0"/>
        <w:autoSpaceDN w:val="0"/>
        <w:adjustRightInd w:val="0"/>
        <w:ind w:firstLine="0"/>
        <w:jc w:val="left"/>
        <w:rPr>
          <w:rFonts w:hint="eastAsia" w:ascii="宋体" w:hAnsi="宋体" w:cs="宋体"/>
          <w:sz w:val="28"/>
          <w:szCs w:val="28"/>
        </w:rPr>
      </w:pPr>
      <w:r>
        <w:rPr>
          <w:rFonts w:hint="eastAsia" w:ascii="宋体" w:hAnsi="宋体" w:cs="宋体"/>
          <w:sz w:val="28"/>
          <w:szCs w:val="28"/>
        </w:rPr>
        <w:t>技术参数表：</w:t>
      </w:r>
    </w:p>
    <w:tbl>
      <w:tblPr>
        <w:tblStyle w:val="37"/>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00"/>
        <w:gridCol w:w="1257"/>
        <w:gridCol w:w="6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7" w:type="dxa"/>
            <w:noWrap w:val="0"/>
            <w:vAlign w:val="top"/>
          </w:tcPr>
          <w:p>
            <w:pPr>
              <w:jc w:val="center"/>
              <w:rPr>
                <w:rFonts w:hint="eastAsia" w:ascii="宋体" w:hAnsi="宋体" w:cs="宋体"/>
                <w:sz w:val="20"/>
                <w:szCs w:val="21"/>
              </w:rPr>
            </w:pPr>
            <w:r>
              <w:rPr>
                <w:rFonts w:hint="eastAsia" w:ascii="宋体" w:hAnsi="宋体" w:cs="宋体"/>
                <w:sz w:val="20"/>
                <w:szCs w:val="21"/>
              </w:rPr>
              <w:t>序号</w:t>
            </w:r>
          </w:p>
        </w:tc>
        <w:tc>
          <w:tcPr>
            <w:tcW w:w="1200" w:type="dxa"/>
            <w:noWrap w:val="0"/>
            <w:vAlign w:val="top"/>
          </w:tcPr>
          <w:p>
            <w:pPr>
              <w:jc w:val="center"/>
              <w:rPr>
                <w:rFonts w:hint="eastAsia" w:ascii="宋体" w:hAnsi="宋体" w:cs="宋体"/>
                <w:sz w:val="20"/>
                <w:szCs w:val="21"/>
              </w:rPr>
            </w:pPr>
            <w:r>
              <w:rPr>
                <w:rFonts w:hint="eastAsia" w:ascii="宋体" w:hAnsi="宋体" w:cs="宋体"/>
                <w:sz w:val="20"/>
                <w:szCs w:val="21"/>
              </w:rPr>
              <w:t>主项名称</w:t>
            </w:r>
          </w:p>
        </w:tc>
        <w:tc>
          <w:tcPr>
            <w:tcW w:w="1257" w:type="dxa"/>
            <w:noWrap w:val="0"/>
            <w:vAlign w:val="top"/>
          </w:tcPr>
          <w:p>
            <w:pPr>
              <w:jc w:val="center"/>
              <w:rPr>
                <w:rFonts w:hint="eastAsia" w:ascii="宋体" w:hAnsi="宋体" w:cs="宋体"/>
                <w:sz w:val="20"/>
                <w:szCs w:val="21"/>
              </w:rPr>
            </w:pPr>
            <w:r>
              <w:rPr>
                <w:rFonts w:hint="eastAsia" w:ascii="宋体" w:hAnsi="宋体" w:cs="宋体"/>
                <w:sz w:val="20"/>
                <w:szCs w:val="21"/>
              </w:rPr>
              <w:t>分项名称</w:t>
            </w:r>
          </w:p>
        </w:tc>
        <w:tc>
          <w:tcPr>
            <w:tcW w:w="6063" w:type="dxa"/>
            <w:noWrap w:val="0"/>
            <w:vAlign w:val="top"/>
          </w:tcPr>
          <w:p>
            <w:pPr>
              <w:jc w:val="center"/>
              <w:rPr>
                <w:rFonts w:hint="eastAsia" w:ascii="宋体" w:hAnsi="宋体" w:cs="宋体"/>
                <w:sz w:val="20"/>
                <w:szCs w:val="21"/>
              </w:rPr>
            </w:pPr>
            <w:r>
              <w:rPr>
                <w:rFonts w:hint="eastAsia" w:ascii="宋体" w:hAnsi="宋体" w:cs="宋体"/>
                <w:sz w:val="20"/>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1</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总体要求</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0"/>
              </w:rPr>
              <w:t>统一品牌</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综合布线提供的布线产品包括光缆，光接插件和配线架，双绞线铜缆，铜缆配线架，原厂跳线、安装工具等必须为端对端同一品牌厂家产品，要求全链路端到端采用统一品牌。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vMerge w:val="restart"/>
            <w:noWrap w:val="0"/>
            <w:vAlign w:val="center"/>
          </w:tcPr>
          <w:p>
            <w:pPr>
              <w:jc w:val="left"/>
              <w:rPr>
                <w:rFonts w:hint="eastAsia" w:ascii="宋体" w:hAnsi="宋体" w:cs="宋体"/>
                <w:sz w:val="20"/>
                <w:szCs w:val="21"/>
              </w:rPr>
            </w:pPr>
            <w:r>
              <w:rPr>
                <w:rFonts w:hint="eastAsia" w:ascii="宋体" w:hAnsi="宋体" w:cs="宋体"/>
                <w:sz w:val="20"/>
                <w:szCs w:val="21"/>
              </w:rPr>
              <w:t>厂商资质</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综合布线品牌须在国内设有自己工厂，自主研发和生产制造综合布线产品，提供工厂的ISO9001:2015质量认证，ISO14001:2015环境认证。</w:t>
            </w:r>
          </w:p>
          <w:p>
            <w:pPr>
              <w:rPr>
                <w:rFonts w:hint="eastAsia" w:ascii="宋体" w:hAnsi="宋体" w:cs="宋体"/>
                <w:sz w:val="20"/>
                <w:szCs w:val="21"/>
              </w:rPr>
            </w:pPr>
            <w:r>
              <w:rPr>
                <w:rFonts w:hint="eastAsia" w:ascii="宋体" w:hAnsi="宋体" w:cs="宋体"/>
                <w:sz w:val="20"/>
                <w:szCs w:val="21"/>
              </w:rPr>
              <w:t>资质要求：数据中心市场领先品牌，需提供证明文件。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vMerge w:val="continue"/>
            <w:noWrap w:val="0"/>
            <w:vAlign w:val="center"/>
          </w:tcPr>
          <w:p>
            <w:pPr>
              <w:jc w:val="left"/>
              <w:rPr>
                <w:rFonts w:hint="eastAsia" w:ascii="宋体" w:hAnsi="宋体" w:cs="宋体"/>
                <w:sz w:val="20"/>
                <w:szCs w:val="21"/>
              </w:rPr>
            </w:pPr>
          </w:p>
        </w:tc>
        <w:tc>
          <w:tcPr>
            <w:tcW w:w="6063" w:type="dxa"/>
            <w:noWrap w:val="0"/>
            <w:vAlign w:val="top"/>
          </w:tcPr>
          <w:p>
            <w:pPr>
              <w:rPr>
                <w:rFonts w:hint="eastAsia" w:ascii="宋体" w:hAnsi="宋体" w:cs="宋体"/>
                <w:sz w:val="20"/>
                <w:szCs w:val="21"/>
              </w:rPr>
            </w:pPr>
            <w:r>
              <w:rPr>
                <w:rFonts w:hint="eastAsia" w:ascii="宋体" w:hAnsi="宋体" w:cs="宋体"/>
                <w:sz w:val="20"/>
                <w:szCs w:val="21"/>
              </w:rPr>
              <w:t>须提供原厂商开具的参与本项目投标的专项授权证明书，所供布线产品需要提供原厂制造证明。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vMerge w:val="continue"/>
            <w:noWrap w:val="0"/>
            <w:vAlign w:val="center"/>
          </w:tcPr>
          <w:p>
            <w:pPr>
              <w:jc w:val="left"/>
              <w:rPr>
                <w:rFonts w:hint="eastAsia" w:ascii="宋体" w:hAnsi="宋体" w:cs="宋体"/>
                <w:sz w:val="20"/>
                <w:szCs w:val="21"/>
              </w:rPr>
            </w:pPr>
          </w:p>
        </w:tc>
        <w:tc>
          <w:tcPr>
            <w:tcW w:w="6063" w:type="dxa"/>
            <w:noWrap w:val="0"/>
            <w:vAlign w:val="top"/>
          </w:tcPr>
          <w:p>
            <w:pPr>
              <w:rPr>
                <w:rFonts w:hint="eastAsia" w:ascii="宋体" w:hAnsi="宋体" w:cs="宋体"/>
                <w:sz w:val="20"/>
                <w:szCs w:val="21"/>
              </w:rPr>
            </w:pPr>
            <w:r>
              <w:rPr>
                <w:rFonts w:hint="eastAsia" w:ascii="宋体" w:hAnsi="宋体" w:cs="宋体"/>
                <w:sz w:val="20"/>
                <w:szCs w:val="21"/>
              </w:rPr>
              <w:t>综合布线品牌生产的铜缆和光缆布线产品型号须提供官网可查的技术规格及清晰图片。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2</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超六类非屏蔽双绞线</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标准</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符合ANSI/TIA-568.2-D，ISO/IEC 11801 Class E等技术指标要求。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导体直径</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23AWG。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铜缆外径</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≤7.3mm。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护套颜色</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蓝色或者灰色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分隔结构</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十字骨架或一字骨架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外护套</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外护套采用低烟无卤外护套。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3</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超六类非屏蔽配线架</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标准</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符合ISO/IEC 11801 Class EA，ANSI/TIA 568 Cat 6A标准。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产品形态</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非屏蔽结构，快接式设计，另配24个超六类非屏蔽彩色模块，模块颜色须提供至少3种可选。每1个RJ45模块均能单独检修更换。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兼容</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RJ45模块须能在工作区及配线架通用安装。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维护</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RJ45模块须能从配线架正面取出检修，而无需拆卸配线架。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耐用</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至少1500次插拔耐用性，应能提供证明文件。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安装</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19英寸机架式安装。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4</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超六类非屏蔽跳线</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类别</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原厂正品，Cat6A UTP。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接头</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标准RJ45接头,至少750次插拔耐用性。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导体</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28AWG。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定位</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水晶头内置精密定位元件，非注胶式尾护套。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外径</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铜缆整体外径≤5.0mm。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外护套</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低烟无卤。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5</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OM4多模OS2单 模MPO/MTP预端接光缆</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光纤规格</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50\125um，OM4多模，9/125μm，OS2 单模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最大纤芯衰减</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多模 3.0 dB/km@850nm，1.0 dB/km @ 1300nm。</w:t>
            </w:r>
          </w:p>
          <w:p>
            <w:pPr>
              <w:rPr>
                <w:rFonts w:hint="eastAsia" w:ascii="宋体" w:hAnsi="宋体" w:cs="宋体"/>
                <w:sz w:val="20"/>
                <w:szCs w:val="21"/>
              </w:rPr>
            </w:pPr>
            <w:r>
              <w:rPr>
                <w:rFonts w:hint="eastAsia" w:ascii="宋体" w:hAnsi="宋体" w:cs="宋体"/>
                <w:sz w:val="20"/>
                <w:szCs w:val="21"/>
              </w:rPr>
              <w:t>单模 1.0 dB/km@1310nm，1.0 dB/km @ 1550nm。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MPO接头插损</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多模≤0.35dB。单模 ≤ 0.75dB。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外护套</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外护套符合OFNP或LSZH标准防火级别。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6</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MPO/MTP-LC预端接光纤模块</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光纤规格</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OM4多模或OS2单模。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规格</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MPO/MTP-LC，24芯，背部为2个MPO接口。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插入损耗</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OM4多模模块整体插损＜0.50dB，单模整体插损＜1.05dB。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7</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预端接光纤配线箱</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规格</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1U可安装4个MPO-LC模块，最高可提供96芯LC的密度。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center"/>
          </w:tcPr>
          <w:p>
            <w:pPr>
              <w:jc w:val="center"/>
              <w:rPr>
                <w:rFonts w:hint="eastAsia" w:ascii="宋体" w:hAnsi="宋体" w:cs="宋体"/>
                <w:sz w:val="20"/>
                <w:szCs w:val="21"/>
              </w:rPr>
            </w:pPr>
          </w:p>
        </w:tc>
        <w:tc>
          <w:tcPr>
            <w:tcW w:w="1200" w:type="dxa"/>
            <w:vMerge w:val="continue"/>
            <w:noWrap w:val="0"/>
            <w:vAlign w:val="center"/>
          </w:tcPr>
          <w:p>
            <w:pPr>
              <w:jc w:val="center"/>
              <w:rPr>
                <w:rFonts w:hint="eastAsia" w:ascii="宋体" w:hAnsi="宋体" w:cs="宋体"/>
                <w:sz w:val="20"/>
                <w:szCs w:val="21"/>
              </w:rPr>
            </w:pP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安装</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标准19英寸机柜机架安装，抽屉式，正面自带水平理线器。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8</w:t>
            </w:r>
          </w:p>
        </w:tc>
        <w:tc>
          <w:tcPr>
            <w:tcW w:w="1200" w:type="dxa"/>
            <w:vMerge w:val="restart"/>
            <w:noWrap w:val="0"/>
            <w:vAlign w:val="center"/>
          </w:tcPr>
          <w:p>
            <w:pPr>
              <w:jc w:val="center"/>
              <w:rPr>
                <w:rFonts w:hint="eastAsia" w:ascii="宋体" w:hAnsi="宋体" w:cs="宋体"/>
                <w:sz w:val="20"/>
                <w:szCs w:val="21"/>
              </w:rPr>
            </w:pPr>
            <w:r>
              <w:rPr>
                <w:rFonts w:hint="eastAsia" w:ascii="宋体" w:hAnsi="宋体" w:cs="宋体"/>
                <w:sz w:val="20"/>
                <w:szCs w:val="21"/>
              </w:rPr>
              <w:t>光纤跳线</w:t>
            </w:r>
          </w:p>
        </w:tc>
        <w:tc>
          <w:tcPr>
            <w:tcW w:w="1257" w:type="dxa"/>
            <w:noWrap w:val="0"/>
            <w:vAlign w:val="center"/>
          </w:tcPr>
          <w:p>
            <w:pPr>
              <w:jc w:val="left"/>
              <w:rPr>
                <w:rFonts w:hint="eastAsia" w:ascii="宋体" w:hAnsi="宋体" w:cs="宋体"/>
                <w:sz w:val="20"/>
                <w:szCs w:val="21"/>
              </w:rPr>
            </w:pPr>
            <w:r>
              <w:rPr>
                <w:rFonts w:hint="eastAsia" w:ascii="宋体" w:hAnsi="宋体" w:cs="宋体"/>
                <w:sz w:val="20"/>
                <w:szCs w:val="21"/>
              </w:rPr>
              <w:t>光纤连接器</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LC-LC双工，OM4万兆多模或单模。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操作方式</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Push-Pull推拉式，免按压锁销就能在高密度环境插拔跳线。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护套防火等级</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符合LSZH等级。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连接器损耗</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≤0.15dB@850nm（多模），≤0.3dB@1310nm（单模）。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restart"/>
            <w:noWrap w:val="0"/>
            <w:vAlign w:val="top"/>
          </w:tcPr>
          <w:p>
            <w:pPr>
              <w:jc w:val="center"/>
              <w:rPr>
                <w:rFonts w:hint="eastAsia" w:ascii="宋体" w:hAnsi="宋体" w:cs="宋体"/>
                <w:sz w:val="20"/>
                <w:szCs w:val="21"/>
              </w:rPr>
            </w:pPr>
            <w:r>
              <w:rPr>
                <w:rFonts w:hint="eastAsia" w:ascii="宋体" w:hAnsi="宋体" w:cs="宋体"/>
                <w:sz w:val="20"/>
                <w:szCs w:val="21"/>
              </w:rPr>
              <w:t>9</w:t>
            </w:r>
          </w:p>
        </w:tc>
        <w:tc>
          <w:tcPr>
            <w:tcW w:w="1200" w:type="dxa"/>
            <w:vMerge w:val="restart"/>
            <w:noWrap w:val="0"/>
            <w:vAlign w:val="top"/>
          </w:tcPr>
          <w:p>
            <w:pPr>
              <w:rPr>
                <w:rFonts w:hint="eastAsia" w:ascii="宋体" w:hAnsi="宋体" w:cs="宋体"/>
                <w:sz w:val="20"/>
                <w:szCs w:val="21"/>
              </w:rPr>
            </w:pPr>
            <w:r>
              <w:rPr>
                <w:rFonts w:hint="eastAsia" w:ascii="宋体" w:hAnsi="宋体" w:cs="宋体"/>
                <w:sz w:val="20"/>
                <w:szCs w:val="21"/>
              </w:rPr>
              <w:t>理线架</w:t>
            </w:r>
          </w:p>
        </w:tc>
        <w:tc>
          <w:tcPr>
            <w:tcW w:w="1257" w:type="dxa"/>
            <w:noWrap w:val="0"/>
            <w:vAlign w:val="top"/>
          </w:tcPr>
          <w:p>
            <w:pPr>
              <w:rPr>
                <w:rFonts w:hint="eastAsia" w:ascii="宋体" w:hAnsi="宋体" w:cs="宋体"/>
                <w:sz w:val="20"/>
                <w:szCs w:val="21"/>
              </w:rPr>
            </w:pPr>
            <w:r>
              <w:rPr>
                <w:rFonts w:hint="eastAsia" w:ascii="宋体" w:hAnsi="宋体" w:cs="宋体"/>
                <w:sz w:val="20"/>
                <w:szCs w:val="21"/>
              </w:rPr>
              <w:t>产品规格</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机架式安装，水平理线器。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操作方式</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可从理线器顶部或底部单手开合理线器盖板。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高度</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须能提供1U、2U、3U 供选择。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Merge w:val="continue"/>
            <w:noWrap w:val="0"/>
            <w:vAlign w:val="top"/>
          </w:tcPr>
          <w:p>
            <w:pPr>
              <w:jc w:val="center"/>
              <w:rPr>
                <w:rFonts w:hint="eastAsia" w:ascii="宋体" w:hAnsi="宋体" w:cs="宋体"/>
                <w:sz w:val="20"/>
                <w:szCs w:val="21"/>
              </w:rPr>
            </w:pPr>
          </w:p>
        </w:tc>
        <w:tc>
          <w:tcPr>
            <w:tcW w:w="1200" w:type="dxa"/>
            <w:vMerge w:val="continue"/>
            <w:noWrap w:val="0"/>
            <w:vAlign w:val="top"/>
          </w:tcPr>
          <w:p>
            <w:pPr>
              <w:rPr>
                <w:rFonts w:hint="eastAsia" w:ascii="宋体" w:hAnsi="宋体" w:cs="宋体"/>
                <w:sz w:val="20"/>
                <w:szCs w:val="21"/>
              </w:rPr>
            </w:pPr>
          </w:p>
        </w:tc>
        <w:tc>
          <w:tcPr>
            <w:tcW w:w="1257" w:type="dxa"/>
            <w:noWrap w:val="0"/>
            <w:vAlign w:val="top"/>
          </w:tcPr>
          <w:p>
            <w:pPr>
              <w:rPr>
                <w:rFonts w:hint="eastAsia" w:ascii="宋体" w:hAnsi="宋体" w:cs="宋体"/>
                <w:sz w:val="20"/>
                <w:szCs w:val="21"/>
              </w:rPr>
            </w:pPr>
            <w:r>
              <w:rPr>
                <w:rFonts w:hint="eastAsia" w:ascii="宋体" w:hAnsi="宋体" w:cs="宋体"/>
                <w:sz w:val="20"/>
                <w:szCs w:val="21"/>
              </w:rPr>
              <w:t>方向</w:t>
            </w:r>
          </w:p>
        </w:tc>
        <w:tc>
          <w:tcPr>
            <w:tcW w:w="6063" w:type="dxa"/>
            <w:noWrap w:val="0"/>
            <w:vAlign w:val="top"/>
          </w:tcPr>
          <w:p>
            <w:pPr>
              <w:rPr>
                <w:rFonts w:hint="eastAsia" w:ascii="宋体" w:hAnsi="宋体" w:cs="宋体"/>
                <w:sz w:val="20"/>
                <w:szCs w:val="21"/>
              </w:rPr>
            </w:pPr>
            <w:r>
              <w:rPr>
                <w:rFonts w:hint="eastAsia" w:ascii="宋体" w:hAnsi="宋体" w:cs="宋体"/>
                <w:sz w:val="20"/>
                <w:szCs w:val="21"/>
              </w:rPr>
              <w:t>须能提供 单面、双面 供选择。</w:t>
            </w:r>
          </w:p>
        </w:tc>
      </w:tr>
    </w:tbl>
    <w:p>
      <w:pPr>
        <w:pStyle w:val="13"/>
        <w:autoSpaceDE w:val="0"/>
        <w:autoSpaceDN w:val="0"/>
        <w:adjustRightInd w:val="0"/>
        <w:ind w:firstLine="0"/>
        <w:jc w:val="left"/>
      </w:pPr>
    </w:p>
    <w:p>
      <w:pPr>
        <w:tabs>
          <w:tab w:val="left" w:pos="432"/>
        </w:tabs>
        <w:spacing w:before="220" w:after="210" w:line="360" w:lineRule="auto"/>
        <w:outlineLvl w:val="3"/>
        <w:rPr>
          <w:rFonts w:hint="eastAsia" w:ascii="仿宋" w:hAnsi="仿宋" w:eastAsia="仿宋" w:cs="仿宋"/>
          <w:b/>
          <w:bCs/>
          <w:sz w:val="24"/>
          <w:szCs w:val="24"/>
        </w:rPr>
      </w:pPr>
      <w:r>
        <w:rPr>
          <w:rFonts w:hint="eastAsia" w:ascii="宋体" w:hAnsi="宋体" w:cs="宋体"/>
          <w:b/>
          <w:bCs/>
          <w:sz w:val="24"/>
          <w:szCs w:val="24"/>
        </w:rPr>
        <w:t>C、IT设备配置</w:t>
      </w:r>
    </w:p>
    <w:p>
      <w:pPr>
        <w:rPr>
          <w:rFonts w:hint="eastAsia" w:ascii="宋体" w:hAnsi="宋体" w:cs="宋体"/>
        </w:rPr>
      </w:pPr>
      <w:r>
        <w:rPr>
          <w:rFonts w:hint="eastAsia" w:ascii="宋体" w:hAnsi="宋体" w:cs="宋体"/>
          <w:b/>
          <w:szCs w:val="21"/>
        </w:rPr>
        <w:t>1、云资源服务器5台</w:t>
      </w:r>
    </w:p>
    <w:tbl>
      <w:tblPr>
        <w:tblStyle w:val="37"/>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332"/>
        <w:gridCol w:w="7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044" w:type="dxa"/>
            <w:noWrap/>
            <w:vAlign w:val="center"/>
          </w:tcPr>
          <w:p>
            <w:pPr>
              <w:spacing w:after="120"/>
              <w:jc w:val="center"/>
              <w:rPr>
                <w:rFonts w:hint="eastAsia" w:ascii="宋体" w:hAnsi="宋体" w:cs="宋体"/>
                <w:b/>
                <w:bCs/>
                <w:kern w:val="0"/>
                <w:szCs w:val="21"/>
              </w:rPr>
            </w:pPr>
            <w:r>
              <w:rPr>
                <w:rFonts w:hint="eastAsia" w:ascii="宋体" w:hAnsi="宋体" w:cs="宋体"/>
                <w:b/>
                <w:bCs/>
                <w:kern w:val="0"/>
                <w:szCs w:val="21"/>
              </w:rPr>
              <w:t>类别</w:t>
            </w:r>
          </w:p>
        </w:tc>
        <w:tc>
          <w:tcPr>
            <w:tcW w:w="1332" w:type="dxa"/>
            <w:noWrap w:val="0"/>
            <w:vAlign w:val="center"/>
          </w:tcPr>
          <w:p>
            <w:pPr>
              <w:spacing w:after="120"/>
              <w:jc w:val="center"/>
              <w:rPr>
                <w:rFonts w:hint="eastAsia" w:ascii="宋体" w:hAnsi="宋体" w:cs="宋体"/>
                <w:b/>
                <w:bCs/>
                <w:kern w:val="0"/>
                <w:szCs w:val="21"/>
              </w:rPr>
            </w:pPr>
            <w:r>
              <w:rPr>
                <w:rFonts w:hint="eastAsia" w:ascii="宋体" w:hAnsi="宋体" w:cs="宋体"/>
                <w:b/>
                <w:bCs/>
                <w:kern w:val="0"/>
                <w:szCs w:val="21"/>
              </w:rPr>
              <w:t>指标项</w:t>
            </w:r>
          </w:p>
        </w:tc>
        <w:tc>
          <w:tcPr>
            <w:tcW w:w="7365" w:type="dxa"/>
            <w:noWrap w:val="0"/>
            <w:vAlign w:val="center"/>
          </w:tcPr>
          <w:p>
            <w:pPr>
              <w:spacing w:after="120"/>
              <w:rPr>
                <w:rFonts w:hint="eastAsia" w:ascii="宋体" w:hAnsi="宋体" w:cs="宋体"/>
                <w:b/>
                <w:bCs/>
                <w:kern w:val="0"/>
                <w:szCs w:val="21"/>
              </w:rPr>
            </w:pPr>
            <w:r>
              <w:rPr>
                <w:rFonts w:hint="eastAsia" w:ascii="宋体" w:hAnsi="宋体" w:cs="宋体"/>
                <w:b/>
                <w:bCs/>
                <w:kern w:val="0"/>
                <w:szCs w:val="21"/>
              </w:rPr>
              <w:t>技术规格要求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noWrap/>
            <w:vAlign w:val="center"/>
          </w:tcPr>
          <w:p>
            <w:pPr>
              <w:spacing w:after="120"/>
              <w:jc w:val="center"/>
              <w:rPr>
                <w:rFonts w:hint="eastAsia" w:ascii="宋体" w:hAnsi="宋体" w:cs="宋体"/>
                <w:kern w:val="0"/>
                <w:szCs w:val="21"/>
              </w:rPr>
            </w:pPr>
            <w:r>
              <w:rPr>
                <w:rFonts w:hint="eastAsia" w:ascii="宋体" w:hAnsi="宋体" w:cs="宋体"/>
                <w:kern w:val="0"/>
                <w:szCs w:val="21"/>
              </w:rPr>
              <w:t>品牌</w:t>
            </w:r>
          </w:p>
        </w:tc>
        <w:tc>
          <w:tcPr>
            <w:tcW w:w="8697" w:type="dxa"/>
            <w:gridSpan w:val="2"/>
            <w:noWrap w:val="0"/>
            <w:vAlign w:val="center"/>
          </w:tcPr>
          <w:p>
            <w:pPr>
              <w:spacing w:after="120"/>
              <w:ind w:firstLine="210" w:firstLineChars="100"/>
              <w:jc w:val="left"/>
              <w:rPr>
                <w:rFonts w:hint="eastAsia" w:ascii="宋体" w:hAnsi="宋体" w:cs="宋体"/>
                <w:kern w:val="0"/>
                <w:szCs w:val="21"/>
              </w:rPr>
            </w:pPr>
            <w:r>
              <w:rPr>
                <w:rFonts w:hint="eastAsia" w:ascii="宋体" w:hAnsi="宋体" w:cs="宋体"/>
                <w:kern w:val="0"/>
                <w:szCs w:val="21"/>
              </w:rPr>
              <w:t>本项目要求国产非OEM产品响应。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noWrap/>
            <w:vAlign w:val="center"/>
          </w:tcPr>
          <w:p>
            <w:pPr>
              <w:spacing w:after="120"/>
              <w:jc w:val="center"/>
              <w:rPr>
                <w:rFonts w:hint="eastAsia" w:ascii="宋体" w:hAnsi="宋体" w:cs="宋体"/>
                <w:kern w:val="0"/>
                <w:szCs w:val="21"/>
              </w:rPr>
            </w:pPr>
            <w:r>
              <w:rPr>
                <w:rFonts w:hint="eastAsia" w:ascii="宋体" w:hAnsi="宋体" w:cs="宋体"/>
                <w:kern w:val="0"/>
                <w:szCs w:val="21"/>
              </w:rPr>
              <w:t>外观结构</w:t>
            </w:r>
          </w:p>
        </w:tc>
        <w:tc>
          <w:tcPr>
            <w:tcW w:w="1332" w:type="dxa"/>
            <w:noWrap w:val="0"/>
            <w:vAlign w:val="center"/>
          </w:tcPr>
          <w:p>
            <w:pPr>
              <w:spacing w:after="120"/>
              <w:jc w:val="center"/>
              <w:rPr>
                <w:rFonts w:hint="eastAsia" w:ascii="宋体" w:hAnsi="宋体" w:cs="宋体"/>
                <w:b/>
                <w:bCs/>
                <w:kern w:val="0"/>
                <w:szCs w:val="21"/>
              </w:rPr>
            </w:pPr>
            <w:r>
              <w:rPr>
                <w:rFonts w:hint="eastAsia" w:ascii="宋体" w:hAnsi="宋体" w:cs="宋体"/>
                <w:kern w:val="0"/>
                <w:szCs w:val="21"/>
              </w:rPr>
              <w:t>类型</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restart"/>
            <w:noWrap/>
            <w:vAlign w:val="center"/>
          </w:tcPr>
          <w:p>
            <w:pPr>
              <w:spacing w:after="120"/>
              <w:jc w:val="center"/>
              <w:rPr>
                <w:rFonts w:hint="eastAsia" w:ascii="宋体" w:hAnsi="宋体" w:cs="宋体"/>
                <w:kern w:val="0"/>
                <w:szCs w:val="21"/>
              </w:rPr>
            </w:pPr>
            <w:r>
              <w:rPr>
                <w:rFonts w:hint="eastAsia" w:ascii="宋体" w:hAnsi="宋体" w:cs="宋体"/>
                <w:kern w:val="0"/>
                <w:szCs w:val="21"/>
              </w:rPr>
              <w:t>处理器</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支持能力</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不低于英特尔</w:t>
            </w:r>
            <w:r>
              <w:rPr>
                <w:rFonts w:ascii="宋体" w:hAnsi="宋体" w:cs="宋体"/>
                <w:kern w:val="0"/>
                <w:szCs w:val="21"/>
              </w:rPr>
              <w:t>®</w:t>
            </w:r>
            <w:r>
              <w:rPr>
                <w:rFonts w:hint="eastAsia" w:ascii="宋体" w:hAnsi="宋体" w:cs="宋体"/>
                <w:kern w:val="0"/>
                <w:szCs w:val="21"/>
              </w:rPr>
              <w:t>至强</w:t>
            </w:r>
            <w:r>
              <w:rPr>
                <w:rFonts w:ascii="宋体" w:hAnsi="宋体" w:cs="宋体"/>
                <w:kern w:val="0"/>
                <w:szCs w:val="21"/>
              </w:rPr>
              <w:t>®</w:t>
            </w:r>
            <w:r>
              <w:rPr>
                <w:rFonts w:hint="eastAsia" w:ascii="宋体" w:hAnsi="宋体" w:cs="宋体"/>
                <w:kern w:val="0"/>
                <w:szCs w:val="21"/>
              </w:rPr>
              <w:t>可扩展系列，≥2颗处理器，支持铂金、金牌、银牌、铜牌全系列级别，最大支持</w:t>
            </w:r>
            <w:r>
              <w:rPr>
                <w:rFonts w:ascii="宋体" w:hAnsi="宋体" w:cs="宋体"/>
                <w:kern w:val="0"/>
                <w:szCs w:val="21"/>
              </w:rPr>
              <w:t>TDP</w:t>
            </w:r>
            <w:r>
              <w:rPr>
                <w:rFonts w:hint="eastAsia" w:ascii="宋体" w:hAnsi="宋体" w:cs="宋体"/>
                <w:kern w:val="0"/>
                <w:szCs w:val="21"/>
              </w:rPr>
              <w:t>165</w:t>
            </w:r>
            <w:r>
              <w:rPr>
                <w:rFonts w:ascii="宋体" w:hAnsi="宋体" w:cs="宋体"/>
                <w:kern w:val="0"/>
                <w:szCs w:val="21"/>
              </w:rPr>
              <w:t>CPU</w:t>
            </w:r>
            <w:r>
              <w:rPr>
                <w:rFonts w:hint="eastAsia" w:ascii="宋体" w:hAnsi="宋体" w:cs="宋体"/>
                <w:kern w:val="0"/>
                <w:szCs w:val="21"/>
              </w:rPr>
              <w:t>（</w:t>
            </w:r>
            <w:r>
              <w:rPr>
                <w:rFonts w:ascii="宋体" w:hAnsi="宋体"/>
                <w:szCs w:val="21"/>
                <w:shd w:val="clear" w:color="auto" w:fill="FFFFFF"/>
              </w:rPr>
              <w:t>散热设计功耗</w:t>
            </w:r>
            <w:r>
              <w:rPr>
                <w:rFonts w:hint="eastAsia" w:ascii="宋体" w:hAnsi="宋体"/>
                <w:szCs w:val="21"/>
                <w:shd w:val="clear" w:color="auto" w:fill="FFFFFF"/>
              </w:rPr>
              <w:t>为165瓦</w:t>
            </w:r>
            <w:r>
              <w:rPr>
                <w:rFonts w:ascii="宋体" w:hAnsi="宋体" w:cs="宋体"/>
                <w:kern w:val="0"/>
                <w:szCs w:val="21"/>
              </w:rPr>
              <w:t>CPU</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color w:val="000000"/>
                <w:sz w:val="22"/>
              </w:rPr>
              <w:t>★(3)</w:t>
            </w:r>
            <w:r>
              <w:rPr>
                <w:rFonts w:hint="eastAsia" w:ascii="宋体" w:hAnsi="宋体" w:cs="宋体"/>
                <w:kern w:val="0"/>
                <w:szCs w:val="21"/>
              </w:rPr>
              <w:t>实际配置</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CPU个数≥2颗，CPU型号为英特尔至强金牌</w:t>
            </w:r>
            <w:r>
              <w:rPr>
                <w:rFonts w:ascii="宋体" w:hAnsi="宋体" w:cs="宋体"/>
                <w:kern w:val="0"/>
                <w:szCs w:val="21"/>
              </w:rPr>
              <w:t>6330N或更高级别</w:t>
            </w:r>
            <w:r>
              <w:rPr>
                <w:rFonts w:hint="eastAsia" w:ascii="宋体" w:hAnsi="宋体" w:cs="宋体"/>
                <w:kern w:val="0"/>
                <w:szCs w:val="21"/>
              </w:rPr>
              <w:t>，每颗CPU≥28核，</w:t>
            </w:r>
            <w:r>
              <w:rPr>
                <w:rFonts w:ascii="宋体" w:hAnsi="宋体" w:cs="宋体"/>
                <w:kern w:val="0"/>
                <w:szCs w:val="21"/>
              </w:rPr>
              <w:t>2</w:t>
            </w:r>
            <w:r>
              <w:rPr>
                <w:rFonts w:hint="eastAsia" w:ascii="宋体" w:hAnsi="宋体" w:cs="宋体"/>
                <w:kern w:val="0"/>
                <w:szCs w:val="21"/>
              </w:rPr>
              <w:t>.</w:t>
            </w:r>
            <w:r>
              <w:rPr>
                <w:rFonts w:ascii="宋体" w:hAnsi="宋体" w:cs="宋体"/>
                <w:kern w:val="0"/>
                <w:szCs w:val="21"/>
              </w:rPr>
              <w:t>2GHz</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内存</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支持能力</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支持多达32个DDR4内存，速率最高支持3200MT/s，支持RDIMM或LRDIMM，单颗处理器最大容量6TB。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color w:val="000000"/>
                <w:sz w:val="22"/>
              </w:rPr>
              <w:t>★(4)</w:t>
            </w:r>
            <w:r>
              <w:rPr>
                <w:rFonts w:hint="eastAsia" w:ascii="宋体" w:hAnsi="宋体" w:cs="宋体"/>
                <w:kern w:val="0"/>
                <w:szCs w:val="21"/>
              </w:rPr>
              <w:t>实际配置</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配置内存≥12×</w:t>
            </w:r>
            <w:r>
              <w:rPr>
                <w:rFonts w:ascii="宋体" w:hAnsi="宋体" w:cs="宋体"/>
                <w:kern w:val="0"/>
                <w:szCs w:val="21"/>
              </w:rPr>
              <w:t>64</w:t>
            </w:r>
            <w:r>
              <w:rPr>
                <w:rFonts w:hint="eastAsia" w:ascii="宋体" w:hAnsi="宋体" w:cs="宋体"/>
                <w:kern w:val="0"/>
                <w:szCs w:val="21"/>
              </w:rPr>
              <w:t>GB</w:t>
            </w:r>
            <w:r>
              <w:rPr>
                <w:rFonts w:ascii="宋体" w:hAnsi="宋体" w:cs="宋体"/>
                <w:kern w:val="0"/>
                <w:szCs w:val="21"/>
              </w:rPr>
              <w:t xml:space="preserve"> DDR4</w:t>
            </w:r>
            <w:r>
              <w:rPr>
                <w:rFonts w:hint="eastAsia" w:ascii="宋体" w:hAnsi="宋体" w:cs="宋体"/>
                <w:kern w:val="0"/>
                <w:szCs w:val="21"/>
              </w:rPr>
              <w:t>，3200Mhz，单条6</w:t>
            </w:r>
            <w:r>
              <w:rPr>
                <w:rFonts w:ascii="宋体" w:hAnsi="宋体" w:cs="宋体"/>
                <w:kern w:val="0"/>
                <w:szCs w:val="21"/>
              </w:rPr>
              <w:t>4GB</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硬盘</w:t>
            </w:r>
          </w:p>
        </w:tc>
        <w:tc>
          <w:tcPr>
            <w:tcW w:w="1332" w:type="dxa"/>
            <w:noWrap w:val="0"/>
            <w:vAlign w:val="center"/>
          </w:tcPr>
          <w:p>
            <w:pPr>
              <w:spacing w:after="120"/>
              <w:jc w:val="center"/>
              <w:rPr>
                <w:rFonts w:hint="eastAsia" w:ascii="宋体" w:hAnsi="宋体"/>
                <w:kern w:val="0"/>
              </w:rPr>
            </w:pPr>
            <w:r>
              <w:rPr>
                <w:rFonts w:hint="eastAsia" w:ascii="宋体" w:hAnsi="宋体"/>
                <w:kern w:val="0"/>
              </w:rPr>
              <w:t>支持</w:t>
            </w:r>
            <w:r>
              <w:rPr>
                <w:rFonts w:hint="eastAsia" w:ascii="宋体" w:hAnsi="宋体" w:cs="宋体"/>
                <w:kern w:val="0"/>
                <w:szCs w:val="21"/>
              </w:rPr>
              <w:t>能力</w:t>
            </w:r>
          </w:p>
        </w:tc>
        <w:tc>
          <w:tcPr>
            <w:tcW w:w="7365" w:type="dxa"/>
            <w:noWrap w:val="0"/>
            <w:vAlign w:val="center"/>
          </w:tcPr>
          <w:p>
            <w:pPr>
              <w:spacing w:after="120"/>
              <w:rPr>
                <w:rFonts w:hint="eastAsia" w:ascii="宋体" w:hAnsi="宋体"/>
                <w:kern w:val="0"/>
              </w:rPr>
            </w:pPr>
            <w:r>
              <w:rPr>
                <w:rFonts w:hint="eastAsia" w:ascii="宋体" w:hAnsi="宋体" w:cs="宋体"/>
                <w:kern w:val="0"/>
                <w:szCs w:val="21"/>
              </w:rPr>
              <w:t>≥</w:t>
            </w:r>
            <w:r>
              <w:rPr>
                <w:rFonts w:ascii="宋体" w:hAnsi="宋体" w:cs="宋体"/>
                <w:kern w:val="0"/>
                <w:szCs w:val="21"/>
              </w:rPr>
              <w:t>12</w:t>
            </w:r>
            <w:r>
              <w:rPr>
                <w:rFonts w:hint="eastAsia" w:ascii="宋体" w:hAnsi="宋体" w:cs="宋体"/>
                <w:kern w:val="0"/>
                <w:szCs w:val="21"/>
              </w:rPr>
              <w:t>个3</w:t>
            </w:r>
            <w:r>
              <w:rPr>
                <w:rFonts w:ascii="宋体" w:hAnsi="宋体" w:cs="宋体"/>
                <w:kern w:val="0"/>
                <w:szCs w:val="21"/>
              </w:rPr>
              <w:t>.5</w:t>
            </w:r>
            <w:r>
              <w:rPr>
                <w:rFonts w:hint="eastAsia" w:ascii="宋体" w:hAnsi="宋体" w:cs="宋体"/>
                <w:kern w:val="0"/>
                <w:szCs w:val="21"/>
              </w:rPr>
              <w:t>英寸</w:t>
            </w:r>
            <w:r>
              <w:rPr>
                <w:rFonts w:ascii="宋体" w:hAnsi="宋体" w:cs="宋体"/>
                <w:kern w:val="0"/>
                <w:szCs w:val="21"/>
              </w:rPr>
              <w:t>SAS/SATA/</w:t>
            </w:r>
            <w:r>
              <w:rPr>
                <w:rFonts w:hint="eastAsia" w:ascii="宋体" w:hAnsi="宋体" w:cs="宋体"/>
                <w:kern w:val="0"/>
                <w:szCs w:val="21"/>
              </w:rPr>
              <w:t>SSD硬盘槽位，≥2个</w:t>
            </w:r>
            <w:r>
              <w:rPr>
                <w:rFonts w:ascii="宋体" w:hAnsi="宋体" w:cs="宋体"/>
                <w:kern w:val="0"/>
                <w:szCs w:val="21"/>
              </w:rPr>
              <w:t>2.5</w:t>
            </w:r>
            <w:r>
              <w:rPr>
                <w:rFonts w:hint="eastAsia" w:ascii="宋体" w:hAnsi="宋体" w:cs="宋体"/>
                <w:kern w:val="0"/>
                <w:szCs w:val="21"/>
              </w:rPr>
              <w:t>英寸</w:t>
            </w:r>
            <w:r>
              <w:rPr>
                <w:rFonts w:ascii="宋体" w:hAnsi="宋体" w:cs="宋体"/>
                <w:kern w:val="0"/>
                <w:szCs w:val="21"/>
              </w:rPr>
              <w:t>SAS/SATA/</w:t>
            </w:r>
            <w:r>
              <w:rPr>
                <w:rFonts w:hint="eastAsia" w:ascii="宋体" w:hAnsi="宋体" w:cs="宋体"/>
                <w:kern w:val="0"/>
                <w:szCs w:val="21"/>
              </w:rPr>
              <w:t>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kern w:val="0"/>
              </w:rPr>
            </w:pPr>
            <w:r>
              <w:rPr>
                <w:rFonts w:hint="eastAsia" w:ascii="宋体" w:hAnsi="宋体" w:cs="宋体"/>
                <w:color w:val="000000"/>
                <w:sz w:val="22"/>
              </w:rPr>
              <w:t>★(5)</w:t>
            </w:r>
            <w:r>
              <w:rPr>
                <w:rFonts w:hint="eastAsia" w:ascii="宋体" w:hAnsi="宋体" w:cs="宋体"/>
                <w:kern w:val="0"/>
                <w:szCs w:val="21"/>
              </w:rPr>
              <w:t>实际配置</w:t>
            </w:r>
          </w:p>
        </w:tc>
        <w:tc>
          <w:tcPr>
            <w:tcW w:w="7365" w:type="dxa"/>
            <w:noWrap w:val="0"/>
            <w:vAlign w:val="center"/>
          </w:tcPr>
          <w:p>
            <w:pPr>
              <w:spacing w:after="120"/>
              <w:rPr>
                <w:rFonts w:hint="eastAsia" w:ascii="宋体" w:hAnsi="宋体" w:cs="宋体"/>
                <w:kern w:val="0"/>
                <w:szCs w:val="21"/>
              </w:rPr>
            </w:pPr>
            <w:r>
              <w:rPr>
                <w:rFonts w:hint="eastAsia" w:ascii="宋体" w:hAnsi="宋体" w:cs="宋体"/>
                <w:szCs w:val="21"/>
              </w:rPr>
              <w:t>硬盘：配置不少于2块480GB 6G SATA 2.5in SSD通用硬盘；2块1.6TB PCIe</w:t>
            </w:r>
            <w:r>
              <w:rPr>
                <w:rFonts w:ascii="宋体" w:hAnsi="宋体" w:cs="宋体"/>
                <w:szCs w:val="21"/>
              </w:rPr>
              <w:t xml:space="preserve"> </w:t>
            </w:r>
            <w:r>
              <w:rPr>
                <w:rFonts w:hint="eastAsia" w:ascii="宋体" w:hAnsi="宋体" w:cs="宋体"/>
                <w:szCs w:val="21"/>
              </w:rPr>
              <w:t>Gen4 X4 NVMe 3.5in SSD通用硬盘；2块3.84TB PCIe*Gen4 X4 NVMe 3.5in SSD通用硬盘；6块14TB 6G SATA 7.2K 3.5in 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阵列控制器</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Raid支持</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可靠性</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配置掉电保护功能。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b/>
                <w:bCs/>
                <w:kern w:val="0"/>
                <w:szCs w:val="21"/>
              </w:rPr>
            </w:pPr>
            <w:r>
              <w:rPr>
                <w:rFonts w:hint="eastAsia" w:ascii="宋体" w:hAnsi="宋体" w:cs="宋体"/>
                <w:kern w:val="0"/>
                <w:szCs w:val="21"/>
              </w:rPr>
              <w:t>Raid缓存</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≥2GB缓存。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PCI-E</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扩展能力</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PCIE4.0速率插槽≥10个（其中包含9个PCIe4.0标准插槽和1个OCP3.0插槽）。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网卡</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vMerge w:val="restart"/>
            <w:noWrap w:val="0"/>
            <w:vAlign w:val="center"/>
          </w:tcPr>
          <w:p>
            <w:pPr>
              <w:spacing w:after="120"/>
              <w:jc w:val="center"/>
              <w:rPr>
                <w:rFonts w:hint="eastAsia" w:ascii="宋体" w:hAnsi="宋体" w:cs="宋体"/>
                <w:kern w:val="0"/>
                <w:szCs w:val="21"/>
              </w:rPr>
            </w:pPr>
            <w:r>
              <w:rPr>
                <w:rFonts w:hint="eastAsia" w:ascii="宋体" w:hAnsi="宋体" w:cs="宋体"/>
                <w:color w:val="000000"/>
                <w:sz w:val="22"/>
              </w:rPr>
              <w:t>★(6)</w:t>
            </w:r>
            <w:r>
              <w:rPr>
                <w:rFonts w:hint="eastAsia" w:ascii="宋体" w:hAnsi="宋体" w:cs="宋体"/>
                <w:kern w:val="0"/>
                <w:szCs w:val="21"/>
              </w:rPr>
              <w:t>实际配置</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vMerge w:val="continue"/>
            <w:noWrap w:val="0"/>
            <w:vAlign w:val="center"/>
          </w:tcPr>
          <w:p>
            <w:pPr>
              <w:spacing w:after="120"/>
              <w:jc w:val="center"/>
              <w:rPr>
                <w:rFonts w:hint="eastAsia" w:ascii="宋体" w:hAnsi="宋体" w:cs="宋体"/>
                <w:kern w:val="0"/>
                <w:szCs w:val="21"/>
              </w:rPr>
            </w:pP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 xml:space="preserve"> </w:t>
            </w:r>
            <w:r>
              <w:rPr>
                <w:rFonts w:hint="eastAsia" w:ascii="宋体" w:hAnsi="宋体" w:cs="宋体"/>
                <w:kern w:val="0"/>
                <w:szCs w:val="21"/>
              </w:rPr>
              <w:t>个10Gb光口，含</w:t>
            </w:r>
            <w:r>
              <w:rPr>
                <w:rFonts w:ascii="宋体" w:hAnsi="宋体" w:cs="宋体"/>
                <w:kern w:val="0"/>
                <w:szCs w:val="21"/>
              </w:rPr>
              <w:t>4</w:t>
            </w:r>
            <w:r>
              <w:rPr>
                <w:rFonts w:hint="eastAsia" w:ascii="宋体" w:hAnsi="宋体" w:cs="宋体"/>
                <w:kern w:val="0"/>
                <w:szCs w:val="21"/>
              </w:rPr>
              <w:t>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noWrap w:val="0"/>
            <w:vAlign w:val="center"/>
          </w:tcPr>
          <w:p>
            <w:pPr>
              <w:spacing w:after="120"/>
              <w:jc w:val="center"/>
              <w:rPr>
                <w:rFonts w:hint="eastAsia" w:ascii="宋体" w:hAnsi="宋体" w:cs="宋体"/>
                <w:kern w:val="0"/>
                <w:szCs w:val="21"/>
              </w:rPr>
            </w:pPr>
            <w:r>
              <w:rPr>
                <w:rFonts w:hint="eastAsia" w:ascii="宋体" w:hAnsi="宋体" w:cs="仿宋"/>
                <w:szCs w:val="21"/>
              </w:rPr>
              <w:t>GPU卡</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7365" w:type="dxa"/>
            <w:noWrap w:val="0"/>
            <w:vAlign w:val="center"/>
          </w:tcPr>
          <w:p>
            <w:pPr>
              <w:adjustRightInd w:val="0"/>
              <w:snapToGrid w:val="0"/>
              <w:rPr>
                <w:rFonts w:hint="eastAsia" w:ascii="宋体" w:hAnsi="宋体" w:cs="宋体"/>
                <w:kern w:val="0"/>
                <w:szCs w:val="21"/>
              </w:rPr>
            </w:pPr>
            <w:r>
              <w:rPr>
                <w:rFonts w:hint="eastAsia" w:ascii="宋体" w:hAnsi="宋体" w:cs="宋体"/>
                <w:kern w:val="0"/>
                <w:szCs w:val="21"/>
              </w:rPr>
              <w:t>支持单宽GPU卡。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4" w:type="dxa"/>
            <w:noWrap/>
            <w:vAlign w:val="center"/>
          </w:tcPr>
          <w:p>
            <w:pPr>
              <w:spacing w:after="120"/>
              <w:jc w:val="center"/>
              <w:rPr>
                <w:rFonts w:hint="eastAsia" w:ascii="宋体" w:hAnsi="宋体" w:cs="宋体"/>
                <w:kern w:val="0"/>
                <w:szCs w:val="21"/>
              </w:rPr>
            </w:pPr>
            <w:r>
              <w:rPr>
                <w:rFonts w:hint="eastAsia" w:ascii="宋体" w:hAnsi="宋体" w:cs="宋体"/>
                <w:kern w:val="0"/>
                <w:szCs w:val="21"/>
              </w:rPr>
              <w:t>USB接口</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个数</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电源</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widowControl/>
              <w:spacing w:after="120"/>
              <w:jc w:val="center"/>
              <w:rPr>
                <w:rFonts w:hint="eastAsia" w:ascii="宋体" w:hAnsi="宋体" w:cs="宋体"/>
                <w:kern w:val="0"/>
                <w:szCs w:val="21"/>
              </w:rPr>
            </w:pPr>
            <w:r>
              <w:rPr>
                <w:rFonts w:hint="eastAsia" w:ascii="宋体" w:hAnsi="宋体" w:cs="宋体"/>
                <w:kern w:val="0"/>
                <w:szCs w:val="21"/>
              </w:rPr>
              <w:t>节能</w:t>
            </w:r>
          </w:p>
        </w:tc>
        <w:tc>
          <w:tcPr>
            <w:tcW w:w="7365" w:type="dxa"/>
            <w:noWrap w:val="0"/>
            <w:vAlign w:val="center"/>
          </w:tcPr>
          <w:p>
            <w:pPr>
              <w:widowControl/>
              <w:spacing w:after="120"/>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实际配置</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≥2个冗余热插拔电源，≥</w:t>
            </w:r>
            <w:r>
              <w:rPr>
                <w:rFonts w:ascii="宋体" w:hAnsi="宋体" w:cs="宋体"/>
                <w:kern w:val="0"/>
                <w:szCs w:val="21"/>
              </w:rPr>
              <w:t>2</w:t>
            </w:r>
            <w:r>
              <w:rPr>
                <w:rFonts w:hint="eastAsia" w:ascii="宋体" w:hAnsi="宋体" w:cs="宋体"/>
                <w:kern w:val="0"/>
                <w:szCs w:val="21"/>
              </w:rPr>
              <w:t>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44" w:type="dxa"/>
            <w:vMerge w:val="restart"/>
            <w:noWrap w:val="0"/>
            <w:vAlign w:val="center"/>
          </w:tcPr>
          <w:p>
            <w:pPr>
              <w:spacing w:after="120"/>
              <w:jc w:val="center"/>
              <w:rPr>
                <w:rFonts w:hint="eastAsia" w:ascii="宋体" w:hAnsi="宋体" w:cs="宋体"/>
                <w:kern w:val="0"/>
                <w:szCs w:val="21"/>
              </w:rPr>
            </w:pPr>
            <w:r>
              <w:rPr>
                <w:rFonts w:hint="eastAsia" w:ascii="宋体" w:hAnsi="宋体" w:cs="宋体"/>
                <w:kern w:val="0"/>
                <w:szCs w:val="21"/>
              </w:rPr>
              <w:t>管理功能</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color w:val="000000"/>
                <w:sz w:val="22"/>
              </w:rPr>
              <w:t>▲(6)</w:t>
            </w:r>
            <w:r>
              <w:rPr>
                <w:rFonts w:hint="eastAsia" w:ascii="宋体" w:hAnsi="宋体" w:cs="宋体"/>
                <w:kern w:val="0"/>
                <w:szCs w:val="21"/>
              </w:rPr>
              <w:t>温感直观展示</w:t>
            </w:r>
          </w:p>
        </w:tc>
        <w:tc>
          <w:tcPr>
            <w:tcW w:w="7365" w:type="dxa"/>
            <w:noWrap w:val="0"/>
            <w:vAlign w:val="center"/>
          </w:tcPr>
          <w:p>
            <w:pPr>
              <w:pStyle w:val="16"/>
              <w:rPr>
                <w:rFonts w:hint="eastAsia"/>
              </w:rPr>
            </w:pPr>
            <w:r>
              <w:rPr>
                <w:rFonts w:hint="eastAsia" w:ascii="宋体" w:hAnsi="宋体" w:cs="宋体"/>
                <w:kern w:val="0"/>
                <w:szCs w:val="21"/>
              </w:rPr>
              <w:t>服务器提供智能温度监控功能，具备以图形化形式展示各组件温度传感器的分布图，可直观体现服务器整体温感状态，需提供第三方检测机构检测报告证明。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安全面板</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便捷运维</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不依赖OS，可带外升级BIOS、BMC版本，可通过BMC界面带外一次升级多个部件的固件（如网卡部件、存储卡部件等）</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运维增强</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当服务器因可更换硬件故障导致启动进程挂死在POST阶段时，可以使用应急诊断功能，提供</w:t>
            </w:r>
            <w:r>
              <w:rPr>
                <w:rFonts w:hint="eastAsia"/>
              </w:rPr>
              <w:t>功能截图</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4"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稳定性</w:t>
            </w:r>
          </w:p>
        </w:tc>
        <w:tc>
          <w:tcPr>
            <w:tcW w:w="1332" w:type="dxa"/>
            <w:noWrap w:val="0"/>
            <w:vAlign w:val="center"/>
          </w:tcPr>
          <w:p>
            <w:pPr>
              <w:widowControl/>
              <w:spacing w:after="120"/>
              <w:jc w:val="center"/>
              <w:rPr>
                <w:rFonts w:hint="eastAsia" w:ascii="宋体" w:hAnsi="宋体" w:cs="宋体"/>
                <w:kern w:val="0"/>
                <w:szCs w:val="21"/>
              </w:rPr>
            </w:pPr>
            <w:r>
              <w:rPr>
                <w:rFonts w:hint="eastAsia" w:ascii="宋体" w:hAnsi="宋体" w:cs="宋体"/>
                <w:kern w:val="0"/>
                <w:szCs w:val="21"/>
              </w:rPr>
              <w:t>运行温度</w:t>
            </w:r>
          </w:p>
        </w:tc>
        <w:tc>
          <w:tcPr>
            <w:tcW w:w="7365" w:type="dxa"/>
            <w:noWrap w:val="0"/>
            <w:vAlign w:val="center"/>
          </w:tcPr>
          <w:p>
            <w:pPr>
              <w:widowControl/>
              <w:spacing w:after="120"/>
              <w:jc w:val="left"/>
              <w:rPr>
                <w:rFonts w:hint="eastAsia" w:ascii="宋体" w:hAnsi="宋体" w:cs="宋体"/>
                <w:kern w:val="0"/>
                <w:szCs w:val="21"/>
              </w:rPr>
            </w:pPr>
            <w:r>
              <w:rPr>
                <w:rFonts w:hint="eastAsia" w:ascii="宋体" w:hAnsi="宋体" w:cs="宋体"/>
                <w:kern w:val="0"/>
                <w:szCs w:val="21"/>
              </w:rPr>
              <w:t>工作环境温度支持</w:t>
            </w:r>
            <w:r>
              <w:rPr>
                <w:rFonts w:ascii="宋体" w:hAnsi="宋体" w:cs="宋体"/>
                <w:kern w:val="0"/>
                <w:szCs w:val="21"/>
              </w:rPr>
              <w:t>5~45°</w:t>
            </w:r>
            <w:r>
              <w:rPr>
                <w:rFonts w:hint="eastAsia" w:ascii="宋体" w:hAnsi="宋体" w:cs="宋体"/>
                <w:kern w:val="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资质认证</w:t>
            </w:r>
          </w:p>
        </w:tc>
        <w:tc>
          <w:tcPr>
            <w:tcW w:w="1332" w:type="dxa"/>
            <w:noWrap w:val="0"/>
            <w:vAlign w:val="center"/>
          </w:tcPr>
          <w:p>
            <w:pPr>
              <w:widowControl/>
              <w:spacing w:after="120"/>
              <w:jc w:val="center"/>
              <w:rPr>
                <w:rFonts w:hint="eastAsia" w:ascii="宋体" w:hAnsi="宋体" w:cs="宋体"/>
                <w:kern w:val="0"/>
                <w:szCs w:val="21"/>
              </w:rPr>
            </w:pPr>
            <w:r>
              <w:rPr>
                <w:rFonts w:hint="eastAsia" w:ascii="宋体" w:hAnsi="宋体" w:cs="宋体"/>
                <w:kern w:val="0"/>
                <w:szCs w:val="21"/>
              </w:rPr>
              <w:t>市场份额</w:t>
            </w:r>
          </w:p>
        </w:tc>
        <w:tc>
          <w:tcPr>
            <w:tcW w:w="7365" w:type="dxa"/>
            <w:noWrap w:val="0"/>
            <w:vAlign w:val="center"/>
          </w:tcPr>
          <w:p>
            <w:pPr>
              <w:widowControl/>
              <w:spacing w:after="120"/>
              <w:jc w:val="left"/>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44" w:type="dxa"/>
            <w:vMerge w:val="restart"/>
            <w:noWrap/>
            <w:vAlign w:val="center"/>
          </w:tcPr>
          <w:p>
            <w:pPr>
              <w:spacing w:after="120"/>
              <w:jc w:val="center"/>
              <w:rPr>
                <w:rFonts w:hint="eastAsia" w:ascii="宋体" w:hAnsi="宋体" w:cs="宋体"/>
                <w:kern w:val="0"/>
                <w:szCs w:val="21"/>
              </w:rPr>
            </w:pPr>
            <w:r>
              <w:rPr>
                <w:rFonts w:hint="eastAsia" w:ascii="宋体" w:hAnsi="宋体" w:cs="宋体"/>
                <w:kern w:val="0"/>
                <w:szCs w:val="21"/>
              </w:rPr>
              <w:t>服务</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维保服务</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044" w:type="dxa"/>
            <w:vMerge w:val="continue"/>
            <w:noWrap/>
            <w:vAlign w:val="center"/>
          </w:tcPr>
          <w:p>
            <w:pPr>
              <w:spacing w:after="120"/>
              <w:jc w:val="center"/>
              <w:rPr>
                <w:rFonts w:hint="eastAsia" w:ascii="宋体" w:hAnsi="宋体" w:cs="宋体"/>
                <w:kern w:val="0"/>
                <w:szCs w:val="21"/>
              </w:rPr>
            </w:pPr>
          </w:p>
        </w:tc>
        <w:tc>
          <w:tcPr>
            <w:tcW w:w="1332" w:type="dxa"/>
            <w:noWrap w:val="0"/>
            <w:vAlign w:val="center"/>
          </w:tcPr>
          <w:p>
            <w:pPr>
              <w:widowControl/>
              <w:spacing w:after="120"/>
              <w:jc w:val="center"/>
              <w:rPr>
                <w:rFonts w:hint="eastAsia" w:ascii="宋体" w:hAnsi="宋体" w:cs="宋体"/>
                <w:kern w:val="0"/>
                <w:szCs w:val="21"/>
              </w:rPr>
            </w:pPr>
            <w:r>
              <w:rPr>
                <w:rFonts w:hint="eastAsia" w:ascii="宋体" w:hAnsi="宋体" w:cs="宋体"/>
                <w:kern w:val="0"/>
                <w:szCs w:val="21"/>
              </w:rPr>
              <w:t>增值服务</w:t>
            </w:r>
          </w:p>
        </w:tc>
        <w:tc>
          <w:tcPr>
            <w:tcW w:w="7365" w:type="dxa"/>
            <w:noWrap w:val="0"/>
            <w:vAlign w:val="center"/>
          </w:tcPr>
          <w:p>
            <w:pPr>
              <w:widowControl/>
              <w:spacing w:after="120"/>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044" w:type="dxa"/>
            <w:vMerge w:val="restart"/>
            <w:noWrap/>
            <w:vAlign w:val="center"/>
          </w:tcPr>
          <w:p>
            <w:pPr>
              <w:spacing w:after="120"/>
              <w:jc w:val="center"/>
              <w:rPr>
                <w:rFonts w:hint="eastAsia" w:ascii="宋体" w:hAnsi="宋体" w:cs="宋体"/>
                <w:kern w:val="0"/>
                <w:szCs w:val="21"/>
              </w:rPr>
            </w:pPr>
            <w:r>
              <w:rPr>
                <w:rFonts w:hint="eastAsia" w:ascii="宋体" w:hAnsi="宋体" w:cs="宋体"/>
                <w:kern w:val="0"/>
                <w:szCs w:val="21"/>
              </w:rPr>
              <w:t>其它</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color w:val="000000"/>
                <w:sz w:val="22"/>
              </w:rPr>
              <w:t>▲(7)</w:t>
            </w:r>
            <w:r>
              <w:rPr>
                <w:rFonts w:hint="eastAsia" w:ascii="宋体" w:hAnsi="宋体" w:cs="宋体"/>
                <w:kern w:val="0"/>
                <w:szCs w:val="21"/>
              </w:rPr>
              <w:t>包装</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运输</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直接发货至最终用户指定地点。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44" w:type="dxa"/>
            <w:vMerge w:val="continue"/>
            <w:noWrap w:val="0"/>
            <w:vAlign w:val="center"/>
          </w:tcPr>
          <w:p>
            <w:pPr>
              <w:spacing w:after="120"/>
              <w:jc w:val="center"/>
              <w:rPr>
                <w:rFonts w:hint="eastAsia" w:ascii="宋体" w:hAnsi="宋体" w:cs="宋体"/>
                <w:kern w:val="0"/>
                <w:szCs w:val="21"/>
              </w:rPr>
            </w:pP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导轨</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44"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授权</w:t>
            </w:r>
          </w:p>
        </w:tc>
        <w:tc>
          <w:tcPr>
            <w:tcW w:w="1332" w:type="dxa"/>
            <w:noWrap w:val="0"/>
            <w:vAlign w:val="center"/>
          </w:tcPr>
          <w:p>
            <w:pPr>
              <w:spacing w:after="120"/>
              <w:jc w:val="center"/>
              <w:rPr>
                <w:rFonts w:hint="eastAsia" w:ascii="宋体" w:hAnsi="宋体" w:cs="宋体"/>
                <w:kern w:val="0"/>
                <w:szCs w:val="21"/>
              </w:rPr>
            </w:pPr>
            <w:r>
              <w:rPr>
                <w:rFonts w:hint="eastAsia" w:ascii="宋体" w:hAnsi="宋体" w:cs="宋体"/>
                <w:kern w:val="0"/>
                <w:szCs w:val="21"/>
              </w:rPr>
              <w:t>授权要求</w:t>
            </w:r>
          </w:p>
        </w:tc>
        <w:tc>
          <w:tcPr>
            <w:tcW w:w="7365" w:type="dxa"/>
            <w:noWrap w:val="0"/>
            <w:vAlign w:val="center"/>
          </w:tcPr>
          <w:p>
            <w:pPr>
              <w:spacing w:after="120"/>
              <w:rPr>
                <w:rFonts w:hint="eastAsia" w:ascii="宋体" w:hAnsi="宋体" w:cs="宋体"/>
                <w:kern w:val="0"/>
                <w:szCs w:val="21"/>
              </w:rPr>
            </w:pPr>
            <w:r>
              <w:rPr>
                <w:rFonts w:hint="eastAsia" w:ascii="宋体" w:hAnsi="宋体" w:cs="宋体"/>
                <w:kern w:val="0"/>
                <w:szCs w:val="21"/>
              </w:rPr>
              <w:t>供应商供货时需提供原厂商针对本项目的授权函及售后服务承诺函。</w:t>
            </w:r>
          </w:p>
        </w:tc>
      </w:tr>
    </w:tbl>
    <w:p>
      <w:pPr>
        <w:pStyle w:val="64"/>
        <w:ind w:firstLine="0" w:firstLineChars="0"/>
        <w:rPr>
          <w:rFonts w:hint="eastAsia" w:ascii="宋体" w:hAnsi="宋体" w:cs="宋体"/>
          <w:color w:val="000000"/>
          <w:sz w:val="22"/>
        </w:rPr>
      </w:pPr>
      <w:r>
        <w:rPr>
          <w:rFonts w:hint="eastAsia" w:ascii="宋体" w:hAnsi="宋体" w:cs="宋体"/>
          <w:color w:val="000000"/>
          <w:sz w:val="22"/>
        </w:rPr>
        <w:t>备注：★为必须满足的技术参数，如不满足投标无效。</w:t>
      </w:r>
    </w:p>
    <w:p>
      <w:pPr>
        <w:pStyle w:val="64"/>
        <w:ind w:firstLine="0" w:firstLineChars="0"/>
        <w:rPr>
          <w:rFonts w:hint="eastAsia" w:ascii="宋体" w:hAnsi="宋体" w:cs="宋体"/>
          <w:color w:val="000000"/>
          <w:sz w:val="22"/>
        </w:rPr>
      </w:pPr>
    </w:p>
    <w:p>
      <w:pPr>
        <w:numPr>
          <w:ilvl w:val="0"/>
          <w:numId w:val="3"/>
        </w:numPr>
        <w:rPr>
          <w:rFonts w:hint="eastAsia" w:ascii="宋体" w:hAnsi="宋体" w:cs="宋体"/>
          <w:b/>
          <w:sz w:val="24"/>
          <w:szCs w:val="24"/>
        </w:rPr>
      </w:pPr>
      <w:r>
        <w:rPr>
          <w:rFonts w:hint="eastAsia" w:ascii="宋体" w:hAnsi="宋体" w:cs="宋体"/>
          <w:b/>
          <w:sz w:val="24"/>
          <w:szCs w:val="24"/>
        </w:rPr>
        <w:t>网络交换机2台</w:t>
      </w:r>
    </w:p>
    <w:tbl>
      <w:tblPr>
        <w:tblStyle w:val="37"/>
        <w:tblW w:w="5016" w:type="pct"/>
        <w:jc w:val="center"/>
        <w:tblLayout w:type="autofit"/>
        <w:tblCellMar>
          <w:top w:w="0" w:type="dxa"/>
          <w:left w:w="108" w:type="dxa"/>
          <w:bottom w:w="0" w:type="dxa"/>
          <w:right w:w="108" w:type="dxa"/>
        </w:tblCellMar>
      </w:tblPr>
      <w:tblGrid>
        <w:gridCol w:w="1674"/>
        <w:gridCol w:w="7870"/>
      </w:tblGrid>
      <w:tr>
        <w:tblPrEx>
          <w:tblCellMar>
            <w:top w:w="0" w:type="dxa"/>
            <w:left w:w="108" w:type="dxa"/>
            <w:bottom w:w="0" w:type="dxa"/>
            <w:right w:w="108" w:type="dxa"/>
          </w:tblCellMar>
        </w:tblPrEx>
        <w:trPr>
          <w:trHeight w:val="280" w:hRule="atLeast"/>
          <w:jc w:val="center"/>
        </w:trPr>
        <w:tc>
          <w:tcPr>
            <w:tcW w:w="877" w:type="pct"/>
            <w:tcBorders>
              <w:top w:val="single" w:color="auto" w:sz="4" w:space="0"/>
              <w:left w:val="single" w:color="auto" w:sz="4" w:space="0"/>
              <w:bottom w:val="single" w:color="auto" w:sz="4" w:space="0"/>
              <w:right w:val="single" w:color="auto" w:sz="4" w:space="0"/>
            </w:tcBorders>
            <w:noWrap w:val="0"/>
            <w:vAlign w:val="center"/>
          </w:tcPr>
          <w:p>
            <w:pPr>
              <w:widowControl/>
              <w:rPr>
                <w:rFonts w:cs="宋体"/>
                <w:b/>
                <w:bCs/>
                <w:kern w:val="0"/>
                <w:szCs w:val="21"/>
              </w:rPr>
            </w:pPr>
            <w:r>
              <w:rPr>
                <w:rFonts w:hint="eastAsia" w:cs="宋体"/>
                <w:b/>
                <w:bCs/>
                <w:kern w:val="0"/>
                <w:szCs w:val="21"/>
              </w:rPr>
              <w:t>类别</w:t>
            </w:r>
          </w:p>
        </w:tc>
        <w:tc>
          <w:tcPr>
            <w:tcW w:w="4122" w:type="pct"/>
            <w:tcBorders>
              <w:top w:val="single" w:color="auto" w:sz="4" w:space="0"/>
              <w:left w:val="nil"/>
              <w:bottom w:val="single" w:color="auto" w:sz="4" w:space="0"/>
              <w:right w:val="single" w:color="auto" w:sz="4" w:space="0"/>
            </w:tcBorders>
            <w:noWrap w:val="0"/>
            <w:vAlign w:val="center"/>
          </w:tcPr>
          <w:p>
            <w:pPr>
              <w:widowControl/>
              <w:jc w:val="left"/>
              <w:rPr>
                <w:rFonts w:cs="宋体"/>
                <w:b/>
                <w:bCs/>
                <w:kern w:val="0"/>
                <w:szCs w:val="21"/>
              </w:rPr>
            </w:pPr>
            <w:r>
              <w:rPr>
                <w:rFonts w:hint="eastAsia" w:cs="宋体"/>
                <w:b/>
                <w:bCs/>
                <w:kern w:val="0"/>
                <w:szCs w:val="21"/>
              </w:rPr>
              <w:t>技术规格要求</w:t>
            </w:r>
          </w:p>
        </w:tc>
      </w:tr>
      <w:tr>
        <w:tblPrEx>
          <w:tblCellMar>
            <w:top w:w="0" w:type="dxa"/>
            <w:left w:w="108" w:type="dxa"/>
            <w:bottom w:w="0" w:type="dxa"/>
            <w:right w:w="108" w:type="dxa"/>
          </w:tblCellMar>
        </w:tblPrEx>
        <w:trPr>
          <w:trHeight w:val="2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交换容量</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ascii="宋体" w:hAnsi="宋体" w:cs="宋体"/>
                <w:color w:val="000000"/>
                <w:sz w:val="22"/>
              </w:rPr>
              <w:t>★(7)</w:t>
            </w:r>
            <w:r>
              <w:rPr>
                <w:rFonts w:hint="eastAsia" w:cs="宋体"/>
                <w:kern w:val="0"/>
                <w:szCs w:val="21"/>
              </w:rPr>
              <w:t>交换容量≥2.56Tbps，转发性能≥</w:t>
            </w:r>
            <w:r>
              <w:rPr>
                <w:rFonts w:cs="宋体"/>
                <w:kern w:val="0"/>
                <w:szCs w:val="21"/>
              </w:rPr>
              <w:t>1080</w:t>
            </w:r>
            <w:r>
              <w:rPr>
                <w:rFonts w:hint="eastAsia" w:cs="宋体"/>
                <w:kern w:val="0"/>
                <w:szCs w:val="21"/>
              </w:rPr>
              <w:t>Mpps，以官网所列参数为准。提供官网截图证明。</w:t>
            </w:r>
          </w:p>
        </w:tc>
      </w:tr>
      <w:tr>
        <w:tblPrEx>
          <w:tblCellMar>
            <w:top w:w="0" w:type="dxa"/>
            <w:left w:w="108" w:type="dxa"/>
            <w:bottom w:w="0" w:type="dxa"/>
            <w:right w:w="108" w:type="dxa"/>
          </w:tblCellMar>
        </w:tblPrEx>
        <w:trPr>
          <w:trHeight w:val="280" w:hRule="atLeast"/>
          <w:jc w:val="center"/>
        </w:trPr>
        <w:tc>
          <w:tcPr>
            <w:tcW w:w="877" w:type="pct"/>
            <w:vMerge w:val="restar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硬件规格</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配置双电源，双风扇模块，支持前后、后前风道。</w:t>
            </w:r>
          </w:p>
        </w:tc>
      </w:tr>
      <w:tr>
        <w:tblPrEx>
          <w:tblCellMar>
            <w:top w:w="0" w:type="dxa"/>
            <w:left w:w="108" w:type="dxa"/>
            <w:bottom w:w="0" w:type="dxa"/>
            <w:right w:w="108" w:type="dxa"/>
          </w:tblCellMar>
        </w:tblPrEx>
        <w:trPr>
          <w:trHeight w:val="280" w:hRule="atLeast"/>
          <w:jc w:val="center"/>
        </w:trPr>
        <w:tc>
          <w:tcPr>
            <w:tcW w:w="877" w:type="pct"/>
            <w:vMerge w:val="continue"/>
            <w:tcBorders>
              <w:top w:val="nil"/>
              <w:left w:val="single" w:color="auto" w:sz="4" w:space="0"/>
              <w:bottom w:val="single" w:color="auto" w:sz="4" w:space="0"/>
              <w:right w:val="single" w:color="auto" w:sz="4" w:space="0"/>
            </w:tcBorders>
            <w:noWrap w:val="0"/>
            <w:vAlign w:val="center"/>
          </w:tcPr>
          <w:p>
            <w:pPr>
              <w:widowControl/>
              <w:ind w:firstLine="360"/>
              <w:jc w:val="left"/>
              <w:rPr>
                <w:rFonts w:cs="宋体"/>
                <w:kern w:val="0"/>
                <w:szCs w:val="21"/>
              </w:rPr>
            </w:pP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提供的电源模块功率不超过500W,提供官网截图并加盖原厂公章。</w:t>
            </w:r>
          </w:p>
        </w:tc>
      </w:tr>
      <w:tr>
        <w:tblPrEx>
          <w:tblCellMar>
            <w:top w:w="0" w:type="dxa"/>
            <w:left w:w="108" w:type="dxa"/>
            <w:bottom w:w="0" w:type="dxa"/>
            <w:right w:w="108" w:type="dxa"/>
          </w:tblCellMar>
        </w:tblPrEx>
        <w:trPr>
          <w:trHeight w:val="480" w:hRule="atLeast"/>
          <w:jc w:val="center"/>
        </w:trPr>
        <w:tc>
          <w:tcPr>
            <w:tcW w:w="877" w:type="pct"/>
            <w:vMerge w:val="continue"/>
            <w:tcBorders>
              <w:top w:val="nil"/>
              <w:left w:val="single" w:color="auto" w:sz="4" w:space="0"/>
              <w:bottom w:val="single" w:color="auto" w:sz="4" w:space="0"/>
              <w:right w:val="single" w:color="auto" w:sz="4" w:space="0"/>
            </w:tcBorders>
            <w:noWrap w:val="0"/>
            <w:vAlign w:val="center"/>
          </w:tcPr>
          <w:p>
            <w:pPr>
              <w:widowControl/>
              <w:ind w:firstLine="360"/>
              <w:jc w:val="left"/>
              <w:rPr>
                <w:rFonts w:cs="宋体"/>
                <w:kern w:val="0"/>
                <w:szCs w:val="21"/>
              </w:rPr>
            </w:pP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w:t>
            </w:r>
            <w:r>
              <w:rPr>
                <w:rFonts w:hint="eastAsia" w:ascii="宋体" w:hAnsi="宋体" w:cs="宋体"/>
                <w:color w:val="000000"/>
                <w:sz w:val="22"/>
              </w:rPr>
              <w:t>(8)</w:t>
            </w:r>
            <w:r>
              <w:rPr>
                <w:rFonts w:hint="eastAsia" w:cs="宋体"/>
                <w:kern w:val="0"/>
                <w:szCs w:val="21"/>
              </w:rPr>
              <w:t>支持≥2个扩展插槽，可扩展业务线卡和多功能插卡，提供官网截图。</w:t>
            </w:r>
          </w:p>
        </w:tc>
      </w:tr>
      <w:tr>
        <w:tblPrEx>
          <w:tblCellMar>
            <w:top w:w="0" w:type="dxa"/>
            <w:left w:w="108" w:type="dxa"/>
            <w:bottom w:w="0" w:type="dxa"/>
            <w:right w:w="108" w:type="dxa"/>
          </w:tblCellMar>
        </w:tblPrEx>
        <w:trPr>
          <w:trHeight w:val="87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软件规格</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整机最大路由地址表≥64K，整机最大ARP地址表≥64K，整机最大MAC地址表≥128K。</w:t>
            </w:r>
          </w:p>
        </w:tc>
      </w:tr>
      <w:tr>
        <w:tblPrEx>
          <w:tblCellMar>
            <w:top w:w="0" w:type="dxa"/>
            <w:left w:w="108" w:type="dxa"/>
            <w:bottom w:w="0" w:type="dxa"/>
            <w:right w:w="108" w:type="dxa"/>
          </w:tblCellMar>
        </w:tblPrEx>
        <w:trPr>
          <w:trHeight w:val="2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端口配置要求</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ascii="宋体" w:hAnsi="宋体" w:cs="宋体"/>
                <w:color w:val="000000"/>
                <w:sz w:val="22"/>
              </w:rPr>
              <w:t>★(8)</w:t>
            </w:r>
            <w:r>
              <w:rPr>
                <w:rFonts w:hint="eastAsia" w:cs="宋体"/>
                <w:kern w:val="0"/>
                <w:szCs w:val="21"/>
              </w:rPr>
              <w:t>实配10 GE 光接口≥</w:t>
            </w:r>
            <w:r>
              <w:rPr>
                <w:rFonts w:cs="宋体"/>
                <w:kern w:val="0"/>
                <w:szCs w:val="21"/>
              </w:rPr>
              <w:t>48</w:t>
            </w:r>
            <w:r>
              <w:rPr>
                <w:rFonts w:hint="eastAsia" w:cs="宋体"/>
                <w:kern w:val="0"/>
                <w:szCs w:val="21"/>
              </w:rPr>
              <w:t>个，40 GE光接口≥2个，扩展插槽≥2个，配置≥</w:t>
            </w:r>
            <w:r>
              <w:rPr>
                <w:rFonts w:cs="宋体"/>
                <w:kern w:val="0"/>
                <w:szCs w:val="21"/>
              </w:rPr>
              <w:t>48</w:t>
            </w:r>
            <w:r>
              <w:rPr>
                <w:rFonts w:hint="eastAsia" w:cs="宋体"/>
                <w:kern w:val="0"/>
                <w:szCs w:val="21"/>
              </w:rPr>
              <w:t>个万兆多模光模块，≥</w:t>
            </w:r>
            <w:r>
              <w:rPr>
                <w:rFonts w:cs="宋体"/>
                <w:kern w:val="0"/>
                <w:szCs w:val="21"/>
              </w:rPr>
              <w:t>2</w:t>
            </w:r>
            <w:r>
              <w:rPr>
                <w:rFonts w:hint="eastAsia" w:cs="宋体"/>
                <w:kern w:val="0"/>
                <w:szCs w:val="21"/>
              </w:rPr>
              <w:t>个4</w:t>
            </w:r>
            <w:r>
              <w:rPr>
                <w:rFonts w:cs="宋体"/>
                <w:kern w:val="0"/>
                <w:szCs w:val="21"/>
              </w:rPr>
              <w:t>0G BIDI光模块</w:t>
            </w:r>
            <w:r>
              <w:rPr>
                <w:rFonts w:hint="eastAsia" w:cs="宋体"/>
                <w:kern w:val="0"/>
                <w:szCs w:val="21"/>
              </w:rPr>
              <w:t>，≥1块2端口40G QSFP+ 接口板，≥1根40G QSFP+ 3m堆叠线缆。</w:t>
            </w:r>
          </w:p>
        </w:tc>
      </w:tr>
      <w:tr>
        <w:tblPrEx>
          <w:tblCellMar>
            <w:top w:w="0" w:type="dxa"/>
            <w:left w:w="108" w:type="dxa"/>
            <w:bottom w:w="0" w:type="dxa"/>
            <w:right w:w="108" w:type="dxa"/>
          </w:tblCellMar>
        </w:tblPrEx>
        <w:trPr>
          <w:trHeight w:val="2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绿色制造名单</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入选工信部绿色制造名单，提供证明文件。</w:t>
            </w:r>
          </w:p>
        </w:tc>
      </w:tr>
      <w:tr>
        <w:tblPrEx>
          <w:tblCellMar>
            <w:top w:w="0" w:type="dxa"/>
            <w:left w:w="108" w:type="dxa"/>
            <w:bottom w:w="0" w:type="dxa"/>
            <w:right w:w="108" w:type="dxa"/>
          </w:tblCellMar>
        </w:tblPrEx>
        <w:trPr>
          <w:trHeight w:val="2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三层功能</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支持IPv4</w:t>
            </w:r>
            <w:r>
              <w:rPr>
                <w:rFonts w:cs="宋体"/>
                <w:kern w:val="0"/>
                <w:szCs w:val="21"/>
              </w:rPr>
              <w:t>/IPv6</w:t>
            </w:r>
            <w:r>
              <w:rPr>
                <w:rFonts w:hint="eastAsia" w:cs="宋体"/>
                <w:kern w:val="0"/>
                <w:szCs w:val="21"/>
              </w:rPr>
              <w:t>静态路由、RIP、OSPF、ISIS、BGP。</w:t>
            </w:r>
          </w:p>
        </w:tc>
      </w:tr>
      <w:tr>
        <w:tblPrEx>
          <w:tblCellMar>
            <w:top w:w="0" w:type="dxa"/>
            <w:left w:w="108" w:type="dxa"/>
            <w:bottom w:w="0" w:type="dxa"/>
            <w:right w:w="108" w:type="dxa"/>
          </w:tblCellMar>
        </w:tblPrEx>
        <w:trPr>
          <w:trHeight w:val="4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防火墙插卡</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支持防火墙插卡，防火墙插卡集成多种安全模块，保障网络信息安全，提供权威机构第三方测试报告。</w:t>
            </w:r>
          </w:p>
        </w:tc>
      </w:tr>
      <w:tr>
        <w:tblPrEx>
          <w:tblCellMar>
            <w:top w:w="0" w:type="dxa"/>
            <w:left w:w="108" w:type="dxa"/>
            <w:bottom w:w="0" w:type="dxa"/>
            <w:right w:w="108" w:type="dxa"/>
          </w:tblCellMar>
        </w:tblPrEx>
        <w:trPr>
          <w:trHeight w:val="9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维保</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w:t>
            </w:r>
            <w:r>
              <w:rPr>
                <w:rFonts w:hint="eastAsia" w:ascii="宋体" w:hAnsi="宋体" w:cs="宋体"/>
                <w:color w:val="000000"/>
                <w:sz w:val="22"/>
              </w:rPr>
              <w:t>(9)</w:t>
            </w:r>
            <w:r>
              <w:rPr>
                <w:rFonts w:hint="eastAsia" w:cs="宋体"/>
                <w:kern w:val="0"/>
                <w:szCs w:val="21"/>
              </w:rPr>
              <w:t>提供5年</w:t>
            </w:r>
            <w:r>
              <w:rPr>
                <w:rFonts w:cs="宋体"/>
                <w:kern w:val="0"/>
                <w:szCs w:val="21"/>
              </w:rPr>
              <w:t>7x24</w:t>
            </w:r>
            <w:r>
              <w:rPr>
                <w:rFonts w:hint="eastAsia" w:cs="宋体"/>
                <w:kern w:val="0"/>
                <w:szCs w:val="21"/>
              </w:rPr>
              <w:t>级别原厂维保,</w:t>
            </w:r>
            <w:r>
              <w:rPr>
                <w:rFonts w:hint="eastAsia" w:ascii="宋体" w:hAnsi="宋体" w:cs="宋体"/>
                <w:kern w:val="0"/>
                <w:szCs w:val="21"/>
              </w:rPr>
              <w:t>供应商需提供原厂商针对本项目的授权函及售后服务承诺函。</w:t>
            </w:r>
          </w:p>
        </w:tc>
      </w:tr>
      <w:tr>
        <w:tblPrEx>
          <w:tblCellMar>
            <w:top w:w="0" w:type="dxa"/>
            <w:left w:w="108" w:type="dxa"/>
            <w:bottom w:w="0" w:type="dxa"/>
            <w:right w:w="108" w:type="dxa"/>
          </w:tblCellMar>
        </w:tblPrEx>
        <w:trPr>
          <w:trHeight w:val="280" w:hRule="atLeast"/>
          <w:jc w:val="center"/>
        </w:trPr>
        <w:tc>
          <w:tcPr>
            <w:tcW w:w="877" w:type="pct"/>
            <w:tcBorders>
              <w:top w:val="nil"/>
              <w:left w:val="single" w:color="auto" w:sz="4" w:space="0"/>
              <w:bottom w:val="single" w:color="auto" w:sz="4" w:space="0"/>
              <w:right w:val="single" w:color="auto" w:sz="4" w:space="0"/>
            </w:tcBorders>
            <w:noWrap w:val="0"/>
            <w:vAlign w:val="center"/>
          </w:tcPr>
          <w:p>
            <w:pPr>
              <w:widowControl/>
              <w:rPr>
                <w:rFonts w:cs="宋体"/>
                <w:kern w:val="0"/>
                <w:szCs w:val="21"/>
              </w:rPr>
            </w:pPr>
            <w:r>
              <w:rPr>
                <w:rFonts w:hint="eastAsia" w:cs="宋体"/>
                <w:kern w:val="0"/>
                <w:szCs w:val="21"/>
              </w:rPr>
              <w:t>资质</w:t>
            </w:r>
          </w:p>
        </w:tc>
        <w:tc>
          <w:tcPr>
            <w:tcW w:w="4122" w:type="pct"/>
            <w:tcBorders>
              <w:top w:val="nil"/>
              <w:left w:val="nil"/>
              <w:bottom w:val="single" w:color="auto" w:sz="4" w:space="0"/>
              <w:right w:val="single" w:color="auto" w:sz="4" w:space="0"/>
            </w:tcBorders>
            <w:noWrap w:val="0"/>
            <w:vAlign w:val="center"/>
          </w:tcPr>
          <w:p>
            <w:pPr>
              <w:widowControl/>
              <w:jc w:val="left"/>
              <w:rPr>
                <w:rFonts w:cs="宋体"/>
                <w:kern w:val="0"/>
                <w:szCs w:val="21"/>
              </w:rPr>
            </w:pPr>
            <w:r>
              <w:rPr>
                <w:rFonts w:hint="eastAsia" w:cs="宋体"/>
                <w:kern w:val="0"/>
                <w:szCs w:val="21"/>
              </w:rPr>
              <w:t>提供工信部入网证。</w:t>
            </w:r>
          </w:p>
        </w:tc>
      </w:tr>
    </w:tbl>
    <w:p>
      <w:pPr>
        <w:pStyle w:val="13"/>
        <w:ind w:firstLine="440" w:firstLineChars="200"/>
        <w:rPr>
          <w:rFonts w:hint="eastAsia" w:ascii="仿宋" w:hAnsi="仿宋" w:cs="仿宋"/>
        </w:rPr>
      </w:pPr>
      <w:r>
        <w:rPr>
          <w:rFonts w:hint="eastAsia" w:ascii="宋体" w:hAnsi="宋体" w:cs="宋体"/>
          <w:color w:val="000000"/>
          <w:sz w:val="22"/>
        </w:rPr>
        <w:t>备注：★为必须满足的技术参数，如不满足投标无效。</w:t>
      </w:r>
    </w:p>
    <w:p>
      <w:pPr>
        <w:rPr>
          <w:rFonts w:hint="eastAsia" w:ascii="宋体" w:hAnsi="宋体" w:cs="宋体"/>
          <w:b/>
          <w:szCs w:val="21"/>
        </w:rPr>
      </w:pPr>
    </w:p>
    <w:p>
      <w:pPr>
        <w:numPr>
          <w:ilvl w:val="0"/>
          <w:numId w:val="3"/>
        </w:numPr>
        <w:rPr>
          <w:rFonts w:hint="eastAsia" w:ascii="宋体" w:hAnsi="宋体" w:cs="宋体"/>
          <w:b/>
          <w:sz w:val="24"/>
          <w:szCs w:val="24"/>
        </w:rPr>
      </w:pPr>
      <w:r>
        <w:rPr>
          <w:rFonts w:hint="eastAsia" w:ascii="宋体" w:hAnsi="宋体" w:cs="宋体"/>
          <w:b/>
          <w:sz w:val="24"/>
          <w:szCs w:val="24"/>
        </w:rPr>
        <w:t>防火墙1台</w:t>
      </w:r>
    </w:p>
    <w:tbl>
      <w:tblPr>
        <w:tblStyle w:val="37"/>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shd w:val="clear" w:color="auto" w:fill="D9D9D9"/>
            <w:noWrap w:val="0"/>
            <w:vAlign w:val="top"/>
          </w:tcPr>
          <w:p>
            <w:pPr>
              <w:widowControl/>
              <w:rPr>
                <w:rFonts w:hint="eastAsia" w:ascii="宋体" w:hAnsi="宋体" w:cs="宋体"/>
                <w:b/>
                <w:kern w:val="0"/>
                <w:szCs w:val="21"/>
              </w:rPr>
            </w:pPr>
            <w:r>
              <w:rPr>
                <w:rFonts w:hint="eastAsia" w:ascii="宋体" w:hAnsi="宋体" w:cs="宋体"/>
                <w:b/>
                <w:kern w:val="0"/>
                <w:szCs w:val="21"/>
              </w:rPr>
              <w:t>功能项</w:t>
            </w:r>
          </w:p>
        </w:tc>
        <w:tc>
          <w:tcPr>
            <w:tcW w:w="8367" w:type="dxa"/>
            <w:shd w:val="clear" w:color="auto" w:fill="D9D9D9"/>
            <w:noWrap w:val="0"/>
            <w:vAlign w:val="top"/>
          </w:tcPr>
          <w:p>
            <w:pPr>
              <w:widowControl/>
              <w:rPr>
                <w:rFonts w:hint="eastAsia" w:ascii="宋体" w:hAnsi="宋体" w:cs="宋体"/>
                <w:b/>
                <w:kern w:val="0"/>
                <w:szCs w:val="21"/>
              </w:rPr>
            </w:pPr>
            <w:r>
              <w:rPr>
                <w:rFonts w:hint="eastAsia" w:ascii="宋体" w:hAnsi="宋体" w:cs="宋体"/>
                <w:b/>
                <w:kern w:val="0"/>
                <w:szCs w:val="21"/>
              </w:rPr>
              <w:t>功能要求说明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硬件规格要求</w:t>
            </w:r>
          </w:p>
        </w:tc>
        <w:tc>
          <w:tcPr>
            <w:tcW w:w="8367" w:type="dxa"/>
            <w:noWrap w:val="0"/>
            <w:vAlign w:val="top"/>
          </w:tcPr>
          <w:p>
            <w:pPr>
              <w:widowControl/>
              <w:rPr>
                <w:rFonts w:hint="eastAsia" w:ascii="宋体" w:hAnsi="宋体" w:cs="宋体"/>
                <w:kern w:val="0"/>
                <w:szCs w:val="21"/>
              </w:rPr>
            </w:pPr>
            <w:r>
              <w:rPr>
                <w:rFonts w:hint="eastAsia" w:ascii="宋体" w:hAnsi="宋体" w:cs="宋体"/>
                <w:color w:val="000000"/>
                <w:sz w:val="22"/>
              </w:rPr>
              <w:t>★(9)</w:t>
            </w:r>
            <w:r>
              <w:rPr>
                <w:rFonts w:hint="eastAsia" w:ascii="宋体" w:hAnsi="宋体" w:cs="宋体"/>
                <w:kern w:val="0"/>
                <w:szCs w:val="21"/>
              </w:rPr>
              <w:t>产品不少于</w:t>
            </w:r>
            <w:r>
              <w:rPr>
                <w:rFonts w:ascii="宋体" w:hAnsi="宋体" w:cs="宋体"/>
                <w:kern w:val="0"/>
                <w:szCs w:val="21"/>
              </w:rPr>
              <w:t>16千兆电口；6万兆光口SFP+</w:t>
            </w:r>
            <w:r>
              <w:rPr>
                <w:rFonts w:ascii="Helvetica" w:hAnsi="Helvetica" w:eastAsia="Helvetica" w:cs="Helvetica"/>
                <w:szCs w:val="21"/>
                <w:shd w:val="clear" w:color="auto" w:fill="FFFFFF"/>
              </w:rPr>
              <w:t>；</w:t>
            </w:r>
            <w:r>
              <w:rPr>
                <w:rFonts w:hint="eastAsia" w:ascii="宋体" w:hAnsi="宋体" w:cs="宋体"/>
                <w:kern w:val="0"/>
                <w:szCs w:val="21"/>
              </w:rPr>
              <w:t>提供</w:t>
            </w:r>
            <w:r>
              <w:rPr>
                <w:rFonts w:ascii="宋体" w:hAnsi="宋体" w:cs="宋体"/>
                <w:kern w:val="0"/>
                <w:szCs w:val="21"/>
              </w:rPr>
              <w:t>2个USB口和1个RJ45串口，提供冗余电源，1U机箱。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产品性能要求</w:t>
            </w:r>
          </w:p>
        </w:tc>
        <w:tc>
          <w:tcPr>
            <w:tcW w:w="8367" w:type="dxa"/>
            <w:noWrap w:val="0"/>
            <w:vAlign w:val="top"/>
          </w:tcPr>
          <w:p>
            <w:pPr>
              <w:widowControl/>
              <w:rPr>
                <w:rFonts w:hint="eastAsia" w:ascii="宋体" w:hAnsi="宋体" w:cs="宋体"/>
                <w:kern w:val="0"/>
                <w:szCs w:val="21"/>
              </w:rPr>
            </w:pPr>
            <w:r>
              <w:rPr>
                <w:rFonts w:hint="eastAsia" w:ascii="宋体" w:hAnsi="宋体" w:cs="宋体"/>
                <w:color w:val="000000"/>
                <w:sz w:val="22"/>
              </w:rPr>
              <w:t>★(10)</w:t>
            </w:r>
            <w:r>
              <w:rPr>
                <w:rFonts w:hint="eastAsia" w:ascii="宋体" w:hAnsi="宋体" w:cs="宋体"/>
                <w:kern w:val="0"/>
                <w:szCs w:val="21"/>
              </w:rPr>
              <w:t>网络层吞吐量≥</w:t>
            </w:r>
            <w:r>
              <w:rPr>
                <w:rFonts w:ascii="宋体" w:hAnsi="宋体" w:cs="宋体"/>
                <w:kern w:val="0"/>
                <w:szCs w:val="21"/>
              </w:rPr>
              <w:t>40Gbps，应用层吞吐量≥25Gbps，并发连接数≥420万，每秒新建连接数≥19万。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授权与服务要求</w:t>
            </w:r>
          </w:p>
        </w:tc>
        <w:tc>
          <w:tcPr>
            <w:tcW w:w="8367" w:type="dxa"/>
            <w:noWrap w:val="0"/>
            <w:vAlign w:val="top"/>
          </w:tcPr>
          <w:p>
            <w:pPr>
              <w:widowControl/>
              <w:rPr>
                <w:rFonts w:hint="eastAsia" w:ascii="宋体" w:hAnsi="宋体" w:cs="宋体"/>
                <w:kern w:val="0"/>
                <w:szCs w:val="21"/>
              </w:rPr>
            </w:pPr>
            <w:r>
              <w:rPr>
                <w:rFonts w:hint="eastAsia" w:ascii="宋体" w:hAnsi="宋体" w:cs="宋体"/>
                <w:color w:val="000000"/>
                <w:sz w:val="22"/>
              </w:rPr>
              <w:t>★(11)</w:t>
            </w:r>
            <w:r>
              <w:rPr>
                <w:rFonts w:hint="eastAsia" w:ascii="宋体" w:hAnsi="宋体" w:cs="宋体"/>
                <w:kern w:val="0"/>
                <w:szCs w:val="21"/>
              </w:rPr>
              <w:t>要求防火墙开启全功能模块，包括但不限于</w:t>
            </w:r>
            <w:r>
              <w:rPr>
                <w:rFonts w:ascii="宋体" w:hAnsi="宋体" w:cs="宋体"/>
                <w:kern w:val="0"/>
                <w:szCs w:val="21"/>
              </w:rPr>
              <w:t>IPS、WAF、杀毒、威胁情报网关等模块，SSL VPN</w:t>
            </w:r>
            <w:r>
              <w:rPr>
                <w:rFonts w:hint="eastAsia" w:ascii="宋体" w:hAnsi="宋体" w:cs="宋体"/>
                <w:kern w:val="0"/>
                <w:szCs w:val="21"/>
              </w:rPr>
              <w:t>授权</w:t>
            </w:r>
            <w:r>
              <w:rPr>
                <w:rFonts w:ascii="宋体" w:hAnsi="宋体" w:cs="宋体"/>
                <w:kern w:val="0"/>
                <w:szCs w:val="21"/>
              </w:rPr>
              <w:t>用户数</w:t>
            </w:r>
            <w:r>
              <w:rPr>
                <w:rFonts w:hint="eastAsia" w:ascii="宋体" w:hAnsi="宋体" w:cs="宋体"/>
                <w:kern w:val="0"/>
                <w:szCs w:val="21"/>
              </w:rPr>
              <w:t>≥</w:t>
            </w:r>
            <w:r>
              <w:rPr>
                <w:rFonts w:ascii="宋体" w:hAnsi="宋体" w:cs="宋体"/>
                <w:kern w:val="0"/>
                <w:szCs w:val="21"/>
              </w:rPr>
              <w:t>150</w:t>
            </w:r>
            <w:r>
              <w:rPr>
                <w:rFonts w:hint="eastAsia" w:ascii="宋体" w:hAnsi="宋体" w:cs="宋体"/>
                <w:kern w:val="0"/>
                <w:szCs w:val="21"/>
              </w:rPr>
              <w:t>。提供硬件三年维保服务，软件与特征库六年升级服务。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工作模式</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产品提供路由模式、透明模式、虚拟网线模式、旁路镜像模式等多种部署方式。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产品提供虚拟防火墙功能，提供虚拟防火墙的创建和删除，具备独立的接口、会话管理、应用控制策略、</w:t>
            </w:r>
            <w:r>
              <w:rPr>
                <w:rFonts w:ascii="宋体" w:hAnsi="宋体" w:cs="宋体"/>
                <w:kern w:val="0"/>
                <w:szCs w:val="21"/>
              </w:rPr>
              <w:t>NAT等资源。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路由特性</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产品提供静态路由、策略路由和多播路由协议。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BGP、RIP、OSPF等动态路由协议。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ascii="宋体" w:hAnsi="宋体" w:cs="宋体"/>
                <w:kern w:val="0"/>
                <w:szCs w:val="21"/>
              </w:rPr>
              <w:t>NAT功能</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产品提供多对一、一对多和一对一等多种地址转换方式。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NAT穿透技术ALG，提供FTP、TFTP、SQLNET、PPTP、RTSP、SIP、H.323等协议。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ascii="宋体" w:hAnsi="宋体" w:cs="宋体"/>
                <w:kern w:val="0"/>
                <w:szCs w:val="21"/>
              </w:rPr>
              <w:t>VPN功能</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IPsec VPN和SSL VPN功能。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产品支持</w:t>
            </w:r>
            <w:r>
              <w:rPr>
                <w:rFonts w:ascii="宋体" w:hAnsi="宋体" w:cs="宋体"/>
                <w:kern w:val="0"/>
                <w:szCs w:val="21"/>
              </w:rPr>
              <w:t>IPSec VPN智能选路功能，根据线路质量和应用实现自动链路切换。（需提供产品功能截图证明</w:t>
            </w:r>
            <w:r>
              <w:rPr>
                <w:rFonts w:hint="eastAsia" w:ascii="宋体" w:hAnsi="宋体" w:cs="宋体"/>
                <w:kern w:val="0"/>
                <w:szCs w:val="21"/>
              </w:rPr>
              <w:t>并提供官方检测机构出具关于“</w:t>
            </w:r>
            <w:r>
              <w:rPr>
                <w:rFonts w:ascii="宋体" w:hAnsi="宋体" w:cs="宋体"/>
                <w:kern w:val="0"/>
                <w:szCs w:val="21"/>
              </w:rPr>
              <w:t>SD-WAN智能选路”的证书或检测报告证明功能有效性）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产品提供多种</w:t>
            </w:r>
            <w:r>
              <w:rPr>
                <w:rFonts w:ascii="宋体" w:hAnsi="宋体" w:cs="宋体"/>
                <w:kern w:val="0"/>
                <w:szCs w:val="21"/>
              </w:rPr>
              <w:t>SSL VPN用户认证方式，至少包括本地密码认证、LADP认证和硬件特征码认证。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访问控制</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产品提供基于网络区域、网络对象、</w:t>
            </w:r>
            <w:r>
              <w:rPr>
                <w:rFonts w:ascii="宋体" w:hAnsi="宋体" w:cs="宋体"/>
                <w:kern w:val="0"/>
                <w:szCs w:val="21"/>
              </w:rPr>
              <w:t>MAC地址、服务、应用等维度进行访问控制策略设置。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应用控制</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产品提供对不少于</w:t>
            </w:r>
            <w:r>
              <w:rPr>
                <w:rFonts w:ascii="宋体" w:hAnsi="宋体" w:cs="宋体"/>
                <w:kern w:val="0"/>
                <w:szCs w:val="21"/>
              </w:rPr>
              <w:t>9160种应用的识别和控制，应用类型包括游戏、购物、图书百科、工作招聘、P2P下载、聊天工具、旅游出行、股票软件等类型应用进行检测与控制。（需提供产品功能截图证明和具备CMA/CNAS标识的第三方检测报告）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ascii="宋体" w:hAnsi="宋体" w:cs="宋体"/>
                <w:kern w:val="0"/>
                <w:szCs w:val="21"/>
              </w:rPr>
              <w:t>DDoS防护</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产品提供异常数据包攻击防御，防护类型包括</w:t>
            </w:r>
            <w:r>
              <w:rPr>
                <w:rFonts w:ascii="宋体" w:hAnsi="宋体" w:cs="宋体"/>
                <w:kern w:val="0"/>
                <w:szCs w:val="21"/>
              </w:rPr>
              <w:t>IP数据块分片传输防护、Teardrop攻击防护、Smurf攻击防护、Land攻击防护、WinNuke攻击防护等攻击类型。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防病毒</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产品提供对</w:t>
            </w:r>
            <w:r>
              <w:rPr>
                <w:rFonts w:ascii="宋体" w:hAnsi="宋体" w:cs="宋体"/>
                <w:kern w:val="0"/>
                <w:szCs w:val="21"/>
              </w:rPr>
              <w:t>SMTP、HTTP、FTP、SMB、POP3、HTTPS、IMAP等协议进行病毒防御。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产品提供对压缩病毒文件进行检测和拦截，压缩层数提供</w:t>
            </w:r>
            <w:r>
              <w:rPr>
                <w:rFonts w:ascii="宋体" w:hAnsi="宋体" w:cs="宋体"/>
                <w:kern w:val="0"/>
                <w:szCs w:val="21"/>
              </w:rPr>
              <w:t>15层及以上。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产品提供勒索病毒检测与防御功能，需提供产品功能截图证明。（需提供产品功能截图证明并提供官方检测机构出具关于“勒索病毒”的证书或检测报告证明功能有效性）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入侵防御</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产品内置不低于</w:t>
            </w:r>
            <w:r>
              <w:rPr>
                <w:rFonts w:ascii="宋体" w:hAnsi="宋体" w:cs="宋体"/>
                <w:kern w:val="0"/>
                <w:szCs w:val="21"/>
              </w:rPr>
              <w:t>10800种漏洞规则，</w:t>
            </w:r>
            <w:r>
              <w:rPr>
                <w:rFonts w:hint="eastAsia" w:ascii="宋体" w:hAnsi="宋体" w:cs="宋体"/>
                <w:kern w:val="0"/>
                <w:szCs w:val="21"/>
              </w:rPr>
              <w:t>同时提供在控制台界面通过漏洞</w:t>
            </w:r>
            <w:r>
              <w:rPr>
                <w:rFonts w:ascii="宋体" w:hAnsi="宋体" w:cs="宋体"/>
                <w:kern w:val="0"/>
                <w:szCs w:val="21"/>
              </w:rPr>
              <w:t>ID、漏洞名称、危险等级、漏洞CVE标识、漏洞描述等条件查询漏洞特征信息，提供用户自定义IPS规则</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产品提供僵尸主机检测功能，产品内置僵尸网络特征库超过</w:t>
            </w:r>
            <w:r>
              <w:rPr>
                <w:rFonts w:ascii="宋体" w:hAnsi="宋体" w:cs="宋体"/>
                <w:kern w:val="0"/>
                <w:szCs w:val="21"/>
              </w:rPr>
              <w:t>128万种，可识别主机的异常外联行为。（需提供产品功能截图证明和具备CMA/CNAS标识的第三方检测报告）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ascii="宋体" w:hAnsi="宋体" w:cs="宋体"/>
                <w:kern w:val="0"/>
                <w:szCs w:val="21"/>
              </w:rPr>
              <w:t>Web安全防护</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产品内置超过</w:t>
            </w:r>
            <w:r>
              <w:rPr>
                <w:rFonts w:ascii="宋体" w:hAnsi="宋体" w:cs="宋体"/>
                <w:kern w:val="0"/>
                <w:szCs w:val="21"/>
              </w:rPr>
              <w:t>4580种WEB应用攻击特征，提供对跨站脚本（XSS）攻击、SQL注入、文件包含攻击、信息泄露攻击、WEBSHELL、网站扫描、网页木马等攻击类型进行防护。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产品提供对请求报文头的</w:t>
            </w:r>
            <w:r>
              <w:rPr>
                <w:rFonts w:ascii="宋体" w:hAnsi="宋体" w:cs="宋体"/>
                <w:kern w:val="0"/>
                <w:szCs w:val="21"/>
              </w:rPr>
              <w:t>X-Forward-For字段检测，并对非法源IP进行日志记录和联动封锁。</w:t>
            </w:r>
            <w:r>
              <w:rPr>
                <w:rFonts w:hint="eastAsia" w:ascii="宋体" w:hAnsi="宋体" w:cs="宋体"/>
                <w:kern w:val="0"/>
                <w:szCs w:val="21"/>
              </w:rPr>
              <w:t>（需提供产品功能截图证明和具备</w:t>
            </w:r>
            <w:r>
              <w:rPr>
                <w:rFonts w:ascii="宋体" w:hAnsi="宋体" w:cs="宋体"/>
                <w:kern w:val="0"/>
                <w:szCs w:val="21"/>
              </w:rPr>
              <w:t>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产品提供服务器漏洞防扫描功能，并对扫描源</w:t>
            </w:r>
            <w:r>
              <w:rPr>
                <w:rFonts w:ascii="宋体" w:hAnsi="宋体" w:cs="宋体"/>
                <w:kern w:val="0"/>
                <w:szCs w:val="21"/>
              </w:rPr>
              <w:t>IP进行日志记录和联动封锁。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Cookie攻击防护功能，并通过日志记录Cookie被篡改。（需提供产品功能截图证明和具备CMA/CNAS标识的第三方检测报告）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云威胁情报网关</w:t>
            </w: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产品提供云威胁情报网关技术，通过全球超过</w:t>
            </w:r>
            <w:r>
              <w:rPr>
                <w:rFonts w:ascii="宋体" w:hAnsi="宋体" w:cs="宋体"/>
                <w:kern w:val="0"/>
                <w:szCs w:val="21"/>
              </w:rPr>
              <w:t>30+pop节点，实现对威胁流量就近进行实时检测&amp;拦截，实现失陷外联实时阻断，保护资产安全。（需提供产品功能截图证明并提供POP节点在线查询链接和具备CMA/CNAS标识的第三方检测报告）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产品提供云端未知威胁主动探测技术，实现</w:t>
            </w:r>
            <w:r>
              <w:rPr>
                <w:rFonts w:ascii="宋体" w:hAnsi="宋体" w:cs="宋体"/>
                <w:kern w:val="0"/>
                <w:szCs w:val="21"/>
              </w:rPr>
              <w:t>5min内未知威胁情报全网设备下发。（需提供产品功能截图证明并提供具备CMA/CNAS标识的第三方检测报告）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账号安全</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产品提供用户账号全生命周期保护功能，包括用户账号多余入口检测、用户账号弱口令检测、用户账号暴力破解检测、失陷账号检测，防止因账号被暴力破解导致的非法提权情况发生。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策略生命周期管理</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产品提供对策略变更内容进行日志审计记录，至少包含策略变更日期、变更原因、变更内容等。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日志中心</w:t>
            </w: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提供单独部署的软件日志审计中心，可对安全设备、网络设备、中间件、服务器、数据库、操作系统、业务系统等不少于</w:t>
            </w:r>
            <w:r>
              <w:rPr>
                <w:rFonts w:ascii="宋体" w:hAnsi="宋体" w:cs="宋体"/>
                <w:kern w:val="0"/>
                <w:szCs w:val="21"/>
              </w:rPr>
              <w:t>800种日志对象的日志数据采集。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提供对单个</w:t>
            </w:r>
            <w:r>
              <w:rPr>
                <w:rFonts w:ascii="宋体" w:hAnsi="宋体" w:cs="宋体"/>
                <w:kern w:val="0"/>
                <w:szCs w:val="21"/>
              </w:rPr>
              <w:t>/多个日志源批量转发，提供定时转发，可通过syslog和kafka方式转发到第三方平台，同时提供转发已解析日志和原始日志的两种日志</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日志中心提供可视化展示，包括数据分布、安全事件趋势图、关联规则告警趋势图、接入设备概况等，可提供设备专项分析场景。如防火墙外部攻击场景分析、</w:t>
            </w:r>
            <w:r>
              <w:rPr>
                <w:rFonts w:ascii="宋体" w:hAnsi="宋体" w:cs="宋体"/>
                <w:kern w:val="0"/>
                <w:szCs w:val="21"/>
              </w:rPr>
              <w:t>VPN账号异常场景分析、Windows服务器主机异常场景分析等，通过设备专项页面对每一台设备安全情况深度专业化分析</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center"/>
          </w:tcPr>
          <w:p>
            <w:pPr>
              <w:widowControl/>
              <w:rPr>
                <w:rFonts w:hint="eastAsia" w:ascii="宋体" w:hAnsi="宋体" w:cs="宋体"/>
                <w:kern w:val="0"/>
                <w:szCs w:val="21"/>
              </w:rPr>
            </w:pPr>
            <w:r>
              <w:rPr>
                <w:rFonts w:hint="eastAsia" w:ascii="宋体" w:hAnsi="宋体" w:cs="宋体"/>
                <w:kern w:val="0"/>
                <w:szCs w:val="21"/>
              </w:rPr>
              <w:t>日志中心提供</w:t>
            </w:r>
            <w:r>
              <w:rPr>
                <w:rFonts w:ascii="宋体" w:hAnsi="宋体" w:cs="宋体"/>
                <w:kern w:val="0"/>
                <w:szCs w:val="21"/>
              </w:rPr>
              <w:t>POC测试工具一键生成数据,验证日志数据采集是否成功，避免设备部署后采集失效但不被发现等风险。（需提供截图证明）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双机部署</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A|A、A|S两种双机模式部署。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当主机故障时，双机切换时不丢包，并可实现双机部署下升级不断网。（需提供产品功能截图证明并提供具备</w:t>
            </w:r>
            <w:r>
              <w:rPr>
                <w:rFonts w:ascii="宋体" w:hAnsi="宋体" w:cs="宋体"/>
                <w:kern w:val="0"/>
                <w:szCs w:val="21"/>
              </w:rPr>
              <w:t>CMA/CNAS标识的第三方检测报告）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管理方式</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w:t>
            </w:r>
            <w:r>
              <w:rPr>
                <w:rFonts w:ascii="宋体" w:hAnsi="宋体" w:cs="宋体"/>
                <w:kern w:val="0"/>
                <w:szCs w:val="21"/>
              </w:rPr>
              <w:t>Web管理、串口管理、SSH管理等多种不同方式。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管理员账号权限管控</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产品提供管理员三权分立功能，根据管理员权限分为安全管理员、安全审计员、系统管理员三种角色。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1056" w:type="dxa"/>
            <w:noWrap w:val="0"/>
            <w:vAlign w:val="center"/>
          </w:tcPr>
          <w:p>
            <w:pPr>
              <w:widowControl/>
              <w:rPr>
                <w:rFonts w:hint="eastAsia" w:ascii="宋体" w:hAnsi="宋体" w:cs="宋体"/>
                <w:kern w:val="0"/>
                <w:szCs w:val="21"/>
              </w:rPr>
            </w:pPr>
            <w:r>
              <w:rPr>
                <w:rFonts w:hint="eastAsia" w:ascii="宋体" w:hAnsi="宋体" w:cs="宋体"/>
                <w:kern w:val="0"/>
                <w:szCs w:val="21"/>
              </w:rPr>
              <w:t>双因素认证</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产品提供管理员双因素认证功能，用户通过用户名</w:t>
            </w:r>
            <w:r>
              <w:rPr>
                <w:rFonts w:ascii="宋体" w:hAnsi="宋体" w:cs="宋体"/>
                <w:kern w:val="0"/>
                <w:szCs w:val="21"/>
              </w:rPr>
              <w:t>/密码和Key等不同方式登陆产品管理界面。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1056" w:type="dxa"/>
            <w:vMerge w:val="restart"/>
            <w:noWrap w:val="0"/>
            <w:vAlign w:val="center"/>
          </w:tcPr>
          <w:p>
            <w:pPr>
              <w:widowControl/>
              <w:rPr>
                <w:rFonts w:hint="eastAsia" w:ascii="宋体" w:hAnsi="宋体" w:cs="宋体"/>
                <w:kern w:val="0"/>
                <w:szCs w:val="21"/>
              </w:rPr>
            </w:pPr>
            <w:r>
              <w:rPr>
                <w:rFonts w:hint="eastAsia" w:ascii="宋体" w:hAnsi="宋体" w:cs="宋体"/>
                <w:kern w:val="0"/>
                <w:szCs w:val="21"/>
              </w:rPr>
              <w:t>产品资质</w:t>
            </w: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要求所投产品具备计算机信息系统安全专用产品销售许可证，提供有效证书复印件。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1056" w:type="dxa"/>
            <w:vMerge w:val="continue"/>
            <w:noWrap w:val="0"/>
            <w:vAlign w:val="center"/>
          </w:tcPr>
          <w:p>
            <w:pPr>
              <w:widowControl/>
              <w:rPr>
                <w:rFonts w:hint="eastAsia" w:ascii="宋体" w:hAnsi="宋体" w:cs="宋体"/>
                <w:kern w:val="0"/>
                <w:szCs w:val="21"/>
              </w:rPr>
            </w:pPr>
          </w:p>
        </w:tc>
        <w:tc>
          <w:tcPr>
            <w:tcW w:w="8367" w:type="dxa"/>
            <w:noWrap w:val="0"/>
            <w:vAlign w:val="top"/>
          </w:tcPr>
          <w:p>
            <w:pPr>
              <w:widowControl/>
              <w:rPr>
                <w:rFonts w:hint="eastAsia" w:ascii="宋体" w:hAnsi="宋体" w:cs="宋体"/>
                <w:kern w:val="0"/>
                <w:szCs w:val="21"/>
              </w:rPr>
            </w:pPr>
            <w:r>
              <w:rPr>
                <w:rFonts w:hint="eastAsia" w:ascii="宋体" w:hAnsi="宋体" w:cs="宋体"/>
                <w:kern w:val="0"/>
                <w:szCs w:val="21"/>
              </w:rPr>
              <w:t>要求所投产品具备中国国家信息安全产品认证证书，提供有效证书复印件。</w:t>
            </w:r>
          </w:p>
        </w:tc>
      </w:tr>
    </w:tbl>
    <w:p>
      <w:pPr>
        <w:pStyle w:val="13"/>
        <w:ind w:firstLine="440" w:firstLineChars="200"/>
        <w:rPr>
          <w:rFonts w:hint="eastAsia" w:ascii="仿宋" w:hAnsi="仿宋" w:cs="仿宋"/>
        </w:rPr>
      </w:pPr>
      <w:r>
        <w:rPr>
          <w:rFonts w:hint="eastAsia" w:ascii="宋体" w:hAnsi="宋体" w:cs="宋体"/>
          <w:color w:val="000000"/>
          <w:sz w:val="22"/>
        </w:rPr>
        <w:t>备注：★为必须满足的技术参数，如不满足投标无效。</w:t>
      </w:r>
    </w:p>
    <w:p>
      <w:pPr>
        <w:rPr>
          <w:rFonts w:hint="eastAsia" w:ascii="宋体" w:hAnsi="宋体" w:cs="宋体"/>
          <w:b/>
          <w:szCs w:val="21"/>
        </w:rPr>
      </w:pPr>
    </w:p>
    <w:p>
      <w:pPr>
        <w:tabs>
          <w:tab w:val="left" w:pos="432"/>
        </w:tabs>
        <w:spacing w:before="220" w:after="210" w:line="360" w:lineRule="auto"/>
        <w:outlineLvl w:val="3"/>
        <w:rPr>
          <w:rFonts w:hint="eastAsia" w:ascii="仿宋" w:hAnsi="仿宋" w:eastAsia="仿宋" w:cs="仿宋"/>
          <w:b/>
          <w:bCs/>
          <w:sz w:val="24"/>
          <w:szCs w:val="24"/>
        </w:rPr>
      </w:pPr>
    </w:p>
    <w:p>
      <w:pPr>
        <w:tabs>
          <w:tab w:val="left" w:pos="432"/>
        </w:tabs>
        <w:spacing w:before="220" w:after="210" w:line="360" w:lineRule="auto"/>
        <w:outlineLvl w:val="3"/>
        <w:rPr>
          <w:rFonts w:hint="eastAsia" w:ascii="宋体" w:hAnsi="宋体" w:cs="宋体"/>
          <w:b/>
          <w:bCs/>
          <w:sz w:val="24"/>
          <w:szCs w:val="24"/>
        </w:rPr>
      </w:pPr>
      <w:r>
        <w:rPr>
          <w:rFonts w:hint="eastAsia" w:ascii="宋体" w:hAnsi="宋体" w:cs="宋体"/>
          <w:b/>
          <w:bCs/>
          <w:sz w:val="24"/>
          <w:szCs w:val="24"/>
        </w:rPr>
        <w:t>D、云操作系统和备份软件</w:t>
      </w:r>
    </w:p>
    <w:p>
      <w:pPr>
        <w:rPr>
          <w:rFonts w:hint="eastAsia" w:ascii="宋体" w:hAnsi="宋体" w:cs="宋体"/>
          <w:b/>
          <w:szCs w:val="21"/>
        </w:rPr>
      </w:pPr>
      <w:r>
        <w:rPr>
          <w:rFonts w:hint="eastAsia" w:ascii="宋体" w:hAnsi="宋体" w:cs="宋体"/>
          <w:b/>
          <w:sz w:val="24"/>
          <w:szCs w:val="24"/>
        </w:rPr>
        <w:t>1、系统备份同步服务</w:t>
      </w:r>
    </w:p>
    <w:tbl>
      <w:tblPr>
        <w:tblStyle w:val="37"/>
        <w:tblW w:w="9734"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005"/>
        <w:gridCol w:w="87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9734" w:type="dxa"/>
            <w:gridSpan w:val="2"/>
            <w:noWrap w:val="0"/>
            <w:vAlign w:val="center"/>
          </w:tcPr>
          <w:p>
            <w:pPr>
              <w:rPr>
                <w:b/>
              </w:rPr>
            </w:pPr>
            <w:r>
              <w:rPr>
                <w:rFonts w:hint="eastAsia"/>
                <w:b/>
              </w:rPr>
              <w:t>备份同步软件（含不少于40TB容灾一体机、10个操作系统同步授权、文件共享复制及3个Oracle数据库节点同步授权）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noWrap w:val="0"/>
            <w:vAlign w:val="center"/>
          </w:tcPr>
          <w:p>
            <w:pPr>
              <w:jc w:val="center"/>
            </w:pPr>
            <w:r>
              <w:rPr>
                <w:b/>
              </w:rPr>
              <w:t>指标项</w:t>
            </w:r>
          </w:p>
        </w:tc>
        <w:tc>
          <w:tcPr>
            <w:tcW w:w="8729" w:type="dxa"/>
            <w:noWrap w:val="0"/>
            <w:vAlign w:val="center"/>
          </w:tcPr>
          <w:p>
            <w:r>
              <w:rPr>
                <w:b/>
              </w:rPr>
              <w:t>技术指标要求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90" w:hRule="atLeast"/>
          <w:jc w:val="center"/>
        </w:trPr>
        <w:tc>
          <w:tcPr>
            <w:tcW w:w="1005" w:type="dxa"/>
            <w:vMerge w:val="restart"/>
            <w:noWrap w:val="0"/>
            <w:vAlign w:val="center"/>
          </w:tcPr>
          <w:p>
            <w:pPr>
              <w:jc w:val="center"/>
            </w:pPr>
            <w:r>
              <w:rPr>
                <w:rFonts w:hint="eastAsia"/>
              </w:rPr>
              <w:t>总体</w:t>
            </w:r>
            <w:r>
              <w:t>要求</w:t>
            </w:r>
          </w:p>
          <w:p>
            <w:pPr>
              <w:jc w:val="center"/>
            </w:pPr>
          </w:p>
        </w:tc>
        <w:tc>
          <w:tcPr>
            <w:tcW w:w="8729" w:type="dxa"/>
            <w:noWrap w:val="0"/>
            <w:vAlign w:val="center"/>
          </w:tcPr>
          <w:p>
            <w:r>
              <w:t>投标产品原厂通过并获得颁发GB/T22080-2016/ ISO/IEC27001《信息安全管理体系认证证书》</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pPr>
              <w:jc w:val="center"/>
            </w:pPr>
          </w:p>
        </w:tc>
        <w:tc>
          <w:tcPr>
            <w:tcW w:w="8729" w:type="dxa"/>
            <w:noWrap w:val="0"/>
            <w:vAlign w:val="center"/>
          </w:tcPr>
          <w:p>
            <w:r>
              <w:t>软件需提供国家版权局颁发的《计算机软件著作权登记证书》</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(10)</w:t>
            </w:r>
            <w:r>
              <w:t>投标产品原厂通过并获得颁发《CMMI-3级研发体系认证证书》</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t>投标产品原厂通过并获得颁发</w:t>
            </w:r>
            <w:r>
              <w:rPr>
                <w:rFonts w:hint="eastAsia"/>
              </w:rPr>
              <w:t>《中国国家信息安全产品认证证书》。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noWrap w:val="0"/>
            <w:vAlign w:val="center"/>
          </w:tcPr>
          <w:p>
            <w:pPr>
              <w:jc w:val="center"/>
            </w:pPr>
            <w:r>
              <w:rPr>
                <w:rFonts w:hint="eastAsia" w:ascii="宋体" w:hAnsi="宋体" w:cs="宋体"/>
                <w:color w:val="000000"/>
                <w:sz w:val="22"/>
              </w:rPr>
              <w:t>★(12)</w:t>
            </w:r>
            <w:r>
              <w:rPr>
                <w:rFonts w:hint="eastAsia"/>
              </w:rPr>
              <w:t>容灾一体机规格</w:t>
            </w:r>
          </w:p>
        </w:tc>
        <w:tc>
          <w:tcPr>
            <w:tcW w:w="8729" w:type="dxa"/>
            <w:noWrap w:val="0"/>
            <w:vAlign w:val="center"/>
          </w:tcPr>
          <w:p>
            <w:r>
              <w:t>2U高度，有效裸容量</w:t>
            </w:r>
            <w:r>
              <w:rPr>
                <w:rFonts w:hint="eastAsia"/>
              </w:rPr>
              <w:t>不低于</w:t>
            </w:r>
            <w:r>
              <w:t>40TB</w:t>
            </w:r>
          </w:p>
          <w:p>
            <w:r>
              <w:t>硬件实配</w:t>
            </w:r>
            <w:r>
              <w:rPr>
                <w:rFonts w:hint="eastAsia"/>
              </w:rPr>
              <w:t>不低于</w:t>
            </w:r>
            <w:r>
              <w:t>：24core_x86, 128GB内存，2*960GB_SSD，12*4TB_HDD_7.2K，2*10GE，2</w:t>
            </w:r>
            <w:r>
              <w:rPr>
                <w:rFonts w:hint="eastAsia"/>
              </w:rPr>
              <w:t>*</w:t>
            </w:r>
            <w:r>
              <w:t>1GE，冗余电源</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restart"/>
            <w:noWrap w:val="0"/>
            <w:vAlign w:val="center"/>
          </w:tcPr>
          <w:p>
            <w:pPr>
              <w:jc w:val="center"/>
            </w:pPr>
            <w:r>
              <w:rPr>
                <w:rFonts w:hint="eastAsia"/>
              </w:rPr>
              <w:t>平台</w:t>
            </w:r>
            <w:r>
              <w:t>架构</w:t>
            </w:r>
          </w:p>
          <w:p>
            <w:pPr>
              <w:jc w:val="center"/>
            </w:pPr>
            <w:r>
              <w:t>要求</w:t>
            </w:r>
          </w:p>
        </w:tc>
        <w:tc>
          <w:tcPr>
            <w:tcW w:w="8729" w:type="dxa"/>
            <w:noWrap w:val="0"/>
            <w:vAlign w:val="center"/>
          </w:tcPr>
          <w:p>
            <w:r>
              <w:t>平台交付方式支持软硬一体化交付，系统功能与交付模式形态无关</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pPr>
              <w:jc w:val="center"/>
            </w:pPr>
          </w:p>
        </w:tc>
        <w:tc>
          <w:tcPr>
            <w:tcW w:w="8729" w:type="dxa"/>
            <w:noWrap w:val="0"/>
            <w:vAlign w:val="center"/>
          </w:tcPr>
          <w:p>
            <w:pPr>
              <w:rPr>
                <w:rFonts w:hint="eastAsia" w:ascii="宋体" w:hAnsi="宋体" w:cs="宋体"/>
                <w:kern w:val="0"/>
                <w:sz w:val="22"/>
              </w:rPr>
            </w:pPr>
            <w:r>
              <w:rPr>
                <w:rFonts w:hint="eastAsia" w:ascii="宋体" w:hAnsi="宋体" w:cs="宋体"/>
                <w:kern w:val="0"/>
                <w:sz w:val="22"/>
              </w:rPr>
              <w:t>平台可通过图形化界面管理，可使用HTTPS方式登录功能，确保登录安全。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pPr>
              <w:jc w:val="center"/>
            </w:pPr>
          </w:p>
        </w:tc>
        <w:tc>
          <w:tcPr>
            <w:tcW w:w="8729" w:type="dxa"/>
            <w:noWrap w:val="0"/>
            <w:vAlign w:val="center"/>
          </w:tcPr>
          <w:p>
            <w:pPr>
              <w:rPr>
                <w:rFonts w:hint="eastAsia" w:ascii="宋体" w:hAnsi="宋体" w:cs="宋体"/>
                <w:kern w:val="0"/>
                <w:sz w:val="22"/>
              </w:rPr>
            </w:pPr>
            <w:r>
              <w:rPr>
                <w:rFonts w:hint="eastAsia" w:ascii="宋体" w:hAnsi="宋体" w:cs="宋体"/>
                <w:kern w:val="0"/>
                <w:sz w:val="22"/>
              </w:rPr>
              <w:t>平台需支持限制尝试登陆次数、限制密码复杂度，避免暴力破解密码。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pPr>
              <w:jc w:val="center"/>
            </w:pPr>
          </w:p>
        </w:tc>
        <w:tc>
          <w:tcPr>
            <w:tcW w:w="8729" w:type="dxa"/>
            <w:noWrap w:val="0"/>
            <w:vAlign w:val="center"/>
          </w:tcPr>
          <w:p>
            <w:pPr>
              <w:rPr>
                <w:rFonts w:hint="eastAsia" w:ascii="宋体" w:hAnsi="宋体" w:cs="宋体"/>
                <w:kern w:val="0"/>
                <w:sz w:val="22"/>
              </w:rPr>
            </w:pPr>
            <w:r>
              <w:rPr>
                <w:rFonts w:hint="eastAsia" w:ascii="宋体" w:hAnsi="宋体" w:cs="宋体"/>
                <w:kern w:val="0"/>
                <w:sz w:val="22"/>
              </w:rPr>
              <w:t>支持电子邮件等多种通知告警功能。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t>平台架构为开放Linux平台，标准机架式设备，支持多样化X86-64bit硬件平台，支持国产鲲鹏、飞腾、</w:t>
            </w:r>
            <w:r>
              <w:rPr>
                <w:rFonts w:hint="eastAsia"/>
              </w:rPr>
              <w:t>海光</w:t>
            </w:r>
            <w:r>
              <w:t>等硬件平台</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t>支持</w:t>
            </w:r>
            <w:r>
              <w:rPr>
                <w:rFonts w:hint="eastAsia"/>
              </w:rPr>
              <w:t>任务</w:t>
            </w:r>
            <w:r>
              <w:t>的断点续传、</w:t>
            </w:r>
            <w:r>
              <w:rPr>
                <w:rFonts w:hint="eastAsia"/>
              </w:rPr>
              <w:t>传输限速、</w:t>
            </w:r>
            <w:r>
              <w:t>多线程加速、压缩等功能，以适应不同的网络传输环境</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(11)</w:t>
            </w:r>
            <w:r>
              <w:rPr>
                <w:rFonts w:hint="eastAsia"/>
              </w:rPr>
              <w:t>支持NAS/S3文件容灾复制、主机负载级容灾复制、数据库容灾复制能力纳管在统一界面。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rPr>
              <w:t>支持NAS/S3文件同步容灾复制，原格式文件同步与接管。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(12)</w:t>
            </w:r>
            <w:r>
              <w:rPr>
                <w:rFonts w:hint="eastAsia"/>
              </w:rPr>
              <w:t>支持Windows/Linux主机级整机负载一体化实时复制，支持整机接管、整机恢复、单卷恢复、单文件</w:t>
            </w:r>
            <w:r>
              <w:rPr>
                <w:rFonts w:hint="eastAsia" w:ascii="Cambria" w:hAnsi="Cambria" w:cs="Cambria"/>
              </w:rPr>
              <w:t>恢</w:t>
            </w:r>
            <w:r>
              <w:rPr>
                <w:rFonts w:hint="eastAsia"/>
              </w:rPr>
              <w:t>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(13)</w:t>
            </w:r>
            <w:r>
              <w:rPr>
                <w:rFonts w:hint="eastAsia"/>
              </w:rPr>
              <w:t>支持</w:t>
            </w:r>
            <w:r>
              <w:t>Oracle RAC</w:t>
            </w:r>
            <w:r>
              <w:rPr>
                <w:rFonts w:hint="eastAsia"/>
              </w:rPr>
              <w:t>实时同步复制，故障高可用切换，双向同步，数据回切。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restart"/>
            <w:noWrap w:val="0"/>
            <w:vAlign w:val="center"/>
          </w:tcPr>
          <w:p>
            <w:pPr>
              <w:jc w:val="center"/>
            </w:pPr>
            <w:r>
              <w:rPr>
                <w:rFonts w:hint="eastAsia"/>
              </w:rPr>
              <w:t>NAS</w:t>
            </w:r>
            <w:r>
              <w:t>文件</w:t>
            </w:r>
            <w:r>
              <w:rPr>
                <w:rFonts w:hint="eastAsia"/>
              </w:rPr>
              <w:t>容灾复制</w:t>
            </w: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(14)</w:t>
            </w:r>
            <w:r>
              <w:rPr>
                <w:color w:val="000000"/>
              </w:rPr>
              <w:t>支持将</w:t>
            </w:r>
            <w:r>
              <w:rPr>
                <w:rFonts w:hint="eastAsia"/>
                <w:color w:val="000000"/>
              </w:rPr>
              <w:t>NAS文</w:t>
            </w:r>
            <w:r>
              <w:rPr>
                <w:color w:val="000000"/>
              </w:rPr>
              <w:t>件作为数据源，</w:t>
            </w:r>
            <w:r>
              <w:rPr>
                <w:rFonts w:hint="eastAsia"/>
                <w:color w:val="000000"/>
              </w:rPr>
              <w:t>以原文件格式复制</w:t>
            </w:r>
            <w:r>
              <w:rPr>
                <w:color w:val="000000"/>
              </w:rPr>
              <w:t>至</w:t>
            </w:r>
            <w:r>
              <w:rPr>
                <w:rFonts w:hint="eastAsia"/>
                <w:color w:val="000000"/>
              </w:rPr>
              <w:t>NAS</w:t>
            </w:r>
            <w:r>
              <w:rPr>
                <w:color w:val="000000"/>
              </w:rPr>
              <w:t>存储或S3存储</w:t>
            </w:r>
            <w:r>
              <w:rPr>
                <w:rFonts w:hint="eastAsia"/>
                <w:color w:val="000000"/>
              </w:rPr>
              <w:t>，支持将S</w:t>
            </w:r>
            <w:r>
              <w:rPr>
                <w:color w:val="000000"/>
              </w:rPr>
              <w:t>3</w:t>
            </w:r>
            <w:r>
              <w:rPr>
                <w:rFonts w:hint="eastAsia"/>
                <w:color w:val="000000"/>
              </w:rPr>
              <w:t>对象</w:t>
            </w:r>
            <w:r>
              <w:rPr>
                <w:color w:val="000000"/>
              </w:rPr>
              <w:t>文件作为数据源，</w:t>
            </w:r>
            <w:r>
              <w:rPr>
                <w:rFonts w:hint="eastAsia"/>
                <w:color w:val="000000"/>
              </w:rPr>
              <w:t>以原文件格式复制</w:t>
            </w:r>
            <w:r>
              <w:rPr>
                <w:color w:val="000000"/>
              </w:rPr>
              <w:t>至</w:t>
            </w:r>
            <w:r>
              <w:rPr>
                <w:rFonts w:hint="eastAsia"/>
                <w:color w:val="000000"/>
              </w:rPr>
              <w:t>NAS</w:t>
            </w:r>
            <w:r>
              <w:rPr>
                <w:color w:val="000000"/>
              </w:rPr>
              <w:t>存储或S3存储</w:t>
            </w:r>
            <w:r>
              <w:rPr>
                <w:rFonts w:hint="eastAsia"/>
                <w:color w:val="000000"/>
              </w:rPr>
              <w:t>，保持数据一致性。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hint="eastAsia" w:ascii="宋体" w:hAnsi="宋体" w:cs="宋体"/>
                <w:color w:val="000000"/>
                <w:kern w:val="0"/>
                <w:sz w:val="22"/>
              </w:rPr>
            </w:pPr>
            <w:r>
              <w:rPr>
                <w:rFonts w:hint="eastAsia" w:ascii="宋体" w:hAnsi="宋体" w:cs="宋体"/>
                <w:kern w:val="0"/>
                <w:sz w:val="22"/>
              </w:rPr>
              <w:t>支持各类NAS存储和</w:t>
            </w:r>
            <w:r>
              <w:rPr>
                <w:rFonts w:hint="eastAsia"/>
              </w:rPr>
              <w:t>S</w:t>
            </w:r>
            <w:r>
              <w:t>3</w:t>
            </w:r>
            <w:r>
              <w:rPr>
                <w:rFonts w:hint="eastAsia"/>
              </w:rPr>
              <w:t>对象</w:t>
            </w:r>
            <w:r>
              <w:t>文件</w:t>
            </w:r>
            <w:r>
              <w:rPr>
                <w:rFonts w:hint="eastAsia" w:ascii="宋体" w:hAnsi="宋体" w:cs="宋体"/>
                <w:kern w:val="0"/>
                <w:sz w:val="22"/>
              </w:rPr>
              <w:t>的海量文件同步，支持CIFS和NFS协议的文件系统同步，并</w:t>
            </w:r>
            <w:r>
              <w:rPr>
                <w:rFonts w:hint="eastAsia"/>
              </w:rPr>
              <w:t>保持数据一致性；支持跨异构品牌存储类型的文件复制。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hint="eastAsia" w:ascii="宋体" w:hAnsi="宋体" w:cs="宋体"/>
                <w:kern w:val="0"/>
                <w:sz w:val="22"/>
              </w:rPr>
            </w:pPr>
            <w:r>
              <w:rPr>
                <w:rFonts w:hint="eastAsia" w:ascii="宋体" w:hAnsi="宋体" w:cs="宋体"/>
                <w:color w:val="000000"/>
                <w:kern w:val="0"/>
                <w:sz w:val="22"/>
              </w:rPr>
              <w:t>在工作节点客户端同步增量数据，或者可指定多个工作节点客户端主机同步，由工作节点主机上读取文件并同步到目标端。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hint="eastAsia" w:ascii="宋体" w:hAnsi="宋体" w:cs="宋体"/>
                <w:kern w:val="0"/>
                <w:sz w:val="22"/>
              </w:rPr>
            </w:pPr>
            <w:r>
              <w:rPr>
                <w:rFonts w:hint="eastAsia" w:ascii="宋体" w:hAnsi="宋体" w:cs="宋体"/>
                <w:kern w:val="0"/>
                <w:sz w:val="22"/>
              </w:rPr>
              <w:t>支持多任务并发遍历/镜像数据，按遍历文件列表拆分任务，提高海量小文件镜像效率。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增量复制支持快速扫描的增/删/覆盖特性与精确扫描的内容修改特性。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t>在文件复制任务完成后，</w:t>
            </w:r>
            <w:r>
              <w:rPr>
                <w:rFonts w:hint="eastAsia"/>
              </w:rPr>
              <w:t>支持</w:t>
            </w:r>
            <w:r>
              <w:t>对源端文件和目标端文件进行一致性校验，列出不一致的文件列表</w:t>
            </w:r>
            <w:r>
              <w:rPr>
                <w:rFonts w:hint="eastAsia"/>
              </w:rPr>
              <w:t>，该列表可下载至本地。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restart"/>
            <w:noWrap w:val="0"/>
            <w:vAlign w:val="center"/>
          </w:tcPr>
          <w:p>
            <w:pPr>
              <w:jc w:val="center"/>
            </w:pPr>
            <w:r>
              <w:rPr>
                <w:rFonts w:hint="eastAsia"/>
              </w:rPr>
              <w:t>主机负载级别容灾复制</w:t>
            </w:r>
          </w:p>
        </w:tc>
        <w:tc>
          <w:tcPr>
            <w:tcW w:w="8729" w:type="dxa"/>
            <w:noWrap w:val="0"/>
            <w:vAlign w:val="center"/>
          </w:tcPr>
          <w:p>
            <w:r>
              <w:t>提供物理机/虚拟机/云主机</w:t>
            </w:r>
            <w:r>
              <w:rPr>
                <w:rFonts w:hint="eastAsia"/>
              </w:rPr>
              <w:t>整机负载一体化</w:t>
            </w:r>
            <w:r>
              <w:t>毫秒级实时备份，RPO趋近于0</w:t>
            </w:r>
            <w:r>
              <w:rPr>
                <w:rFonts w:hint="eastAsia"/>
              </w:rPr>
              <w:t>，支持跨卷、多卷配置下的数据一致性；支持</w:t>
            </w:r>
            <w:r>
              <w:t>在保护周期内提供连续恢复时点，可将备份对象恢复至保护周期内任一时点的副本状态</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(15)</w:t>
            </w:r>
            <w:r>
              <w:rPr>
                <w:rFonts w:hint="eastAsia"/>
                <w:color w:val="000000"/>
              </w:rPr>
              <w:t>支持备份数据动态生命周期管理机制，用户可根据实际需要，灵活定义备份副本回收策略，提升存储空间使用效率。支持预设备份副本回收，涵盖空间优先（在有限存储空间情况下，优先保证空间使用）、数据优先（优先保证数据保留周期，保证任意恢复周期能满足客户需求）、自定义（根据客户环境个性化自定义副本回收策略）三种类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rPr>
              <w:t>Windows/Linux客户端（即备份代理）安装部署过程无需重启操作系统。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ascii="宋体" w:hAnsi="宋体" w:cs="宋体"/>
                <w:kern w:val="0"/>
                <w:sz w:val="22"/>
              </w:rPr>
              <w:t>▲</w:t>
            </w:r>
            <w:r>
              <w:rPr>
                <w:rFonts w:hint="eastAsia" w:ascii="宋体" w:hAnsi="宋体" w:cs="宋体"/>
                <w:color w:val="000000"/>
                <w:sz w:val="22"/>
              </w:rPr>
              <w:t>(16)</w:t>
            </w:r>
            <w:r>
              <w:rPr>
                <w:rFonts w:hint="eastAsia"/>
              </w:rPr>
              <w:t>提供一键操作整机镜像还原功能，支持任意毫秒级时点的整机一体化还原，还原过程无需额外服务器、无需部署虚拟化系统、无需停止备份任务、无需预装操作系统和应用程序等基础组件，还原后无需配置环境，便可在5分钟内以虚拟机方式1:1快速还原备份对象环境，虚拟机相关配置与原环境保持一致，包括但不限于IP地址/MAC地址/系统口令/软件配置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支持同一备份对象生成多个整机镜像系统（无数量限制），每个镜像系统均为独立系统，提供“应急接管”及“仿真演练”两种镜像还原模式。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提供可视化镜像虚拟机配置管理，包括但不限于：CPU、内存、网卡信息（IPv4/IPv6/MAC/DNS）、硬件驱动等配置项的修改；支持多网卡新增及IP修改，无需进入虚拟机操作系统修改。支持客户端信息一键导入功能，简化整体接管流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支持应急接管虚拟机在线回迁，对于应急接管业务后产生的数据变化，以“热迁移”方式同步至原备份对象，迁移过程无需中断业务。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提供保护周期内任意时点的文件恢复，最小恢复粒度为单个文件；提供保护周期内任意时点的挂载恢复，最小恢复粒度为磁盘。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提供保护周期内任意时点的整机恢复，最小恢复粒度为磁盘，可按需恢复磁盘。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产品提供Windows PE和Linux PE两种引导盘，且每种引导盘均可支持Linux和Windows系统恢复。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restart"/>
            <w:noWrap w:val="0"/>
            <w:vAlign w:val="center"/>
          </w:tcPr>
          <w:p>
            <w:pPr>
              <w:jc w:val="center"/>
            </w:pPr>
            <w:r>
              <w:rPr>
                <w:rFonts w:hint="eastAsia"/>
              </w:rPr>
              <w:t>数据库实时容灾复制</w:t>
            </w:r>
          </w:p>
        </w:tc>
        <w:tc>
          <w:tcPr>
            <w:tcW w:w="8729" w:type="dxa"/>
            <w:noWrap w:val="0"/>
            <w:vAlign w:val="center"/>
          </w:tcPr>
          <w:p>
            <w:r>
              <w:rPr>
                <w:rFonts w:hint="eastAsia"/>
              </w:rPr>
              <w:t>支持多种部署模式，支持客户端安装部署模式、支持无代理部署模式、支持绿色软件部署模式，支持以上模式混合使用。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t>采集端自动识别异常，源端采集Agent支持主备模式部署，源库主采集节点失联后可自动切换衔接</w:t>
            </w:r>
            <w:r>
              <w:rPr>
                <w:rFonts w:hint="eastAsia"/>
              </w:rPr>
              <w:t>；</w:t>
            </w:r>
            <w:r>
              <w:t>多机集群高可用情况下，同步服务器集群内单一节点故障，该节点的任务进程可由集群内其他节点自动接管，其他节点接管后具备断点续传能力</w:t>
            </w:r>
            <w:r>
              <w:rPr>
                <w:rFonts w:hint="eastAsia"/>
              </w:rPr>
              <w:t>，</w:t>
            </w:r>
            <w:r>
              <w:t>保障业务连续性</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支持</w:t>
            </w:r>
            <w:r>
              <w:t>最小化授权原则，用最小的权限完成数据增量采集；如oracle文件系统不用DBA用户，如oracle asm 不使用sysasm用户权限（最高用户权限）</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ascii="宋体" w:hAnsi="宋体" w:cs="宋体"/>
                <w:kern w:val="0"/>
                <w:sz w:val="22"/>
              </w:rPr>
              <w:t>▲</w:t>
            </w:r>
            <w:r>
              <w:rPr>
                <w:rFonts w:hint="eastAsia" w:ascii="宋体" w:hAnsi="宋体" w:cs="宋体"/>
                <w:color w:val="000000"/>
                <w:sz w:val="22"/>
              </w:rPr>
              <w:t>(17)</w:t>
            </w:r>
            <w:r>
              <w:t>支持在线不停机整库数据同步</w:t>
            </w:r>
            <w:r>
              <w:rPr>
                <w:rFonts w:hint="eastAsia"/>
              </w:rPr>
              <w:t>，</w:t>
            </w:r>
            <w:r>
              <w:t>支持同构、异构库双活双向同步</w:t>
            </w:r>
            <w:r>
              <w:rPr>
                <w:rFonts w:hint="eastAsia"/>
              </w:rPr>
              <w:t>，同步</w:t>
            </w:r>
            <w:r>
              <w:rPr>
                <w:rFonts w:hint="eastAsia" w:ascii="宋体" w:hAnsi="宋体" w:cs="宋体"/>
                <w:kern w:val="0"/>
                <w:sz w:val="22"/>
              </w:rPr>
              <w:t>源库与目标端复制时均处于open状态，数据库可实时读和写，目标端可随时提供实时查询等功能。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(18)</w:t>
            </w:r>
            <w:r>
              <w:rPr>
                <w:color w:val="000000"/>
              </w:rPr>
              <w:t>不在源端数据库服务器留存数据；源端数据库可通过数据库常规端口（如oracle1521端口、mysql3306端口）即可进行数据库实时复制的通讯链接，不依赖另开风险较高的通讯端口给源端库增加入侵风险（如22端口、80端口）</w:t>
            </w:r>
            <w:r>
              <w:rPr>
                <w:rFonts w:hint="eastAsia"/>
                <w:color w:val="00000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支持自动识别</w:t>
            </w:r>
            <w:r>
              <w:t>源</w:t>
            </w:r>
            <w:r>
              <w:rPr>
                <w:rFonts w:hint="eastAsia"/>
              </w:rPr>
              <w:t>端和生产端的字符集，同时支持</w:t>
            </w:r>
            <w:r>
              <w:t>源</w:t>
            </w:r>
            <w:r>
              <w:rPr>
                <w:rFonts w:hint="eastAsia"/>
              </w:rPr>
              <w:t>端和目标端和跨字符集复制要求。可支持跨字符集数据库迁移、跨字符集数据库的复制要求。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rPr>
              <w:t>支持</w:t>
            </w:r>
            <w:r>
              <w:t>Oracle R</w:t>
            </w:r>
            <w:r>
              <w:rPr>
                <w:rFonts w:hint="eastAsia"/>
              </w:rPr>
              <w:t>AC</w:t>
            </w:r>
            <w:r>
              <w:t>多节点增量数据保序</w:t>
            </w:r>
            <w:r>
              <w:rPr>
                <w:rFonts w:hint="eastAsia"/>
              </w:rPr>
              <w:t>，</w:t>
            </w:r>
            <w:r>
              <w:t>支持</w:t>
            </w:r>
            <w:r>
              <w:rPr>
                <w:rFonts w:hint="eastAsia"/>
              </w:rPr>
              <w:t>同步自断自定义映射、</w:t>
            </w:r>
            <w:r>
              <w:t>支持Oracle RowidMapping</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t>支持源端库DDL变更后，系统自动复制，免于大量的人工运维，也具备屏蔽DDL复制的设置。</w:t>
            </w:r>
            <w:r>
              <w:rPr>
                <w:rFonts w:hint="eastAsia"/>
              </w:rPr>
              <w:t>支持</w:t>
            </w:r>
            <w:r>
              <w:t>DDL复制能力的库包含oracle、mysql、SQLserver、postgre SQL等源端库</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rFonts w:ascii="Times New Roman" w:hAnsi="Times New Roman" w:cs="Times New Roman"/>
                <w:szCs w:val="24"/>
              </w:rPr>
            </w:pPr>
            <w:r>
              <w:rPr>
                <w:rFonts w:hint="eastAsia" w:ascii="宋体" w:hAnsi="宋体" w:cs="宋体"/>
                <w:kern w:val="0"/>
                <w:sz w:val="22"/>
              </w:rPr>
              <w:t>通过图形化支持删除表、清表等多种DDL操作进行阻断，确保备端数据库安全。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tc>
        <w:tc>
          <w:tcPr>
            <w:tcW w:w="8729" w:type="dxa"/>
            <w:noWrap w:val="0"/>
            <w:vAlign w:val="center"/>
          </w:tcPr>
          <w:p>
            <w:pPr>
              <w:rPr>
                <w:color w:val="000000"/>
              </w:rPr>
            </w:pPr>
            <w:r>
              <w:rPr>
                <w:rFonts w:hint="eastAsia" w:ascii="宋体" w:hAnsi="宋体" w:cs="宋体"/>
                <w:kern w:val="0"/>
                <w:sz w:val="22"/>
              </w:rPr>
              <w:t>▲</w:t>
            </w:r>
            <w:r>
              <w:rPr>
                <w:rFonts w:hint="eastAsia" w:ascii="宋体" w:hAnsi="宋体" w:cs="宋体"/>
                <w:color w:val="000000"/>
                <w:sz w:val="22"/>
              </w:rPr>
              <w:t>(19)</w:t>
            </w:r>
            <w:r>
              <w:rPr>
                <w:color w:val="000000"/>
              </w:rPr>
              <w:t>支持高性能全量精确比对</w:t>
            </w:r>
            <w:r>
              <w:rPr>
                <w:rFonts w:hint="eastAsia"/>
                <w:color w:val="000000"/>
              </w:rPr>
              <w:t>，</w:t>
            </w:r>
            <w:r>
              <w:rPr>
                <w:color w:val="000000"/>
              </w:rPr>
              <w:t>支持数据精确一致性比对，比如目标少、目标多、目标库有误支持clob、blob这类特殊字段比对；支持源库无主键和唯一键的情况下和目标库比对</w:t>
            </w:r>
            <w:r>
              <w:rPr>
                <w:rFonts w:hint="eastAsia"/>
                <w:color w:val="000000"/>
              </w:rPr>
              <w:t>；</w:t>
            </w:r>
            <w:r>
              <w:rPr>
                <w:color w:val="000000"/>
              </w:rPr>
              <w:t>支持clob、blob这类特殊字段比对</w:t>
            </w:r>
            <w:r>
              <w:rPr>
                <w:rFonts w:hint="eastAsia"/>
                <w:color w:val="000000"/>
              </w:rPr>
              <w:t>；</w:t>
            </w:r>
            <w:r>
              <w:rPr>
                <w:color w:val="000000"/>
              </w:rPr>
              <w:t>支持源库无主键和唯一键的情况下和目标库进行精确比对</w:t>
            </w:r>
            <w:r>
              <w:rPr>
                <w:rFonts w:hint="eastAsia"/>
                <w:color w:val="000000"/>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restart"/>
            <w:noWrap w:val="0"/>
            <w:vAlign w:val="center"/>
          </w:tcPr>
          <w:p>
            <w:pPr>
              <w:jc w:val="center"/>
            </w:pPr>
            <w:r>
              <w:rPr>
                <w:rFonts w:hint="eastAsia"/>
              </w:rPr>
              <w:t>迁移服务</w:t>
            </w:r>
          </w:p>
        </w:tc>
        <w:tc>
          <w:tcPr>
            <w:tcW w:w="8729" w:type="dxa"/>
            <w:noWrap w:val="0"/>
            <w:vAlign w:val="center"/>
          </w:tcPr>
          <w:p>
            <w:r>
              <w:rPr>
                <w:rFonts w:hint="eastAsia" w:ascii="宋体" w:hAnsi="宋体" w:cs="宋体"/>
                <w:kern w:val="0"/>
                <w:sz w:val="22"/>
              </w:rPr>
              <w:t>▲</w:t>
            </w:r>
            <w:r>
              <w:rPr>
                <w:rFonts w:hint="eastAsia" w:ascii="宋体" w:hAnsi="宋体" w:cs="宋体"/>
                <w:color w:val="000000"/>
                <w:sz w:val="22"/>
              </w:rPr>
              <w:t>(20)</w:t>
            </w:r>
            <w:r>
              <w:rPr>
                <w:rFonts w:hint="eastAsia"/>
              </w:rPr>
              <w:t>提供无停机的系统迁移功能，迁移过程中生产服务器无需停机。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vMerge w:val="continue"/>
            <w:noWrap w:val="0"/>
            <w:vAlign w:val="center"/>
          </w:tcPr>
          <w:p>
            <w:pPr>
              <w:jc w:val="center"/>
            </w:pPr>
          </w:p>
        </w:tc>
        <w:tc>
          <w:tcPr>
            <w:tcW w:w="8729" w:type="dxa"/>
            <w:noWrap w:val="0"/>
            <w:vAlign w:val="center"/>
          </w:tcPr>
          <w:p>
            <w:r>
              <w:rPr>
                <w:rFonts w:hint="eastAsia"/>
              </w:rPr>
              <w:t>提供将现有云灾备系统迁移到异地机房的服务。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90" w:hRule="atLeast"/>
          <w:jc w:val="center"/>
        </w:trPr>
        <w:tc>
          <w:tcPr>
            <w:tcW w:w="1005" w:type="dxa"/>
            <w:noWrap w:val="0"/>
            <w:vAlign w:val="center"/>
          </w:tcPr>
          <w:p>
            <w:pPr>
              <w:jc w:val="center"/>
            </w:pPr>
            <w:r>
              <w:rPr>
                <w:rFonts w:hint="eastAsia"/>
              </w:rPr>
              <w:t>服务要求</w:t>
            </w:r>
          </w:p>
        </w:tc>
        <w:tc>
          <w:tcPr>
            <w:tcW w:w="8729" w:type="dxa"/>
            <w:noWrap w:val="0"/>
            <w:vAlign w:val="center"/>
          </w:tcPr>
          <w:p>
            <w:r>
              <w:rPr>
                <w:rFonts w:hint="eastAsia"/>
              </w:rPr>
              <w:t>提供原厂软件一年服务，</w:t>
            </w:r>
            <w:r>
              <w:rPr>
                <w:rFonts w:hint="eastAsia" w:ascii="宋体" w:hAnsi="宋体" w:cs="宋体"/>
                <w:kern w:val="0"/>
                <w:sz w:val="22"/>
              </w:rPr>
              <w:t>包括原厂安装实施服务</w:t>
            </w:r>
            <w:r>
              <w:rPr>
                <w:rFonts w:hint="eastAsia"/>
              </w:rPr>
              <w:t>。所投产品交付时须包含本需求表内可满足的产品功能项的所有正式使用授权，原厂售后服务承诺函。</w:t>
            </w:r>
          </w:p>
        </w:tc>
      </w:tr>
    </w:tbl>
    <w:p>
      <w:pPr>
        <w:rPr>
          <w:rFonts w:hint="eastAsia" w:ascii="宋体" w:hAnsi="宋体" w:cs="宋体"/>
          <w:b/>
          <w:szCs w:val="21"/>
        </w:rPr>
      </w:pPr>
    </w:p>
    <w:p>
      <w:pPr>
        <w:numPr>
          <w:ilvl w:val="0"/>
          <w:numId w:val="4"/>
        </w:numPr>
        <w:rPr>
          <w:rFonts w:hint="eastAsia" w:ascii="宋体" w:hAnsi="宋体" w:cs="宋体"/>
          <w:b/>
          <w:sz w:val="24"/>
          <w:szCs w:val="24"/>
        </w:rPr>
      </w:pPr>
      <w:r>
        <w:rPr>
          <w:rFonts w:hint="eastAsia" w:ascii="宋体" w:hAnsi="宋体" w:cs="宋体"/>
          <w:b/>
          <w:sz w:val="24"/>
          <w:szCs w:val="24"/>
        </w:rPr>
        <w:t>云操作系统软件</w:t>
      </w:r>
    </w:p>
    <w:tbl>
      <w:tblPr>
        <w:tblStyle w:val="37"/>
        <w:tblW w:w="4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8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shd w:val="clear" w:color="000000" w:fill="auto"/>
            <w:noWrap w:val="0"/>
            <w:vAlign w:val="center"/>
          </w:tcPr>
          <w:p>
            <w:pPr>
              <w:widowControl/>
              <w:jc w:val="center"/>
              <w:rPr>
                <w:rFonts w:hint="eastAsia" w:ascii="宋体" w:hAnsi="宋体" w:cs="宋体"/>
                <w:b/>
                <w:bCs/>
                <w:kern w:val="0"/>
                <w:szCs w:val="21"/>
              </w:rPr>
            </w:pPr>
            <w:r>
              <w:rPr>
                <w:rFonts w:hint="eastAsia" w:ascii="宋体" w:hAnsi="宋体" w:cs="宋体"/>
                <w:b/>
                <w:bCs/>
                <w:kern w:val="0"/>
                <w:szCs w:val="21"/>
              </w:rPr>
              <w:t>序号</w:t>
            </w:r>
          </w:p>
        </w:tc>
        <w:tc>
          <w:tcPr>
            <w:tcW w:w="4415" w:type="pct"/>
            <w:shd w:val="clear" w:color="000000" w:fill="auto"/>
            <w:noWrap w:val="0"/>
            <w:vAlign w:val="center"/>
          </w:tcPr>
          <w:p>
            <w:pPr>
              <w:widowControl/>
              <w:jc w:val="center"/>
              <w:rPr>
                <w:rFonts w:hint="eastAsia" w:ascii="宋体" w:hAnsi="宋体" w:cs="宋体"/>
                <w:b/>
                <w:bCs/>
                <w:kern w:val="0"/>
                <w:szCs w:val="21"/>
              </w:rPr>
            </w:pPr>
            <w:r>
              <w:rPr>
                <w:rFonts w:hint="eastAsia" w:ascii="宋体" w:hAnsi="宋体" w:cs="宋体"/>
                <w:b/>
                <w:bCs/>
                <w:kern w:val="0"/>
                <w:szCs w:val="21"/>
              </w:rPr>
              <w:t>详细技术要求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noWrap w:val="0"/>
            <w:vAlign w:val="center"/>
          </w:tcPr>
          <w:p>
            <w:pPr>
              <w:widowControl/>
              <w:jc w:val="center"/>
              <w:rPr>
                <w:rFonts w:hint="eastAsia" w:ascii="宋体" w:hAnsi="宋体" w:cs="宋体"/>
                <w:kern w:val="0"/>
                <w:szCs w:val="21"/>
              </w:rPr>
            </w:pPr>
            <w:r>
              <w:rPr>
                <w:rFonts w:hint="eastAsia" w:ascii="宋体" w:hAnsi="宋体" w:cs="宋体"/>
                <w:color w:val="000000"/>
                <w:sz w:val="22"/>
              </w:rPr>
              <w:t>★（13）</w:t>
            </w:r>
            <w:r>
              <w:rPr>
                <w:rFonts w:hint="eastAsia" w:ascii="宋体" w:hAnsi="宋体" w:cs="宋体"/>
                <w:kern w:val="0"/>
                <w:szCs w:val="21"/>
              </w:rPr>
              <w:t>数量要求</w:t>
            </w:r>
          </w:p>
        </w:tc>
        <w:tc>
          <w:tcPr>
            <w:tcW w:w="4415" w:type="pct"/>
            <w:noWrap w:val="0"/>
            <w:vAlign w:val="center"/>
          </w:tcPr>
          <w:p>
            <w:pPr>
              <w:widowControl/>
              <w:jc w:val="left"/>
              <w:rPr>
                <w:rFonts w:ascii="宋体" w:hAnsi="宋体" w:cs="宋体"/>
                <w:kern w:val="0"/>
                <w:szCs w:val="21"/>
              </w:rPr>
            </w:pPr>
            <w:r>
              <w:rPr>
                <w:rFonts w:hint="eastAsia" w:ascii="宋体" w:hAnsi="宋体" w:cs="宋体"/>
                <w:kern w:val="0"/>
                <w:szCs w:val="21"/>
              </w:rPr>
              <w:t>10个CPU云平台软件授权，1套高性能存储管理软件授权，包括原厂现场部署实施，一年的原厂免费上门维保服务，维保期内免费升级到最新版本。</w:t>
            </w:r>
            <w:r>
              <w:rPr>
                <w:rFonts w:hint="eastAsia"/>
              </w:rPr>
              <w:t>所投产品交付时须包含本需求表内可满足的产品功能项的所有正式使用授权。提供承诺函。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restart"/>
            <w:noWrap w:val="0"/>
            <w:vAlign w:val="center"/>
          </w:tcPr>
          <w:p>
            <w:pPr>
              <w:widowControl/>
              <w:jc w:val="center"/>
              <w:rPr>
                <w:rFonts w:hint="eastAsia" w:ascii="宋体" w:hAnsi="宋体" w:cs="宋体"/>
                <w:kern w:val="0"/>
                <w:sz w:val="22"/>
              </w:rPr>
            </w:pPr>
            <w:r>
              <w:rPr>
                <w:rFonts w:hint="eastAsia" w:ascii="宋体" w:hAnsi="宋体" w:cs="宋体"/>
                <w:kern w:val="0"/>
                <w:sz w:val="22"/>
              </w:rPr>
              <w:t>厂商能力</w:t>
            </w: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基于云平台厂商的软件研发管理体系成熟度和完善度考虑，云平台厂商需通过企业级研发能力成熟度CMMI5级认证，提供证书复印件。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基于云平台厂商的软件研发管理体系成熟度和完善度考虑，云平台厂商需通过软件能力成熟度模型SPCA等级5级认证，提供证书复印件。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基于云平台厂商提供的云计算服务的流程管理成熟度考虑，云平台厂商需通过ITSS信息技术服务标准云计算一级，提供证书复印件。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基于云平台厂商的信息系统规划、建设和服务能力考虑，云平台厂商需通过信息系统建设和服务能力等级优秀级CS4，提供证书复印件。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云平台软件通过CNAS（中国认可国际互认检测）对虚拟化、网络、磁盘方面的高性能低损耗（低于3%以内）认证，提供测试报告复印件。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产品稳定性和可持续发展性考虑，云平台厂商拥有云平台软件的完整知识产权，云架构不基于OpenStack或其它开源架构研发，云平台软件首个商业化版本至少有10年以上的发行时间（以首个版本发布的著作权软件登记日期为准），提供首个版本软件著作权和本次使用版本软著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基于产品代码自主可控和持续发展考虑，云平台软件通过工业和信息化部直属测评机构代码扫描测试，云平台源代码自主率不低于98%，提供测试报告复印件。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restart"/>
            <w:noWrap w:val="0"/>
            <w:vAlign w:val="center"/>
          </w:tcPr>
          <w:p>
            <w:pPr>
              <w:widowControl/>
              <w:jc w:val="center"/>
              <w:rPr>
                <w:rFonts w:hint="eastAsia" w:ascii="宋体" w:hAnsi="宋体" w:cs="宋体"/>
                <w:kern w:val="0"/>
                <w:sz w:val="22"/>
              </w:rPr>
            </w:pPr>
            <w:r>
              <w:rPr>
                <w:rFonts w:hint="eastAsia" w:ascii="宋体" w:hAnsi="宋体" w:cs="宋体"/>
                <w:kern w:val="0"/>
                <w:sz w:val="22"/>
              </w:rPr>
              <w:t>兼容性要求</w:t>
            </w:r>
          </w:p>
        </w:tc>
        <w:tc>
          <w:tcPr>
            <w:tcW w:w="4415" w:type="pct"/>
            <w:noWrap w:val="0"/>
            <w:vAlign w:val="center"/>
          </w:tcPr>
          <w:p>
            <w:pPr>
              <w:widowControl/>
              <w:jc w:val="left"/>
              <w:rPr>
                <w:rFonts w:hint="eastAsia" w:ascii="宋体" w:hAnsi="宋体" w:cs="宋体"/>
                <w:kern w:val="0"/>
                <w:sz w:val="22"/>
              </w:rPr>
            </w:pPr>
            <w:r>
              <w:rPr>
                <w:rFonts w:hint="eastAsia" w:ascii="宋体" w:hAnsi="宋体" w:cs="宋体"/>
                <w:color w:val="000000"/>
                <w:sz w:val="22"/>
              </w:rPr>
              <w:t>★</w:t>
            </w:r>
            <w:r>
              <w:rPr>
                <w:rFonts w:hint="eastAsia" w:ascii="宋体" w:hAnsi="宋体" w:cs="宋体"/>
                <w:sz w:val="22"/>
              </w:rPr>
              <w:t>(14)</w:t>
            </w:r>
            <w:r>
              <w:rPr>
                <w:rFonts w:hint="eastAsia" w:ascii="宋体" w:hAnsi="宋体" w:cs="宋体"/>
                <w:kern w:val="0"/>
                <w:szCs w:val="21"/>
              </w:rPr>
              <w:t>必须与集团原有云平台底层系统（品高云）无缝兼容，或提供云管平台管理集团现有云资源，能达到资源统一管理以及资源调度的目的</w:t>
            </w:r>
            <w:r>
              <w:rPr>
                <w:rFonts w:hint="eastAsia" w:ascii="宋体" w:hAnsi="宋体"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国产芯片，支持国产的海光、鲲鹏、飞腾、龙芯、申威架构的芯片服务器，实现异构芯片服务器在同一集群部署、调度，即创建云主机时可依据镜像架构自动调度到对应芯片架构的云节点上。提供不少于4家国产芯片厂商的互认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支持国产操作系统，支持国产的OpenEulerOS、Kylin OS、UOS、湖南麒麟、中科方徳、</w:t>
            </w:r>
            <w:r>
              <w:rPr>
                <w:rFonts w:hint="eastAsia"/>
              </w:rPr>
              <w:t>阿里龙蜥</w:t>
            </w:r>
            <w:r>
              <w:rPr>
                <w:rFonts w:hint="eastAsia" w:ascii="宋体" w:hAnsi="宋体" w:cs="宋体"/>
                <w:kern w:val="0"/>
                <w:sz w:val="22"/>
              </w:rPr>
              <w:t>等操作系统，提供不少于3家国产操作系统厂商的互认证明。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restart"/>
            <w:noWrap w:val="0"/>
            <w:vAlign w:val="center"/>
          </w:tcPr>
          <w:p>
            <w:pPr>
              <w:widowControl/>
              <w:jc w:val="center"/>
              <w:rPr>
                <w:rFonts w:hint="eastAsia" w:ascii="宋体" w:hAnsi="宋体" w:cs="宋体"/>
                <w:kern w:val="0"/>
                <w:sz w:val="22"/>
              </w:rPr>
            </w:pPr>
            <w:r>
              <w:rPr>
                <w:rFonts w:hint="eastAsia" w:ascii="宋体" w:hAnsi="宋体" w:cs="宋体"/>
                <w:kern w:val="0"/>
                <w:sz w:val="22"/>
              </w:rPr>
              <w:t>功能要求</w:t>
            </w: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支持统一管理GPU、HBA等加速设备，支持创建云主机时可交付带GPU的云主机。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b/>
                <w:bCs/>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支持对云平台资源精细化管理，管理员通过CPU、内存、实例、存储卷、存储卷快照、云网络、IP、安全组、负载均衡等云资源的数量细粒度地控制普通用户的资源配额。提供产品界面截图。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b/>
                <w:bCs/>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贪婪、轮询、节约、利旧、利新等5种以上方式的节点调度策略，创建云主机资源时无需指定具体在哪台云节点中，而是由云平台根据设置的策略自动将虚拟机调度到最合适的云节点上进行承载。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b/>
                <w:bCs/>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支持自定义监控指标：除了云平台自带的监控指标外，支持用户针对软件自定义监控指标，如MySQL数据库的连接数、IIS服务的运行情况，甚至OA系统的用户注册数等。提供产品界面截图。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支持用户设置计划任务，可设定按天，按周，按月等频率对虚拟机、存储卷等资源进行备份。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对云主机/实例的全生命周期管理，包括：新建实例、导入实例、导出实例、控制台输出、远程连接、获取密码、重置密码、备份实例、实例打包、实例迁移、挂接存储、重启实例、实例关机、暂停实例、休眠实例、唤醒实例、克隆实例、上线实例、下线实例、重装实例、销毁实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支持对云主机的克隆，克隆过程中可更改新的云主机配置，如更改云网络、子网、IP信息。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支持对云主机/实例的属性管理，包括：名称修改、规模修改、实例的磁盘驱动类型修改、启动优先级、自动迁移策略修改、销毁保护策略修改、备注添加与修改。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支持通过可视化的手段展现SDN云网络拓扑、虚拟交换机与虚拟机关系、网络流表查询、通过虚拟机名称/ID/IP等信息模糊定位并查看相关的网络规则的能力。提供产品界面截图。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快速创建VPC网络，可配置的内容包括：网段、物理网络、外网网关、DHCP等相关内容，支持对云网络配置子网、网络ACL、路由表、域名解析相关功能的配置，支持对子网进行VLAN设置、跨集群使用、微隔离设置、路由表设置及地址池使用量状况进行统计。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支持微隔离功能，实现同一子网（或VLAN）的云主机未经过授权无法通信，即使是通过arp的手段也无法相互探知。提供产品界面截图。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云平台控制器组件高可用，主控制器服务异常后，云平台的备控制器接管，不影响云平台的正常运行。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云平台SDN控制器高可用，每个云节点都部署SDN控制器，并支持SDN控制器高可用，当SDN控制器所在的云节点宕机时，不影响其他云节点的网络连接。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支持云主机的高可用，云主机所在节点宕机后，云平台自动将运行在故障云节点上的云主机迁移至其他的云节点上，保证云主机可用性。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支持云内云外服务器整机容灾，源端故障后支持一键应急接管拉起，支持自动配置接管后的环境参数自动调整，支持容灾演练，支持业务回切和灾备数据回流，支持windows server 2008~2022版本、国产linux版本。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支持Kubernetes1.10以上版本容器应用的整体容灾，支持镜像库容灾，支持灾备环境常态化运行和一键灾备切换。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支持服务器整机（包含数据库、中间件等业务）、容器应用混合容灾，支持一键灾备切换，支持灾备无缝切换。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数据备份需支持备份策略设置和可视化操作，对已经备份好的数据支持可视化查询。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4" w:type="pct"/>
            <w:vMerge w:val="continue"/>
            <w:noWrap w:val="0"/>
            <w:vAlign w:val="center"/>
          </w:tcPr>
          <w:p>
            <w:pPr>
              <w:widowControl/>
              <w:jc w:val="left"/>
              <w:rPr>
                <w:rFonts w:hint="eastAsia" w:ascii="宋体" w:hAnsi="宋体" w:cs="宋体"/>
                <w:kern w:val="0"/>
                <w:sz w:val="22"/>
              </w:rPr>
            </w:pP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支持持续记录并备份数据变化，可通过指定恢复的时间点进行数据恢复。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584" w:type="pct"/>
            <w:noWrap w:val="0"/>
            <w:vAlign w:val="center"/>
          </w:tcPr>
          <w:p>
            <w:pPr>
              <w:widowControl/>
              <w:jc w:val="left"/>
              <w:rPr>
                <w:rFonts w:hint="eastAsia" w:ascii="宋体" w:hAnsi="宋体" w:cs="宋体"/>
                <w:kern w:val="0"/>
                <w:sz w:val="22"/>
              </w:rPr>
            </w:pPr>
            <w:r>
              <w:rPr>
                <w:rFonts w:hint="eastAsia" w:ascii="宋体" w:hAnsi="宋体" w:cs="宋体"/>
                <w:kern w:val="0"/>
                <w:sz w:val="22"/>
              </w:rPr>
              <w:t>授权要求</w:t>
            </w:r>
          </w:p>
        </w:tc>
        <w:tc>
          <w:tcPr>
            <w:tcW w:w="4415" w:type="pct"/>
            <w:noWrap w:val="0"/>
            <w:vAlign w:val="center"/>
          </w:tcPr>
          <w:p>
            <w:pPr>
              <w:widowControl/>
              <w:jc w:val="left"/>
              <w:rPr>
                <w:rFonts w:hint="eastAsia" w:ascii="宋体" w:hAnsi="宋体" w:cs="宋体"/>
                <w:kern w:val="0"/>
                <w:sz w:val="22"/>
              </w:rPr>
            </w:pPr>
            <w:r>
              <w:rPr>
                <w:rFonts w:hint="eastAsia" w:ascii="宋体" w:hAnsi="宋体" w:cs="宋体"/>
                <w:kern w:val="0"/>
                <w:sz w:val="22"/>
              </w:rPr>
              <w:t>须提供原厂商针对本项目的授权函及售后服务承诺函。</w:t>
            </w:r>
          </w:p>
        </w:tc>
      </w:tr>
    </w:tbl>
    <w:p>
      <w:pPr>
        <w:pStyle w:val="13"/>
        <w:ind w:firstLine="440" w:firstLineChars="200"/>
        <w:rPr>
          <w:rFonts w:hint="eastAsia" w:ascii="仿宋" w:hAnsi="仿宋" w:cs="仿宋"/>
        </w:rPr>
      </w:pPr>
      <w:r>
        <w:rPr>
          <w:rFonts w:hint="eastAsia" w:ascii="宋体" w:hAnsi="宋体" w:cs="宋体"/>
          <w:color w:val="000000"/>
          <w:sz w:val="22"/>
        </w:rPr>
        <w:t>备注：★为必须满足的技术参数，如不满足投标无效。</w:t>
      </w:r>
    </w:p>
    <w:p>
      <w:pPr>
        <w:rPr>
          <w:rFonts w:hint="eastAsia" w:ascii="宋体" w:hAnsi="宋体" w:cs="宋体"/>
          <w:b/>
          <w:szCs w:val="21"/>
        </w:rPr>
      </w:pPr>
    </w:p>
    <w:p/>
    <w:p>
      <w:pPr>
        <w:tabs>
          <w:tab w:val="left" w:pos="426"/>
        </w:tabs>
        <w:spacing w:line="360" w:lineRule="auto"/>
        <w:outlineLvl w:val="2"/>
        <w:rPr>
          <w:rFonts w:ascii="宋体" w:hAnsi="宋体" w:cs="宋体"/>
          <w:b/>
          <w:bCs/>
          <w:szCs w:val="28"/>
        </w:rPr>
      </w:pPr>
      <w:r>
        <w:rPr>
          <w:rFonts w:hint="eastAsia" w:ascii="宋体" w:hAnsi="宋体" w:cs="宋体"/>
          <w:b/>
          <w:bCs/>
          <w:sz w:val="28"/>
          <w:szCs w:val="28"/>
        </w:rPr>
        <w:t>(三)其他技术要求</w:t>
      </w:r>
    </w:p>
    <w:p>
      <w:pPr>
        <w:pStyle w:val="3"/>
        <w:spacing w:line="276" w:lineRule="auto"/>
        <w:ind w:firstLine="480" w:firstLineChars="200"/>
        <w:rPr>
          <w:rFonts w:hint="eastAsia" w:ascii="宋体" w:hAnsi="宋体" w:cs="宋体"/>
          <w:sz w:val="24"/>
        </w:rPr>
      </w:pPr>
      <w:r>
        <w:rPr>
          <w:rFonts w:hint="eastAsia" w:ascii="宋体" w:hAnsi="宋体" w:cs="宋体"/>
          <w:sz w:val="24"/>
        </w:rPr>
        <w:t>1、以上软硬件，除了弱电布线部分，其他全部需要厂商的原厂工程师现场安装实施。</w:t>
      </w:r>
    </w:p>
    <w:p>
      <w:pPr>
        <w:pStyle w:val="3"/>
        <w:spacing w:line="276" w:lineRule="auto"/>
        <w:ind w:firstLine="480" w:firstLineChars="200"/>
        <w:rPr>
          <w:rFonts w:hint="eastAsia" w:ascii="宋体" w:hAnsi="宋体" w:cs="宋体"/>
          <w:sz w:val="24"/>
        </w:rPr>
      </w:pPr>
      <w:r>
        <w:rPr>
          <w:rFonts w:hint="eastAsia" w:ascii="宋体" w:hAnsi="宋体" w:cs="宋体"/>
          <w:sz w:val="24"/>
        </w:rPr>
        <w:t>2、本项目使用的所有线缆的防火等级均要求达到低烟无卤阻燃等级，所有室内敷设的线槽/管必须为金属材质。</w:t>
      </w:r>
    </w:p>
    <w:p>
      <w:pPr>
        <w:pStyle w:val="3"/>
        <w:spacing w:line="276" w:lineRule="auto"/>
        <w:ind w:firstLine="480" w:firstLineChars="200"/>
        <w:rPr>
          <w:rFonts w:hint="eastAsia" w:ascii="宋体" w:hAnsi="宋体" w:cs="宋体"/>
          <w:sz w:val="24"/>
        </w:rPr>
      </w:pPr>
      <w:r>
        <w:rPr>
          <w:rFonts w:hint="eastAsia" w:ascii="宋体" w:hAnsi="宋体" w:cs="宋体"/>
          <w:sz w:val="24"/>
        </w:rPr>
        <w:t>3、各系统的部件和材料应符合制造商提供的规格书给定值的电压、电流、温度、应力或任何其他条件。所有设备均应具有短路保护，包括电源内部的保护。当由于电源系统切换、线路故 障或地电位升高引起电压幅度和相位变化时，设备不致受到损坏且保持正常性能。</w:t>
      </w:r>
    </w:p>
    <w:p>
      <w:pPr>
        <w:pStyle w:val="3"/>
        <w:spacing w:line="276" w:lineRule="auto"/>
        <w:ind w:firstLine="480" w:firstLineChars="200"/>
        <w:rPr>
          <w:rFonts w:hint="eastAsia" w:ascii="宋体" w:hAnsi="宋体" w:cs="宋体"/>
          <w:sz w:val="24"/>
        </w:rPr>
      </w:pPr>
      <w:r>
        <w:rPr>
          <w:rFonts w:hint="eastAsia" w:ascii="宋体" w:hAnsi="宋体" w:cs="宋体"/>
          <w:sz w:val="24"/>
        </w:rPr>
        <w:t>4、所有电缆应接至端子排。所有端子排、电缆、接线及设备应采用业主认可的标签标识，标签采用永久性不沾水、不退色标签。</w:t>
      </w:r>
    </w:p>
    <w:p>
      <w:pPr>
        <w:pStyle w:val="3"/>
        <w:shd w:val="clear" w:color="auto" w:fill="FFFFFF"/>
        <w:spacing w:line="276" w:lineRule="auto"/>
        <w:ind w:firstLine="480" w:firstLineChars="200"/>
        <w:jc w:val="left"/>
        <w:rPr>
          <w:rFonts w:hint="eastAsia" w:ascii="宋体" w:hAnsi="宋体" w:cs="宋体"/>
          <w:sz w:val="24"/>
        </w:rPr>
      </w:pPr>
      <w:r>
        <w:rPr>
          <w:rFonts w:hint="eastAsia" w:ascii="宋体" w:hAnsi="宋体" w:cs="宋体"/>
          <w:sz w:val="24"/>
        </w:rPr>
        <w:t>5、本项目采用总价包干的形式，投标人根据招标人提供的需求内容进行投标报价，以汇总价格作为总包价格。投标人所填写的总包价格在合同实施期间不因任何客观条件变化而变动，投标人在计算报价时应考虑其风险系数。总包价格包括投标人中标后为完成合同范围及时间的全部需支付的一切费用（和拟获得的利润，并考虑应承担的一切风险。如报价中漏报、少报的费用，视为此项费用已隐含在报价中，中标后不得再向招标人收取任何费用。项目实施期间，如原材料、人工等市场价格发生变化的，货物的价格不得进行调整。</w:t>
      </w:r>
    </w:p>
    <w:p>
      <w:pPr>
        <w:pStyle w:val="3"/>
        <w:spacing w:line="276" w:lineRule="auto"/>
        <w:ind w:firstLine="480" w:firstLineChars="200"/>
        <w:rPr>
          <w:rFonts w:hint="eastAsia" w:ascii="宋体" w:hAnsi="宋体" w:cs="宋体"/>
          <w:sz w:val="24"/>
        </w:rPr>
      </w:pPr>
      <w:r>
        <w:rPr>
          <w:rFonts w:hint="eastAsia" w:ascii="宋体" w:hAnsi="宋体" w:cs="宋体"/>
          <w:sz w:val="24"/>
        </w:rPr>
        <w:t>6、本招标技术需求文件提出的是最低限度的技术要求和指标，投标人应参考此基准，按文件的要求进行详细的系统设备配置。所选用、配置的系统设备参数不得低于本技术文件提出的技术要求。</w:t>
      </w:r>
    </w:p>
    <w:p>
      <w:pPr>
        <w:rPr>
          <w:rFonts w:hint="eastAsia"/>
        </w:rPr>
      </w:pPr>
    </w:p>
    <w:p>
      <w:pPr>
        <w:tabs>
          <w:tab w:val="left" w:pos="426"/>
        </w:tabs>
        <w:spacing w:line="360" w:lineRule="auto"/>
        <w:outlineLvl w:val="2"/>
        <w:rPr>
          <w:rFonts w:hint="eastAsia" w:ascii="宋体" w:hAnsi="宋体" w:cs="宋体"/>
          <w:b/>
          <w:bCs/>
          <w:sz w:val="28"/>
          <w:szCs w:val="28"/>
        </w:rPr>
      </w:pPr>
      <w:r>
        <w:rPr>
          <w:rFonts w:hint="eastAsia" w:ascii="宋体" w:hAnsi="宋体" w:cs="宋体"/>
          <w:b/>
          <w:bCs/>
          <w:sz w:val="28"/>
          <w:szCs w:val="28"/>
        </w:rPr>
        <w:t>(四)项目需要遵循的技术规范：</w:t>
      </w:r>
    </w:p>
    <w:p>
      <w:pPr>
        <w:pStyle w:val="3"/>
        <w:autoSpaceDE w:val="0"/>
        <w:autoSpaceDN w:val="0"/>
        <w:spacing w:line="360" w:lineRule="auto"/>
        <w:ind w:firstLine="480" w:firstLineChars="200"/>
        <w:rPr>
          <w:sz w:val="24"/>
        </w:rPr>
      </w:pPr>
      <w:r>
        <w:rPr>
          <w:rFonts w:hint="eastAsia"/>
          <w:sz w:val="24"/>
        </w:rPr>
        <w:t>1.《民用建筑设计统一标准规范》（</w:t>
      </w:r>
      <w:r>
        <w:rPr>
          <w:sz w:val="24"/>
        </w:rPr>
        <w:t>GB</w:t>
      </w:r>
      <w:r>
        <w:rPr>
          <w:rFonts w:hint="eastAsia"/>
          <w:sz w:val="24"/>
        </w:rPr>
        <w:t>50352</w:t>
      </w:r>
      <w:r>
        <w:rPr>
          <w:sz w:val="24"/>
        </w:rPr>
        <w:t>-</w:t>
      </w:r>
      <w:r>
        <w:rPr>
          <w:rFonts w:hint="eastAsia"/>
          <w:sz w:val="24"/>
        </w:rPr>
        <w:t>2019）</w:t>
      </w:r>
    </w:p>
    <w:p>
      <w:pPr>
        <w:pStyle w:val="3"/>
        <w:autoSpaceDE w:val="0"/>
        <w:autoSpaceDN w:val="0"/>
        <w:spacing w:line="360" w:lineRule="auto"/>
        <w:ind w:firstLine="480" w:firstLineChars="200"/>
        <w:rPr>
          <w:sz w:val="24"/>
        </w:rPr>
      </w:pPr>
      <w:r>
        <w:rPr>
          <w:rFonts w:hint="eastAsia"/>
          <w:sz w:val="24"/>
        </w:rPr>
        <w:t>2.《数据中心设计规范》（GB50174-2017）</w:t>
      </w:r>
    </w:p>
    <w:p>
      <w:pPr>
        <w:pStyle w:val="3"/>
        <w:autoSpaceDE w:val="0"/>
        <w:autoSpaceDN w:val="0"/>
        <w:spacing w:line="360" w:lineRule="auto"/>
        <w:ind w:firstLine="480" w:firstLineChars="200"/>
        <w:rPr>
          <w:sz w:val="24"/>
        </w:rPr>
      </w:pPr>
      <w:r>
        <w:rPr>
          <w:rFonts w:hint="eastAsia"/>
          <w:sz w:val="24"/>
        </w:rPr>
        <w:t>3.《公共建筑节能设计标准》（GB50189-2015）</w:t>
      </w:r>
    </w:p>
    <w:p>
      <w:pPr>
        <w:pStyle w:val="3"/>
        <w:autoSpaceDE w:val="0"/>
        <w:autoSpaceDN w:val="0"/>
        <w:spacing w:line="360" w:lineRule="auto"/>
        <w:ind w:firstLine="480" w:firstLineChars="200"/>
        <w:rPr>
          <w:sz w:val="24"/>
        </w:rPr>
      </w:pPr>
      <w:r>
        <w:rPr>
          <w:rFonts w:hint="eastAsia"/>
          <w:sz w:val="24"/>
        </w:rPr>
        <w:t>4.《建筑设计防火规范》（</w:t>
      </w:r>
      <w:r>
        <w:rPr>
          <w:sz w:val="24"/>
        </w:rPr>
        <w:t>GB</w:t>
      </w:r>
      <w:r>
        <w:rPr>
          <w:rFonts w:hint="eastAsia"/>
          <w:sz w:val="24"/>
        </w:rPr>
        <w:t>50016-2014）（2018年版）</w:t>
      </w:r>
    </w:p>
    <w:p>
      <w:pPr>
        <w:pStyle w:val="3"/>
        <w:autoSpaceDE w:val="0"/>
        <w:autoSpaceDN w:val="0"/>
        <w:spacing w:line="360" w:lineRule="auto"/>
        <w:ind w:firstLine="480" w:firstLineChars="200"/>
        <w:rPr>
          <w:sz w:val="24"/>
        </w:rPr>
      </w:pPr>
      <w:r>
        <w:rPr>
          <w:rFonts w:hint="eastAsia"/>
          <w:sz w:val="24"/>
        </w:rPr>
        <w:t>5.《建筑内部装修设计防火规范》（</w:t>
      </w:r>
      <w:r>
        <w:rPr>
          <w:sz w:val="24"/>
        </w:rPr>
        <w:t>GB</w:t>
      </w:r>
      <w:r>
        <w:rPr>
          <w:rFonts w:hint="eastAsia"/>
          <w:sz w:val="24"/>
        </w:rPr>
        <w:t>50222</w:t>
      </w:r>
      <w:r>
        <w:rPr>
          <w:sz w:val="24"/>
        </w:rPr>
        <w:t>-</w:t>
      </w:r>
      <w:r>
        <w:rPr>
          <w:rFonts w:hint="eastAsia"/>
          <w:sz w:val="24"/>
        </w:rPr>
        <w:t>2017）</w:t>
      </w:r>
    </w:p>
    <w:p>
      <w:pPr>
        <w:pStyle w:val="3"/>
        <w:autoSpaceDE w:val="0"/>
        <w:autoSpaceDN w:val="0"/>
        <w:spacing w:line="360" w:lineRule="auto"/>
        <w:ind w:firstLine="480" w:firstLineChars="200"/>
        <w:rPr>
          <w:sz w:val="24"/>
        </w:rPr>
      </w:pPr>
      <w:r>
        <w:rPr>
          <w:rFonts w:hint="eastAsia"/>
          <w:sz w:val="24"/>
        </w:rPr>
        <w:t>6.《建筑工程建筑面积计算规范》（GB/T50353-2013）</w:t>
      </w:r>
    </w:p>
    <w:p>
      <w:pPr>
        <w:pStyle w:val="3"/>
        <w:autoSpaceDE w:val="0"/>
        <w:autoSpaceDN w:val="0"/>
        <w:spacing w:line="360" w:lineRule="auto"/>
        <w:ind w:firstLine="480" w:firstLineChars="200"/>
        <w:rPr>
          <w:sz w:val="24"/>
        </w:rPr>
      </w:pPr>
      <w:r>
        <w:rPr>
          <w:rFonts w:hint="eastAsia"/>
          <w:sz w:val="24"/>
        </w:rPr>
        <w:t>7.《计算机场地安全要求》（</w:t>
      </w:r>
      <w:r>
        <w:rPr>
          <w:sz w:val="24"/>
        </w:rPr>
        <w:t>GB/T 9361-2011</w:t>
      </w:r>
      <w:r>
        <w:rPr>
          <w:rFonts w:hint="eastAsia"/>
          <w:sz w:val="24"/>
        </w:rPr>
        <w:t>）</w:t>
      </w:r>
    </w:p>
    <w:p>
      <w:pPr>
        <w:pStyle w:val="3"/>
        <w:autoSpaceDE w:val="0"/>
        <w:autoSpaceDN w:val="0"/>
        <w:spacing w:line="360" w:lineRule="auto"/>
        <w:ind w:firstLine="480" w:firstLineChars="200"/>
        <w:rPr>
          <w:sz w:val="24"/>
        </w:rPr>
      </w:pPr>
      <w:r>
        <w:rPr>
          <w:rFonts w:hint="eastAsia"/>
          <w:sz w:val="24"/>
        </w:rPr>
        <w:t>8.《计算机场地通用规范》（</w:t>
      </w:r>
      <w:r>
        <w:rPr>
          <w:sz w:val="24"/>
        </w:rPr>
        <w:t>GB/T 2887-20</w:t>
      </w:r>
      <w:r>
        <w:rPr>
          <w:rFonts w:hint="eastAsia"/>
          <w:sz w:val="24"/>
        </w:rPr>
        <w:t>11）</w:t>
      </w:r>
    </w:p>
    <w:p>
      <w:pPr>
        <w:pStyle w:val="3"/>
        <w:autoSpaceDE w:val="0"/>
        <w:autoSpaceDN w:val="0"/>
        <w:spacing w:line="360" w:lineRule="auto"/>
        <w:ind w:firstLine="480" w:firstLineChars="200"/>
        <w:rPr>
          <w:sz w:val="24"/>
        </w:rPr>
      </w:pPr>
      <w:r>
        <w:rPr>
          <w:rFonts w:hint="eastAsia"/>
          <w:sz w:val="24"/>
        </w:rPr>
        <w:t>9.《数据中心基础设施施工及验收规范》（GB 50462-2015）</w:t>
      </w:r>
    </w:p>
    <w:p>
      <w:pPr>
        <w:pStyle w:val="3"/>
        <w:autoSpaceDE w:val="0"/>
        <w:autoSpaceDN w:val="0"/>
        <w:spacing w:line="360" w:lineRule="auto"/>
        <w:ind w:firstLine="480" w:firstLineChars="200"/>
        <w:rPr>
          <w:sz w:val="24"/>
        </w:rPr>
      </w:pPr>
      <w:r>
        <w:rPr>
          <w:rFonts w:hint="eastAsia"/>
          <w:sz w:val="24"/>
        </w:rPr>
        <w:t>10.《低压配电设计规范》（GB50054-2011）</w:t>
      </w:r>
    </w:p>
    <w:p>
      <w:pPr>
        <w:pStyle w:val="3"/>
        <w:autoSpaceDE w:val="0"/>
        <w:autoSpaceDN w:val="0"/>
        <w:spacing w:line="360" w:lineRule="auto"/>
        <w:ind w:firstLine="480" w:firstLineChars="200"/>
        <w:rPr>
          <w:sz w:val="24"/>
        </w:rPr>
      </w:pPr>
      <w:r>
        <w:rPr>
          <w:rFonts w:hint="eastAsia"/>
          <w:sz w:val="24"/>
        </w:rPr>
        <w:t>11.《供配电系统设计规范》（</w:t>
      </w:r>
      <w:r>
        <w:rPr>
          <w:sz w:val="24"/>
        </w:rPr>
        <w:t>GB 50052-2009</w:t>
      </w:r>
      <w:r>
        <w:rPr>
          <w:rFonts w:hint="eastAsia"/>
          <w:sz w:val="24"/>
        </w:rPr>
        <w:t>）</w:t>
      </w:r>
    </w:p>
    <w:p>
      <w:pPr>
        <w:pStyle w:val="3"/>
        <w:autoSpaceDE w:val="0"/>
        <w:autoSpaceDN w:val="0"/>
        <w:spacing w:line="360" w:lineRule="auto"/>
        <w:ind w:firstLine="480" w:firstLineChars="200"/>
        <w:rPr>
          <w:sz w:val="24"/>
        </w:rPr>
      </w:pPr>
      <w:r>
        <w:rPr>
          <w:rFonts w:hint="eastAsia"/>
          <w:sz w:val="24"/>
        </w:rPr>
        <w:t>12.《建筑电气工程施工质量验收规范》（</w:t>
      </w:r>
      <w:r>
        <w:rPr>
          <w:sz w:val="24"/>
        </w:rPr>
        <w:t>GB50303-20</w:t>
      </w:r>
      <w:r>
        <w:rPr>
          <w:rFonts w:hint="eastAsia"/>
          <w:sz w:val="24"/>
        </w:rPr>
        <w:t>15）</w:t>
      </w:r>
    </w:p>
    <w:p>
      <w:pPr>
        <w:pStyle w:val="3"/>
        <w:autoSpaceDE w:val="0"/>
        <w:autoSpaceDN w:val="0"/>
        <w:spacing w:line="360" w:lineRule="auto"/>
        <w:ind w:firstLine="480" w:firstLineChars="200"/>
        <w:rPr>
          <w:sz w:val="24"/>
        </w:rPr>
      </w:pPr>
      <w:r>
        <w:rPr>
          <w:rFonts w:hint="eastAsia"/>
          <w:sz w:val="24"/>
        </w:rPr>
        <w:t>13.《建筑物电子信息系统防雷技术规范》（</w:t>
      </w:r>
      <w:r>
        <w:rPr>
          <w:sz w:val="24"/>
        </w:rPr>
        <w:t>GB50343-2012</w:t>
      </w:r>
      <w:r>
        <w:rPr>
          <w:rFonts w:hint="eastAsia"/>
          <w:sz w:val="24"/>
        </w:rPr>
        <w:t>）</w:t>
      </w:r>
    </w:p>
    <w:p>
      <w:pPr>
        <w:pStyle w:val="3"/>
        <w:autoSpaceDE w:val="0"/>
        <w:autoSpaceDN w:val="0"/>
        <w:spacing w:line="360" w:lineRule="auto"/>
        <w:ind w:firstLine="480" w:firstLineChars="200"/>
        <w:rPr>
          <w:sz w:val="24"/>
        </w:rPr>
      </w:pPr>
      <w:r>
        <w:rPr>
          <w:rFonts w:hint="eastAsia"/>
          <w:sz w:val="24"/>
        </w:rPr>
        <w:t>14.《建筑照明设计标准》（</w:t>
      </w:r>
      <w:r>
        <w:rPr>
          <w:sz w:val="24"/>
        </w:rPr>
        <w:t>GB50034-2013</w:t>
      </w:r>
      <w:r>
        <w:rPr>
          <w:rFonts w:hint="eastAsia"/>
          <w:sz w:val="24"/>
        </w:rPr>
        <w:t>）</w:t>
      </w:r>
    </w:p>
    <w:p>
      <w:pPr>
        <w:pStyle w:val="3"/>
        <w:autoSpaceDE w:val="0"/>
        <w:autoSpaceDN w:val="0"/>
        <w:spacing w:line="360" w:lineRule="auto"/>
        <w:ind w:firstLine="480" w:firstLineChars="200"/>
        <w:rPr>
          <w:sz w:val="24"/>
        </w:rPr>
      </w:pPr>
      <w:r>
        <w:rPr>
          <w:rFonts w:hint="eastAsia"/>
          <w:sz w:val="24"/>
        </w:rPr>
        <w:t>15.《民用建筑供暖通风与空气调节设计规范》</w:t>
      </w:r>
      <w:r>
        <w:rPr>
          <w:sz w:val="24"/>
        </w:rPr>
        <w:t xml:space="preserve"> </w:t>
      </w:r>
      <w:r>
        <w:rPr>
          <w:rFonts w:hint="eastAsia"/>
          <w:sz w:val="24"/>
        </w:rPr>
        <w:t>（</w:t>
      </w:r>
      <w:r>
        <w:rPr>
          <w:sz w:val="24"/>
        </w:rPr>
        <w:t>GB 50736</w:t>
      </w:r>
      <w:r>
        <w:rPr>
          <w:rFonts w:hint="eastAsia"/>
          <w:sz w:val="24"/>
        </w:rPr>
        <w:t>-</w:t>
      </w:r>
      <w:r>
        <w:rPr>
          <w:sz w:val="24"/>
        </w:rPr>
        <w:t>2012</w:t>
      </w:r>
      <w:r>
        <w:rPr>
          <w:rFonts w:hint="eastAsia"/>
          <w:sz w:val="24"/>
        </w:rPr>
        <w:t>）</w:t>
      </w:r>
    </w:p>
    <w:p>
      <w:pPr>
        <w:pStyle w:val="3"/>
        <w:autoSpaceDE w:val="0"/>
        <w:autoSpaceDN w:val="0"/>
        <w:spacing w:line="360" w:lineRule="auto"/>
        <w:ind w:firstLine="480" w:firstLineChars="200"/>
        <w:rPr>
          <w:sz w:val="24"/>
        </w:rPr>
      </w:pPr>
      <w:r>
        <w:rPr>
          <w:rFonts w:hint="eastAsia"/>
          <w:sz w:val="24"/>
        </w:rPr>
        <w:t>16.《通风与空调工程施工质量验收规范》（</w:t>
      </w:r>
      <w:r>
        <w:rPr>
          <w:sz w:val="24"/>
        </w:rPr>
        <w:t>GB50243-20</w:t>
      </w:r>
      <w:r>
        <w:rPr>
          <w:rFonts w:hint="eastAsia"/>
          <w:sz w:val="24"/>
        </w:rPr>
        <w:t>16）</w:t>
      </w:r>
    </w:p>
    <w:p>
      <w:pPr>
        <w:pStyle w:val="3"/>
        <w:autoSpaceDE w:val="0"/>
        <w:autoSpaceDN w:val="0"/>
        <w:spacing w:line="360" w:lineRule="auto"/>
        <w:ind w:firstLine="480" w:firstLineChars="200"/>
        <w:rPr>
          <w:sz w:val="24"/>
        </w:rPr>
      </w:pPr>
      <w:r>
        <w:rPr>
          <w:rFonts w:hint="eastAsia"/>
          <w:sz w:val="24"/>
        </w:rPr>
        <w:t>17.《智能建筑设计标准》（</w:t>
      </w:r>
      <w:r>
        <w:rPr>
          <w:sz w:val="24"/>
        </w:rPr>
        <w:t>GB50314-20</w:t>
      </w:r>
      <w:r>
        <w:rPr>
          <w:rFonts w:hint="eastAsia"/>
          <w:sz w:val="24"/>
        </w:rPr>
        <w:t>15）</w:t>
      </w:r>
    </w:p>
    <w:p>
      <w:pPr>
        <w:pStyle w:val="3"/>
        <w:autoSpaceDE w:val="0"/>
        <w:autoSpaceDN w:val="0"/>
        <w:spacing w:line="360" w:lineRule="auto"/>
        <w:ind w:firstLine="480" w:firstLineChars="200"/>
        <w:rPr>
          <w:sz w:val="24"/>
        </w:rPr>
      </w:pPr>
      <w:r>
        <w:rPr>
          <w:rFonts w:hint="eastAsia"/>
          <w:sz w:val="24"/>
        </w:rPr>
        <w:t>18.《综合布线工程设计规范》（</w:t>
      </w:r>
      <w:r>
        <w:rPr>
          <w:sz w:val="24"/>
        </w:rPr>
        <w:t>GB50311-20</w:t>
      </w:r>
      <w:r>
        <w:rPr>
          <w:rFonts w:hint="eastAsia"/>
          <w:sz w:val="24"/>
        </w:rPr>
        <w:t>16）</w:t>
      </w:r>
    </w:p>
    <w:p>
      <w:pPr>
        <w:pStyle w:val="3"/>
        <w:autoSpaceDE w:val="0"/>
        <w:autoSpaceDN w:val="0"/>
        <w:spacing w:line="360" w:lineRule="auto"/>
        <w:ind w:firstLine="480" w:firstLineChars="200"/>
        <w:rPr>
          <w:sz w:val="24"/>
        </w:rPr>
      </w:pPr>
      <w:r>
        <w:rPr>
          <w:rFonts w:hint="eastAsia"/>
          <w:sz w:val="24"/>
        </w:rPr>
        <w:t>19.《安全防范工程技术规范》</w:t>
      </w:r>
      <w:r>
        <w:rPr>
          <w:sz w:val="24"/>
        </w:rPr>
        <w:t xml:space="preserve"> </w:t>
      </w:r>
      <w:r>
        <w:rPr>
          <w:rFonts w:hint="eastAsia"/>
          <w:sz w:val="24"/>
        </w:rPr>
        <w:t>（</w:t>
      </w:r>
      <w:r>
        <w:rPr>
          <w:sz w:val="24"/>
        </w:rPr>
        <w:t>GB50348-20</w:t>
      </w:r>
      <w:r>
        <w:rPr>
          <w:rFonts w:hint="eastAsia"/>
          <w:sz w:val="24"/>
        </w:rPr>
        <w:t>18）</w:t>
      </w:r>
    </w:p>
    <w:p>
      <w:pPr>
        <w:pStyle w:val="3"/>
        <w:autoSpaceDE w:val="0"/>
        <w:autoSpaceDN w:val="0"/>
        <w:spacing w:line="360" w:lineRule="auto"/>
        <w:ind w:firstLine="480" w:firstLineChars="200"/>
        <w:rPr>
          <w:sz w:val="24"/>
        </w:rPr>
      </w:pPr>
      <w:r>
        <w:rPr>
          <w:rFonts w:hint="eastAsia"/>
          <w:sz w:val="24"/>
        </w:rPr>
        <w:t>20.《出入口控制系统工程设计规范》（</w:t>
      </w:r>
      <w:r>
        <w:rPr>
          <w:sz w:val="24"/>
        </w:rPr>
        <w:t>GB50396-2007</w:t>
      </w:r>
      <w:r>
        <w:rPr>
          <w:rFonts w:hint="eastAsia"/>
          <w:sz w:val="24"/>
        </w:rPr>
        <w:t>）</w:t>
      </w:r>
    </w:p>
    <w:p>
      <w:pPr>
        <w:pStyle w:val="3"/>
        <w:autoSpaceDE w:val="0"/>
        <w:autoSpaceDN w:val="0"/>
        <w:spacing w:line="360" w:lineRule="auto"/>
        <w:ind w:firstLine="480" w:firstLineChars="200"/>
        <w:rPr>
          <w:sz w:val="24"/>
        </w:rPr>
      </w:pPr>
      <w:r>
        <w:rPr>
          <w:rFonts w:hint="eastAsia"/>
          <w:sz w:val="24"/>
        </w:rPr>
        <w:t>21.《气体灭火系统设计规范》（</w:t>
      </w:r>
      <w:r>
        <w:rPr>
          <w:sz w:val="24"/>
        </w:rPr>
        <w:t>GB 50370-2005</w:t>
      </w:r>
      <w:r>
        <w:rPr>
          <w:rFonts w:hint="eastAsia"/>
          <w:sz w:val="24"/>
        </w:rPr>
        <w:t>）</w:t>
      </w:r>
    </w:p>
    <w:bookmarkEnd w:id="34"/>
    <w:bookmarkEnd w:id="35"/>
    <w:p>
      <w:pPr>
        <w:pStyle w:val="64"/>
        <w:spacing w:before="312" w:beforeLines="100" w:line="360" w:lineRule="auto"/>
        <w:ind w:firstLine="0" w:firstLineChars="0"/>
        <w:outlineLvl w:val="1"/>
        <w:rPr>
          <w:rFonts w:hint="eastAsia" w:ascii="微软雅黑" w:hAnsi="微软雅黑" w:eastAsia="微软雅黑" w:cs="微软雅黑"/>
          <w:b/>
          <w:sz w:val="28"/>
          <w:szCs w:val="28"/>
        </w:rPr>
      </w:pPr>
      <w:r>
        <w:rPr>
          <w:rFonts w:hint="eastAsia" w:ascii="微软雅黑" w:hAnsi="微软雅黑" w:eastAsia="微软雅黑" w:cs="微软雅黑"/>
          <w:b/>
          <w:sz w:val="28"/>
          <w:szCs w:val="28"/>
        </w:rPr>
        <w:t>四、商务要求</w:t>
      </w:r>
    </w:p>
    <w:p>
      <w:pPr>
        <w:wordWrap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b/>
          <w:bCs/>
          <w:sz w:val="24"/>
          <w:szCs w:val="24"/>
        </w:rPr>
        <w:t>(一)付款方式：</w:t>
      </w:r>
      <w:r>
        <w:rPr>
          <w:rFonts w:hint="eastAsia" w:ascii="宋体" w:hAnsi="宋体" w:cs="仿宋_GB2312"/>
          <w:sz w:val="24"/>
        </w:rPr>
        <w:t>合同完成签订，乙方提供等值增值税专用发票后的十个工作日内，甲方向乙方支付合同总价的百分之三十为预付款。同时乙方在收到百分之三十的预付款后，应于十个工作日内，向甲方支付合同总价的百分之五作为履约保证金；上述支付完成且项目完成终验，乙方提供等值增值税专用发票后的十个工作日内，甲方向乙方支付合同总价的百分之七十；如无质量问题且乙方无违约情形，则项目终验满一年，甲方向乙方返回履约保证金（无息支付）。</w:t>
      </w:r>
    </w:p>
    <w:p>
      <w:pPr>
        <w:wordWrap w:val="0"/>
        <w:adjustRightInd w:val="0"/>
        <w:snapToGrid w:val="0"/>
        <w:spacing w:line="360" w:lineRule="auto"/>
        <w:ind w:firstLine="480" w:firstLineChars="200"/>
        <w:rPr>
          <w:rFonts w:hint="eastAsia" w:ascii="宋体" w:hAnsi="宋体" w:cs="仿宋_GB2312"/>
          <w:sz w:val="24"/>
        </w:rPr>
      </w:pPr>
      <w:r>
        <w:rPr>
          <w:rFonts w:hint="eastAsia" w:ascii="宋体" w:hAnsi="宋体" w:cs="宋体"/>
          <w:b/>
          <w:bCs/>
          <w:sz w:val="24"/>
          <w:szCs w:val="24"/>
        </w:rPr>
        <w:t>(二)</w:t>
      </w:r>
      <w:r>
        <w:rPr>
          <w:rFonts w:hint="eastAsia" w:ascii="宋体" w:hAnsi="宋体" w:cs="仿宋_GB2312"/>
          <w:b/>
          <w:bCs/>
          <w:sz w:val="24"/>
        </w:rPr>
        <w:t>售后服务：</w:t>
      </w:r>
      <w:r>
        <w:rPr>
          <w:rFonts w:hint="eastAsia" w:ascii="宋体" w:hAnsi="宋体" w:cs="仿宋_GB2312"/>
          <w:sz w:val="24"/>
        </w:rPr>
        <w:t>乙方需针对本项目需求编制规范的专业服务、客户服务等售后服务方案，切实保证本项目的售后服务要求。服务范围包括不限于：项目集成实施、原厂技术咨询、软硬件安装、功能对接、系统优化、故障处理、安全加固和等保测评、必要的技术文档和应急预案、定期恢复演练、备份运维规范和操作指引制定、备份运维体系建设、技术培训、配件更换、升级、400远程电话和邮件等技术支持服务。所有硬件设备、软件均需提供至少原厂保修服务。</w:t>
      </w:r>
      <w:r>
        <w:rPr>
          <w:rFonts w:hint="eastAsia" w:ascii="宋体" w:hAnsi="宋体" w:cs="宋体"/>
          <w:sz w:val="24"/>
        </w:rPr>
        <w:t>对甲方的服务通知，乙方在接报后15分钟内相应，必要时2小时内到达现场提供技术服务，8小时内处理完毕。若在24小时内仍未能有效解决，乙方须免费提供同档次的设备予甲方临时使用。乙方</w:t>
      </w:r>
      <w:r>
        <w:rPr>
          <w:rFonts w:hint="eastAsia" w:ascii="宋体" w:hAnsi="宋体" w:cs="仿宋_GB2312"/>
          <w:sz w:val="24"/>
        </w:rPr>
        <w:t>须及时提交项目验收报告，以及项目图片、视频、文字资料的源文件素材电子版，并对上述资料的真实性、合法性、准确性、完整性负责。</w:t>
      </w:r>
    </w:p>
    <w:p>
      <w:pPr>
        <w:pStyle w:val="3"/>
        <w:spacing w:after="0" w:line="360" w:lineRule="auto"/>
        <w:ind w:firstLine="480" w:firstLineChars="200"/>
        <w:jc w:val="left"/>
        <w:rPr>
          <w:rFonts w:hint="eastAsia" w:ascii="宋体" w:hAnsi="宋体" w:cs="宋体"/>
          <w:sz w:val="24"/>
        </w:rPr>
      </w:pPr>
      <w:r>
        <w:rPr>
          <w:rFonts w:hint="eastAsia" w:ascii="宋体" w:hAnsi="宋体" w:cs="宋体"/>
          <w:b/>
          <w:bCs/>
          <w:sz w:val="24"/>
        </w:rPr>
        <w:t>(三)知识产权要求：</w:t>
      </w:r>
      <w:r>
        <w:rPr>
          <w:rFonts w:hint="eastAsia" w:ascii="宋体" w:hAnsi="宋体" w:cs="宋体"/>
          <w:sz w:val="24"/>
        </w:rPr>
        <w:t>项目的版权归广东南方报业传媒集团有限公司所有。</w:t>
      </w:r>
    </w:p>
    <w:p>
      <w:pPr>
        <w:pStyle w:val="3"/>
        <w:spacing w:after="0" w:line="360" w:lineRule="auto"/>
        <w:ind w:firstLine="480" w:firstLineChars="200"/>
        <w:jc w:val="left"/>
        <w:rPr>
          <w:rFonts w:hint="eastAsia" w:ascii="宋体" w:hAnsi="宋体" w:cs="宋体"/>
          <w:sz w:val="24"/>
        </w:rPr>
      </w:pPr>
      <w:r>
        <w:rPr>
          <w:rFonts w:hint="eastAsia" w:ascii="宋体" w:hAnsi="宋体" w:cs="宋体"/>
          <w:b/>
          <w:bCs/>
          <w:sz w:val="24"/>
        </w:rPr>
        <w:t>(四)其他要求：</w:t>
      </w:r>
      <w:r>
        <w:rPr>
          <w:rFonts w:hint="eastAsia" w:ascii="宋体" w:hAnsi="宋体" w:cs="宋体"/>
          <w:sz w:val="24"/>
        </w:rPr>
        <w:t>如本项目因不可抗力延期或取消，甲、乙方均不承担责任，但双方应承担各自相应已发生的费用。具体费用双方协商解决。</w:t>
      </w:r>
    </w:p>
    <w:p/>
    <w:p>
      <w:pPr>
        <w:pStyle w:val="7"/>
        <w:keepNext w:val="0"/>
        <w:keepLines w:val="0"/>
        <w:pageBreakBefore/>
        <w:spacing w:before="300" w:after="240" w:line="360" w:lineRule="auto"/>
        <w:jc w:val="center"/>
        <w:rPr>
          <w:rFonts w:hint="eastAsia" w:ascii="黑体" w:hAnsi="黑体" w:eastAsia="黑体"/>
          <w:spacing w:val="20"/>
          <w:sz w:val="36"/>
          <w:szCs w:val="36"/>
        </w:rPr>
      </w:pPr>
      <w:bookmarkStart w:id="36" w:name="_Toc11904"/>
      <w:bookmarkStart w:id="37" w:name="_Toc391627749"/>
      <w:bookmarkStart w:id="38" w:name="_Toc21426"/>
      <w:bookmarkStart w:id="39" w:name="_Toc27178"/>
      <w:bookmarkStart w:id="40" w:name="_Toc405313953"/>
      <w:r>
        <w:rPr>
          <w:rFonts w:hint="eastAsia" w:ascii="黑体" w:hAnsi="黑体" w:eastAsia="黑体"/>
          <w:spacing w:val="20"/>
          <w:sz w:val="36"/>
          <w:szCs w:val="36"/>
        </w:rPr>
        <w:t>第三部分</w:t>
      </w:r>
      <w:r>
        <w:rPr>
          <w:rFonts w:ascii="黑体" w:hAnsi="黑体" w:eastAsia="黑体"/>
          <w:spacing w:val="20"/>
          <w:sz w:val="36"/>
          <w:szCs w:val="36"/>
        </w:rPr>
        <w:t xml:space="preserve"> </w:t>
      </w:r>
      <w:r>
        <w:rPr>
          <w:rFonts w:hint="eastAsia" w:ascii="黑体" w:hAnsi="黑体" w:eastAsia="黑体"/>
          <w:spacing w:val="20"/>
          <w:sz w:val="36"/>
          <w:szCs w:val="36"/>
        </w:rPr>
        <w:t>投标须知前附表</w:t>
      </w:r>
      <w:bookmarkEnd w:id="36"/>
      <w:bookmarkEnd w:id="37"/>
      <w:bookmarkEnd w:id="38"/>
      <w:bookmarkEnd w:id="39"/>
      <w:bookmarkEnd w:id="40"/>
    </w:p>
    <w:p>
      <w:pPr>
        <w:tabs>
          <w:tab w:val="left" w:pos="426"/>
        </w:tabs>
        <w:spacing w:after="156" w:afterLines="50" w:line="360" w:lineRule="auto"/>
        <w:ind w:firstLine="480" w:firstLineChars="200"/>
        <w:rPr>
          <w:rFonts w:hint="eastAsia" w:ascii="宋体" w:hAnsi="宋体" w:cs="宋体"/>
          <w:sz w:val="24"/>
          <w:szCs w:val="24"/>
        </w:rPr>
      </w:pPr>
      <w:r>
        <w:rPr>
          <w:rFonts w:hint="eastAsia" w:ascii="宋体" w:hAnsi="宋体" w:cs="宋体"/>
          <w:sz w:val="24"/>
          <w:szCs w:val="24"/>
        </w:rPr>
        <w:t>本表的条款项号是与投标须知条款项号对应的，或增加的条款，是对第四部分《投标须知》的补充、修改和完善，如果有矛盾的话，应以本表为准。</w:t>
      </w:r>
    </w:p>
    <w:tbl>
      <w:tblPr>
        <w:tblStyle w:val="37"/>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224"/>
        <w:gridCol w:w="82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lang w:val="zh-CN"/>
              </w:rPr>
            </w:pPr>
            <w:r>
              <w:rPr>
                <w:rFonts w:hint="eastAsia" w:ascii="黑体" w:hAnsi="黑体" w:eastAsia="黑体"/>
                <w:sz w:val="22"/>
              </w:rPr>
              <w:t>条款项号</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center"/>
              <w:rPr>
                <w:rFonts w:hint="eastAsia" w:ascii="黑体" w:hAnsi="黑体" w:eastAsia="黑体"/>
                <w:spacing w:val="20"/>
                <w:sz w:val="22"/>
              </w:rPr>
            </w:pPr>
            <w:r>
              <w:rPr>
                <w:rFonts w:hint="eastAsia" w:ascii="黑体" w:hAnsi="黑体" w:eastAsia="黑体"/>
                <w:spacing w:val="20"/>
                <w:sz w:val="22"/>
              </w:rPr>
              <w:t>对应或增加的条款内容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sz w:val="22"/>
              </w:rPr>
            </w:pPr>
            <w:r>
              <w:rPr>
                <w:rFonts w:hint="eastAsia" w:ascii="黑体" w:hAnsi="黑体" w:eastAsia="黑体"/>
                <w:sz w:val="22"/>
              </w:rPr>
              <w:t>对第四部分《投标须知》的修改及补充：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hint="eastAsia" w:ascii="黑体" w:hAnsi="黑体" w:eastAsia="黑体"/>
                <w:sz w:val="22"/>
              </w:rPr>
              <w:t>一</w:t>
            </w:r>
            <w:r>
              <w:rPr>
                <w:rFonts w:ascii="黑体" w:hAnsi="黑体" w:eastAsia="黑体"/>
                <w:sz w:val="22"/>
              </w:rPr>
              <w:t xml:space="preserve"> </w:t>
            </w:r>
            <w:r>
              <w:rPr>
                <w:rFonts w:hint="eastAsia" w:ascii="黑体" w:hAnsi="黑体" w:eastAsia="黑体"/>
                <w:sz w:val="22"/>
              </w:rPr>
              <w:t>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left"/>
              <w:rPr>
                <w:rFonts w:hint="eastAsia" w:ascii="黑体" w:hAnsi="黑体" w:eastAsia="黑体"/>
                <w:sz w:val="22"/>
                <w:lang w:val="zh-CN"/>
              </w:rPr>
            </w:pPr>
            <w:r>
              <w:rPr>
                <w:rFonts w:ascii="黑体" w:hAnsi="黑体" w:eastAsia="黑体"/>
                <w:sz w:val="22"/>
                <w:lang w:val="zh-CN"/>
              </w:rPr>
              <w:t>2</w:t>
            </w:r>
            <w:r>
              <w:rPr>
                <w:rFonts w:hint="eastAsia" w:ascii="黑体" w:hAnsi="黑体" w:eastAsia="黑体"/>
                <w:sz w:val="22"/>
                <w:lang w:val="zh-CN"/>
              </w:rPr>
              <w:t>.2</w:t>
            </w:r>
          </w:p>
        </w:tc>
        <w:tc>
          <w:tcPr>
            <w:tcW w:w="4356" w:type="pct"/>
            <w:tcBorders>
              <w:top w:val="single" w:color="auto" w:sz="4" w:space="0"/>
              <w:left w:val="single" w:color="auto" w:sz="6" w:space="0"/>
              <w:bottom w:val="single" w:color="auto" w:sz="4" w:space="0"/>
              <w:right w:val="single" w:color="auto" w:sz="4" w:space="0"/>
            </w:tcBorders>
            <w:noWrap w:val="0"/>
            <w:vAlign w:val="center"/>
          </w:tcPr>
          <w:p>
            <w:pPr>
              <w:spacing w:line="360" w:lineRule="auto"/>
              <w:ind w:right="-183"/>
              <w:rPr>
                <w:rFonts w:hint="eastAsia" w:ascii="黑体" w:hAnsi="黑体" w:eastAsia="黑体"/>
                <w:sz w:val="22"/>
              </w:rPr>
            </w:pPr>
            <w:r>
              <w:rPr>
                <w:rFonts w:hint="eastAsia" w:ascii="黑体" w:hAnsi="黑体" w:eastAsia="黑体"/>
                <w:sz w:val="22"/>
              </w:rPr>
              <w:t>资金来源：企业自筹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.1</w:t>
            </w:r>
          </w:p>
        </w:tc>
        <w:tc>
          <w:tcPr>
            <w:tcW w:w="4356" w:type="pct"/>
            <w:tcBorders>
              <w:top w:val="single" w:color="auto" w:sz="4" w:space="0"/>
              <w:left w:val="single" w:color="auto" w:sz="6" w:space="0"/>
              <w:bottom w:val="single" w:color="auto" w:sz="4" w:space="0"/>
              <w:right w:val="single" w:color="auto" w:sz="4" w:space="0"/>
            </w:tcBorders>
            <w:noWrap w:val="0"/>
            <w:vAlign w:val="center"/>
          </w:tcPr>
          <w:p>
            <w:pPr>
              <w:spacing w:line="360" w:lineRule="auto"/>
              <w:ind w:right="-181"/>
              <w:rPr>
                <w:rFonts w:hint="eastAsia" w:ascii="黑体" w:hAnsi="黑体" w:eastAsia="黑体"/>
                <w:sz w:val="22"/>
              </w:rPr>
            </w:pPr>
            <w:r>
              <w:rPr>
                <w:rFonts w:ascii="黑体" w:hAnsi="黑体" w:eastAsia="黑体"/>
                <w:sz w:val="22"/>
              </w:rPr>
              <w:t>“采购人”是指：</w:t>
            </w:r>
            <w:r>
              <w:rPr>
                <w:rFonts w:hint="eastAsia" w:ascii="黑体" w:hAnsi="黑体" w:eastAsia="黑体"/>
                <w:sz w:val="22"/>
              </w:rPr>
              <w:t>广东南方报业传媒集团有限公司，签约人为南方日报社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.3</w:t>
            </w:r>
          </w:p>
        </w:tc>
        <w:tc>
          <w:tcPr>
            <w:tcW w:w="4356" w:type="pct"/>
            <w:tcBorders>
              <w:top w:val="single" w:color="auto" w:sz="4" w:space="0"/>
              <w:left w:val="single" w:color="auto" w:sz="6" w:space="0"/>
              <w:bottom w:val="single" w:color="auto" w:sz="4" w:space="0"/>
              <w:right w:val="single" w:color="auto" w:sz="4" w:space="0"/>
            </w:tcBorders>
            <w:noWrap w:val="0"/>
            <w:vAlign w:val="center"/>
          </w:tcPr>
          <w:p>
            <w:pPr>
              <w:spacing w:line="360" w:lineRule="auto"/>
              <w:ind w:right="-183"/>
              <w:rPr>
                <w:rFonts w:hint="eastAsia" w:ascii="黑体" w:hAnsi="黑体" w:eastAsia="黑体"/>
                <w:sz w:val="22"/>
              </w:rPr>
            </w:pPr>
            <w:r>
              <w:rPr>
                <w:rFonts w:ascii="黑体" w:hAnsi="黑体" w:eastAsia="黑体"/>
                <w:sz w:val="22"/>
              </w:rPr>
              <w:t>“采购代理机构”是指：</w:t>
            </w:r>
            <w:r>
              <w:rPr>
                <w:rFonts w:hint="eastAsia" w:ascii="黑体" w:hAnsi="黑体" w:eastAsia="黑体"/>
                <w:sz w:val="22"/>
              </w:rPr>
              <w:t>中通服咨询设计研究院有限公司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sz w:val="22"/>
              </w:rPr>
            </w:pPr>
            <w:r>
              <w:rPr>
                <w:rFonts w:hint="eastAsia" w:ascii="黑体" w:hAnsi="黑体" w:eastAsia="黑体"/>
                <w:sz w:val="22"/>
              </w:rPr>
              <w:t>二</w:t>
            </w:r>
            <w:r>
              <w:rPr>
                <w:rFonts w:ascii="黑体" w:hAnsi="黑体" w:eastAsia="黑体"/>
                <w:sz w:val="22"/>
              </w:rPr>
              <w:t xml:space="preserve"> </w:t>
            </w:r>
            <w:r>
              <w:rPr>
                <w:rFonts w:hint="eastAsia" w:ascii="黑体" w:hAnsi="黑体" w:eastAsia="黑体"/>
                <w:sz w:val="22"/>
              </w:rPr>
              <w:t>招标文件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ascii="黑体" w:hAnsi="黑体" w:eastAsia="黑体"/>
                <w:sz w:val="22"/>
              </w:rPr>
              <w:t>8</w:t>
            </w:r>
            <w:r>
              <w:rPr>
                <w:rFonts w:hint="eastAsia" w:ascii="黑体" w:hAnsi="黑体" w:eastAsia="黑体"/>
                <w:sz w:val="22"/>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sz w:val="22"/>
              </w:rPr>
            </w:pPr>
            <w:r>
              <w:rPr>
                <w:rFonts w:hint="eastAsia" w:ascii="黑体" w:hAnsi="黑体" w:eastAsia="黑体"/>
                <w:bCs/>
                <w:sz w:val="22"/>
              </w:rPr>
              <w:t>答疑会或现场考察：本项目不集中举行答疑会或现场考察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z w:val="22"/>
              </w:rPr>
            </w:pPr>
            <w:r>
              <w:rPr>
                <w:rFonts w:hint="eastAsia" w:ascii="黑体" w:hAnsi="黑体" w:eastAsia="黑体"/>
                <w:bCs/>
                <w:sz w:val="22"/>
              </w:rPr>
              <w:t>三</w:t>
            </w:r>
            <w:r>
              <w:rPr>
                <w:rFonts w:ascii="黑体" w:hAnsi="黑体" w:eastAsia="黑体"/>
                <w:bCs/>
                <w:sz w:val="22"/>
              </w:rPr>
              <w:t xml:space="preserve"> </w:t>
            </w:r>
            <w:r>
              <w:rPr>
                <w:rFonts w:hint="eastAsia" w:ascii="黑体" w:hAnsi="黑体" w:eastAsia="黑体"/>
                <w:bCs/>
                <w:sz w:val="22"/>
              </w:rPr>
              <w:t>投标文件的编制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hint="eastAsia" w:ascii="黑体" w:hAnsi="黑体" w:eastAsia="黑体"/>
                <w:sz w:val="22"/>
              </w:rPr>
              <w:t>1</w:t>
            </w:r>
            <w:r>
              <w:rPr>
                <w:rFonts w:ascii="黑体" w:hAnsi="黑体" w:eastAsia="黑体"/>
                <w:sz w:val="22"/>
              </w:rPr>
              <w:t>2.5</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pacing w:val="-4"/>
                <w:sz w:val="22"/>
              </w:rPr>
            </w:pPr>
            <w:r>
              <w:rPr>
                <w:rFonts w:hint="eastAsia" w:ascii="黑体" w:hAnsi="黑体" w:eastAsia="黑体"/>
                <w:bCs/>
                <w:spacing w:val="-4"/>
                <w:sz w:val="22"/>
              </w:rPr>
              <w:t>投标人所报的投标价在合同执行过程中是固定不变的，不得以任何不正当理由予以变更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ascii="黑体" w:hAnsi="黑体" w:eastAsia="黑体"/>
                <w:sz w:val="22"/>
              </w:rPr>
              <w:t>12.6</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z w:val="22"/>
              </w:rPr>
            </w:pPr>
            <w:r>
              <w:rPr>
                <w:rFonts w:hint="eastAsia" w:ascii="黑体" w:hAnsi="黑体" w:eastAsia="黑体"/>
                <w:bCs/>
                <w:spacing w:val="-4"/>
                <w:sz w:val="22"/>
              </w:rPr>
              <w:t>不允许有备选方案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ascii="黑体" w:hAnsi="黑体" w:eastAsia="黑体"/>
                <w:sz w:val="22"/>
              </w:rPr>
              <w:t>12.7</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z w:val="22"/>
              </w:rPr>
            </w:pPr>
            <w:r>
              <w:rPr>
                <w:rFonts w:hint="eastAsia" w:ascii="黑体" w:hAnsi="黑体" w:eastAsia="黑体"/>
                <w:bCs/>
                <w:spacing w:val="-4"/>
                <w:sz w:val="22"/>
              </w:rPr>
              <w:t>不允许附加条件报价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sz w:val="22"/>
              </w:rPr>
            </w:pPr>
            <w:r>
              <w:rPr>
                <w:rFonts w:hint="eastAsia" w:ascii="黑体" w:hAnsi="黑体" w:eastAsia="黑体"/>
                <w:sz w:val="22"/>
              </w:rPr>
              <w:t>14.1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pacing w:val="-4"/>
                <w:sz w:val="22"/>
              </w:rPr>
            </w:pPr>
            <w:r>
              <w:rPr>
                <w:rFonts w:hint="eastAsia" w:ascii="黑体" w:hAnsi="黑体" w:eastAsia="黑体"/>
                <w:bCs/>
                <w:spacing w:val="-4"/>
                <w:sz w:val="22"/>
              </w:rPr>
              <w:t>本项目不接受联合体投标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bCs/>
                <w:spacing w:val="-4"/>
                <w:sz w:val="22"/>
              </w:rPr>
            </w:pPr>
            <w:r>
              <w:rPr>
                <w:rFonts w:ascii="黑体" w:hAnsi="黑体" w:eastAsia="黑体"/>
                <w:bCs/>
                <w:spacing w:val="-4"/>
                <w:sz w:val="22"/>
              </w:rPr>
              <w:t>17</w:t>
            </w:r>
            <w:r>
              <w:rPr>
                <w:rFonts w:hint="eastAsia" w:ascii="黑体" w:hAnsi="黑体" w:eastAsia="黑体"/>
                <w:bCs/>
                <w:spacing w:val="-4"/>
                <w:sz w:val="22"/>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rPr>
                <w:rFonts w:hint="eastAsia" w:ascii="黑体" w:hAnsi="黑体" w:eastAsia="黑体"/>
                <w:bCs/>
                <w:spacing w:val="-4"/>
                <w:sz w:val="22"/>
              </w:rPr>
            </w:pPr>
            <w:r>
              <w:rPr>
                <w:rFonts w:hint="eastAsia" w:ascii="黑体" w:hAnsi="黑体" w:eastAsia="黑体"/>
                <w:bCs/>
                <w:spacing w:val="-4"/>
                <w:sz w:val="22"/>
              </w:rPr>
              <w:t>投标人投标时须递交投标保证金：</w:t>
            </w:r>
          </w:p>
          <w:p>
            <w:pPr>
              <w:spacing w:line="360" w:lineRule="auto"/>
              <w:ind w:right="-183"/>
              <w:rPr>
                <w:rFonts w:hint="eastAsia" w:ascii="黑体" w:hAnsi="黑体" w:eastAsia="黑体"/>
                <w:bCs/>
                <w:spacing w:val="-4"/>
                <w:sz w:val="22"/>
              </w:rPr>
            </w:pPr>
            <w:r>
              <w:rPr>
                <w:rFonts w:hint="eastAsia" w:ascii="黑体" w:hAnsi="黑体" w:eastAsia="黑体"/>
                <w:bCs/>
                <w:spacing w:val="-4"/>
                <w:sz w:val="22"/>
              </w:rPr>
              <w:t>金额：（大写）</w:t>
            </w:r>
            <w:r>
              <w:rPr>
                <w:rFonts w:hint="eastAsia" w:ascii="黑体" w:hAnsi="黑体" w:eastAsia="黑体"/>
                <w:bCs/>
                <w:spacing w:val="-4"/>
                <w:sz w:val="22"/>
                <w:u w:val="single"/>
              </w:rPr>
              <w:t>人民币叁万元整</w:t>
            </w:r>
            <w:r>
              <w:rPr>
                <w:rFonts w:hint="eastAsia" w:ascii="黑体" w:hAnsi="黑体" w:eastAsia="黑体"/>
                <w:bCs/>
                <w:spacing w:val="-4"/>
                <w:sz w:val="22"/>
              </w:rPr>
              <w:t>，（小写）</w:t>
            </w:r>
            <w:r>
              <w:rPr>
                <w:rFonts w:hint="eastAsia" w:ascii="黑体" w:hAnsi="黑体" w:eastAsia="黑体"/>
                <w:bCs/>
                <w:spacing w:val="-4"/>
                <w:sz w:val="22"/>
                <w:u w:val="single"/>
              </w:rPr>
              <w:t>￥30000.00元</w:t>
            </w:r>
          </w:p>
          <w:p>
            <w:pPr>
              <w:spacing w:line="360" w:lineRule="auto"/>
              <w:ind w:right="-183"/>
              <w:rPr>
                <w:rFonts w:hint="eastAsia" w:ascii="黑体" w:hAnsi="黑体" w:eastAsia="黑体"/>
                <w:bCs/>
                <w:spacing w:val="-4"/>
                <w:sz w:val="22"/>
              </w:rPr>
            </w:pPr>
            <w:r>
              <w:rPr>
                <w:rFonts w:ascii="黑体" w:hAnsi="黑体" w:eastAsia="黑体"/>
                <w:bCs/>
                <w:spacing w:val="-4"/>
                <w:sz w:val="22"/>
              </w:rPr>
              <w:t>缴纳截止时间</w:t>
            </w:r>
            <w:r>
              <w:rPr>
                <w:rFonts w:hint="eastAsia" w:ascii="黑体" w:hAnsi="黑体" w:eastAsia="黑体"/>
                <w:bCs/>
                <w:spacing w:val="-4"/>
                <w:sz w:val="22"/>
              </w:rPr>
              <w:t>：同</w:t>
            </w:r>
            <w:r>
              <w:rPr>
                <w:rFonts w:ascii="黑体" w:hAnsi="黑体" w:eastAsia="黑体"/>
                <w:bCs/>
                <w:spacing w:val="-4"/>
                <w:sz w:val="22"/>
              </w:rPr>
              <w:t>本项目</w:t>
            </w:r>
            <w:r>
              <w:rPr>
                <w:rFonts w:hint="eastAsia" w:ascii="黑体" w:hAnsi="黑体" w:eastAsia="黑体"/>
                <w:bCs/>
                <w:spacing w:val="-4"/>
                <w:sz w:val="22"/>
              </w:rPr>
              <w:t>开标</w:t>
            </w:r>
            <w:r>
              <w:rPr>
                <w:rFonts w:ascii="黑体" w:hAnsi="黑体" w:eastAsia="黑体"/>
                <w:bCs/>
                <w:spacing w:val="-4"/>
                <w:sz w:val="22"/>
              </w:rPr>
              <w:t>时间</w:t>
            </w:r>
            <w:r>
              <w:rPr>
                <w:rFonts w:hint="eastAsia" w:ascii="黑体" w:hAnsi="黑体" w:eastAsia="黑体"/>
                <w:bCs/>
                <w:spacing w:val="-4"/>
                <w:sz w:val="22"/>
              </w:rPr>
              <w:t>（见招标公告）</w:t>
            </w:r>
            <w:r>
              <w:rPr>
                <w:rFonts w:ascii="黑体" w:hAnsi="黑体" w:eastAsia="黑体"/>
                <w:bCs/>
                <w:spacing w:val="-4"/>
                <w:sz w:val="22"/>
              </w:rPr>
              <w:t>，以</w:t>
            </w:r>
            <w:r>
              <w:rPr>
                <w:rFonts w:hint="eastAsia" w:ascii="黑体" w:hAnsi="黑体" w:eastAsia="黑体"/>
                <w:bCs/>
                <w:spacing w:val="-4"/>
                <w:sz w:val="22"/>
              </w:rPr>
              <w:t>投标</w:t>
            </w:r>
            <w:r>
              <w:rPr>
                <w:rFonts w:ascii="黑体" w:hAnsi="黑体" w:eastAsia="黑体"/>
                <w:bCs/>
                <w:spacing w:val="-4"/>
                <w:sz w:val="22"/>
              </w:rPr>
              <w:t>保证金账户实际收款时间为准</w:t>
            </w:r>
            <w:r>
              <w:rPr>
                <w:rFonts w:hint="eastAsia" w:ascii="黑体" w:hAnsi="黑体" w:eastAsia="黑体"/>
                <w:bCs/>
                <w:spacing w:val="-4"/>
                <w:sz w:val="22"/>
              </w:rPr>
              <w:t>.</w:t>
            </w:r>
          </w:p>
          <w:p>
            <w:pPr>
              <w:spacing w:line="360" w:lineRule="auto"/>
              <w:ind w:right="-183"/>
              <w:rPr>
                <w:rFonts w:hint="eastAsia" w:ascii="黑体" w:hAnsi="黑体" w:eastAsia="黑体"/>
                <w:bCs/>
                <w:spacing w:val="-4"/>
                <w:sz w:val="22"/>
              </w:rPr>
            </w:pPr>
            <w:r>
              <w:rPr>
                <w:rFonts w:ascii="黑体" w:hAnsi="黑体" w:eastAsia="黑体"/>
                <w:bCs/>
                <w:spacing w:val="-4"/>
                <w:sz w:val="22"/>
              </w:rPr>
              <w:t>缴纳</w:t>
            </w:r>
            <w:r>
              <w:rPr>
                <w:rFonts w:hint="eastAsia" w:ascii="黑体" w:hAnsi="黑体" w:eastAsia="黑体"/>
                <w:bCs/>
                <w:spacing w:val="-4"/>
                <w:sz w:val="22"/>
              </w:rPr>
              <w:t>投标</w:t>
            </w:r>
            <w:r>
              <w:rPr>
                <w:rFonts w:ascii="黑体" w:hAnsi="黑体" w:eastAsia="黑体"/>
                <w:bCs/>
                <w:spacing w:val="-4"/>
                <w:sz w:val="22"/>
              </w:rPr>
              <w:t>保证金账户信息：</w:t>
            </w:r>
          </w:p>
          <w:p>
            <w:pPr>
              <w:spacing w:line="360" w:lineRule="auto"/>
              <w:ind w:right="-183"/>
              <w:rPr>
                <w:rFonts w:hint="eastAsia" w:ascii="黑体" w:hAnsi="黑体" w:eastAsia="黑体"/>
                <w:bCs/>
                <w:spacing w:val="-4"/>
                <w:sz w:val="22"/>
              </w:rPr>
            </w:pPr>
            <w:r>
              <w:rPr>
                <w:rFonts w:ascii="黑体" w:hAnsi="黑体" w:eastAsia="黑体"/>
                <w:bCs/>
                <w:spacing w:val="-4"/>
                <w:sz w:val="22"/>
              </w:rPr>
              <w:t xml:space="preserve">账户名称： 中通服咨询设计研究院有限公司 </w:t>
            </w:r>
          </w:p>
          <w:p>
            <w:pPr>
              <w:spacing w:line="360" w:lineRule="auto"/>
              <w:ind w:right="-183"/>
              <w:rPr>
                <w:rFonts w:hint="eastAsia" w:ascii="黑体" w:hAnsi="黑体" w:eastAsia="黑体"/>
                <w:bCs/>
                <w:spacing w:val="-4"/>
                <w:sz w:val="22"/>
              </w:rPr>
            </w:pPr>
            <w:r>
              <w:rPr>
                <w:rFonts w:ascii="黑体" w:hAnsi="黑体" w:eastAsia="黑体"/>
                <w:bCs/>
                <w:spacing w:val="-4"/>
                <w:sz w:val="22"/>
              </w:rPr>
              <w:t xml:space="preserve">账号： 12590209571010300012  </w:t>
            </w:r>
          </w:p>
          <w:p>
            <w:pPr>
              <w:spacing w:line="360" w:lineRule="auto"/>
              <w:ind w:right="-183"/>
              <w:rPr>
                <w:rFonts w:hint="eastAsia" w:ascii="黑体" w:hAnsi="黑体" w:eastAsia="黑体"/>
                <w:bCs/>
                <w:spacing w:val="-4"/>
                <w:sz w:val="22"/>
              </w:rPr>
            </w:pPr>
            <w:r>
              <w:rPr>
                <w:rFonts w:ascii="黑体" w:hAnsi="黑体" w:eastAsia="黑体"/>
                <w:bCs/>
                <w:spacing w:val="-4"/>
                <w:sz w:val="22"/>
              </w:rPr>
              <w:t>开户银行： 招商银行南京分行城北支行</w:t>
            </w:r>
          </w:p>
          <w:p>
            <w:pPr>
              <w:spacing w:line="360" w:lineRule="auto"/>
              <w:ind w:right="-183"/>
              <w:rPr>
                <w:rFonts w:ascii="Arial" w:hAnsi="Arial" w:eastAsia="仿宋体"/>
                <w:sz w:val="22"/>
                <w:u w:val="single"/>
              </w:rPr>
            </w:pPr>
            <w:r>
              <w:rPr>
                <w:rFonts w:hint="eastAsia" w:ascii="黑体" w:hAnsi="黑体" w:eastAsia="黑体"/>
                <w:bCs/>
                <w:spacing w:val="-4"/>
                <w:sz w:val="22"/>
              </w:rPr>
              <w:t>缴纳时需备注“XXX公司+XXX项目投标保证金”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bCs/>
                <w:spacing w:val="-4"/>
                <w:sz w:val="22"/>
              </w:rPr>
            </w:pPr>
            <w:r>
              <w:rPr>
                <w:rFonts w:hint="eastAsia" w:ascii="黑体" w:hAnsi="黑体" w:eastAsia="黑体"/>
                <w:bCs/>
                <w:spacing w:val="-4"/>
                <w:sz w:val="22"/>
              </w:rPr>
              <w:t>1</w:t>
            </w:r>
            <w:r>
              <w:rPr>
                <w:rFonts w:ascii="黑体" w:hAnsi="黑体" w:eastAsia="黑体"/>
                <w:bCs/>
                <w:spacing w:val="-4"/>
                <w:sz w:val="22"/>
              </w:rPr>
              <w:t>7</w:t>
            </w:r>
            <w:r>
              <w:rPr>
                <w:rFonts w:hint="eastAsia" w:ascii="黑体" w:hAnsi="黑体" w:eastAsia="黑体"/>
                <w:bCs/>
                <w:spacing w:val="-4"/>
                <w:sz w:val="22"/>
              </w:rPr>
              <w:t>.2</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黑体" w:hAnsi="黑体" w:eastAsia="黑体"/>
                <w:bCs/>
                <w:sz w:val="22"/>
              </w:rPr>
            </w:pPr>
            <w:r>
              <w:rPr>
                <w:rFonts w:hint="eastAsia" w:ascii="黑体" w:hAnsi="黑体" w:eastAsia="黑体"/>
                <w:bCs/>
                <w:sz w:val="22"/>
              </w:rPr>
              <w:t>投标保证金作为供应商投标的组成部分，与投标文件一同递交。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83"/>
              <w:jc w:val="left"/>
              <w:rPr>
                <w:rFonts w:hint="eastAsia" w:ascii="黑体" w:hAnsi="黑体" w:eastAsia="黑体"/>
                <w:bCs/>
                <w:spacing w:val="-4"/>
                <w:sz w:val="22"/>
              </w:rPr>
            </w:pPr>
            <w:r>
              <w:rPr>
                <w:rFonts w:hint="eastAsia" w:ascii="黑体" w:hAnsi="黑体" w:eastAsia="黑体"/>
                <w:bCs/>
                <w:sz w:val="22"/>
              </w:rPr>
              <w:t>1</w:t>
            </w:r>
            <w:r>
              <w:rPr>
                <w:rFonts w:ascii="黑体" w:hAnsi="黑体" w:eastAsia="黑体"/>
                <w:bCs/>
                <w:sz w:val="22"/>
              </w:rPr>
              <w:t>7</w:t>
            </w:r>
            <w:r>
              <w:rPr>
                <w:rFonts w:hint="eastAsia" w:ascii="黑体" w:hAnsi="黑体" w:eastAsia="黑体"/>
                <w:bCs/>
                <w:sz w:val="22"/>
              </w:rPr>
              <w:t>.3</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黑体" w:hAnsi="黑体" w:eastAsia="黑体"/>
                <w:bCs/>
                <w:sz w:val="22"/>
              </w:rPr>
            </w:pPr>
            <w:r>
              <w:rPr>
                <w:rFonts w:hint="eastAsia" w:ascii="黑体" w:hAnsi="黑体" w:eastAsia="黑体"/>
                <w:bCs/>
                <w:sz w:val="22"/>
              </w:rPr>
              <w:t>投标人应按要求提交投标保证金。本项目投标保证金采用非现金转账形式提交。投标人与交款人名称必须一致，非投标人缴纳的投标保证金无效。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黑体" w:hAnsi="黑体" w:eastAsia="黑体"/>
                <w:sz w:val="22"/>
                <w:lang w:val="zh-CN"/>
              </w:rPr>
            </w:pPr>
            <w:r>
              <w:rPr>
                <w:rFonts w:ascii="黑体" w:hAnsi="黑体" w:eastAsia="黑体"/>
                <w:sz w:val="22"/>
                <w:lang w:val="zh-CN"/>
              </w:rPr>
              <w:t>18</w:t>
            </w:r>
            <w:r>
              <w:rPr>
                <w:rFonts w:hint="eastAsia" w:ascii="黑体" w:hAnsi="黑体" w:eastAsia="黑体"/>
                <w:sz w:val="22"/>
                <w:lang w:val="zh-CN"/>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0"/>
              <w:rPr>
                <w:rFonts w:hint="eastAsia" w:ascii="黑体" w:hAnsi="黑体" w:eastAsia="黑体"/>
                <w:sz w:val="22"/>
                <w:lang w:val="zh-CN"/>
              </w:rPr>
            </w:pPr>
            <w:r>
              <w:rPr>
                <w:rFonts w:hint="eastAsia" w:ascii="黑体" w:hAnsi="黑体" w:eastAsia="黑体"/>
                <w:sz w:val="22"/>
                <w:lang w:val="zh-CN"/>
              </w:rPr>
              <w:t>投标有效期：递交投标文件截止日后</w:t>
            </w:r>
            <w:r>
              <w:rPr>
                <w:rFonts w:ascii="黑体" w:hAnsi="黑体" w:eastAsia="黑体"/>
                <w:sz w:val="22"/>
                <w:u w:val="single"/>
                <w:lang w:val="zh-CN"/>
              </w:rPr>
              <w:t xml:space="preserve"> 90 </w:t>
            </w:r>
            <w:r>
              <w:rPr>
                <w:rFonts w:hint="eastAsia" w:ascii="黑体" w:hAnsi="黑体" w:eastAsia="黑体"/>
                <w:sz w:val="22"/>
                <w:lang w:val="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黑体" w:hAnsi="黑体" w:eastAsia="黑体"/>
                <w:sz w:val="22"/>
                <w:lang w:val="zh-CN"/>
              </w:rPr>
            </w:pPr>
            <w:r>
              <w:rPr>
                <w:rFonts w:ascii="黑体" w:hAnsi="黑体" w:eastAsia="黑体"/>
                <w:sz w:val="22"/>
                <w:lang w:val="zh-CN"/>
              </w:rPr>
              <w:t>19</w:t>
            </w:r>
            <w:r>
              <w:rPr>
                <w:rFonts w:hint="eastAsia" w:ascii="黑体" w:hAnsi="黑体" w:eastAsia="黑体"/>
                <w:sz w:val="22"/>
                <w:lang w:val="zh-CN"/>
              </w:rPr>
              <w:t>.1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sz w:val="22"/>
                <w:lang w:val="zh-CN"/>
              </w:rPr>
            </w:pPr>
            <w:r>
              <w:rPr>
                <w:rFonts w:hint="eastAsia" w:ascii="黑体" w:hAnsi="黑体" w:eastAsia="黑体"/>
                <w:sz w:val="22"/>
                <w:lang w:val="zh-CN"/>
              </w:rPr>
              <w:t>投标文件份数：</w:t>
            </w:r>
            <w:r>
              <w:rPr>
                <w:rFonts w:ascii="黑体" w:hAnsi="黑体" w:eastAsia="黑体"/>
                <w:sz w:val="22"/>
                <w:lang w:val="zh-CN"/>
              </w:rPr>
              <w:t>正本一份，副本</w:t>
            </w:r>
            <w:r>
              <w:rPr>
                <w:rFonts w:hint="eastAsia" w:ascii="黑体" w:hAnsi="黑体" w:eastAsia="黑体"/>
                <w:sz w:val="22"/>
              </w:rPr>
              <w:t>七</w:t>
            </w:r>
            <w:r>
              <w:rPr>
                <w:rFonts w:ascii="黑体" w:hAnsi="黑体" w:eastAsia="黑体"/>
                <w:sz w:val="22"/>
                <w:lang w:val="zh-CN"/>
              </w:rPr>
              <w:t>份，电子文件</w:t>
            </w:r>
            <w:r>
              <w:rPr>
                <w:rFonts w:hint="eastAsia" w:ascii="黑体" w:hAnsi="黑体" w:eastAsia="黑体"/>
                <w:sz w:val="22"/>
                <w:lang w:val="zh-CN"/>
              </w:rPr>
              <w:t>一</w:t>
            </w:r>
            <w:r>
              <w:rPr>
                <w:rFonts w:ascii="黑体" w:hAnsi="黑体" w:eastAsia="黑体"/>
                <w:sz w:val="22"/>
                <w:lang w:val="zh-CN"/>
              </w:rPr>
              <w:t>份</w:t>
            </w:r>
            <w:r>
              <w:rPr>
                <w:rFonts w:hint="eastAsia" w:ascii="黑体" w:hAnsi="黑体" w:eastAsia="黑体"/>
                <w:sz w:val="22"/>
                <w:lang w:val="zh-CN"/>
              </w:rPr>
              <w:t>，唱标信封一个。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sz w:val="22"/>
                <w:lang w:val="zh-CN"/>
              </w:rPr>
            </w:pPr>
            <w:r>
              <w:rPr>
                <w:rFonts w:hint="eastAsia" w:ascii="黑体" w:hAnsi="黑体" w:eastAsia="黑体"/>
                <w:sz w:val="22"/>
                <w:lang w:val="zh-CN"/>
              </w:rPr>
              <w:t>五</w:t>
            </w:r>
            <w:r>
              <w:rPr>
                <w:rFonts w:ascii="黑体" w:hAnsi="黑体" w:eastAsia="黑体"/>
                <w:sz w:val="22"/>
                <w:lang w:val="zh-CN"/>
              </w:rPr>
              <w:t xml:space="preserve"> </w:t>
            </w:r>
            <w:r>
              <w:rPr>
                <w:rFonts w:hint="eastAsia" w:ascii="黑体" w:hAnsi="黑体" w:eastAsia="黑体"/>
                <w:sz w:val="22"/>
                <w:lang w:val="zh-CN"/>
              </w:rPr>
              <w:t>开标与评标准则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jc w:val="left"/>
              <w:rPr>
                <w:rFonts w:hint="eastAsia" w:ascii="黑体" w:hAnsi="黑体" w:eastAsia="黑体"/>
                <w:sz w:val="22"/>
                <w:lang w:val="zh-CN"/>
              </w:rPr>
            </w:pPr>
            <w:r>
              <w:rPr>
                <w:rFonts w:hint="eastAsia" w:ascii="黑体" w:hAnsi="黑体" w:eastAsia="黑体"/>
                <w:sz w:val="22"/>
                <w:lang w:val="zh-CN"/>
              </w:rPr>
              <w:t>2</w:t>
            </w:r>
            <w:r>
              <w:rPr>
                <w:rFonts w:ascii="黑体" w:hAnsi="黑体" w:eastAsia="黑体"/>
                <w:sz w:val="22"/>
                <w:lang w:val="zh-CN"/>
              </w:rPr>
              <w:t>5.2</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sz w:val="22"/>
                <w:lang w:val="zh-CN"/>
              </w:rPr>
            </w:pPr>
            <w:r>
              <w:rPr>
                <w:rFonts w:hint="eastAsia" w:ascii="黑体" w:hAnsi="黑体" w:eastAsia="黑体"/>
                <w:sz w:val="22"/>
                <w:lang w:val="zh-CN"/>
              </w:rPr>
              <w:t>评标委员会由采购人代表和评审专家组成，成员人数为</w:t>
            </w:r>
            <w:r>
              <w:rPr>
                <w:rFonts w:hint="eastAsia" w:ascii="黑体" w:hAnsi="黑体" w:eastAsia="黑体"/>
                <w:sz w:val="22"/>
              </w:rPr>
              <w:t>7</w:t>
            </w:r>
            <w:r>
              <w:rPr>
                <w:rFonts w:hint="eastAsia" w:ascii="黑体" w:hAnsi="黑体" w:eastAsia="黑体"/>
                <w:sz w:val="22"/>
                <w:lang w:val="zh-CN"/>
              </w:rPr>
              <w:t>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jc w:val="left"/>
              <w:rPr>
                <w:rFonts w:hint="eastAsia" w:ascii="黑体" w:hAnsi="黑体" w:eastAsia="黑体"/>
                <w:sz w:val="22"/>
                <w:lang w:val="zh-CN"/>
              </w:rPr>
            </w:pPr>
            <w:r>
              <w:rPr>
                <w:rFonts w:ascii="黑体" w:hAnsi="黑体" w:eastAsia="黑体"/>
                <w:sz w:val="22"/>
                <w:lang w:val="zh-CN"/>
              </w:rPr>
              <w:t>25</w:t>
            </w:r>
            <w:r>
              <w:rPr>
                <w:rFonts w:hint="eastAsia" w:ascii="黑体" w:hAnsi="黑体" w:eastAsia="黑体"/>
                <w:sz w:val="22"/>
                <w:lang w:val="zh-CN"/>
              </w:rPr>
              <w:t>.5</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sz w:val="22"/>
                <w:lang w:val="zh-CN"/>
              </w:rPr>
            </w:pPr>
            <w:r>
              <w:rPr>
                <w:rFonts w:hint="eastAsia" w:ascii="黑体" w:hAnsi="黑体" w:eastAsia="黑体"/>
                <w:sz w:val="22"/>
                <w:lang w:val="zh-CN"/>
              </w:rPr>
              <w:t>评标方法：采用综合评分法，详见第五部分。</w:t>
            </w:r>
          </w:p>
          <w:p>
            <w:pPr>
              <w:spacing w:line="360" w:lineRule="auto"/>
              <w:ind w:right="-4"/>
              <w:rPr>
                <w:rFonts w:hint="eastAsia" w:ascii="黑体" w:hAnsi="黑体" w:eastAsia="黑体"/>
                <w:sz w:val="22"/>
                <w:lang w:val="zh-CN"/>
              </w:rPr>
            </w:pPr>
            <w:r>
              <w:rPr>
                <w:rFonts w:hint="eastAsia" w:ascii="黑体" w:hAnsi="黑体" w:eastAsia="黑体"/>
                <w:sz w:val="22"/>
              </w:rPr>
              <w:t>注</w:t>
            </w:r>
            <w:r>
              <w:rPr>
                <w:rFonts w:hint="eastAsia" w:ascii="黑体" w:hAnsi="黑体" w:eastAsia="黑体"/>
                <w:sz w:val="22"/>
                <w:lang w:val="zh-CN"/>
              </w:rPr>
              <w:t>：</w:t>
            </w:r>
            <w:r>
              <w:rPr>
                <w:rFonts w:hint="eastAsia"/>
                <w:lang w:val="zh-CN"/>
              </w:rPr>
              <w:t>★</w:t>
            </w:r>
            <w:r>
              <w:rPr>
                <w:rFonts w:hint="eastAsia" w:ascii="黑体" w:hAnsi="黑体" w:eastAsia="黑体"/>
                <w:sz w:val="22"/>
                <w:lang w:val="zh-CN"/>
              </w:rPr>
              <w:t>投标人的商务得分应不低于商务部分总分值的60%，否则就认定为无效投标人。如果商务得分达到商务部分总分值60%的投标人少于3家，本项目废标。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黑体" w:hAnsi="黑体" w:eastAsia="黑体"/>
                <w:sz w:val="22"/>
                <w:lang w:val="zh-CN"/>
              </w:rPr>
            </w:pPr>
            <w:r>
              <w:rPr>
                <w:rFonts w:hint="eastAsia" w:ascii="黑体" w:hAnsi="黑体" w:eastAsia="黑体"/>
                <w:sz w:val="22"/>
                <w:lang w:val="zh-CN"/>
              </w:rPr>
              <w:t>六</w:t>
            </w:r>
            <w:r>
              <w:rPr>
                <w:rFonts w:ascii="黑体" w:hAnsi="黑体" w:eastAsia="黑体"/>
                <w:sz w:val="22"/>
                <w:lang w:val="zh-CN"/>
              </w:rPr>
              <w:t xml:space="preserve"> </w:t>
            </w:r>
            <w:r>
              <w:rPr>
                <w:rFonts w:hint="eastAsia" w:ascii="黑体" w:hAnsi="黑体" w:eastAsia="黑体"/>
                <w:sz w:val="22"/>
                <w:lang w:val="zh-CN"/>
              </w:rPr>
              <w:t>授予合同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jc w:val="left"/>
              <w:rPr>
                <w:rFonts w:hint="eastAsia" w:ascii="黑体" w:hAnsi="黑体" w:eastAsia="黑体"/>
                <w:sz w:val="22"/>
                <w:lang w:val="zh-CN"/>
              </w:rPr>
            </w:pPr>
            <w:r>
              <w:rPr>
                <w:rFonts w:ascii="黑体" w:hAnsi="黑体" w:eastAsia="黑体"/>
                <w:sz w:val="22"/>
                <w:lang w:val="zh-CN"/>
              </w:rPr>
              <w:t>3</w:t>
            </w:r>
            <w:r>
              <w:rPr>
                <w:rFonts w:hint="eastAsia" w:ascii="黑体" w:hAnsi="黑体" w:eastAsia="黑体"/>
                <w:sz w:val="22"/>
                <w:lang w:val="zh-CN"/>
              </w:rPr>
              <w:t>2.1</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sz w:val="22"/>
                <w:lang w:val="zh-CN"/>
              </w:rPr>
            </w:pPr>
            <w:r>
              <w:rPr>
                <w:rFonts w:hint="eastAsia" w:ascii="黑体" w:hAnsi="黑体" w:eastAsia="黑体"/>
                <w:sz w:val="22"/>
                <w:lang w:val="zh-CN"/>
              </w:rPr>
              <w:t>合同签订时间：自《中标通知书》发出之日起30日内。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jc w:val="left"/>
              <w:rPr>
                <w:rFonts w:hint="eastAsia" w:ascii="黑体" w:hAnsi="黑体" w:eastAsia="黑体"/>
                <w:sz w:val="22"/>
                <w:lang w:val="zh-CN"/>
              </w:rPr>
            </w:pPr>
            <w:r>
              <w:rPr>
                <w:rFonts w:ascii="黑体" w:hAnsi="黑体" w:eastAsia="黑体"/>
                <w:sz w:val="22"/>
                <w:lang w:val="zh-CN"/>
              </w:rPr>
              <w:t>36</w:t>
            </w:r>
            <w:r>
              <w:rPr>
                <w:rFonts w:hint="eastAsia" w:ascii="黑体" w:hAnsi="黑体" w:eastAsia="黑体"/>
                <w:sz w:val="22"/>
                <w:lang w:val="zh-CN"/>
              </w:rPr>
              <w:t>.2</w:t>
            </w:r>
          </w:p>
        </w:tc>
        <w:tc>
          <w:tcPr>
            <w:tcW w:w="4356"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right="-4"/>
              <w:rPr>
                <w:rFonts w:hint="eastAsia" w:ascii="黑体" w:hAnsi="黑体" w:eastAsia="黑体"/>
                <w:bCs/>
                <w:sz w:val="22"/>
              </w:rPr>
            </w:pPr>
            <w:r>
              <w:rPr>
                <w:rFonts w:hint="eastAsia" w:ascii="黑体" w:hAnsi="黑体" w:eastAsia="黑体"/>
                <w:bCs/>
                <w:sz w:val="22"/>
              </w:rPr>
              <w:t>本项目类型为：</w:t>
            </w:r>
            <w:r>
              <w:rPr>
                <w:rFonts w:hint="eastAsia" w:ascii="黑体" w:hAnsi="黑体" w:eastAsia="黑体"/>
                <w:bCs/>
                <w:sz w:val="22"/>
                <w:u w:val="single"/>
              </w:rPr>
              <w:t>服务类</w:t>
            </w:r>
            <w:r>
              <w:rPr>
                <w:rFonts w:hint="eastAsia" w:ascii="黑体" w:hAnsi="黑体" w:eastAsia="黑体"/>
                <w:bCs/>
                <w:sz w:val="22"/>
              </w:rPr>
              <w:t>。</w:t>
            </w:r>
          </w:p>
        </w:tc>
      </w:tr>
    </w:tbl>
    <w:p>
      <w:pPr>
        <w:pStyle w:val="7"/>
        <w:keepNext w:val="0"/>
        <w:keepLines w:val="0"/>
        <w:pageBreakBefore/>
        <w:spacing w:line="360" w:lineRule="auto"/>
        <w:jc w:val="center"/>
        <w:rPr>
          <w:rFonts w:hint="eastAsia" w:ascii="黑体" w:hAnsi="黑体" w:eastAsia="黑体"/>
          <w:spacing w:val="20"/>
          <w:sz w:val="36"/>
          <w:szCs w:val="36"/>
        </w:rPr>
      </w:pPr>
      <w:bookmarkStart w:id="41" w:name="_Toc391627750"/>
      <w:bookmarkStart w:id="42" w:name="_Toc405313954"/>
      <w:bookmarkStart w:id="43" w:name="_Toc15035"/>
      <w:bookmarkStart w:id="44" w:name="_Toc2435"/>
      <w:bookmarkStart w:id="45" w:name="_Toc32109"/>
      <w:r>
        <w:rPr>
          <w:rFonts w:hint="eastAsia" w:ascii="黑体" w:hAnsi="黑体" w:eastAsia="黑体"/>
          <w:spacing w:val="20"/>
          <w:sz w:val="36"/>
          <w:szCs w:val="36"/>
        </w:rPr>
        <w:t>第四部分</w:t>
      </w:r>
      <w:r>
        <w:rPr>
          <w:rFonts w:ascii="黑体" w:hAnsi="黑体" w:eastAsia="黑体"/>
          <w:spacing w:val="20"/>
          <w:sz w:val="36"/>
          <w:szCs w:val="36"/>
        </w:rPr>
        <w:t xml:space="preserve"> </w:t>
      </w:r>
      <w:r>
        <w:rPr>
          <w:rFonts w:hint="eastAsia" w:ascii="黑体" w:hAnsi="黑体" w:eastAsia="黑体"/>
          <w:spacing w:val="20"/>
          <w:sz w:val="36"/>
          <w:szCs w:val="36"/>
        </w:rPr>
        <w:t>投标须知</w:t>
      </w:r>
      <w:bookmarkEnd w:id="41"/>
      <w:bookmarkEnd w:id="42"/>
      <w:bookmarkEnd w:id="43"/>
      <w:bookmarkEnd w:id="44"/>
      <w:bookmarkEnd w:id="45"/>
    </w:p>
    <w:p>
      <w:pPr>
        <w:pStyle w:val="64"/>
        <w:numPr>
          <w:ilvl w:val="0"/>
          <w:numId w:val="5"/>
        </w:numPr>
        <w:spacing w:before="312" w:beforeLines="100" w:line="360" w:lineRule="auto"/>
        <w:ind w:firstLineChars="0"/>
        <w:outlineLvl w:val="1"/>
        <w:rPr>
          <w:rFonts w:hint="eastAsia" w:ascii="微软雅黑" w:hAnsi="微软雅黑" w:eastAsia="微软雅黑" w:cs="微软雅黑"/>
          <w:b/>
          <w:bCs/>
          <w:sz w:val="28"/>
          <w:szCs w:val="28"/>
        </w:rPr>
      </w:pPr>
      <w:bookmarkStart w:id="46" w:name="_Toc6265"/>
      <w:bookmarkStart w:id="47" w:name="_Toc28405"/>
      <w:r>
        <w:rPr>
          <w:rFonts w:hint="eastAsia" w:ascii="微软雅黑" w:hAnsi="微软雅黑" w:eastAsia="微软雅黑" w:cs="微软雅黑"/>
          <w:b/>
          <w:bCs/>
          <w:sz w:val="28"/>
          <w:szCs w:val="28"/>
        </w:rPr>
        <w:t>说明</w:t>
      </w:r>
      <w:bookmarkEnd w:id="46"/>
      <w:bookmarkEnd w:id="47"/>
    </w:p>
    <w:p>
      <w:pPr>
        <w:pStyle w:val="64"/>
        <w:numPr>
          <w:ilvl w:val="0"/>
          <w:numId w:val="6"/>
        </w:numPr>
        <w:spacing w:line="360" w:lineRule="auto"/>
        <w:ind w:firstLineChars="0"/>
        <w:rPr>
          <w:rFonts w:hint="eastAsia" w:ascii="宋体" w:hAnsi="宋体" w:cs="宋体"/>
          <w:b/>
          <w:sz w:val="24"/>
          <w:szCs w:val="28"/>
        </w:rPr>
      </w:pPr>
      <w:r>
        <w:rPr>
          <w:rFonts w:hint="eastAsia" w:ascii="宋体" w:hAnsi="宋体" w:cs="宋体"/>
          <w:b/>
          <w:sz w:val="24"/>
          <w:szCs w:val="28"/>
        </w:rPr>
        <w:t>总则</w:t>
      </w:r>
    </w:p>
    <w:p>
      <w:pPr>
        <w:spacing w:line="360" w:lineRule="auto"/>
        <w:ind w:firstLine="480" w:firstLineChars="200"/>
        <w:rPr>
          <w:rFonts w:hint="eastAsia" w:ascii="宋体" w:hAnsi="宋体" w:cs="宋体"/>
          <w:bCs/>
          <w:sz w:val="24"/>
          <w:szCs w:val="28"/>
        </w:rPr>
      </w:pPr>
      <w:r>
        <w:rPr>
          <w:rFonts w:hint="eastAsia" w:ascii="宋体" w:hAnsi="宋体" w:cs="宋体"/>
          <w:bCs/>
          <w:sz w:val="24"/>
          <w:szCs w:val="28"/>
        </w:rPr>
        <w:t>采购人、采购代理机构及投标人进行的本次采购活动适用《</w:t>
      </w:r>
      <w:bookmarkStart w:id="48" w:name="_Hlk75725950"/>
      <w:r>
        <w:rPr>
          <w:rFonts w:hint="eastAsia" w:ascii="宋体" w:hAnsi="宋体" w:cs="宋体"/>
          <w:bCs/>
          <w:sz w:val="24"/>
          <w:szCs w:val="28"/>
        </w:rPr>
        <w:t>中华人民共和国</w:t>
      </w:r>
      <w:bookmarkEnd w:id="48"/>
      <w:r>
        <w:rPr>
          <w:rFonts w:hint="eastAsia" w:ascii="宋体" w:hAnsi="宋体" w:cs="宋体"/>
          <w:bCs/>
          <w:sz w:val="24"/>
          <w:szCs w:val="28"/>
        </w:rPr>
        <w:t xml:space="preserve">招标投标法》及其配套的法规、规章、政策；和采购人相关采购管理制度。投标人应仔细阅读本项目招标公告及招标文件的所有内容（包括变更、补充、澄清以及修改等，且均为招标文件的组成部分），按照招标文件要求以及格式编制投标文件，并保证其真实性，否则一切后果自负。 </w:t>
      </w:r>
    </w:p>
    <w:p>
      <w:pPr>
        <w:spacing w:line="360" w:lineRule="auto"/>
        <w:ind w:firstLine="480" w:firstLineChars="200"/>
        <w:rPr>
          <w:rFonts w:hint="eastAsia" w:ascii="宋体" w:hAnsi="宋体" w:cs="宋体"/>
          <w:bCs/>
          <w:sz w:val="24"/>
          <w:szCs w:val="28"/>
        </w:rPr>
      </w:pPr>
      <w:r>
        <w:rPr>
          <w:rFonts w:hint="eastAsia" w:ascii="宋体" w:hAnsi="宋体" w:cs="宋体"/>
          <w:bCs/>
          <w:sz w:val="24"/>
          <w:szCs w:val="28"/>
        </w:rPr>
        <w:t>本次公开招标项目，是以招标公告的方式邀请非特定的投标人参加投标。</w:t>
      </w:r>
    </w:p>
    <w:p>
      <w:pPr>
        <w:pStyle w:val="64"/>
        <w:numPr>
          <w:ilvl w:val="0"/>
          <w:numId w:val="6"/>
        </w:numPr>
        <w:spacing w:line="360" w:lineRule="auto"/>
        <w:ind w:firstLineChars="0"/>
        <w:rPr>
          <w:rFonts w:hint="eastAsia" w:ascii="宋体" w:hAnsi="宋体" w:cs="宋体"/>
          <w:b/>
          <w:sz w:val="24"/>
          <w:szCs w:val="28"/>
        </w:rPr>
      </w:pPr>
      <w:r>
        <w:rPr>
          <w:rFonts w:hint="eastAsia" w:ascii="宋体" w:hAnsi="宋体" w:cs="宋体"/>
          <w:b/>
          <w:sz w:val="24"/>
          <w:szCs w:val="28"/>
        </w:rPr>
        <w:t>适用范围</w:t>
      </w:r>
    </w:p>
    <w:p>
      <w:pPr>
        <w:pStyle w:val="64"/>
        <w:numPr>
          <w:ilvl w:val="0"/>
          <w:numId w:val="7"/>
        </w:numPr>
        <w:spacing w:line="360" w:lineRule="auto"/>
        <w:ind w:firstLineChars="0"/>
        <w:rPr>
          <w:rFonts w:hint="eastAsia" w:ascii="宋体" w:hAnsi="宋体" w:cs="宋体"/>
          <w:sz w:val="24"/>
          <w:szCs w:val="28"/>
        </w:rPr>
      </w:pPr>
      <w:r>
        <w:rPr>
          <w:rFonts w:hint="eastAsia" w:ascii="宋体" w:hAnsi="宋体" w:cs="宋体"/>
          <w:sz w:val="24"/>
          <w:szCs w:val="28"/>
        </w:rPr>
        <w:t>本招标文件仅适用于本次招标公告中所涉及的项目和内容。</w:t>
      </w:r>
    </w:p>
    <w:p>
      <w:pPr>
        <w:pStyle w:val="64"/>
        <w:numPr>
          <w:ilvl w:val="0"/>
          <w:numId w:val="7"/>
        </w:numPr>
        <w:spacing w:line="360" w:lineRule="auto"/>
        <w:ind w:firstLineChars="0"/>
        <w:rPr>
          <w:rFonts w:hint="eastAsia" w:ascii="宋体" w:hAnsi="宋体" w:cs="宋体"/>
          <w:b/>
          <w:sz w:val="24"/>
          <w:szCs w:val="28"/>
          <w:u w:val="single"/>
        </w:rPr>
      </w:pPr>
      <w:r>
        <w:rPr>
          <w:rFonts w:hint="eastAsia" w:ascii="宋体" w:hAnsi="宋体" w:cs="宋体"/>
          <w:sz w:val="24"/>
          <w:szCs w:val="28"/>
        </w:rPr>
        <w:t>资金来源：</w:t>
      </w:r>
      <w:r>
        <w:rPr>
          <w:rFonts w:hint="eastAsia" w:ascii="宋体" w:hAnsi="宋体" w:cs="宋体"/>
          <w:b/>
          <w:sz w:val="24"/>
          <w:szCs w:val="28"/>
          <w:u w:val="single"/>
        </w:rPr>
        <w:t>（详见投标须知前附表）</w:t>
      </w:r>
      <w:r>
        <w:rPr>
          <w:rFonts w:hint="eastAsia" w:ascii="宋体" w:hAnsi="宋体" w:cs="宋体"/>
          <w:sz w:val="24"/>
          <w:szCs w:val="28"/>
        </w:rPr>
        <w:t>。</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定义</w:t>
      </w:r>
    </w:p>
    <w:p>
      <w:pPr>
        <w:pStyle w:val="64"/>
        <w:numPr>
          <w:ilvl w:val="0"/>
          <w:numId w:val="8"/>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 xml:space="preserve">采购人：是采购活动当事人之一，负责项目的整体规划、技术方案可行性设计论证与实施，作为合同采购方（用户）的主体承担质疑回复、履行合同、验收与评价等义务。 </w:t>
      </w:r>
    </w:p>
    <w:p>
      <w:pPr>
        <w:pStyle w:val="64"/>
        <w:numPr>
          <w:ilvl w:val="0"/>
          <w:numId w:val="8"/>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采购代理机构：负责整个采购活动的组织，依法负责编制和发布招标文件，对招标文件拥有最终的解释权，不以任何身份出任评标委员会成员。</w:t>
      </w:r>
    </w:p>
    <w:p>
      <w:pPr>
        <w:pStyle w:val="64"/>
        <w:numPr>
          <w:ilvl w:val="0"/>
          <w:numId w:val="8"/>
        </w:numPr>
        <w:tabs>
          <w:tab w:val="left" w:pos="426"/>
        </w:tabs>
        <w:spacing w:line="360" w:lineRule="auto"/>
        <w:ind w:hanging="941" w:firstLineChars="0"/>
        <w:rPr>
          <w:rFonts w:hint="eastAsia" w:ascii="宋体" w:hAnsi="宋体" w:cs="宋体"/>
          <w:sz w:val="24"/>
          <w:szCs w:val="28"/>
        </w:rPr>
      </w:pPr>
      <w:r>
        <w:rPr>
          <w:rFonts w:hint="eastAsia" w:ascii="宋体" w:hAnsi="宋体" w:cs="宋体"/>
          <w:sz w:val="24"/>
          <w:szCs w:val="28"/>
        </w:rPr>
        <w:t>投标人：是响应招标参加投标竞争的法人或其他组织或自然人。</w:t>
      </w:r>
    </w:p>
    <w:p>
      <w:pPr>
        <w:pStyle w:val="64"/>
        <w:numPr>
          <w:ilvl w:val="0"/>
          <w:numId w:val="8"/>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 xml:space="preserve">评标委员会：是指根据《中华人民共和国招标投标法》等法律法规规定，由采购人代表和有关专家组成以确定中标供应商或者推荐中标候选人的临时组织。 </w:t>
      </w:r>
    </w:p>
    <w:p>
      <w:pPr>
        <w:pStyle w:val="64"/>
        <w:numPr>
          <w:ilvl w:val="0"/>
          <w:numId w:val="8"/>
        </w:numPr>
        <w:tabs>
          <w:tab w:val="left" w:pos="426"/>
        </w:tabs>
        <w:spacing w:line="360" w:lineRule="auto"/>
        <w:ind w:left="426" w:hanging="426" w:firstLineChars="0"/>
        <w:rPr>
          <w:rFonts w:hint="eastAsia" w:ascii="宋体" w:hAnsi="宋体" w:cs="宋体"/>
          <w:sz w:val="24"/>
          <w:szCs w:val="28"/>
        </w:rPr>
      </w:pPr>
      <w:r>
        <w:rPr>
          <w:rFonts w:hint="eastAsia" w:ascii="宋体" w:hAnsi="宋体" w:cs="宋体"/>
          <w:sz w:val="24"/>
          <w:szCs w:val="28"/>
        </w:rPr>
        <w:t>中标人：是指经评标委员会评审确定的对招标文件做出实质性响应，经采购人按照规定在评标委员会推荐的中标候选人中确定的或评标委员会受采购人委托直接确认的投标人。</w:t>
      </w:r>
    </w:p>
    <w:p>
      <w:pPr>
        <w:pStyle w:val="64"/>
        <w:numPr>
          <w:ilvl w:val="0"/>
          <w:numId w:val="8"/>
        </w:numPr>
        <w:tabs>
          <w:tab w:val="left" w:pos="426"/>
        </w:tabs>
        <w:spacing w:line="360" w:lineRule="auto"/>
        <w:ind w:hanging="941" w:firstLineChars="0"/>
        <w:rPr>
          <w:rFonts w:hint="eastAsia" w:ascii="宋体" w:hAnsi="宋体" w:cs="宋体"/>
          <w:sz w:val="24"/>
          <w:szCs w:val="28"/>
        </w:rPr>
      </w:pPr>
      <w:r>
        <w:rPr>
          <w:rFonts w:hint="eastAsia" w:ascii="宋体" w:hAnsi="宋体" w:cs="宋体"/>
          <w:sz w:val="24"/>
          <w:szCs w:val="28"/>
        </w:rPr>
        <w:t>合格的投标人是指：详见《第一部分 投标邀请函》投标供应商的资格要求</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合格的货物和服务</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货物是指投标人制造或组织符合招标文件要求的货物等。投标的货物必须是其合法生产、合法来源的符合国家有关标准要求的货物，并满足招标文件规定的规格、参数、质量、价格、有效期、售后服务等要求。</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服务是指除货物和工程以外的其他采购对象，且满足实质性采购需求。</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若所投产品属于政府强制采购节能产品的，则投标人必须提供该产品国家强制性节能产品进行响应，并提供有效的中国节能产品认证证书，否则视为无效投标。</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投标人提供的所有服务，其质量、技术等特征必须符合国家、行业现行法律、法规的相关标准和《中华人民共和国招标投标法》的有关规定及采购需求。</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pacing w:val="-6"/>
          <w:sz w:val="24"/>
          <w:szCs w:val="24"/>
        </w:rPr>
        <w:t>采购人有权拒绝接受任何不合格的服务，由此产生的费用及相关后果均由投标人自行承担；</w:t>
      </w:r>
    </w:p>
    <w:p>
      <w:pPr>
        <w:pStyle w:val="64"/>
        <w:numPr>
          <w:ilvl w:val="0"/>
          <w:numId w:val="9"/>
        </w:numPr>
        <w:spacing w:line="360" w:lineRule="auto"/>
        <w:ind w:firstLineChars="0"/>
        <w:rPr>
          <w:rFonts w:hint="eastAsia" w:ascii="宋体" w:hAnsi="宋体" w:cs="宋体"/>
          <w:bCs/>
          <w:sz w:val="24"/>
          <w:szCs w:val="24"/>
        </w:rPr>
      </w:pPr>
      <w:r>
        <w:rPr>
          <w:rFonts w:hint="eastAsia" w:ascii="宋体" w:hAnsi="宋体" w:cs="宋体"/>
          <w:bCs/>
          <w:sz w:val="24"/>
          <w:szCs w:val="24"/>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投标费用</w:t>
      </w:r>
    </w:p>
    <w:p>
      <w:pPr>
        <w:pStyle w:val="64"/>
        <w:numPr>
          <w:ilvl w:val="0"/>
          <w:numId w:val="10"/>
        </w:numPr>
        <w:spacing w:line="360" w:lineRule="auto"/>
        <w:ind w:firstLineChars="0"/>
        <w:rPr>
          <w:rFonts w:hint="eastAsia" w:ascii="宋体" w:hAnsi="宋体" w:cs="宋体"/>
          <w:bCs/>
          <w:sz w:val="24"/>
          <w:szCs w:val="24"/>
        </w:rPr>
      </w:pPr>
      <w:r>
        <w:rPr>
          <w:rFonts w:hint="eastAsia" w:ascii="宋体" w:hAnsi="宋体" w:cs="宋体"/>
          <w:bCs/>
          <w:sz w:val="24"/>
          <w:szCs w:val="24"/>
        </w:rPr>
        <w:t>投标人应承担所有与准备和参加投标有关的费用。不论投标的结果如何，采购代理机构和采购人均无义务和责任承担相关费用。</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担保</w:t>
      </w:r>
    </w:p>
    <w:p>
      <w:pPr>
        <w:pStyle w:val="64"/>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投标担保，是指由担保机构为供应商交纳投标保证金向采购人或采购代理机构提供的保证担保。供应商在投标有效期内撤回投标文件或中标后不签订采购合同的，由担保机构按照担保函的约定履行支付投标保证金的责任。</w:t>
      </w:r>
    </w:p>
    <w:p>
      <w:pPr>
        <w:pStyle w:val="64"/>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履约担保，是指由担保机构为供应商交纳履约保证金向采购人或采购代理机构提供的保证担保。供应商未按采购合同履行约定义务的，由担保机构按照担保函约定履行支付履约保证金的责任。</w:t>
      </w:r>
    </w:p>
    <w:p>
      <w:pPr>
        <w:pStyle w:val="64"/>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融资担保，是指担保机构为供应商向银行融资提供的保证担保。</w:t>
      </w:r>
    </w:p>
    <w:p>
      <w:pPr>
        <w:pStyle w:val="64"/>
        <w:numPr>
          <w:ilvl w:val="0"/>
          <w:numId w:val="11"/>
        </w:numPr>
        <w:spacing w:line="360" w:lineRule="auto"/>
        <w:ind w:firstLineChars="0"/>
        <w:rPr>
          <w:rFonts w:hint="eastAsia" w:ascii="宋体" w:hAnsi="宋体" w:cs="宋体"/>
          <w:bCs/>
          <w:sz w:val="24"/>
          <w:szCs w:val="24"/>
        </w:rPr>
      </w:pPr>
      <w:r>
        <w:rPr>
          <w:rFonts w:hint="eastAsia" w:ascii="宋体" w:hAnsi="宋体" w:cs="宋体"/>
          <w:bCs/>
          <w:sz w:val="24"/>
          <w:szCs w:val="24"/>
        </w:rPr>
        <w:t>供应商可以以投标担保函、履约担保函形式缴纳保证金。</w:t>
      </w:r>
    </w:p>
    <w:p>
      <w:pPr>
        <w:pStyle w:val="64"/>
        <w:numPr>
          <w:ilvl w:val="0"/>
          <w:numId w:val="5"/>
        </w:numPr>
        <w:spacing w:before="312" w:beforeLines="100" w:line="360" w:lineRule="auto"/>
        <w:ind w:firstLine="0" w:firstLineChars="0"/>
        <w:outlineLvl w:val="1"/>
        <w:rPr>
          <w:rFonts w:hint="eastAsia" w:ascii="黑体" w:hAnsi="黑体" w:eastAsia="黑体"/>
          <w:b/>
          <w:bCs/>
          <w:sz w:val="28"/>
          <w:szCs w:val="28"/>
        </w:rPr>
      </w:pPr>
      <w:bookmarkStart w:id="49" w:name="_Toc31691"/>
      <w:bookmarkStart w:id="50" w:name="_Toc9845"/>
      <w:r>
        <w:rPr>
          <w:rFonts w:hint="eastAsia" w:ascii="微软雅黑" w:hAnsi="微软雅黑" w:eastAsia="微软雅黑" w:cs="微软雅黑"/>
          <w:b/>
          <w:bCs/>
          <w:sz w:val="28"/>
          <w:szCs w:val="28"/>
        </w:rPr>
        <w:t>招标文件</w:t>
      </w:r>
      <w:bookmarkEnd w:id="49"/>
      <w:bookmarkEnd w:id="50"/>
      <w:bookmarkStart w:id="51" w:name="_Toc357676115"/>
    </w:p>
    <w:p>
      <w:pPr>
        <w:pStyle w:val="64"/>
        <w:numPr>
          <w:ilvl w:val="0"/>
          <w:numId w:val="6"/>
        </w:numPr>
        <w:spacing w:line="360" w:lineRule="auto"/>
        <w:ind w:firstLineChars="0"/>
        <w:rPr>
          <w:rFonts w:hint="eastAsia" w:ascii="宋体" w:hAnsi="宋体" w:cs="宋体"/>
          <w:b/>
          <w:sz w:val="24"/>
          <w:szCs w:val="28"/>
        </w:rPr>
      </w:pPr>
      <w:r>
        <w:rPr>
          <w:rFonts w:hint="eastAsia" w:ascii="宋体" w:hAnsi="宋体" w:cs="宋体"/>
          <w:b/>
          <w:sz w:val="24"/>
          <w:szCs w:val="28"/>
        </w:rPr>
        <w:t>招标文件的编制依据与构成</w:t>
      </w:r>
      <w:bookmarkEnd w:id="51"/>
    </w:p>
    <w:p>
      <w:pPr>
        <w:pStyle w:val="64"/>
        <w:numPr>
          <w:ilvl w:val="0"/>
          <w:numId w:val="12"/>
        </w:numPr>
        <w:spacing w:line="360" w:lineRule="auto"/>
        <w:ind w:firstLineChars="0"/>
        <w:rPr>
          <w:rFonts w:hint="eastAsia" w:ascii="宋体" w:hAnsi="宋体" w:cs="宋体"/>
          <w:bCs/>
          <w:sz w:val="24"/>
          <w:szCs w:val="24"/>
        </w:rPr>
      </w:pPr>
      <w:r>
        <w:rPr>
          <w:rFonts w:hint="eastAsia" w:ascii="宋体" w:hAnsi="宋体" w:cs="宋体"/>
          <w:bCs/>
          <w:sz w:val="24"/>
          <w:szCs w:val="24"/>
        </w:rPr>
        <w:t>本招标文件的编制依据是</w:t>
      </w:r>
      <w:r>
        <w:rPr>
          <w:rFonts w:hint="eastAsia" w:ascii="宋体" w:hAnsi="宋体" w:cs="宋体"/>
          <w:sz w:val="24"/>
          <w:szCs w:val="24"/>
        </w:rPr>
        <w:t>《中华人民共和国招标投标法》和《中华人民共和国招标投标法实施条例》</w:t>
      </w:r>
      <w:r>
        <w:rPr>
          <w:rFonts w:hint="eastAsia" w:ascii="宋体" w:hAnsi="宋体" w:cs="宋体"/>
          <w:bCs/>
          <w:sz w:val="24"/>
          <w:szCs w:val="24"/>
        </w:rPr>
        <w:t>等法律法规。</w:t>
      </w:r>
    </w:p>
    <w:p>
      <w:pPr>
        <w:pStyle w:val="64"/>
        <w:numPr>
          <w:ilvl w:val="0"/>
          <w:numId w:val="12"/>
        </w:numPr>
        <w:spacing w:line="360" w:lineRule="auto"/>
        <w:ind w:firstLineChars="0"/>
        <w:rPr>
          <w:rFonts w:hint="eastAsia" w:ascii="宋体" w:hAnsi="宋体" w:cs="宋体"/>
          <w:bCs/>
          <w:sz w:val="24"/>
          <w:szCs w:val="24"/>
        </w:rPr>
      </w:pPr>
      <w:r>
        <w:rPr>
          <w:rFonts w:hint="eastAsia" w:ascii="宋体" w:hAnsi="宋体" w:cs="宋体"/>
          <w:bCs/>
          <w:sz w:val="24"/>
          <w:szCs w:val="24"/>
        </w:rPr>
        <w:t>要求提供的服务、采购过程和合同条件在招标文件中均有说明。招标文件以中文文字编写。招标文件由下列文件以及在招标过程中发出的澄清、修改和补充文件组成，组成内容如下：</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第一部分 投标邀请函</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第二部分 采购需求书</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第三部分 投标须知前附表</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第四部分 投标须知</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第五部分 评标方法、步骤、标准</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第六部分 合同书格式</w:t>
      </w:r>
    </w:p>
    <w:p>
      <w:pPr>
        <w:spacing w:line="360" w:lineRule="auto"/>
        <w:ind w:firstLine="484" w:firstLineChars="202"/>
        <w:rPr>
          <w:rFonts w:hint="eastAsia" w:ascii="宋体" w:hAnsi="宋体" w:cs="宋体"/>
          <w:bCs/>
          <w:sz w:val="24"/>
          <w:szCs w:val="24"/>
        </w:rPr>
      </w:pPr>
      <w:r>
        <w:rPr>
          <w:rFonts w:hint="eastAsia" w:ascii="宋体" w:hAnsi="宋体" w:cs="宋体"/>
          <w:bCs/>
          <w:sz w:val="24"/>
          <w:szCs w:val="24"/>
        </w:rPr>
        <w:t>第七部分 投标文件格式</w:t>
      </w:r>
    </w:p>
    <w:p>
      <w:pPr>
        <w:pStyle w:val="64"/>
        <w:numPr>
          <w:ilvl w:val="0"/>
          <w:numId w:val="12"/>
        </w:numPr>
        <w:spacing w:line="360" w:lineRule="auto"/>
        <w:ind w:firstLineChars="0"/>
        <w:rPr>
          <w:rFonts w:hint="eastAsia" w:ascii="宋体" w:hAnsi="宋体" w:cs="宋体"/>
          <w:bCs/>
          <w:sz w:val="24"/>
          <w:szCs w:val="24"/>
        </w:rPr>
      </w:pPr>
      <w:r>
        <w:rPr>
          <w:rFonts w:hint="eastAsia" w:ascii="宋体" w:hAnsi="宋体" w:cs="宋体"/>
          <w:bCs/>
          <w:sz w:val="24"/>
          <w:szCs w:val="24"/>
        </w:rPr>
        <w:t>投标人应认真阅读、并充分理解招标文件的全部内容（包括所有的补充、修改内容重要事项、格式、条款和服务要求等）。投标人没有按照招标文件要求提交全部资料，或者投标文件没有对招标文件在各方面都作出实质性响应是投标人的风险，有可能导致其投标被拒绝，或被认定为无效投标或被确定为投标无效。</w:t>
      </w:r>
    </w:p>
    <w:p>
      <w:pPr>
        <w:pStyle w:val="64"/>
        <w:numPr>
          <w:ilvl w:val="0"/>
          <w:numId w:val="12"/>
        </w:numPr>
        <w:spacing w:line="360" w:lineRule="auto"/>
        <w:ind w:firstLineChars="0"/>
        <w:rPr>
          <w:rFonts w:hint="eastAsia" w:ascii="宋体" w:hAnsi="宋体" w:cs="宋体"/>
          <w:bCs/>
          <w:sz w:val="24"/>
          <w:szCs w:val="24"/>
        </w:rPr>
      </w:pPr>
      <w:r>
        <w:rPr>
          <w:rFonts w:hint="eastAsia" w:ascii="宋体" w:hAnsi="宋体" w:cs="宋体"/>
          <w:bCs/>
          <w:sz w:val="24"/>
          <w:szCs w:val="24"/>
        </w:rPr>
        <w:t>本招标文件的解释权归“中通服咨询设计研究院有限公司”所有。</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招标文件的答疑、澄清或修改</w:t>
      </w:r>
    </w:p>
    <w:p>
      <w:pPr>
        <w:pStyle w:val="64"/>
        <w:numPr>
          <w:ilvl w:val="0"/>
          <w:numId w:val="13"/>
        </w:numPr>
        <w:spacing w:line="360" w:lineRule="auto"/>
        <w:ind w:firstLineChars="0"/>
        <w:rPr>
          <w:rFonts w:hint="eastAsia" w:ascii="宋体" w:hAnsi="宋体" w:cs="宋体"/>
          <w:bCs/>
          <w:sz w:val="24"/>
          <w:szCs w:val="24"/>
        </w:rPr>
      </w:pPr>
      <w:r>
        <w:rPr>
          <w:rFonts w:hint="eastAsia" w:ascii="宋体" w:hAnsi="宋体" w:cs="宋体"/>
          <w:bCs/>
          <w:sz w:val="24"/>
          <w:szCs w:val="24"/>
        </w:rPr>
        <w:t>除非</w:t>
      </w:r>
      <w:r>
        <w:rPr>
          <w:rFonts w:hint="eastAsia" w:ascii="宋体" w:hAnsi="宋体" w:cs="宋体"/>
          <w:b/>
          <w:bCs/>
          <w:sz w:val="24"/>
          <w:szCs w:val="24"/>
          <w:u w:val="single"/>
        </w:rPr>
        <w:t xml:space="preserve">投标须知前附表 </w:t>
      </w:r>
      <w:r>
        <w:rPr>
          <w:rFonts w:hint="eastAsia" w:ascii="宋体" w:hAnsi="宋体" w:cs="宋体"/>
          <w:bCs/>
          <w:sz w:val="24"/>
          <w:szCs w:val="24"/>
        </w:rPr>
        <w:t>中另有规定，不举行项目集中答疑会或现场考察，如举行集中答疑会或现场考察的，则按以下规定：</w:t>
      </w:r>
    </w:p>
    <w:p>
      <w:pPr>
        <w:pStyle w:val="64"/>
        <w:numPr>
          <w:ilvl w:val="2"/>
          <w:numId w:val="6"/>
        </w:numPr>
        <w:spacing w:line="360" w:lineRule="auto"/>
        <w:ind w:firstLineChars="0"/>
        <w:rPr>
          <w:rFonts w:hint="eastAsia" w:ascii="宋体" w:hAnsi="宋体" w:cs="宋体"/>
          <w:bCs/>
          <w:sz w:val="24"/>
          <w:szCs w:val="24"/>
        </w:rPr>
      </w:pPr>
      <w:r>
        <w:rPr>
          <w:rFonts w:hint="eastAsia" w:ascii="宋体" w:hAnsi="宋体" w:cs="宋体"/>
          <w:bCs/>
          <w:sz w:val="24"/>
          <w:szCs w:val="24"/>
        </w:rPr>
        <w:t>在</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投标须知前附表 </w:t>
      </w:r>
      <w:r>
        <w:rPr>
          <w:rFonts w:hint="eastAsia" w:ascii="宋体" w:hAnsi="宋体" w:cs="宋体"/>
          <w:bCs/>
          <w:sz w:val="24"/>
          <w:szCs w:val="24"/>
        </w:rPr>
        <w:t>中规定的日期、时间和地点组织公开答疑会或现场考察。</w:t>
      </w:r>
    </w:p>
    <w:p>
      <w:pPr>
        <w:pStyle w:val="64"/>
        <w:numPr>
          <w:ilvl w:val="2"/>
          <w:numId w:val="6"/>
        </w:numPr>
        <w:spacing w:line="360" w:lineRule="auto"/>
        <w:ind w:firstLineChars="0"/>
        <w:rPr>
          <w:rFonts w:hint="eastAsia" w:ascii="宋体" w:hAnsi="宋体" w:cs="宋体"/>
          <w:bCs/>
          <w:sz w:val="24"/>
          <w:szCs w:val="24"/>
        </w:rPr>
      </w:pPr>
      <w:r>
        <w:rPr>
          <w:rFonts w:hint="eastAsia" w:ascii="宋体" w:hAnsi="宋体" w:cs="宋体"/>
          <w:bCs/>
          <w:sz w:val="24"/>
          <w:szCs w:val="24"/>
        </w:rPr>
        <w:t>潜在投标人对本项目提出的疑问，需在答疑会或现场考察召开日前至少一个工作日将问题清单以书面形式（加盖公章）提交至采购代理机构，潜在投标人代表于上述的时间和地点出席答疑会或现场考察。</w:t>
      </w:r>
    </w:p>
    <w:p>
      <w:pPr>
        <w:pStyle w:val="64"/>
        <w:numPr>
          <w:ilvl w:val="2"/>
          <w:numId w:val="6"/>
        </w:numPr>
        <w:spacing w:line="360" w:lineRule="auto"/>
        <w:ind w:firstLineChars="0"/>
        <w:rPr>
          <w:rFonts w:hint="eastAsia" w:ascii="宋体" w:hAnsi="宋体" w:cs="宋体"/>
          <w:bCs/>
          <w:sz w:val="24"/>
          <w:szCs w:val="24"/>
        </w:rPr>
      </w:pPr>
      <w:r>
        <w:rPr>
          <w:rFonts w:hint="eastAsia" w:ascii="宋体" w:hAnsi="宋体" w:cs="宋体"/>
          <w:bCs/>
          <w:sz w:val="24"/>
          <w:szCs w:val="24"/>
        </w:rPr>
        <w:t>已获取招标文件的投标人如不出席答疑会或现场考察视为对招标文件所有内容无任何异议。</w:t>
      </w:r>
    </w:p>
    <w:p>
      <w:pPr>
        <w:pStyle w:val="64"/>
        <w:numPr>
          <w:ilvl w:val="2"/>
          <w:numId w:val="6"/>
        </w:numPr>
        <w:spacing w:line="360" w:lineRule="auto"/>
        <w:ind w:firstLineChars="0"/>
        <w:rPr>
          <w:rFonts w:hint="eastAsia" w:ascii="宋体" w:hAnsi="宋体" w:cs="宋体"/>
          <w:bCs/>
          <w:sz w:val="24"/>
          <w:szCs w:val="24"/>
        </w:rPr>
      </w:pPr>
      <w:r>
        <w:rPr>
          <w:rFonts w:hint="eastAsia" w:ascii="宋体" w:hAnsi="宋体" w:cs="宋体"/>
          <w:bCs/>
          <w:sz w:val="24"/>
          <w:szCs w:val="24"/>
        </w:rPr>
        <w:t>投标人在规定的时间内未对招标文件提出澄清或疑问的，采购代理机构将视其为无异议。</w:t>
      </w:r>
    </w:p>
    <w:p>
      <w:pPr>
        <w:pStyle w:val="64"/>
        <w:numPr>
          <w:ilvl w:val="2"/>
          <w:numId w:val="6"/>
        </w:numPr>
        <w:spacing w:line="360" w:lineRule="auto"/>
        <w:ind w:firstLineChars="0"/>
        <w:rPr>
          <w:rFonts w:hint="eastAsia" w:ascii="宋体" w:hAnsi="宋体" w:cs="宋体"/>
          <w:bCs/>
          <w:sz w:val="24"/>
          <w:szCs w:val="24"/>
        </w:rPr>
      </w:pPr>
      <w:r>
        <w:rPr>
          <w:rFonts w:hint="eastAsia" w:ascii="宋体" w:hAnsi="宋体" w:cs="宋体"/>
          <w:bCs/>
          <w:sz w:val="24"/>
          <w:szCs w:val="24"/>
        </w:rPr>
        <w:t>对招标文件中描述有歧义或前后不一致的地方，评标委员会有权进行评判，但对同一条款的评判应适用于每个投标人。</w:t>
      </w:r>
    </w:p>
    <w:p>
      <w:pPr>
        <w:pStyle w:val="64"/>
        <w:numPr>
          <w:ilvl w:val="0"/>
          <w:numId w:val="13"/>
        </w:numPr>
        <w:spacing w:line="360" w:lineRule="auto"/>
        <w:ind w:firstLineChars="0"/>
        <w:rPr>
          <w:rFonts w:hint="eastAsia" w:ascii="宋体" w:hAnsi="宋体" w:cs="宋体"/>
          <w:bCs/>
          <w:sz w:val="24"/>
          <w:szCs w:val="24"/>
        </w:rPr>
      </w:pPr>
      <w:r>
        <w:rPr>
          <w:rFonts w:hint="eastAsia" w:ascii="宋体" w:hAnsi="宋体" w:cs="宋体"/>
          <w:bCs/>
          <w:sz w:val="24"/>
          <w:szCs w:val="24"/>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64"/>
        <w:numPr>
          <w:ilvl w:val="0"/>
          <w:numId w:val="13"/>
        </w:numPr>
        <w:spacing w:line="360" w:lineRule="auto"/>
        <w:ind w:firstLineChars="0"/>
        <w:rPr>
          <w:rFonts w:hint="eastAsia" w:ascii="宋体" w:hAnsi="宋体" w:cs="宋体"/>
          <w:bCs/>
          <w:sz w:val="24"/>
          <w:szCs w:val="24"/>
        </w:rPr>
      </w:pPr>
      <w:r>
        <w:rPr>
          <w:rFonts w:hint="eastAsia" w:ascii="宋体" w:hAnsi="宋体" w:cs="宋体"/>
          <w:bCs/>
          <w:sz w:val="24"/>
          <w:szCs w:val="24"/>
        </w:rPr>
        <w:t>招标文件的澄清或修改内容作为招标文件的组成部分，具有约束作用。当招标文件、招标文件的澄清或修改等在同一内容的表述上不一致时，以最后发出的书面文件为准。</w:t>
      </w:r>
    </w:p>
    <w:p>
      <w:pPr>
        <w:pStyle w:val="64"/>
        <w:numPr>
          <w:ilvl w:val="0"/>
          <w:numId w:val="13"/>
        </w:numPr>
        <w:spacing w:line="360" w:lineRule="auto"/>
        <w:ind w:firstLineChars="0"/>
        <w:rPr>
          <w:rFonts w:hint="eastAsia" w:ascii="宋体" w:hAnsi="宋体" w:cs="宋体"/>
          <w:bCs/>
          <w:sz w:val="24"/>
          <w:szCs w:val="24"/>
        </w:rPr>
      </w:pPr>
      <w:r>
        <w:rPr>
          <w:rFonts w:hint="eastAsia" w:ascii="宋体" w:hAnsi="宋体" w:cs="宋体"/>
          <w:bCs/>
          <w:sz w:val="24"/>
          <w:szCs w:val="24"/>
        </w:rPr>
        <w:t>招标期间，投标人有义务上网查看，公告一经上网发布，即视为送达。投标人应于收到该澄清或修改文件的二十四小时内以书面形式给予确认。</w:t>
      </w:r>
    </w:p>
    <w:p>
      <w:pPr>
        <w:pStyle w:val="64"/>
        <w:numPr>
          <w:ilvl w:val="0"/>
          <w:numId w:val="5"/>
        </w:numPr>
        <w:spacing w:before="312" w:beforeLines="100" w:line="360" w:lineRule="auto"/>
        <w:ind w:firstLine="0" w:firstLineChars="0"/>
        <w:outlineLvl w:val="1"/>
        <w:rPr>
          <w:rFonts w:hint="eastAsia" w:ascii="黑体" w:hAnsi="黑体" w:eastAsia="黑体"/>
          <w:b/>
          <w:bCs/>
          <w:sz w:val="28"/>
          <w:szCs w:val="28"/>
        </w:rPr>
      </w:pPr>
      <w:bookmarkStart w:id="52" w:name="_Toc9880"/>
      <w:bookmarkStart w:id="53" w:name="_Toc31968"/>
      <w:bookmarkStart w:id="54" w:name="_Toc24370"/>
      <w:bookmarkStart w:id="55" w:name="_Toc2232"/>
      <w:r>
        <w:rPr>
          <w:rFonts w:hint="eastAsia" w:ascii="黑体" w:hAnsi="黑体" w:eastAsia="黑体"/>
          <w:b/>
          <w:bCs/>
          <w:sz w:val="28"/>
          <w:szCs w:val="28"/>
        </w:rPr>
        <w:t>投标文件的编制</w:t>
      </w:r>
      <w:bookmarkEnd w:id="52"/>
      <w:bookmarkEnd w:id="53"/>
    </w:p>
    <w:p>
      <w:pPr>
        <w:pStyle w:val="64"/>
        <w:numPr>
          <w:ilvl w:val="0"/>
          <w:numId w:val="6"/>
        </w:numPr>
        <w:spacing w:line="360" w:lineRule="auto"/>
        <w:ind w:firstLineChars="0"/>
        <w:rPr>
          <w:rFonts w:hint="eastAsia" w:ascii="宋体" w:hAnsi="宋体" w:cs="宋体"/>
          <w:b/>
          <w:sz w:val="24"/>
          <w:szCs w:val="28"/>
        </w:rPr>
      </w:pPr>
      <w:r>
        <w:rPr>
          <w:rFonts w:hint="eastAsia" w:ascii="宋体" w:hAnsi="宋体" w:cs="宋体"/>
          <w:b/>
          <w:sz w:val="24"/>
          <w:szCs w:val="28"/>
        </w:rPr>
        <w:t>投标的语言</w:t>
      </w:r>
    </w:p>
    <w:p>
      <w:pPr>
        <w:pStyle w:val="64"/>
        <w:numPr>
          <w:ilvl w:val="0"/>
          <w:numId w:val="14"/>
        </w:numPr>
        <w:spacing w:line="360" w:lineRule="auto"/>
        <w:ind w:firstLineChars="0"/>
        <w:rPr>
          <w:rFonts w:hint="eastAsia" w:ascii="宋体" w:hAnsi="宋体" w:cs="宋体"/>
          <w:bCs/>
          <w:sz w:val="24"/>
          <w:szCs w:val="24"/>
        </w:rPr>
      </w:pPr>
      <w:r>
        <w:rPr>
          <w:rFonts w:hint="eastAsia" w:ascii="宋体" w:hAnsi="宋体" w:cs="宋体"/>
          <w:bCs/>
          <w:sz w:val="24"/>
          <w:szCs w:val="24"/>
        </w:rPr>
        <w:t>投标人提交的投标文件以及投标人与招标采购单位就有关投标的所有来往函电均应使用中文书写。投标人提交的支持资料和己印刷的文献可以用另一种语言，但相应内容应附有中文翻译本，在解释投标文件的修改内容时以中文翻译本为准。对中文翻译有异议的，以权威机构的译本为准。</w:t>
      </w:r>
    </w:p>
    <w:p>
      <w:pPr>
        <w:pStyle w:val="64"/>
        <w:numPr>
          <w:ilvl w:val="0"/>
          <w:numId w:val="6"/>
        </w:numPr>
        <w:spacing w:before="312" w:beforeLines="100" w:line="360" w:lineRule="auto"/>
        <w:ind w:firstLineChars="0"/>
        <w:rPr>
          <w:rFonts w:hint="eastAsia" w:ascii="宋体" w:hAnsi="宋体" w:cs="宋体"/>
          <w:b/>
          <w:sz w:val="24"/>
          <w:szCs w:val="28"/>
        </w:rPr>
      </w:pPr>
      <w:bookmarkStart w:id="56" w:name="_Toc357676120"/>
      <w:r>
        <w:rPr>
          <w:rFonts w:hint="eastAsia" w:ascii="宋体" w:hAnsi="宋体" w:cs="宋体"/>
          <w:b/>
          <w:sz w:val="24"/>
          <w:szCs w:val="28"/>
        </w:rPr>
        <w:t>投标文件的构成</w:t>
      </w:r>
      <w:bookmarkEnd w:id="56"/>
    </w:p>
    <w:p>
      <w:pPr>
        <w:pStyle w:val="64"/>
        <w:numPr>
          <w:ilvl w:val="0"/>
          <w:numId w:val="15"/>
        </w:numPr>
        <w:spacing w:line="360" w:lineRule="auto"/>
        <w:ind w:firstLineChars="0"/>
        <w:rPr>
          <w:rFonts w:hint="eastAsia" w:ascii="宋体" w:hAnsi="宋体" w:cs="宋体"/>
          <w:bCs/>
          <w:sz w:val="24"/>
          <w:szCs w:val="24"/>
        </w:rPr>
      </w:pPr>
      <w:r>
        <w:rPr>
          <w:rFonts w:hint="eastAsia" w:ascii="宋体" w:hAnsi="宋体" w:cs="宋体"/>
          <w:bCs/>
          <w:sz w:val="24"/>
          <w:szCs w:val="24"/>
        </w:rPr>
        <w:t>投标人编写的投标文件，编排顺序参见投标文件格式。投标文件的构成应符合法律法规及招标文件的要求。</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投标文件的编写</w:t>
      </w:r>
    </w:p>
    <w:p>
      <w:pPr>
        <w:pStyle w:val="64"/>
        <w:numPr>
          <w:ilvl w:val="0"/>
          <w:numId w:val="1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投标人应完整、真实、准确地填写招标文件中提供的投标函、开标一览表、分项报价表（如适用）以及招标文件中规定的其它所有内容。</w:t>
      </w:r>
    </w:p>
    <w:p>
      <w:pPr>
        <w:pStyle w:val="64"/>
        <w:numPr>
          <w:ilvl w:val="0"/>
          <w:numId w:val="1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pPr>
        <w:pStyle w:val="64"/>
        <w:numPr>
          <w:ilvl w:val="0"/>
          <w:numId w:val="1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投标人必须对投标文件所提供的全部资料的真实性承担法律责任，并无条件接受采购人和监督管理部门对其中任何资料进行核实（核对原件）的要求。</w:t>
      </w:r>
    </w:p>
    <w:p>
      <w:pPr>
        <w:pStyle w:val="64"/>
        <w:numPr>
          <w:ilvl w:val="0"/>
          <w:numId w:val="1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如果因为投标人的投标文件只填写和提供了本招标文件要求的部分内容和附件，或没有提供招标文件中所要求的全部资料及数据，由此造成的后果和责任由投标人承担。</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投标报价</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投标人应按照“第二部分 采购需求”中采购项目服务要求规定的内容、责任范围进行报价。并按《开标一览表》及《分项报价表》（如适用）的要求报出总价和分项价格。</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投标分项报价表内容应包含：</w:t>
      </w:r>
    </w:p>
    <w:p>
      <w:pPr>
        <w:pStyle w:val="64"/>
        <w:numPr>
          <w:ilvl w:val="2"/>
          <w:numId w:val="18"/>
        </w:numPr>
        <w:spacing w:line="360" w:lineRule="auto"/>
        <w:ind w:firstLineChars="0"/>
        <w:rPr>
          <w:rFonts w:hint="eastAsia" w:ascii="宋体" w:hAnsi="宋体" w:cs="宋体"/>
          <w:bCs/>
          <w:sz w:val="24"/>
          <w:szCs w:val="24"/>
        </w:rPr>
      </w:pPr>
      <w:r>
        <w:rPr>
          <w:rFonts w:hint="eastAsia" w:ascii="宋体" w:hAnsi="宋体" w:cs="宋体"/>
          <w:bCs/>
          <w:sz w:val="24"/>
          <w:szCs w:val="24"/>
        </w:rPr>
        <w:t>招标文件要求全部货物及服务所需的费用；</w:t>
      </w:r>
    </w:p>
    <w:p>
      <w:pPr>
        <w:pStyle w:val="64"/>
        <w:numPr>
          <w:ilvl w:val="2"/>
          <w:numId w:val="18"/>
        </w:numPr>
        <w:spacing w:line="360" w:lineRule="auto"/>
        <w:ind w:firstLineChars="0"/>
        <w:rPr>
          <w:rFonts w:hint="eastAsia" w:ascii="宋体" w:hAnsi="宋体" w:cs="宋体"/>
          <w:bCs/>
          <w:sz w:val="24"/>
          <w:szCs w:val="24"/>
        </w:rPr>
      </w:pPr>
      <w:r>
        <w:rPr>
          <w:rFonts w:hint="eastAsia" w:ascii="宋体" w:hAnsi="宋体" w:cs="宋体"/>
          <w:bCs/>
          <w:sz w:val="24"/>
          <w:szCs w:val="24"/>
        </w:rPr>
        <w:t>投标报价包含履行合同所有相关内容所需的费用；</w:t>
      </w:r>
    </w:p>
    <w:p>
      <w:pPr>
        <w:pStyle w:val="64"/>
        <w:numPr>
          <w:ilvl w:val="2"/>
          <w:numId w:val="18"/>
        </w:numPr>
        <w:spacing w:line="360" w:lineRule="auto"/>
        <w:ind w:firstLineChars="0"/>
        <w:rPr>
          <w:rFonts w:hint="eastAsia" w:ascii="宋体" w:hAnsi="宋体" w:cs="宋体"/>
          <w:bCs/>
          <w:sz w:val="24"/>
          <w:szCs w:val="24"/>
        </w:rPr>
      </w:pPr>
      <w:r>
        <w:rPr>
          <w:rFonts w:hint="eastAsia" w:ascii="宋体" w:hAnsi="宋体" w:cs="宋体"/>
          <w:bCs/>
          <w:sz w:val="24"/>
          <w:szCs w:val="24"/>
        </w:rPr>
        <w:t>投标报价均应包含所有的税费；</w:t>
      </w:r>
    </w:p>
    <w:p>
      <w:pPr>
        <w:pStyle w:val="64"/>
        <w:numPr>
          <w:ilvl w:val="2"/>
          <w:numId w:val="18"/>
        </w:numPr>
        <w:spacing w:line="360" w:lineRule="auto"/>
        <w:ind w:firstLineChars="0"/>
        <w:rPr>
          <w:rFonts w:hint="eastAsia" w:ascii="宋体" w:hAnsi="宋体" w:cs="宋体"/>
          <w:bCs/>
          <w:sz w:val="24"/>
          <w:szCs w:val="24"/>
        </w:rPr>
      </w:pPr>
      <w:r>
        <w:rPr>
          <w:rFonts w:hint="eastAsia" w:ascii="宋体" w:hAnsi="宋体" w:cs="宋体"/>
          <w:bCs/>
          <w:sz w:val="24"/>
          <w:szCs w:val="24"/>
        </w:rPr>
        <w:t>其他一切隐含及不可预见的费用。</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投标报价为本次招标内容的总价包干，投标报价即为合同价，不得在中标后提出任何增加费用要求，投标人在投标时应充分考虑相关风险性因素。</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投标人在中标并签署合同后，服务期限内出现的任何遗漏，均由中标人负责，采购人将不再支付任何费用。</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投标须知前附表 </w:t>
      </w:r>
      <w:r>
        <w:rPr>
          <w:rFonts w:hint="eastAsia" w:ascii="宋体" w:hAnsi="宋体" w:cs="宋体"/>
          <w:bCs/>
          <w:sz w:val="24"/>
          <w:szCs w:val="24"/>
        </w:rPr>
        <w:t>中另有规定外，投标人所报的投标价在合同执行过程中是固定不变的，不得以任何理由予以变更。任何包含价格调整要求的投标被认为是非实质性响应投标而予以拒绝。</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投标须知前附表 </w:t>
      </w:r>
      <w:r>
        <w:rPr>
          <w:rFonts w:hint="eastAsia" w:ascii="宋体" w:hAnsi="宋体" w:cs="宋体"/>
          <w:bCs/>
          <w:sz w:val="24"/>
          <w:szCs w:val="24"/>
        </w:rPr>
        <w:t>中允许有备选方案外，本次招标不接受选择性报价，否则将被视为无效投标。</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投标须知前附表 </w:t>
      </w:r>
      <w:r>
        <w:rPr>
          <w:rFonts w:hint="eastAsia" w:ascii="宋体" w:hAnsi="宋体" w:cs="宋体"/>
          <w:bCs/>
          <w:sz w:val="24"/>
          <w:szCs w:val="24"/>
        </w:rPr>
        <w:t>另有规定外，本次招标不接受具有附加条件的报价，否则将被视为无效投标。</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
          <w:bCs/>
          <w:spacing w:val="-6"/>
          <w:sz w:val="24"/>
          <w:szCs w:val="24"/>
        </w:rPr>
        <w:t>投标人的投标报价高于采购预算或最高单价限价的，该投标人的投标文件将被视为非响应性报价作无效投标处理。</w:t>
      </w:r>
    </w:p>
    <w:p>
      <w:pPr>
        <w:pStyle w:val="64"/>
        <w:numPr>
          <w:ilvl w:val="0"/>
          <w:numId w:val="1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中标人向采购代理机构交纳中标服务费，中标服务费不在投标报价中单列。</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投标货币</w:t>
      </w:r>
    </w:p>
    <w:p>
      <w:pPr>
        <w:pStyle w:val="64"/>
        <w:numPr>
          <w:ilvl w:val="0"/>
          <w:numId w:val="19"/>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投标货币以人民币标价，以其它货币标价的投标将予以拒绝。</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联合体投标</w:t>
      </w:r>
    </w:p>
    <w:p>
      <w:pPr>
        <w:pStyle w:val="64"/>
        <w:numPr>
          <w:ilvl w:val="0"/>
          <w:numId w:val="2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除非</w:t>
      </w:r>
      <w:r>
        <w:rPr>
          <w:rFonts w:hint="eastAsia" w:ascii="宋体" w:hAnsi="宋体" w:cs="宋体"/>
          <w:b/>
          <w:bCs/>
          <w:sz w:val="24"/>
          <w:szCs w:val="24"/>
          <w:u w:val="single"/>
        </w:rPr>
        <w:t>投标邀请函</w:t>
      </w:r>
      <w:r>
        <w:rPr>
          <w:rFonts w:hint="eastAsia" w:ascii="宋体" w:hAnsi="宋体" w:cs="宋体"/>
          <w:bCs/>
          <w:sz w:val="24"/>
          <w:szCs w:val="24"/>
        </w:rPr>
        <w:t>中另有规定，不接受联合体投标。如果投标邀请中规定允许联合体投标的，则必须满足：</w:t>
      </w:r>
    </w:p>
    <w:p>
      <w:pPr>
        <w:pStyle w:val="64"/>
        <w:numPr>
          <w:ilvl w:val="0"/>
          <w:numId w:val="21"/>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以联合体形式进行采购的，联合体各方之间应当签订联合体协议，明确约定联合体各方承担的工作和义务，并将共同联合体协议连同投标文件一并提交；</w:t>
      </w:r>
    </w:p>
    <w:p>
      <w:pPr>
        <w:pStyle w:val="64"/>
        <w:numPr>
          <w:ilvl w:val="0"/>
          <w:numId w:val="21"/>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联合体各方签订共同投标协议书后，不得再以自己名义单独在同一项目（采购包）中投标，也不得组成新的联合体参加同一项目（采购包）投标，若违反规定则其参与的所有投标将视为无效投标；</w:t>
      </w:r>
    </w:p>
    <w:p>
      <w:pPr>
        <w:pStyle w:val="64"/>
        <w:numPr>
          <w:ilvl w:val="0"/>
          <w:numId w:val="21"/>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联合体投标的，可以由联合体中的一方或者共同提交投标保证金，以一方名义提交投标保证金的，对联合体各方均具有约束力；</w:t>
      </w:r>
    </w:p>
    <w:p>
      <w:pPr>
        <w:pStyle w:val="64"/>
        <w:numPr>
          <w:ilvl w:val="0"/>
          <w:numId w:val="21"/>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联合体中有同类资质的投标人按照联合体分工承担相同工作的，按照资质等级较低的投标人确定资质等级。</w:t>
      </w:r>
    </w:p>
    <w:p>
      <w:pPr>
        <w:pStyle w:val="64"/>
        <w:numPr>
          <w:ilvl w:val="0"/>
          <w:numId w:val="21"/>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联合体各方应当共同与采购人签订采购合同，就采购合同约定的事项对采购人承担连带责任。</w:t>
      </w:r>
    </w:p>
    <w:p>
      <w:pPr>
        <w:pStyle w:val="64"/>
        <w:numPr>
          <w:ilvl w:val="0"/>
          <w:numId w:val="6"/>
        </w:numPr>
        <w:spacing w:before="312" w:beforeLines="100" w:line="360" w:lineRule="auto"/>
        <w:ind w:firstLineChars="0"/>
        <w:rPr>
          <w:rFonts w:hint="eastAsia" w:ascii="宋体" w:hAnsi="宋体" w:cs="宋体"/>
          <w:b/>
          <w:sz w:val="24"/>
          <w:szCs w:val="28"/>
        </w:rPr>
      </w:pPr>
      <w:bookmarkStart w:id="57" w:name="_Toc357676125"/>
      <w:r>
        <w:rPr>
          <w:rFonts w:hint="eastAsia" w:ascii="宋体" w:hAnsi="宋体" w:cs="宋体"/>
          <w:b/>
          <w:sz w:val="24"/>
          <w:szCs w:val="28"/>
        </w:rPr>
        <w:t>关于中小微企业投标</w:t>
      </w:r>
    </w:p>
    <w:p>
      <w:pPr>
        <w:pStyle w:val="64"/>
        <w:numPr>
          <w:ilvl w:val="0"/>
          <w:numId w:val="22"/>
        </w:numPr>
        <w:spacing w:line="360" w:lineRule="auto"/>
        <w:ind w:left="567" w:hanging="567" w:firstLineChars="0"/>
        <w:rPr>
          <w:rFonts w:hint="eastAsia" w:ascii="宋体" w:hAnsi="宋体" w:cs="宋体"/>
          <w:bCs/>
          <w:sz w:val="24"/>
          <w:szCs w:val="28"/>
        </w:rPr>
      </w:pPr>
      <w:r>
        <w:rPr>
          <w:rFonts w:hint="eastAsia" w:ascii="宋体" w:hAnsi="宋体" w:cs="宋体"/>
          <w:bCs/>
          <w:sz w:val="24"/>
          <w:szCs w:val="28"/>
        </w:rPr>
        <w:t>中小微企业响应是指在采购活动中，供应商提供的货物均由中小微企业制造、工程均由中小微企业承建或者服务均由中小微企业承接，并在投标文件中提供《中小企业声明函》。</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证明投标人合格和资格的文件</w:t>
      </w:r>
      <w:bookmarkEnd w:id="57"/>
    </w:p>
    <w:p>
      <w:pPr>
        <w:pStyle w:val="64"/>
        <w:numPr>
          <w:ilvl w:val="0"/>
          <w:numId w:val="2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提交证明其有资格参加投标和中标后有能力履行合同的文件，并作为其投标文件的一部分。如果投标人为联合体，应提交联合体各方的资格证明文件、共同投标协议并注明主体方及各方拟承担的工作和责任。</w:t>
      </w:r>
    </w:p>
    <w:p>
      <w:pPr>
        <w:pStyle w:val="64"/>
        <w:numPr>
          <w:ilvl w:val="0"/>
          <w:numId w:val="2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投标人提交的资格证明文件应证明其满足本须知定义的合格投标人。</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投标担保</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投标人投标时须附有投标保证金为：</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 xml:space="preserve">） </w:t>
      </w:r>
      <w:r>
        <w:rPr>
          <w:rFonts w:hint="eastAsia" w:ascii="宋体" w:hAnsi="宋体" w:cs="宋体"/>
          <w:bCs/>
          <w:sz w:val="24"/>
          <w:szCs w:val="24"/>
        </w:rPr>
        <w:t>。</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投标保证金作为供应商投标的组成部分，与投标文件一同递交。</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投标人应按要求提交投标保证金，投标保证金应当以支票、汇票、本票或者金融机构、担保机构出具的保函等非现金形式提交。投标人与交款人名称必须一致，非投标人缴纳的投标保证金无效。</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如项目出现分包情况的，投标人必须按包号分别提交投标保证金并注明包号；</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提交保证金时应符合下列规定：</w:t>
      </w:r>
    </w:p>
    <w:p>
      <w:pPr>
        <w:pStyle w:val="64"/>
        <w:numPr>
          <w:ilvl w:val="0"/>
          <w:numId w:val="25"/>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投标保证金以转账形式递交的，请务必按以下信息填写汇款单：</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w:t>
      </w:r>
      <w:r>
        <w:rPr>
          <w:rFonts w:hint="eastAsia" w:ascii="宋体" w:hAnsi="宋体" w:cs="宋体"/>
          <w:bCs/>
          <w:sz w:val="24"/>
          <w:szCs w:val="24"/>
        </w:rPr>
        <w:t>账户上；</w:t>
      </w:r>
    </w:p>
    <w:p>
      <w:pPr>
        <w:pStyle w:val="64"/>
        <w:numPr>
          <w:ilvl w:val="0"/>
          <w:numId w:val="25"/>
        </w:numPr>
        <w:spacing w:line="360" w:lineRule="auto"/>
        <w:ind w:left="709" w:hanging="709" w:firstLineChars="0"/>
        <w:rPr>
          <w:rFonts w:hint="eastAsia" w:ascii="宋体" w:hAnsi="宋体" w:cs="宋体"/>
          <w:bCs/>
          <w:sz w:val="24"/>
          <w:szCs w:val="24"/>
        </w:rPr>
      </w:pPr>
      <w:r>
        <w:rPr>
          <w:rFonts w:hint="eastAsia" w:ascii="宋体" w:hAnsi="宋体" w:cs="宋体"/>
          <w:bCs/>
          <w:sz w:val="24"/>
          <w:szCs w:val="24"/>
        </w:rPr>
        <w:t>采用《投标担保函》递交的，投标担保函有效期应与投标有效期一致。</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未中标的投标人的投标保证金将在本项目《中标通知书》发出之日起5个工作日内退还。中标人的投标保证金自采购合同签订之日起5个工作日内退还。</w:t>
      </w:r>
    </w:p>
    <w:p>
      <w:pPr>
        <w:pStyle w:val="64"/>
        <w:numPr>
          <w:ilvl w:val="0"/>
          <w:numId w:val="24"/>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中标人有下列情形之一的，投标保证金将被没收：</w:t>
      </w:r>
    </w:p>
    <w:p>
      <w:pPr>
        <w:pStyle w:val="64"/>
        <w:numPr>
          <w:ilvl w:val="0"/>
          <w:numId w:val="26"/>
        </w:numPr>
        <w:spacing w:line="360" w:lineRule="auto"/>
        <w:ind w:firstLineChars="0"/>
        <w:rPr>
          <w:rFonts w:hint="eastAsia" w:ascii="宋体" w:hAnsi="宋体" w:cs="宋体"/>
          <w:bCs/>
          <w:sz w:val="24"/>
          <w:szCs w:val="24"/>
        </w:rPr>
      </w:pPr>
      <w:r>
        <w:rPr>
          <w:rFonts w:hint="eastAsia" w:ascii="宋体" w:hAnsi="宋体" w:cs="宋体"/>
          <w:bCs/>
          <w:sz w:val="24"/>
          <w:szCs w:val="24"/>
        </w:rPr>
        <w:t>投标人在招标文件中规定的投标有效期内撤销其投标文件；</w:t>
      </w:r>
    </w:p>
    <w:p>
      <w:pPr>
        <w:pStyle w:val="64"/>
        <w:numPr>
          <w:ilvl w:val="0"/>
          <w:numId w:val="26"/>
        </w:numPr>
        <w:spacing w:line="360" w:lineRule="auto"/>
        <w:ind w:firstLineChars="0"/>
        <w:rPr>
          <w:rFonts w:hint="eastAsia" w:ascii="宋体" w:hAnsi="宋体" w:cs="宋体"/>
          <w:bCs/>
          <w:sz w:val="24"/>
          <w:szCs w:val="24"/>
        </w:rPr>
      </w:pPr>
      <w:r>
        <w:rPr>
          <w:rFonts w:hint="eastAsia" w:ascii="宋体" w:hAnsi="宋体" w:cs="宋体"/>
          <w:bCs/>
          <w:sz w:val="24"/>
          <w:szCs w:val="24"/>
        </w:rPr>
        <w:t>提供虚假材料谋取中标的；</w:t>
      </w:r>
    </w:p>
    <w:p>
      <w:pPr>
        <w:pStyle w:val="64"/>
        <w:numPr>
          <w:ilvl w:val="0"/>
          <w:numId w:val="26"/>
        </w:numPr>
        <w:spacing w:line="360" w:lineRule="auto"/>
        <w:ind w:firstLineChars="0"/>
        <w:rPr>
          <w:rFonts w:hint="eastAsia" w:ascii="宋体" w:hAnsi="宋体" w:cs="宋体"/>
          <w:bCs/>
          <w:sz w:val="24"/>
          <w:szCs w:val="24"/>
        </w:rPr>
      </w:pPr>
      <w:r>
        <w:rPr>
          <w:rFonts w:hint="eastAsia" w:ascii="宋体" w:hAnsi="宋体" w:cs="宋体"/>
          <w:bCs/>
          <w:sz w:val="24"/>
          <w:szCs w:val="24"/>
        </w:rPr>
        <w:t>中标后，无正当理由放弃中标资格；</w:t>
      </w:r>
    </w:p>
    <w:p>
      <w:pPr>
        <w:pStyle w:val="64"/>
        <w:numPr>
          <w:ilvl w:val="0"/>
          <w:numId w:val="26"/>
        </w:numPr>
        <w:spacing w:line="360" w:lineRule="auto"/>
        <w:ind w:firstLineChars="0"/>
        <w:rPr>
          <w:rFonts w:hint="eastAsia" w:ascii="宋体" w:hAnsi="宋体" w:cs="宋体"/>
          <w:bCs/>
          <w:sz w:val="24"/>
          <w:szCs w:val="24"/>
        </w:rPr>
      </w:pPr>
      <w:r>
        <w:rPr>
          <w:rFonts w:hint="eastAsia" w:ascii="宋体" w:hAnsi="宋体" w:cs="宋体"/>
          <w:bCs/>
          <w:sz w:val="24"/>
          <w:szCs w:val="24"/>
        </w:rPr>
        <w:t>中标后，无正当理由不与采购人签订合同；</w:t>
      </w:r>
    </w:p>
    <w:p>
      <w:pPr>
        <w:pStyle w:val="64"/>
        <w:numPr>
          <w:ilvl w:val="0"/>
          <w:numId w:val="26"/>
        </w:numPr>
        <w:spacing w:line="360" w:lineRule="auto"/>
        <w:ind w:firstLineChars="0"/>
        <w:rPr>
          <w:rFonts w:hint="eastAsia" w:ascii="宋体" w:hAnsi="宋体" w:cs="宋体"/>
          <w:bCs/>
          <w:sz w:val="24"/>
          <w:szCs w:val="24"/>
        </w:rPr>
      </w:pPr>
      <w:r>
        <w:rPr>
          <w:rFonts w:hint="eastAsia" w:ascii="宋体" w:hAnsi="宋体" w:cs="宋体"/>
          <w:bCs/>
          <w:sz w:val="24"/>
          <w:szCs w:val="24"/>
        </w:rPr>
        <w:t>法律法规规定的其它行为。</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投标有效期</w:t>
      </w:r>
    </w:p>
    <w:p>
      <w:pPr>
        <w:pStyle w:val="64"/>
        <w:numPr>
          <w:ilvl w:val="0"/>
          <w:numId w:val="27"/>
        </w:numPr>
        <w:spacing w:line="360" w:lineRule="auto"/>
        <w:ind w:left="567" w:hanging="567" w:firstLineChars="0"/>
        <w:rPr>
          <w:rFonts w:hint="eastAsia" w:ascii="宋体" w:hAnsi="宋体" w:cs="宋体"/>
          <w:bCs/>
          <w:spacing w:val="-2"/>
          <w:sz w:val="24"/>
          <w:szCs w:val="24"/>
        </w:rPr>
      </w:pPr>
      <w:r>
        <w:rPr>
          <w:rFonts w:hint="eastAsia" w:ascii="宋体" w:hAnsi="宋体" w:cs="宋体"/>
          <w:bCs/>
          <w:spacing w:val="-2"/>
          <w:sz w:val="24"/>
          <w:szCs w:val="24"/>
        </w:rPr>
        <w:t>投标</w:t>
      </w:r>
      <w:r>
        <w:rPr>
          <w:rFonts w:hint="eastAsia" w:ascii="宋体" w:hAnsi="宋体" w:cs="宋体"/>
          <w:sz w:val="24"/>
          <w:szCs w:val="28"/>
        </w:rPr>
        <w:t>有效期自招标文件规定的</w:t>
      </w:r>
      <w:r>
        <w:rPr>
          <w:rFonts w:hint="eastAsia" w:ascii="宋体" w:hAnsi="宋体" w:cs="宋体"/>
          <w:bCs/>
          <w:spacing w:val="-2"/>
          <w:sz w:val="24"/>
          <w:szCs w:val="24"/>
        </w:rPr>
        <w:t>投标文件</w:t>
      </w:r>
      <w:r>
        <w:rPr>
          <w:rFonts w:hint="eastAsia" w:ascii="宋体" w:hAnsi="宋体" w:cs="宋体"/>
          <w:sz w:val="24"/>
          <w:szCs w:val="28"/>
        </w:rPr>
        <w:t>递交截止时间起算</w:t>
      </w:r>
      <w:r>
        <w:rPr>
          <w:rFonts w:hint="eastAsia" w:ascii="宋体" w:hAnsi="宋体" w:cs="宋体"/>
          <w:bCs/>
          <w:spacing w:val="-2"/>
          <w:sz w:val="24"/>
          <w:szCs w:val="24"/>
        </w:rPr>
        <w:t>，并在</w:t>
      </w:r>
      <w:r>
        <w:rPr>
          <w:rFonts w:hint="eastAsia" w:ascii="宋体" w:hAnsi="宋体" w:cs="宋体"/>
          <w:b/>
          <w:sz w:val="24"/>
          <w:szCs w:val="24"/>
          <w:u w:val="single"/>
        </w:rPr>
        <w:t>投标须知前附表</w:t>
      </w:r>
      <w:r>
        <w:rPr>
          <w:rFonts w:hint="eastAsia" w:ascii="宋体" w:hAnsi="宋体" w:cs="宋体"/>
          <w:sz w:val="24"/>
          <w:szCs w:val="28"/>
        </w:rPr>
        <w:t>中所述期限内有效</w:t>
      </w:r>
      <w:r>
        <w:rPr>
          <w:rFonts w:hint="eastAsia" w:ascii="宋体" w:hAnsi="宋体" w:cs="宋体"/>
          <w:bCs/>
          <w:spacing w:val="-2"/>
          <w:sz w:val="24"/>
          <w:szCs w:val="24"/>
        </w:rPr>
        <w:t>。投标有效期</w:t>
      </w:r>
      <w:r>
        <w:rPr>
          <w:rFonts w:hint="eastAsia" w:ascii="宋体" w:hAnsi="宋体" w:cs="宋体"/>
          <w:sz w:val="24"/>
          <w:szCs w:val="28"/>
        </w:rPr>
        <w:t>比规定时间短</w:t>
      </w:r>
      <w:r>
        <w:rPr>
          <w:rFonts w:hint="eastAsia" w:ascii="宋体" w:hAnsi="宋体" w:cs="宋体"/>
          <w:bCs/>
          <w:spacing w:val="-2"/>
          <w:sz w:val="24"/>
          <w:szCs w:val="24"/>
        </w:rPr>
        <w:t>的投标将被视为非实质性响应，视为无效投标。</w:t>
      </w:r>
    </w:p>
    <w:p>
      <w:pPr>
        <w:pStyle w:val="64"/>
        <w:numPr>
          <w:ilvl w:val="0"/>
          <w:numId w:val="27"/>
        </w:numPr>
        <w:spacing w:line="360" w:lineRule="auto"/>
        <w:ind w:left="567" w:hanging="567" w:firstLineChars="0"/>
        <w:rPr>
          <w:rFonts w:hint="eastAsia" w:ascii="宋体" w:hAnsi="宋体" w:cs="宋体"/>
          <w:bCs/>
          <w:spacing w:val="-2"/>
          <w:sz w:val="24"/>
          <w:szCs w:val="24"/>
        </w:rPr>
      </w:pPr>
      <w:r>
        <w:rPr>
          <w:rFonts w:hint="eastAsia" w:ascii="宋体" w:hAnsi="宋体" w:cs="宋体"/>
          <w:bCs/>
          <w:sz w:val="24"/>
          <w:szCs w:val="24"/>
        </w:rPr>
        <w:t>出现特殊情况需延长投标有效期的，采购人或采购代理机构可于投标有效期满之前要求投标人同意延长有效期，要求与答复均以书面形式通知所有投标人。投标人同意延长的，应相应延长其投标保证金的有效期，但不得要求或被允许修改或撤销其投标文件；投标人可以拒绝延长有效期，但其投标将会被视为无效，拒绝延长有效期的投标人有权收回其投标保证金。</w:t>
      </w:r>
    </w:p>
    <w:p>
      <w:pPr>
        <w:pStyle w:val="64"/>
        <w:numPr>
          <w:ilvl w:val="0"/>
          <w:numId w:val="6"/>
        </w:numPr>
        <w:spacing w:before="312" w:beforeLines="100" w:line="360" w:lineRule="auto"/>
        <w:ind w:firstLineChars="0"/>
        <w:rPr>
          <w:rFonts w:hint="eastAsia" w:ascii="宋体" w:hAnsi="宋体" w:cs="宋体"/>
          <w:b/>
          <w:sz w:val="24"/>
          <w:szCs w:val="28"/>
        </w:rPr>
      </w:pPr>
      <w:bookmarkStart w:id="58" w:name="_Toc357676129"/>
      <w:r>
        <w:rPr>
          <w:rFonts w:hint="eastAsia" w:ascii="宋体" w:hAnsi="宋体" w:cs="宋体"/>
          <w:b/>
          <w:sz w:val="24"/>
          <w:szCs w:val="28"/>
        </w:rPr>
        <w:t>投标文件的式样和签署</w:t>
      </w:r>
      <w:bookmarkEnd w:id="58"/>
    </w:p>
    <w:p>
      <w:pPr>
        <w:pStyle w:val="64"/>
        <w:numPr>
          <w:ilvl w:val="0"/>
          <w:numId w:val="2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投标文件的式样：投标人应准备一份投标文件正本、电子文件、唱标信封和</w:t>
      </w:r>
      <w:r>
        <w:rPr>
          <w:rFonts w:hint="eastAsia" w:ascii="宋体" w:hAnsi="宋体" w:cs="宋体"/>
          <w:bCs/>
          <w:sz w:val="24"/>
          <w:szCs w:val="24"/>
          <w:u w:val="single"/>
        </w:rPr>
        <w:t xml:space="preserve"> </w:t>
      </w:r>
      <w:bookmarkStart w:id="59" w:name="_Hlk81180014"/>
      <w:r>
        <w:rPr>
          <w:rFonts w:hint="eastAsia" w:ascii="宋体" w:hAnsi="宋体" w:cs="宋体"/>
          <w:b/>
          <w:sz w:val="24"/>
          <w:szCs w:val="24"/>
          <w:u w:val="single"/>
        </w:rPr>
        <w:t xml:space="preserve">详见投标须知前附表 </w:t>
      </w:r>
      <w:bookmarkEnd w:id="59"/>
      <w:r>
        <w:rPr>
          <w:rFonts w:hint="eastAsia" w:ascii="宋体" w:hAnsi="宋体" w:cs="宋体"/>
          <w:bCs/>
          <w:sz w:val="24"/>
          <w:szCs w:val="24"/>
        </w:rPr>
        <w:t>中规定数目的副本，投标文件的副本可采用正本的复印件。每套投标文件须清楚地标明“正本”或“副本”。若副本与正本不符，以正本为准。</w:t>
      </w:r>
    </w:p>
    <w:p>
      <w:pPr>
        <w:pStyle w:val="64"/>
        <w:numPr>
          <w:ilvl w:val="0"/>
          <w:numId w:val="2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投标文件的签署：</w:t>
      </w:r>
    </w:p>
    <w:p>
      <w:pPr>
        <w:pStyle w:val="64"/>
        <w:numPr>
          <w:ilvl w:val="2"/>
          <w:numId w:val="29"/>
        </w:numPr>
        <w:spacing w:line="360" w:lineRule="auto"/>
        <w:ind w:firstLineChars="0"/>
        <w:rPr>
          <w:rFonts w:hint="eastAsia" w:ascii="宋体" w:hAnsi="宋体" w:cs="宋体"/>
          <w:bCs/>
          <w:sz w:val="24"/>
          <w:szCs w:val="24"/>
        </w:rPr>
      </w:pPr>
      <w:r>
        <w:rPr>
          <w:rFonts w:hint="eastAsia" w:ascii="宋体" w:hAnsi="宋体" w:cs="宋体"/>
          <w:bCs/>
          <w:sz w:val="24"/>
          <w:szCs w:val="24"/>
        </w:rPr>
        <w:t>投标文件的正本需打印或用不褪色墨水书写，投标文件要求签名的由法定代表人或经其正式授权的代表签字，投标文件要求盖章的需加盖投标人公章，副本可由正本复印而成，与正本具有同等法律效力。授权代表须将以书面形式出具的《法定代表人授权委托书》附在投标文件中；</w:t>
      </w:r>
    </w:p>
    <w:p>
      <w:pPr>
        <w:pStyle w:val="64"/>
        <w:numPr>
          <w:ilvl w:val="2"/>
          <w:numId w:val="29"/>
        </w:numPr>
        <w:spacing w:line="360" w:lineRule="auto"/>
        <w:ind w:firstLineChars="0"/>
        <w:rPr>
          <w:rFonts w:hint="eastAsia" w:ascii="宋体" w:hAnsi="宋体" w:cs="宋体"/>
          <w:bCs/>
          <w:sz w:val="24"/>
          <w:szCs w:val="24"/>
        </w:rPr>
      </w:pPr>
      <w:r>
        <w:rPr>
          <w:rFonts w:hint="eastAsia" w:ascii="宋体" w:hAnsi="宋体" w:cs="宋体"/>
          <w:bCs/>
          <w:sz w:val="24"/>
          <w:szCs w:val="24"/>
        </w:rPr>
        <w:t>投标文件中的任何重要的插字、涂改和增删，必须由法定代表人或经其正式授权的代表在旁边签署。</w:t>
      </w:r>
    </w:p>
    <w:p>
      <w:pPr>
        <w:pStyle w:val="64"/>
        <w:numPr>
          <w:ilvl w:val="0"/>
          <w:numId w:val="2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投标文件的“正本”及所有“副本”的封面及骑缝均须由投标人加盖投标人公章。</w:t>
      </w:r>
    </w:p>
    <w:p>
      <w:pPr>
        <w:pStyle w:val="64"/>
        <w:numPr>
          <w:ilvl w:val="0"/>
          <w:numId w:val="5"/>
        </w:numPr>
        <w:spacing w:before="312" w:beforeLines="100" w:line="360" w:lineRule="auto"/>
        <w:ind w:firstLine="0" w:firstLineChars="0"/>
        <w:outlineLvl w:val="1"/>
        <w:rPr>
          <w:rFonts w:hint="eastAsia" w:ascii="黑体" w:hAnsi="黑体" w:eastAsia="黑体"/>
          <w:b/>
          <w:bCs/>
          <w:sz w:val="28"/>
          <w:szCs w:val="28"/>
        </w:rPr>
      </w:pPr>
      <w:r>
        <w:rPr>
          <w:rFonts w:hint="eastAsia" w:ascii="微软雅黑" w:hAnsi="微软雅黑" w:eastAsia="微软雅黑" w:cs="微软雅黑"/>
          <w:b/>
          <w:bCs/>
          <w:sz w:val="28"/>
          <w:szCs w:val="28"/>
        </w:rPr>
        <w:t>投标</w:t>
      </w:r>
      <w:r>
        <w:rPr>
          <w:rFonts w:hint="eastAsia" w:ascii="黑体" w:hAnsi="黑体" w:eastAsia="黑体"/>
          <w:b/>
          <w:bCs/>
          <w:sz w:val="28"/>
          <w:szCs w:val="28"/>
        </w:rPr>
        <w:t>文件的递交</w:t>
      </w:r>
      <w:bookmarkEnd w:id="54"/>
      <w:bookmarkEnd w:id="55"/>
    </w:p>
    <w:p>
      <w:pPr>
        <w:pStyle w:val="64"/>
        <w:numPr>
          <w:ilvl w:val="0"/>
          <w:numId w:val="6"/>
        </w:numPr>
        <w:spacing w:line="360" w:lineRule="auto"/>
        <w:ind w:firstLineChars="0"/>
        <w:rPr>
          <w:rFonts w:hint="eastAsia" w:ascii="宋体" w:hAnsi="宋体" w:cs="宋体"/>
          <w:b/>
          <w:sz w:val="24"/>
          <w:szCs w:val="24"/>
        </w:rPr>
      </w:pPr>
      <w:bookmarkStart w:id="60" w:name="_Toc357676131"/>
      <w:r>
        <w:rPr>
          <w:rFonts w:hint="eastAsia" w:ascii="宋体" w:hAnsi="宋体" w:cs="宋体"/>
          <w:b/>
          <w:sz w:val="24"/>
          <w:szCs w:val="24"/>
        </w:rPr>
        <w:t>投标文件的装订、密封和标记</w:t>
      </w:r>
      <w:bookmarkEnd w:id="60"/>
    </w:p>
    <w:p>
      <w:pPr>
        <w:pStyle w:val="64"/>
        <w:numPr>
          <w:ilvl w:val="0"/>
          <w:numId w:val="3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投标人应当对投标文件进行装订（所有文件均不允许采用活动夹方式装订），如投标人对招标文件多个包组进行投标的，其投标文件的编制应按每个包的要求分别装订和封装。</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689"/>
        <w:gridCol w:w="1762"/>
        <w:gridCol w:w="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96" w:type="pct"/>
            <w:noWrap w:val="0"/>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序号</w:t>
            </w:r>
          </w:p>
        </w:tc>
        <w:tc>
          <w:tcPr>
            <w:tcW w:w="1413" w:type="pct"/>
            <w:noWrap w:val="0"/>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文件名称</w:t>
            </w:r>
          </w:p>
        </w:tc>
        <w:tc>
          <w:tcPr>
            <w:tcW w:w="926" w:type="pct"/>
            <w:noWrap w:val="0"/>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装订</w:t>
            </w:r>
          </w:p>
        </w:tc>
        <w:tc>
          <w:tcPr>
            <w:tcW w:w="2264" w:type="pct"/>
            <w:noWrap w:val="0"/>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1</w:t>
            </w:r>
          </w:p>
        </w:tc>
        <w:tc>
          <w:tcPr>
            <w:tcW w:w="1413"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投标文件</w:t>
            </w:r>
          </w:p>
        </w:tc>
        <w:tc>
          <w:tcPr>
            <w:tcW w:w="926"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独立装订</w:t>
            </w:r>
          </w:p>
        </w:tc>
        <w:tc>
          <w:tcPr>
            <w:tcW w:w="2264"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正本、副本一起密封包装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2</w:t>
            </w:r>
          </w:p>
        </w:tc>
        <w:tc>
          <w:tcPr>
            <w:tcW w:w="1413"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唱标信封</w:t>
            </w:r>
          </w:p>
        </w:tc>
        <w:tc>
          <w:tcPr>
            <w:tcW w:w="926"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独立装订</w:t>
            </w:r>
          </w:p>
        </w:tc>
        <w:tc>
          <w:tcPr>
            <w:tcW w:w="2264" w:type="pct"/>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单独密封包装(内附电子文件)</w:t>
            </w:r>
          </w:p>
        </w:tc>
      </w:tr>
    </w:tbl>
    <w:p>
      <w:pPr>
        <w:pStyle w:val="64"/>
        <w:numPr>
          <w:ilvl w:val="0"/>
          <w:numId w:val="30"/>
        </w:numPr>
        <w:spacing w:line="360" w:lineRule="auto"/>
        <w:ind w:firstLineChars="0"/>
        <w:rPr>
          <w:rFonts w:hint="eastAsia" w:ascii="宋体" w:hAnsi="宋体" w:cs="宋体"/>
          <w:bCs/>
          <w:sz w:val="24"/>
          <w:szCs w:val="24"/>
        </w:rPr>
      </w:pPr>
      <w:r>
        <w:rPr>
          <w:rFonts w:hint="eastAsia" w:ascii="宋体" w:hAnsi="宋体" w:cs="宋体"/>
          <w:bCs/>
          <w:sz w:val="24"/>
          <w:szCs w:val="24"/>
        </w:rPr>
        <w:t>电子文件</w:t>
      </w:r>
      <w:bookmarkStart w:id="61" w:name="_Hlk86740118"/>
      <w:r>
        <w:rPr>
          <w:rFonts w:hint="eastAsia" w:ascii="宋体" w:hAnsi="宋体" w:cs="宋体"/>
          <w:bCs/>
          <w:sz w:val="24"/>
          <w:szCs w:val="24"/>
        </w:rPr>
        <w:t>须同时提交以下文件</w:t>
      </w:r>
      <w:bookmarkEnd w:id="61"/>
      <w:r>
        <w:rPr>
          <w:rFonts w:hint="eastAsia" w:ascii="宋体" w:hAnsi="宋体" w:cs="宋体"/>
          <w:bCs/>
          <w:sz w:val="24"/>
          <w:szCs w:val="24"/>
        </w:rPr>
        <w:t>：</w:t>
      </w:r>
      <w:bookmarkStart w:id="62" w:name="_Hlk86740096"/>
      <w:r>
        <w:rPr>
          <w:rFonts w:hint="eastAsia" w:ascii="宋体" w:hAnsi="宋体" w:cs="宋体"/>
          <w:bCs/>
          <w:sz w:val="24"/>
          <w:szCs w:val="24"/>
        </w:rPr>
        <w:t>①可编辑的WORD或 EXCEL 格式文件。②按招标文件要求签署、盖章后的正本投标文件扫描成PDF格式文件。电子文件由U盘储存</w:t>
      </w:r>
      <w:bookmarkEnd w:id="62"/>
      <w:r>
        <w:rPr>
          <w:rFonts w:hint="eastAsia" w:ascii="宋体" w:hAnsi="宋体" w:cs="宋体"/>
          <w:bCs/>
          <w:sz w:val="24"/>
          <w:szCs w:val="24"/>
        </w:rPr>
        <w:t>。</w:t>
      </w:r>
    </w:p>
    <w:p>
      <w:pPr>
        <w:pStyle w:val="64"/>
        <w:numPr>
          <w:ilvl w:val="0"/>
          <w:numId w:val="30"/>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为方便开标唱标，投标人应将投标函、开标一览表、分项报价表（如适用）、法定代表人身份证明书或法定代表人授权委托书、投标保证金缴付凭证、投标保证金汇入情况说明一起密封提交，若联合体投标，应将各方共同签署的《联合体投标协议》一并提交；并在信封上标明“唱标信封”的字样。</w:t>
      </w:r>
    </w:p>
    <w:p>
      <w:pPr>
        <w:pStyle w:val="64"/>
        <w:numPr>
          <w:ilvl w:val="0"/>
          <w:numId w:val="6"/>
        </w:numPr>
        <w:spacing w:line="360" w:lineRule="auto"/>
        <w:ind w:firstLineChars="0"/>
        <w:rPr>
          <w:rFonts w:hint="eastAsia" w:ascii="宋体" w:hAnsi="宋体" w:cs="宋体"/>
          <w:b/>
          <w:sz w:val="24"/>
          <w:szCs w:val="24"/>
        </w:rPr>
      </w:pPr>
      <w:r>
        <w:rPr>
          <w:rFonts w:hint="eastAsia" w:ascii="宋体" w:hAnsi="宋体" w:cs="宋体"/>
          <w:b/>
          <w:sz w:val="24"/>
          <w:szCs w:val="24"/>
        </w:rPr>
        <w:t>投标文件</w:t>
      </w:r>
      <w:r>
        <w:rPr>
          <w:rFonts w:hint="eastAsia" w:ascii="宋体" w:hAnsi="宋体" w:cs="宋体"/>
          <w:b/>
          <w:bCs/>
          <w:sz w:val="24"/>
          <w:szCs w:val="24"/>
        </w:rPr>
        <w:t>包装密封</w:t>
      </w:r>
    </w:p>
    <w:p>
      <w:pPr>
        <w:pStyle w:val="64"/>
        <w:numPr>
          <w:ilvl w:val="0"/>
          <w:numId w:val="31"/>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投标人应将投标文件密封包装；</w:t>
      </w:r>
    </w:p>
    <w:p>
      <w:pPr>
        <w:pStyle w:val="64"/>
        <w:numPr>
          <w:ilvl w:val="0"/>
          <w:numId w:val="31"/>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不足以造成投标文件可从外包装内散出而导致投标文件泄密的，不认定为投标文件未密封。</w:t>
      </w:r>
    </w:p>
    <w:p>
      <w:pPr>
        <w:pStyle w:val="64"/>
        <w:numPr>
          <w:ilvl w:val="0"/>
          <w:numId w:val="31"/>
        </w:numPr>
        <w:tabs>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包装封套均应注明：</w:t>
      </w:r>
    </w:p>
    <w:p>
      <w:pPr>
        <w:pStyle w:val="64"/>
        <w:spacing w:line="360" w:lineRule="auto"/>
        <w:ind w:left="567" w:firstLine="0" w:firstLineChars="0"/>
        <w:rPr>
          <w:rFonts w:hint="eastAsia" w:ascii="宋体" w:hAnsi="宋体" w:cs="宋体"/>
          <w:bCs/>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w:t>
      </w:r>
    </w:p>
    <w:p>
      <w:pPr>
        <w:pStyle w:val="64"/>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项目名称：</w:t>
      </w:r>
      <w:r>
        <w:rPr>
          <w:rFonts w:hint="eastAsia" w:ascii="宋体" w:hAnsi="宋体" w:cs="宋体"/>
          <w:bCs/>
          <w:sz w:val="24"/>
          <w:szCs w:val="24"/>
          <w:u w:val="single"/>
        </w:rPr>
        <w:t xml:space="preserve">        （详见投标邀请函）         </w:t>
      </w:r>
    </w:p>
    <w:p>
      <w:pPr>
        <w:pStyle w:val="64"/>
        <w:spacing w:line="360" w:lineRule="auto"/>
        <w:ind w:left="567" w:firstLine="0" w:firstLineChars="0"/>
        <w:rPr>
          <w:rFonts w:hint="eastAsia" w:ascii="宋体" w:hAnsi="宋体" w:cs="宋体"/>
          <w:bCs/>
          <w:sz w:val="24"/>
          <w:szCs w:val="24"/>
          <w:u w:val="single"/>
        </w:rPr>
      </w:pPr>
      <w:r>
        <w:rPr>
          <w:rFonts w:hint="eastAsia" w:ascii="宋体" w:hAnsi="宋体" w:cs="宋体"/>
          <w:bCs/>
          <w:sz w:val="24"/>
          <w:szCs w:val="24"/>
        </w:rPr>
        <w:t>项目编号：</w:t>
      </w:r>
      <w:r>
        <w:rPr>
          <w:rFonts w:hint="eastAsia" w:ascii="宋体" w:hAnsi="宋体" w:cs="宋体"/>
          <w:bCs/>
          <w:sz w:val="24"/>
          <w:szCs w:val="24"/>
          <w:u w:val="single"/>
        </w:rPr>
        <w:t xml:space="preserve">        （详见投标邀请函）         </w:t>
      </w:r>
    </w:p>
    <w:p>
      <w:pPr>
        <w:pStyle w:val="64"/>
        <w:spacing w:line="360" w:lineRule="auto"/>
        <w:ind w:left="567" w:firstLine="0" w:firstLineChars="0"/>
        <w:rPr>
          <w:rFonts w:hint="eastAsia" w:ascii="宋体" w:hAnsi="宋体" w:cs="宋体"/>
          <w:bCs/>
          <w:sz w:val="24"/>
          <w:szCs w:val="24"/>
          <w:u w:val="single"/>
        </w:rPr>
      </w:pPr>
      <w:r>
        <w:rPr>
          <w:rFonts w:hint="eastAsia" w:ascii="宋体" w:hAnsi="宋体" w:cs="宋体"/>
          <w:bCs/>
          <w:sz w:val="24"/>
          <w:szCs w:val="24"/>
        </w:rPr>
        <w:t>采购包号：</w:t>
      </w:r>
      <w:r>
        <w:rPr>
          <w:rFonts w:hint="eastAsia" w:ascii="宋体" w:hAnsi="宋体" w:cs="宋体"/>
          <w:bCs/>
          <w:sz w:val="24"/>
          <w:szCs w:val="24"/>
          <w:u w:val="single"/>
        </w:rPr>
        <w:t xml:space="preserve">                                    </w:t>
      </w:r>
    </w:p>
    <w:p>
      <w:pPr>
        <w:pStyle w:val="64"/>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注明：“</w:t>
      </w:r>
      <w:r>
        <w:rPr>
          <w:rFonts w:hint="eastAsia" w:ascii="宋体" w:hAnsi="宋体" w:cs="宋体"/>
          <w:bCs/>
          <w:sz w:val="24"/>
          <w:szCs w:val="24"/>
          <w:u w:val="single"/>
        </w:rPr>
        <w:t xml:space="preserve">于  年  月  日北京时间  ：  </w:t>
      </w:r>
      <w:r>
        <w:rPr>
          <w:rFonts w:hint="eastAsia" w:ascii="宋体" w:hAnsi="宋体" w:cs="宋体"/>
          <w:bCs/>
          <w:sz w:val="24"/>
          <w:szCs w:val="24"/>
        </w:rPr>
        <w:t>（详见投标邀请函）之前不得启封”的字样。</w:t>
      </w:r>
    </w:p>
    <w:p>
      <w:pPr>
        <w:pStyle w:val="64"/>
        <w:numPr>
          <w:ilvl w:val="0"/>
          <w:numId w:val="31"/>
        </w:numPr>
        <w:tabs>
          <w:tab w:val="left" w:pos="567"/>
        </w:tabs>
        <w:spacing w:line="360" w:lineRule="auto"/>
        <w:ind w:left="567" w:hanging="567" w:firstLineChars="0"/>
        <w:rPr>
          <w:rFonts w:hint="eastAsia" w:ascii="宋体" w:hAnsi="宋体" w:cs="宋体"/>
          <w:bCs/>
          <w:spacing w:val="-4"/>
          <w:sz w:val="24"/>
          <w:szCs w:val="24"/>
        </w:rPr>
      </w:pPr>
      <w:r>
        <w:rPr>
          <w:rFonts w:hint="eastAsia" w:ascii="宋体" w:hAnsi="宋体" w:cs="宋体"/>
          <w:bCs/>
          <w:spacing w:val="-4"/>
          <w:sz w:val="24"/>
          <w:szCs w:val="24"/>
        </w:rPr>
        <w:t>如果未按本须知上款要求加写标记和密封，采购代理机构对误投或提前启封概不负责。</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投标截止期</w:t>
      </w:r>
    </w:p>
    <w:p>
      <w:pPr>
        <w:pStyle w:val="64"/>
        <w:numPr>
          <w:ilvl w:val="0"/>
          <w:numId w:val="3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投标人应在不迟于</w:t>
      </w:r>
      <w:r>
        <w:rPr>
          <w:rFonts w:hint="eastAsia" w:ascii="宋体" w:hAnsi="宋体" w:cs="宋体"/>
          <w:b/>
          <w:bCs/>
          <w:sz w:val="24"/>
          <w:szCs w:val="24"/>
          <w:u w:val="single"/>
        </w:rPr>
        <w:t>投标邀请函</w:t>
      </w:r>
      <w:r>
        <w:rPr>
          <w:rFonts w:hint="eastAsia" w:ascii="宋体" w:hAnsi="宋体" w:cs="宋体"/>
          <w:bCs/>
          <w:sz w:val="24"/>
          <w:szCs w:val="24"/>
        </w:rPr>
        <w:t>中规定的截止日期和时间将投标文件递交至采购代理机构，递交地点应是</w:t>
      </w:r>
      <w:r>
        <w:rPr>
          <w:rFonts w:hint="eastAsia" w:ascii="宋体" w:hAnsi="宋体" w:cs="宋体"/>
          <w:b/>
          <w:bCs/>
          <w:sz w:val="24"/>
          <w:szCs w:val="24"/>
          <w:u w:val="single"/>
        </w:rPr>
        <w:t>投标邀请函</w:t>
      </w:r>
      <w:r>
        <w:rPr>
          <w:rFonts w:hint="eastAsia" w:ascii="宋体" w:hAnsi="宋体" w:cs="宋体"/>
          <w:bCs/>
          <w:sz w:val="24"/>
          <w:szCs w:val="24"/>
        </w:rPr>
        <w:t>中指明的地址。</w:t>
      </w:r>
    </w:p>
    <w:p>
      <w:pPr>
        <w:pStyle w:val="64"/>
        <w:numPr>
          <w:ilvl w:val="0"/>
          <w:numId w:val="3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采购代理机构将拒绝在规定的投标截止期后收到的任何投标文件。</w:t>
      </w:r>
    </w:p>
    <w:p>
      <w:pPr>
        <w:pStyle w:val="64"/>
        <w:numPr>
          <w:ilvl w:val="0"/>
          <w:numId w:val="6"/>
        </w:numPr>
        <w:spacing w:before="312" w:beforeLines="100" w:line="360" w:lineRule="auto"/>
        <w:ind w:firstLineChars="0"/>
        <w:rPr>
          <w:rFonts w:hint="eastAsia" w:ascii="宋体" w:hAnsi="宋体" w:cs="宋体"/>
          <w:b/>
          <w:sz w:val="24"/>
          <w:szCs w:val="24"/>
        </w:rPr>
      </w:pPr>
      <w:bookmarkStart w:id="63" w:name="_Toc357676133"/>
      <w:r>
        <w:rPr>
          <w:rFonts w:hint="eastAsia" w:ascii="宋体" w:hAnsi="宋体" w:cs="宋体"/>
          <w:b/>
          <w:sz w:val="24"/>
          <w:szCs w:val="24"/>
        </w:rPr>
        <w:t>投标文件的修改和撤回</w:t>
      </w:r>
      <w:bookmarkEnd w:id="63"/>
    </w:p>
    <w:p>
      <w:pPr>
        <w:pStyle w:val="64"/>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pacing w:val="-2"/>
          <w:sz w:val="24"/>
          <w:szCs w:val="24"/>
        </w:rPr>
        <w:t>投</w:t>
      </w:r>
      <w:r>
        <w:rPr>
          <w:rFonts w:hint="eastAsia" w:ascii="宋体" w:hAnsi="宋体" w:cs="宋体"/>
          <w:bCs/>
          <w:sz w:val="24"/>
          <w:szCs w:val="24"/>
        </w:rPr>
        <w:t>标人在投标截止时间前，可以对所递交的投标文件进行补充、修改或者撤回，并书面通知采购代理机构。补充、修改的内容应当按照招标文件要求签署、盖章，密封后，作为投标文件的组成部分。</w:t>
      </w:r>
    </w:p>
    <w:p>
      <w:pPr>
        <w:pStyle w:val="64"/>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在投标截止时间之后，投标人不得对其投标文件做任何修改和补充。</w:t>
      </w:r>
    </w:p>
    <w:p>
      <w:pPr>
        <w:pStyle w:val="64"/>
        <w:numPr>
          <w:ilvl w:val="0"/>
          <w:numId w:val="33"/>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在提交投标文件截止时间至投标有效期满之前，投标人不得撤回其投标文件。</w:t>
      </w:r>
    </w:p>
    <w:p>
      <w:pPr>
        <w:pStyle w:val="64"/>
        <w:numPr>
          <w:ilvl w:val="0"/>
          <w:numId w:val="5"/>
        </w:numPr>
        <w:spacing w:before="312" w:beforeLines="100" w:line="360" w:lineRule="auto"/>
        <w:ind w:firstLine="0" w:firstLineChars="0"/>
        <w:outlineLvl w:val="1"/>
        <w:rPr>
          <w:rFonts w:hint="eastAsia" w:ascii="微软雅黑" w:hAnsi="微软雅黑" w:eastAsia="微软雅黑" w:cs="微软雅黑"/>
          <w:b/>
          <w:bCs/>
          <w:sz w:val="28"/>
          <w:szCs w:val="28"/>
        </w:rPr>
      </w:pPr>
      <w:bookmarkStart w:id="64" w:name="_Toc30576"/>
      <w:bookmarkStart w:id="65" w:name="_Toc4982"/>
      <w:r>
        <w:rPr>
          <w:rFonts w:hint="eastAsia" w:ascii="微软雅黑" w:hAnsi="微软雅黑" w:eastAsia="微软雅黑" w:cs="微软雅黑"/>
          <w:b/>
          <w:bCs/>
          <w:sz w:val="28"/>
          <w:szCs w:val="28"/>
        </w:rPr>
        <w:t>开标与评标准则</w:t>
      </w:r>
      <w:bookmarkEnd w:id="64"/>
      <w:bookmarkEnd w:id="65"/>
    </w:p>
    <w:p>
      <w:pPr>
        <w:pStyle w:val="64"/>
        <w:numPr>
          <w:ilvl w:val="0"/>
          <w:numId w:val="6"/>
        </w:numPr>
        <w:spacing w:line="360" w:lineRule="auto"/>
        <w:ind w:firstLineChars="0"/>
        <w:rPr>
          <w:rFonts w:hint="eastAsia" w:ascii="宋体" w:hAnsi="宋体" w:cs="宋体"/>
          <w:b/>
          <w:sz w:val="24"/>
          <w:szCs w:val="24"/>
        </w:rPr>
      </w:pPr>
      <w:r>
        <w:rPr>
          <w:rFonts w:hint="eastAsia" w:ascii="宋体" w:hAnsi="宋体" w:cs="宋体"/>
          <w:b/>
          <w:sz w:val="24"/>
          <w:szCs w:val="24"/>
        </w:rPr>
        <w:t>开标</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采购代理机构按</w:t>
      </w:r>
      <w:r>
        <w:rPr>
          <w:rFonts w:hint="eastAsia" w:ascii="宋体" w:hAnsi="宋体" w:cs="宋体"/>
          <w:b/>
          <w:bCs/>
          <w:sz w:val="24"/>
          <w:szCs w:val="24"/>
          <w:u w:val="single"/>
        </w:rPr>
        <w:t>投标邀请函</w:t>
      </w:r>
      <w:r>
        <w:rPr>
          <w:rFonts w:hint="eastAsia" w:ascii="宋体" w:hAnsi="宋体" w:cs="宋体"/>
          <w:bCs/>
          <w:sz w:val="24"/>
          <w:szCs w:val="24"/>
        </w:rPr>
        <w:t>中规定的日期、时间和地点组织公开开标。开标时邀请所有投标人代表参加。参加开标的法定代表人或其授权代表携带有效身份证签名报到以证明其出席。</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开标由采购代理机构主持，邀请投标人参加。评标委员会成员不得参加开标活动。</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投标人不足3家的，不得开标。</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开标时，由投标人或其推选的代表检查投标文件的密封情况；经确认无误后，由采购人或采购代理机构工作人员当众拆封，宣布投标人名称、投标价格和招标文件规定的需要宣布的其他内容。</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开标过程应当由采购人或者采购代理机构负责记录，由参加开标的各投标人代表和相关工作人员签字确认。</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pStyle w:val="64"/>
        <w:numPr>
          <w:ilvl w:val="0"/>
          <w:numId w:val="34"/>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投标人未参加开标的，视同认可开标结果。</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评标委员会和评标方法</w:t>
      </w:r>
    </w:p>
    <w:p>
      <w:pPr>
        <w:pStyle w:val="64"/>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评标由依照相关法律、法规、规章、政策的规定，组建的评标委员会负责。</w:t>
      </w:r>
    </w:p>
    <w:p>
      <w:pPr>
        <w:pStyle w:val="64"/>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评标委员会由采购人代表和评审专家组成，成员人数应为</w:t>
      </w:r>
      <w:r>
        <w:rPr>
          <w:rFonts w:hint="eastAsia" w:ascii="宋体" w:hAnsi="宋体" w:cs="宋体"/>
          <w:b/>
          <w:sz w:val="24"/>
          <w:szCs w:val="24"/>
          <w:u w:val="single"/>
        </w:rPr>
        <w:t>详见投标人须知前附表</w:t>
      </w:r>
      <w:r>
        <w:rPr>
          <w:rFonts w:hint="eastAsia" w:ascii="宋体" w:hAnsi="宋体" w:cs="宋体"/>
          <w:bCs/>
          <w:sz w:val="24"/>
          <w:szCs w:val="24"/>
        </w:rPr>
        <w:t>，其中评审专家不得少于成员总数的三分之二。</w:t>
      </w:r>
    </w:p>
    <w:p>
      <w:pPr>
        <w:pStyle w:val="64"/>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评审委员会由采购人依法组建。</w:t>
      </w:r>
    </w:p>
    <w:p>
      <w:pPr>
        <w:pStyle w:val="64"/>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评标委员会将按照招标文件确定的评标方法进行评标。评标委员会对投标文件的评审分为符合性检查和商务评审、技术评审、价格评审。</w:t>
      </w:r>
    </w:p>
    <w:p>
      <w:pPr>
        <w:pStyle w:val="64"/>
        <w:numPr>
          <w:ilvl w:val="0"/>
          <w:numId w:val="35"/>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本次评标采用</w:t>
      </w:r>
      <w:r>
        <w:rPr>
          <w:rFonts w:hint="eastAsia" w:ascii="宋体" w:hAnsi="宋体" w:cs="宋体"/>
          <w:b/>
          <w:bCs/>
          <w:sz w:val="24"/>
          <w:szCs w:val="24"/>
          <w:u w:val="single"/>
        </w:rPr>
        <w:t xml:space="preserve"> 详见投标须知前附表 </w:t>
      </w:r>
      <w:r>
        <w:rPr>
          <w:rFonts w:hint="eastAsia" w:ascii="宋体" w:hAnsi="宋体" w:cs="宋体"/>
          <w:bCs/>
          <w:sz w:val="24"/>
          <w:szCs w:val="24"/>
        </w:rPr>
        <w:t>中选定的方法，具体见招标文件第五部分“评标方法、步骤、标准”。</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投标文件的资格性与符合性审查</w:t>
      </w:r>
    </w:p>
    <w:p>
      <w:pPr>
        <w:pStyle w:val="64"/>
        <w:numPr>
          <w:ilvl w:val="0"/>
          <w:numId w:val="36"/>
        </w:numPr>
        <w:tabs>
          <w:tab w:val="left" w:pos="426"/>
          <w:tab w:val="left" w:pos="567"/>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 xml:space="preserve"> 资格性审查：</w:t>
      </w:r>
      <w:bookmarkStart w:id="66" w:name="_Hlk90649924"/>
      <w:bookmarkStart w:id="67" w:name="_Hlk79422321"/>
      <w:r>
        <w:rPr>
          <w:rFonts w:hint="eastAsia" w:ascii="宋体" w:hAnsi="宋体" w:cs="宋体"/>
          <w:bCs/>
          <w:sz w:val="24"/>
          <w:szCs w:val="24"/>
        </w:rPr>
        <w:t>公开招标采购项目开标结束后</w:t>
      </w:r>
      <w:bookmarkEnd w:id="66"/>
      <w:r>
        <w:rPr>
          <w:rFonts w:hint="eastAsia" w:ascii="宋体" w:hAnsi="宋体" w:cs="宋体"/>
          <w:bCs/>
          <w:sz w:val="24"/>
          <w:szCs w:val="24"/>
        </w:rPr>
        <w:t>，采购人或者采购代理机构应当依法对投标人的资格进行审查</w:t>
      </w:r>
      <w:bookmarkEnd w:id="67"/>
      <w:r>
        <w:rPr>
          <w:rFonts w:hint="eastAsia" w:ascii="宋体" w:hAnsi="宋体" w:cs="宋体"/>
          <w:bCs/>
          <w:sz w:val="24"/>
          <w:szCs w:val="24"/>
        </w:rPr>
        <w:t>。</w:t>
      </w:r>
    </w:p>
    <w:p>
      <w:pPr>
        <w:pStyle w:val="64"/>
        <w:numPr>
          <w:ilvl w:val="0"/>
          <w:numId w:val="3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符合性审查：评标委员会对符合资格的投标人的投标文件进行符合性审查，以确定其是否满足招标文件实质性要求。</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投标文件的澄清</w:t>
      </w:r>
    </w:p>
    <w:p>
      <w:pPr>
        <w:pStyle w:val="64"/>
        <w:numPr>
          <w:ilvl w:val="0"/>
          <w:numId w:val="3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评标期间，对于投标文件中含义不明确、同类问题表述不一致或者有明显文字和计算错误的内容，评标委员会以书面的形式要求投标人作出必要的澄清、说明或者补正。</w:t>
      </w:r>
    </w:p>
    <w:p>
      <w:pPr>
        <w:pStyle w:val="64"/>
        <w:numPr>
          <w:ilvl w:val="0"/>
          <w:numId w:val="3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投标人的澄清、说明或者补正采用书面形式，并加盖公章，或者由法定代表人或其授权的代表签字。投标人的澄清、说明或者补正不得超出投标文件的范围或者改变投标文件的实质性内容。</w:t>
      </w:r>
    </w:p>
    <w:p>
      <w:pPr>
        <w:pStyle w:val="64"/>
        <w:numPr>
          <w:ilvl w:val="0"/>
          <w:numId w:val="3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投标人的澄清文件是其投标文件的组成部分。</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定标原则与授标</w:t>
      </w:r>
    </w:p>
    <w:p>
      <w:pPr>
        <w:pStyle w:val="64"/>
        <w:numPr>
          <w:ilvl w:val="0"/>
          <w:numId w:val="3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评标委员会按照招标文件确定的评标方法、步骤、标准，对投标文件进行评审，提出书面评标报告。</w:t>
      </w:r>
    </w:p>
    <w:p>
      <w:pPr>
        <w:pStyle w:val="64"/>
        <w:numPr>
          <w:ilvl w:val="0"/>
          <w:numId w:val="3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采购代理机构自评标结束后2个工作日内将评标报告送采购人。采购人应当自收到评标报告之日起5个工作日内在评标报告确定的中标候选人名单中按顺序确定中标人。</w:t>
      </w:r>
    </w:p>
    <w:p>
      <w:pPr>
        <w:pStyle w:val="64"/>
        <w:numPr>
          <w:ilvl w:val="0"/>
          <w:numId w:val="3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采购人在收到评标报告5个工作日内未按评标报告推荐的中标候选人顺序确定中标人，又不</w:t>
      </w:r>
      <w:r>
        <w:rPr>
          <w:rFonts w:hint="eastAsia" w:ascii="宋体" w:hAnsi="宋体" w:cs="宋体"/>
          <w:bCs/>
          <w:spacing w:val="-4"/>
          <w:sz w:val="24"/>
          <w:szCs w:val="24"/>
        </w:rPr>
        <w:t>能说明合法理由的，视同按评标报告推荐的顺序确定排名第一的中标候选人为中标人。</w:t>
      </w:r>
    </w:p>
    <w:p>
      <w:pPr>
        <w:pStyle w:val="64"/>
        <w:spacing w:line="360" w:lineRule="auto"/>
        <w:ind w:firstLine="0" w:firstLineChars="0"/>
        <w:rPr>
          <w:rFonts w:hint="eastAsia" w:ascii="宋体" w:hAnsi="宋体" w:cs="宋体"/>
          <w:bCs/>
          <w:sz w:val="24"/>
          <w:szCs w:val="24"/>
        </w:rPr>
      </w:pPr>
    </w:p>
    <w:p>
      <w:pPr>
        <w:pStyle w:val="64"/>
        <w:widowControl/>
        <w:numPr>
          <w:ilvl w:val="0"/>
          <w:numId w:val="6"/>
        </w:numPr>
        <w:spacing w:line="360" w:lineRule="auto"/>
        <w:ind w:firstLineChars="0"/>
        <w:jc w:val="left"/>
        <w:rPr>
          <w:rFonts w:hint="eastAsia" w:ascii="宋体" w:hAnsi="宋体" w:cs="宋体"/>
          <w:b/>
          <w:sz w:val="24"/>
          <w:szCs w:val="24"/>
        </w:rPr>
      </w:pPr>
      <w:r>
        <w:rPr>
          <w:rFonts w:hint="eastAsia" w:ascii="宋体" w:hAnsi="宋体" w:cs="宋体"/>
          <w:b/>
          <w:sz w:val="24"/>
          <w:szCs w:val="24"/>
        </w:rPr>
        <w:t>特别说明</w:t>
      </w:r>
    </w:p>
    <w:p>
      <w:pPr>
        <w:pStyle w:val="64"/>
        <w:widowControl/>
        <w:numPr>
          <w:ilvl w:val="0"/>
          <w:numId w:val="39"/>
        </w:numPr>
        <w:tabs>
          <w:tab w:val="left" w:pos="567"/>
        </w:tabs>
        <w:spacing w:line="360" w:lineRule="auto"/>
        <w:ind w:firstLineChars="0"/>
        <w:jc w:val="left"/>
        <w:rPr>
          <w:rFonts w:hint="eastAsia" w:ascii="宋体" w:hAnsi="宋体" w:cs="宋体"/>
          <w:b/>
          <w:bCs/>
          <w:sz w:val="24"/>
          <w:szCs w:val="24"/>
        </w:rPr>
      </w:pPr>
      <w:r>
        <w:rPr>
          <w:rFonts w:hint="eastAsia" w:ascii="宋体" w:hAnsi="宋体" w:cs="宋体"/>
          <w:b/>
          <w:bCs/>
          <w:sz w:val="24"/>
          <w:szCs w:val="24"/>
        </w:rPr>
        <w:t>有下列情形之一的，视为投标人串通投标，其投标无效：</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不同投标人的投标文件由同一单位或者个人编制；</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不同投标人委托同一单位或者个人办理投标事宜；</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不同投标人的投标文件载明的项目管理成员或者联系人员为同一人；</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不同投标人的投标文件异常一致或者投标报价呈规律性差异；</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不同投标人的投标文件相互混装；</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不同投标人的投标保证金从同一单位或者个人的账户转出。</w:t>
      </w:r>
    </w:p>
    <w:p>
      <w:pPr>
        <w:pStyle w:val="64"/>
        <w:widowControl/>
        <w:numPr>
          <w:ilvl w:val="1"/>
          <w:numId w:val="6"/>
        </w:numPr>
        <w:spacing w:line="360" w:lineRule="auto"/>
        <w:ind w:firstLineChars="0"/>
        <w:jc w:val="left"/>
        <w:rPr>
          <w:rFonts w:hint="eastAsia" w:ascii="宋体" w:hAnsi="宋体" w:cs="宋体"/>
          <w:b/>
          <w:bCs/>
          <w:sz w:val="24"/>
          <w:szCs w:val="24"/>
        </w:rPr>
      </w:pPr>
      <w:r>
        <w:rPr>
          <w:rFonts w:hint="eastAsia" w:ascii="宋体" w:hAnsi="宋体" w:cs="宋体"/>
          <w:b/>
          <w:bCs/>
          <w:sz w:val="24"/>
          <w:szCs w:val="24"/>
        </w:rPr>
        <w:t>投标人存在下列情况之一的，投标无效：</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未按照招标文件的规定提交投标保证金的；</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投标文件未按招标文件要求签署、盖章的；</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不具备招标文件中规定的资格要求的；</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报价超过招标文件中规定的预算金额或者最高限价的；</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投标文件含有采购人不能接受的附加条件的；</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法律、法规和招标文件规定的其他无效情形。</w:t>
      </w:r>
    </w:p>
    <w:p>
      <w:pPr>
        <w:pStyle w:val="64"/>
        <w:widowControl/>
        <w:numPr>
          <w:ilvl w:val="1"/>
          <w:numId w:val="6"/>
        </w:numPr>
        <w:spacing w:line="360" w:lineRule="auto"/>
        <w:ind w:firstLineChars="0"/>
        <w:jc w:val="left"/>
        <w:rPr>
          <w:rFonts w:hint="eastAsia" w:ascii="宋体" w:hAnsi="宋体" w:cs="宋体"/>
          <w:b/>
          <w:bCs/>
          <w:sz w:val="24"/>
          <w:szCs w:val="24"/>
        </w:rPr>
      </w:pPr>
      <w:r>
        <w:rPr>
          <w:rFonts w:hint="eastAsia" w:ascii="宋体" w:hAnsi="宋体" w:cs="宋体"/>
          <w:b/>
          <w:bCs/>
          <w:sz w:val="24"/>
          <w:szCs w:val="24"/>
        </w:rPr>
        <w:t>废标</w:t>
      </w:r>
    </w:p>
    <w:p>
      <w:pPr>
        <w:pStyle w:val="64"/>
        <w:widowControl/>
        <w:numPr>
          <w:ilvl w:val="2"/>
          <w:numId w:val="6"/>
        </w:numPr>
        <w:spacing w:line="360" w:lineRule="auto"/>
        <w:ind w:firstLineChars="0"/>
        <w:jc w:val="left"/>
        <w:rPr>
          <w:rFonts w:hint="eastAsia" w:ascii="宋体" w:hAnsi="宋体" w:cs="宋体"/>
          <w:sz w:val="24"/>
          <w:szCs w:val="24"/>
        </w:rPr>
      </w:pPr>
      <w:r>
        <w:rPr>
          <w:rFonts w:hint="eastAsia" w:ascii="宋体" w:hAnsi="宋体" w:cs="宋体"/>
          <w:sz w:val="24"/>
          <w:szCs w:val="24"/>
        </w:rPr>
        <w:t>在招标采购中，出现下列情形之一的，应予废标。</w:t>
      </w:r>
    </w:p>
    <w:p>
      <w:pPr>
        <w:pStyle w:val="64"/>
        <w:widowControl/>
        <w:numPr>
          <w:ilvl w:val="3"/>
          <w:numId w:val="40"/>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符合专业条件的供应商或者对招标文件作实质响应的供应商不足三家的；</w:t>
      </w:r>
    </w:p>
    <w:p>
      <w:pPr>
        <w:pStyle w:val="64"/>
        <w:widowControl/>
        <w:numPr>
          <w:ilvl w:val="3"/>
          <w:numId w:val="40"/>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出现影响采购公正的违法、违规行为的；</w:t>
      </w:r>
    </w:p>
    <w:p>
      <w:pPr>
        <w:pStyle w:val="64"/>
        <w:widowControl/>
        <w:numPr>
          <w:ilvl w:val="3"/>
          <w:numId w:val="40"/>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投标人的报价均超过了采购预算，采购人不能支付的；</w:t>
      </w:r>
    </w:p>
    <w:p>
      <w:pPr>
        <w:pStyle w:val="64"/>
        <w:widowControl/>
        <w:numPr>
          <w:ilvl w:val="3"/>
          <w:numId w:val="40"/>
        </w:numPr>
        <w:tabs>
          <w:tab w:val="left" w:pos="1134"/>
        </w:tabs>
        <w:spacing w:line="360" w:lineRule="auto"/>
        <w:ind w:left="993" w:hanging="993" w:firstLineChars="0"/>
        <w:jc w:val="left"/>
        <w:rPr>
          <w:rFonts w:hint="eastAsia" w:ascii="宋体" w:hAnsi="宋体" w:cs="宋体"/>
          <w:sz w:val="24"/>
          <w:szCs w:val="24"/>
        </w:rPr>
      </w:pPr>
      <w:r>
        <w:rPr>
          <w:rFonts w:hint="eastAsia" w:ascii="宋体" w:hAnsi="宋体" w:cs="宋体"/>
          <w:sz w:val="24"/>
          <w:szCs w:val="24"/>
        </w:rPr>
        <w:t>因重大变故，采购任务取消的。</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询问、质疑、投诉</w:t>
      </w:r>
    </w:p>
    <w:p>
      <w:pPr>
        <w:pStyle w:val="64"/>
        <w:numPr>
          <w:ilvl w:val="0"/>
          <w:numId w:val="41"/>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 询问</w:t>
      </w:r>
    </w:p>
    <w:p>
      <w:pPr>
        <w:pStyle w:val="64"/>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供应商对采购活动事项有疑问的，可以向采购人或者采购代理机构提出询问，询问可以口头方式提出，也可以书面方式提出。</w:t>
      </w:r>
    </w:p>
    <w:p>
      <w:pPr>
        <w:pStyle w:val="64"/>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如采用书面方式提出询问，供应商为自然人的，询问函应当由本人签字；供应商为法人或者其他组织的，应当由法定代表人、主要负责人或授权代表签字并加盖公章或者盖章，并加盖公章。响应供应商递交询问函时非法定代表人亲自办理的需提供法定代表人授权委托书（应载明授权代表的姓名或者名称、代理事项、具体权限、期限和相关事项）及授权代表身份证复印件。</w:t>
      </w:r>
    </w:p>
    <w:p>
      <w:pPr>
        <w:pStyle w:val="64"/>
        <w:numPr>
          <w:ilvl w:val="2"/>
          <w:numId w:val="42"/>
        </w:numPr>
        <w:spacing w:line="360" w:lineRule="auto"/>
        <w:ind w:firstLineChars="0"/>
        <w:rPr>
          <w:rFonts w:hint="eastAsia" w:ascii="宋体" w:hAnsi="宋体" w:cs="宋体"/>
          <w:bCs/>
          <w:sz w:val="24"/>
          <w:szCs w:val="24"/>
        </w:rPr>
      </w:pPr>
      <w:r>
        <w:rPr>
          <w:rFonts w:hint="eastAsia" w:ascii="宋体" w:hAnsi="宋体" w:cs="宋体"/>
          <w:bCs/>
          <w:sz w:val="24"/>
          <w:szCs w:val="24"/>
        </w:rPr>
        <w:t>采购人或者采购代理机构在三个工作日内对供应商依法提出的询问作出答复。</w:t>
      </w:r>
    </w:p>
    <w:p>
      <w:pPr>
        <w:pStyle w:val="64"/>
        <w:numPr>
          <w:ilvl w:val="0"/>
          <w:numId w:val="41"/>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 质疑</w:t>
      </w:r>
    </w:p>
    <w:p>
      <w:pPr>
        <w:pStyle w:val="64"/>
        <w:numPr>
          <w:ilvl w:val="2"/>
          <w:numId w:val="43"/>
        </w:numPr>
        <w:spacing w:line="360" w:lineRule="auto"/>
        <w:ind w:firstLineChars="0"/>
        <w:rPr>
          <w:rFonts w:hint="eastAsia" w:ascii="宋体" w:hAnsi="宋体" w:cs="宋体"/>
          <w:bCs/>
          <w:sz w:val="24"/>
          <w:szCs w:val="24"/>
        </w:rPr>
      </w:pPr>
      <w:r>
        <w:rPr>
          <w:rFonts w:hint="eastAsia" w:ascii="宋体" w:hAnsi="宋体" w:cs="宋体"/>
          <w:kern w:val="0"/>
          <w:sz w:val="24"/>
          <w:szCs w:val="24"/>
        </w:rPr>
        <w:t>供应商认为采购文件、采购过程、中标或者成交结果使自己的权益受到损害的，可以在知道或者应知其权益受到损害之日起7个工作日内，以书面形式向采购人、采购代理机构提出质疑。</w:t>
      </w:r>
    </w:p>
    <w:p>
      <w:pPr>
        <w:pStyle w:val="64"/>
        <w:numPr>
          <w:ilvl w:val="2"/>
          <w:numId w:val="43"/>
        </w:numPr>
        <w:spacing w:line="360" w:lineRule="auto"/>
        <w:ind w:firstLineChars="0"/>
        <w:rPr>
          <w:rFonts w:hint="eastAsia" w:ascii="宋体" w:hAnsi="宋体" w:cs="宋体"/>
          <w:bCs/>
          <w:sz w:val="24"/>
          <w:szCs w:val="24"/>
        </w:rPr>
      </w:pPr>
      <w:r>
        <w:rPr>
          <w:rFonts w:hint="eastAsia" w:ascii="宋体" w:hAnsi="宋体" w:cs="宋体"/>
          <w:bCs/>
          <w:sz w:val="24"/>
          <w:szCs w:val="24"/>
        </w:rPr>
        <w:t>提出质疑的供应商应当是参与所质疑项目采购活动的供应商。</w:t>
      </w:r>
    </w:p>
    <w:p>
      <w:pPr>
        <w:pStyle w:val="64"/>
        <w:numPr>
          <w:ilvl w:val="0"/>
          <w:numId w:val="41"/>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 提交要求：</w:t>
      </w:r>
    </w:p>
    <w:p>
      <w:pPr>
        <w:pStyle w:val="64"/>
        <w:numPr>
          <w:ilvl w:val="2"/>
          <w:numId w:val="44"/>
        </w:numPr>
        <w:spacing w:line="360" w:lineRule="auto"/>
        <w:ind w:firstLineChars="0"/>
        <w:rPr>
          <w:rFonts w:hint="eastAsia" w:ascii="宋体" w:hAnsi="宋体" w:cs="宋体"/>
          <w:bCs/>
          <w:sz w:val="24"/>
          <w:szCs w:val="24"/>
        </w:rPr>
      </w:pPr>
      <w:r>
        <w:rPr>
          <w:rFonts w:hint="eastAsia" w:ascii="宋体" w:hAnsi="宋体" w:cs="宋体"/>
          <w:bCs/>
          <w:sz w:val="24"/>
          <w:szCs w:val="24"/>
        </w:rPr>
        <w:t>以书面形式向采购人或者采购代理机构一次性提出针对同一采购程序环节的质疑。</w:t>
      </w:r>
    </w:p>
    <w:p>
      <w:pPr>
        <w:pStyle w:val="64"/>
        <w:numPr>
          <w:ilvl w:val="2"/>
          <w:numId w:val="44"/>
        </w:numPr>
        <w:spacing w:line="360" w:lineRule="auto"/>
        <w:ind w:firstLineChars="0"/>
        <w:rPr>
          <w:rFonts w:hint="eastAsia" w:ascii="宋体" w:hAnsi="宋体" w:cs="宋体"/>
          <w:bCs/>
          <w:sz w:val="24"/>
          <w:szCs w:val="24"/>
        </w:rPr>
      </w:pPr>
      <w:r>
        <w:rPr>
          <w:rFonts w:hint="eastAsia" w:ascii="宋体" w:hAnsi="宋体" w:cs="宋体"/>
          <w:bCs/>
          <w:spacing w:val="-4"/>
          <w:sz w:val="24"/>
          <w:szCs w:val="24"/>
        </w:rPr>
        <w:t>以联合体形式参加采购活动的，其质疑应当由组成联合体的所有供应商共同提出</w:t>
      </w:r>
      <w:r>
        <w:rPr>
          <w:rFonts w:hint="eastAsia" w:ascii="宋体" w:hAnsi="宋体" w:cs="宋体"/>
          <w:bCs/>
          <w:sz w:val="24"/>
          <w:szCs w:val="24"/>
        </w:rPr>
        <w:t>。</w:t>
      </w:r>
    </w:p>
    <w:p>
      <w:pPr>
        <w:pStyle w:val="64"/>
        <w:numPr>
          <w:ilvl w:val="2"/>
          <w:numId w:val="44"/>
        </w:numPr>
        <w:spacing w:line="360" w:lineRule="auto"/>
        <w:ind w:firstLineChars="0"/>
        <w:rPr>
          <w:rFonts w:hint="eastAsia" w:ascii="宋体" w:hAnsi="宋体" w:cs="宋体"/>
          <w:bCs/>
          <w:sz w:val="24"/>
          <w:szCs w:val="24"/>
        </w:rPr>
      </w:pPr>
      <w:r>
        <w:rPr>
          <w:rFonts w:hint="eastAsia" w:ascii="宋体" w:hAnsi="宋体" w:cs="宋体"/>
          <w:bCs/>
          <w:sz w:val="24"/>
          <w:szCs w:val="24"/>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pPr>
        <w:pStyle w:val="64"/>
        <w:numPr>
          <w:ilvl w:val="2"/>
          <w:numId w:val="44"/>
        </w:numPr>
        <w:spacing w:line="360" w:lineRule="auto"/>
        <w:ind w:firstLineChars="0"/>
        <w:rPr>
          <w:rFonts w:hint="eastAsia" w:ascii="宋体" w:hAnsi="宋体" w:cs="宋体"/>
          <w:bCs/>
          <w:sz w:val="24"/>
          <w:szCs w:val="24"/>
        </w:rPr>
      </w:pPr>
      <w:r>
        <w:rPr>
          <w:rFonts w:hint="eastAsia" w:ascii="宋体" w:hAnsi="宋体" w:cs="宋体"/>
          <w:bCs/>
          <w:sz w:val="24"/>
          <w:szCs w:val="24"/>
        </w:rPr>
        <w:t>供应商捏造事实、提供虚假材料或者以非法手段取得证明材料不能作为质疑的证明材料。采购人或者采购代理机构在收到投标人的书面质疑后7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pPr>
        <w:pStyle w:val="64"/>
        <w:numPr>
          <w:ilvl w:val="2"/>
          <w:numId w:val="44"/>
        </w:numPr>
        <w:spacing w:line="360" w:lineRule="auto"/>
        <w:ind w:firstLineChars="0"/>
        <w:rPr>
          <w:rFonts w:hint="eastAsia" w:ascii="宋体" w:hAnsi="宋体" w:cs="宋体"/>
          <w:sz w:val="24"/>
          <w:szCs w:val="24"/>
        </w:rPr>
      </w:pPr>
      <w:r>
        <w:rPr>
          <w:rFonts w:hint="eastAsia" w:ascii="宋体" w:hAnsi="宋体" w:cs="宋体"/>
          <w:bCs/>
          <w:sz w:val="24"/>
          <w:szCs w:val="24"/>
        </w:rPr>
        <w:t>采购人或采购代理机构接收以书面形式递交的质疑函，接收质疑函的</w:t>
      </w:r>
      <w:r>
        <w:rPr>
          <w:rFonts w:hint="eastAsia" w:ascii="宋体" w:hAnsi="宋体" w:cs="宋体"/>
          <w:sz w:val="24"/>
          <w:szCs w:val="24"/>
        </w:rPr>
        <w:t>联系人：钟工       联系电话：13318882515,邮箱：xdzhong115@163.com</w:t>
      </w:r>
    </w:p>
    <w:p>
      <w:pPr>
        <w:pStyle w:val="64"/>
        <w:numPr>
          <w:ilvl w:val="0"/>
          <w:numId w:val="41"/>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  投诉</w:t>
      </w:r>
    </w:p>
    <w:p>
      <w:pPr>
        <w:pStyle w:val="64"/>
        <w:widowControl/>
        <w:numPr>
          <w:ilvl w:val="2"/>
          <w:numId w:val="45"/>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质疑供应商对采购人、采购代理机构的答复不满意，或者采购人、采购代理机构未在规定时间内作出答复的，可以在答复期满后15个工作日内向监管部门提起投诉。</w:t>
      </w:r>
    </w:p>
    <w:p>
      <w:pPr>
        <w:pStyle w:val="64"/>
        <w:widowControl/>
        <w:numPr>
          <w:ilvl w:val="2"/>
          <w:numId w:val="45"/>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投诉人在全国范围12个月内三次以上投诉查无实据的，由财政部门列入不良行为记录名单。</w:t>
      </w:r>
    </w:p>
    <w:p>
      <w:pPr>
        <w:pStyle w:val="64"/>
        <w:widowControl/>
        <w:numPr>
          <w:ilvl w:val="2"/>
          <w:numId w:val="45"/>
        </w:numPr>
        <w:shd w:val="clear" w:color="auto" w:fill="FFFFFF"/>
        <w:wordWrap w:val="0"/>
        <w:spacing w:line="360" w:lineRule="auto"/>
        <w:ind w:firstLineChars="0"/>
        <w:jc w:val="left"/>
        <w:rPr>
          <w:rFonts w:hint="eastAsia" w:ascii="宋体" w:hAnsi="宋体" w:cs="宋体"/>
          <w:kern w:val="0"/>
          <w:sz w:val="24"/>
          <w:szCs w:val="24"/>
        </w:rPr>
      </w:pPr>
      <w:r>
        <w:rPr>
          <w:rFonts w:hint="eastAsia" w:ascii="宋体" w:hAnsi="宋体" w:cs="宋体"/>
          <w:kern w:val="0"/>
          <w:sz w:val="24"/>
          <w:szCs w:val="24"/>
        </w:rPr>
        <w:t>投诉人有下列行为之一的，属于虚假、恶意投诉，由财政部门列入不良行为记录名单，禁止其1至3年内参加采购活动：（一）捏造事实;（二）提供虚假材料;（三）以非法手段取得证明材料。证据来源的合法性存在明显疑问，投诉人无法证明其取得方式合法的，视为以非法手段取得证明材料。</w:t>
      </w:r>
    </w:p>
    <w:p>
      <w:pPr>
        <w:pStyle w:val="64"/>
        <w:widowControl/>
        <w:numPr>
          <w:ilvl w:val="2"/>
          <w:numId w:val="45"/>
        </w:numPr>
        <w:shd w:val="clear" w:color="auto" w:fill="FFFFFF"/>
        <w:wordWrap w:val="0"/>
        <w:spacing w:line="360" w:lineRule="auto"/>
        <w:ind w:firstLineChars="0"/>
        <w:jc w:val="left"/>
        <w:rPr>
          <w:rFonts w:hint="eastAsia" w:ascii="宋体" w:hAnsi="宋体" w:cs="宋体"/>
          <w:spacing w:val="-4"/>
          <w:kern w:val="0"/>
          <w:sz w:val="24"/>
          <w:szCs w:val="24"/>
        </w:rPr>
      </w:pPr>
      <w:r>
        <w:rPr>
          <w:rFonts w:hint="eastAsia" w:ascii="宋体" w:hAnsi="宋体" w:cs="宋体"/>
          <w:spacing w:val="-4"/>
          <w:kern w:val="0"/>
          <w:sz w:val="24"/>
          <w:szCs w:val="24"/>
        </w:rPr>
        <w:t>以联合体形式参加采购活动的，其投诉应当由组成联合体的所有供应商共同提出。</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中标通知书</w:t>
      </w:r>
    </w:p>
    <w:p>
      <w:pPr>
        <w:pStyle w:val="64"/>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采购人或者采购代理机构应当自中标人确定之日起2个工作日内在指定媒体公告中标结果和发出中标通知书，公告期为1个工作日。</w:t>
      </w:r>
    </w:p>
    <w:p>
      <w:pPr>
        <w:pStyle w:val="64"/>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《中标通知书》对中标人和采购人具有同等法律效力。</w:t>
      </w:r>
    </w:p>
    <w:p>
      <w:pPr>
        <w:pStyle w:val="64"/>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中标通知书发出后，采购人不得违法改变中标结果，中标人无正当理由不得放弃中标。</w:t>
      </w:r>
    </w:p>
    <w:p>
      <w:pPr>
        <w:pStyle w:val="64"/>
        <w:numPr>
          <w:ilvl w:val="0"/>
          <w:numId w:val="46"/>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《中标通知书》将作为授予合同资格的合法依据，是合同的一个组成部分。</w:t>
      </w:r>
    </w:p>
    <w:p>
      <w:pPr>
        <w:pStyle w:val="64"/>
        <w:numPr>
          <w:ilvl w:val="0"/>
          <w:numId w:val="5"/>
        </w:numPr>
        <w:spacing w:before="312" w:beforeLines="100" w:line="360" w:lineRule="auto"/>
        <w:ind w:firstLine="0" w:firstLineChars="0"/>
        <w:outlineLvl w:val="1"/>
        <w:rPr>
          <w:rFonts w:hint="eastAsia" w:ascii="微软雅黑" w:hAnsi="微软雅黑" w:eastAsia="微软雅黑" w:cs="微软雅黑"/>
          <w:b/>
          <w:bCs/>
          <w:sz w:val="28"/>
          <w:szCs w:val="28"/>
        </w:rPr>
      </w:pPr>
      <w:bookmarkStart w:id="68" w:name="_Toc30187"/>
      <w:bookmarkStart w:id="69" w:name="_Toc304"/>
      <w:r>
        <w:rPr>
          <w:rFonts w:hint="eastAsia" w:ascii="微软雅黑" w:hAnsi="微软雅黑" w:eastAsia="微软雅黑" w:cs="微软雅黑"/>
          <w:b/>
          <w:bCs/>
          <w:sz w:val="28"/>
          <w:szCs w:val="28"/>
        </w:rPr>
        <w:t>授予合同</w:t>
      </w:r>
      <w:bookmarkEnd w:id="68"/>
      <w:bookmarkEnd w:id="69"/>
    </w:p>
    <w:p>
      <w:pPr>
        <w:pStyle w:val="64"/>
        <w:spacing w:before="312" w:beforeLines="100" w:line="360" w:lineRule="auto"/>
        <w:ind w:firstLine="0" w:firstLineChars="0"/>
        <w:outlineLvl w:val="1"/>
        <w:rPr>
          <w:rFonts w:hint="eastAsia" w:ascii="微软雅黑" w:hAnsi="微软雅黑" w:eastAsia="微软雅黑" w:cs="微软雅黑"/>
          <w:b/>
          <w:bCs/>
          <w:sz w:val="24"/>
          <w:szCs w:val="24"/>
        </w:rPr>
      </w:pPr>
    </w:p>
    <w:p>
      <w:pPr>
        <w:pStyle w:val="64"/>
        <w:numPr>
          <w:ilvl w:val="0"/>
          <w:numId w:val="6"/>
        </w:numPr>
        <w:spacing w:line="360" w:lineRule="auto"/>
        <w:ind w:firstLineChars="0"/>
        <w:rPr>
          <w:rFonts w:hint="eastAsia" w:ascii="宋体" w:hAnsi="宋体" w:cs="宋体"/>
          <w:b/>
          <w:sz w:val="24"/>
          <w:szCs w:val="24"/>
        </w:rPr>
      </w:pPr>
      <w:r>
        <w:rPr>
          <w:rFonts w:hint="eastAsia" w:ascii="宋体" w:hAnsi="宋体" w:cs="宋体"/>
          <w:b/>
          <w:sz w:val="24"/>
          <w:szCs w:val="24"/>
        </w:rPr>
        <w:t>合同的订立</w:t>
      </w:r>
    </w:p>
    <w:p>
      <w:pPr>
        <w:pStyle w:val="64"/>
        <w:numPr>
          <w:ilvl w:val="0"/>
          <w:numId w:val="4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采购人应当自《中标通知书》发出之日起30日内，按照招标文件和中标人投标文件的约定，与中标人签订书面合同。所签订的合同不得对招标文件确定的事项和中标人投标文件作实质性修改。</w:t>
      </w:r>
    </w:p>
    <w:p>
      <w:pPr>
        <w:pStyle w:val="64"/>
        <w:numPr>
          <w:ilvl w:val="0"/>
          <w:numId w:val="4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采购人或者采购代理机构不得向中标人提出任何不合理的要求，作为签订合同的条件，不得与中标人私下订立背离合同实质性内容的协议。</w:t>
      </w:r>
    </w:p>
    <w:p>
      <w:pPr>
        <w:pStyle w:val="64"/>
        <w:numPr>
          <w:ilvl w:val="0"/>
          <w:numId w:val="47"/>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中标人拒绝与采购人签订合同的，采购人可以按照评审报告推荐的中标候选人名单排序，确定下一候选人为中标人，也可以重新开展采购活动。</w:t>
      </w:r>
    </w:p>
    <w:p>
      <w:pPr>
        <w:pStyle w:val="64"/>
        <w:spacing w:line="360" w:lineRule="auto"/>
        <w:ind w:firstLine="0" w:firstLineChars="0"/>
        <w:rPr>
          <w:rFonts w:hint="eastAsia" w:ascii="宋体" w:hAnsi="宋体" w:cs="宋体"/>
          <w:bCs/>
          <w:sz w:val="24"/>
          <w:szCs w:val="24"/>
        </w:rPr>
      </w:pPr>
    </w:p>
    <w:p>
      <w:pPr>
        <w:pStyle w:val="64"/>
        <w:numPr>
          <w:ilvl w:val="0"/>
          <w:numId w:val="6"/>
        </w:numPr>
        <w:spacing w:line="360" w:lineRule="auto"/>
        <w:ind w:firstLineChars="0"/>
        <w:rPr>
          <w:rFonts w:hint="eastAsia" w:ascii="宋体" w:hAnsi="宋体" w:cs="宋体"/>
          <w:b/>
          <w:sz w:val="24"/>
          <w:szCs w:val="24"/>
        </w:rPr>
      </w:pPr>
      <w:r>
        <w:rPr>
          <w:rFonts w:hint="eastAsia" w:ascii="宋体" w:hAnsi="宋体" w:cs="宋体"/>
          <w:b/>
          <w:sz w:val="24"/>
          <w:szCs w:val="24"/>
        </w:rPr>
        <w:t>合同的履行</w:t>
      </w:r>
    </w:p>
    <w:p>
      <w:pPr>
        <w:pStyle w:val="64"/>
        <w:numPr>
          <w:ilvl w:val="0"/>
          <w:numId w:val="48"/>
        </w:numPr>
        <w:spacing w:line="360" w:lineRule="auto"/>
        <w:ind w:firstLineChars="0"/>
        <w:rPr>
          <w:rFonts w:hint="eastAsia" w:ascii="宋体" w:hAnsi="宋体" w:cs="宋体"/>
          <w:bCs/>
          <w:sz w:val="24"/>
          <w:szCs w:val="24"/>
        </w:rPr>
      </w:pPr>
      <w:r>
        <w:rPr>
          <w:rFonts w:hint="eastAsia" w:ascii="宋体" w:hAnsi="宋体" w:cs="宋体"/>
          <w:bCs/>
          <w:sz w:val="24"/>
          <w:szCs w:val="24"/>
        </w:rPr>
        <w:t>采购人和中标人应当根据合同的约定依法履行合同义务。</w:t>
      </w:r>
    </w:p>
    <w:p>
      <w:pPr>
        <w:pStyle w:val="64"/>
        <w:numPr>
          <w:ilvl w:val="0"/>
          <w:numId w:val="4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采购合同订立后，合同各方不得擅自变更、中止或者终止合同。</w:t>
      </w:r>
    </w:p>
    <w:p>
      <w:pPr>
        <w:pStyle w:val="64"/>
        <w:numPr>
          <w:ilvl w:val="0"/>
          <w:numId w:val="48"/>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合同履行中，采购人需追加与合同标的相同的货物、工程或者服务的，在不改变合同其他条款的前提下，可以与中标人签订补充合同，但所补充合同的采购金额不得超过原合同采购金额的百分之十。签订补充合同的必须按规定备案。</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履约担保</w:t>
      </w:r>
    </w:p>
    <w:p>
      <w:pPr>
        <w:pStyle w:val="64"/>
        <w:numPr>
          <w:ilvl w:val="0"/>
          <w:numId w:val="49"/>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sz w:val="24"/>
          <w:szCs w:val="24"/>
        </w:rPr>
        <w:t>中标人应按</w:t>
      </w:r>
      <w:r>
        <w:rPr>
          <w:rFonts w:hint="eastAsia" w:ascii="宋体" w:hAnsi="宋体" w:cs="宋体"/>
          <w:b/>
          <w:bCs/>
          <w:sz w:val="24"/>
          <w:szCs w:val="24"/>
          <w:u w:val="single"/>
        </w:rPr>
        <w:t>投标须知前附表</w:t>
      </w:r>
      <w:r>
        <w:rPr>
          <w:rFonts w:hint="eastAsia" w:ascii="宋体" w:hAnsi="宋体" w:cs="宋体"/>
          <w:sz w:val="24"/>
          <w:szCs w:val="24"/>
        </w:rPr>
        <w:t>要求向采购人缴纳履约担保（如采用保函形式，格式详见招标文件第七部分投标文件格式—采购履约担保）。</w:t>
      </w:r>
      <w:bookmarkStart w:id="70" w:name="_Hlk116592131"/>
      <w:r>
        <w:rPr>
          <w:rFonts w:hint="eastAsia" w:ascii="宋体" w:hAnsi="宋体" w:cs="宋体"/>
          <w:sz w:val="24"/>
          <w:szCs w:val="24"/>
        </w:rPr>
        <w:t>履约担保可以采用银行转账或者以专业担保机构、金融机构出具的担保函的形式缴交。</w:t>
      </w:r>
      <w:bookmarkEnd w:id="70"/>
      <w:r>
        <w:rPr>
          <w:rFonts w:hint="eastAsia" w:ascii="宋体" w:hAnsi="宋体" w:cs="宋体"/>
          <w:sz w:val="24"/>
          <w:szCs w:val="24"/>
        </w:rPr>
        <w:t>履约保函的内容，应符合招标文件、投标响应文件和采购合同的要求。履约保函应在采购合同有效期满后28天内继续有效。</w:t>
      </w:r>
    </w:p>
    <w:p>
      <w:pPr>
        <w:pStyle w:val="64"/>
        <w:numPr>
          <w:ilvl w:val="0"/>
          <w:numId w:val="49"/>
        </w:numPr>
        <w:tabs>
          <w:tab w:val="left" w:pos="709"/>
        </w:tabs>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在整个项目验收合格后，中标人向采购人提交退回履约保证金的申请，采购人办理履约保证金退还手续，将履约保证金退回原中标人的汇入账户。</w:t>
      </w:r>
    </w:p>
    <w:p>
      <w:pPr>
        <w:pStyle w:val="64"/>
        <w:numPr>
          <w:ilvl w:val="0"/>
          <w:numId w:val="6"/>
        </w:numPr>
        <w:spacing w:before="312" w:beforeLines="100" w:line="360" w:lineRule="auto"/>
        <w:ind w:firstLineChars="0"/>
        <w:rPr>
          <w:rFonts w:hint="eastAsia" w:ascii="宋体" w:hAnsi="宋体" w:cs="宋体"/>
          <w:b/>
          <w:sz w:val="24"/>
          <w:szCs w:val="24"/>
        </w:rPr>
      </w:pPr>
      <w:r>
        <w:rPr>
          <w:rFonts w:hint="eastAsia" w:ascii="宋体" w:hAnsi="宋体" w:cs="宋体"/>
          <w:b/>
          <w:sz w:val="24"/>
          <w:szCs w:val="24"/>
        </w:rPr>
        <w:t>发票</w:t>
      </w:r>
    </w:p>
    <w:p>
      <w:pPr>
        <w:pStyle w:val="64"/>
        <w:numPr>
          <w:ilvl w:val="0"/>
          <w:numId w:val="50"/>
        </w:numPr>
        <w:spacing w:line="360" w:lineRule="auto"/>
        <w:ind w:firstLineChars="0"/>
        <w:rPr>
          <w:rFonts w:hint="eastAsia" w:ascii="宋体" w:hAnsi="宋体" w:cs="宋体"/>
          <w:bCs/>
          <w:spacing w:val="-2"/>
          <w:sz w:val="24"/>
          <w:szCs w:val="24"/>
        </w:rPr>
      </w:pPr>
      <w:r>
        <w:rPr>
          <w:rFonts w:hint="eastAsia" w:ascii="宋体" w:hAnsi="宋体" w:cs="宋体"/>
          <w:bCs/>
          <w:spacing w:val="-2"/>
          <w:sz w:val="24"/>
          <w:szCs w:val="24"/>
        </w:rPr>
        <w:t xml:space="preserve"> 中标人与采购人签署合同后，开具发票时，开发票的单位名称必须与中标人的名称一致。</w:t>
      </w:r>
    </w:p>
    <w:p>
      <w:pPr>
        <w:pStyle w:val="64"/>
        <w:numPr>
          <w:ilvl w:val="0"/>
          <w:numId w:val="5"/>
        </w:numPr>
        <w:spacing w:before="312" w:beforeLines="100" w:line="360" w:lineRule="auto"/>
        <w:ind w:firstLine="0" w:firstLineChars="0"/>
        <w:outlineLvl w:val="1"/>
        <w:rPr>
          <w:rFonts w:hint="eastAsia" w:ascii="黑体" w:hAnsi="黑体" w:eastAsia="黑体"/>
          <w:b/>
          <w:bCs/>
          <w:spacing w:val="-2"/>
          <w:sz w:val="28"/>
          <w:szCs w:val="28"/>
        </w:rPr>
      </w:pPr>
      <w:bookmarkStart w:id="71" w:name="_Toc996"/>
      <w:bookmarkStart w:id="72" w:name="_Toc15553"/>
      <w:r>
        <w:rPr>
          <w:rFonts w:hint="eastAsia" w:ascii="微软雅黑" w:hAnsi="微软雅黑" w:eastAsia="微软雅黑" w:cs="微软雅黑"/>
          <w:b/>
          <w:bCs/>
          <w:sz w:val="28"/>
          <w:szCs w:val="28"/>
        </w:rPr>
        <w:t>其他</w:t>
      </w:r>
      <w:bookmarkEnd w:id="71"/>
      <w:bookmarkEnd w:id="72"/>
    </w:p>
    <w:p>
      <w:pPr>
        <w:pStyle w:val="64"/>
        <w:numPr>
          <w:ilvl w:val="0"/>
          <w:numId w:val="6"/>
        </w:numPr>
        <w:spacing w:before="312" w:beforeLines="100" w:line="360" w:lineRule="auto"/>
        <w:ind w:firstLineChars="0"/>
        <w:rPr>
          <w:rFonts w:hint="eastAsia" w:ascii="宋体" w:hAnsi="宋体" w:cs="宋体"/>
          <w:bCs/>
          <w:sz w:val="24"/>
          <w:szCs w:val="24"/>
        </w:rPr>
      </w:pPr>
      <w:bookmarkStart w:id="73" w:name="_Toc357676148"/>
      <w:r>
        <w:rPr>
          <w:rFonts w:hint="eastAsia" w:ascii="宋体" w:hAnsi="宋体" w:cs="宋体"/>
          <w:b/>
          <w:sz w:val="24"/>
          <w:szCs w:val="28"/>
        </w:rPr>
        <w:t>招标代理服务费</w:t>
      </w:r>
      <w:bookmarkEnd w:id="73"/>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采购机构代理服务收费标准：以中标金额为计算基准，按采购人与采购代理机构签订委托协议及原国家计委《关于印发〈招标代理服务收费管理暂行办法〉的通知》（计价格［2002］1980号）文件规定后</w:t>
      </w:r>
      <w:r>
        <w:rPr>
          <w:rFonts w:ascii="宋体" w:hAnsi="宋体" w:cs="宋体"/>
          <w:bCs/>
          <w:sz w:val="24"/>
          <w:szCs w:val="24"/>
        </w:rPr>
        <w:t>下浮 46 ％</w:t>
      </w:r>
      <w:r>
        <w:rPr>
          <w:rFonts w:hint="eastAsia" w:ascii="宋体" w:hAnsi="宋体" w:cs="宋体"/>
          <w:bCs/>
          <w:sz w:val="24"/>
          <w:szCs w:val="24"/>
        </w:rPr>
        <w:t>计</w:t>
      </w:r>
      <w:r>
        <w:rPr>
          <w:rFonts w:hint="eastAsia" w:cs="Times New Roman"/>
          <w:sz w:val="22"/>
          <w:szCs w:val="24"/>
        </w:rPr>
        <w:t>取。</w:t>
      </w:r>
      <w:r>
        <w:rPr>
          <w:rFonts w:hint="eastAsia" w:ascii="宋体" w:hAnsi="宋体" w:cs="宋体"/>
          <w:bCs/>
          <w:sz w:val="24"/>
          <w:szCs w:val="24"/>
        </w:rPr>
        <w:t>中标人应在领取《中标通知书》原件时向采购代理机构一次性支付招标代理服务费(参照国家计委文件“计价格[2002]1980号文”、“发改办价格[2003]857号文”和“发改价格[2011]534号文”的规定标准执行)。</w:t>
      </w:r>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本项目类型为</w:t>
      </w:r>
      <w:r>
        <w:rPr>
          <w:rFonts w:hint="eastAsia" w:ascii="宋体" w:hAnsi="宋体" w:cs="宋体"/>
          <w:bCs/>
          <w:sz w:val="24"/>
          <w:szCs w:val="24"/>
          <w:u w:val="single"/>
        </w:rPr>
        <w:t>（</w:t>
      </w:r>
      <w:r>
        <w:rPr>
          <w:rFonts w:hint="eastAsia" w:ascii="宋体" w:hAnsi="宋体" w:cs="宋体"/>
          <w:b/>
          <w:bCs/>
          <w:sz w:val="24"/>
          <w:szCs w:val="24"/>
          <w:u w:val="single"/>
        </w:rPr>
        <w:t>详见投标须知前附表</w:t>
      </w:r>
      <w:r>
        <w:rPr>
          <w:rFonts w:hint="eastAsia" w:ascii="宋体" w:hAnsi="宋体" w:cs="宋体"/>
          <w:bCs/>
          <w:sz w:val="24"/>
          <w:szCs w:val="24"/>
          <w:u w:val="single"/>
        </w:rPr>
        <w:t>）</w:t>
      </w:r>
      <w:r>
        <w:rPr>
          <w:rFonts w:hint="eastAsia" w:ascii="宋体" w:hAnsi="宋体" w:cs="宋体"/>
          <w:b/>
          <w:bCs/>
          <w:sz w:val="24"/>
          <w:szCs w:val="24"/>
        </w:rPr>
        <w:t>。</w:t>
      </w:r>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招标代理服务收费标准：</w:t>
      </w:r>
    </w:p>
    <w:tbl>
      <w:tblPr>
        <w:tblStyle w:val="37"/>
        <w:tblW w:w="450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651"/>
        <w:gridCol w:w="1580"/>
        <w:gridCol w:w="2144"/>
        <w:gridCol w:w="22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4" w:hRule="atLeast"/>
          <w:jc w:val="center"/>
        </w:trPr>
        <w:tc>
          <w:tcPr>
            <w:tcW w:w="1545" w:type="pct"/>
            <w:tcBorders>
              <w:tl2br w:val="single" w:color="000000" w:sz="8" w:space="0"/>
            </w:tcBorders>
            <w:noWrap w:val="0"/>
            <w:vAlign w:val="top"/>
          </w:tcPr>
          <w:p>
            <w:pPr>
              <w:rPr>
                <w:rFonts w:hint="eastAsia" w:ascii="黑体" w:hAnsi="黑体" w:eastAsia="黑体"/>
                <w:sz w:val="22"/>
              </w:rPr>
            </w:pPr>
            <w:r>
              <w:rPr>
                <w:rFonts w:ascii="黑体" w:hAnsi="黑体" w:eastAsia="黑体"/>
                <w:sz w:val="22"/>
              </w:rPr>
              <w:t xml:space="preserve">              </w:t>
            </w:r>
            <w:r>
              <w:rPr>
                <w:rFonts w:hint="eastAsia" w:ascii="黑体" w:hAnsi="黑体" w:eastAsia="黑体"/>
                <w:sz w:val="22"/>
              </w:rPr>
              <w:t xml:space="preserve">  </w:t>
            </w:r>
            <w:r>
              <w:rPr>
                <w:rFonts w:ascii="黑体" w:hAnsi="黑体" w:eastAsia="黑体"/>
                <w:sz w:val="22"/>
              </w:rPr>
              <w:t>费率</w:t>
            </w:r>
          </w:p>
          <w:p>
            <w:pPr>
              <w:rPr>
                <w:rFonts w:hint="eastAsia" w:ascii="黑体" w:hAnsi="黑体" w:eastAsia="黑体"/>
                <w:sz w:val="22"/>
              </w:rPr>
            </w:pPr>
            <w:r>
              <w:rPr>
                <w:rFonts w:hint="eastAsia" w:ascii="黑体" w:hAnsi="黑体" w:eastAsia="黑体"/>
                <w:sz w:val="22"/>
              </w:rPr>
              <w:t>中标金额</w:t>
            </w:r>
          </w:p>
        </w:tc>
        <w:tc>
          <w:tcPr>
            <w:tcW w:w="921" w:type="pct"/>
            <w:noWrap w:val="0"/>
            <w:vAlign w:val="center"/>
          </w:tcPr>
          <w:p>
            <w:pPr>
              <w:jc w:val="center"/>
              <w:rPr>
                <w:rFonts w:hint="eastAsia" w:ascii="黑体" w:hAnsi="黑体" w:eastAsia="黑体"/>
                <w:sz w:val="22"/>
              </w:rPr>
            </w:pPr>
            <w:r>
              <w:rPr>
                <w:rFonts w:hint="eastAsia" w:ascii="黑体" w:hAnsi="黑体" w:eastAsia="黑体"/>
                <w:sz w:val="22"/>
              </w:rPr>
              <w:t>货物招标</w:t>
            </w:r>
          </w:p>
        </w:tc>
        <w:tc>
          <w:tcPr>
            <w:tcW w:w="1250" w:type="pct"/>
            <w:noWrap w:val="0"/>
            <w:vAlign w:val="center"/>
          </w:tcPr>
          <w:p>
            <w:pPr>
              <w:jc w:val="center"/>
              <w:rPr>
                <w:rFonts w:hint="eastAsia" w:ascii="黑体" w:hAnsi="黑体" w:eastAsia="黑体"/>
                <w:sz w:val="22"/>
              </w:rPr>
            </w:pPr>
            <w:r>
              <w:rPr>
                <w:rFonts w:hint="eastAsia" w:ascii="黑体" w:hAnsi="黑体" w:eastAsia="黑体"/>
                <w:sz w:val="22"/>
              </w:rPr>
              <w:t>服务招标</w:t>
            </w:r>
          </w:p>
        </w:tc>
        <w:tc>
          <w:tcPr>
            <w:tcW w:w="1283" w:type="pct"/>
            <w:noWrap w:val="0"/>
            <w:vAlign w:val="center"/>
          </w:tcPr>
          <w:p>
            <w:pPr>
              <w:jc w:val="center"/>
              <w:rPr>
                <w:rFonts w:hint="eastAsia" w:ascii="黑体" w:hAnsi="黑体" w:eastAsia="黑体"/>
                <w:sz w:val="22"/>
              </w:rPr>
            </w:pPr>
            <w:r>
              <w:rPr>
                <w:rFonts w:hint="eastAsia" w:ascii="黑体" w:hAnsi="黑体" w:eastAsia="黑体"/>
                <w:sz w:val="22"/>
              </w:rPr>
              <w:t>工程招标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100万元以下</w:t>
            </w:r>
          </w:p>
        </w:tc>
        <w:tc>
          <w:tcPr>
            <w:tcW w:w="921" w:type="pct"/>
            <w:noWrap w:val="0"/>
            <w:vAlign w:val="center"/>
          </w:tcPr>
          <w:p>
            <w:pPr>
              <w:jc w:val="center"/>
              <w:rPr>
                <w:rFonts w:hint="eastAsia" w:ascii="黑体" w:hAnsi="黑体" w:eastAsia="黑体"/>
                <w:sz w:val="22"/>
              </w:rPr>
            </w:pPr>
            <w:r>
              <w:rPr>
                <w:rFonts w:ascii="黑体" w:hAnsi="黑体" w:eastAsia="黑体"/>
                <w:sz w:val="22"/>
              </w:rPr>
              <w:t>1.5%</w:t>
            </w:r>
          </w:p>
        </w:tc>
        <w:tc>
          <w:tcPr>
            <w:tcW w:w="1250" w:type="pct"/>
            <w:noWrap w:val="0"/>
            <w:vAlign w:val="center"/>
          </w:tcPr>
          <w:p>
            <w:pPr>
              <w:jc w:val="center"/>
              <w:rPr>
                <w:rFonts w:hint="eastAsia" w:ascii="黑体" w:hAnsi="黑体" w:eastAsia="黑体"/>
                <w:sz w:val="22"/>
              </w:rPr>
            </w:pPr>
            <w:r>
              <w:rPr>
                <w:rFonts w:ascii="黑体" w:hAnsi="黑体" w:eastAsia="黑体"/>
                <w:sz w:val="22"/>
              </w:rPr>
              <w:t>1.5%</w:t>
            </w:r>
          </w:p>
        </w:tc>
        <w:tc>
          <w:tcPr>
            <w:tcW w:w="1283" w:type="pct"/>
            <w:noWrap w:val="0"/>
            <w:vAlign w:val="center"/>
          </w:tcPr>
          <w:p>
            <w:pPr>
              <w:jc w:val="center"/>
              <w:rPr>
                <w:rFonts w:hint="eastAsia" w:ascii="黑体" w:hAnsi="黑体" w:eastAsia="黑体"/>
                <w:sz w:val="22"/>
              </w:rPr>
            </w:pPr>
            <w:r>
              <w:rPr>
                <w:rFonts w:ascii="黑体" w:hAnsi="黑体" w:eastAsia="黑体"/>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100-500万元</w:t>
            </w:r>
          </w:p>
        </w:tc>
        <w:tc>
          <w:tcPr>
            <w:tcW w:w="921" w:type="pct"/>
            <w:noWrap w:val="0"/>
            <w:vAlign w:val="center"/>
          </w:tcPr>
          <w:p>
            <w:pPr>
              <w:jc w:val="center"/>
              <w:rPr>
                <w:rFonts w:hint="eastAsia" w:ascii="黑体" w:hAnsi="黑体" w:eastAsia="黑体"/>
                <w:sz w:val="22"/>
              </w:rPr>
            </w:pPr>
            <w:r>
              <w:rPr>
                <w:rFonts w:ascii="黑体" w:hAnsi="黑体" w:eastAsia="黑体"/>
                <w:sz w:val="22"/>
              </w:rPr>
              <w:t>1.1%</w:t>
            </w:r>
          </w:p>
        </w:tc>
        <w:tc>
          <w:tcPr>
            <w:tcW w:w="1250" w:type="pct"/>
            <w:noWrap w:val="0"/>
            <w:vAlign w:val="center"/>
          </w:tcPr>
          <w:p>
            <w:pPr>
              <w:jc w:val="center"/>
              <w:rPr>
                <w:rFonts w:hint="eastAsia" w:ascii="黑体" w:hAnsi="黑体" w:eastAsia="黑体"/>
                <w:sz w:val="22"/>
              </w:rPr>
            </w:pPr>
            <w:r>
              <w:rPr>
                <w:rFonts w:ascii="黑体" w:hAnsi="黑体" w:eastAsia="黑体"/>
                <w:sz w:val="22"/>
              </w:rPr>
              <w:t>0.8%</w:t>
            </w:r>
          </w:p>
        </w:tc>
        <w:tc>
          <w:tcPr>
            <w:tcW w:w="1283" w:type="pct"/>
            <w:noWrap w:val="0"/>
            <w:vAlign w:val="center"/>
          </w:tcPr>
          <w:p>
            <w:pPr>
              <w:jc w:val="center"/>
              <w:rPr>
                <w:rFonts w:hint="eastAsia" w:ascii="黑体" w:hAnsi="黑体" w:eastAsia="黑体"/>
                <w:sz w:val="22"/>
              </w:rPr>
            </w:pPr>
            <w:r>
              <w:rPr>
                <w:rFonts w:ascii="黑体" w:hAnsi="黑体" w:eastAsia="黑体"/>
                <w:sz w:val="22"/>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500-1000万元</w:t>
            </w:r>
          </w:p>
        </w:tc>
        <w:tc>
          <w:tcPr>
            <w:tcW w:w="921" w:type="pct"/>
            <w:noWrap w:val="0"/>
            <w:vAlign w:val="center"/>
          </w:tcPr>
          <w:p>
            <w:pPr>
              <w:jc w:val="center"/>
              <w:rPr>
                <w:rFonts w:hint="eastAsia" w:ascii="黑体" w:hAnsi="黑体" w:eastAsia="黑体"/>
                <w:sz w:val="22"/>
              </w:rPr>
            </w:pPr>
            <w:r>
              <w:rPr>
                <w:rFonts w:ascii="黑体" w:hAnsi="黑体" w:eastAsia="黑体"/>
                <w:sz w:val="22"/>
              </w:rPr>
              <w:t>0.8%</w:t>
            </w:r>
          </w:p>
        </w:tc>
        <w:tc>
          <w:tcPr>
            <w:tcW w:w="1250" w:type="pct"/>
            <w:noWrap w:val="0"/>
            <w:vAlign w:val="center"/>
          </w:tcPr>
          <w:p>
            <w:pPr>
              <w:jc w:val="center"/>
              <w:rPr>
                <w:rFonts w:hint="eastAsia" w:ascii="黑体" w:hAnsi="黑体" w:eastAsia="黑体"/>
                <w:sz w:val="22"/>
              </w:rPr>
            </w:pPr>
            <w:r>
              <w:rPr>
                <w:rFonts w:ascii="黑体" w:hAnsi="黑体" w:eastAsia="黑体"/>
                <w:sz w:val="22"/>
              </w:rPr>
              <w:t>0.45%</w:t>
            </w:r>
          </w:p>
        </w:tc>
        <w:tc>
          <w:tcPr>
            <w:tcW w:w="1283" w:type="pct"/>
            <w:noWrap w:val="0"/>
            <w:vAlign w:val="center"/>
          </w:tcPr>
          <w:p>
            <w:pPr>
              <w:jc w:val="center"/>
              <w:rPr>
                <w:rFonts w:hint="eastAsia" w:ascii="黑体" w:hAnsi="黑体" w:eastAsia="黑体"/>
                <w:sz w:val="22"/>
              </w:rPr>
            </w:pPr>
            <w:r>
              <w:rPr>
                <w:rFonts w:ascii="黑体" w:hAnsi="黑体" w:eastAsia="黑体"/>
                <w:sz w:val="22"/>
              </w:rPr>
              <w:t>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7"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1000-5000万元</w:t>
            </w:r>
          </w:p>
        </w:tc>
        <w:tc>
          <w:tcPr>
            <w:tcW w:w="921" w:type="pct"/>
            <w:noWrap w:val="0"/>
            <w:vAlign w:val="center"/>
          </w:tcPr>
          <w:p>
            <w:pPr>
              <w:jc w:val="center"/>
              <w:rPr>
                <w:rFonts w:hint="eastAsia" w:ascii="黑体" w:hAnsi="黑体" w:eastAsia="黑体"/>
                <w:sz w:val="22"/>
              </w:rPr>
            </w:pPr>
            <w:r>
              <w:rPr>
                <w:rFonts w:ascii="黑体" w:hAnsi="黑体" w:eastAsia="黑体"/>
                <w:sz w:val="22"/>
              </w:rPr>
              <w:t xml:space="preserve">0.5%                </w:t>
            </w:r>
          </w:p>
        </w:tc>
        <w:tc>
          <w:tcPr>
            <w:tcW w:w="1250" w:type="pct"/>
            <w:noWrap w:val="0"/>
            <w:vAlign w:val="center"/>
          </w:tcPr>
          <w:p>
            <w:pPr>
              <w:jc w:val="center"/>
              <w:rPr>
                <w:rFonts w:hint="eastAsia" w:ascii="黑体" w:hAnsi="黑体" w:eastAsia="黑体"/>
                <w:sz w:val="22"/>
              </w:rPr>
            </w:pPr>
            <w:r>
              <w:rPr>
                <w:rFonts w:ascii="黑体" w:hAnsi="黑体" w:eastAsia="黑体"/>
                <w:sz w:val="22"/>
              </w:rPr>
              <w:t>0.25%</w:t>
            </w:r>
          </w:p>
        </w:tc>
        <w:tc>
          <w:tcPr>
            <w:tcW w:w="1283" w:type="pct"/>
            <w:noWrap w:val="0"/>
            <w:vAlign w:val="center"/>
          </w:tcPr>
          <w:p>
            <w:pPr>
              <w:jc w:val="center"/>
              <w:rPr>
                <w:rFonts w:hint="eastAsia" w:ascii="黑体" w:hAnsi="黑体" w:eastAsia="黑体"/>
                <w:sz w:val="22"/>
              </w:rPr>
            </w:pPr>
            <w:r>
              <w:rPr>
                <w:rFonts w:ascii="黑体" w:hAnsi="黑体" w:eastAsia="黑体"/>
                <w:sz w:val="22"/>
              </w:rPr>
              <w:t>0.35%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5000万元-1亿元</w:t>
            </w:r>
          </w:p>
        </w:tc>
        <w:tc>
          <w:tcPr>
            <w:tcW w:w="921" w:type="pct"/>
            <w:noWrap w:val="0"/>
            <w:vAlign w:val="center"/>
          </w:tcPr>
          <w:p>
            <w:pPr>
              <w:jc w:val="center"/>
              <w:rPr>
                <w:rFonts w:hint="eastAsia" w:ascii="黑体" w:hAnsi="黑体" w:eastAsia="黑体"/>
                <w:sz w:val="22"/>
              </w:rPr>
            </w:pPr>
            <w:r>
              <w:rPr>
                <w:rFonts w:ascii="黑体" w:hAnsi="黑体" w:eastAsia="黑体"/>
                <w:sz w:val="22"/>
              </w:rPr>
              <w:t xml:space="preserve">0.25%                 </w:t>
            </w:r>
          </w:p>
        </w:tc>
        <w:tc>
          <w:tcPr>
            <w:tcW w:w="1250" w:type="pct"/>
            <w:noWrap w:val="0"/>
            <w:vAlign w:val="center"/>
          </w:tcPr>
          <w:p>
            <w:pPr>
              <w:jc w:val="center"/>
              <w:rPr>
                <w:rFonts w:hint="eastAsia" w:ascii="黑体" w:hAnsi="黑体" w:eastAsia="黑体"/>
                <w:sz w:val="22"/>
              </w:rPr>
            </w:pPr>
            <w:r>
              <w:rPr>
                <w:rFonts w:ascii="黑体" w:hAnsi="黑体" w:eastAsia="黑体"/>
                <w:sz w:val="22"/>
              </w:rPr>
              <w:t>0.1%</w:t>
            </w:r>
          </w:p>
        </w:tc>
        <w:tc>
          <w:tcPr>
            <w:tcW w:w="1283" w:type="pct"/>
            <w:noWrap w:val="0"/>
            <w:vAlign w:val="center"/>
          </w:tcPr>
          <w:p>
            <w:pPr>
              <w:jc w:val="center"/>
              <w:rPr>
                <w:rFonts w:hint="eastAsia" w:ascii="黑体" w:hAnsi="黑体" w:eastAsia="黑体"/>
                <w:sz w:val="22"/>
              </w:rPr>
            </w:pPr>
            <w:r>
              <w:rPr>
                <w:rFonts w:ascii="黑体" w:hAnsi="黑体" w:eastAsia="黑体"/>
                <w:sz w:val="22"/>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1-5亿元</w:t>
            </w:r>
          </w:p>
        </w:tc>
        <w:tc>
          <w:tcPr>
            <w:tcW w:w="921" w:type="pct"/>
            <w:noWrap w:val="0"/>
            <w:vAlign w:val="center"/>
          </w:tcPr>
          <w:p>
            <w:pPr>
              <w:jc w:val="center"/>
              <w:rPr>
                <w:rFonts w:hint="eastAsia" w:ascii="黑体" w:hAnsi="黑体" w:eastAsia="黑体"/>
                <w:sz w:val="22"/>
              </w:rPr>
            </w:pPr>
            <w:r>
              <w:rPr>
                <w:rFonts w:ascii="黑体" w:hAnsi="黑体" w:eastAsia="黑体"/>
                <w:sz w:val="22"/>
              </w:rPr>
              <w:t>0.05%</w:t>
            </w:r>
          </w:p>
        </w:tc>
        <w:tc>
          <w:tcPr>
            <w:tcW w:w="1250" w:type="pct"/>
            <w:noWrap w:val="0"/>
            <w:vAlign w:val="center"/>
          </w:tcPr>
          <w:p>
            <w:pPr>
              <w:jc w:val="center"/>
              <w:rPr>
                <w:rFonts w:hint="eastAsia" w:ascii="黑体" w:hAnsi="黑体" w:eastAsia="黑体"/>
                <w:sz w:val="22"/>
              </w:rPr>
            </w:pPr>
            <w:r>
              <w:rPr>
                <w:rFonts w:ascii="黑体" w:hAnsi="黑体" w:eastAsia="黑体"/>
                <w:sz w:val="22"/>
              </w:rPr>
              <w:t>0.05%</w:t>
            </w:r>
          </w:p>
        </w:tc>
        <w:tc>
          <w:tcPr>
            <w:tcW w:w="1283" w:type="pct"/>
            <w:noWrap w:val="0"/>
            <w:vAlign w:val="center"/>
          </w:tcPr>
          <w:p>
            <w:pPr>
              <w:jc w:val="center"/>
              <w:rPr>
                <w:rFonts w:hint="eastAsia" w:ascii="黑体" w:hAnsi="黑体" w:eastAsia="黑体"/>
                <w:sz w:val="22"/>
              </w:rPr>
            </w:pPr>
            <w:r>
              <w:rPr>
                <w:rFonts w:ascii="黑体" w:hAnsi="黑体" w:eastAsia="黑体"/>
                <w:sz w:val="22"/>
              </w:rPr>
              <w:t>0.05%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1"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5-10亿元</w:t>
            </w:r>
          </w:p>
        </w:tc>
        <w:tc>
          <w:tcPr>
            <w:tcW w:w="921" w:type="pct"/>
            <w:noWrap w:val="0"/>
            <w:vAlign w:val="center"/>
          </w:tcPr>
          <w:p>
            <w:pPr>
              <w:jc w:val="center"/>
              <w:rPr>
                <w:rFonts w:hint="eastAsia" w:ascii="黑体" w:hAnsi="黑体" w:eastAsia="黑体"/>
                <w:sz w:val="22"/>
              </w:rPr>
            </w:pPr>
            <w:r>
              <w:rPr>
                <w:rFonts w:ascii="黑体" w:hAnsi="黑体" w:eastAsia="黑体"/>
                <w:sz w:val="22"/>
              </w:rPr>
              <w:t>0.035%</w:t>
            </w:r>
          </w:p>
        </w:tc>
        <w:tc>
          <w:tcPr>
            <w:tcW w:w="1250" w:type="pct"/>
            <w:noWrap w:val="0"/>
            <w:vAlign w:val="center"/>
          </w:tcPr>
          <w:p>
            <w:pPr>
              <w:jc w:val="center"/>
              <w:rPr>
                <w:rFonts w:hint="eastAsia" w:ascii="黑体" w:hAnsi="黑体" w:eastAsia="黑体"/>
                <w:sz w:val="22"/>
              </w:rPr>
            </w:pPr>
            <w:r>
              <w:rPr>
                <w:rFonts w:ascii="黑体" w:hAnsi="黑体" w:eastAsia="黑体"/>
                <w:sz w:val="22"/>
              </w:rPr>
              <w:t>0.035%</w:t>
            </w:r>
          </w:p>
        </w:tc>
        <w:tc>
          <w:tcPr>
            <w:tcW w:w="1283" w:type="pct"/>
            <w:noWrap w:val="0"/>
            <w:vAlign w:val="center"/>
          </w:tcPr>
          <w:p>
            <w:pPr>
              <w:jc w:val="center"/>
              <w:rPr>
                <w:rFonts w:hint="eastAsia" w:ascii="黑体" w:hAnsi="黑体" w:eastAsia="黑体"/>
                <w:sz w:val="22"/>
              </w:rPr>
            </w:pPr>
            <w:r>
              <w:rPr>
                <w:rFonts w:ascii="黑体" w:hAnsi="黑体" w:eastAsia="黑体"/>
                <w:sz w:val="22"/>
              </w:rPr>
              <w:t>0.035%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3"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10-50亿元</w:t>
            </w:r>
          </w:p>
        </w:tc>
        <w:tc>
          <w:tcPr>
            <w:tcW w:w="921" w:type="pct"/>
            <w:noWrap w:val="0"/>
            <w:vAlign w:val="center"/>
          </w:tcPr>
          <w:p>
            <w:pPr>
              <w:jc w:val="center"/>
              <w:rPr>
                <w:rFonts w:hint="eastAsia" w:ascii="黑体" w:hAnsi="黑体" w:eastAsia="黑体"/>
                <w:sz w:val="22"/>
              </w:rPr>
            </w:pPr>
            <w:r>
              <w:rPr>
                <w:rFonts w:ascii="黑体" w:hAnsi="黑体" w:eastAsia="黑体"/>
                <w:sz w:val="22"/>
              </w:rPr>
              <w:t>0.008%</w:t>
            </w:r>
          </w:p>
        </w:tc>
        <w:tc>
          <w:tcPr>
            <w:tcW w:w="1250" w:type="pct"/>
            <w:noWrap w:val="0"/>
            <w:vAlign w:val="center"/>
          </w:tcPr>
          <w:p>
            <w:pPr>
              <w:jc w:val="center"/>
              <w:rPr>
                <w:rFonts w:hint="eastAsia" w:ascii="黑体" w:hAnsi="黑体" w:eastAsia="黑体"/>
                <w:sz w:val="22"/>
              </w:rPr>
            </w:pPr>
            <w:r>
              <w:rPr>
                <w:rFonts w:ascii="黑体" w:hAnsi="黑体" w:eastAsia="黑体"/>
                <w:sz w:val="22"/>
              </w:rPr>
              <w:t>0.008%</w:t>
            </w:r>
          </w:p>
        </w:tc>
        <w:tc>
          <w:tcPr>
            <w:tcW w:w="1283" w:type="pct"/>
            <w:noWrap w:val="0"/>
            <w:vAlign w:val="center"/>
          </w:tcPr>
          <w:p>
            <w:pPr>
              <w:jc w:val="center"/>
              <w:rPr>
                <w:rFonts w:hint="eastAsia" w:ascii="黑体" w:hAnsi="黑体" w:eastAsia="黑体"/>
                <w:sz w:val="22"/>
              </w:rPr>
            </w:pPr>
            <w:r>
              <w:rPr>
                <w:rFonts w:ascii="黑体" w:hAnsi="黑体" w:eastAsia="黑体"/>
                <w:sz w:val="22"/>
              </w:rPr>
              <w:t>0.008%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545" w:type="pct"/>
            <w:noWrap w:val="0"/>
            <w:vAlign w:val="center"/>
          </w:tcPr>
          <w:p>
            <w:pPr>
              <w:jc w:val="center"/>
              <w:rPr>
                <w:rFonts w:hint="eastAsia" w:ascii="黑体" w:hAnsi="黑体" w:eastAsia="黑体"/>
                <w:sz w:val="22"/>
              </w:rPr>
            </w:pPr>
            <w:r>
              <w:rPr>
                <w:rFonts w:ascii="黑体" w:hAnsi="黑体" w:eastAsia="黑体"/>
                <w:sz w:val="22"/>
              </w:rPr>
              <w:t>50-100亿元</w:t>
            </w:r>
          </w:p>
        </w:tc>
        <w:tc>
          <w:tcPr>
            <w:tcW w:w="921" w:type="pct"/>
            <w:noWrap w:val="0"/>
            <w:vAlign w:val="center"/>
          </w:tcPr>
          <w:p>
            <w:pPr>
              <w:jc w:val="center"/>
              <w:rPr>
                <w:rFonts w:hint="eastAsia" w:ascii="黑体" w:hAnsi="黑体" w:eastAsia="黑体"/>
                <w:sz w:val="22"/>
              </w:rPr>
            </w:pPr>
            <w:r>
              <w:rPr>
                <w:rFonts w:ascii="黑体" w:hAnsi="黑体" w:eastAsia="黑体"/>
                <w:sz w:val="22"/>
              </w:rPr>
              <w:t>0.006%</w:t>
            </w:r>
          </w:p>
        </w:tc>
        <w:tc>
          <w:tcPr>
            <w:tcW w:w="1250" w:type="pct"/>
            <w:noWrap w:val="0"/>
            <w:vAlign w:val="center"/>
          </w:tcPr>
          <w:p>
            <w:pPr>
              <w:jc w:val="center"/>
              <w:rPr>
                <w:rFonts w:hint="eastAsia" w:ascii="黑体" w:hAnsi="黑体" w:eastAsia="黑体"/>
                <w:sz w:val="22"/>
              </w:rPr>
            </w:pPr>
            <w:r>
              <w:rPr>
                <w:rFonts w:ascii="黑体" w:hAnsi="黑体" w:eastAsia="黑体"/>
                <w:sz w:val="22"/>
              </w:rPr>
              <w:t>0.006%</w:t>
            </w:r>
          </w:p>
        </w:tc>
        <w:tc>
          <w:tcPr>
            <w:tcW w:w="1283" w:type="pct"/>
            <w:noWrap w:val="0"/>
            <w:vAlign w:val="center"/>
          </w:tcPr>
          <w:p>
            <w:pPr>
              <w:jc w:val="center"/>
              <w:rPr>
                <w:rFonts w:hint="eastAsia" w:ascii="黑体" w:hAnsi="黑体" w:eastAsia="黑体"/>
                <w:sz w:val="22"/>
              </w:rPr>
            </w:pPr>
            <w:r>
              <w:rPr>
                <w:rFonts w:ascii="黑体" w:hAnsi="黑体" w:eastAsia="黑体"/>
                <w:sz w:val="22"/>
              </w:rPr>
              <w:t>0.006%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1545" w:type="pct"/>
            <w:noWrap w:val="0"/>
            <w:vAlign w:val="center"/>
          </w:tcPr>
          <w:p>
            <w:pPr>
              <w:jc w:val="center"/>
              <w:rPr>
                <w:rFonts w:hint="eastAsia" w:ascii="黑体" w:hAnsi="黑体" w:eastAsia="黑体"/>
                <w:sz w:val="22"/>
                <w:szCs w:val="24"/>
              </w:rPr>
            </w:pPr>
            <w:r>
              <w:rPr>
                <w:rFonts w:ascii="黑体" w:hAnsi="黑体" w:eastAsia="黑体"/>
                <w:sz w:val="22"/>
                <w:szCs w:val="24"/>
              </w:rPr>
              <w:t>100亿以上</w:t>
            </w:r>
          </w:p>
        </w:tc>
        <w:tc>
          <w:tcPr>
            <w:tcW w:w="921" w:type="pct"/>
            <w:noWrap w:val="0"/>
            <w:vAlign w:val="center"/>
          </w:tcPr>
          <w:p>
            <w:pPr>
              <w:jc w:val="center"/>
              <w:rPr>
                <w:rFonts w:hint="eastAsia" w:ascii="黑体" w:hAnsi="黑体" w:eastAsia="黑体"/>
                <w:sz w:val="22"/>
                <w:szCs w:val="24"/>
              </w:rPr>
            </w:pPr>
            <w:r>
              <w:rPr>
                <w:rFonts w:ascii="黑体" w:hAnsi="黑体" w:eastAsia="黑体"/>
                <w:sz w:val="22"/>
                <w:szCs w:val="24"/>
              </w:rPr>
              <w:t>0.004%</w:t>
            </w:r>
          </w:p>
        </w:tc>
        <w:tc>
          <w:tcPr>
            <w:tcW w:w="1250" w:type="pct"/>
            <w:noWrap w:val="0"/>
            <w:vAlign w:val="center"/>
          </w:tcPr>
          <w:p>
            <w:pPr>
              <w:jc w:val="center"/>
              <w:rPr>
                <w:rFonts w:hint="eastAsia" w:ascii="黑体" w:hAnsi="黑体" w:eastAsia="黑体"/>
                <w:sz w:val="22"/>
                <w:szCs w:val="24"/>
              </w:rPr>
            </w:pPr>
            <w:r>
              <w:rPr>
                <w:rFonts w:ascii="黑体" w:hAnsi="黑体" w:eastAsia="黑体"/>
                <w:sz w:val="22"/>
                <w:szCs w:val="24"/>
              </w:rPr>
              <w:t>0.004%</w:t>
            </w:r>
          </w:p>
        </w:tc>
        <w:tc>
          <w:tcPr>
            <w:tcW w:w="1283" w:type="pct"/>
            <w:noWrap w:val="0"/>
            <w:vAlign w:val="center"/>
          </w:tcPr>
          <w:p>
            <w:pPr>
              <w:jc w:val="center"/>
              <w:rPr>
                <w:rFonts w:hint="eastAsia" w:ascii="黑体" w:hAnsi="黑体" w:eastAsia="黑体"/>
                <w:sz w:val="22"/>
                <w:szCs w:val="24"/>
              </w:rPr>
            </w:pPr>
            <w:r>
              <w:rPr>
                <w:rFonts w:ascii="黑体" w:hAnsi="黑体" w:eastAsia="黑体"/>
                <w:sz w:val="22"/>
                <w:szCs w:val="24"/>
              </w:rPr>
              <w:t>0.004%</w:t>
            </w:r>
          </w:p>
        </w:tc>
      </w:tr>
    </w:tbl>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由采购代理机构向中标人收取，中标人在领取中标通知书前一次性向招标代理缴纳，未按上述规定缴纳中标服务费的，招标人将不予退还投标保证金，且招标人有权取消其中标资格和拒签合同。若项目评审实际产生的专家评审费等由中标人另按实支付。</w:t>
      </w:r>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招标代理服务费按差额定率累进法计算。招标代理服务费币种为人民币。</w:t>
      </w:r>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招标服务费只收现金、银行转账或电汇。</w:t>
      </w:r>
    </w:p>
    <w:p>
      <w:pPr>
        <w:pStyle w:val="64"/>
        <w:numPr>
          <w:ilvl w:val="0"/>
          <w:numId w:val="51"/>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招标代理服务费收取账户：</w:t>
      </w:r>
    </w:p>
    <w:p>
      <w:pPr>
        <w:pStyle w:val="64"/>
        <w:spacing w:line="360" w:lineRule="auto"/>
        <w:ind w:firstLine="648" w:firstLineChars="270"/>
        <w:rPr>
          <w:rFonts w:hint="eastAsia" w:ascii="宋体" w:hAnsi="宋体" w:cs="宋体"/>
          <w:bCs/>
          <w:sz w:val="24"/>
          <w:szCs w:val="24"/>
        </w:rPr>
      </w:pPr>
      <w:r>
        <w:rPr>
          <w:rFonts w:hint="eastAsia" w:ascii="宋体" w:hAnsi="宋体" w:cs="宋体"/>
          <w:bCs/>
          <w:sz w:val="24"/>
          <w:szCs w:val="24"/>
        </w:rPr>
        <w:t>收款单位名称：中通服咨询设计研究院有限公司</w:t>
      </w:r>
    </w:p>
    <w:p>
      <w:pPr>
        <w:pStyle w:val="64"/>
        <w:spacing w:line="360" w:lineRule="auto"/>
        <w:ind w:firstLine="648" w:firstLineChars="270"/>
        <w:rPr>
          <w:rFonts w:hint="eastAsia" w:ascii="宋体" w:hAnsi="宋体" w:cs="宋体"/>
          <w:bCs/>
          <w:sz w:val="24"/>
          <w:szCs w:val="24"/>
        </w:rPr>
      </w:pPr>
      <w:r>
        <w:rPr>
          <w:rFonts w:hint="eastAsia" w:ascii="宋体" w:hAnsi="宋体" w:cs="宋体"/>
          <w:bCs/>
          <w:sz w:val="24"/>
          <w:szCs w:val="24"/>
        </w:rPr>
        <w:t>开户银行：招商银行南京分行城北支行</w:t>
      </w:r>
    </w:p>
    <w:p>
      <w:pPr>
        <w:pStyle w:val="64"/>
        <w:spacing w:line="360" w:lineRule="auto"/>
        <w:ind w:firstLine="648" w:firstLineChars="270"/>
        <w:rPr>
          <w:rFonts w:hint="eastAsia" w:ascii="宋体" w:hAnsi="宋体" w:cs="宋体"/>
          <w:bCs/>
          <w:sz w:val="24"/>
          <w:szCs w:val="24"/>
        </w:rPr>
      </w:pPr>
      <w:r>
        <w:rPr>
          <w:rFonts w:hint="eastAsia" w:ascii="宋体" w:hAnsi="宋体" w:cs="宋体"/>
          <w:bCs/>
          <w:sz w:val="24"/>
          <w:szCs w:val="24"/>
        </w:rPr>
        <w:t>收款账号：</w:t>
      </w:r>
      <w:r>
        <w:rPr>
          <w:rFonts w:hint="eastAsia" w:ascii="宋体" w:hAnsi="宋体" w:cs="宋体"/>
          <w:sz w:val="24"/>
          <w:szCs w:val="36"/>
        </w:rPr>
        <w:t>12590209571010300012</w:t>
      </w:r>
    </w:p>
    <w:p>
      <w:pPr>
        <w:pStyle w:val="64"/>
        <w:numPr>
          <w:ilvl w:val="0"/>
          <w:numId w:val="6"/>
        </w:numPr>
        <w:spacing w:before="312" w:beforeLines="100" w:line="360" w:lineRule="auto"/>
        <w:ind w:firstLineChars="0"/>
        <w:rPr>
          <w:rFonts w:hint="eastAsia" w:ascii="宋体" w:hAnsi="宋体" w:cs="宋体"/>
          <w:b/>
          <w:sz w:val="24"/>
          <w:szCs w:val="28"/>
        </w:rPr>
      </w:pPr>
      <w:r>
        <w:rPr>
          <w:rFonts w:hint="eastAsia" w:ascii="宋体" w:hAnsi="宋体" w:cs="宋体"/>
          <w:b/>
          <w:sz w:val="24"/>
          <w:szCs w:val="28"/>
        </w:rPr>
        <w:t>招标文件符号说明</w:t>
      </w:r>
    </w:p>
    <w:p>
      <w:pPr>
        <w:pStyle w:val="64"/>
        <w:numPr>
          <w:ilvl w:val="0"/>
          <w:numId w:val="52"/>
        </w:numPr>
        <w:spacing w:line="360" w:lineRule="auto"/>
        <w:ind w:left="567" w:hanging="567" w:firstLineChars="0"/>
        <w:rPr>
          <w:rFonts w:hint="eastAsia" w:ascii="宋体" w:hAnsi="宋体" w:cs="宋体"/>
          <w:bCs/>
          <w:sz w:val="24"/>
          <w:szCs w:val="24"/>
        </w:rPr>
      </w:pPr>
      <w:r>
        <w:rPr>
          <w:rFonts w:hint="eastAsia" w:ascii="宋体" w:hAnsi="宋体" w:cs="宋体"/>
          <w:bCs/>
          <w:sz w:val="24"/>
          <w:szCs w:val="24"/>
        </w:rPr>
        <w:t>招标文件中，打“★”号条款为实质性条款，若有任何一条负偏离或不满足则导致投标无效。打“▲”号条款为重要技术参数，若有部分“▲”条款未响应或不满足，将根据评审要求影响其得分，但不作为无效投标条款。打“◆”号条款为核心产品。</w:t>
      </w:r>
    </w:p>
    <w:p>
      <w:pPr>
        <w:pStyle w:val="8"/>
        <w:keepNext w:val="0"/>
        <w:keepLines w:val="0"/>
        <w:pageBreakBefore/>
        <w:tabs>
          <w:tab w:val="left" w:pos="426"/>
          <w:tab w:val="left" w:pos="567"/>
        </w:tabs>
        <w:spacing w:line="360" w:lineRule="auto"/>
        <w:jc w:val="left"/>
        <w:rPr>
          <w:rStyle w:val="40"/>
          <w:rFonts w:hint="eastAsia" w:ascii="黑体" w:hAnsi="黑体" w:eastAsia="黑体"/>
          <w:b/>
          <w:bCs/>
          <w:spacing w:val="12"/>
          <w:sz w:val="22"/>
          <w:szCs w:val="22"/>
        </w:rPr>
      </w:pPr>
      <w:bookmarkStart w:id="74" w:name="_Toc515363625"/>
      <w:bookmarkStart w:id="75" w:name="_Toc515040753"/>
      <w:bookmarkStart w:id="76" w:name="_Toc31449"/>
      <w:bookmarkStart w:id="77" w:name="_Toc5580"/>
      <w:r>
        <w:rPr>
          <w:rStyle w:val="40"/>
          <w:rFonts w:hint="eastAsia" w:ascii="黑体" w:hAnsi="黑体" w:eastAsia="黑体"/>
          <w:b/>
          <w:bCs/>
          <w:spacing w:val="12"/>
          <w:sz w:val="22"/>
          <w:szCs w:val="22"/>
        </w:rPr>
        <w:t>附件3  询问函格式</w:t>
      </w:r>
      <w:bookmarkEnd w:id="74"/>
      <w:bookmarkEnd w:id="75"/>
      <w:bookmarkEnd w:id="76"/>
      <w:bookmarkEnd w:id="77"/>
    </w:p>
    <w:p>
      <w:pPr>
        <w:spacing w:before="312" w:beforeLines="100" w:after="312" w:afterLines="100"/>
        <w:jc w:val="center"/>
        <w:rPr>
          <w:rFonts w:hint="eastAsia" w:ascii="黑体" w:hAnsi="黑体" w:eastAsia="黑体" w:cs="Times New Roman"/>
          <w:b/>
          <w:bCs/>
          <w:spacing w:val="20"/>
          <w:sz w:val="32"/>
          <w:szCs w:val="32"/>
        </w:rPr>
      </w:pPr>
      <w:r>
        <w:rPr>
          <w:rFonts w:hint="eastAsia" w:ascii="黑体" w:hAnsi="黑体" w:eastAsia="黑体" w:cs="Times New Roman"/>
          <w:b/>
          <w:bCs/>
          <w:spacing w:val="20"/>
          <w:sz w:val="32"/>
          <w:szCs w:val="32"/>
        </w:rPr>
        <w:t>询问函</w:t>
      </w:r>
    </w:p>
    <w:p>
      <w:pPr>
        <w:widowControl/>
        <w:adjustRightInd w:val="0"/>
        <w:spacing w:after="156" w:afterLines="50" w:line="360" w:lineRule="auto"/>
        <w:rPr>
          <w:rFonts w:hint="eastAsia" w:ascii="黑体" w:hAnsi="黑体" w:eastAsia="黑体"/>
          <w:sz w:val="22"/>
        </w:rPr>
      </w:pPr>
      <w:r>
        <w:rPr>
          <w:rFonts w:hint="eastAsia" w:ascii="黑体" w:hAnsi="黑体" w:eastAsia="黑体"/>
          <w:sz w:val="22"/>
          <w:u w:val="single"/>
        </w:rPr>
        <w:t>中通服咨询设计研究院有限公司</w:t>
      </w:r>
      <w:r>
        <w:rPr>
          <w:rFonts w:hint="eastAsia" w:ascii="黑体" w:hAnsi="黑体" w:eastAsia="黑体"/>
          <w:sz w:val="22"/>
        </w:rPr>
        <w:t>：</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我单位已获取招标文件并准备参与</w:t>
      </w:r>
      <w:r>
        <w:rPr>
          <w:rFonts w:ascii="黑体" w:hAnsi="黑体" w:eastAsia="黑体"/>
          <w:i/>
          <w:sz w:val="22"/>
          <w:u w:val="single"/>
        </w:rPr>
        <w:t xml:space="preserve">           </w:t>
      </w:r>
      <w:r>
        <w:rPr>
          <w:rFonts w:hint="eastAsia" w:ascii="黑体" w:hAnsi="黑体" w:eastAsia="黑体"/>
          <w:sz w:val="22"/>
        </w:rPr>
        <w:t>项目（项目编号</w:t>
      </w:r>
      <w:r>
        <w:rPr>
          <w:rFonts w:hint="eastAsia" w:ascii="黑体" w:hAnsi="黑体" w:eastAsia="黑体"/>
          <w:sz w:val="22"/>
          <w:u w:val="single"/>
        </w:rPr>
        <w:t>：</w:t>
      </w:r>
      <w:r>
        <w:rPr>
          <w:rFonts w:ascii="黑体" w:hAnsi="黑体" w:eastAsia="黑体"/>
          <w:sz w:val="22"/>
          <w:u w:val="single"/>
        </w:rPr>
        <w:t xml:space="preserve">        </w:t>
      </w:r>
      <w:r>
        <w:rPr>
          <w:rFonts w:hint="eastAsia" w:ascii="黑体" w:hAnsi="黑体" w:eastAsia="黑体"/>
          <w:sz w:val="22"/>
        </w:rPr>
        <w:t>）的投标（或报价）活动，现有以下几个内容（或条款）存在疑问（或无法理解），特提出询问。</w:t>
      </w:r>
    </w:p>
    <w:p>
      <w:pPr>
        <w:widowControl/>
        <w:tabs>
          <w:tab w:val="center" w:pos="5019"/>
        </w:tabs>
        <w:adjustRightInd w:val="0"/>
        <w:spacing w:line="360" w:lineRule="auto"/>
        <w:ind w:firstLine="440" w:firstLineChars="200"/>
        <w:rPr>
          <w:rFonts w:hint="eastAsia" w:ascii="黑体" w:hAnsi="黑体" w:eastAsia="黑体"/>
          <w:sz w:val="22"/>
        </w:rPr>
      </w:pPr>
      <w:r>
        <w:rPr>
          <w:rFonts w:hint="eastAsia" w:ascii="黑体" w:hAnsi="黑体" w:eastAsia="黑体"/>
          <w:sz w:val="22"/>
        </w:rPr>
        <w:t>一、</w:t>
      </w:r>
      <w:r>
        <w:rPr>
          <w:rFonts w:ascii="黑体" w:hAnsi="黑体" w:eastAsia="黑体"/>
          <w:sz w:val="22"/>
          <w:u w:val="single"/>
        </w:rPr>
        <w:t xml:space="preserve">                        </w:t>
      </w:r>
      <w:r>
        <w:rPr>
          <w:rFonts w:ascii="黑体" w:hAnsi="黑体" w:eastAsia="黑体"/>
          <w:sz w:val="22"/>
        </w:rPr>
        <w:t>（事项一）</w:t>
      </w:r>
      <w:r>
        <w:rPr>
          <w:rFonts w:ascii="黑体" w:hAnsi="黑体" w:eastAsia="黑体"/>
          <w:sz w:val="22"/>
        </w:rPr>
        <w:tab/>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1）</w:t>
      </w:r>
      <w:r>
        <w:rPr>
          <w:rFonts w:ascii="黑体" w:hAnsi="黑体" w:eastAsia="黑体"/>
          <w:sz w:val="22"/>
          <w:u w:val="single"/>
        </w:rPr>
        <w:t xml:space="preserve">                       </w:t>
      </w:r>
      <w:r>
        <w:rPr>
          <w:rFonts w:ascii="黑体" w:hAnsi="黑体" w:eastAsia="黑体"/>
          <w:sz w:val="22"/>
        </w:rPr>
        <w:t>（问题或条款内容）</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2）</w:t>
      </w:r>
      <w:r>
        <w:rPr>
          <w:rFonts w:ascii="黑体" w:hAnsi="黑体" w:eastAsia="黑体"/>
          <w:sz w:val="22"/>
          <w:u w:val="single"/>
        </w:rPr>
        <w:t xml:space="preserve">                       </w:t>
      </w:r>
      <w:r>
        <w:rPr>
          <w:rFonts w:ascii="黑体" w:hAnsi="黑体" w:eastAsia="黑体"/>
          <w:sz w:val="22"/>
        </w:rPr>
        <w:t>（说明疑问或无法理解原因）</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r>
        <w:rPr>
          <w:rFonts w:ascii="黑体" w:hAnsi="黑体" w:eastAsia="黑体"/>
          <w:sz w:val="22"/>
        </w:rPr>
        <w:t>3）</w:t>
      </w:r>
      <w:r>
        <w:rPr>
          <w:rFonts w:ascii="黑体" w:hAnsi="黑体" w:eastAsia="黑体"/>
          <w:sz w:val="22"/>
          <w:u w:val="single"/>
        </w:rPr>
        <w:t xml:space="preserve">                       </w:t>
      </w:r>
      <w:r>
        <w:rPr>
          <w:rFonts w:ascii="黑体" w:hAnsi="黑体" w:eastAsia="黑体"/>
          <w:sz w:val="22"/>
        </w:rPr>
        <w:t>（建议）</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二、</w:t>
      </w:r>
      <w:r>
        <w:rPr>
          <w:rFonts w:ascii="黑体" w:hAnsi="黑体" w:eastAsia="黑体"/>
          <w:sz w:val="22"/>
          <w:u w:val="single"/>
        </w:rPr>
        <w:t xml:space="preserve">                       </w:t>
      </w:r>
      <w:r>
        <w:rPr>
          <w:rFonts w:ascii="黑体" w:hAnsi="黑体" w:eastAsia="黑体"/>
          <w:sz w:val="22"/>
        </w:rPr>
        <w:t xml:space="preserve"> （事项二）</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w:t>
      </w:r>
    </w:p>
    <w:p>
      <w:pPr>
        <w:widowControl/>
        <w:tabs>
          <w:tab w:val="left" w:pos="6300"/>
        </w:tabs>
        <w:adjustRightInd w:val="0"/>
        <w:spacing w:line="360" w:lineRule="auto"/>
        <w:ind w:firstLine="440" w:firstLineChars="200"/>
        <w:rPr>
          <w:rFonts w:hint="eastAsia" w:ascii="黑体" w:hAnsi="黑体" w:eastAsia="黑体"/>
          <w:sz w:val="22"/>
        </w:rPr>
      </w:pPr>
      <w:r>
        <w:rPr>
          <w:rFonts w:hint="eastAsia" w:ascii="黑体" w:hAnsi="黑体" w:eastAsia="黑体"/>
          <w:sz w:val="22"/>
        </w:rPr>
        <w:t>随附相关证明材料如下：（目录）。</w:t>
      </w:r>
    </w:p>
    <w:p>
      <w:pPr>
        <w:widowControl/>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询问人：（公章）</w:t>
      </w:r>
    </w:p>
    <w:p>
      <w:pPr>
        <w:widowControl/>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法定代表人（授权代表）：</w:t>
      </w:r>
    </w:p>
    <w:p>
      <w:pPr>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地址</w:t>
      </w:r>
      <w:r>
        <w:rPr>
          <w:rFonts w:ascii="黑体" w:hAnsi="黑体" w:eastAsia="黑体"/>
          <w:sz w:val="22"/>
        </w:rPr>
        <w:t>/邮编：</w:t>
      </w:r>
    </w:p>
    <w:p>
      <w:pPr>
        <w:tabs>
          <w:tab w:val="left" w:pos="6300"/>
        </w:tabs>
        <w:adjustRightInd w:val="0"/>
        <w:spacing w:line="360" w:lineRule="auto"/>
        <w:ind w:firstLine="1320" w:firstLineChars="600"/>
        <w:rPr>
          <w:rFonts w:hint="eastAsia" w:ascii="黑体" w:hAnsi="黑体" w:eastAsia="黑体"/>
          <w:sz w:val="22"/>
        </w:rPr>
      </w:pPr>
      <w:r>
        <w:rPr>
          <w:rFonts w:hint="eastAsia" w:ascii="黑体" w:hAnsi="黑体" w:eastAsia="黑体"/>
          <w:sz w:val="22"/>
        </w:rPr>
        <w:t>电话</w:t>
      </w:r>
      <w:r>
        <w:rPr>
          <w:rFonts w:ascii="黑体" w:hAnsi="黑体" w:eastAsia="黑体"/>
          <w:sz w:val="22"/>
        </w:rPr>
        <w:t>/传真：</w:t>
      </w:r>
    </w:p>
    <w:p>
      <w:pPr>
        <w:adjustRightInd w:val="0"/>
        <w:spacing w:before="624" w:beforeLines="200" w:line="360" w:lineRule="auto"/>
        <w:jc w:val="right"/>
        <w:rPr>
          <w:rFonts w:hint="eastAsia" w:ascii="黑体" w:hAnsi="黑体" w:eastAsia="黑体"/>
          <w:sz w:val="22"/>
        </w:rPr>
      </w:pPr>
      <w:r>
        <w:rPr>
          <w:rFonts w:hint="eastAsia" w:ascii="黑体" w:hAnsi="黑体" w:eastAsia="黑体"/>
          <w:sz w:val="22"/>
        </w:rPr>
        <w:t>年</w:t>
      </w:r>
      <w:r>
        <w:rPr>
          <w:rFonts w:ascii="黑体" w:hAnsi="黑体" w:eastAsia="黑体"/>
          <w:sz w:val="22"/>
        </w:rPr>
        <w:t xml:space="preserve">     </w:t>
      </w:r>
      <w:r>
        <w:rPr>
          <w:rFonts w:hint="eastAsia" w:ascii="黑体" w:hAnsi="黑体" w:eastAsia="黑体"/>
          <w:sz w:val="22"/>
        </w:rPr>
        <w:t>月</w:t>
      </w:r>
      <w:r>
        <w:rPr>
          <w:rFonts w:ascii="黑体" w:hAnsi="黑体" w:eastAsia="黑体"/>
          <w:sz w:val="22"/>
        </w:rPr>
        <w:t xml:space="preserve">     </w:t>
      </w:r>
      <w:r>
        <w:rPr>
          <w:rFonts w:hint="eastAsia" w:ascii="黑体" w:hAnsi="黑体" w:eastAsia="黑体"/>
          <w:sz w:val="22"/>
        </w:rPr>
        <w:t>日</w:t>
      </w:r>
    </w:p>
    <w:p>
      <w:pPr>
        <w:snapToGrid w:val="0"/>
        <w:spacing w:line="360" w:lineRule="auto"/>
        <w:ind w:firstLine="442" w:firstLineChars="201"/>
        <w:rPr>
          <w:rFonts w:hint="eastAsia" w:ascii="黑体" w:hAnsi="黑体" w:eastAsia="黑体"/>
          <w:sz w:val="22"/>
        </w:rPr>
      </w:pPr>
    </w:p>
    <w:p>
      <w:pPr>
        <w:pStyle w:val="8"/>
        <w:keepNext w:val="0"/>
        <w:keepLines w:val="0"/>
        <w:pageBreakBefore/>
        <w:tabs>
          <w:tab w:val="left" w:pos="426"/>
          <w:tab w:val="left" w:pos="567"/>
        </w:tabs>
        <w:spacing w:line="360" w:lineRule="auto"/>
        <w:jc w:val="left"/>
        <w:rPr>
          <w:rStyle w:val="40"/>
          <w:rFonts w:hint="eastAsia" w:ascii="黑体" w:hAnsi="黑体" w:eastAsia="黑体"/>
          <w:b/>
          <w:bCs w:val="0"/>
          <w:spacing w:val="12"/>
          <w:sz w:val="22"/>
          <w:szCs w:val="22"/>
        </w:rPr>
      </w:pPr>
      <w:bookmarkStart w:id="78" w:name="_Toc15477"/>
      <w:bookmarkStart w:id="79" w:name="_Toc22774"/>
      <w:bookmarkStart w:id="80" w:name="_Toc515040754"/>
      <w:bookmarkStart w:id="81" w:name="_Toc515363626"/>
      <w:r>
        <w:rPr>
          <w:rStyle w:val="40"/>
          <w:rFonts w:hint="eastAsia" w:ascii="黑体" w:hAnsi="黑体" w:eastAsia="黑体"/>
          <w:b/>
          <w:bCs w:val="0"/>
          <w:spacing w:val="12"/>
          <w:sz w:val="22"/>
          <w:szCs w:val="22"/>
        </w:rPr>
        <w:t>附件4  质疑函格式</w:t>
      </w:r>
      <w:bookmarkEnd w:id="78"/>
      <w:bookmarkEnd w:id="79"/>
      <w:bookmarkEnd w:id="80"/>
      <w:bookmarkEnd w:id="81"/>
    </w:p>
    <w:p>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质疑函</w:t>
      </w:r>
    </w:p>
    <w:p>
      <w:pPr>
        <w:adjustRightInd w:val="0"/>
        <w:snapToGrid w:val="0"/>
        <w:spacing w:line="360" w:lineRule="auto"/>
        <w:rPr>
          <w:rFonts w:hint="eastAsia" w:ascii="黑体" w:hAnsi="黑体" w:eastAsia="黑体" w:cs="仿宋"/>
          <w:bCs/>
          <w:sz w:val="22"/>
        </w:rPr>
      </w:pPr>
      <w:r>
        <w:rPr>
          <w:rFonts w:hint="eastAsia" w:ascii="黑体" w:hAnsi="黑体" w:eastAsia="黑体" w:cs="仿宋"/>
          <w:bCs/>
          <w:sz w:val="22"/>
        </w:rPr>
        <w:t>一、质疑供应商基本信息</w:t>
      </w:r>
    </w:p>
    <w:p>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质疑供应商：</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rPr>
      </w:pPr>
      <w:r>
        <w:rPr>
          <w:rFonts w:hint="eastAsia" w:ascii="黑体" w:hAnsi="黑体" w:eastAsia="黑体" w:cs="仿宋"/>
          <w:sz w:val="22"/>
        </w:rPr>
        <w:t>地址：</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邮编：</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rPr>
      </w:pPr>
      <w:r>
        <w:rPr>
          <w:rFonts w:hint="eastAsia" w:ascii="黑体" w:hAnsi="黑体" w:eastAsia="黑体" w:cs="仿宋"/>
          <w:sz w:val="22"/>
        </w:rPr>
        <w:t>联系人：</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hint="eastAsia" w:ascii="黑体" w:hAnsi="黑体" w:eastAsia="黑体" w:cs="仿宋"/>
          <w:sz w:val="22"/>
        </w:rPr>
        <w:t>联系电话：</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授权代表：</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b/>
          <w:sz w:val="22"/>
        </w:rPr>
      </w:pPr>
      <w:r>
        <w:rPr>
          <w:rFonts w:hint="eastAsia" w:ascii="黑体" w:hAnsi="黑体" w:eastAsia="黑体" w:cs="仿宋"/>
          <w:sz w:val="22"/>
        </w:rPr>
        <w:t>联系电话：</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b/>
          <w:sz w:val="22"/>
        </w:rPr>
      </w:pPr>
      <w:r>
        <w:rPr>
          <w:rFonts w:hint="eastAsia" w:ascii="黑体" w:hAnsi="黑体" w:eastAsia="黑体" w:cs="仿宋"/>
          <w:sz w:val="22"/>
        </w:rPr>
        <w:t>地   址：</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邮编：</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before="156" w:beforeLines="50" w:line="360" w:lineRule="auto"/>
        <w:rPr>
          <w:rFonts w:hint="eastAsia" w:ascii="黑体" w:hAnsi="黑体" w:eastAsia="黑体" w:cs="仿宋"/>
          <w:bCs/>
          <w:sz w:val="22"/>
        </w:rPr>
      </w:pPr>
      <w:r>
        <w:rPr>
          <w:rFonts w:hint="eastAsia" w:ascii="黑体" w:hAnsi="黑体" w:eastAsia="黑体" w:cs="仿宋"/>
          <w:bCs/>
          <w:sz w:val="22"/>
        </w:rPr>
        <w:t xml:space="preserve">二、质疑项目基本情况 </w:t>
      </w:r>
    </w:p>
    <w:p>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质疑项目的名称：</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质疑项目的编号：</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rPr>
        <w:t>包号：</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采购人名称：</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采购文件获取日期：</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before="156" w:beforeLines="50" w:line="360" w:lineRule="auto"/>
        <w:rPr>
          <w:rFonts w:hint="eastAsia" w:ascii="黑体" w:hAnsi="黑体" w:eastAsia="黑体" w:cs="仿宋"/>
          <w:bCs/>
          <w:sz w:val="22"/>
        </w:rPr>
      </w:pPr>
      <w:r>
        <w:rPr>
          <w:rFonts w:hint="eastAsia" w:ascii="黑体" w:hAnsi="黑体" w:eastAsia="黑体" w:cs="仿宋"/>
          <w:bCs/>
          <w:sz w:val="22"/>
        </w:rPr>
        <w:t>三、质疑事项具体内容</w:t>
      </w:r>
    </w:p>
    <w:p>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质疑事项</w:t>
      </w:r>
      <w:r>
        <w:rPr>
          <w:rFonts w:ascii="黑体" w:hAnsi="黑体" w:eastAsia="黑体" w:cs="仿宋"/>
          <w:sz w:val="22"/>
        </w:rPr>
        <w:t>1：</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事实依据：</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u w:val="single"/>
        </w:rPr>
      </w:pPr>
      <w:r>
        <w:rPr>
          <w:rFonts w:hint="eastAsia" w:ascii="黑体" w:hAnsi="黑体" w:eastAsia="黑体" w:cs="仿宋"/>
          <w:sz w:val="22"/>
        </w:rPr>
        <w:t>法律依据：</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cs="仿宋"/>
          <w:sz w:val="22"/>
        </w:rPr>
      </w:pPr>
      <w:r>
        <w:rPr>
          <w:rFonts w:hint="eastAsia" w:ascii="黑体" w:hAnsi="黑体" w:eastAsia="黑体" w:cs="仿宋"/>
          <w:sz w:val="22"/>
        </w:rPr>
        <w:t>质疑事项</w:t>
      </w:r>
      <w:r>
        <w:rPr>
          <w:rFonts w:ascii="黑体" w:hAnsi="黑体" w:eastAsia="黑体" w:cs="仿宋"/>
          <w:sz w:val="22"/>
        </w:rPr>
        <w:t>2</w:t>
      </w:r>
    </w:p>
    <w:p>
      <w:pPr>
        <w:adjustRightInd w:val="0"/>
        <w:snapToGrid w:val="0"/>
        <w:spacing w:line="360" w:lineRule="auto"/>
        <w:rPr>
          <w:rFonts w:hint="eastAsia" w:ascii="黑体" w:hAnsi="黑体" w:eastAsia="黑体" w:cs="仿宋"/>
          <w:bCs/>
          <w:sz w:val="22"/>
        </w:rPr>
      </w:pPr>
      <w:r>
        <w:rPr>
          <w:rFonts w:hint="eastAsia" w:ascii="黑体" w:hAnsi="黑体" w:eastAsia="黑体" w:cs="仿宋"/>
          <w:bCs/>
          <w:sz w:val="22"/>
        </w:rPr>
        <w:t>四、与质疑事项相关的质疑请求</w:t>
      </w:r>
    </w:p>
    <w:p>
      <w:pPr>
        <w:adjustRightInd w:val="0"/>
        <w:snapToGrid w:val="0"/>
        <w:spacing w:line="360" w:lineRule="auto"/>
        <w:rPr>
          <w:rFonts w:hint="eastAsia" w:ascii="黑体" w:hAnsi="黑体" w:eastAsia="黑体" w:cs="仿宋"/>
          <w:sz w:val="22"/>
          <w:u w:val="dotted"/>
        </w:rPr>
      </w:pPr>
      <w:r>
        <w:rPr>
          <w:rFonts w:hint="eastAsia" w:ascii="黑体" w:hAnsi="黑体" w:eastAsia="黑体" w:cs="仿宋"/>
          <w:sz w:val="22"/>
        </w:rPr>
        <w:t>请求：</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r>
        <w:rPr>
          <w:rFonts w:ascii="黑体" w:hAnsi="黑体" w:eastAsia="黑体" w:cs="仿宋"/>
          <w:sz w:val="22"/>
          <w:u w:val="single"/>
        </w:rPr>
        <w:t xml:space="preserve">  </w:t>
      </w:r>
      <w:r>
        <w:rPr>
          <w:rFonts w:hint="eastAsia" w:ascii="黑体" w:hAnsi="黑体" w:eastAsia="黑体" w:cs="仿宋"/>
          <w:sz w:val="22"/>
          <w:u w:val="single"/>
        </w:rPr>
        <w:t xml:space="preserve">             </w:t>
      </w:r>
    </w:p>
    <w:p>
      <w:pPr>
        <w:adjustRightInd w:val="0"/>
        <w:snapToGrid w:val="0"/>
        <w:spacing w:line="360" w:lineRule="auto"/>
        <w:rPr>
          <w:rFonts w:hint="eastAsia" w:ascii="黑体" w:hAnsi="黑体" w:eastAsia="黑体"/>
          <w:sz w:val="22"/>
        </w:rPr>
      </w:pPr>
      <w:r>
        <w:rPr>
          <w:rFonts w:hint="eastAsia" w:ascii="黑体" w:hAnsi="黑体" w:eastAsia="黑体"/>
          <w:sz w:val="22"/>
        </w:rPr>
        <w:t>签字</w:t>
      </w:r>
      <w:r>
        <w:rPr>
          <w:rFonts w:ascii="黑体" w:hAnsi="黑体" w:eastAsia="黑体"/>
          <w:sz w:val="22"/>
        </w:rPr>
        <w:t xml:space="preserve">(签章)：                   公章：                      </w:t>
      </w:r>
    </w:p>
    <w:p>
      <w:pPr>
        <w:adjustRightInd w:val="0"/>
        <w:snapToGrid w:val="0"/>
        <w:spacing w:line="360" w:lineRule="auto"/>
        <w:rPr>
          <w:rFonts w:hint="eastAsia" w:ascii="黑体" w:hAnsi="黑体" w:eastAsia="黑体" w:cs="仿宋"/>
          <w:sz w:val="22"/>
        </w:rPr>
      </w:pPr>
      <w:r>
        <w:rPr>
          <w:rFonts w:hint="eastAsia" w:ascii="黑体" w:hAnsi="黑体" w:eastAsia="黑体"/>
          <w:sz w:val="22"/>
        </w:rPr>
        <w:t>日    期：</w:t>
      </w:r>
      <w:r>
        <w:rPr>
          <w:rFonts w:ascii="黑体" w:hAnsi="黑体" w:eastAsia="黑体"/>
          <w:sz w:val="22"/>
        </w:rPr>
        <w:t xml:space="preserve">    </w:t>
      </w:r>
    </w:p>
    <w:p>
      <w:pPr>
        <w:adjustRightInd w:val="0"/>
        <w:snapToGrid w:val="0"/>
        <w:rPr>
          <w:rFonts w:hint="eastAsia" w:ascii="黑体" w:hAnsi="黑体" w:eastAsia="黑体"/>
          <w:b/>
          <w:sz w:val="22"/>
        </w:rPr>
      </w:pPr>
      <w:r>
        <w:rPr>
          <w:rFonts w:hint="eastAsia" w:ascii="黑体" w:hAnsi="黑体" w:eastAsia="黑体"/>
          <w:b/>
          <w:sz w:val="22"/>
        </w:rPr>
        <w:t>质疑函制作说明：</w:t>
      </w:r>
    </w:p>
    <w:p>
      <w:pPr>
        <w:pStyle w:val="64"/>
        <w:widowControl/>
        <w:numPr>
          <w:ilvl w:val="0"/>
          <w:numId w:val="53"/>
        </w:numPr>
        <w:adjustRightInd w:val="0"/>
        <w:snapToGrid w:val="0"/>
        <w:ind w:firstLineChars="0"/>
        <w:jc w:val="left"/>
        <w:rPr>
          <w:rFonts w:hint="eastAsia" w:ascii="黑体" w:hAnsi="黑体" w:eastAsia="黑体"/>
          <w:b/>
          <w:sz w:val="22"/>
        </w:rPr>
      </w:pPr>
      <w:r>
        <w:rPr>
          <w:rFonts w:ascii="黑体" w:hAnsi="黑体" w:eastAsia="黑体"/>
          <w:sz w:val="22"/>
        </w:rPr>
        <w:t>供应商提出质疑时，应提交质疑函和必要的证明材料。</w:t>
      </w:r>
    </w:p>
    <w:p>
      <w:pPr>
        <w:pStyle w:val="64"/>
        <w:widowControl/>
        <w:numPr>
          <w:ilvl w:val="0"/>
          <w:numId w:val="53"/>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64"/>
        <w:widowControl/>
        <w:numPr>
          <w:ilvl w:val="0"/>
          <w:numId w:val="53"/>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质疑供应商若对项目的某一分包进行质疑，质疑函中应列明具体分包号。</w:t>
      </w:r>
    </w:p>
    <w:p>
      <w:pPr>
        <w:pStyle w:val="64"/>
        <w:widowControl/>
        <w:numPr>
          <w:ilvl w:val="0"/>
          <w:numId w:val="53"/>
        </w:numPr>
        <w:adjustRightInd w:val="0"/>
        <w:snapToGrid w:val="0"/>
        <w:ind w:firstLineChars="0"/>
        <w:jc w:val="left"/>
        <w:rPr>
          <w:rFonts w:hint="eastAsia" w:ascii="黑体" w:hAnsi="黑体" w:eastAsia="黑体"/>
          <w:b/>
          <w:sz w:val="22"/>
        </w:rPr>
      </w:pPr>
      <w:r>
        <w:rPr>
          <w:rFonts w:hint="eastAsia" w:ascii="黑体" w:hAnsi="黑体" w:eastAsia="黑体"/>
          <w:sz w:val="22"/>
        </w:rPr>
        <w:t>质疑函的质疑事项应具体、明确，并有必要的事实依据和法律依据。</w:t>
      </w:r>
    </w:p>
    <w:p>
      <w:pPr>
        <w:pStyle w:val="64"/>
        <w:widowControl/>
        <w:numPr>
          <w:ilvl w:val="0"/>
          <w:numId w:val="53"/>
        </w:numPr>
        <w:adjustRightInd w:val="0"/>
        <w:snapToGrid w:val="0"/>
        <w:ind w:firstLineChars="0"/>
        <w:jc w:val="left"/>
        <w:rPr>
          <w:rFonts w:hint="eastAsia" w:ascii="黑体" w:hAnsi="黑体" w:eastAsia="黑体"/>
          <w:b/>
          <w:sz w:val="22"/>
        </w:rPr>
      </w:pPr>
      <w:r>
        <w:rPr>
          <w:rFonts w:hint="eastAsia" w:ascii="黑体" w:hAnsi="黑体" w:eastAsia="黑体"/>
          <w:sz w:val="22"/>
        </w:rPr>
        <w:t>质疑函的质疑请求应与质疑事项相关。</w:t>
      </w:r>
    </w:p>
    <w:p>
      <w:pPr>
        <w:pStyle w:val="64"/>
        <w:widowControl/>
        <w:numPr>
          <w:ilvl w:val="0"/>
          <w:numId w:val="53"/>
        </w:numPr>
        <w:adjustRightInd w:val="0"/>
        <w:snapToGrid w:val="0"/>
        <w:ind w:firstLineChars="0"/>
        <w:jc w:val="left"/>
        <w:rPr>
          <w:rFonts w:hint="eastAsia" w:ascii="黑体" w:hAnsi="黑体" w:eastAsia="黑体"/>
          <w:b/>
          <w:sz w:val="22"/>
        </w:rPr>
      </w:pPr>
      <w:r>
        <w:rPr>
          <w:rFonts w:hint="eastAsia" w:ascii="黑体" w:hAnsi="黑体" w:eastAsia="黑体"/>
          <w:sz w:val="22"/>
        </w:rPr>
        <w:t>质疑供应商为自然人的，质疑函应由本人签字；质疑供应商为法人或者其他组织的，质疑函应由法定代表人、主要负责人，或者其授权代表签字或者盖章，并加盖公章。</w:t>
      </w:r>
    </w:p>
    <w:p>
      <w:pPr>
        <w:pStyle w:val="7"/>
        <w:keepNext w:val="0"/>
        <w:keepLines w:val="0"/>
        <w:pageBreakBefore/>
        <w:spacing w:line="360" w:lineRule="auto"/>
        <w:jc w:val="center"/>
        <w:rPr>
          <w:rFonts w:hint="eastAsia" w:ascii="黑体" w:hAnsi="黑体" w:eastAsia="黑体"/>
          <w:spacing w:val="20"/>
          <w:sz w:val="36"/>
          <w:szCs w:val="36"/>
        </w:rPr>
      </w:pPr>
      <w:bookmarkStart w:id="82" w:name="_Toc391627751"/>
      <w:bookmarkStart w:id="83" w:name="_Toc405313955"/>
      <w:bookmarkStart w:id="84" w:name="_Toc10469"/>
      <w:bookmarkStart w:id="85" w:name="_Toc4102"/>
      <w:bookmarkStart w:id="86" w:name="_Toc26844"/>
      <w:r>
        <w:rPr>
          <w:rFonts w:hint="eastAsia" w:ascii="黑体" w:hAnsi="黑体" w:eastAsia="黑体"/>
          <w:spacing w:val="20"/>
          <w:sz w:val="36"/>
          <w:szCs w:val="36"/>
        </w:rPr>
        <w:t>第五部分</w:t>
      </w:r>
      <w:r>
        <w:rPr>
          <w:rFonts w:ascii="黑体" w:hAnsi="黑体" w:eastAsia="黑体"/>
          <w:spacing w:val="20"/>
          <w:sz w:val="36"/>
          <w:szCs w:val="36"/>
        </w:rPr>
        <w:t xml:space="preserve"> </w:t>
      </w:r>
      <w:r>
        <w:rPr>
          <w:rFonts w:hint="eastAsia" w:ascii="黑体" w:hAnsi="黑体" w:eastAsia="黑体"/>
          <w:spacing w:val="20"/>
          <w:sz w:val="36"/>
          <w:szCs w:val="36"/>
        </w:rPr>
        <w:t>评标方法、步骤、标准</w:t>
      </w:r>
      <w:bookmarkEnd w:id="82"/>
      <w:bookmarkEnd w:id="83"/>
      <w:bookmarkEnd w:id="84"/>
      <w:bookmarkEnd w:id="85"/>
      <w:bookmarkEnd w:id="86"/>
    </w:p>
    <w:p>
      <w:pPr>
        <w:pStyle w:val="64"/>
        <w:numPr>
          <w:ilvl w:val="0"/>
          <w:numId w:val="54"/>
        </w:numPr>
        <w:spacing w:before="312" w:beforeLines="100" w:line="360" w:lineRule="auto"/>
        <w:ind w:firstLineChars="0"/>
        <w:outlineLvl w:val="1"/>
        <w:rPr>
          <w:rFonts w:hint="eastAsia" w:ascii="微软雅黑" w:hAnsi="微软雅黑" w:eastAsia="微软雅黑" w:cs="微软雅黑"/>
          <w:b/>
          <w:bCs/>
          <w:sz w:val="28"/>
          <w:szCs w:val="28"/>
        </w:rPr>
      </w:pPr>
      <w:bookmarkStart w:id="87" w:name="_Toc26527"/>
      <w:bookmarkStart w:id="88" w:name="_Toc8445"/>
      <w:r>
        <w:rPr>
          <w:rFonts w:hint="eastAsia" w:ascii="微软雅黑" w:hAnsi="微软雅黑" w:eastAsia="微软雅黑" w:cs="微软雅黑"/>
          <w:b/>
          <w:bCs/>
          <w:sz w:val="28"/>
          <w:szCs w:val="28"/>
        </w:rPr>
        <w:t>、总则</w:t>
      </w:r>
      <w:bookmarkEnd w:id="87"/>
      <w:bookmarkEnd w:id="88"/>
    </w:p>
    <w:p>
      <w:pPr>
        <w:pStyle w:val="64"/>
        <w:numPr>
          <w:ilvl w:val="0"/>
          <w:numId w:val="55"/>
        </w:numPr>
        <w:spacing w:line="360" w:lineRule="auto"/>
        <w:ind w:firstLineChars="0"/>
        <w:rPr>
          <w:rFonts w:hint="eastAsia" w:ascii="宋体" w:hAnsi="宋体" w:cs="宋体"/>
          <w:b/>
          <w:bCs/>
          <w:sz w:val="24"/>
          <w:szCs w:val="24"/>
        </w:rPr>
      </w:pPr>
      <w:r>
        <w:rPr>
          <w:rFonts w:hint="eastAsia" w:ascii="宋体" w:hAnsi="宋体" w:cs="宋体"/>
          <w:b/>
          <w:bCs/>
          <w:sz w:val="24"/>
          <w:szCs w:val="24"/>
        </w:rPr>
        <w:t>评标委员会</w:t>
      </w:r>
    </w:p>
    <w:p>
      <w:pPr>
        <w:pStyle w:val="64"/>
        <w:numPr>
          <w:ilvl w:val="1"/>
          <w:numId w:val="56"/>
        </w:numPr>
        <w:spacing w:line="360" w:lineRule="auto"/>
        <w:ind w:firstLineChars="0"/>
        <w:rPr>
          <w:rFonts w:hint="eastAsia" w:ascii="宋体" w:hAnsi="宋体" w:cs="宋体"/>
          <w:bCs/>
          <w:sz w:val="24"/>
          <w:szCs w:val="24"/>
        </w:rPr>
      </w:pPr>
      <w:r>
        <w:rPr>
          <w:rFonts w:hint="eastAsia" w:ascii="宋体" w:hAnsi="宋体" w:cs="宋体"/>
          <w:bCs/>
          <w:sz w:val="24"/>
          <w:szCs w:val="24"/>
        </w:rPr>
        <w:t>本次招标依法组建评标委员会。</w:t>
      </w:r>
    </w:p>
    <w:p>
      <w:pPr>
        <w:pStyle w:val="64"/>
        <w:numPr>
          <w:ilvl w:val="1"/>
          <w:numId w:val="56"/>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评标委员会成员名单在评标结果公告前应当保密。</w:t>
      </w:r>
      <w:r>
        <w:rPr>
          <w:rFonts w:hint="eastAsia" w:ascii="宋体" w:hAnsi="宋体" w:cs="宋体"/>
          <w:bCs/>
          <w:sz w:val="24"/>
          <w:szCs w:val="24"/>
        </w:rPr>
        <w:t>评审专家有下列情形之一的，受到邀请应主动提出回避，采购当事人也可以要求该评审专家回避：</w:t>
      </w:r>
    </w:p>
    <w:p>
      <w:pPr>
        <w:pStyle w:val="64"/>
        <w:numPr>
          <w:ilvl w:val="2"/>
          <w:numId w:val="57"/>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参加采购活动前3年内与供应商存在劳动关系；</w:t>
      </w:r>
    </w:p>
    <w:p>
      <w:pPr>
        <w:pStyle w:val="64"/>
        <w:numPr>
          <w:ilvl w:val="2"/>
          <w:numId w:val="57"/>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参加采购活动前3年内担任供应商的董事、监事；</w:t>
      </w:r>
    </w:p>
    <w:p>
      <w:pPr>
        <w:pStyle w:val="64"/>
        <w:numPr>
          <w:ilvl w:val="2"/>
          <w:numId w:val="57"/>
        </w:numPr>
        <w:spacing w:line="360" w:lineRule="auto"/>
        <w:ind w:firstLineChars="0"/>
        <w:rPr>
          <w:rFonts w:hint="eastAsia" w:ascii="宋体" w:hAnsi="宋体" w:cs="宋体"/>
          <w:bCs/>
          <w:sz w:val="24"/>
          <w:szCs w:val="24"/>
        </w:rPr>
      </w:pPr>
      <w:r>
        <w:rPr>
          <w:rFonts w:hint="eastAsia" w:ascii="宋体" w:hAnsi="宋体" w:cs="宋体"/>
          <w:bCs/>
          <w:sz w:val="24"/>
          <w:szCs w:val="24"/>
        </w:rPr>
        <w:t>参加采购活动前3年内是供应商的控股股东或者实际控制人；</w:t>
      </w:r>
    </w:p>
    <w:p>
      <w:pPr>
        <w:pStyle w:val="64"/>
        <w:numPr>
          <w:ilvl w:val="2"/>
          <w:numId w:val="57"/>
        </w:numPr>
        <w:spacing w:line="360" w:lineRule="auto"/>
        <w:ind w:firstLineChars="0"/>
        <w:rPr>
          <w:rFonts w:hint="eastAsia" w:ascii="宋体" w:hAnsi="宋体" w:cs="宋体"/>
          <w:bCs/>
          <w:sz w:val="24"/>
          <w:szCs w:val="24"/>
        </w:rPr>
      </w:pPr>
      <w:r>
        <w:rPr>
          <w:rFonts w:hint="eastAsia" w:ascii="宋体" w:hAnsi="宋体" w:cs="宋体"/>
          <w:bCs/>
          <w:sz w:val="24"/>
          <w:szCs w:val="24"/>
        </w:rPr>
        <w:t>与供应商的法定代表人或者负责人有夫妻、直系血亲、三代以内旁系血亲或者近姻亲关系；</w:t>
      </w:r>
    </w:p>
    <w:p>
      <w:pPr>
        <w:pStyle w:val="64"/>
        <w:numPr>
          <w:ilvl w:val="2"/>
          <w:numId w:val="57"/>
        </w:numPr>
        <w:spacing w:line="360" w:lineRule="auto"/>
        <w:ind w:firstLineChars="0"/>
        <w:rPr>
          <w:rFonts w:hint="eastAsia" w:ascii="宋体" w:hAnsi="宋体" w:cs="宋体"/>
          <w:bCs/>
          <w:sz w:val="24"/>
          <w:szCs w:val="24"/>
        </w:rPr>
      </w:pPr>
      <w:r>
        <w:rPr>
          <w:rFonts w:hint="eastAsia" w:ascii="宋体" w:hAnsi="宋体" w:cs="宋体"/>
          <w:sz w:val="24"/>
          <w:szCs w:val="24"/>
          <w:lang w:eastAsia="zh-TW"/>
        </w:rPr>
        <w:t>与供应商有其他可能影响采购活动公平、公正进行的关系。</w:t>
      </w:r>
    </w:p>
    <w:p>
      <w:pPr>
        <w:pStyle w:val="64"/>
        <w:numPr>
          <w:ilvl w:val="1"/>
          <w:numId w:val="56"/>
        </w:numPr>
        <w:spacing w:line="360" w:lineRule="auto"/>
        <w:ind w:firstLineChars="0"/>
        <w:rPr>
          <w:rFonts w:hint="eastAsia" w:ascii="宋体" w:hAnsi="宋体" w:cs="宋体"/>
          <w:bCs/>
          <w:sz w:val="24"/>
          <w:szCs w:val="24"/>
        </w:rPr>
      </w:pPr>
      <w:r>
        <w:rPr>
          <w:rFonts w:hint="eastAsia" w:ascii="宋体" w:hAnsi="宋体" w:cs="宋体"/>
          <w:bCs/>
          <w:sz w:val="24"/>
          <w:szCs w:val="24"/>
        </w:rPr>
        <w:t>评标委员会负责具体评标事务，并独立履行下列职责：</w:t>
      </w:r>
    </w:p>
    <w:p>
      <w:pPr>
        <w:pStyle w:val="64"/>
        <w:widowControl/>
        <w:numPr>
          <w:ilvl w:val="2"/>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审查、评价投标文件是否符合招标文件的商务、技术等实质性要求；</w:t>
      </w:r>
    </w:p>
    <w:p>
      <w:pPr>
        <w:pStyle w:val="64"/>
        <w:widowControl/>
        <w:numPr>
          <w:ilvl w:val="2"/>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要求投标人对投标文件有关事项作出澄清或者说明；</w:t>
      </w:r>
    </w:p>
    <w:p>
      <w:pPr>
        <w:pStyle w:val="64"/>
        <w:widowControl/>
        <w:numPr>
          <w:ilvl w:val="2"/>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对投标文件进行比较和评价；</w:t>
      </w:r>
    </w:p>
    <w:p>
      <w:pPr>
        <w:pStyle w:val="64"/>
        <w:widowControl/>
        <w:numPr>
          <w:ilvl w:val="2"/>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确定中标候选人名单，以及根据采购人委托直接确定中标人；</w:t>
      </w:r>
    </w:p>
    <w:p>
      <w:pPr>
        <w:pStyle w:val="64"/>
        <w:widowControl/>
        <w:numPr>
          <w:ilvl w:val="2"/>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向采购人、采购代理机构或者有关部门报告评标中发现的违法行为。</w:t>
      </w:r>
    </w:p>
    <w:p>
      <w:pPr>
        <w:pStyle w:val="64"/>
        <w:widowControl/>
        <w:numPr>
          <w:ilvl w:val="1"/>
          <w:numId w:val="56"/>
        </w:numPr>
        <w:spacing w:line="360" w:lineRule="auto"/>
        <w:ind w:firstLineChars="0"/>
        <w:jc w:val="left"/>
        <w:rPr>
          <w:rFonts w:hint="eastAsia" w:ascii="宋体" w:hAnsi="宋体" w:cs="宋体"/>
          <w:sz w:val="24"/>
          <w:szCs w:val="24"/>
          <w:lang w:eastAsia="zh-TW"/>
        </w:rPr>
      </w:pPr>
      <w:r>
        <w:rPr>
          <w:rFonts w:hint="eastAsia" w:ascii="宋体" w:hAnsi="宋体" w:cs="宋体"/>
          <w:sz w:val="24"/>
          <w:szCs w:val="24"/>
          <w:lang w:eastAsia="zh-TW"/>
        </w:rPr>
        <w:t>对于投标文件中含义不明确、同类问题表述不一致或者有明显文字和计算错误的内容，评标委员会应当以书面形式要求投标人作出必要的澄清、说明或者补正。</w:t>
      </w:r>
    </w:p>
    <w:p>
      <w:pPr>
        <w:pStyle w:val="64"/>
        <w:numPr>
          <w:ilvl w:val="1"/>
          <w:numId w:val="56"/>
        </w:numPr>
        <w:spacing w:line="360" w:lineRule="auto"/>
        <w:ind w:firstLineChars="0"/>
        <w:rPr>
          <w:rFonts w:hint="eastAsia" w:ascii="宋体" w:hAnsi="宋体" w:cs="宋体"/>
          <w:bCs/>
          <w:sz w:val="24"/>
          <w:szCs w:val="24"/>
        </w:rPr>
      </w:pPr>
      <w:r>
        <w:rPr>
          <w:rFonts w:hint="eastAsia" w:ascii="宋体" w:hAnsi="宋体" w:cs="宋体"/>
          <w:bCs/>
          <w:sz w:val="24"/>
          <w:szCs w:val="24"/>
        </w:rPr>
        <w:t>评标委员会成员对需要共同认定的事项存在争议的，应当按照少数服从多数的原则作出结论。持不同意见的评标委员会成员应当在评标报告上签署不同意见及理由，否则视为同意评标报告。</w:t>
      </w:r>
    </w:p>
    <w:p>
      <w:pPr>
        <w:pStyle w:val="64"/>
        <w:numPr>
          <w:ilvl w:val="1"/>
          <w:numId w:val="56"/>
        </w:numPr>
        <w:spacing w:line="360" w:lineRule="auto"/>
        <w:ind w:firstLineChars="0"/>
        <w:rPr>
          <w:rFonts w:hint="eastAsia" w:ascii="宋体" w:hAnsi="宋体" w:cs="宋体"/>
          <w:bCs/>
          <w:spacing w:val="-4"/>
          <w:sz w:val="24"/>
          <w:szCs w:val="24"/>
        </w:rPr>
      </w:pPr>
      <w:r>
        <w:rPr>
          <w:rFonts w:hint="eastAsia" w:ascii="宋体" w:hAnsi="宋体" w:cs="宋体"/>
          <w:bCs/>
          <w:spacing w:val="-4"/>
          <w:sz w:val="24"/>
          <w:szCs w:val="24"/>
        </w:rPr>
        <w:t>参与评标工作的所有人员必须遵守</w:t>
      </w:r>
      <w:r>
        <w:rPr>
          <w:rFonts w:hint="eastAsia" w:ascii="宋体" w:hAnsi="宋体" w:cs="宋体"/>
          <w:spacing w:val="-4"/>
          <w:sz w:val="24"/>
          <w:szCs w:val="24"/>
        </w:rPr>
        <w:t>《中华人民共和国招标投标法》和《中华人民共和国招标投标法实施条例》等</w:t>
      </w:r>
      <w:r>
        <w:rPr>
          <w:rFonts w:hint="eastAsia" w:ascii="宋体" w:hAnsi="宋体" w:cs="宋体"/>
          <w:bCs/>
          <w:spacing w:val="-4"/>
          <w:sz w:val="24"/>
          <w:szCs w:val="24"/>
        </w:rPr>
        <w:t>相关法律、法规的规定，以确保评标的公平、公正。</w:t>
      </w:r>
    </w:p>
    <w:p>
      <w:pPr>
        <w:pStyle w:val="64"/>
        <w:numPr>
          <w:ilvl w:val="0"/>
          <w:numId w:val="55"/>
        </w:numPr>
        <w:spacing w:before="312" w:beforeLines="100" w:line="360" w:lineRule="auto"/>
        <w:ind w:firstLineChars="0"/>
        <w:rPr>
          <w:rFonts w:hint="eastAsia" w:ascii="宋体" w:hAnsi="宋体" w:cs="宋体"/>
          <w:b/>
          <w:bCs/>
          <w:sz w:val="24"/>
          <w:szCs w:val="24"/>
        </w:rPr>
      </w:pPr>
      <w:r>
        <w:rPr>
          <w:rFonts w:hint="eastAsia" w:ascii="宋体" w:hAnsi="宋体" w:cs="宋体"/>
          <w:b/>
          <w:bCs/>
          <w:sz w:val="24"/>
          <w:szCs w:val="24"/>
        </w:rPr>
        <w:t>评标方法</w:t>
      </w:r>
    </w:p>
    <w:p>
      <w:pPr>
        <w:pStyle w:val="64"/>
        <w:numPr>
          <w:ilvl w:val="1"/>
          <w:numId w:val="58"/>
        </w:numPr>
        <w:spacing w:line="360" w:lineRule="auto"/>
        <w:ind w:left="426" w:hanging="426" w:firstLineChars="0"/>
        <w:rPr>
          <w:rFonts w:hint="eastAsia" w:ascii="宋体" w:hAnsi="宋体" w:cs="宋体"/>
          <w:bCs/>
          <w:sz w:val="24"/>
          <w:szCs w:val="24"/>
        </w:rPr>
      </w:pPr>
      <w:r>
        <w:rPr>
          <w:rFonts w:hint="eastAsia" w:ascii="宋体" w:hAnsi="宋体" w:cs="宋体"/>
          <w:bCs/>
          <w:sz w:val="24"/>
          <w:szCs w:val="24"/>
        </w:rPr>
        <w:t>本项目按照</w:t>
      </w:r>
      <w:r>
        <w:rPr>
          <w:rFonts w:hint="eastAsia" w:ascii="宋体" w:hAnsi="宋体" w:cs="宋体"/>
          <w:b/>
          <w:bCs/>
          <w:sz w:val="24"/>
          <w:szCs w:val="24"/>
          <w:u w:val="single"/>
        </w:rPr>
        <w:t>投标须知前附表</w:t>
      </w:r>
      <w:r>
        <w:rPr>
          <w:rFonts w:hint="eastAsia" w:ascii="宋体" w:hAnsi="宋体" w:cs="宋体"/>
          <w:b/>
          <w:bCs/>
          <w:sz w:val="24"/>
          <w:szCs w:val="24"/>
        </w:rPr>
        <w:t>规定</w:t>
      </w:r>
      <w:r>
        <w:rPr>
          <w:rFonts w:hint="eastAsia" w:ascii="宋体" w:hAnsi="宋体" w:cs="宋体"/>
          <w:bCs/>
          <w:sz w:val="24"/>
          <w:szCs w:val="24"/>
        </w:rPr>
        <w:t>的评标方法进行评审。</w:t>
      </w:r>
    </w:p>
    <w:p>
      <w:pPr>
        <w:pStyle w:val="64"/>
        <w:numPr>
          <w:ilvl w:val="1"/>
          <w:numId w:val="58"/>
        </w:numPr>
        <w:spacing w:line="360" w:lineRule="auto"/>
        <w:ind w:left="426" w:hanging="426" w:firstLineChars="0"/>
        <w:rPr>
          <w:rFonts w:hint="eastAsia" w:ascii="宋体" w:hAnsi="宋体" w:cs="宋体"/>
          <w:bCs/>
          <w:sz w:val="24"/>
          <w:szCs w:val="24"/>
        </w:rPr>
      </w:pPr>
      <w:r>
        <w:rPr>
          <w:rFonts w:hint="eastAsia" w:ascii="宋体" w:hAnsi="宋体" w:cs="宋体"/>
          <w:bCs/>
          <w:sz w:val="24"/>
          <w:szCs w:val="24"/>
        </w:rPr>
        <w:t>综合评分法：是指投标文件满足招标文件全部实质性要求，且按照评审因素的量化指标评审得分最高的投标人为中标候选人的评标方法。</w:t>
      </w:r>
    </w:p>
    <w:p>
      <w:pPr>
        <w:pStyle w:val="64"/>
        <w:numPr>
          <w:ilvl w:val="0"/>
          <w:numId w:val="59"/>
        </w:numPr>
        <w:tabs>
          <w:tab w:val="left" w:pos="567"/>
        </w:tabs>
        <w:spacing w:line="360" w:lineRule="auto"/>
        <w:ind w:firstLineChars="0"/>
        <w:rPr>
          <w:rFonts w:hint="eastAsia" w:ascii="宋体" w:hAnsi="宋体" w:cs="宋体"/>
          <w:bCs/>
          <w:sz w:val="24"/>
          <w:szCs w:val="24"/>
        </w:rPr>
      </w:pPr>
      <w:r>
        <w:rPr>
          <w:rFonts w:hint="eastAsia" w:ascii="宋体" w:hAnsi="宋体" w:cs="宋体"/>
          <w:bCs/>
          <w:sz w:val="24"/>
          <w:szCs w:val="24"/>
        </w:rPr>
        <w:t>各项得分按四舍五入原则精确到小数点后两位。</w:t>
      </w:r>
    </w:p>
    <w:p>
      <w:pPr>
        <w:pStyle w:val="64"/>
        <w:numPr>
          <w:ilvl w:val="0"/>
          <w:numId w:val="55"/>
        </w:numPr>
        <w:spacing w:before="312" w:beforeLines="100" w:line="360" w:lineRule="auto"/>
        <w:ind w:firstLineChars="0"/>
        <w:rPr>
          <w:rFonts w:hint="eastAsia" w:ascii="宋体" w:hAnsi="宋体" w:cs="宋体"/>
          <w:bCs/>
          <w:sz w:val="24"/>
          <w:szCs w:val="24"/>
        </w:rPr>
      </w:pPr>
      <w:r>
        <w:rPr>
          <w:rFonts w:hint="eastAsia" w:ascii="宋体" w:hAnsi="宋体" w:cs="宋体"/>
          <w:b/>
          <w:bCs/>
          <w:sz w:val="24"/>
          <w:szCs w:val="24"/>
        </w:rPr>
        <w:t>资格性和符合性审查</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资格性审查：</w:t>
      </w:r>
      <w:r>
        <w:rPr>
          <w:rFonts w:hint="eastAsia" w:ascii="宋体" w:hAnsi="宋体" w:cs="宋体"/>
          <w:bCs/>
          <w:sz w:val="24"/>
          <w:szCs w:val="24"/>
        </w:rPr>
        <w:t>公开招标采购项目开标结束后，应当依法对投标人的资格进行审查</w:t>
      </w:r>
      <w:r>
        <w:rPr>
          <w:rFonts w:hint="eastAsia" w:ascii="宋体" w:hAnsi="宋体" w:cs="宋体"/>
          <w:sz w:val="24"/>
          <w:szCs w:val="28"/>
        </w:rPr>
        <w:t>（详见附表一资格性审查表）。</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符合性审查。评标委员会依据招标文件的规定，从投标文件的有效性、完整性和对招标文件的响应程度进行审查，以确定是否对招标文件的实质性要求作出响应。（详见后附表二符合性审查表）</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资格性审查和符合性审查中凡有其中任意一项未通过的，评审结果为未通过，未通过资格性审查、符合性审查的投标人按无效投标处理。</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对各投标人进行资格审查和符合性审查过程中，对初步被认定为无效投标者，由评标委员会组长或采购人代表将集体意见及时告知投标当事人</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64"/>
        <w:numPr>
          <w:ilvl w:val="1"/>
          <w:numId w:val="60"/>
        </w:numPr>
        <w:spacing w:line="360" w:lineRule="auto"/>
        <w:ind w:left="426" w:hanging="426" w:firstLineChars="0"/>
        <w:rPr>
          <w:rFonts w:hint="eastAsia" w:ascii="宋体" w:hAnsi="宋体" w:cs="宋体"/>
          <w:sz w:val="24"/>
          <w:szCs w:val="28"/>
        </w:rPr>
      </w:pPr>
      <w:r>
        <w:rPr>
          <w:rFonts w:hint="eastAsia" w:ascii="宋体" w:hAnsi="宋体" w:cs="宋体"/>
          <w:sz w:val="24"/>
          <w:szCs w:val="28"/>
        </w:rPr>
        <w:t>合格投标人不足3家的，不得评标。</w:t>
      </w:r>
    </w:p>
    <w:p>
      <w:pPr>
        <w:pStyle w:val="64"/>
        <w:spacing w:line="360" w:lineRule="auto"/>
        <w:ind w:firstLine="0" w:firstLineChars="0"/>
        <w:rPr>
          <w:rFonts w:hint="eastAsia" w:ascii="宋体" w:hAnsi="宋体" w:cs="宋体"/>
          <w:sz w:val="24"/>
          <w:szCs w:val="28"/>
        </w:rPr>
      </w:pPr>
    </w:p>
    <w:p>
      <w:pPr>
        <w:pStyle w:val="64"/>
        <w:numPr>
          <w:ilvl w:val="0"/>
          <w:numId w:val="55"/>
        </w:numPr>
        <w:spacing w:before="312" w:beforeLines="100" w:line="360" w:lineRule="auto"/>
        <w:ind w:firstLineChars="0"/>
        <w:rPr>
          <w:rFonts w:hint="eastAsia" w:ascii="宋体" w:hAnsi="宋体" w:cs="宋体"/>
          <w:bCs/>
          <w:sz w:val="24"/>
          <w:szCs w:val="24"/>
        </w:rPr>
      </w:pPr>
      <w:r>
        <w:rPr>
          <w:rFonts w:hint="eastAsia" w:ascii="宋体" w:hAnsi="宋体" w:cs="宋体"/>
          <w:b/>
          <w:bCs/>
          <w:sz w:val="24"/>
          <w:szCs w:val="24"/>
        </w:rPr>
        <w:t>投标文件的澄清</w:t>
      </w:r>
    </w:p>
    <w:p>
      <w:pPr>
        <w:pStyle w:val="64"/>
        <w:numPr>
          <w:ilvl w:val="1"/>
          <w:numId w:val="61"/>
        </w:numPr>
        <w:spacing w:line="360" w:lineRule="auto"/>
        <w:ind w:firstLineChars="0"/>
        <w:rPr>
          <w:rFonts w:hint="eastAsia" w:ascii="宋体" w:hAnsi="宋体" w:cs="宋体"/>
          <w:sz w:val="24"/>
          <w:szCs w:val="28"/>
        </w:rPr>
      </w:pPr>
      <w:r>
        <w:rPr>
          <w:rFonts w:hint="eastAsia" w:ascii="宋体" w:hAnsi="宋体" w:cs="宋体"/>
          <w:sz w:val="24"/>
          <w:szCs w:val="28"/>
        </w:rPr>
        <w:t>对于投标文件中含义不明确、同类问题表述不一致或者有明显文字和计算错误的内容，评标委员会可在评审过程中发起澄清，要求投标人针对价格或内容做出必要的澄清、说明或补正。代理机构可根据开标环节记录的授权代表人联系方式发送短信提醒或电话告知。投标人在规定时间内完成澄清（响应）。</w:t>
      </w:r>
    </w:p>
    <w:p>
      <w:pPr>
        <w:pStyle w:val="64"/>
        <w:numPr>
          <w:ilvl w:val="1"/>
          <w:numId w:val="61"/>
        </w:numPr>
        <w:spacing w:line="360" w:lineRule="auto"/>
        <w:ind w:firstLineChars="0"/>
        <w:rPr>
          <w:rFonts w:hint="eastAsia" w:ascii="宋体" w:hAnsi="宋体" w:cs="宋体"/>
          <w:sz w:val="24"/>
          <w:szCs w:val="28"/>
        </w:rPr>
      </w:pPr>
      <w:r>
        <w:rPr>
          <w:rFonts w:hint="eastAsia" w:ascii="宋体" w:hAnsi="宋体" w:cs="宋体"/>
          <w:sz w:val="24"/>
          <w:szCs w:val="28"/>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64"/>
        <w:numPr>
          <w:ilvl w:val="1"/>
          <w:numId w:val="61"/>
        </w:numPr>
        <w:spacing w:line="360" w:lineRule="auto"/>
        <w:ind w:firstLineChars="0"/>
        <w:rPr>
          <w:rFonts w:hint="eastAsia" w:ascii="宋体" w:hAnsi="宋体" w:cs="宋体"/>
          <w:sz w:val="24"/>
          <w:szCs w:val="28"/>
        </w:rPr>
      </w:pPr>
      <w:r>
        <w:rPr>
          <w:rFonts w:hint="eastAsia" w:ascii="宋体" w:hAnsi="宋体" w:cs="宋体"/>
          <w:sz w:val="24"/>
          <w:szCs w:val="28"/>
        </w:rPr>
        <w:t>评标委员会不接受投标人主动提出的澄清、说明或补正。</w:t>
      </w:r>
    </w:p>
    <w:p>
      <w:pPr>
        <w:pStyle w:val="64"/>
        <w:numPr>
          <w:ilvl w:val="1"/>
          <w:numId w:val="61"/>
        </w:numPr>
        <w:spacing w:line="360" w:lineRule="auto"/>
        <w:ind w:firstLineChars="0"/>
        <w:rPr>
          <w:rFonts w:hint="eastAsia" w:ascii="宋体" w:hAnsi="宋体" w:cs="宋体"/>
          <w:sz w:val="24"/>
          <w:szCs w:val="28"/>
        </w:rPr>
      </w:pPr>
      <w:r>
        <w:rPr>
          <w:rFonts w:hint="eastAsia" w:ascii="宋体" w:hAnsi="宋体" w:cs="宋体"/>
          <w:sz w:val="24"/>
          <w:szCs w:val="28"/>
        </w:rPr>
        <w:t>评标委员会对投标人提交的澄清、说明或补正有疑问的，可以要求投标人进一步澄清、说明或补正。</w:t>
      </w:r>
    </w:p>
    <w:p>
      <w:pPr>
        <w:pStyle w:val="64"/>
        <w:numPr>
          <w:ilvl w:val="0"/>
          <w:numId w:val="54"/>
        </w:numPr>
        <w:spacing w:before="312" w:beforeLines="100" w:line="360" w:lineRule="auto"/>
        <w:ind w:firstLineChars="0"/>
        <w:outlineLvl w:val="1"/>
        <w:rPr>
          <w:rFonts w:hint="eastAsia" w:ascii="微软雅黑" w:hAnsi="微软雅黑" w:eastAsia="微软雅黑" w:cs="微软雅黑"/>
          <w:b/>
          <w:bCs/>
          <w:sz w:val="28"/>
          <w:szCs w:val="28"/>
        </w:rPr>
      </w:pPr>
      <w:bookmarkStart w:id="89" w:name="_Toc19692"/>
      <w:bookmarkStart w:id="90" w:name="_Toc12070"/>
      <w:r>
        <w:rPr>
          <w:rFonts w:hint="eastAsia" w:ascii="微软雅黑" w:hAnsi="微软雅黑" w:eastAsia="微软雅黑" w:cs="微软雅黑"/>
          <w:b/>
          <w:bCs/>
          <w:sz w:val="28"/>
          <w:szCs w:val="28"/>
        </w:rPr>
        <w:t>、投标无效的情形</w:t>
      </w:r>
      <w:bookmarkEnd w:id="89"/>
      <w:bookmarkEnd w:id="90"/>
    </w:p>
    <w:p>
      <w:pPr>
        <w:pStyle w:val="64"/>
        <w:tabs>
          <w:tab w:val="left" w:pos="426"/>
        </w:tabs>
        <w:spacing w:line="360" w:lineRule="auto"/>
        <w:ind w:firstLine="480"/>
        <w:rPr>
          <w:rFonts w:hint="eastAsia" w:ascii="宋体" w:hAnsi="宋体" w:cs="宋体"/>
          <w:bCs/>
          <w:sz w:val="24"/>
          <w:szCs w:val="24"/>
        </w:rPr>
      </w:pPr>
      <w:r>
        <w:rPr>
          <w:rFonts w:hint="eastAsia" w:ascii="宋体" w:hAnsi="宋体" w:cs="宋体"/>
          <w:sz w:val="24"/>
          <w:szCs w:val="24"/>
        </w:rPr>
        <w:t>★</w:t>
      </w:r>
      <w:r>
        <w:rPr>
          <w:rFonts w:hint="eastAsia" w:ascii="宋体" w:hAnsi="宋体" w:cs="宋体"/>
          <w:bCs/>
          <w:sz w:val="24"/>
          <w:szCs w:val="24"/>
          <w:lang w:val="zh-CN"/>
        </w:rPr>
        <w:t>投标人的商务</w:t>
      </w:r>
      <w:r>
        <w:rPr>
          <w:rFonts w:hint="eastAsia" w:ascii="宋体" w:hAnsi="宋体" w:cs="宋体"/>
          <w:bCs/>
          <w:sz w:val="24"/>
          <w:szCs w:val="24"/>
        </w:rPr>
        <w:t>得</w:t>
      </w:r>
      <w:r>
        <w:rPr>
          <w:rFonts w:hint="eastAsia" w:ascii="宋体" w:hAnsi="宋体" w:cs="宋体"/>
          <w:bCs/>
          <w:sz w:val="24"/>
          <w:szCs w:val="24"/>
          <w:lang w:val="zh-CN"/>
        </w:rPr>
        <w:t>分</w:t>
      </w:r>
      <w:r>
        <w:rPr>
          <w:rFonts w:hint="eastAsia" w:ascii="宋体" w:hAnsi="宋体" w:cs="宋体"/>
          <w:bCs/>
          <w:sz w:val="24"/>
          <w:szCs w:val="24"/>
        </w:rPr>
        <w:t>应不低于</w:t>
      </w:r>
      <w:r>
        <w:rPr>
          <w:rFonts w:hint="eastAsia" w:ascii="宋体" w:hAnsi="宋体" w:cs="宋体"/>
          <w:bCs/>
          <w:sz w:val="24"/>
          <w:szCs w:val="24"/>
          <w:lang w:val="zh-CN"/>
        </w:rPr>
        <w:t>商务</w:t>
      </w:r>
      <w:r>
        <w:rPr>
          <w:rFonts w:hint="eastAsia" w:ascii="宋体" w:hAnsi="宋体" w:cs="宋体"/>
          <w:bCs/>
          <w:sz w:val="24"/>
          <w:szCs w:val="24"/>
        </w:rPr>
        <w:t>部分总</w:t>
      </w:r>
      <w:r>
        <w:rPr>
          <w:rFonts w:hint="eastAsia" w:ascii="宋体" w:hAnsi="宋体" w:cs="宋体"/>
          <w:bCs/>
          <w:sz w:val="24"/>
          <w:szCs w:val="24"/>
          <w:lang w:val="zh-CN"/>
        </w:rPr>
        <w:t>分值的60%，否则就认定为无效投标人。如果</w:t>
      </w:r>
      <w:r>
        <w:rPr>
          <w:rFonts w:hint="eastAsia" w:ascii="宋体" w:hAnsi="宋体" w:cs="宋体"/>
          <w:bCs/>
          <w:sz w:val="24"/>
          <w:szCs w:val="24"/>
        </w:rPr>
        <w:t>商务得分</w:t>
      </w:r>
      <w:r>
        <w:rPr>
          <w:rFonts w:hint="eastAsia" w:ascii="宋体" w:hAnsi="宋体" w:cs="宋体"/>
          <w:bCs/>
          <w:sz w:val="24"/>
          <w:szCs w:val="24"/>
          <w:lang w:val="zh-CN"/>
        </w:rPr>
        <w:t>达到商务</w:t>
      </w:r>
      <w:r>
        <w:rPr>
          <w:rFonts w:hint="eastAsia" w:ascii="宋体" w:hAnsi="宋体" w:cs="宋体"/>
          <w:bCs/>
          <w:sz w:val="24"/>
          <w:szCs w:val="24"/>
        </w:rPr>
        <w:t>部分总</w:t>
      </w:r>
      <w:r>
        <w:rPr>
          <w:rFonts w:hint="eastAsia" w:ascii="宋体" w:hAnsi="宋体" w:cs="宋体"/>
          <w:bCs/>
          <w:sz w:val="24"/>
          <w:szCs w:val="24"/>
          <w:lang w:val="zh-CN"/>
        </w:rPr>
        <w:t>分值60%</w:t>
      </w:r>
      <w:r>
        <w:rPr>
          <w:rFonts w:hint="eastAsia" w:ascii="宋体" w:hAnsi="宋体" w:cs="宋体"/>
          <w:bCs/>
          <w:sz w:val="24"/>
          <w:szCs w:val="24"/>
        </w:rPr>
        <w:t>的投标人</w:t>
      </w:r>
      <w:r>
        <w:rPr>
          <w:rFonts w:hint="eastAsia" w:ascii="宋体" w:hAnsi="宋体" w:cs="宋体"/>
          <w:bCs/>
          <w:sz w:val="24"/>
          <w:szCs w:val="24"/>
          <w:lang w:val="zh-CN"/>
        </w:rPr>
        <w:t>少于3家，</w:t>
      </w:r>
      <w:r>
        <w:rPr>
          <w:rFonts w:hint="eastAsia" w:ascii="宋体" w:hAnsi="宋体" w:cs="宋体"/>
          <w:bCs/>
          <w:sz w:val="24"/>
          <w:szCs w:val="24"/>
        </w:rPr>
        <w:t>本项目</w:t>
      </w:r>
      <w:r>
        <w:rPr>
          <w:rFonts w:hint="eastAsia" w:ascii="宋体" w:hAnsi="宋体" w:cs="宋体"/>
          <w:bCs/>
          <w:sz w:val="24"/>
          <w:szCs w:val="24"/>
          <w:lang w:val="zh-CN"/>
        </w:rPr>
        <w:t>废标。</w:t>
      </w:r>
    </w:p>
    <w:p>
      <w:pPr>
        <w:pStyle w:val="64"/>
        <w:tabs>
          <w:tab w:val="left" w:pos="426"/>
        </w:tabs>
        <w:spacing w:line="360" w:lineRule="auto"/>
        <w:ind w:firstLine="480"/>
        <w:rPr>
          <w:rFonts w:hint="eastAsia" w:ascii="宋体" w:hAnsi="宋体" w:cs="宋体"/>
          <w:bCs/>
          <w:sz w:val="24"/>
          <w:szCs w:val="24"/>
        </w:rPr>
      </w:pPr>
      <w:r>
        <w:rPr>
          <w:rFonts w:hint="eastAsia" w:ascii="宋体" w:hAnsi="宋体" w:cs="宋体"/>
          <w:bCs/>
          <w:sz w:val="24"/>
          <w:szCs w:val="24"/>
        </w:rPr>
        <w:t>其它内容详见资格性审查、符合性审查和招标文件其他投标无效条款。</w:t>
      </w:r>
    </w:p>
    <w:p>
      <w:pPr>
        <w:pStyle w:val="64"/>
        <w:numPr>
          <w:ilvl w:val="0"/>
          <w:numId w:val="54"/>
        </w:numPr>
        <w:spacing w:before="312" w:beforeLines="100" w:line="360" w:lineRule="auto"/>
        <w:ind w:firstLineChars="0"/>
        <w:outlineLvl w:val="1"/>
        <w:rPr>
          <w:rFonts w:hint="eastAsia" w:ascii="微软雅黑" w:hAnsi="微软雅黑" w:eastAsia="微软雅黑" w:cs="微软雅黑"/>
          <w:b/>
          <w:bCs/>
          <w:sz w:val="28"/>
          <w:szCs w:val="28"/>
        </w:rPr>
      </w:pPr>
      <w:bookmarkStart w:id="91" w:name="_Toc26410"/>
      <w:bookmarkStart w:id="92" w:name="_Toc24455"/>
      <w:r>
        <w:rPr>
          <w:rFonts w:hint="eastAsia" w:ascii="微软雅黑" w:hAnsi="微软雅黑" w:eastAsia="微软雅黑" w:cs="微软雅黑"/>
          <w:b/>
          <w:bCs/>
          <w:sz w:val="28"/>
          <w:szCs w:val="28"/>
        </w:rPr>
        <w:t>、详细评审</w:t>
      </w:r>
      <w:bookmarkEnd w:id="91"/>
      <w:bookmarkEnd w:id="92"/>
    </w:p>
    <w:p>
      <w:pPr>
        <w:pStyle w:val="64"/>
        <w:numPr>
          <w:ilvl w:val="0"/>
          <w:numId w:val="55"/>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评标委员会应当按照招标文件中规定的评标方法和标准，对符合性审查合格的投标文件进行商务和技术评估，综合比较与评价。具体商务、技术部分的</w:t>
      </w:r>
      <w:bookmarkStart w:id="93" w:name="_Hlk75740750"/>
      <w:r>
        <w:rPr>
          <w:rFonts w:hint="eastAsia" w:ascii="宋体" w:hAnsi="宋体" w:cs="宋体"/>
          <w:bCs/>
          <w:sz w:val="24"/>
          <w:szCs w:val="24"/>
        </w:rPr>
        <w:t>评审</w:t>
      </w:r>
      <w:bookmarkEnd w:id="93"/>
      <w:r>
        <w:rPr>
          <w:rFonts w:hint="eastAsia" w:ascii="宋体" w:hAnsi="宋体" w:cs="宋体"/>
          <w:bCs/>
          <w:sz w:val="24"/>
          <w:szCs w:val="24"/>
        </w:rPr>
        <w:t>因素详见</w:t>
      </w:r>
      <w:r>
        <w:rPr>
          <w:rFonts w:hint="eastAsia" w:ascii="宋体" w:hAnsi="宋体" w:cs="宋体"/>
          <w:sz w:val="24"/>
          <w:szCs w:val="28"/>
        </w:rPr>
        <w:t>《详细评审表》（附表三）。</w:t>
      </w:r>
    </w:p>
    <w:p>
      <w:pPr>
        <w:pStyle w:val="64"/>
        <w:numPr>
          <w:ilvl w:val="0"/>
          <w:numId w:val="54"/>
        </w:numPr>
        <w:spacing w:before="312" w:beforeLines="100" w:line="360" w:lineRule="auto"/>
        <w:ind w:firstLineChars="0"/>
        <w:outlineLvl w:val="1"/>
        <w:rPr>
          <w:rFonts w:hint="eastAsia" w:ascii="微软雅黑" w:hAnsi="微软雅黑" w:eastAsia="微软雅黑" w:cs="微软雅黑"/>
          <w:b/>
          <w:bCs/>
          <w:sz w:val="28"/>
          <w:szCs w:val="28"/>
        </w:rPr>
      </w:pPr>
      <w:bookmarkStart w:id="94" w:name="_Toc9143"/>
      <w:bookmarkStart w:id="95" w:name="_Toc28223"/>
      <w:r>
        <w:rPr>
          <w:rFonts w:hint="eastAsia" w:ascii="微软雅黑" w:hAnsi="微软雅黑" w:eastAsia="微软雅黑" w:cs="微软雅黑"/>
          <w:b/>
          <w:bCs/>
          <w:sz w:val="28"/>
          <w:szCs w:val="28"/>
        </w:rPr>
        <w:t>、价格修正</w:t>
      </w:r>
      <w:bookmarkEnd w:id="94"/>
      <w:bookmarkEnd w:id="95"/>
    </w:p>
    <w:p>
      <w:pPr>
        <w:pStyle w:val="64"/>
        <w:numPr>
          <w:ilvl w:val="0"/>
          <w:numId w:val="55"/>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投标文件报价出现前后不一致的，除招标文件另有规定外，按照下列规定修正：</w:t>
      </w:r>
    </w:p>
    <w:p>
      <w:pPr>
        <w:pStyle w:val="64"/>
        <w:numPr>
          <w:ilvl w:val="1"/>
          <w:numId w:val="62"/>
        </w:numPr>
        <w:spacing w:line="360" w:lineRule="auto"/>
        <w:ind w:firstLineChars="0"/>
        <w:rPr>
          <w:rFonts w:hint="eastAsia" w:ascii="宋体" w:hAnsi="宋体" w:cs="宋体"/>
          <w:bCs/>
          <w:sz w:val="24"/>
          <w:szCs w:val="24"/>
        </w:rPr>
      </w:pPr>
      <w:r>
        <w:rPr>
          <w:rFonts w:hint="eastAsia" w:ascii="宋体" w:hAnsi="宋体" w:cs="宋体"/>
          <w:sz w:val="24"/>
          <w:szCs w:val="28"/>
        </w:rPr>
        <w:t>投标文件中开标一览表（报价表）内容与投标文件中相应内容不一致的，以开标一览表（报价表）为准；</w:t>
      </w:r>
    </w:p>
    <w:p>
      <w:pPr>
        <w:pStyle w:val="64"/>
        <w:numPr>
          <w:ilvl w:val="1"/>
          <w:numId w:val="62"/>
        </w:numPr>
        <w:spacing w:line="360" w:lineRule="auto"/>
        <w:ind w:firstLineChars="0"/>
        <w:rPr>
          <w:rFonts w:hint="eastAsia" w:ascii="宋体" w:hAnsi="宋体" w:cs="宋体"/>
          <w:bCs/>
          <w:sz w:val="24"/>
          <w:szCs w:val="24"/>
        </w:rPr>
      </w:pPr>
      <w:r>
        <w:rPr>
          <w:rFonts w:hint="eastAsia" w:ascii="宋体" w:hAnsi="宋体" w:cs="宋体"/>
          <w:bCs/>
          <w:sz w:val="24"/>
          <w:szCs w:val="24"/>
        </w:rPr>
        <w:t>大写金额和小写金额不一致的，以大写金额为准；</w:t>
      </w:r>
    </w:p>
    <w:p>
      <w:pPr>
        <w:pStyle w:val="64"/>
        <w:numPr>
          <w:ilvl w:val="1"/>
          <w:numId w:val="62"/>
        </w:numPr>
        <w:spacing w:line="360" w:lineRule="auto"/>
        <w:ind w:firstLineChars="0"/>
        <w:rPr>
          <w:rFonts w:hint="eastAsia" w:ascii="宋体" w:hAnsi="宋体" w:cs="宋体"/>
          <w:bCs/>
          <w:sz w:val="24"/>
          <w:szCs w:val="24"/>
        </w:rPr>
      </w:pPr>
      <w:r>
        <w:rPr>
          <w:rFonts w:hint="eastAsia" w:ascii="宋体" w:hAnsi="宋体" w:cs="宋体"/>
          <w:bCs/>
          <w:sz w:val="24"/>
          <w:szCs w:val="24"/>
        </w:rPr>
        <w:t>单价金额小数点或者百分比有明显错位的，以开标一览表的总价为准，并修改单价；</w:t>
      </w:r>
    </w:p>
    <w:p>
      <w:pPr>
        <w:pStyle w:val="64"/>
        <w:numPr>
          <w:ilvl w:val="1"/>
          <w:numId w:val="62"/>
        </w:numPr>
        <w:spacing w:line="360" w:lineRule="auto"/>
        <w:ind w:firstLineChars="0"/>
        <w:rPr>
          <w:rFonts w:hint="eastAsia" w:ascii="宋体" w:hAnsi="宋体" w:cs="宋体"/>
          <w:bCs/>
          <w:sz w:val="24"/>
          <w:szCs w:val="24"/>
        </w:rPr>
      </w:pPr>
      <w:r>
        <w:rPr>
          <w:rFonts w:hint="eastAsia" w:ascii="宋体" w:hAnsi="宋体" w:cs="宋体"/>
          <w:bCs/>
          <w:sz w:val="24"/>
          <w:szCs w:val="24"/>
        </w:rPr>
        <w:t>总价金额与按单价汇总金额不一致的，以单价金额计算结果为准。</w:t>
      </w:r>
    </w:p>
    <w:p>
      <w:pPr>
        <w:pStyle w:val="64"/>
        <w:tabs>
          <w:tab w:val="left" w:pos="426"/>
        </w:tabs>
        <w:spacing w:line="360" w:lineRule="auto"/>
        <w:ind w:left="567" w:firstLine="0" w:firstLineChars="0"/>
        <w:rPr>
          <w:rFonts w:hint="eastAsia" w:ascii="宋体" w:hAnsi="宋体" w:cs="宋体"/>
          <w:bCs/>
          <w:sz w:val="24"/>
          <w:szCs w:val="24"/>
        </w:rPr>
      </w:pPr>
      <w:r>
        <w:rPr>
          <w:rFonts w:hint="eastAsia" w:ascii="宋体" w:hAnsi="宋体" w:cs="宋体"/>
          <w:bCs/>
          <w:sz w:val="24"/>
          <w:szCs w:val="24"/>
        </w:rPr>
        <w:t>同时出现两种以上不一致的，按照前款规定的顺序修正。修正后的报价经投标人确认后产生约束力，投标人不确认的，其投标无效。</w:t>
      </w:r>
    </w:p>
    <w:p>
      <w:pPr>
        <w:pStyle w:val="64"/>
        <w:numPr>
          <w:ilvl w:val="1"/>
          <w:numId w:val="62"/>
        </w:numPr>
        <w:spacing w:line="360" w:lineRule="auto"/>
        <w:ind w:firstLineChars="0"/>
        <w:rPr>
          <w:rFonts w:hint="eastAsia" w:ascii="宋体" w:hAnsi="宋体" w:cs="宋体"/>
          <w:bCs/>
          <w:sz w:val="24"/>
          <w:szCs w:val="24"/>
        </w:rPr>
      </w:pPr>
      <w:bookmarkStart w:id="96" w:name="_Hlk86745538"/>
      <w:r>
        <w:rPr>
          <w:rFonts w:hint="eastAsia" w:ascii="宋体" w:hAnsi="宋体" w:cs="宋体"/>
          <w:bCs/>
          <w:sz w:val="24"/>
          <w:szCs w:val="24"/>
        </w:rPr>
        <w:t>投标文件中</w:t>
      </w:r>
      <w:bookmarkStart w:id="97" w:name="_Hlk81348653"/>
      <w:r>
        <w:rPr>
          <w:rFonts w:hint="eastAsia" w:ascii="宋体" w:hAnsi="宋体" w:cs="宋体"/>
          <w:bCs/>
          <w:sz w:val="24"/>
          <w:szCs w:val="24"/>
        </w:rPr>
        <w:t>开标一览表（报价表）、</w:t>
      </w:r>
      <w:r>
        <w:rPr>
          <w:rFonts w:hint="eastAsia" w:ascii="宋体" w:hAnsi="宋体" w:cs="宋体"/>
          <w:sz w:val="24"/>
          <w:szCs w:val="24"/>
        </w:rPr>
        <w:t>分项报价表</w:t>
      </w:r>
      <w:r>
        <w:rPr>
          <w:rFonts w:hint="eastAsia" w:ascii="宋体" w:hAnsi="宋体" w:cs="宋体"/>
          <w:bCs/>
          <w:sz w:val="24"/>
          <w:szCs w:val="24"/>
        </w:rPr>
        <w:t>内容</w:t>
      </w:r>
      <w:bookmarkEnd w:id="97"/>
      <w:r>
        <w:rPr>
          <w:rFonts w:hint="eastAsia" w:ascii="宋体" w:hAnsi="宋体" w:cs="宋体"/>
          <w:bCs/>
          <w:sz w:val="24"/>
          <w:szCs w:val="24"/>
        </w:rPr>
        <w:t>与唱标信封中开标一览表（报价表、</w:t>
      </w:r>
      <w:r>
        <w:rPr>
          <w:rFonts w:hint="eastAsia" w:ascii="宋体" w:hAnsi="宋体" w:cs="宋体"/>
          <w:sz w:val="24"/>
          <w:szCs w:val="24"/>
        </w:rPr>
        <w:t>分项报价表</w:t>
      </w:r>
      <w:r>
        <w:rPr>
          <w:rFonts w:hint="eastAsia" w:ascii="宋体" w:hAnsi="宋体" w:cs="宋体"/>
          <w:bCs/>
          <w:sz w:val="24"/>
          <w:szCs w:val="24"/>
        </w:rPr>
        <w:t>内容不一致的，以唱标信封中开标一览表（报价表）、</w:t>
      </w:r>
      <w:r>
        <w:rPr>
          <w:rFonts w:hint="eastAsia" w:ascii="宋体" w:hAnsi="宋体" w:cs="宋体"/>
          <w:sz w:val="24"/>
          <w:szCs w:val="24"/>
        </w:rPr>
        <w:t>分项报价表</w:t>
      </w:r>
      <w:r>
        <w:rPr>
          <w:rFonts w:hint="eastAsia" w:ascii="宋体" w:hAnsi="宋体" w:cs="宋体"/>
          <w:bCs/>
          <w:sz w:val="24"/>
          <w:szCs w:val="24"/>
        </w:rPr>
        <w:t>内容为准。</w:t>
      </w:r>
    </w:p>
    <w:bookmarkEnd w:id="96"/>
    <w:p>
      <w:pPr>
        <w:pStyle w:val="64"/>
        <w:numPr>
          <w:ilvl w:val="0"/>
          <w:numId w:val="55"/>
        </w:numPr>
        <w:tabs>
          <w:tab w:val="left" w:pos="426"/>
        </w:tabs>
        <w:spacing w:line="360" w:lineRule="auto"/>
        <w:ind w:firstLineChars="0"/>
        <w:rPr>
          <w:rFonts w:hint="eastAsia" w:ascii="宋体" w:hAnsi="宋体" w:cs="宋体"/>
          <w:bCs/>
          <w:sz w:val="24"/>
          <w:szCs w:val="24"/>
        </w:rPr>
      </w:pPr>
      <w:r>
        <w:rPr>
          <w:rFonts w:hint="eastAsia" w:ascii="宋体" w:hAnsi="宋体" w:cs="宋体"/>
          <w:bCs/>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64"/>
        <w:numPr>
          <w:ilvl w:val="0"/>
          <w:numId w:val="55"/>
        </w:numPr>
        <w:tabs>
          <w:tab w:val="left" w:pos="426"/>
        </w:tabs>
        <w:spacing w:before="312" w:beforeLines="100" w:line="360" w:lineRule="auto"/>
        <w:ind w:firstLineChars="0"/>
        <w:rPr>
          <w:rFonts w:hint="eastAsia" w:ascii="宋体" w:hAnsi="宋体" w:cs="宋体"/>
          <w:sz w:val="24"/>
          <w:szCs w:val="24"/>
        </w:rPr>
      </w:pPr>
      <w:r>
        <w:rPr>
          <w:rFonts w:hint="eastAsia" w:ascii="宋体" w:hAnsi="宋体" w:cs="宋体"/>
          <w:sz w:val="24"/>
          <w:szCs w:val="24"/>
        </w:rPr>
        <w:t>有下列情形之一的，视为投标人串通投标，其投标无效；</w:t>
      </w:r>
    </w:p>
    <w:p>
      <w:pPr>
        <w:spacing w:line="360" w:lineRule="auto"/>
        <w:ind w:firstLine="480"/>
        <w:rPr>
          <w:sz w:val="24"/>
          <w:szCs w:val="28"/>
        </w:rPr>
      </w:pPr>
      <w:r>
        <w:rPr>
          <w:sz w:val="24"/>
          <w:szCs w:val="28"/>
        </w:rPr>
        <w:t>不同投标人的投标文件由同一单位或者个人编制；</w:t>
      </w:r>
    </w:p>
    <w:p>
      <w:pPr>
        <w:tabs>
          <w:tab w:val="left" w:pos="6693"/>
        </w:tabs>
        <w:spacing w:line="360" w:lineRule="auto"/>
        <w:ind w:firstLine="480"/>
        <w:rPr>
          <w:sz w:val="24"/>
          <w:szCs w:val="28"/>
        </w:rPr>
      </w:pPr>
      <w:r>
        <w:rPr>
          <w:sz w:val="24"/>
          <w:szCs w:val="28"/>
        </w:rPr>
        <w:t>不同投标人委托同一单位或者个人办理投标事宜；</w:t>
      </w:r>
      <w:r>
        <w:rPr>
          <w:rFonts w:hint="eastAsia"/>
          <w:sz w:val="24"/>
          <w:szCs w:val="28"/>
        </w:rPr>
        <w:tab/>
      </w:r>
    </w:p>
    <w:p>
      <w:pPr>
        <w:spacing w:line="360" w:lineRule="auto"/>
        <w:ind w:firstLine="480"/>
        <w:rPr>
          <w:sz w:val="24"/>
          <w:szCs w:val="28"/>
        </w:rPr>
      </w:pPr>
      <w:r>
        <w:rPr>
          <w:sz w:val="24"/>
          <w:szCs w:val="28"/>
        </w:rPr>
        <w:t>不同投标人的投标文件载明的项目管理成员或者联系人员为同一人；</w:t>
      </w:r>
    </w:p>
    <w:p>
      <w:pPr>
        <w:spacing w:line="360" w:lineRule="auto"/>
        <w:ind w:firstLine="480"/>
        <w:rPr>
          <w:sz w:val="24"/>
          <w:szCs w:val="28"/>
        </w:rPr>
      </w:pPr>
      <w:r>
        <w:rPr>
          <w:sz w:val="24"/>
          <w:szCs w:val="28"/>
        </w:rPr>
        <w:t>不同投标人的投标文件异常一致或者投标报价呈规律性差异；</w:t>
      </w:r>
    </w:p>
    <w:p>
      <w:pPr>
        <w:spacing w:line="360" w:lineRule="auto"/>
        <w:ind w:firstLine="480"/>
        <w:rPr>
          <w:sz w:val="24"/>
          <w:szCs w:val="28"/>
        </w:rPr>
      </w:pPr>
      <w:r>
        <w:rPr>
          <w:sz w:val="24"/>
          <w:szCs w:val="28"/>
        </w:rPr>
        <w:t>不同投标人的投标文件相互混装；</w:t>
      </w:r>
    </w:p>
    <w:p>
      <w:pPr>
        <w:spacing w:line="360" w:lineRule="auto"/>
        <w:ind w:firstLine="480"/>
        <w:rPr>
          <w:sz w:val="24"/>
          <w:szCs w:val="28"/>
        </w:rPr>
      </w:pPr>
      <w:r>
        <w:rPr>
          <w:sz w:val="24"/>
          <w:szCs w:val="28"/>
        </w:rPr>
        <w:t>不同投标人的投标保证金或购买电子保函支付款为从同一单位或个人的账户转出；</w:t>
      </w:r>
    </w:p>
    <w:p>
      <w:pPr>
        <w:spacing w:line="360" w:lineRule="auto"/>
        <w:ind w:firstLine="480"/>
        <w:rPr>
          <w:sz w:val="24"/>
          <w:szCs w:val="28"/>
        </w:rPr>
      </w:pPr>
      <w:r>
        <w:rPr>
          <w:rFonts w:hint="eastAsia"/>
          <w:sz w:val="24"/>
          <w:szCs w:val="28"/>
        </w:rPr>
        <w:t>采用电子投标的，</w:t>
      </w:r>
      <w:r>
        <w:rPr>
          <w:sz w:val="24"/>
          <w:szCs w:val="28"/>
        </w:rPr>
        <w:t>投标人上传的电子投标文件使用该项目其他投标人的数字证书加密的或加盖该项目的其他投标人的电子印章的。</w:t>
      </w:r>
    </w:p>
    <w:p>
      <w:pPr>
        <w:spacing w:line="360" w:lineRule="auto"/>
        <w:ind w:firstLine="480"/>
        <w:rPr>
          <w:rFonts w:hint="eastAsia" w:ascii="黑体" w:hAnsi="黑体" w:eastAsia="黑体"/>
          <w:b/>
          <w:bCs/>
          <w:sz w:val="24"/>
          <w:szCs w:val="24"/>
        </w:rPr>
      </w:pPr>
      <w:r>
        <w:rPr>
          <w:sz w:val="24"/>
          <w:szCs w:val="24"/>
        </w:rPr>
        <w:t>说明：在评标过程中发现投标人有上述情形的，评标委员会应当认定其投标无效。同时，项目评审时被认定为串通投标的投标人不得参加该合同项下的采购活动。</w:t>
      </w:r>
    </w:p>
    <w:p>
      <w:pPr>
        <w:pStyle w:val="64"/>
        <w:numPr>
          <w:ilvl w:val="0"/>
          <w:numId w:val="55"/>
        </w:numPr>
        <w:tabs>
          <w:tab w:val="left" w:pos="426"/>
        </w:tabs>
        <w:spacing w:before="156" w:beforeLines="50" w:line="360" w:lineRule="auto"/>
        <w:ind w:firstLineChars="0"/>
        <w:rPr>
          <w:rFonts w:hint="eastAsia" w:ascii="宋体" w:hAnsi="宋体" w:cs="宋体"/>
          <w:b/>
          <w:bCs/>
          <w:sz w:val="24"/>
          <w:szCs w:val="24"/>
        </w:rPr>
      </w:pPr>
      <w:r>
        <w:rPr>
          <w:rFonts w:hint="eastAsia" w:ascii="宋体" w:hAnsi="宋体" w:cs="宋体"/>
          <w:b/>
          <w:bCs/>
          <w:sz w:val="24"/>
          <w:szCs w:val="24"/>
        </w:rPr>
        <w:t>商务技术及价格评分权值分配</w:t>
      </w:r>
    </w:p>
    <w:p>
      <w:pPr>
        <w:pStyle w:val="64"/>
        <w:spacing w:before="156" w:beforeLines="50" w:line="360" w:lineRule="auto"/>
        <w:ind w:firstLine="0" w:firstLineChars="0"/>
        <w:rPr>
          <w:rFonts w:hint="eastAsia" w:ascii="宋体" w:hAnsi="宋体" w:cs="宋体"/>
          <w:bCs/>
          <w:sz w:val="24"/>
          <w:szCs w:val="24"/>
        </w:rPr>
      </w:pPr>
      <w:r>
        <w:rPr>
          <w:rFonts w:hint="eastAsia" w:ascii="宋体" w:hAnsi="宋体" w:cs="宋体"/>
          <w:bCs/>
          <w:sz w:val="24"/>
          <w:szCs w:val="24"/>
        </w:rPr>
        <w:t>综合得分＝商务得分+技术得分＋价格得分</w:t>
      </w:r>
    </w:p>
    <w:p>
      <w:pPr>
        <w:pStyle w:val="64"/>
        <w:spacing w:before="156" w:beforeLines="50" w:line="360" w:lineRule="auto"/>
        <w:ind w:firstLine="0" w:firstLineChars="0"/>
        <w:rPr>
          <w:rFonts w:hint="eastAsia" w:ascii="宋体" w:hAnsi="宋体" w:cs="宋体"/>
          <w:bCs/>
          <w:sz w:val="24"/>
          <w:szCs w:val="24"/>
        </w:rPr>
      </w:pPr>
      <w:r>
        <w:rPr>
          <w:rFonts w:hint="eastAsia" w:ascii="宋体" w:hAnsi="宋体" w:cs="宋体"/>
          <w:bCs/>
          <w:sz w:val="24"/>
          <w:szCs w:val="24"/>
        </w:rPr>
        <w:t>各部分评分权值详见《详细评审表》（附表三）。</w:t>
      </w:r>
    </w:p>
    <w:p>
      <w:pPr>
        <w:pStyle w:val="64"/>
        <w:spacing w:before="156" w:beforeLines="50" w:line="360" w:lineRule="auto"/>
        <w:ind w:firstLine="0" w:firstLineChars="0"/>
        <w:rPr>
          <w:rFonts w:hint="eastAsia" w:ascii="宋体" w:hAnsi="宋体" w:cs="宋体"/>
          <w:bCs/>
          <w:sz w:val="24"/>
          <w:szCs w:val="24"/>
        </w:rPr>
      </w:pPr>
    </w:p>
    <w:p>
      <w:pPr>
        <w:pStyle w:val="64"/>
        <w:numPr>
          <w:ilvl w:val="0"/>
          <w:numId w:val="55"/>
        </w:numPr>
        <w:tabs>
          <w:tab w:val="left" w:pos="426"/>
        </w:tabs>
        <w:spacing w:line="360" w:lineRule="auto"/>
        <w:ind w:firstLineChars="0"/>
        <w:rPr>
          <w:rFonts w:hint="eastAsia" w:ascii="宋体" w:hAnsi="宋体" w:cs="宋体"/>
          <w:b/>
          <w:bCs/>
          <w:sz w:val="24"/>
          <w:szCs w:val="24"/>
        </w:rPr>
      </w:pPr>
      <w:r>
        <w:rPr>
          <w:rFonts w:hint="eastAsia" w:ascii="宋体" w:hAnsi="宋体" w:cs="宋体"/>
          <w:b/>
          <w:bCs/>
          <w:sz w:val="24"/>
          <w:szCs w:val="24"/>
        </w:rPr>
        <w:t>中标候选人</w:t>
      </w:r>
    </w:p>
    <w:p>
      <w:pPr>
        <w:pStyle w:val="64"/>
        <w:numPr>
          <w:ilvl w:val="1"/>
          <w:numId w:val="63"/>
        </w:numPr>
        <w:spacing w:line="360" w:lineRule="auto"/>
        <w:ind w:firstLineChars="0"/>
        <w:rPr>
          <w:rFonts w:hint="eastAsia" w:ascii="宋体" w:hAnsi="宋体" w:cs="宋体"/>
          <w:bCs/>
          <w:sz w:val="24"/>
          <w:szCs w:val="24"/>
        </w:rPr>
      </w:pPr>
      <w:r>
        <w:rPr>
          <w:rFonts w:hint="eastAsia" w:ascii="宋体" w:hAnsi="宋体" w:cs="宋体"/>
          <w:bCs/>
          <w:sz w:val="24"/>
          <w:szCs w:val="24"/>
        </w:rPr>
        <w:t xml:space="preserve">评标委员会出具评标报告，并排序推荐二名中标候选人（每个采购包组推荐2名中标候选人）。 </w:t>
      </w:r>
    </w:p>
    <w:p>
      <w:pPr>
        <w:pStyle w:val="64"/>
        <w:numPr>
          <w:ilvl w:val="1"/>
          <w:numId w:val="63"/>
        </w:numPr>
        <w:tabs>
          <w:tab w:val="left" w:pos="567"/>
          <w:tab w:val="left" w:pos="709"/>
        </w:tabs>
        <w:spacing w:line="360" w:lineRule="auto"/>
        <w:ind w:firstLineChars="0"/>
        <w:rPr>
          <w:rFonts w:hint="eastAsia" w:ascii="宋体" w:hAnsi="宋体" w:cs="宋体"/>
          <w:bCs/>
          <w:sz w:val="24"/>
          <w:szCs w:val="24"/>
        </w:rPr>
      </w:pPr>
      <w:r>
        <w:rPr>
          <w:rFonts w:hint="eastAsia" w:ascii="宋体" w:hAnsi="宋体" w:cs="宋体"/>
          <w:bCs/>
          <w:sz w:val="24"/>
          <w:szCs w:val="24"/>
        </w:rPr>
        <w:t>使用综合评分法的采购项目：提供相同品牌产品或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非单一产品采购项目，采购人将根据采购项目技术构成、产品价格比重等合理确定核心产品，并在招标文件中载明。多家投标人提供的核心产品品牌相同的，按上述规定处理。</w:t>
      </w:r>
    </w:p>
    <w:p>
      <w:pPr>
        <w:pStyle w:val="64"/>
        <w:numPr>
          <w:ilvl w:val="1"/>
          <w:numId w:val="63"/>
        </w:numPr>
        <w:tabs>
          <w:tab w:val="left" w:pos="567"/>
          <w:tab w:val="left" w:pos="709"/>
        </w:tabs>
        <w:spacing w:line="360" w:lineRule="auto"/>
        <w:ind w:firstLineChars="0"/>
        <w:rPr>
          <w:rFonts w:hint="eastAsia" w:ascii="宋体" w:hAnsi="宋体" w:cs="宋体"/>
          <w:sz w:val="24"/>
          <w:szCs w:val="24"/>
        </w:rPr>
      </w:pPr>
      <w:r>
        <w:rPr>
          <w:rFonts w:hint="eastAsia" w:ascii="宋体" w:hAnsi="宋体" w:cs="宋体"/>
          <w:bCs/>
          <w:sz w:val="24"/>
          <w:szCs w:val="24"/>
        </w:rPr>
        <w:t>采用综合评分法的，评审结果按评审后得分由高到低的顺序排列。得分相同的，按投标报价由低到高顺序排列。得分且投标报价相同并列的。投标文件满足招标文件全部实质性要求，且按照评审因素的量化指标评审得分最高的投标人为排名第一的中标候选人。</w:t>
      </w:r>
    </w:p>
    <w:p>
      <w:pPr>
        <w:pStyle w:val="64"/>
        <w:pageBreakBefore/>
        <w:numPr>
          <w:ilvl w:val="0"/>
          <w:numId w:val="64"/>
        </w:numPr>
        <w:spacing w:before="156" w:beforeLines="50" w:after="312" w:afterLines="100" w:line="360" w:lineRule="auto"/>
        <w:ind w:left="442" w:hanging="440" w:hangingChars="200"/>
        <w:outlineLvl w:val="1"/>
        <w:rPr>
          <w:rFonts w:hint="eastAsia" w:ascii="黑体" w:hAnsi="黑体" w:eastAsia="黑体"/>
          <w:b/>
          <w:bCs/>
          <w:sz w:val="22"/>
        </w:rPr>
      </w:pPr>
      <w:bookmarkStart w:id="98" w:name="_Toc22690"/>
      <w:bookmarkStart w:id="99" w:name="_Toc1988"/>
      <w:r>
        <w:rPr>
          <w:rFonts w:hint="eastAsia" w:ascii="黑体" w:hAnsi="黑体" w:eastAsia="黑体"/>
          <w:b/>
          <w:bCs/>
          <w:sz w:val="22"/>
        </w:rPr>
        <w:t>附表一</w:t>
      </w:r>
      <w:r>
        <w:rPr>
          <w:rFonts w:ascii="黑体" w:hAnsi="黑体" w:eastAsia="黑体"/>
          <w:b/>
          <w:bCs/>
          <w:sz w:val="22"/>
        </w:rPr>
        <w:t xml:space="preserve"> </w:t>
      </w:r>
      <w:bookmarkStart w:id="100" w:name="_Hlk79422957"/>
      <w:r>
        <w:rPr>
          <w:rFonts w:hint="eastAsia" w:ascii="黑体" w:hAnsi="黑体" w:eastAsia="黑体"/>
          <w:b/>
          <w:bCs/>
          <w:sz w:val="22"/>
        </w:rPr>
        <w:t xml:space="preserve"> 资格性审查表</w:t>
      </w:r>
      <w:bookmarkEnd w:id="98"/>
      <w:bookmarkEnd w:id="99"/>
      <w:bookmarkEnd w:id="100"/>
    </w:p>
    <w:tbl>
      <w:tblPr>
        <w:tblStyle w:val="37"/>
        <w:tblW w:w="46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2164"/>
        <w:gridCol w:w="5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序号</w:t>
            </w:r>
          </w:p>
        </w:tc>
        <w:tc>
          <w:tcPr>
            <w:tcW w:w="4535" w:type="pct"/>
            <w:gridSpan w:val="2"/>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rPr>
            </w:pPr>
            <w:r>
              <w:rPr>
                <w:rFonts w:hint="eastAsia" w:ascii="黑体" w:hAnsi="黑体" w:eastAsia="黑体"/>
                <w:sz w:val="22"/>
              </w:rPr>
              <w:t>1</w:t>
            </w:r>
          </w:p>
        </w:tc>
        <w:tc>
          <w:tcPr>
            <w:tcW w:w="1211" w:type="pct"/>
            <w:noWrap w:val="0"/>
            <w:vAlign w:val="center"/>
          </w:tcPr>
          <w:p>
            <w:pPr>
              <w:jc w:val="left"/>
              <w:rPr>
                <w:rFonts w:hint="eastAsia" w:ascii="黑体" w:hAnsi="黑体" w:eastAsia="黑体" w:cs="宋体"/>
                <w:kern w:val="0"/>
                <w:sz w:val="22"/>
              </w:rPr>
            </w:pPr>
            <w:r>
              <w:rPr>
                <w:rFonts w:hint="eastAsia" w:ascii="黑体" w:hAnsi="黑体" w:eastAsia="黑体" w:cs="宋体"/>
                <w:kern w:val="0"/>
                <w:sz w:val="22"/>
              </w:rPr>
              <w:t>具有独立承担民事责任的能力</w:t>
            </w:r>
          </w:p>
        </w:tc>
        <w:tc>
          <w:tcPr>
            <w:tcW w:w="3324" w:type="pct"/>
            <w:noWrap w:val="0"/>
            <w:vAlign w:val="center"/>
          </w:tcPr>
          <w:p>
            <w:pPr>
              <w:jc w:val="left"/>
              <w:rPr>
                <w:rFonts w:hint="eastAsia" w:ascii="黑体" w:hAnsi="黑体" w:eastAsia="黑体" w:cs="宋体"/>
                <w:kern w:val="0"/>
                <w:sz w:val="22"/>
              </w:rPr>
            </w:pPr>
            <w:r>
              <w:rPr>
                <w:rFonts w:hint="eastAsia" w:ascii="黑体" w:hAnsi="黑体" w:eastAsia="黑体" w:cs="宋体"/>
                <w:kern w:val="0"/>
                <w:sz w:val="22"/>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rPr>
            </w:pPr>
            <w:r>
              <w:rPr>
                <w:rFonts w:hint="eastAsia" w:ascii="黑体" w:hAnsi="黑体" w:eastAsia="黑体"/>
                <w:sz w:val="22"/>
              </w:rPr>
              <w:t>2</w:t>
            </w:r>
          </w:p>
        </w:tc>
        <w:tc>
          <w:tcPr>
            <w:tcW w:w="1211" w:type="pct"/>
            <w:noWrap w:val="0"/>
            <w:vAlign w:val="center"/>
          </w:tcPr>
          <w:p>
            <w:pPr>
              <w:jc w:val="left"/>
              <w:rPr>
                <w:rFonts w:hint="eastAsia" w:ascii="黑体" w:hAnsi="黑体" w:eastAsia="黑体"/>
                <w:sz w:val="22"/>
              </w:rPr>
            </w:pPr>
            <w:r>
              <w:rPr>
                <w:rFonts w:hint="eastAsia" w:ascii="黑体" w:hAnsi="黑体" w:eastAsia="黑体" w:cs="宋体"/>
                <w:kern w:val="0"/>
                <w:sz w:val="22"/>
              </w:rPr>
              <w:t>有依法缴纳税收和社会保障资金的良好记录</w:t>
            </w:r>
          </w:p>
        </w:tc>
        <w:tc>
          <w:tcPr>
            <w:tcW w:w="3324" w:type="pct"/>
            <w:noWrap w:val="0"/>
            <w:vAlign w:val="center"/>
          </w:tcPr>
          <w:p>
            <w:pPr>
              <w:jc w:val="left"/>
              <w:rPr>
                <w:rFonts w:hint="eastAsia" w:ascii="黑体" w:hAnsi="黑体" w:eastAsia="黑体"/>
                <w:bCs/>
                <w:sz w:val="22"/>
              </w:rPr>
            </w:pPr>
            <w:r>
              <w:rPr>
                <w:rFonts w:hint="eastAsia" w:ascii="黑体" w:hAnsi="黑体" w:eastAsia="黑体"/>
                <w:bCs/>
                <w:sz w:val="22"/>
              </w:rPr>
              <w:t>提供投标截止日前6个月内任意1个月依法缴纳税收和社会保障资金的相关材料。如依法免税或不需要缴纳社会保障资金的，提供相应证明材料。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rPr>
            </w:pPr>
            <w:r>
              <w:rPr>
                <w:rFonts w:hint="eastAsia" w:ascii="黑体" w:hAnsi="黑体" w:eastAsia="黑体"/>
                <w:sz w:val="22"/>
              </w:rPr>
              <w:t>3</w:t>
            </w:r>
          </w:p>
        </w:tc>
        <w:tc>
          <w:tcPr>
            <w:tcW w:w="1211" w:type="pct"/>
            <w:noWrap w:val="0"/>
            <w:vAlign w:val="center"/>
          </w:tcPr>
          <w:p>
            <w:pPr>
              <w:jc w:val="left"/>
              <w:rPr>
                <w:rFonts w:hint="eastAsia" w:ascii="黑体" w:hAnsi="黑体" w:eastAsia="黑体"/>
                <w:sz w:val="22"/>
              </w:rPr>
            </w:pPr>
            <w:r>
              <w:rPr>
                <w:rFonts w:hint="eastAsia" w:ascii="黑体" w:hAnsi="黑体" w:eastAsia="黑体" w:cs="宋体"/>
                <w:kern w:val="0"/>
                <w:sz w:val="22"/>
              </w:rPr>
              <w:t>具有良好的商业信誉和健全的财务会计制度</w:t>
            </w:r>
          </w:p>
        </w:tc>
        <w:tc>
          <w:tcPr>
            <w:tcW w:w="3324" w:type="pct"/>
            <w:noWrap w:val="0"/>
            <w:vAlign w:val="center"/>
          </w:tcPr>
          <w:p>
            <w:pPr>
              <w:jc w:val="left"/>
              <w:rPr>
                <w:rFonts w:hint="eastAsia" w:ascii="黑体" w:hAnsi="黑体" w:eastAsia="黑体"/>
                <w:bCs/>
                <w:sz w:val="22"/>
              </w:rPr>
            </w:pPr>
            <w:r>
              <w:rPr>
                <w:rFonts w:hint="eastAsia" w:ascii="黑体" w:hAnsi="黑体" w:eastAsia="黑体"/>
                <w:bCs/>
                <w:sz w:val="22"/>
              </w:rPr>
              <w:t>提供2023年度财务状况报告或2024年至今任意1个月的财务状况报告复印件，或银行出具的资信证明材料复印件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rPr>
            </w:pPr>
            <w:r>
              <w:rPr>
                <w:rFonts w:hint="eastAsia" w:ascii="黑体" w:hAnsi="黑体" w:eastAsia="黑体"/>
                <w:sz w:val="22"/>
              </w:rPr>
              <w:t>4</w:t>
            </w:r>
          </w:p>
        </w:tc>
        <w:tc>
          <w:tcPr>
            <w:tcW w:w="1211" w:type="pct"/>
            <w:noWrap w:val="0"/>
            <w:vAlign w:val="center"/>
          </w:tcPr>
          <w:p>
            <w:pPr>
              <w:jc w:val="left"/>
              <w:rPr>
                <w:rFonts w:hint="eastAsia" w:ascii="黑体" w:hAnsi="黑体" w:eastAsia="黑体"/>
                <w:sz w:val="22"/>
              </w:rPr>
            </w:pPr>
            <w:r>
              <w:rPr>
                <w:rFonts w:hint="eastAsia" w:ascii="黑体" w:hAnsi="黑体" w:eastAsia="黑体"/>
                <w:sz w:val="22"/>
              </w:rPr>
              <w:t>履行合同所必须的设备和专业技术能力</w:t>
            </w:r>
          </w:p>
        </w:tc>
        <w:tc>
          <w:tcPr>
            <w:tcW w:w="3324" w:type="pct"/>
            <w:noWrap w:val="0"/>
            <w:vAlign w:val="center"/>
          </w:tcPr>
          <w:p>
            <w:pPr>
              <w:jc w:val="left"/>
              <w:rPr>
                <w:rFonts w:hint="eastAsia" w:ascii="黑体" w:hAnsi="黑体" w:eastAsia="黑体"/>
                <w:bCs/>
                <w:sz w:val="22"/>
              </w:rPr>
            </w:pPr>
            <w:r>
              <w:rPr>
                <w:rFonts w:hint="eastAsia" w:ascii="黑体" w:hAnsi="黑体" w:eastAsia="黑体"/>
                <w:bCs/>
                <w:sz w:val="22"/>
              </w:rPr>
              <w:t>自拟填报设备及专业技术能力情况或提供资格声明函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rPr>
            </w:pPr>
            <w:r>
              <w:rPr>
                <w:rFonts w:hint="eastAsia" w:ascii="黑体" w:hAnsi="黑体" w:eastAsia="黑体"/>
                <w:sz w:val="22"/>
              </w:rPr>
              <w:t>5</w:t>
            </w:r>
          </w:p>
        </w:tc>
        <w:tc>
          <w:tcPr>
            <w:tcW w:w="1211" w:type="pct"/>
            <w:noWrap w:val="0"/>
            <w:vAlign w:val="center"/>
          </w:tcPr>
          <w:p>
            <w:pPr>
              <w:jc w:val="left"/>
              <w:rPr>
                <w:rFonts w:hint="eastAsia" w:ascii="黑体" w:hAnsi="黑体" w:eastAsia="黑体" w:cs="Times New Roman"/>
                <w:sz w:val="22"/>
              </w:rPr>
            </w:pPr>
            <w:r>
              <w:rPr>
                <w:rFonts w:hint="eastAsia" w:ascii="黑体" w:hAnsi="黑体" w:eastAsia="黑体" w:cs="Times New Roman"/>
                <w:sz w:val="22"/>
              </w:rPr>
              <w:t>参加采购活动前3年内，在经营活动中没有重大违法记录：</w:t>
            </w:r>
          </w:p>
        </w:tc>
        <w:tc>
          <w:tcPr>
            <w:tcW w:w="3324" w:type="pct"/>
            <w:noWrap w:val="0"/>
            <w:vAlign w:val="center"/>
          </w:tcPr>
          <w:p>
            <w:pPr>
              <w:rPr>
                <w:rFonts w:hint="eastAsia" w:ascii="黑体" w:hAnsi="黑体" w:eastAsia="黑体"/>
                <w:bCs/>
                <w:sz w:val="22"/>
              </w:rPr>
            </w:pPr>
            <w:r>
              <w:rPr>
                <w:rFonts w:hint="eastAsia" w:ascii="黑体" w:hAnsi="黑体" w:eastAsia="黑体"/>
                <w:bCs/>
                <w:sz w:val="22"/>
              </w:rPr>
              <w:t>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szCs w:val="24"/>
              </w:rPr>
            </w:pPr>
            <w:r>
              <w:rPr>
                <w:rFonts w:hint="eastAsia" w:ascii="黑体" w:hAnsi="黑体" w:eastAsia="黑体"/>
                <w:sz w:val="22"/>
              </w:rPr>
              <w:t>6</w:t>
            </w:r>
          </w:p>
        </w:tc>
        <w:tc>
          <w:tcPr>
            <w:tcW w:w="4535" w:type="pct"/>
            <w:gridSpan w:val="2"/>
            <w:noWrap w:val="0"/>
            <w:vAlign w:val="center"/>
          </w:tcPr>
          <w:p>
            <w:pPr>
              <w:rPr>
                <w:rFonts w:hint="eastAsia" w:ascii="黑体" w:hAnsi="黑体" w:eastAsia="黑体"/>
                <w:sz w:val="22"/>
              </w:rPr>
            </w:pPr>
            <w:r>
              <w:rPr>
                <w:rFonts w:hint="eastAsia" w:ascii="黑体" w:hAnsi="黑体" w:eastAsia="黑体"/>
                <w:sz w:val="22"/>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rPr>
        <w:tc>
          <w:tcPr>
            <w:tcW w:w="464" w:type="pct"/>
            <w:noWrap w:val="0"/>
            <w:vAlign w:val="center"/>
          </w:tcPr>
          <w:p>
            <w:pPr>
              <w:jc w:val="center"/>
              <w:rPr>
                <w:rFonts w:hint="eastAsia" w:ascii="黑体" w:hAnsi="黑体" w:eastAsia="黑体"/>
                <w:sz w:val="22"/>
                <w:szCs w:val="24"/>
              </w:rPr>
            </w:pPr>
            <w:r>
              <w:rPr>
                <w:rFonts w:hint="eastAsia" w:ascii="黑体" w:hAnsi="黑体" w:eastAsia="黑体"/>
                <w:sz w:val="22"/>
              </w:rPr>
              <w:t>7</w:t>
            </w:r>
          </w:p>
        </w:tc>
        <w:tc>
          <w:tcPr>
            <w:tcW w:w="4535" w:type="pct"/>
            <w:gridSpan w:val="2"/>
            <w:noWrap w:val="0"/>
            <w:vAlign w:val="center"/>
          </w:tcPr>
          <w:p>
            <w:pPr>
              <w:jc w:val="left"/>
              <w:rPr>
                <w:rFonts w:hint="eastAsia" w:ascii="黑体" w:hAnsi="黑体" w:eastAsia="黑体"/>
                <w:sz w:val="22"/>
              </w:rPr>
            </w:pPr>
            <w:r>
              <w:rPr>
                <w:rFonts w:hint="eastAsia" w:ascii="黑体" w:hAnsi="黑体" w:eastAsia="黑体"/>
                <w:sz w:val="22"/>
              </w:rPr>
              <w:t>单位负责人为同一人或者存在直接控股、管理关系的不同供应商，不得同时参加本采购项目投标。为本项目提供整体设计、规范编制或者项目管理、监理、检测等服务的供应商，不得再参与本项目投标。自拟承诺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64" w:type="pct"/>
            <w:noWrap w:val="0"/>
            <w:vAlign w:val="center"/>
          </w:tcPr>
          <w:p>
            <w:pPr>
              <w:jc w:val="center"/>
              <w:rPr>
                <w:rFonts w:hint="eastAsia" w:ascii="黑体" w:hAnsi="黑体" w:eastAsia="黑体"/>
                <w:sz w:val="22"/>
                <w:szCs w:val="24"/>
              </w:rPr>
            </w:pPr>
            <w:r>
              <w:rPr>
                <w:rFonts w:hint="eastAsia" w:ascii="黑体" w:hAnsi="黑体" w:eastAsia="黑体"/>
                <w:sz w:val="22"/>
              </w:rPr>
              <w:t>8</w:t>
            </w:r>
          </w:p>
        </w:tc>
        <w:tc>
          <w:tcPr>
            <w:tcW w:w="4535" w:type="pct"/>
            <w:gridSpan w:val="2"/>
            <w:noWrap w:val="0"/>
            <w:vAlign w:val="center"/>
          </w:tcPr>
          <w:p>
            <w:pPr>
              <w:jc w:val="left"/>
              <w:rPr>
                <w:rFonts w:hint="eastAsia" w:ascii="黑体" w:hAnsi="黑体" w:eastAsia="黑体"/>
                <w:sz w:val="22"/>
              </w:rPr>
            </w:pPr>
            <w:r>
              <w:rPr>
                <w:rFonts w:hint="eastAsia" w:ascii="黑体" w:hAnsi="黑体" w:eastAsia="黑体"/>
                <w:sz w:val="22"/>
              </w:rPr>
              <w:t>本项目不接受联合体投标。</w:t>
            </w:r>
          </w:p>
        </w:tc>
      </w:tr>
    </w:tbl>
    <w:p>
      <w:pPr>
        <w:pStyle w:val="64"/>
        <w:spacing w:before="156" w:beforeLines="50" w:line="360" w:lineRule="auto"/>
        <w:ind w:firstLine="0" w:firstLineChars="0"/>
        <w:rPr>
          <w:rFonts w:hint="eastAsia" w:ascii="黑体" w:hAnsi="黑体" w:eastAsia="黑体"/>
          <w:sz w:val="22"/>
        </w:rPr>
      </w:pPr>
      <w:r>
        <w:rPr>
          <w:rFonts w:hint="eastAsia" w:ascii="黑体" w:hAnsi="黑体" w:eastAsia="黑体"/>
          <w:b/>
          <w:bCs/>
          <w:sz w:val="22"/>
        </w:rPr>
        <w:t>说明：</w:t>
      </w:r>
      <w:r>
        <w:rPr>
          <w:rFonts w:hint="eastAsia" w:ascii="黑体" w:hAnsi="黑体" w:eastAsia="黑体"/>
          <w:sz w:val="22"/>
        </w:rPr>
        <w:t>投标人必须严格按照《资格性审查表》的评审内容的要求如实提供证明材料并应加盖投标人公章，若投标人不满足《资格性审查表》中任何情形之一的，则其投标无效。</w:t>
      </w:r>
      <w:r>
        <w:rPr>
          <w:rFonts w:ascii="黑体" w:hAnsi="黑体" w:eastAsia="黑体"/>
          <w:sz w:val="22"/>
        </w:rPr>
        <w:cr/>
      </w:r>
    </w:p>
    <w:p>
      <w:pPr>
        <w:pStyle w:val="64"/>
        <w:pageBreakBefore/>
        <w:numPr>
          <w:ilvl w:val="0"/>
          <w:numId w:val="64"/>
        </w:numPr>
        <w:spacing w:before="156" w:beforeLines="50" w:after="312" w:afterLines="100" w:line="360" w:lineRule="auto"/>
        <w:ind w:left="442" w:hanging="440" w:hangingChars="200"/>
        <w:outlineLvl w:val="1"/>
        <w:rPr>
          <w:rFonts w:hint="eastAsia" w:ascii="黑体" w:hAnsi="黑体" w:eastAsia="黑体"/>
          <w:b/>
          <w:bCs/>
          <w:sz w:val="22"/>
        </w:rPr>
      </w:pPr>
      <w:bookmarkStart w:id="101" w:name="_Toc28958"/>
      <w:bookmarkStart w:id="102" w:name="_Toc24150"/>
      <w:r>
        <w:rPr>
          <w:rFonts w:hint="eastAsia" w:ascii="黑体" w:hAnsi="黑体" w:eastAsia="黑体"/>
          <w:b/>
          <w:bCs/>
          <w:sz w:val="22"/>
        </w:rPr>
        <w:t xml:space="preserve">附表二 </w:t>
      </w:r>
      <w:bookmarkStart w:id="103" w:name="_Hlk79425582"/>
      <w:r>
        <w:rPr>
          <w:rFonts w:hint="eastAsia" w:ascii="黑体" w:hAnsi="黑体" w:eastAsia="黑体"/>
          <w:b/>
          <w:bCs/>
          <w:sz w:val="22"/>
        </w:rPr>
        <w:t xml:space="preserve"> </w:t>
      </w:r>
      <w:bookmarkStart w:id="104" w:name="_Hlk80867805"/>
      <w:r>
        <w:rPr>
          <w:rFonts w:hint="eastAsia" w:ascii="黑体" w:hAnsi="黑体" w:eastAsia="黑体"/>
          <w:b/>
          <w:bCs/>
          <w:sz w:val="22"/>
        </w:rPr>
        <w:t>符合性审查表</w:t>
      </w:r>
      <w:bookmarkEnd w:id="101"/>
      <w:bookmarkEnd w:id="102"/>
      <w:bookmarkEnd w:id="103"/>
      <w:bookmarkEnd w:id="104"/>
    </w:p>
    <w:tbl>
      <w:tblPr>
        <w:tblStyle w:val="37"/>
        <w:tblW w:w="92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49"/>
        <w:gridCol w:w="1792"/>
        <w:gridCol w:w="63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1792" w:type="dxa"/>
            <w:noWrap w:val="0"/>
            <w:vAlign w:val="top"/>
          </w:tcPr>
          <w:p>
            <w:pPr>
              <w:spacing w:line="360" w:lineRule="auto"/>
              <w:jc w:val="center"/>
              <w:rPr>
                <w:rFonts w:hint="eastAsia" w:ascii="黑体" w:hAnsi="黑体" w:eastAsia="黑体"/>
                <w:b/>
                <w:bCs/>
                <w:sz w:val="22"/>
              </w:rPr>
            </w:pPr>
            <w:r>
              <w:rPr>
                <w:rFonts w:hint="eastAsia" w:ascii="黑体" w:hAnsi="黑体" w:eastAsia="黑体"/>
                <w:b/>
                <w:bCs/>
                <w:sz w:val="22"/>
              </w:rPr>
              <w:t>评审点要求概况</w:t>
            </w:r>
          </w:p>
        </w:tc>
        <w:tc>
          <w:tcPr>
            <w:tcW w:w="6380" w:type="dxa"/>
            <w:noWrap w:val="0"/>
            <w:vAlign w:val="top"/>
          </w:tcPr>
          <w:p>
            <w:pPr>
              <w:spacing w:line="360" w:lineRule="auto"/>
              <w:jc w:val="center"/>
              <w:rPr>
                <w:rFonts w:hint="eastAsia" w:ascii="黑体" w:hAnsi="黑体" w:eastAsia="黑体"/>
                <w:b/>
                <w:bCs/>
                <w:sz w:val="22"/>
              </w:rPr>
            </w:pPr>
            <w:r>
              <w:rPr>
                <w:rFonts w:hint="eastAsia" w:ascii="黑体" w:hAnsi="黑体" w:eastAsia="黑体"/>
                <w:b/>
                <w:bCs/>
                <w:sz w:val="22"/>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1</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投标函</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2</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授权文件</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法定代表人（负责人）证明书、法定代表人（负责人）授权委托书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3</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投标有效期</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投标截止日起90日历天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4</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签署、盖章</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投标文件按照项目采购文件规定要求签署、盖章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5</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投标报价</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投标报价未超最高限价，且是固定唯一值的；若投标报价显低于其他通过符合性审查投标人的报价，投标人应能作出合理说明；招标文件不接受提交备用方案。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6</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带“★”号条款</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能满足采购需求的主要参数（带“★”号条款）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7</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投标保证金</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投标人按招标文件要求缴纳投标保证金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8</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附加条件</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投标文件没有采购人不能接受的附加条件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9</w:t>
            </w:r>
          </w:p>
        </w:tc>
        <w:tc>
          <w:tcPr>
            <w:tcW w:w="1792"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其他无效情形</w:t>
            </w:r>
          </w:p>
        </w:tc>
        <w:tc>
          <w:tcPr>
            <w:tcW w:w="6380" w:type="dxa"/>
            <w:noWrap w:val="0"/>
            <w:vAlign w:val="top"/>
          </w:tcPr>
          <w:p>
            <w:pPr>
              <w:spacing w:line="360" w:lineRule="auto"/>
              <w:jc w:val="center"/>
              <w:rPr>
                <w:rFonts w:hint="eastAsia" w:ascii="黑体" w:hAnsi="黑体" w:eastAsia="黑体"/>
                <w:sz w:val="22"/>
              </w:rPr>
            </w:pPr>
            <w:r>
              <w:rPr>
                <w:rFonts w:hint="eastAsia" w:ascii="黑体" w:hAnsi="黑体" w:eastAsia="黑体"/>
                <w:sz w:val="22"/>
              </w:rPr>
              <w:t>未出现法律、法规和项目采购文件规定的其他无效情形</w:t>
            </w:r>
          </w:p>
        </w:tc>
      </w:tr>
    </w:tbl>
    <w:p>
      <w:pPr>
        <w:pStyle w:val="64"/>
        <w:numPr>
          <w:ilvl w:val="0"/>
          <w:numId w:val="65"/>
        </w:numPr>
        <w:spacing w:before="468" w:beforeLines="150" w:line="360" w:lineRule="auto"/>
        <w:ind w:firstLineChars="0"/>
        <w:rPr>
          <w:rFonts w:hint="eastAsia" w:ascii="黑体" w:hAnsi="黑体" w:eastAsia="黑体"/>
          <w:b/>
          <w:bCs/>
          <w:sz w:val="22"/>
        </w:rPr>
      </w:pPr>
      <w:r>
        <w:rPr>
          <w:rFonts w:hint="eastAsia" w:ascii="黑体" w:hAnsi="黑体" w:eastAsia="黑体"/>
          <w:b/>
          <w:bCs/>
          <w:sz w:val="22"/>
        </w:rPr>
        <w:t>说明：</w:t>
      </w:r>
    </w:p>
    <w:p>
      <w:pPr>
        <w:spacing w:before="156" w:beforeLines="50" w:line="360" w:lineRule="auto"/>
        <w:ind w:firstLine="440" w:firstLineChars="200"/>
        <w:rPr>
          <w:rFonts w:hint="eastAsia" w:ascii="黑体" w:hAnsi="黑体" w:eastAsia="黑体"/>
          <w:b/>
          <w:bCs/>
          <w:sz w:val="22"/>
        </w:rPr>
      </w:pPr>
      <w:r>
        <w:rPr>
          <w:rFonts w:hint="eastAsia" w:ascii="黑体" w:hAnsi="黑体" w:eastAsia="黑体"/>
          <w:sz w:val="22"/>
        </w:rPr>
        <w:t>投标人必须严格按照《符合性审查表》的评审内容的要求如实提供证明材料并应加盖投标人公章，若投标人不满足《符合性审查表》中任何情形之一的，则其投标无效。</w:t>
      </w:r>
    </w:p>
    <w:p>
      <w:pPr>
        <w:pStyle w:val="64"/>
        <w:pageBreakBefore/>
        <w:numPr>
          <w:ilvl w:val="0"/>
          <w:numId w:val="64"/>
        </w:numPr>
        <w:spacing w:before="156" w:beforeLines="50" w:after="312" w:afterLines="100" w:line="360" w:lineRule="auto"/>
        <w:ind w:left="442" w:hanging="440" w:hangingChars="200"/>
        <w:outlineLvl w:val="1"/>
        <w:rPr>
          <w:rFonts w:hint="eastAsia" w:ascii="黑体" w:hAnsi="黑体" w:eastAsia="黑体"/>
          <w:b/>
          <w:bCs/>
          <w:sz w:val="22"/>
        </w:rPr>
      </w:pPr>
      <w:bookmarkStart w:id="105" w:name="_Toc3806"/>
      <w:bookmarkStart w:id="106" w:name="_Toc8943"/>
      <w:r>
        <w:rPr>
          <w:rFonts w:hint="eastAsia" w:ascii="黑体" w:hAnsi="黑体" w:eastAsia="黑体"/>
          <w:b/>
          <w:bCs/>
          <w:sz w:val="22"/>
        </w:rPr>
        <w:t>附表三  详细评审表（含商务、技术评审细则）</w:t>
      </w:r>
      <w:bookmarkEnd w:id="105"/>
      <w:bookmarkEnd w:id="106"/>
    </w:p>
    <w:tbl>
      <w:tblPr>
        <w:tblStyle w:val="37"/>
        <w:tblpPr w:leftFromText="180" w:rightFromText="180" w:vertAnchor="text" w:horzAnchor="page" w:tblpX="1310" w:tblpY="955"/>
        <w:tblOverlap w:val="never"/>
        <w:tblW w:w="959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43"/>
        <w:gridCol w:w="1090"/>
        <w:gridCol w:w="6784"/>
        <w:gridCol w:w="5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noWrap w:val="0"/>
            <w:vAlign w:val="top"/>
          </w:tcPr>
          <w:p>
            <w:pPr>
              <w:jc w:val="center"/>
              <w:rPr>
                <w:rFonts w:hint="eastAsia" w:ascii="宋体" w:hAnsi="宋体" w:cs="宋体"/>
                <w:b/>
                <w:bCs/>
                <w:szCs w:val="21"/>
              </w:rPr>
            </w:pPr>
            <w:r>
              <w:rPr>
                <w:rFonts w:hint="eastAsia" w:ascii="宋体" w:hAnsi="宋体" w:cs="宋体"/>
                <w:b/>
                <w:bCs/>
                <w:szCs w:val="21"/>
              </w:rPr>
              <w:t>评审因素</w:t>
            </w:r>
          </w:p>
        </w:tc>
        <w:tc>
          <w:tcPr>
            <w:tcW w:w="8450" w:type="dxa"/>
            <w:gridSpan w:val="3"/>
            <w:noWrap w:val="0"/>
            <w:vAlign w:val="top"/>
          </w:tcPr>
          <w:p>
            <w:pPr>
              <w:jc w:val="center"/>
              <w:rPr>
                <w:rFonts w:hint="eastAsia" w:ascii="宋体" w:hAnsi="宋体" w:cs="宋体"/>
                <w:b/>
                <w:bCs/>
                <w:szCs w:val="21"/>
              </w:rPr>
            </w:pPr>
            <w:r>
              <w:rPr>
                <w:rFonts w:hint="eastAsia" w:ascii="宋体" w:hAnsi="宋体" w:cs="宋体"/>
                <w:b/>
                <w:bCs/>
                <w:szCs w:val="21"/>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noWrap w:val="0"/>
            <w:vAlign w:val="center"/>
          </w:tcPr>
          <w:p>
            <w:pPr>
              <w:jc w:val="center"/>
              <w:rPr>
                <w:rFonts w:hint="eastAsia" w:ascii="宋体" w:hAnsi="宋体" w:cs="宋体"/>
                <w:szCs w:val="21"/>
              </w:rPr>
            </w:pPr>
            <w:r>
              <w:rPr>
                <w:rFonts w:hint="eastAsia" w:ascii="宋体" w:hAnsi="宋体" w:cs="宋体"/>
                <w:szCs w:val="21"/>
              </w:rPr>
              <w:t>分值构成</w:t>
            </w:r>
          </w:p>
        </w:tc>
        <w:tc>
          <w:tcPr>
            <w:tcW w:w="7874" w:type="dxa"/>
            <w:gridSpan w:val="2"/>
            <w:noWrap w:val="0"/>
            <w:vAlign w:val="center"/>
          </w:tcPr>
          <w:p>
            <w:pPr>
              <w:jc w:val="center"/>
              <w:rPr>
                <w:rFonts w:hint="eastAsia" w:ascii="宋体" w:hAnsi="宋体" w:cs="宋体"/>
                <w:szCs w:val="21"/>
              </w:rPr>
            </w:pPr>
            <w:r>
              <w:rPr>
                <w:rFonts w:hint="eastAsia" w:ascii="宋体" w:hAnsi="宋体" w:cs="宋体"/>
                <w:szCs w:val="21"/>
              </w:rPr>
              <w:t>技术部分50分    商务部分25分   报价部分</w:t>
            </w:r>
            <w:r>
              <w:rPr>
                <w:rFonts w:ascii="宋体" w:hAnsi="宋体" w:cs="宋体"/>
                <w:szCs w:val="21"/>
              </w:rPr>
              <w:t>2</w:t>
            </w:r>
            <w:r>
              <w:rPr>
                <w:rFonts w:hint="eastAsia" w:ascii="宋体" w:hAnsi="宋体" w:cs="宋体"/>
                <w:szCs w:val="21"/>
              </w:rPr>
              <w:t>5分</w:t>
            </w:r>
          </w:p>
        </w:tc>
        <w:tc>
          <w:tcPr>
            <w:tcW w:w="576" w:type="dxa"/>
            <w:tcBorders>
              <w:left w:val="single" w:color="auto" w:sz="4" w:space="0"/>
            </w:tcBorders>
            <w:noWrap w:val="0"/>
            <w:vAlign w:val="top"/>
          </w:tcPr>
          <w:p>
            <w:pPr>
              <w:rPr>
                <w:rFonts w:hint="eastAsia" w:ascii="宋体" w:hAnsi="宋体" w:cs="宋体"/>
                <w:szCs w:val="21"/>
              </w:rPr>
            </w:pPr>
            <w:r>
              <w:rPr>
                <w:rFonts w:hint="eastAsia" w:ascii="宋体" w:hAnsi="宋体" w:cs="宋体"/>
                <w:b/>
                <w:bCs/>
                <w:szCs w:val="21"/>
              </w:rPr>
              <w:t>分值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vMerge w:val="restart"/>
            <w:noWrap w:val="0"/>
            <w:vAlign w:val="center"/>
          </w:tcPr>
          <w:p>
            <w:pPr>
              <w:jc w:val="center"/>
              <w:rPr>
                <w:rFonts w:hint="eastAsia" w:ascii="宋体" w:hAnsi="宋体" w:cs="宋体"/>
                <w:szCs w:val="21"/>
              </w:rPr>
            </w:pPr>
            <w:r>
              <w:rPr>
                <w:rFonts w:hint="eastAsia" w:ascii="宋体" w:hAnsi="宋体" w:cs="宋体"/>
                <w:szCs w:val="21"/>
              </w:rPr>
              <w:t>技术部分</w:t>
            </w:r>
          </w:p>
        </w:tc>
        <w:tc>
          <w:tcPr>
            <w:tcW w:w="1090" w:type="dxa"/>
            <w:noWrap w:val="0"/>
            <w:vAlign w:val="center"/>
          </w:tcPr>
          <w:p>
            <w:pPr>
              <w:adjustRightInd w:val="0"/>
              <w:snapToGrid w:val="0"/>
              <w:jc w:val="center"/>
              <w:rPr>
                <w:rFonts w:hint="eastAsia" w:ascii="宋体" w:hAnsi="宋体" w:cs="宋体"/>
                <w:kern w:val="0"/>
                <w:szCs w:val="21"/>
              </w:rPr>
            </w:pPr>
            <w:r>
              <w:rPr>
                <w:rFonts w:hint="eastAsia" w:ascii="宋体" w:hAnsi="宋体" w:cs="宋体"/>
                <w:kern w:val="0"/>
                <w:szCs w:val="21"/>
              </w:rPr>
              <w:t>项目需求理解</w:t>
            </w:r>
          </w:p>
        </w:tc>
        <w:tc>
          <w:tcPr>
            <w:tcW w:w="6784" w:type="dxa"/>
            <w:noWrap w:val="0"/>
            <w:vAlign w:val="center"/>
          </w:tcPr>
          <w:p>
            <w:pPr>
              <w:pStyle w:val="3"/>
              <w:rPr>
                <w:rFonts w:hint="eastAsia" w:ascii="宋体" w:hAnsi="宋体" w:cs="宋体"/>
                <w:szCs w:val="21"/>
              </w:rPr>
            </w:pPr>
            <w:r>
              <w:rPr>
                <w:rFonts w:hint="eastAsia" w:ascii="宋体" w:hAnsi="宋体" w:cs="宋体"/>
                <w:szCs w:val="21"/>
              </w:rPr>
              <w:t>考察投标人对本项目采购需求的理解能力：能准确理解项目建设背景、目标、内容、核心需求、难点和风险点。</w:t>
            </w:r>
          </w:p>
          <w:p>
            <w:pPr>
              <w:pStyle w:val="3"/>
              <w:rPr>
                <w:rFonts w:hint="eastAsia" w:ascii="宋体" w:hAnsi="宋体" w:cs="宋体"/>
                <w:szCs w:val="21"/>
              </w:rPr>
            </w:pPr>
            <w:r>
              <w:rPr>
                <w:rFonts w:hint="eastAsia" w:ascii="宋体" w:hAnsi="宋体" w:cs="宋体"/>
                <w:szCs w:val="21"/>
              </w:rPr>
              <w:t>1、能够准确分析本项目重难点、风险点并提出合理应对方案的，得5分；</w:t>
            </w:r>
          </w:p>
          <w:p>
            <w:pPr>
              <w:pStyle w:val="3"/>
              <w:rPr>
                <w:rFonts w:hint="eastAsia" w:ascii="宋体" w:hAnsi="宋体" w:cs="宋体"/>
                <w:szCs w:val="21"/>
              </w:rPr>
            </w:pPr>
            <w:r>
              <w:rPr>
                <w:rFonts w:hint="eastAsia" w:ascii="宋体" w:hAnsi="宋体" w:cs="宋体"/>
                <w:szCs w:val="21"/>
              </w:rPr>
              <w:t>2、分析本项目重点难点较准确、提供应对方案合理性一般的，得3分；</w:t>
            </w:r>
          </w:p>
          <w:p>
            <w:pPr>
              <w:pStyle w:val="3"/>
              <w:rPr>
                <w:rFonts w:hint="eastAsia" w:ascii="宋体" w:hAnsi="宋体" w:cs="宋体"/>
                <w:szCs w:val="21"/>
              </w:rPr>
            </w:pPr>
            <w:r>
              <w:rPr>
                <w:rFonts w:hint="eastAsia" w:ascii="宋体" w:hAnsi="宋体" w:cs="宋体"/>
                <w:szCs w:val="21"/>
              </w:rPr>
              <w:t>3、未提供需求分析、项目重难点分析或需求理解不清晰、不准确的本项得0分。</w:t>
            </w:r>
          </w:p>
        </w:tc>
        <w:tc>
          <w:tcPr>
            <w:tcW w:w="576" w:type="dxa"/>
            <w:noWrap w:val="0"/>
            <w:vAlign w:val="center"/>
          </w:tcPr>
          <w:p>
            <w:pPr>
              <w:pStyle w:val="3"/>
              <w:jc w:val="center"/>
              <w:rPr>
                <w:rFonts w:hint="eastAsia" w:ascii="宋体" w:hAnsi="宋体" w:cs="宋体"/>
                <w:szCs w:val="21"/>
              </w:rPr>
            </w:pPr>
            <w:r>
              <w:rPr>
                <w:rFonts w:hint="eastAsia" w:ascii="宋体" w:hAnsi="宋体" w:cs="宋体"/>
                <w:szCs w:val="21"/>
              </w:rPr>
              <w:t>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 w:hRule="atLeast"/>
        </w:trPr>
        <w:tc>
          <w:tcPr>
            <w:tcW w:w="1143" w:type="dxa"/>
            <w:vMerge w:val="continue"/>
            <w:noWrap w:val="0"/>
            <w:vAlign w:val="center"/>
          </w:tcPr>
          <w:p>
            <w:pPr>
              <w:jc w:val="center"/>
              <w:rPr>
                <w:rFonts w:hint="eastAsia" w:ascii="宋体" w:hAnsi="宋体" w:cs="宋体"/>
                <w:szCs w:val="21"/>
              </w:rPr>
            </w:pPr>
          </w:p>
        </w:tc>
        <w:tc>
          <w:tcPr>
            <w:tcW w:w="1090" w:type="dxa"/>
            <w:noWrap w:val="0"/>
            <w:vAlign w:val="center"/>
          </w:tcPr>
          <w:p>
            <w:pPr>
              <w:adjustRightInd w:val="0"/>
              <w:snapToGrid w:val="0"/>
              <w:jc w:val="center"/>
              <w:rPr>
                <w:rFonts w:hint="eastAsia" w:ascii="宋体" w:hAnsi="宋体" w:cs="宋体"/>
                <w:kern w:val="0"/>
                <w:szCs w:val="21"/>
              </w:rPr>
            </w:pPr>
            <w:r>
              <w:rPr>
                <w:rFonts w:hint="eastAsia" w:ascii="宋体" w:hAnsi="宋体" w:cs="宋体"/>
                <w:kern w:val="0"/>
                <w:szCs w:val="21"/>
              </w:rPr>
              <w:t>总体技术方案设计</w:t>
            </w:r>
          </w:p>
        </w:tc>
        <w:tc>
          <w:tcPr>
            <w:tcW w:w="6784" w:type="dxa"/>
            <w:noWrap w:val="0"/>
            <w:vAlign w:val="center"/>
          </w:tcPr>
          <w:p>
            <w:pPr>
              <w:pStyle w:val="3"/>
              <w:rPr>
                <w:rFonts w:hint="eastAsia" w:ascii="宋体" w:hAnsi="宋体" w:cs="宋体"/>
                <w:szCs w:val="21"/>
              </w:rPr>
            </w:pPr>
            <w:r>
              <w:rPr>
                <w:rFonts w:hint="eastAsia" w:ascii="宋体" w:hAnsi="宋体" w:cs="宋体"/>
                <w:szCs w:val="21"/>
              </w:rPr>
              <w:t>考察根据项目需求的理解提出的总体技术方案，包括机房改造方案、网络架构设计方案、系统灾备方案、部署和迁移方案、实施进度安排等，要求方案设计合理，技术先进可行，项目实施进度安排合理紧凑。</w:t>
            </w:r>
          </w:p>
          <w:p>
            <w:pPr>
              <w:pStyle w:val="3"/>
              <w:rPr>
                <w:rFonts w:hint="eastAsia" w:ascii="宋体" w:hAnsi="宋体" w:cs="宋体"/>
                <w:szCs w:val="21"/>
              </w:rPr>
            </w:pPr>
            <w:r>
              <w:rPr>
                <w:rFonts w:hint="eastAsia" w:ascii="宋体" w:hAnsi="宋体" w:cs="宋体"/>
                <w:szCs w:val="21"/>
              </w:rPr>
              <w:t>1、方案详尽，架构清晰，合理可行，具备先进性的，项目计划明确，可执行性强，得15分；</w:t>
            </w:r>
          </w:p>
          <w:p>
            <w:pPr>
              <w:pStyle w:val="3"/>
              <w:rPr>
                <w:rFonts w:hint="eastAsia" w:ascii="宋体" w:hAnsi="宋体" w:cs="宋体"/>
                <w:szCs w:val="21"/>
              </w:rPr>
            </w:pPr>
            <w:r>
              <w:rPr>
                <w:rFonts w:hint="eastAsia" w:ascii="宋体" w:hAnsi="宋体" w:cs="宋体"/>
                <w:szCs w:val="21"/>
              </w:rPr>
              <w:t>2、方案架构较清晰，合理可行性一般的，先进性一般，项目计划基本合理，得10分；</w:t>
            </w:r>
          </w:p>
          <w:p>
            <w:pPr>
              <w:pStyle w:val="3"/>
              <w:rPr>
                <w:rFonts w:hint="eastAsia" w:ascii="宋体" w:hAnsi="宋体" w:cs="宋体"/>
                <w:szCs w:val="21"/>
              </w:rPr>
            </w:pPr>
            <w:r>
              <w:rPr>
                <w:rFonts w:hint="eastAsia" w:ascii="宋体" w:hAnsi="宋体" w:cs="宋体"/>
                <w:szCs w:val="21"/>
              </w:rPr>
              <w:t>3、方案不合理或无提供的，项目计划不明确、不合理，得0分。</w:t>
            </w:r>
          </w:p>
        </w:tc>
        <w:tc>
          <w:tcPr>
            <w:tcW w:w="576" w:type="dxa"/>
            <w:noWrap w:val="0"/>
            <w:vAlign w:val="center"/>
          </w:tcPr>
          <w:p>
            <w:pPr>
              <w:pStyle w:val="3"/>
              <w:jc w:val="center"/>
              <w:rPr>
                <w:rFonts w:hint="eastAsia" w:ascii="宋体" w:hAnsi="宋体" w:cs="宋体"/>
                <w:szCs w:val="21"/>
              </w:rPr>
            </w:pPr>
            <w:r>
              <w:rPr>
                <w:rFonts w:hint="eastAsia" w:ascii="宋体" w:hAnsi="宋体" w:cs="宋体"/>
                <w:szCs w:val="21"/>
              </w:rPr>
              <w:t>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rPr>
        <w:tc>
          <w:tcPr>
            <w:tcW w:w="1143" w:type="dxa"/>
            <w:vMerge w:val="continue"/>
            <w:noWrap w:val="0"/>
            <w:vAlign w:val="top"/>
          </w:tcPr>
          <w:p>
            <w:pPr>
              <w:rPr>
                <w:rFonts w:hint="eastAsia" w:ascii="宋体" w:hAnsi="宋体" w:cs="宋体"/>
                <w:szCs w:val="21"/>
              </w:rPr>
            </w:pPr>
          </w:p>
        </w:tc>
        <w:tc>
          <w:tcPr>
            <w:tcW w:w="1090" w:type="dxa"/>
            <w:noWrap w:val="0"/>
            <w:vAlign w:val="center"/>
          </w:tcPr>
          <w:p>
            <w:pPr>
              <w:adjustRightInd w:val="0"/>
              <w:snapToGrid w:val="0"/>
              <w:jc w:val="center"/>
              <w:rPr>
                <w:rFonts w:hint="eastAsia" w:ascii="宋体" w:hAnsi="宋体" w:cs="宋体"/>
                <w:kern w:val="0"/>
                <w:szCs w:val="21"/>
              </w:rPr>
            </w:pPr>
            <w:r>
              <w:rPr>
                <w:rFonts w:hint="eastAsia" w:ascii="宋体" w:hAnsi="宋体" w:cs="宋体"/>
                <w:kern w:val="0"/>
                <w:szCs w:val="21"/>
              </w:rPr>
              <w:t>重要技术条款响应情况</w:t>
            </w:r>
          </w:p>
        </w:tc>
        <w:tc>
          <w:tcPr>
            <w:tcW w:w="6784" w:type="dxa"/>
            <w:noWrap w:val="0"/>
            <w:vAlign w:val="center"/>
          </w:tcPr>
          <w:p>
            <w:pPr>
              <w:adjustRightInd w:val="0"/>
              <w:snapToGrid w:val="0"/>
              <w:rPr>
                <w:rFonts w:hint="eastAsia" w:ascii="宋体" w:hAnsi="宋体" w:cs="宋体"/>
                <w:szCs w:val="21"/>
              </w:rPr>
            </w:pPr>
            <w:r>
              <w:rPr>
                <w:rFonts w:hint="eastAsia" w:ascii="宋体" w:hAnsi="宋体" w:cs="宋体"/>
                <w:szCs w:val="21"/>
              </w:rPr>
              <w:t>对用户需求中要求的各项重要功能技术参数进行响应（带“▲”号为重要功能技术参数）。全部响应得满分20分，有一项不响应扣1分，若全部不响应，则本项0分。</w:t>
            </w:r>
          </w:p>
          <w:p>
            <w:pPr>
              <w:adjustRightInd w:val="0"/>
              <w:snapToGrid w:val="0"/>
              <w:rPr>
                <w:rFonts w:hint="eastAsia" w:ascii="宋体" w:hAnsi="宋体" w:cs="宋体"/>
                <w:kern w:val="0"/>
                <w:szCs w:val="21"/>
              </w:rPr>
            </w:pPr>
            <w:r>
              <w:rPr>
                <w:rFonts w:hint="eastAsia" w:ascii="宋体" w:hAnsi="宋体" w:cs="宋体"/>
                <w:szCs w:val="21"/>
              </w:rPr>
              <w:t>注：（1）用户需求中有明确要求提供的证明资料，以用户需求中要求的为准，（2）用户需求中无明确证明材料的，以投标人在投标文件提供的系统界面截图等相关响应佐证材料为准。无提供或未按要求提供证明材料的属于不响应。</w:t>
            </w:r>
          </w:p>
        </w:tc>
        <w:tc>
          <w:tcPr>
            <w:tcW w:w="576" w:type="dxa"/>
            <w:noWrap w:val="0"/>
            <w:vAlign w:val="center"/>
          </w:tcPr>
          <w:p>
            <w:pPr>
              <w:adjustRightInd w:val="0"/>
              <w:snapToGrid w:val="0"/>
              <w:jc w:val="center"/>
              <w:rPr>
                <w:rFonts w:hint="eastAsia" w:ascii="宋体" w:hAnsi="宋体" w:cs="宋体"/>
                <w:kern w:val="0"/>
                <w:szCs w:val="21"/>
              </w:rPr>
            </w:pPr>
            <w:r>
              <w:rPr>
                <w:rFonts w:hint="eastAsia" w:ascii="宋体" w:hAnsi="宋体" w:cs="宋体"/>
                <w:kern w:val="0"/>
                <w:szCs w:val="21"/>
              </w:rPr>
              <w:t>20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rPr>
        <w:tc>
          <w:tcPr>
            <w:tcW w:w="1143" w:type="dxa"/>
            <w:vMerge w:val="continue"/>
            <w:noWrap w:val="0"/>
            <w:vAlign w:val="top"/>
          </w:tcPr>
          <w:p>
            <w:pPr>
              <w:rPr>
                <w:rFonts w:hint="eastAsia" w:ascii="宋体" w:hAnsi="宋体" w:cs="宋体"/>
                <w:szCs w:val="21"/>
              </w:rPr>
            </w:pPr>
          </w:p>
        </w:tc>
        <w:tc>
          <w:tcPr>
            <w:tcW w:w="1090" w:type="dxa"/>
            <w:noWrap w:val="0"/>
            <w:vAlign w:val="center"/>
          </w:tcPr>
          <w:p>
            <w:pPr>
              <w:jc w:val="center"/>
              <w:rPr>
                <w:rFonts w:hint="eastAsia" w:ascii="宋体" w:hAnsi="宋体" w:cs="宋体"/>
                <w:szCs w:val="21"/>
              </w:rPr>
            </w:pPr>
            <w:r>
              <w:rPr>
                <w:rFonts w:hint="eastAsia" w:ascii="宋体" w:hAnsi="宋体" w:cs="宋体"/>
                <w:szCs w:val="21"/>
              </w:rPr>
              <w:t>一般性功能技术参数响应程度</w:t>
            </w:r>
          </w:p>
        </w:tc>
        <w:tc>
          <w:tcPr>
            <w:tcW w:w="6784" w:type="dxa"/>
            <w:noWrap w:val="0"/>
            <w:vAlign w:val="top"/>
          </w:tcPr>
          <w:p>
            <w:pPr>
              <w:jc w:val="left"/>
              <w:rPr>
                <w:rFonts w:hint="eastAsia" w:ascii="宋体" w:hAnsi="宋体" w:cs="宋体"/>
                <w:szCs w:val="21"/>
              </w:rPr>
            </w:pPr>
            <w:r>
              <w:rPr>
                <w:rFonts w:hint="eastAsia" w:ascii="宋体" w:hAnsi="宋体" w:cs="宋体"/>
                <w:szCs w:val="21"/>
              </w:rPr>
              <w:t xml:space="preserve">对用户需求中的非“▲”条款、非“★”条款要求的各项一般性功能技术参数的响应情况，全部响应得满分10分，有一项不响应扣0.5分，最低得0分。 </w:t>
            </w:r>
          </w:p>
          <w:p>
            <w:pPr>
              <w:jc w:val="left"/>
              <w:rPr>
                <w:rFonts w:hint="eastAsia" w:ascii="宋体" w:hAnsi="宋体" w:cs="宋体"/>
                <w:szCs w:val="21"/>
              </w:rPr>
            </w:pPr>
            <w:r>
              <w:rPr>
                <w:rFonts w:hint="eastAsia" w:ascii="宋体" w:hAnsi="宋体" w:cs="宋体"/>
                <w:szCs w:val="21"/>
              </w:rPr>
              <w:t>注：（1）用户需求中有明确要求提供的证明资料，以用户需求中要求的为准，（2）用户需求中无明确证明材料的，以投标人在投标文件提供的系统界面截图等相关响应佐证材料为准。无提供或未按要求提供证明材料的属于不响应。</w:t>
            </w:r>
          </w:p>
        </w:tc>
        <w:tc>
          <w:tcPr>
            <w:tcW w:w="576" w:type="dxa"/>
            <w:noWrap w:val="0"/>
            <w:vAlign w:val="center"/>
          </w:tcPr>
          <w:p>
            <w:pPr>
              <w:jc w:val="center"/>
              <w:rPr>
                <w:rFonts w:hint="eastAsia" w:ascii="宋体" w:hAnsi="宋体" w:cs="宋体"/>
                <w:kern w:val="0"/>
                <w:szCs w:val="21"/>
              </w:rPr>
            </w:pPr>
            <w:r>
              <w:rPr>
                <w:rFonts w:hint="eastAsia" w:ascii="宋体" w:hAnsi="宋体" w:cs="宋体"/>
                <w:kern w:val="0"/>
                <w:szCs w:val="21"/>
              </w:rPr>
              <w:t>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vMerge w:val="restart"/>
            <w:noWrap w:val="0"/>
            <w:vAlign w:val="center"/>
          </w:tcPr>
          <w:p>
            <w:pPr>
              <w:jc w:val="center"/>
              <w:rPr>
                <w:rFonts w:hint="eastAsia" w:ascii="宋体" w:hAnsi="宋体" w:cs="宋体"/>
                <w:szCs w:val="21"/>
              </w:rPr>
            </w:pPr>
            <w:r>
              <w:rPr>
                <w:rFonts w:hint="eastAsia" w:ascii="宋体" w:hAnsi="宋体" w:cs="宋体"/>
                <w:szCs w:val="21"/>
              </w:rPr>
              <w:t>商务部分</w:t>
            </w:r>
          </w:p>
        </w:tc>
        <w:tc>
          <w:tcPr>
            <w:tcW w:w="1090" w:type="dxa"/>
            <w:noWrap w:val="0"/>
            <w:vAlign w:val="center"/>
          </w:tcPr>
          <w:p>
            <w:pPr>
              <w:widowControl/>
              <w:jc w:val="center"/>
              <w:rPr>
                <w:rFonts w:hint="eastAsia" w:ascii="宋体" w:hAnsi="宋体" w:cs="宋体"/>
                <w:szCs w:val="21"/>
              </w:rPr>
            </w:pPr>
            <w:r>
              <w:rPr>
                <w:rFonts w:hint="eastAsia" w:ascii="宋体" w:hAnsi="宋体" w:cs="宋体"/>
                <w:szCs w:val="21"/>
              </w:rPr>
              <w:t>投标人实力</w:t>
            </w:r>
          </w:p>
        </w:tc>
        <w:tc>
          <w:tcPr>
            <w:tcW w:w="6784" w:type="dxa"/>
            <w:noWrap w:val="0"/>
            <w:vAlign w:val="top"/>
          </w:tcPr>
          <w:p>
            <w:pPr>
              <w:pStyle w:val="3"/>
              <w:numPr>
                <w:ilvl w:val="0"/>
                <w:numId w:val="66"/>
              </w:numPr>
              <w:rPr>
                <w:rFonts w:hint="eastAsia" w:ascii="宋体" w:hAnsi="宋体" w:cs="宋体"/>
                <w:szCs w:val="21"/>
              </w:rPr>
            </w:pPr>
            <w:r>
              <w:rPr>
                <w:rFonts w:hint="eastAsia" w:ascii="宋体" w:hAnsi="宋体" w:cs="宋体"/>
                <w:szCs w:val="21"/>
              </w:rPr>
              <w:t>具备有效期内质量管理体系认证证书（ISO9001），得2分；</w:t>
            </w:r>
          </w:p>
          <w:p>
            <w:pPr>
              <w:pStyle w:val="3"/>
              <w:numPr>
                <w:ilvl w:val="0"/>
                <w:numId w:val="66"/>
              </w:numPr>
              <w:rPr>
                <w:rFonts w:hint="eastAsia" w:ascii="宋体" w:hAnsi="宋体" w:cs="宋体"/>
                <w:szCs w:val="21"/>
              </w:rPr>
            </w:pPr>
            <w:r>
              <w:rPr>
                <w:rFonts w:hint="eastAsia" w:ascii="宋体" w:hAnsi="宋体" w:cs="宋体"/>
                <w:szCs w:val="21"/>
              </w:rPr>
              <w:t>具备有效期内环境管理体系认证证书（ISO14001），得2分；</w:t>
            </w:r>
          </w:p>
          <w:p>
            <w:pPr>
              <w:pStyle w:val="3"/>
              <w:rPr>
                <w:rFonts w:hint="eastAsia" w:ascii="宋体" w:hAnsi="宋体" w:cs="宋体"/>
                <w:szCs w:val="21"/>
              </w:rPr>
            </w:pPr>
            <w:r>
              <w:rPr>
                <w:rFonts w:hint="eastAsia" w:ascii="宋体" w:hAnsi="宋体" w:cs="宋体"/>
                <w:szCs w:val="21"/>
              </w:rPr>
              <w:t>注：需提供上述相关证书的复印件或扫描件并加盖响应供应商公章。ISO体系认证证书除了提供证书复印件外还须同时提供在全国认证认可信息公共服务平台（www.cnca.cn）对体系证书的信息查询截图作为评审依据，已失效或撤销的不得分。</w:t>
            </w:r>
          </w:p>
        </w:tc>
        <w:tc>
          <w:tcPr>
            <w:tcW w:w="576" w:type="dxa"/>
            <w:noWrap w:val="0"/>
            <w:vAlign w:val="center"/>
          </w:tcPr>
          <w:p>
            <w:pPr>
              <w:jc w:val="center"/>
              <w:rPr>
                <w:rFonts w:hint="eastAsia" w:ascii="宋体" w:hAnsi="宋体" w:cs="宋体"/>
                <w:szCs w:val="21"/>
              </w:rPr>
            </w:pPr>
            <w:r>
              <w:rPr>
                <w:rFonts w:hint="eastAsia" w:ascii="宋体" w:hAnsi="宋体" w:cs="宋体"/>
                <w:szCs w:val="21"/>
              </w:rPr>
              <w:t>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vMerge w:val="continue"/>
            <w:noWrap w:val="0"/>
            <w:vAlign w:val="center"/>
          </w:tcPr>
          <w:p>
            <w:pPr>
              <w:jc w:val="center"/>
              <w:rPr>
                <w:rFonts w:hint="eastAsia" w:ascii="宋体" w:hAnsi="宋体" w:cs="宋体"/>
                <w:szCs w:val="21"/>
              </w:rPr>
            </w:pPr>
          </w:p>
        </w:tc>
        <w:tc>
          <w:tcPr>
            <w:tcW w:w="1090" w:type="dxa"/>
            <w:noWrap w:val="0"/>
            <w:vAlign w:val="center"/>
          </w:tcPr>
          <w:p>
            <w:pPr>
              <w:widowControl/>
              <w:jc w:val="center"/>
              <w:rPr>
                <w:rFonts w:hint="eastAsia" w:ascii="宋体" w:hAnsi="宋体" w:cs="宋体"/>
                <w:szCs w:val="21"/>
              </w:rPr>
            </w:pPr>
            <w:r>
              <w:rPr>
                <w:rFonts w:hint="eastAsia" w:ascii="宋体" w:hAnsi="宋体" w:cs="宋体"/>
                <w:szCs w:val="21"/>
              </w:rPr>
              <w:t>项目业绩</w:t>
            </w:r>
          </w:p>
        </w:tc>
        <w:tc>
          <w:tcPr>
            <w:tcW w:w="6784" w:type="dxa"/>
            <w:noWrap w:val="0"/>
            <w:vAlign w:val="top"/>
          </w:tcPr>
          <w:p>
            <w:pPr>
              <w:jc w:val="left"/>
              <w:rPr>
                <w:rFonts w:hint="eastAsia" w:ascii="宋体" w:hAnsi="宋体" w:cs="宋体"/>
                <w:szCs w:val="21"/>
              </w:rPr>
            </w:pPr>
            <w:r>
              <w:rPr>
                <w:rFonts w:hint="eastAsia" w:ascii="宋体" w:hAnsi="宋体" w:cs="宋体"/>
                <w:szCs w:val="21"/>
              </w:rPr>
              <w:t xml:space="preserve">投标人自2021年1月1日以来完成的同类基础设施集成项目经验，每提供一个得1分，最高5分。 </w:t>
            </w:r>
          </w:p>
          <w:p>
            <w:pPr>
              <w:jc w:val="left"/>
              <w:rPr>
                <w:rFonts w:hint="eastAsia" w:ascii="宋体" w:hAnsi="宋体" w:cs="宋体"/>
                <w:szCs w:val="21"/>
              </w:rPr>
            </w:pPr>
            <w:r>
              <w:rPr>
                <w:rFonts w:hint="eastAsia" w:ascii="宋体" w:hAnsi="宋体" w:cs="宋体"/>
                <w:szCs w:val="21"/>
              </w:rPr>
              <w:t>注：需提供合同（合同内容页、金额页、签字盖章页）或验收报告等有效的证明材料复印件并加盖响应供应商公章为依据，未提供不得分。</w:t>
            </w:r>
          </w:p>
        </w:tc>
        <w:tc>
          <w:tcPr>
            <w:tcW w:w="576" w:type="dxa"/>
            <w:noWrap w:val="0"/>
            <w:vAlign w:val="center"/>
          </w:tcPr>
          <w:p>
            <w:pPr>
              <w:jc w:val="center"/>
              <w:rPr>
                <w:rFonts w:hint="eastAsia" w:ascii="宋体" w:hAnsi="宋体" w:cs="宋体"/>
                <w:szCs w:val="21"/>
              </w:rPr>
            </w:pPr>
            <w:r>
              <w:rPr>
                <w:rFonts w:hint="eastAsia" w:ascii="宋体" w:hAnsi="宋体" w:cs="宋体"/>
                <w:szCs w:val="21"/>
              </w:rPr>
              <w:t>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vMerge w:val="continue"/>
            <w:noWrap w:val="0"/>
            <w:vAlign w:val="center"/>
          </w:tcPr>
          <w:p>
            <w:pPr>
              <w:jc w:val="center"/>
              <w:rPr>
                <w:rFonts w:hint="eastAsia" w:ascii="宋体" w:hAnsi="宋体" w:cs="宋体"/>
                <w:szCs w:val="21"/>
              </w:rPr>
            </w:pPr>
          </w:p>
        </w:tc>
        <w:tc>
          <w:tcPr>
            <w:tcW w:w="1090" w:type="dxa"/>
            <w:noWrap w:val="0"/>
            <w:vAlign w:val="center"/>
          </w:tcPr>
          <w:p>
            <w:pPr>
              <w:widowControl/>
              <w:jc w:val="center"/>
              <w:rPr>
                <w:rFonts w:hint="eastAsia" w:ascii="宋体" w:hAnsi="宋体" w:cs="宋体"/>
                <w:szCs w:val="21"/>
              </w:rPr>
            </w:pPr>
            <w:r>
              <w:rPr>
                <w:rFonts w:hint="eastAsia" w:ascii="宋体" w:hAnsi="宋体" w:cs="宋体"/>
                <w:szCs w:val="21"/>
              </w:rPr>
              <w:t>项目经理资质情况</w:t>
            </w:r>
          </w:p>
        </w:tc>
        <w:tc>
          <w:tcPr>
            <w:tcW w:w="6784" w:type="dxa"/>
            <w:noWrap w:val="0"/>
            <w:vAlign w:val="top"/>
          </w:tcPr>
          <w:p>
            <w:pPr>
              <w:jc w:val="left"/>
              <w:rPr>
                <w:rFonts w:hint="eastAsia" w:ascii="宋体" w:hAnsi="宋体" w:cs="宋体"/>
                <w:szCs w:val="21"/>
              </w:rPr>
            </w:pPr>
            <w:r>
              <w:rPr>
                <w:rFonts w:hint="eastAsia" w:ascii="宋体" w:hAnsi="宋体" w:cs="宋体"/>
                <w:szCs w:val="21"/>
              </w:rPr>
              <w:t>需派项目经理1人（分公司人员有效）：</w:t>
            </w:r>
          </w:p>
          <w:p>
            <w:pPr>
              <w:numPr>
                <w:ilvl w:val="0"/>
                <w:numId w:val="67"/>
              </w:numPr>
              <w:jc w:val="left"/>
              <w:rPr>
                <w:rFonts w:hint="eastAsia" w:ascii="宋体" w:hAnsi="宋体" w:cs="宋体"/>
                <w:szCs w:val="21"/>
              </w:rPr>
            </w:pPr>
            <w:r>
              <w:rPr>
                <w:rFonts w:hint="eastAsia" w:ascii="宋体" w:hAnsi="宋体" w:cs="宋体"/>
                <w:szCs w:val="21"/>
              </w:rPr>
              <w:t>具有5年或以上工作经验的得1分；</w:t>
            </w:r>
          </w:p>
          <w:p>
            <w:pPr>
              <w:numPr>
                <w:ilvl w:val="0"/>
                <w:numId w:val="67"/>
              </w:numPr>
              <w:jc w:val="left"/>
              <w:rPr>
                <w:rFonts w:hint="eastAsia" w:ascii="宋体" w:hAnsi="宋体" w:cs="宋体"/>
                <w:szCs w:val="21"/>
              </w:rPr>
            </w:pPr>
            <w:r>
              <w:rPr>
                <w:rFonts w:hint="eastAsia" w:ascii="宋体" w:hAnsi="宋体" w:cs="宋体"/>
                <w:szCs w:val="21"/>
              </w:rPr>
              <w:t>具有计算机技术与软件专业技术资格的信息系统项目管理师证书或PMP项目管理资质证书的得2分，本项最多得2分；</w:t>
            </w:r>
          </w:p>
          <w:p>
            <w:pPr>
              <w:numPr>
                <w:ilvl w:val="0"/>
                <w:numId w:val="67"/>
              </w:numPr>
              <w:jc w:val="left"/>
              <w:rPr>
                <w:rFonts w:hint="eastAsia" w:ascii="宋体" w:hAnsi="宋体" w:cs="宋体"/>
                <w:szCs w:val="21"/>
              </w:rPr>
            </w:pPr>
            <w:r>
              <w:rPr>
                <w:rFonts w:hint="eastAsia" w:ascii="宋体" w:hAnsi="宋体" w:cs="宋体"/>
                <w:szCs w:val="21"/>
              </w:rPr>
              <w:t>具有计算机技术与软件专业技术资格的其他高级证书的，每具备一个证书得1分，本项最多得3分。</w:t>
            </w:r>
          </w:p>
          <w:p>
            <w:pPr>
              <w:jc w:val="left"/>
              <w:rPr>
                <w:rFonts w:hint="eastAsia" w:ascii="宋体" w:hAnsi="宋体" w:cs="宋体"/>
                <w:szCs w:val="21"/>
              </w:rPr>
            </w:pPr>
            <w:r>
              <w:rPr>
                <w:rFonts w:hint="eastAsia" w:ascii="宋体" w:hAnsi="宋体" w:cs="宋体"/>
                <w:szCs w:val="21"/>
              </w:rPr>
              <w:t>同一个证书只计一次得分。</w:t>
            </w:r>
          </w:p>
          <w:p>
            <w:pPr>
              <w:jc w:val="left"/>
              <w:rPr>
                <w:rFonts w:hint="eastAsia" w:ascii="宋体" w:hAnsi="宋体" w:cs="宋体"/>
                <w:szCs w:val="21"/>
              </w:rPr>
            </w:pPr>
            <w:r>
              <w:rPr>
                <w:rFonts w:hint="eastAsia" w:ascii="宋体" w:hAnsi="宋体" w:cs="宋体"/>
                <w:szCs w:val="21"/>
              </w:rPr>
              <w:t>注：投标人投标时须同时提供以下证明材料：（1）身份证、有效期内的证书复印件并加盖投标人公章；（2）</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w:t>
            </w:r>
            <w:r>
              <w:rPr>
                <w:rFonts w:hint="eastAsia" w:ascii="宋体" w:hAnsi="宋体" w:cs="宋体"/>
                <w:kern w:val="0"/>
                <w:szCs w:val="21"/>
                <w:lang w:bidi="ar"/>
              </w:rPr>
              <w:t>的</w:t>
            </w:r>
            <w:r>
              <w:rPr>
                <w:rFonts w:hint="eastAsia" w:ascii="宋体" w:hAnsi="宋体" w:cs="宋体"/>
                <w:kern w:val="0"/>
                <w:szCs w:val="21"/>
                <w:lang w:val="zh-CN" w:bidi="ar"/>
              </w:rPr>
              <w:t>社保证明</w:t>
            </w:r>
            <w:r>
              <w:rPr>
                <w:rFonts w:hint="eastAsia" w:ascii="宋体" w:hAnsi="宋体" w:cs="宋体"/>
                <w:szCs w:val="21"/>
              </w:rPr>
              <w:t>。</w:t>
            </w:r>
          </w:p>
        </w:tc>
        <w:tc>
          <w:tcPr>
            <w:tcW w:w="576" w:type="dxa"/>
            <w:noWrap w:val="0"/>
            <w:vAlign w:val="center"/>
          </w:tcPr>
          <w:p>
            <w:pPr>
              <w:jc w:val="center"/>
              <w:rPr>
                <w:rFonts w:hint="eastAsia" w:ascii="宋体" w:hAnsi="宋体" w:cs="宋体"/>
                <w:szCs w:val="21"/>
              </w:rPr>
            </w:pPr>
            <w:r>
              <w:rPr>
                <w:rFonts w:hint="eastAsia" w:ascii="宋体" w:hAnsi="宋体" w:cs="宋体"/>
                <w:szCs w:val="21"/>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vMerge w:val="continue"/>
            <w:noWrap w:val="0"/>
            <w:vAlign w:val="center"/>
          </w:tcPr>
          <w:p>
            <w:pPr>
              <w:jc w:val="center"/>
              <w:rPr>
                <w:rFonts w:hint="eastAsia" w:ascii="宋体" w:hAnsi="宋体" w:cs="宋体"/>
                <w:szCs w:val="21"/>
              </w:rPr>
            </w:pPr>
          </w:p>
        </w:tc>
        <w:tc>
          <w:tcPr>
            <w:tcW w:w="1090" w:type="dxa"/>
            <w:noWrap w:val="0"/>
            <w:vAlign w:val="center"/>
          </w:tcPr>
          <w:p>
            <w:pPr>
              <w:jc w:val="center"/>
              <w:rPr>
                <w:rFonts w:hint="eastAsia" w:ascii="宋体" w:hAnsi="宋体" w:cs="宋体"/>
                <w:szCs w:val="21"/>
              </w:rPr>
            </w:pPr>
            <w:r>
              <w:rPr>
                <w:rFonts w:hint="eastAsia" w:ascii="宋体" w:hAnsi="宋体" w:cs="宋体"/>
                <w:szCs w:val="21"/>
              </w:rPr>
              <w:t>团队人员配置（不含项目经理）</w:t>
            </w:r>
          </w:p>
        </w:tc>
        <w:tc>
          <w:tcPr>
            <w:tcW w:w="6784" w:type="dxa"/>
            <w:noWrap w:val="0"/>
            <w:vAlign w:val="top"/>
          </w:tcPr>
          <w:p>
            <w:pPr>
              <w:jc w:val="left"/>
              <w:rPr>
                <w:rFonts w:hint="eastAsia" w:ascii="宋体" w:hAnsi="宋体" w:cs="宋体"/>
                <w:szCs w:val="21"/>
              </w:rPr>
            </w:pPr>
            <w:r>
              <w:rPr>
                <w:rFonts w:hint="eastAsia" w:ascii="宋体" w:hAnsi="宋体" w:cs="宋体"/>
                <w:szCs w:val="21"/>
              </w:rPr>
              <w:t>根据各投标人在本项目技术人员的配备进行评审：</w:t>
            </w:r>
          </w:p>
          <w:p>
            <w:pPr>
              <w:jc w:val="left"/>
              <w:rPr>
                <w:rFonts w:hint="eastAsia" w:ascii="宋体" w:hAnsi="宋体" w:cs="宋体"/>
                <w:szCs w:val="21"/>
              </w:rPr>
            </w:pPr>
            <w:r>
              <w:rPr>
                <w:rFonts w:hint="eastAsia" w:ascii="宋体" w:hAnsi="宋体" w:cs="宋体"/>
                <w:szCs w:val="21"/>
              </w:rPr>
              <w:t>1、拟指派本项目团队人员中具有高级数据库管理工程师证书，得2分；</w:t>
            </w:r>
          </w:p>
          <w:p>
            <w:pPr>
              <w:jc w:val="left"/>
              <w:rPr>
                <w:rFonts w:hint="eastAsia" w:ascii="宋体" w:hAnsi="宋体" w:cs="宋体"/>
                <w:szCs w:val="21"/>
              </w:rPr>
            </w:pPr>
            <w:r>
              <w:rPr>
                <w:rFonts w:hint="eastAsia" w:ascii="宋体" w:hAnsi="宋体" w:cs="宋体"/>
                <w:szCs w:val="21"/>
              </w:rPr>
              <w:t>2、拟指派本项目团队人员中具有云计算或虚拟化认证证书，得2分；</w:t>
            </w:r>
          </w:p>
          <w:p>
            <w:pPr>
              <w:jc w:val="left"/>
              <w:rPr>
                <w:rFonts w:hint="eastAsia" w:ascii="宋体" w:hAnsi="宋体" w:cs="宋体"/>
                <w:szCs w:val="21"/>
                <w:highlight w:val="yellow"/>
              </w:rPr>
            </w:pPr>
            <w:r>
              <w:rPr>
                <w:rFonts w:hint="eastAsia" w:ascii="宋体" w:hAnsi="宋体" w:cs="宋体"/>
                <w:szCs w:val="21"/>
              </w:rPr>
              <w:t>3、拟指派本项目团队人员中具有计算机技术及软件专业资格网络工程师或网络规划设计师证书，每一个证书得1分，本项最多得2分；</w:t>
            </w:r>
          </w:p>
          <w:p>
            <w:pPr>
              <w:jc w:val="left"/>
              <w:rPr>
                <w:rFonts w:hint="eastAsia" w:ascii="宋体" w:hAnsi="宋体" w:cs="宋体"/>
                <w:szCs w:val="21"/>
              </w:rPr>
            </w:pPr>
            <w:r>
              <w:rPr>
                <w:rFonts w:hint="eastAsia" w:ascii="宋体" w:hAnsi="宋体" w:cs="宋体"/>
                <w:szCs w:val="21"/>
              </w:rPr>
              <w:t>4、拟指派本项目团队人员中具有计算机技术及软件专业资格信息安全工程师证书或注册信息安全专业人员（CISP）或信息安全保障人员认证（CISAW），得2分；</w:t>
            </w:r>
          </w:p>
          <w:p>
            <w:pPr>
              <w:jc w:val="left"/>
              <w:rPr>
                <w:rFonts w:hint="eastAsia" w:ascii="宋体" w:hAnsi="宋体" w:cs="宋体"/>
                <w:szCs w:val="21"/>
              </w:rPr>
            </w:pPr>
            <w:r>
              <w:rPr>
                <w:rFonts w:hint="eastAsia" w:ascii="宋体" w:hAnsi="宋体" w:cs="宋体"/>
                <w:szCs w:val="21"/>
              </w:rPr>
              <w:t>5、拟指派本项目团队人员中具有计算机技术及软件专业资格系统架构设计师证书，得</w:t>
            </w:r>
            <w:r>
              <w:rPr>
                <w:rFonts w:ascii="宋体" w:hAnsi="宋体" w:cs="宋体"/>
                <w:szCs w:val="21"/>
              </w:rPr>
              <w:t>1</w:t>
            </w:r>
            <w:r>
              <w:rPr>
                <w:rFonts w:hint="eastAsia" w:ascii="宋体" w:hAnsi="宋体" w:cs="宋体"/>
                <w:szCs w:val="21"/>
              </w:rPr>
              <w:t>分；</w:t>
            </w:r>
          </w:p>
          <w:p>
            <w:pPr>
              <w:jc w:val="left"/>
              <w:rPr>
                <w:rFonts w:hint="eastAsia" w:ascii="宋体" w:hAnsi="宋体" w:cs="宋体"/>
                <w:szCs w:val="21"/>
              </w:rPr>
            </w:pPr>
            <w:r>
              <w:rPr>
                <w:rFonts w:hint="eastAsia" w:ascii="宋体" w:hAnsi="宋体" w:cs="宋体"/>
                <w:szCs w:val="21"/>
              </w:rPr>
              <w:t>6、拟指派本项目团队人员中具有计算机技术及软件专业资格系统规划与管理师或信息系统项目管理师证书，得</w:t>
            </w:r>
            <w:r>
              <w:rPr>
                <w:rFonts w:ascii="宋体" w:hAnsi="宋体" w:cs="宋体"/>
                <w:szCs w:val="21"/>
              </w:rPr>
              <w:t>1</w:t>
            </w:r>
            <w:r>
              <w:rPr>
                <w:rFonts w:hint="eastAsia" w:ascii="宋体" w:hAnsi="宋体" w:cs="宋体"/>
                <w:szCs w:val="21"/>
              </w:rPr>
              <w:t>分。</w:t>
            </w:r>
          </w:p>
          <w:p>
            <w:pPr>
              <w:jc w:val="left"/>
              <w:rPr>
                <w:rFonts w:hint="eastAsia" w:ascii="宋体" w:hAnsi="宋体" w:cs="宋体"/>
                <w:szCs w:val="21"/>
              </w:rPr>
            </w:pPr>
            <w:r>
              <w:rPr>
                <w:rFonts w:hint="eastAsia" w:ascii="宋体" w:hAnsi="宋体" w:cs="宋体"/>
                <w:szCs w:val="21"/>
              </w:rPr>
              <w:t>一人有多证，可重复计算。</w:t>
            </w:r>
          </w:p>
          <w:p>
            <w:pPr>
              <w:jc w:val="left"/>
              <w:rPr>
                <w:rFonts w:hint="eastAsia" w:ascii="宋体" w:hAnsi="宋体" w:cs="宋体"/>
                <w:szCs w:val="21"/>
              </w:rPr>
            </w:pPr>
            <w:r>
              <w:rPr>
                <w:rFonts w:hint="eastAsia" w:ascii="宋体" w:hAnsi="宋体" w:cs="宋体"/>
                <w:szCs w:val="21"/>
              </w:rPr>
              <w:t>注：投标人投标时须同时提供以下证明材料：（1）上述人员身份证、有效期内的证书复印件并加盖投标人公章；（2）</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w:t>
            </w:r>
            <w:r>
              <w:rPr>
                <w:rFonts w:hint="eastAsia" w:ascii="宋体" w:hAnsi="宋体" w:cs="宋体"/>
                <w:kern w:val="0"/>
                <w:szCs w:val="21"/>
                <w:lang w:bidi="ar"/>
              </w:rPr>
              <w:t>的</w:t>
            </w:r>
            <w:r>
              <w:rPr>
                <w:rFonts w:hint="eastAsia" w:ascii="宋体" w:hAnsi="宋体" w:cs="宋体"/>
                <w:kern w:val="0"/>
                <w:szCs w:val="21"/>
                <w:lang w:val="zh-CN" w:bidi="ar"/>
              </w:rPr>
              <w:t>社保证明</w:t>
            </w:r>
            <w:r>
              <w:rPr>
                <w:rFonts w:hint="eastAsia" w:ascii="宋体" w:hAnsi="宋体" w:cs="宋体"/>
                <w:szCs w:val="21"/>
              </w:rPr>
              <w:t>。</w:t>
            </w:r>
          </w:p>
        </w:tc>
        <w:tc>
          <w:tcPr>
            <w:tcW w:w="576" w:type="dxa"/>
            <w:noWrap w:val="0"/>
            <w:vAlign w:val="center"/>
          </w:tcPr>
          <w:p>
            <w:pPr>
              <w:jc w:val="center"/>
              <w:rPr>
                <w:rFonts w:hint="eastAsia" w:ascii="宋体" w:hAnsi="宋体" w:cs="宋体"/>
                <w:szCs w:val="21"/>
              </w:rPr>
            </w:pPr>
            <w:r>
              <w:rPr>
                <w:rFonts w:hint="eastAsia" w:ascii="宋体" w:hAnsi="宋体" w:cs="宋体"/>
                <w:szCs w:val="21"/>
              </w:rPr>
              <w:t>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43" w:type="dxa"/>
            <w:tcBorders>
              <w:top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报价部分</w:t>
            </w:r>
          </w:p>
        </w:tc>
        <w:tc>
          <w:tcPr>
            <w:tcW w:w="1090" w:type="dxa"/>
            <w:noWrap w:val="0"/>
            <w:vAlign w:val="center"/>
          </w:tcPr>
          <w:p>
            <w:pPr>
              <w:jc w:val="center"/>
              <w:rPr>
                <w:rFonts w:hint="eastAsia" w:ascii="宋体" w:hAnsi="宋体" w:cs="宋体"/>
                <w:szCs w:val="21"/>
              </w:rPr>
            </w:pPr>
            <w:r>
              <w:rPr>
                <w:rFonts w:hint="eastAsia" w:ascii="宋体" w:hAnsi="宋体" w:cs="宋体"/>
                <w:szCs w:val="21"/>
              </w:rPr>
              <w:t>投标报价</w:t>
            </w:r>
          </w:p>
        </w:tc>
        <w:tc>
          <w:tcPr>
            <w:tcW w:w="6784" w:type="dxa"/>
            <w:noWrap w:val="0"/>
            <w:vAlign w:val="top"/>
          </w:tcPr>
          <w:p>
            <w:pPr>
              <w:rPr>
                <w:rFonts w:ascii="宋体" w:hAnsi="宋体" w:cs="宋体"/>
                <w:szCs w:val="21"/>
              </w:rPr>
            </w:pPr>
            <w:r>
              <w:rPr>
                <w:rFonts w:hint="eastAsia" w:ascii="宋体" w:hAnsi="宋体" w:cs="宋体"/>
                <w:szCs w:val="21"/>
              </w:rPr>
              <w:t>1、合格投标人投标报价的平均值作为评标基准价。注：如果合格投标人数量为6家（含）以上时，须先去除一个最高投标报价和一个最低投标报价，再进行投标报价的平均值计算。</w:t>
            </w:r>
          </w:p>
          <w:p>
            <w:pPr>
              <w:rPr>
                <w:rFonts w:ascii="宋体" w:hAnsi="宋体" w:cs="宋体"/>
                <w:szCs w:val="21"/>
              </w:rPr>
            </w:pPr>
            <w:r>
              <w:rPr>
                <w:rFonts w:hint="eastAsia" w:ascii="宋体" w:hAnsi="宋体" w:cs="宋体"/>
                <w:szCs w:val="21"/>
              </w:rPr>
              <w:t>2、投标人投标报价=评标基准价，价格分得25分。</w:t>
            </w:r>
          </w:p>
          <w:p>
            <w:pPr>
              <w:rPr>
                <w:rFonts w:hint="eastAsia" w:ascii="宋体" w:hAnsi="宋体" w:cs="宋体"/>
                <w:szCs w:val="21"/>
              </w:rPr>
            </w:pPr>
            <w:r>
              <w:rPr>
                <w:rFonts w:hint="eastAsia" w:ascii="宋体" w:hAnsi="宋体" w:cs="宋体"/>
                <w:szCs w:val="21"/>
              </w:rPr>
              <w:t>3、投标人投标报价高于评标基准价：投标报价每向上每偏离1%[注：偏离值：(投标报价-评标基准价)/评标基准价]，价格分在满分25分的基础上扣减0.1分，最低得0分；</w:t>
            </w:r>
          </w:p>
          <w:p>
            <w:pPr>
              <w:rPr>
                <w:rFonts w:hint="eastAsia" w:ascii="宋体" w:hAnsi="宋体" w:cs="宋体"/>
                <w:szCs w:val="21"/>
              </w:rPr>
            </w:pPr>
            <w:r>
              <w:rPr>
                <w:rFonts w:hint="eastAsia" w:ascii="宋体" w:hAnsi="宋体" w:cs="宋体"/>
                <w:szCs w:val="21"/>
              </w:rPr>
              <w:t>4、投标人投标报价低于评标基准价：投标报价每向下每偏离1%[注：偏离值：(评标基准价-投标报价)/评标基准价]，价格分在满分25分的基础上扣减0.05分，最低得0分。</w:t>
            </w:r>
          </w:p>
        </w:tc>
        <w:tc>
          <w:tcPr>
            <w:tcW w:w="576" w:type="dxa"/>
            <w:noWrap w:val="0"/>
            <w:vAlign w:val="center"/>
          </w:tcPr>
          <w:p>
            <w:pPr>
              <w:jc w:val="center"/>
              <w:rPr>
                <w:rFonts w:hint="eastAsia" w:ascii="宋体" w:hAnsi="宋体" w:cs="宋体"/>
                <w:szCs w:val="21"/>
              </w:rPr>
            </w:pPr>
            <w:r>
              <w:rPr>
                <w:rFonts w:hint="eastAsia" w:ascii="宋体" w:hAnsi="宋体" w:cs="宋体"/>
                <w:szCs w:val="21"/>
              </w:rPr>
              <w:t>25</w:t>
            </w:r>
          </w:p>
        </w:tc>
      </w:tr>
    </w:tbl>
    <w:p>
      <w:pPr>
        <w:rPr>
          <w:rFonts w:hint="eastAsia" w:ascii="黑体" w:hAnsi="黑体" w:eastAsia="黑体" w:cs="黑体"/>
          <w:sz w:val="22"/>
          <w:szCs w:val="24"/>
        </w:rPr>
      </w:pPr>
    </w:p>
    <w:p>
      <w:pPr>
        <w:rPr>
          <w:rFonts w:hint="eastAsia" w:ascii="黑体" w:hAnsi="黑体" w:eastAsia="黑体" w:cs="黑体"/>
          <w:sz w:val="22"/>
          <w:szCs w:val="24"/>
        </w:rPr>
      </w:pPr>
    </w:p>
    <w:p>
      <w:pPr>
        <w:pStyle w:val="7"/>
        <w:keepNext w:val="0"/>
        <w:keepLines w:val="0"/>
        <w:pageBreakBefore/>
        <w:spacing w:line="360" w:lineRule="auto"/>
        <w:jc w:val="center"/>
        <w:rPr>
          <w:rFonts w:hint="eastAsia" w:ascii="黑体" w:hAnsi="黑体" w:eastAsia="黑体"/>
          <w:spacing w:val="20"/>
          <w:sz w:val="36"/>
          <w:szCs w:val="36"/>
        </w:rPr>
      </w:pPr>
      <w:bookmarkStart w:id="107" w:name="_Toc10024"/>
      <w:bookmarkStart w:id="108" w:name="_Toc6449"/>
      <w:bookmarkStart w:id="109" w:name="_Toc853"/>
      <w:bookmarkStart w:id="110" w:name="_Toc405313957"/>
      <w:bookmarkStart w:id="111" w:name="_Toc391627753"/>
      <w:r>
        <w:rPr>
          <w:rFonts w:hint="eastAsia" w:ascii="黑体" w:hAnsi="黑体" w:eastAsia="黑体"/>
          <w:spacing w:val="20"/>
          <w:sz w:val="36"/>
          <w:szCs w:val="36"/>
        </w:rPr>
        <w:t>第六部分 合同书文本</w:t>
      </w:r>
      <w:bookmarkEnd w:id="107"/>
      <w:bookmarkEnd w:id="108"/>
      <w:bookmarkEnd w:id="109"/>
    </w:p>
    <w:p>
      <w:pPr>
        <w:tabs>
          <w:tab w:val="left" w:pos="720"/>
        </w:tabs>
        <w:spacing w:line="360" w:lineRule="auto"/>
        <w:jc w:val="center"/>
        <w:rPr>
          <w:rFonts w:hint="eastAsia" w:ascii="黑体" w:hAnsi="黑体" w:eastAsia="黑体"/>
          <w:b/>
          <w:sz w:val="22"/>
        </w:rPr>
      </w:pPr>
      <w:r>
        <w:rPr>
          <w:rFonts w:hint="eastAsia"/>
          <w:b/>
          <w:bCs/>
          <w:sz w:val="22"/>
          <w:szCs w:val="24"/>
        </w:rPr>
        <w:t>（仅供参考）</w:t>
      </w:r>
    </w:p>
    <w:p>
      <w:pPr>
        <w:tabs>
          <w:tab w:val="left" w:pos="720"/>
        </w:tabs>
        <w:spacing w:line="360" w:lineRule="auto"/>
        <w:rPr>
          <w:rFonts w:hint="eastAsia" w:ascii="黑体" w:hAnsi="黑体" w:eastAsia="黑体"/>
          <w:b/>
          <w:sz w:val="22"/>
        </w:rPr>
      </w:pPr>
    </w:p>
    <w:p>
      <w:pPr>
        <w:pStyle w:val="85"/>
        <w:rPr>
          <w:rFonts w:hint="eastAsia" w:ascii="黑体" w:hAnsi="黑体" w:eastAsia="黑体"/>
          <w:sz w:val="22"/>
        </w:rPr>
      </w:pPr>
    </w:p>
    <w:p>
      <w:pPr>
        <w:jc w:val="left"/>
        <w:rPr>
          <w:sz w:val="22"/>
          <w:szCs w:val="24"/>
        </w:rPr>
      </w:pPr>
      <w:r>
        <w:rPr>
          <w:b/>
          <w:sz w:val="22"/>
          <w:szCs w:val="24"/>
        </w:rPr>
        <w:t>注：1、合同具体事项须根据</w:t>
      </w:r>
      <w:r>
        <w:rPr>
          <w:rFonts w:hint="eastAsia"/>
          <w:b/>
          <w:sz w:val="22"/>
          <w:szCs w:val="24"/>
        </w:rPr>
        <w:t>招标</w:t>
      </w:r>
      <w:r>
        <w:rPr>
          <w:b/>
          <w:sz w:val="22"/>
          <w:szCs w:val="24"/>
        </w:rPr>
        <w:t>文件的约定及乙方投标文件的承诺执行；</w:t>
      </w:r>
    </w:p>
    <w:p>
      <w:pPr>
        <w:pStyle w:val="32"/>
        <w:ind w:firstLine="400"/>
        <w:rPr>
          <w:rFonts w:hint="eastAsia" w:ascii="黑体" w:hAnsi="黑体" w:eastAsia="黑体"/>
          <w:sz w:val="22"/>
          <w:szCs w:val="22"/>
        </w:rPr>
      </w:pPr>
    </w:p>
    <w:p>
      <w:pPr>
        <w:pStyle w:val="32"/>
        <w:ind w:firstLine="400"/>
        <w:rPr>
          <w:rFonts w:hint="eastAsia" w:ascii="黑体" w:hAnsi="黑体" w:eastAsia="黑体"/>
          <w:sz w:val="22"/>
          <w:szCs w:val="22"/>
        </w:rPr>
      </w:pPr>
    </w:p>
    <w:p>
      <w:pPr>
        <w:jc w:val="center"/>
        <w:rPr>
          <w:rFonts w:hint="eastAsia" w:ascii="黑体" w:hAnsi="黑体" w:eastAsia="黑体"/>
          <w:b/>
          <w:sz w:val="44"/>
          <w:szCs w:val="44"/>
        </w:rPr>
      </w:pPr>
      <w:bookmarkStart w:id="112" w:name="_Toc116593612"/>
      <w:r>
        <w:rPr>
          <w:rFonts w:hint="eastAsia" w:ascii="黑体" w:hAnsi="黑体" w:eastAsia="黑体"/>
          <w:b/>
          <w:sz w:val="44"/>
          <w:szCs w:val="44"/>
        </w:rPr>
        <w:t>XXXXX</w:t>
      </w:r>
      <w:r>
        <w:rPr>
          <w:rFonts w:ascii="黑体" w:hAnsi="黑体" w:eastAsia="黑体"/>
          <w:b/>
          <w:sz w:val="44"/>
          <w:szCs w:val="44"/>
        </w:rPr>
        <w:t>采购</w:t>
      </w:r>
      <w:r>
        <w:rPr>
          <w:rFonts w:hint="eastAsia" w:ascii="黑体" w:hAnsi="黑体" w:eastAsia="黑体"/>
          <w:b/>
          <w:sz w:val="44"/>
          <w:szCs w:val="44"/>
        </w:rPr>
        <w:t>和建设服务合</w:t>
      </w:r>
      <w:r>
        <w:rPr>
          <w:rFonts w:ascii="黑体" w:hAnsi="黑体" w:eastAsia="黑体"/>
          <w:b/>
          <w:sz w:val="44"/>
          <w:szCs w:val="44"/>
        </w:rPr>
        <w:t>同</w:t>
      </w:r>
      <w:bookmarkEnd w:id="112"/>
    </w:p>
    <w:p>
      <w:pPr>
        <w:tabs>
          <w:tab w:val="left" w:pos="840"/>
        </w:tabs>
        <w:spacing w:line="480" w:lineRule="exact"/>
        <w:ind w:firstLine="330" w:firstLineChars="150"/>
        <w:rPr>
          <w:rFonts w:hint="eastAsia" w:ascii="黑体" w:hAnsi="黑体" w:eastAsia="黑体"/>
          <w:sz w:val="22"/>
        </w:rPr>
      </w:pPr>
    </w:p>
    <w:p>
      <w:pPr>
        <w:spacing w:line="360" w:lineRule="auto"/>
        <w:jc w:val="center"/>
        <w:rPr>
          <w:rFonts w:hint="eastAsia" w:ascii="黑体" w:hAnsi="黑体" w:eastAsia="黑体"/>
          <w:sz w:val="22"/>
        </w:rPr>
      </w:pPr>
    </w:p>
    <w:p>
      <w:pPr>
        <w:pStyle w:val="85"/>
        <w:spacing w:line="360" w:lineRule="auto"/>
        <w:rPr>
          <w:rFonts w:hint="eastAsia" w:ascii="黑体" w:hAnsi="黑体" w:eastAsia="黑体"/>
          <w:sz w:val="22"/>
        </w:rPr>
      </w:pPr>
    </w:p>
    <w:p>
      <w:pPr>
        <w:pStyle w:val="32"/>
        <w:ind w:firstLine="1040"/>
        <w:rPr>
          <w:rFonts w:hint="eastAsia" w:ascii="黑体" w:hAnsi="黑体" w:eastAsia="黑体"/>
          <w:sz w:val="22"/>
          <w:szCs w:val="22"/>
        </w:rPr>
      </w:pPr>
    </w:p>
    <w:p>
      <w:pPr>
        <w:pStyle w:val="32"/>
        <w:ind w:firstLine="1040"/>
        <w:rPr>
          <w:rFonts w:hint="eastAsia" w:ascii="黑体" w:hAnsi="黑体" w:eastAsia="黑体"/>
          <w:sz w:val="22"/>
          <w:szCs w:val="22"/>
        </w:rPr>
      </w:pPr>
    </w:p>
    <w:p>
      <w:pPr>
        <w:pStyle w:val="32"/>
        <w:ind w:firstLine="400"/>
        <w:rPr>
          <w:rFonts w:hint="eastAsia" w:ascii="黑体" w:hAnsi="黑体" w:eastAsia="黑体"/>
          <w:sz w:val="22"/>
          <w:szCs w:val="22"/>
        </w:rPr>
      </w:pPr>
    </w:p>
    <w:p>
      <w:pPr>
        <w:pStyle w:val="32"/>
        <w:ind w:firstLine="400"/>
        <w:rPr>
          <w:rFonts w:hint="eastAsia" w:ascii="黑体" w:hAnsi="黑体" w:eastAsia="黑体"/>
          <w:sz w:val="22"/>
          <w:szCs w:val="22"/>
        </w:rPr>
      </w:pPr>
    </w:p>
    <w:p>
      <w:pPr>
        <w:pStyle w:val="32"/>
        <w:ind w:firstLine="400"/>
        <w:rPr>
          <w:rFonts w:hint="eastAsia" w:ascii="黑体" w:hAnsi="黑体" w:eastAsia="黑体"/>
          <w:sz w:val="22"/>
          <w:szCs w:val="22"/>
        </w:rPr>
      </w:pPr>
    </w:p>
    <w:p>
      <w:pPr>
        <w:spacing w:line="360" w:lineRule="auto"/>
        <w:ind w:left="2520" w:hanging="2520" w:hangingChars="700"/>
        <w:rPr>
          <w:rFonts w:hint="eastAsia" w:ascii="黑体" w:hAnsi="黑体" w:eastAsia="黑体"/>
          <w:bCs/>
          <w:sz w:val="36"/>
          <w:szCs w:val="36"/>
        </w:rPr>
      </w:pPr>
      <w:r>
        <w:rPr>
          <w:rFonts w:hint="eastAsia" w:ascii="黑体" w:hAnsi="黑体" w:eastAsia="黑体"/>
          <w:sz w:val="36"/>
          <w:szCs w:val="36"/>
        </w:rPr>
        <w:t xml:space="preserve">    项目名称：</w:t>
      </w:r>
    </w:p>
    <w:p>
      <w:pPr>
        <w:spacing w:line="360" w:lineRule="auto"/>
        <w:ind w:firstLine="720" w:firstLineChars="200"/>
        <w:rPr>
          <w:rFonts w:hint="eastAsia" w:ascii="黑体" w:hAnsi="黑体" w:eastAsia="黑体"/>
          <w:sz w:val="36"/>
          <w:szCs w:val="36"/>
          <w:u w:val="single"/>
        </w:rPr>
      </w:pPr>
      <w:r>
        <w:rPr>
          <w:rFonts w:hint="eastAsia" w:ascii="黑体" w:hAnsi="黑体" w:eastAsia="黑体"/>
          <w:sz w:val="36"/>
          <w:szCs w:val="36"/>
        </w:rPr>
        <w:t xml:space="preserve">合同编号： </w:t>
      </w:r>
    </w:p>
    <w:p>
      <w:pPr>
        <w:spacing w:line="360" w:lineRule="auto"/>
        <w:rPr>
          <w:rFonts w:hint="eastAsia" w:ascii="黑体" w:hAnsi="黑体" w:eastAsia="黑体"/>
          <w:sz w:val="36"/>
          <w:szCs w:val="36"/>
          <w:u w:val="single"/>
        </w:rPr>
      </w:pPr>
      <w:r>
        <w:rPr>
          <w:rFonts w:hint="eastAsia" w:ascii="黑体" w:hAnsi="黑体" w:eastAsia="黑体"/>
          <w:sz w:val="36"/>
          <w:szCs w:val="36"/>
        </w:rPr>
        <w:t xml:space="preserve">    签订地点：</w:t>
      </w:r>
    </w:p>
    <w:p>
      <w:pPr>
        <w:spacing w:line="360" w:lineRule="auto"/>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 xml:space="preserve">   二○二四年   月</w:t>
      </w:r>
    </w:p>
    <w:p>
      <w:pPr>
        <w:pStyle w:val="85"/>
        <w:rPr>
          <w:rFonts w:hint="eastAsia" w:ascii="黑体" w:hAnsi="黑体" w:eastAsia="黑体"/>
          <w:sz w:val="22"/>
        </w:rPr>
      </w:pPr>
    </w:p>
    <w:p>
      <w:pPr>
        <w:pStyle w:val="32"/>
        <w:ind w:firstLine="400"/>
        <w:rPr>
          <w:rFonts w:hint="eastAsia" w:ascii="黑体" w:hAnsi="黑体" w:eastAsia="黑体"/>
          <w:sz w:val="22"/>
          <w:szCs w:val="22"/>
        </w:rPr>
      </w:pPr>
    </w:p>
    <w:p>
      <w:pPr>
        <w:widowControl/>
        <w:jc w:val="left"/>
        <w:rPr>
          <w:rFonts w:hint="eastAsia" w:ascii="宋体" w:hAnsi="宋体" w:cs="宋体"/>
          <w:kern w:val="0"/>
          <w:sz w:val="24"/>
          <w:szCs w:val="24"/>
          <w:lang w:bidi="ar"/>
        </w:rPr>
      </w:pPr>
      <w:r>
        <w:rPr>
          <w:rFonts w:ascii="黑体" w:hAnsi="黑体" w:eastAsia="黑体"/>
          <w:sz w:val="22"/>
        </w:rPr>
        <w:br w:type="page"/>
      </w: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甲方：</w:t>
      </w:r>
      <w:r>
        <w:rPr>
          <w:rFonts w:hint="eastAsia" w:ascii="宋体" w:hAnsi="宋体" w:cs="宋体"/>
          <w:kern w:val="0"/>
          <w:sz w:val="24"/>
          <w:szCs w:val="24"/>
          <w:u w:val="single"/>
          <w:lang w:bidi="ar"/>
        </w:rPr>
        <w:t xml:space="preserve"> 南方日报社 </w:t>
      </w: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法定代表人（负责人）：</w:t>
      </w:r>
      <w:r>
        <w:rPr>
          <w:rFonts w:hint="eastAsia" w:ascii="宋体" w:hAnsi="宋体" w:cs="宋体"/>
          <w:kern w:val="0"/>
          <w:sz w:val="24"/>
          <w:szCs w:val="24"/>
          <w:u w:val="single"/>
          <w:lang w:bidi="ar"/>
        </w:rPr>
        <w:t xml:space="preserve">             </w:t>
      </w:r>
    </w:p>
    <w:p>
      <w:pPr>
        <w:widowControl/>
        <w:snapToGrid w:val="0"/>
        <w:spacing w:line="360" w:lineRule="auto"/>
        <w:rPr>
          <w:rFonts w:hint="eastAsia" w:ascii="宋体" w:hAnsi="宋体" w:cs="宋体"/>
          <w:kern w:val="0"/>
          <w:sz w:val="24"/>
          <w:szCs w:val="24"/>
          <w:u w:val="single"/>
          <w:lang w:bidi="ar"/>
        </w:rPr>
      </w:pPr>
      <w:r>
        <w:rPr>
          <w:rFonts w:hint="eastAsia" w:ascii="宋体" w:hAnsi="宋体" w:cs="宋体"/>
          <w:kern w:val="0"/>
          <w:sz w:val="24"/>
          <w:szCs w:val="24"/>
          <w:lang w:bidi="ar"/>
        </w:rPr>
        <w:t>地址：</w:t>
      </w:r>
      <w:r>
        <w:rPr>
          <w:rFonts w:hint="eastAsia" w:ascii="宋体" w:hAnsi="宋体" w:cs="宋体"/>
          <w:kern w:val="0"/>
          <w:sz w:val="24"/>
          <w:szCs w:val="24"/>
          <w:u w:val="single"/>
          <w:lang w:bidi="ar"/>
        </w:rPr>
        <w:t xml:space="preserve"> 广东省广州市广州大道中289号南方报业传媒集团12-13楼 </w:t>
      </w: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联系方式：</w:t>
      </w:r>
      <w:r>
        <w:rPr>
          <w:rFonts w:hint="eastAsia" w:ascii="宋体" w:hAnsi="宋体" w:cs="宋体"/>
          <w:kern w:val="0"/>
          <w:sz w:val="24"/>
          <w:szCs w:val="24"/>
          <w:u w:val="single"/>
          <w:lang w:bidi="ar"/>
        </w:rPr>
        <w:t xml:space="preserve">                         </w:t>
      </w:r>
    </w:p>
    <w:p>
      <w:pPr>
        <w:widowControl/>
        <w:snapToGrid w:val="0"/>
        <w:spacing w:line="360" w:lineRule="auto"/>
        <w:rPr>
          <w:rFonts w:hint="eastAsia" w:ascii="宋体" w:hAnsi="宋体" w:cs="宋体"/>
          <w:kern w:val="0"/>
          <w:sz w:val="24"/>
          <w:szCs w:val="24"/>
          <w:lang w:bidi="ar"/>
        </w:rPr>
      </w:pP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乙 方：</w:t>
      </w:r>
      <w:r>
        <w:rPr>
          <w:rFonts w:hint="eastAsia" w:ascii="宋体" w:hAnsi="宋体" w:cs="宋体"/>
          <w:kern w:val="0"/>
          <w:sz w:val="24"/>
          <w:szCs w:val="24"/>
          <w:u w:val="single"/>
          <w:lang w:bidi="ar"/>
        </w:rPr>
        <w:t xml:space="preserve">                             </w:t>
      </w: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法定代表人（负责人）：</w:t>
      </w:r>
      <w:r>
        <w:rPr>
          <w:rFonts w:hint="eastAsia" w:ascii="宋体" w:hAnsi="宋体" w:cs="宋体"/>
          <w:kern w:val="0"/>
          <w:sz w:val="24"/>
          <w:szCs w:val="24"/>
          <w:u w:val="single"/>
          <w:lang w:bidi="ar"/>
        </w:rPr>
        <w:t xml:space="preserve">              </w:t>
      </w:r>
    </w:p>
    <w:p>
      <w:pPr>
        <w:widowControl/>
        <w:snapToGrid w:val="0"/>
        <w:spacing w:line="360" w:lineRule="auto"/>
        <w:rPr>
          <w:rFonts w:hint="eastAsia" w:ascii="宋体" w:hAnsi="宋体" w:cs="宋体"/>
          <w:kern w:val="0"/>
          <w:sz w:val="24"/>
          <w:szCs w:val="24"/>
          <w:lang w:bidi="ar"/>
        </w:rPr>
      </w:pPr>
      <w:r>
        <w:rPr>
          <w:rFonts w:hint="eastAsia" w:ascii="宋体" w:hAnsi="宋体" w:cs="宋体"/>
          <w:kern w:val="0"/>
          <w:sz w:val="24"/>
          <w:szCs w:val="24"/>
          <w:lang w:bidi="ar"/>
        </w:rPr>
        <w:t>地 址：</w:t>
      </w:r>
      <w:r>
        <w:rPr>
          <w:rFonts w:hint="eastAsia" w:ascii="宋体" w:hAnsi="宋体" w:cs="宋体"/>
          <w:kern w:val="0"/>
          <w:sz w:val="24"/>
          <w:szCs w:val="24"/>
          <w:u w:val="single"/>
          <w:lang w:bidi="ar"/>
        </w:rPr>
        <w:t xml:space="preserve">                             </w:t>
      </w:r>
    </w:p>
    <w:p>
      <w:pPr>
        <w:widowControl/>
        <w:snapToGrid w:val="0"/>
        <w:spacing w:line="360" w:lineRule="auto"/>
        <w:rPr>
          <w:rFonts w:hint="eastAsia" w:ascii="宋体" w:hAnsi="宋体" w:cs="宋体"/>
          <w:kern w:val="0"/>
          <w:sz w:val="24"/>
          <w:szCs w:val="24"/>
          <w:u w:val="single"/>
          <w:lang w:bidi="ar"/>
        </w:rPr>
      </w:pPr>
      <w:r>
        <w:rPr>
          <w:rFonts w:hint="eastAsia" w:ascii="宋体" w:hAnsi="宋体" w:cs="宋体"/>
          <w:kern w:val="0"/>
          <w:sz w:val="24"/>
          <w:szCs w:val="24"/>
          <w:lang w:bidi="ar"/>
        </w:rPr>
        <w:t>联系方式：</w:t>
      </w:r>
      <w:r>
        <w:rPr>
          <w:rFonts w:hint="eastAsia" w:ascii="宋体" w:hAnsi="宋体" w:cs="宋体"/>
          <w:kern w:val="0"/>
          <w:sz w:val="24"/>
          <w:szCs w:val="24"/>
          <w:u w:val="single"/>
          <w:lang w:bidi="ar"/>
        </w:rPr>
        <w:t xml:space="preserve">                          </w:t>
      </w:r>
    </w:p>
    <w:p>
      <w:pPr>
        <w:tabs>
          <w:tab w:val="left" w:pos="4860"/>
        </w:tabs>
        <w:snapToGrid w:val="0"/>
        <w:spacing w:line="360" w:lineRule="auto"/>
        <w:rPr>
          <w:rFonts w:hint="eastAsia" w:ascii="宋体" w:hAnsi="宋体" w:cs="宋体"/>
          <w:sz w:val="24"/>
        </w:rPr>
      </w:pP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甲、乙双方经过平等友好协商，依照《中华人民共和国民法典》等相关法律法规，现就甲方向乙方采购 </w:t>
      </w:r>
      <w:r>
        <w:rPr>
          <w:rFonts w:hint="eastAsia" w:ascii="宋体" w:hAnsi="宋体" w:cs="宋体"/>
          <w:sz w:val="24"/>
          <w:u w:val="single"/>
        </w:rPr>
        <w:t xml:space="preserve">            项目</w:t>
      </w:r>
      <w:r>
        <w:rPr>
          <w:rFonts w:hint="eastAsia" w:ascii="宋体" w:hAnsi="宋体" w:cs="宋体"/>
          <w:sz w:val="24"/>
        </w:rPr>
        <w:t>事宜达成如下合同，以资共同遵守。</w:t>
      </w:r>
    </w:p>
    <w:p>
      <w:pPr>
        <w:adjustRightInd w:val="0"/>
        <w:snapToGrid w:val="0"/>
        <w:spacing w:line="360" w:lineRule="auto"/>
        <w:ind w:firstLine="480" w:firstLineChars="200"/>
        <w:rPr>
          <w:rFonts w:hint="eastAsia" w:ascii="宋体" w:hAnsi="宋体" w:cs="宋体"/>
          <w:sz w:val="24"/>
        </w:rPr>
      </w:pPr>
    </w:p>
    <w:p>
      <w:pPr>
        <w:numPr>
          <w:ilvl w:val="0"/>
          <w:numId w:val="68"/>
        </w:numPr>
        <w:snapToGrid w:val="0"/>
        <w:spacing w:line="360" w:lineRule="auto"/>
        <w:rPr>
          <w:rFonts w:hint="eastAsia" w:ascii="宋体" w:hAnsi="宋体" w:cs="宋体"/>
          <w:b/>
          <w:sz w:val="24"/>
        </w:rPr>
      </w:pPr>
      <w:r>
        <w:rPr>
          <w:rFonts w:hint="eastAsia" w:ascii="宋体" w:hAnsi="宋体" w:cs="宋体"/>
          <w:b/>
          <w:sz w:val="24"/>
        </w:rPr>
        <w:t xml:space="preserve"> 采购情况及合同价格</w:t>
      </w:r>
    </w:p>
    <w:p>
      <w:pPr>
        <w:adjustRightInd w:val="0"/>
        <w:snapToGrid w:val="0"/>
        <w:spacing w:line="360" w:lineRule="auto"/>
        <w:rPr>
          <w:rFonts w:hint="eastAsia" w:ascii="宋体" w:hAnsi="宋体" w:cs="宋体"/>
          <w:b/>
          <w:sz w:val="24"/>
        </w:rPr>
      </w:pPr>
      <w:r>
        <w:rPr>
          <w:rFonts w:hint="eastAsia" w:ascii="宋体" w:hAnsi="宋体" w:cs="宋体"/>
          <w:b/>
          <w:sz w:val="24"/>
        </w:rPr>
        <w:t xml:space="preserve">  </w:t>
      </w:r>
      <w:r>
        <w:rPr>
          <w:rFonts w:hint="eastAsia" w:ascii="宋体" w:hAnsi="宋体" w:cs="仿宋_GB2312"/>
          <w:sz w:val="24"/>
        </w:rPr>
        <w:t xml:space="preserve">  详见附件一：货物内容及项目实施清单。</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合同总额包括乙方设计、安装施工、随机零配件、标配工具、网络连接线缆、运输保险、调试、功能对接、培训、质保期服务、各项税费及合同实施过程中不可预见费用等。合同确定的价格在合同期内不得调整，任何一方无权改变本合同约定价格。本合同如果涉及的货物进口报关等手续，均由乙方负责办理，产生的相关费用由乙方承担。</w:t>
      </w:r>
    </w:p>
    <w:p>
      <w:pPr>
        <w:snapToGrid w:val="0"/>
        <w:spacing w:line="360" w:lineRule="auto"/>
        <w:ind w:firstLine="480" w:firstLineChars="200"/>
        <w:rPr>
          <w:rFonts w:hint="eastAsia" w:ascii="宋体" w:hAnsi="宋体" w:cs="仿宋_GB2312"/>
          <w:b/>
          <w:sz w:val="24"/>
        </w:rPr>
      </w:pPr>
    </w:p>
    <w:p>
      <w:pPr>
        <w:snapToGrid w:val="0"/>
        <w:spacing w:line="360" w:lineRule="auto"/>
        <w:rPr>
          <w:rFonts w:hint="eastAsia" w:ascii="宋体" w:hAnsi="宋体" w:cs="仿宋_GB2312"/>
          <w:b/>
          <w:sz w:val="24"/>
        </w:rPr>
      </w:pPr>
      <w:r>
        <w:rPr>
          <w:rFonts w:hint="eastAsia" w:ascii="宋体" w:hAnsi="宋体" w:cs="仿宋_GB2312"/>
          <w:b/>
          <w:sz w:val="24"/>
        </w:rPr>
        <w:t>第二条  质量要求</w:t>
      </w:r>
    </w:p>
    <w:p>
      <w:pPr>
        <w:snapToGrid w:val="0"/>
        <w:spacing w:line="360" w:lineRule="auto"/>
        <w:ind w:firstLine="480" w:firstLineChars="200"/>
        <w:rPr>
          <w:rFonts w:hint="eastAsia" w:ascii="宋体" w:hAnsi="宋体" w:cs="仿宋_GB2312"/>
          <w:sz w:val="24"/>
        </w:rPr>
      </w:pPr>
      <w:r>
        <w:rPr>
          <w:rFonts w:hint="eastAsia" w:ascii="宋体" w:hAnsi="宋体" w:cs="仿宋_GB2312"/>
          <w:sz w:val="24"/>
        </w:rPr>
        <w:t>（</w:t>
      </w:r>
      <w:r>
        <w:rPr>
          <w:rFonts w:hint="eastAsia" w:ascii="宋体" w:hAnsi="宋体" w:cs="仿宋_GB2312"/>
          <w:sz w:val="24"/>
          <w:lang w:eastAsia="zh-Hans"/>
        </w:rPr>
        <w:t>一</w:t>
      </w:r>
      <w:r>
        <w:rPr>
          <w:rFonts w:hint="eastAsia" w:ascii="宋体" w:hAnsi="宋体" w:cs="仿宋_GB2312"/>
          <w:sz w:val="24"/>
        </w:rPr>
        <w:t>）乙方提供的须为合法进货渠道的全新产品，具备产品合格证、发货码单等相关资料。如乙方提供的产品侵犯第三方合法权益，甲方有权立即解除本合同，由此产生的一切责任由乙方承担。如造成甲方损失的，乙方还需赔偿甲方的损失。</w:t>
      </w:r>
    </w:p>
    <w:p>
      <w:pPr>
        <w:snapToGrid w:val="0"/>
        <w:spacing w:line="360" w:lineRule="auto"/>
        <w:ind w:firstLine="480" w:firstLineChars="200"/>
        <w:rPr>
          <w:rFonts w:hint="eastAsia" w:ascii="宋体" w:hAnsi="宋体" w:cs="仿宋_GB2312"/>
          <w:sz w:val="24"/>
        </w:rPr>
      </w:pPr>
      <w:r>
        <w:rPr>
          <w:rFonts w:hint="eastAsia" w:ascii="宋体" w:hAnsi="宋体" w:cs="仿宋_GB2312"/>
          <w:sz w:val="24"/>
        </w:rPr>
        <w:t>（</w:t>
      </w:r>
      <w:r>
        <w:rPr>
          <w:rFonts w:hint="eastAsia" w:ascii="宋体" w:hAnsi="宋体" w:cs="仿宋_GB2312"/>
          <w:sz w:val="24"/>
          <w:lang w:eastAsia="zh-Hans"/>
        </w:rPr>
        <w:t>二</w:t>
      </w:r>
      <w:r>
        <w:rPr>
          <w:rFonts w:hint="eastAsia" w:ascii="宋体" w:hAnsi="宋体" w:cs="仿宋_GB2312"/>
          <w:sz w:val="24"/>
        </w:rPr>
        <w:t>）所有产品质保期除在附件一：货物内容及项目实施清单中注明外，至少为最终验收合格之日起</w:t>
      </w:r>
      <w:r>
        <w:rPr>
          <w:rFonts w:hint="eastAsia" w:ascii="宋体" w:hAnsi="宋体" w:cs="仿宋_GB2312"/>
          <w:sz w:val="24"/>
          <w:u w:val="single"/>
        </w:rPr>
        <w:t xml:space="preserve"> 12</w:t>
      </w:r>
      <w:r>
        <w:rPr>
          <w:rFonts w:hint="eastAsia" w:ascii="宋体" w:hAnsi="宋体" w:cs="仿宋_GB2312"/>
          <w:sz w:val="24"/>
        </w:rPr>
        <w:t>个月。如强制性国家标准或生产厂家、需求书、项目清单等对于产品的保质期长于该期限的，以较长期限为准。</w:t>
      </w:r>
    </w:p>
    <w:p>
      <w:pPr>
        <w:snapToGrid w:val="0"/>
        <w:spacing w:line="360" w:lineRule="auto"/>
        <w:ind w:firstLine="480" w:firstLineChars="200"/>
        <w:rPr>
          <w:rFonts w:hint="eastAsia" w:ascii="宋体" w:hAnsi="宋体" w:cs="仿宋_GB2312"/>
          <w:b/>
          <w:sz w:val="24"/>
        </w:rPr>
      </w:pPr>
    </w:p>
    <w:p>
      <w:pPr>
        <w:snapToGrid w:val="0"/>
        <w:spacing w:line="360" w:lineRule="auto"/>
        <w:rPr>
          <w:rFonts w:hint="eastAsia" w:ascii="宋体" w:hAnsi="宋体" w:cs="仿宋_GB2312"/>
          <w:b/>
          <w:sz w:val="24"/>
        </w:rPr>
      </w:pPr>
      <w:r>
        <w:rPr>
          <w:rFonts w:hint="eastAsia" w:ascii="宋体" w:hAnsi="宋体" w:cs="仿宋_GB2312"/>
          <w:b/>
          <w:sz w:val="24"/>
        </w:rPr>
        <w:t>第三条  包装运输和交货地点</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（一）</w:t>
      </w:r>
      <w:r>
        <w:rPr>
          <w:rFonts w:hint="eastAsia" w:ascii="宋体" w:hAnsi="宋体" w:cs="仿宋_GB2312"/>
          <w:bCs/>
          <w:sz w:val="24"/>
        </w:rPr>
        <w:t>采购产品</w:t>
      </w:r>
      <w:r>
        <w:rPr>
          <w:rFonts w:hint="eastAsia" w:ascii="宋体" w:hAnsi="宋体" w:cs="仿宋_GB2312"/>
          <w:sz w:val="24"/>
        </w:rPr>
        <w:t>根据甲方要求或者行业通用方式进行包装，包装外观应使用规范的标签，标签应包括以下内容：品名、规格型号、重量、制造商、制造日期、产地等信息。</w:t>
      </w:r>
      <w:r>
        <w:rPr>
          <w:rFonts w:hint="eastAsia" w:ascii="宋体" w:hAnsi="宋体" w:cs="宋体"/>
          <w:sz w:val="24"/>
          <w:szCs w:val="24"/>
        </w:rPr>
        <w:t>交货之前不得拆封，必须为原厂原封，包装箱上须注明采购用户名称。</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（二）本合同履行期间由乙方负责将产品运送到甲方指定的地点，并承担运输过程中的费用及风险。甲方指定的地点为：</w:t>
      </w:r>
    </w:p>
    <w:p>
      <w:pPr>
        <w:snapToGrid w:val="0"/>
        <w:spacing w:line="360" w:lineRule="auto"/>
        <w:ind w:firstLine="480" w:firstLineChars="200"/>
        <w:rPr>
          <w:rFonts w:hint="eastAsia" w:ascii="宋体" w:hAnsi="宋体" w:cs="仿宋_GB2312"/>
          <w:b/>
          <w:sz w:val="24"/>
        </w:rPr>
      </w:pPr>
    </w:p>
    <w:p>
      <w:pPr>
        <w:snapToGrid w:val="0"/>
        <w:spacing w:line="360" w:lineRule="auto"/>
        <w:rPr>
          <w:rFonts w:hint="eastAsia" w:ascii="宋体" w:hAnsi="宋体" w:cs="仿宋_GB2312"/>
          <w:sz w:val="24"/>
        </w:rPr>
      </w:pPr>
      <w:r>
        <w:rPr>
          <w:rFonts w:hint="eastAsia" w:ascii="宋体" w:hAnsi="宋体" w:cs="仿宋_GB2312"/>
          <w:b/>
          <w:sz w:val="24"/>
        </w:rPr>
        <w:t>第四条  项目验收</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（一）验收标准：符合或优于本合同第二条约定的质量标准。同时，必须满足甲方生产要求，</w:t>
      </w:r>
      <w:r>
        <w:rPr>
          <w:rFonts w:hint="eastAsia" w:ascii="宋体" w:hAnsi="宋体" w:cs="宋体"/>
          <w:sz w:val="24"/>
        </w:rPr>
        <w:t>货物名称内容必须与应答文件中货物名称内容一致</w:t>
      </w:r>
      <w:r>
        <w:rPr>
          <w:rFonts w:hint="eastAsia" w:ascii="宋体" w:hAnsi="宋体" w:cs="宋体"/>
          <w:sz w:val="24"/>
          <w:szCs w:val="24"/>
        </w:rPr>
        <w:t>。</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（二）验收地点：本合同第三条约定的甲方指定地点。</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三）产品到货验收：产品运送到甲方指定的地点进行安装调试，安装正常后，由甲方组织人员进行验收，并签署产品到货验收单。本合同履行期间由乙方负责将设备运送到甲方指定的地点，并承担运输过程中的包括但不限于运费、保险费等全部费用以及货物运输过程中的风险。</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四）项目最终验收：项目完工后，乙方自查达到项目验收条件（各项功能达到项目设计目标要求），可向甲方提出验收申请，同时需提交项目验收文档（包括但不限于：项目实施方案、产品到货签收单、功能测试报告、运维与操作手册、竣工图纸、竣工检测报告、安全应急预案、必要的管理制度及验收报告），甲方在10个工作日内进行验收。验收不合格的，应即向乙方提出书面异议。乙方应在接到异议后及时进行修改，直至验收合格。验收合格后，合同进入质保服务期。</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四）如属可能产生职业病危害（如化学品、放射性同位素、含有放射性物质）产品，乙方须提供该产品的中文说明书。说明书应当载明产品特性、主要成分、存在的有害因素、可能产生的危害后果、安全使用注意事项、职业病防护以及应急救治措施等内容。</w:t>
      </w:r>
    </w:p>
    <w:p>
      <w:pPr>
        <w:adjustRightInd w:val="0"/>
        <w:snapToGrid w:val="0"/>
        <w:spacing w:line="360" w:lineRule="auto"/>
        <w:ind w:firstLine="480" w:firstLineChars="200"/>
        <w:rPr>
          <w:rFonts w:hint="eastAsia" w:ascii="宋体" w:hAnsi="宋体" w:cs="仿宋_GB2312"/>
          <w:b/>
          <w:sz w:val="24"/>
        </w:rPr>
      </w:pPr>
    </w:p>
    <w:p>
      <w:pPr>
        <w:adjustRightInd w:val="0"/>
        <w:snapToGrid w:val="0"/>
        <w:spacing w:line="360" w:lineRule="auto"/>
        <w:rPr>
          <w:rFonts w:hint="eastAsia" w:ascii="宋体" w:hAnsi="宋体" w:cs="仿宋_GB2312"/>
          <w:b/>
          <w:sz w:val="24"/>
        </w:rPr>
      </w:pPr>
      <w:r>
        <w:rPr>
          <w:rFonts w:hint="eastAsia" w:ascii="宋体" w:hAnsi="宋体" w:cs="仿宋_GB2312"/>
          <w:b/>
          <w:sz w:val="24"/>
        </w:rPr>
        <w:t>第五条  项目时间及实施要求</w:t>
      </w:r>
    </w:p>
    <w:p>
      <w:pPr>
        <w:adjustRightInd w:val="0"/>
        <w:snapToGrid w:val="0"/>
        <w:spacing w:line="360" w:lineRule="auto"/>
        <w:ind w:firstLine="480" w:firstLineChars="200"/>
        <w:rPr>
          <w:rFonts w:hint="eastAsia"/>
          <w:sz w:val="24"/>
        </w:rPr>
      </w:pPr>
      <w:r>
        <w:rPr>
          <w:rFonts w:hint="eastAsia"/>
          <w:sz w:val="24"/>
        </w:rPr>
        <w:t>1.乙方须在签订合同后 三个月 内完成项目工作。</w:t>
      </w:r>
    </w:p>
    <w:p>
      <w:pPr>
        <w:adjustRightInd w:val="0"/>
        <w:snapToGrid w:val="0"/>
        <w:spacing w:line="360" w:lineRule="auto"/>
        <w:ind w:firstLine="480" w:firstLineChars="200"/>
        <w:rPr>
          <w:rFonts w:hint="eastAsia" w:ascii="宋体" w:hAnsi="宋体" w:cs="仿宋_GB2312"/>
          <w:sz w:val="24"/>
        </w:rPr>
      </w:pPr>
      <w:r>
        <w:rPr>
          <w:rFonts w:hint="eastAsia"/>
          <w:sz w:val="24"/>
        </w:rPr>
        <w:t>2.</w:t>
      </w:r>
      <w:r>
        <w:rPr>
          <w:sz w:val="24"/>
        </w:rPr>
        <w:t>本</w:t>
      </w:r>
      <w:r>
        <w:rPr>
          <w:rFonts w:hint="eastAsia"/>
          <w:sz w:val="24"/>
        </w:rPr>
        <w:t>项目</w:t>
      </w:r>
      <w:r>
        <w:rPr>
          <w:sz w:val="24"/>
        </w:rPr>
        <w:t>使用的所有线缆的防火等级均要求达到低烟无卤阻燃等级，所有室内敷设的线槽/管必须为金属材质。各系统的部件和材料应符合制造商提供的规格书给定值的电压、电流、温度、应力或任何其他条件</w:t>
      </w:r>
      <w:r>
        <w:rPr>
          <w:rFonts w:hint="eastAsia"/>
          <w:sz w:val="24"/>
        </w:rPr>
        <w:t>，同时符合国家相关的电气施工规范要求。所有设备均应具有短路保护，包括电源内部的保护。当由于电源系统切换、线路故障或地电位升高引起电压幅度和相位变化时，设备不致受到损坏且保持正常性能。所有电缆应接至端子排。所有端子排、电缆、接线及设备应采用甲方认可的标签标识，标签采用永久性不沾水、不退色标签。</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3.乙方必须依照招标文件的要求和报价文件的承诺，除弱电布线部分外，其余全部由所需厂商的原厂工程师进行现场实施或者现场全程指导，将软件系统安装并调试至正常运行的最佳状态。</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4.在完成安装后，甲乙双方技术人员根据设备或系统功能列表对功能进行确认，检查系统功能是否完整及可用。</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5.乙方承担安装施工现场安全责任，发生施工事故属乙方现场管理失责，与甲方无关。造成甲方经济损失或者人员伤亡的，乙方除承担合同规定的违约责任外，还需对甲方及损害方的损失进行赔偿。</w:t>
      </w:r>
    </w:p>
    <w:p>
      <w:pPr>
        <w:adjustRightInd w:val="0"/>
        <w:snapToGrid w:val="0"/>
        <w:spacing w:line="360" w:lineRule="auto"/>
        <w:rPr>
          <w:rFonts w:hint="eastAsia" w:ascii="宋体" w:hAnsi="宋体" w:cs="仿宋_GB2312"/>
          <w:sz w:val="24"/>
        </w:rPr>
      </w:pPr>
    </w:p>
    <w:p>
      <w:pPr>
        <w:numPr>
          <w:ilvl w:val="0"/>
          <w:numId w:val="69"/>
        </w:numPr>
        <w:adjustRightInd w:val="0"/>
        <w:snapToGrid w:val="0"/>
        <w:spacing w:line="360" w:lineRule="auto"/>
        <w:rPr>
          <w:rFonts w:hint="eastAsia" w:ascii="宋体" w:hAnsi="宋体" w:cs="仿宋_GB2312"/>
          <w:b/>
          <w:sz w:val="24"/>
        </w:rPr>
      </w:pPr>
      <w:r>
        <w:rPr>
          <w:rFonts w:hint="eastAsia" w:ascii="宋体" w:hAnsi="宋体" w:cs="仿宋_GB2312"/>
          <w:b/>
          <w:sz w:val="24"/>
        </w:rPr>
        <w:t xml:space="preserve"> 结算方式</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 xml:space="preserve">合同总价为：人民币 </w:t>
      </w:r>
      <w:r>
        <w:rPr>
          <w:rFonts w:hint="eastAsia" w:ascii="宋体" w:hAnsi="宋体" w:cs="仿宋_GB2312"/>
          <w:sz w:val="24"/>
          <w:u w:val="single"/>
        </w:rPr>
        <w:t xml:space="preserve"> </w:t>
      </w:r>
      <w:r>
        <w:rPr>
          <w:rFonts w:ascii="宋体" w:hAnsi="宋体" w:cs="仿宋_GB2312"/>
          <w:sz w:val="24"/>
          <w:u w:val="single"/>
        </w:rPr>
        <w:t xml:space="preserve">     </w:t>
      </w:r>
      <w:r>
        <w:rPr>
          <w:rFonts w:hint="eastAsia" w:ascii="宋体" w:hAnsi="宋体" w:cs="仿宋_GB2312"/>
          <w:sz w:val="24"/>
          <w:u w:val="single"/>
        </w:rPr>
        <w:t>¥</w:t>
      </w:r>
      <w:r>
        <w:rPr>
          <w:rFonts w:hint="eastAsia" w:ascii="宋体" w:hAnsi="宋体" w:cs="仿宋_GB2312"/>
          <w:sz w:val="24"/>
        </w:rPr>
        <w:t>元（大写）；</w:t>
      </w:r>
    </w:p>
    <w:p>
      <w:pPr>
        <w:wordWrap w:val="0"/>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（一）合同完成签订，乙方提供等值增值税专用发票后的十个工作日内，甲方向乙方支付合同总价的百分之三十，即人民币</w:t>
      </w:r>
      <w:r>
        <w:rPr>
          <w:rFonts w:hint="eastAsia" w:ascii="宋体" w:hAnsi="宋体" w:cs="仿宋_GB2312"/>
          <w:sz w:val="24"/>
          <w:u w:val="single"/>
        </w:rPr>
        <w:t xml:space="preserve"> </w:t>
      </w:r>
      <w:r>
        <w:rPr>
          <w:rFonts w:ascii="宋体" w:hAnsi="宋体" w:cs="仿宋_GB2312"/>
          <w:sz w:val="24"/>
          <w:u w:val="single"/>
        </w:rPr>
        <w:t xml:space="preserve">     </w:t>
      </w:r>
      <w:r>
        <w:rPr>
          <w:rFonts w:hint="eastAsia" w:ascii="宋体" w:hAnsi="宋体" w:cs="仿宋_GB2312"/>
          <w:sz w:val="24"/>
          <w:u w:val="single"/>
        </w:rPr>
        <w:t>¥</w:t>
      </w:r>
      <w:r>
        <w:rPr>
          <w:rFonts w:hint="eastAsia" w:ascii="宋体" w:hAnsi="宋体" w:cs="仿宋_GB2312"/>
          <w:sz w:val="24"/>
        </w:rPr>
        <w:t>元（大写 ：）。同时乙方在收到百分之三十的预付款后，应于十个工作日内，向甲方支付合同总价的百分之五作为履约保证金；</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（二）上述支付完成且项目完成终验，乙方提供等值增值税专用发票后的十个工作日内，甲方向乙方支付合同总价的百分之七十，即人民币</w:t>
      </w:r>
      <w:r>
        <w:rPr>
          <w:rFonts w:hint="eastAsia" w:ascii="宋体" w:hAnsi="宋体" w:cs="仿宋_GB2312"/>
          <w:sz w:val="24"/>
          <w:u w:val="single"/>
        </w:rPr>
        <w:t xml:space="preserve"> </w:t>
      </w:r>
      <w:r>
        <w:rPr>
          <w:rFonts w:ascii="宋体" w:hAnsi="宋体" w:cs="仿宋_GB2312"/>
          <w:sz w:val="24"/>
          <w:u w:val="single"/>
        </w:rPr>
        <w:t xml:space="preserve">     </w:t>
      </w:r>
      <w:r>
        <w:rPr>
          <w:rFonts w:hint="eastAsia" w:ascii="宋体" w:hAnsi="宋体" w:cs="仿宋_GB2312"/>
          <w:sz w:val="24"/>
          <w:u w:val="single"/>
        </w:rPr>
        <w:t>¥</w:t>
      </w:r>
      <w:r>
        <w:rPr>
          <w:rFonts w:hint="eastAsia" w:ascii="宋体" w:hAnsi="宋体" w:cs="仿宋_GB2312"/>
          <w:sz w:val="24"/>
        </w:rPr>
        <w:t>元（大写 ：）；</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（三）如无质量问题且乙方无违约情形，则项目终验满一年，甲方向乙方返回履约保证金（无息支付），即人民币</w:t>
      </w:r>
      <w:r>
        <w:rPr>
          <w:rFonts w:hint="eastAsia" w:ascii="宋体" w:hAnsi="宋体" w:cs="仿宋_GB2312"/>
          <w:sz w:val="24"/>
          <w:u w:val="single"/>
        </w:rPr>
        <w:t xml:space="preserve"> </w:t>
      </w:r>
      <w:r>
        <w:rPr>
          <w:rFonts w:ascii="宋体" w:hAnsi="宋体" w:cs="仿宋_GB2312"/>
          <w:sz w:val="24"/>
          <w:u w:val="single"/>
        </w:rPr>
        <w:t xml:space="preserve">     </w:t>
      </w:r>
      <w:r>
        <w:rPr>
          <w:rFonts w:hint="eastAsia" w:ascii="宋体" w:hAnsi="宋体" w:cs="仿宋_GB2312"/>
          <w:sz w:val="24"/>
          <w:u w:val="single"/>
        </w:rPr>
        <w:t>¥</w:t>
      </w:r>
      <w:r>
        <w:rPr>
          <w:rFonts w:hint="eastAsia" w:ascii="宋体" w:hAnsi="宋体" w:cs="仿宋_GB2312"/>
          <w:sz w:val="24"/>
        </w:rPr>
        <w:t>元（大写：）。</w:t>
      </w:r>
    </w:p>
    <w:p>
      <w:pPr>
        <w:adjustRightInd w:val="0"/>
        <w:snapToGrid w:val="0"/>
        <w:spacing w:line="360" w:lineRule="auto"/>
        <w:ind w:firstLine="480" w:firstLineChars="200"/>
        <w:rPr>
          <w:rFonts w:hint="eastAsia" w:ascii="宋体" w:hAnsi="宋体" w:cs="仿宋_GB2312"/>
          <w:sz w:val="24"/>
        </w:rPr>
      </w:pPr>
      <w:r>
        <w:rPr>
          <w:rFonts w:hint="eastAsia" w:ascii="宋体" w:hAnsi="宋体" w:cs="仿宋_GB2312"/>
          <w:sz w:val="24"/>
        </w:rPr>
        <w:t>（四）甲方付款前，乙方须按甲方要求及时开具足额正规的增值税专用发票。乙方承诺其开具发票的形式与内容均合法、有效、完整、准确，不开具或开具不合格的，甲方有权迟延支付应付款项且不承担任何责任，且乙方的各项合同义务仍应按合同约定履行。</w:t>
      </w:r>
    </w:p>
    <w:p>
      <w:pPr>
        <w:adjustRightInd w:val="0"/>
        <w:snapToGrid w:val="0"/>
        <w:spacing w:line="360" w:lineRule="auto"/>
        <w:ind w:firstLine="480" w:firstLineChars="200"/>
        <w:jc w:val="left"/>
        <w:rPr>
          <w:rFonts w:hint="eastAsia" w:ascii="宋体" w:hAnsi="宋体" w:cs="仿宋_GB2312"/>
          <w:sz w:val="24"/>
        </w:rPr>
      </w:pPr>
      <w:r>
        <w:rPr>
          <w:rFonts w:hint="eastAsia" w:ascii="宋体" w:hAnsi="宋体" w:cs="仿宋_GB2312"/>
          <w:sz w:val="24"/>
        </w:rPr>
        <w:t>（五）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616"/>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甲方名称</w:t>
            </w:r>
          </w:p>
        </w:tc>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南方日报社</w:t>
            </w: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乙方名称</w:t>
            </w:r>
          </w:p>
        </w:tc>
        <w:tc>
          <w:tcPr>
            <w:tcW w:w="2131" w:type="dxa"/>
            <w:noWrap w:val="0"/>
            <w:vAlign w:val="top"/>
          </w:tcPr>
          <w:p>
            <w:pPr>
              <w:snapToGrid w:val="0"/>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纳税人识别号</w:t>
            </w:r>
          </w:p>
        </w:tc>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124400006713825565</w:t>
            </w: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纳税人识别号</w:t>
            </w:r>
          </w:p>
        </w:tc>
        <w:tc>
          <w:tcPr>
            <w:tcW w:w="2131" w:type="dxa"/>
            <w:noWrap w:val="0"/>
            <w:vAlign w:val="top"/>
          </w:tcPr>
          <w:p>
            <w:pPr>
              <w:snapToGrid w:val="0"/>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开户银行名称</w:t>
            </w:r>
          </w:p>
        </w:tc>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建行广州五羊支行</w:t>
            </w: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开户银行名称</w:t>
            </w:r>
          </w:p>
        </w:tc>
        <w:tc>
          <w:tcPr>
            <w:tcW w:w="2131" w:type="dxa"/>
            <w:noWrap w:val="0"/>
            <w:vAlign w:val="top"/>
          </w:tcPr>
          <w:p>
            <w:pPr>
              <w:snapToGrid w:val="0"/>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银行账号</w:t>
            </w:r>
          </w:p>
        </w:tc>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44001400905059318318</w:t>
            </w: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银行账号</w:t>
            </w:r>
          </w:p>
        </w:tc>
        <w:tc>
          <w:tcPr>
            <w:tcW w:w="2131" w:type="dxa"/>
            <w:noWrap w:val="0"/>
            <w:vAlign w:val="top"/>
          </w:tcPr>
          <w:p>
            <w:pPr>
              <w:snapToGrid w:val="0"/>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地址</w:t>
            </w:r>
          </w:p>
        </w:tc>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广东省广州市越秀区广州大道中289号</w:t>
            </w: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地址</w:t>
            </w:r>
          </w:p>
        </w:tc>
        <w:tc>
          <w:tcPr>
            <w:tcW w:w="2131" w:type="dxa"/>
            <w:noWrap w:val="0"/>
            <w:vAlign w:val="top"/>
          </w:tcPr>
          <w:p>
            <w:pPr>
              <w:snapToGrid w:val="0"/>
              <w:spacing w:line="360" w:lineRule="auto"/>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电话</w:t>
            </w:r>
          </w:p>
        </w:tc>
        <w:tc>
          <w:tcPr>
            <w:tcW w:w="2130" w:type="dxa"/>
            <w:noWrap w:val="0"/>
            <w:vAlign w:val="top"/>
          </w:tcPr>
          <w:p>
            <w:pPr>
              <w:snapToGrid w:val="0"/>
              <w:spacing w:line="360" w:lineRule="auto"/>
              <w:rPr>
                <w:rFonts w:hint="eastAsia" w:ascii="宋体" w:hAnsi="宋体" w:cs="宋体"/>
                <w:sz w:val="24"/>
                <w:szCs w:val="24"/>
              </w:rPr>
            </w:pPr>
          </w:p>
        </w:tc>
        <w:tc>
          <w:tcPr>
            <w:tcW w:w="2131" w:type="dxa"/>
            <w:noWrap w:val="0"/>
            <w:vAlign w:val="top"/>
          </w:tcPr>
          <w:p>
            <w:pPr>
              <w:snapToGrid w:val="0"/>
              <w:spacing w:line="360" w:lineRule="auto"/>
              <w:rPr>
                <w:rFonts w:hint="eastAsia" w:ascii="宋体" w:hAnsi="宋体" w:cs="宋体"/>
                <w:sz w:val="24"/>
                <w:szCs w:val="24"/>
              </w:rPr>
            </w:pPr>
            <w:r>
              <w:rPr>
                <w:rFonts w:hint="eastAsia" w:ascii="宋体" w:hAnsi="宋体" w:cs="宋体"/>
                <w:sz w:val="24"/>
                <w:szCs w:val="24"/>
              </w:rPr>
              <w:t>电话</w:t>
            </w:r>
          </w:p>
        </w:tc>
        <w:tc>
          <w:tcPr>
            <w:tcW w:w="2131" w:type="dxa"/>
            <w:noWrap w:val="0"/>
            <w:vAlign w:val="top"/>
          </w:tcPr>
          <w:p>
            <w:pPr>
              <w:snapToGrid w:val="0"/>
              <w:spacing w:line="360" w:lineRule="auto"/>
              <w:rPr>
                <w:rFonts w:hint="eastAsia" w:ascii="宋体" w:hAnsi="宋体" w:cs="宋体"/>
                <w:sz w:val="24"/>
                <w:szCs w:val="24"/>
              </w:rPr>
            </w:pPr>
          </w:p>
        </w:tc>
      </w:tr>
    </w:tbl>
    <w:p>
      <w:pPr>
        <w:pStyle w:val="13"/>
      </w:pPr>
    </w:p>
    <w:p>
      <w:pPr>
        <w:adjustRightInd w:val="0"/>
        <w:snapToGrid w:val="0"/>
        <w:spacing w:line="360" w:lineRule="auto"/>
        <w:ind w:firstLine="560" w:firstLineChars="200"/>
        <w:jc w:val="left"/>
        <w:rPr>
          <w:rFonts w:hint="eastAsia" w:ascii="宋体" w:hAnsi="宋体" w:cs="仿宋_GB2312"/>
          <w:sz w:val="28"/>
          <w:szCs w:val="28"/>
        </w:rPr>
      </w:pPr>
    </w:p>
    <w:p>
      <w:pPr>
        <w:snapToGrid w:val="0"/>
        <w:spacing w:line="360" w:lineRule="auto"/>
        <w:rPr>
          <w:rFonts w:hint="eastAsia" w:ascii="宋体" w:hAnsi="宋体" w:cs="宋体"/>
          <w:b/>
          <w:sz w:val="24"/>
        </w:rPr>
      </w:pPr>
      <w:r>
        <w:rPr>
          <w:rFonts w:hint="eastAsia" w:ascii="宋体" w:hAnsi="宋体" w:cs="宋体"/>
          <w:b/>
          <w:sz w:val="24"/>
        </w:rPr>
        <w:t>第七条  质量及服务的保证</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条例主要针对项目质保期及售后服务要求，本合同的质量保证期（简称“质保期”）至少为12个月，自终验通过之日算起。具体按合同第二条质量要求约定的期限。质保期内乙方对所供货物进行包修、包换、包退及合同约定的其他事项，期满后可同时提供终身（有偿）维修保养服务。</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（二）质保期内，如设备或零部件因质量原因出现故障而造成短期停用时，则质保期和免费维修期相应顺延。如停用时间累计超过60天则质保期自恢复正常使用之日起重新计算。</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（三）乙方对维保期内的软件负责免费版本升级和解决任何软件质量和安全问题。</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（四）乙方配合甲方进行国家信息安全等级保护三级测评工作，即：乙方提供自己在信息安全方面的顾问咨询能力，协助甲方在信息安全方面的建设。</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（五）</w:t>
      </w:r>
      <w:r>
        <w:rPr>
          <w:rFonts w:hint="eastAsia" w:ascii="宋体" w:hAnsi="宋体" w:cs="仿宋_GB2312"/>
          <w:sz w:val="24"/>
        </w:rPr>
        <w:t>乙方需针对本项目需求编制规范的专业服务、客户服务等售后服务方案，切实保证本项目的售后服务要求。服务范围包括不限于：项目集成实施、原厂技术咨询、软硬件安装、功能对接、系统优化、故障处理、安全加固和等保测评、必要的技术文档和应急预案、定期恢复演练、备份运维规范和操作指引制定、备份运维体系建设、技术培训、配件更换、升级、400远程电话和邮件等技术支持服务。</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（六）对甲方的服务通知，乙方在接报后15分钟内相应，必要时2小时内到达现场提供技术服务，8小时内处理完毕。若在24小时内仍未能有效解决，乙方须免费提供同档次的设备予甲方临时使用。</w:t>
      </w:r>
    </w:p>
    <w:p>
      <w:pPr>
        <w:snapToGrid w:val="0"/>
        <w:spacing w:line="360" w:lineRule="auto"/>
        <w:rPr>
          <w:rFonts w:hint="eastAsia" w:ascii="宋体" w:hAnsi="宋体" w:cs="宋体"/>
          <w:sz w:val="24"/>
        </w:rPr>
      </w:pPr>
      <w:r>
        <w:rPr>
          <w:rFonts w:hint="eastAsia" w:ascii="宋体" w:hAnsi="宋体" w:cs="宋体"/>
          <w:b/>
          <w:sz w:val="24"/>
        </w:rPr>
        <w:t>第八条  违约责任</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（一）除法律规定或双方另有约定之外，任何一方单方解除合同，须赔偿本合同总价的百分之二十。</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（二）乙方若不履行合同而延迟发货，则乙方应按甲方要求的到货日期届满之日起到实际到货日，每日按货款金额的千分之五向甲方支付延迟到货违约金。对于产品延迟</w:t>
      </w:r>
      <w:r>
        <w:rPr>
          <w:rFonts w:ascii="宋体" w:hAnsi="宋体" w:cs="宋体"/>
          <w:sz w:val="24"/>
        </w:rPr>
        <w:t>1</w:t>
      </w:r>
      <w:r>
        <w:rPr>
          <w:rFonts w:hint="eastAsia" w:ascii="宋体" w:hAnsi="宋体" w:cs="宋体"/>
          <w:sz w:val="24"/>
        </w:rPr>
        <w:t>5天交货的，甲方有权解除合同，解除合同的书面通知自到达乙方工商登记地址之日起生效。届时乙方必须向甲方支付合同总价百分之三十的违约金并赔偿因此给甲方造成的损失。</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三）乙方交付的货物、服务不符合本合同规定的，甲方有权拒收及终止本合同，乙方须返还甲方已支付的费用并向甲方支付本合同总价30%的违约金，违约金不足以弥补甲方损失的，乙方还需赔偿甲方的所有损失。</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四）对于合同期内到货和完成服务，甲方验收合格后却未按合同约定付款的，自合同约定的付款期之次日到实际付款日，每日按未付货款金额的千分之五向乙方支付逾期付款违约金，但违约金总额不得超过应付而未付款项的百分之三十。</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（五）出现质量和服务（含售后服务）问题，按合同第七条的约定执行。</w:t>
      </w:r>
    </w:p>
    <w:p>
      <w:pPr>
        <w:wordWrap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（六）</w:t>
      </w:r>
      <w:r>
        <w:rPr>
          <w:rFonts w:hint="eastAsia" w:ascii="宋体" w:hAnsi="宋体" w:cs="宋体"/>
          <w:kern w:val="0"/>
          <w:sz w:val="24"/>
          <w:lang w:bidi="ar"/>
        </w:rPr>
        <w:t>其他违约责任按《中华人民共和国民法典》处理。</w:t>
      </w:r>
    </w:p>
    <w:p>
      <w:pPr>
        <w:wordWrap w:val="0"/>
        <w:adjustRightInd w:val="0"/>
        <w:snapToGrid w:val="0"/>
        <w:spacing w:line="360" w:lineRule="auto"/>
        <w:ind w:firstLine="480" w:firstLineChars="200"/>
        <w:jc w:val="left"/>
        <w:rPr>
          <w:rFonts w:hint="eastAsia" w:ascii="宋体" w:hAnsi="宋体" w:cs="宋体"/>
          <w:sz w:val="24"/>
        </w:rPr>
      </w:pPr>
    </w:p>
    <w:p>
      <w:pPr>
        <w:tabs>
          <w:tab w:val="left" w:pos="426"/>
        </w:tabs>
        <w:snapToGrid w:val="0"/>
        <w:spacing w:line="360" w:lineRule="auto"/>
        <w:rPr>
          <w:rFonts w:hint="eastAsia" w:ascii="宋体" w:hAnsi="宋体" w:cs="宋体"/>
          <w:b/>
          <w:bCs/>
          <w:sz w:val="24"/>
        </w:rPr>
      </w:pPr>
      <w:r>
        <w:rPr>
          <w:rFonts w:hint="eastAsia" w:ascii="宋体" w:hAnsi="宋体" w:cs="宋体"/>
          <w:b/>
          <w:bCs/>
          <w:sz w:val="24"/>
        </w:rPr>
        <w:t>第九条  知识产权与商业秘密</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（一）乙方保证提供的产品不侵犯任何第三方的合法权益，否则由乙方承担一切法律责任，因此给甲方造成损失，乙方应负责赔偿。</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承担相应的侵权责任。</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（三）本合同有效期内及终止后，本条款仍具有法律效力。</w:t>
      </w:r>
    </w:p>
    <w:p>
      <w:pPr>
        <w:snapToGrid w:val="0"/>
        <w:spacing w:after="120" w:line="360" w:lineRule="auto"/>
        <w:ind w:firstLine="280"/>
        <w:jc w:val="left"/>
        <w:rPr>
          <w:rFonts w:hint="eastAsia" w:ascii="宋体" w:hAnsi="宋体" w:cs="宋体"/>
          <w:bCs/>
          <w:sz w:val="24"/>
        </w:rPr>
      </w:pPr>
    </w:p>
    <w:p>
      <w:pPr>
        <w:tabs>
          <w:tab w:val="left" w:pos="426"/>
        </w:tabs>
        <w:snapToGrid w:val="0"/>
        <w:spacing w:line="360" w:lineRule="auto"/>
        <w:rPr>
          <w:rFonts w:hint="eastAsia" w:ascii="宋体" w:hAnsi="宋体" w:cs="宋体"/>
          <w:b/>
          <w:bCs/>
          <w:sz w:val="24"/>
        </w:rPr>
      </w:pPr>
      <w:r>
        <w:rPr>
          <w:rFonts w:hint="eastAsia" w:ascii="宋体" w:hAnsi="宋体" w:cs="宋体"/>
          <w:b/>
          <w:bCs/>
          <w:sz w:val="24"/>
        </w:rPr>
        <w:t>第十条  不可抗力及免责</w:t>
      </w:r>
    </w:p>
    <w:p>
      <w:pPr>
        <w:tabs>
          <w:tab w:val="left" w:pos="426"/>
        </w:tabs>
        <w:snapToGrid w:val="0"/>
        <w:spacing w:line="360" w:lineRule="auto"/>
        <w:ind w:firstLine="480" w:firstLineChars="200"/>
        <w:rPr>
          <w:rFonts w:hint="eastAsia" w:ascii="宋体" w:hAnsi="宋体" w:cs="宋体"/>
          <w:bCs/>
          <w:sz w:val="24"/>
        </w:rPr>
      </w:pPr>
      <w:r>
        <w:rPr>
          <w:rFonts w:hint="eastAsia" w:ascii="宋体" w:hAnsi="宋体" w:cs="宋体"/>
          <w:bCs/>
          <w:sz w:val="24"/>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tabs>
          <w:tab w:val="left" w:pos="426"/>
        </w:tabs>
        <w:snapToGrid w:val="0"/>
        <w:spacing w:line="360" w:lineRule="auto"/>
        <w:ind w:firstLine="480" w:firstLineChars="200"/>
        <w:rPr>
          <w:rFonts w:hint="eastAsia" w:ascii="宋体" w:hAnsi="宋体" w:cs="宋体"/>
          <w:bCs/>
          <w:sz w:val="24"/>
        </w:rPr>
      </w:pPr>
      <w:r>
        <w:rPr>
          <w:rFonts w:hint="eastAsia" w:ascii="宋体" w:hAnsi="宋体" w:cs="宋体"/>
          <w:bCs/>
          <w:sz w:val="24"/>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tabs>
          <w:tab w:val="left" w:pos="426"/>
        </w:tabs>
        <w:snapToGrid w:val="0"/>
        <w:spacing w:line="360" w:lineRule="auto"/>
        <w:ind w:firstLine="480" w:firstLineChars="200"/>
        <w:rPr>
          <w:rFonts w:hint="eastAsia" w:ascii="宋体" w:hAnsi="宋体" w:cs="宋体"/>
          <w:bCs/>
          <w:sz w:val="24"/>
        </w:rPr>
      </w:pPr>
      <w:r>
        <w:rPr>
          <w:rFonts w:hint="eastAsia" w:ascii="宋体" w:hAnsi="宋体" w:cs="宋体"/>
          <w:bCs/>
          <w:sz w:val="24"/>
        </w:rPr>
        <w:t>（三）遭受不可抗力的一方未履行上述义务或不可抗力发生在一方违约前或违约后的，不能免除其违约责任。</w:t>
      </w:r>
    </w:p>
    <w:p>
      <w:pPr>
        <w:tabs>
          <w:tab w:val="left" w:pos="426"/>
        </w:tabs>
        <w:snapToGrid w:val="0"/>
        <w:spacing w:line="360" w:lineRule="auto"/>
        <w:ind w:firstLine="480"/>
        <w:rPr>
          <w:rFonts w:hint="eastAsia" w:ascii="宋体" w:hAnsi="宋体" w:cs="宋体"/>
          <w:b/>
          <w:bCs/>
          <w:sz w:val="24"/>
        </w:rPr>
      </w:pPr>
    </w:p>
    <w:p>
      <w:pPr>
        <w:snapToGrid w:val="0"/>
        <w:spacing w:line="360" w:lineRule="auto"/>
        <w:rPr>
          <w:rFonts w:hint="eastAsia" w:ascii="宋体" w:hAnsi="宋体" w:cs="宋体"/>
          <w:sz w:val="24"/>
        </w:rPr>
      </w:pPr>
      <w:r>
        <w:rPr>
          <w:rFonts w:hint="eastAsia" w:ascii="宋体" w:hAnsi="宋体" w:cs="宋体"/>
          <w:b/>
          <w:bCs/>
          <w:sz w:val="24"/>
        </w:rPr>
        <w:t>第十一条  法律适用及争议解决</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（一）本合同受中华人民共和国法律解释和管辖，并不考虑法律冲突。</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（二）双方约定，合同签订地为广州市越秀区。有关本合同的任何争议应由双方秉承善意友好协商解决。若双方协商不成，一方可将争议提交合同签订地有管辖权的法院诉讼解决。</w:t>
      </w:r>
    </w:p>
    <w:p>
      <w:pPr>
        <w:adjustRightInd w:val="0"/>
        <w:snapToGrid w:val="0"/>
        <w:spacing w:line="360" w:lineRule="auto"/>
        <w:ind w:firstLine="480" w:firstLineChars="200"/>
        <w:rPr>
          <w:rFonts w:hint="eastAsia" w:ascii="宋体" w:hAnsi="宋体" w:cs="宋体"/>
          <w:b/>
          <w:sz w:val="24"/>
        </w:rPr>
      </w:pPr>
    </w:p>
    <w:p>
      <w:pPr>
        <w:snapToGrid w:val="0"/>
        <w:spacing w:line="360" w:lineRule="auto"/>
        <w:rPr>
          <w:rFonts w:hint="eastAsia" w:ascii="宋体" w:hAnsi="宋体" w:cs="宋体"/>
          <w:b/>
          <w:sz w:val="24"/>
        </w:rPr>
      </w:pPr>
      <w:r>
        <w:rPr>
          <w:rFonts w:hint="eastAsia" w:ascii="宋体" w:hAnsi="宋体" w:cs="宋体"/>
          <w:b/>
          <w:sz w:val="24"/>
        </w:rPr>
        <w:t>第十二条  通知与送达</w:t>
      </w:r>
    </w:p>
    <w:p>
      <w:pPr>
        <w:widowControl/>
        <w:tabs>
          <w:tab w:val="left" w:pos="426"/>
        </w:tabs>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snapToGrid w:val="0"/>
        <w:spacing w:line="360" w:lineRule="auto"/>
        <w:rPr>
          <w:rFonts w:hint="eastAsia" w:ascii="宋体" w:hAnsi="宋体" w:cs="宋体"/>
          <w:b/>
          <w:sz w:val="24"/>
        </w:rPr>
      </w:pPr>
    </w:p>
    <w:p>
      <w:pPr>
        <w:snapToGrid w:val="0"/>
        <w:spacing w:line="360" w:lineRule="auto"/>
        <w:jc w:val="left"/>
        <w:rPr>
          <w:rFonts w:hint="eastAsia" w:ascii="宋体" w:hAnsi="宋体" w:cs="宋体"/>
          <w:b/>
          <w:sz w:val="24"/>
        </w:rPr>
      </w:pPr>
      <w:r>
        <w:rPr>
          <w:rFonts w:hint="eastAsia" w:ascii="宋体" w:hAnsi="宋体" w:cs="宋体"/>
          <w:b/>
          <w:sz w:val="24"/>
        </w:rPr>
        <w:t>第十三条  其他</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（一）本合同经双方法定代表人（负责人）或授权代理人签字并盖章之日起生效，至本合同约定双方权利义务履行完毕终止。</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（二）本合同共</w:t>
      </w:r>
      <w:r>
        <w:rPr>
          <w:rFonts w:hint="eastAsia" w:ascii="宋体" w:hAnsi="宋体" w:cs="宋体"/>
          <w:sz w:val="24"/>
          <w:u w:val="single"/>
        </w:rPr>
        <w:t xml:space="preserve"> </w:t>
      </w:r>
      <w:r>
        <w:rPr>
          <w:rFonts w:hint="eastAsia" w:ascii="宋体" w:hAnsi="宋体" w:cs="宋体"/>
          <w:sz w:val="24"/>
          <w:u w:val="single"/>
          <w:lang w:eastAsia="zh-Hans"/>
        </w:rPr>
        <w:t>肆</w:t>
      </w:r>
      <w:r>
        <w:rPr>
          <w:rFonts w:hint="eastAsia" w:ascii="宋体" w:hAnsi="宋体" w:cs="宋体"/>
          <w:sz w:val="24"/>
          <w:u w:val="single"/>
        </w:rPr>
        <w:t xml:space="preserve"> </w:t>
      </w:r>
      <w:r>
        <w:rPr>
          <w:rFonts w:hint="eastAsia" w:ascii="宋体" w:hAnsi="宋体" w:cs="宋体"/>
          <w:sz w:val="24"/>
        </w:rPr>
        <w:t>份,其中甲方执</w:t>
      </w:r>
      <w:r>
        <w:rPr>
          <w:rFonts w:hint="eastAsia" w:ascii="宋体" w:hAnsi="宋体" w:cs="宋体"/>
          <w:sz w:val="24"/>
          <w:u w:val="single"/>
        </w:rPr>
        <w:t xml:space="preserve">  </w:t>
      </w:r>
      <w:r>
        <w:rPr>
          <w:rFonts w:hint="eastAsia" w:ascii="宋体" w:hAnsi="宋体" w:cs="宋体"/>
          <w:sz w:val="24"/>
          <w:u w:val="single"/>
          <w:lang w:eastAsia="zh-Hans"/>
        </w:rPr>
        <w:t>贰</w:t>
      </w:r>
      <w:r>
        <w:rPr>
          <w:rFonts w:hint="eastAsia" w:ascii="宋体" w:hAnsi="宋体" w:cs="宋体"/>
          <w:sz w:val="24"/>
          <w:u w:val="single"/>
        </w:rPr>
        <w:t xml:space="preserve">   </w:t>
      </w:r>
      <w:r>
        <w:rPr>
          <w:rFonts w:hint="eastAsia" w:ascii="宋体" w:hAnsi="宋体" w:cs="宋体"/>
          <w:sz w:val="24"/>
        </w:rPr>
        <w:t>份，乙方执</w:t>
      </w:r>
      <w:r>
        <w:rPr>
          <w:rFonts w:hint="eastAsia" w:ascii="宋体" w:hAnsi="宋体" w:cs="宋体"/>
          <w:sz w:val="24"/>
          <w:u w:val="single"/>
        </w:rPr>
        <w:t xml:space="preserve">  </w:t>
      </w:r>
      <w:r>
        <w:rPr>
          <w:rFonts w:hint="eastAsia" w:ascii="宋体" w:hAnsi="宋体" w:cs="宋体"/>
          <w:sz w:val="24"/>
          <w:u w:val="single"/>
          <w:lang w:eastAsia="zh-Hans"/>
        </w:rPr>
        <w:t>贰</w:t>
      </w:r>
      <w:r>
        <w:rPr>
          <w:rFonts w:hint="eastAsia" w:ascii="宋体" w:hAnsi="宋体" w:cs="宋体"/>
          <w:sz w:val="24"/>
          <w:u w:val="single"/>
        </w:rPr>
        <w:t xml:space="preserve">   </w:t>
      </w:r>
      <w:r>
        <w:rPr>
          <w:rFonts w:hint="eastAsia" w:ascii="宋体" w:hAnsi="宋体" w:cs="宋体"/>
          <w:sz w:val="24"/>
        </w:rPr>
        <w:t>份，具有同等法律效力。</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（四）招投标文件是本合同的完整组成部分，与本合同具有同等法律效力。</w:t>
      </w:r>
    </w:p>
    <w:p>
      <w:pPr>
        <w:tabs>
          <w:tab w:val="left" w:pos="426"/>
        </w:tabs>
        <w:snapToGrid w:val="0"/>
        <w:spacing w:line="360" w:lineRule="auto"/>
        <w:ind w:firstLine="480"/>
        <w:rPr>
          <w:rFonts w:hint="eastAsia" w:ascii="宋体" w:hAnsi="宋体" w:cs="宋体"/>
          <w:bCs/>
          <w:sz w:val="24"/>
        </w:rPr>
      </w:pPr>
      <w:r>
        <w:rPr>
          <w:rFonts w:hint="eastAsia" w:ascii="宋体" w:hAnsi="宋体" w:cs="宋体"/>
          <w:bCs/>
          <w:sz w:val="24"/>
        </w:rPr>
        <w:t>【以下无正文】</w:t>
      </w:r>
    </w:p>
    <w:p>
      <w:pPr>
        <w:tabs>
          <w:tab w:val="left" w:pos="426"/>
        </w:tabs>
        <w:snapToGrid w:val="0"/>
        <w:spacing w:line="360" w:lineRule="auto"/>
        <w:ind w:firstLine="480"/>
        <w:rPr>
          <w:rFonts w:hint="eastAsia" w:ascii="宋体" w:hAnsi="宋体" w:cs="宋体"/>
          <w:sz w:val="24"/>
        </w:rPr>
      </w:pPr>
    </w:p>
    <w:p>
      <w:pPr>
        <w:tabs>
          <w:tab w:val="left" w:pos="426"/>
        </w:tabs>
        <w:snapToGrid w:val="0"/>
        <w:spacing w:line="360" w:lineRule="auto"/>
        <w:ind w:firstLine="480"/>
        <w:rPr>
          <w:rFonts w:hint="eastAsia" w:ascii="宋体" w:hAnsi="宋体" w:cs="宋体"/>
          <w:sz w:val="24"/>
        </w:rPr>
      </w:pPr>
    </w:p>
    <w:p>
      <w:pPr>
        <w:tabs>
          <w:tab w:val="left" w:pos="426"/>
        </w:tabs>
        <w:snapToGrid w:val="0"/>
        <w:spacing w:line="360" w:lineRule="auto"/>
        <w:ind w:firstLine="480"/>
        <w:rPr>
          <w:rFonts w:hint="eastAsia" w:ascii="宋体" w:hAnsi="宋体" w:cs="宋体"/>
          <w:sz w:val="24"/>
        </w:rPr>
      </w:pPr>
    </w:p>
    <w:p>
      <w:pPr>
        <w:tabs>
          <w:tab w:val="left" w:pos="426"/>
        </w:tabs>
        <w:snapToGrid w:val="0"/>
        <w:spacing w:line="360" w:lineRule="auto"/>
        <w:ind w:firstLine="480"/>
        <w:rPr>
          <w:rFonts w:hint="eastAsia" w:ascii="宋体" w:hAnsi="宋体" w:cs="宋体"/>
          <w:sz w:val="24"/>
        </w:rPr>
      </w:pPr>
    </w:p>
    <w:p>
      <w:pPr>
        <w:snapToGrid w:val="0"/>
        <w:spacing w:line="360" w:lineRule="auto"/>
        <w:rPr>
          <w:rFonts w:hint="eastAsia" w:ascii="宋体" w:hAnsi="宋体" w:cs="宋体"/>
          <w:sz w:val="24"/>
          <w:shd w:val="clear" w:color="auto" w:fill="FFFFFF"/>
        </w:rPr>
      </w:pPr>
      <w:r>
        <w:rPr>
          <w:rFonts w:hint="eastAsia" w:ascii="宋体" w:hAnsi="宋体" w:cs="宋体"/>
          <w:sz w:val="24"/>
          <w:shd w:val="clear" w:color="auto" w:fill="FFFFFF"/>
        </w:rPr>
        <w:t xml:space="preserve">甲方（盖章）：                   </w:t>
      </w:r>
      <w:r>
        <w:rPr>
          <w:rFonts w:hint="eastAsia" w:ascii="宋体" w:hAnsi="宋体" w:cs="宋体"/>
          <w:sz w:val="24"/>
          <w:shd w:val="clear" w:color="auto" w:fill="FFFFFF"/>
        </w:rPr>
        <w:tab/>
      </w:r>
      <w:r>
        <w:rPr>
          <w:rFonts w:hint="eastAsia" w:ascii="宋体" w:hAnsi="宋体" w:cs="宋体"/>
          <w:sz w:val="24"/>
          <w:shd w:val="clear" w:color="auto" w:fill="FFFFFF"/>
        </w:rPr>
        <w:t>乙方（盖章）：</w:t>
      </w:r>
    </w:p>
    <w:p>
      <w:pPr>
        <w:snapToGrid w:val="0"/>
        <w:spacing w:line="360" w:lineRule="auto"/>
        <w:rPr>
          <w:rFonts w:hint="eastAsia" w:ascii="宋体" w:hAnsi="宋体" w:cs="宋体"/>
          <w:sz w:val="24"/>
          <w:shd w:val="clear" w:color="auto" w:fill="FFFFFF"/>
        </w:rPr>
      </w:pPr>
      <w:r>
        <w:rPr>
          <w:rFonts w:hint="eastAsia" w:ascii="宋体" w:hAnsi="宋体" w:cs="宋体"/>
          <w:sz w:val="24"/>
          <w:shd w:val="clear" w:color="auto" w:fill="FFFFFF"/>
        </w:rPr>
        <w:t xml:space="preserve">法人（授权）代表签字：          </w:t>
      </w:r>
      <w:r>
        <w:rPr>
          <w:rFonts w:hint="eastAsia" w:ascii="宋体" w:hAnsi="宋体" w:cs="宋体"/>
          <w:sz w:val="24"/>
          <w:shd w:val="clear" w:color="auto" w:fill="FFFFFF"/>
        </w:rPr>
        <w:tab/>
      </w:r>
      <w:r>
        <w:rPr>
          <w:rFonts w:hint="eastAsia" w:ascii="宋体" w:hAnsi="宋体" w:cs="宋体"/>
          <w:sz w:val="24"/>
          <w:shd w:val="clear" w:color="auto" w:fill="FFFFFF"/>
        </w:rPr>
        <w:t xml:space="preserve">法人（授权）代表签字：        </w:t>
      </w:r>
    </w:p>
    <w:p>
      <w:pPr>
        <w:snapToGrid w:val="0"/>
        <w:spacing w:line="360" w:lineRule="auto"/>
        <w:rPr>
          <w:rFonts w:hint="eastAsia" w:ascii="宋体" w:hAnsi="宋体" w:cs="宋体"/>
          <w:sz w:val="24"/>
          <w:shd w:val="clear" w:color="auto" w:fill="FFFFFF"/>
        </w:rPr>
      </w:pPr>
      <w:r>
        <w:rPr>
          <w:rFonts w:hint="eastAsia" w:ascii="宋体" w:hAnsi="宋体" w:cs="宋体"/>
          <w:sz w:val="24"/>
          <w:shd w:val="clear" w:color="auto" w:fill="FFFFFF"/>
        </w:rPr>
        <w:t>日期：</w:t>
      </w:r>
      <w:r>
        <w:rPr>
          <w:rFonts w:hint="eastAsia" w:ascii="宋体" w:hAnsi="宋体" w:cs="宋体"/>
          <w:sz w:val="24"/>
          <w:u w:val="single"/>
        </w:rPr>
        <w:t xml:space="preserve">    </w:t>
      </w:r>
      <w:r>
        <w:rPr>
          <w:rFonts w:hint="eastAsia" w:ascii="宋体" w:hAnsi="宋体" w:cs="宋体"/>
          <w:sz w:val="24"/>
          <w:shd w:val="clear" w:color="auto" w:fill="FFFFFF"/>
        </w:rPr>
        <w:t>年</w:t>
      </w:r>
      <w:r>
        <w:rPr>
          <w:rFonts w:hint="eastAsia" w:ascii="宋体" w:hAnsi="宋体" w:cs="宋体"/>
          <w:sz w:val="24"/>
          <w:u w:val="single"/>
        </w:rPr>
        <w:t xml:space="preserve">    </w:t>
      </w:r>
      <w:r>
        <w:rPr>
          <w:rFonts w:hint="eastAsia" w:ascii="宋体" w:hAnsi="宋体" w:cs="宋体"/>
          <w:sz w:val="24"/>
          <w:shd w:val="clear" w:color="auto" w:fill="FFFFFF"/>
        </w:rPr>
        <w:t>月</w:t>
      </w:r>
      <w:r>
        <w:rPr>
          <w:rFonts w:hint="eastAsia" w:ascii="宋体" w:hAnsi="宋体" w:cs="宋体"/>
          <w:sz w:val="24"/>
          <w:u w:val="single"/>
        </w:rPr>
        <w:t xml:space="preserve">    </w:t>
      </w:r>
      <w:r>
        <w:rPr>
          <w:rFonts w:hint="eastAsia" w:ascii="宋体" w:hAnsi="宋体" w:cs="宋体"/>
          <w:sz w:val="24"/>
          <w:shd w:val="clear" w:color="auto" w:fill="FFFFFF"/>
        </w:rPr>
        <w:t xml:space="preserve">日        </w:t>
      </w:r>
      <w:r>
        <w:rPr>
          <w:rFonts w:hint="eastAsia" w:ascii="宋体" w:hAnsi="宋体" w:cs="宋体"/>
          <w:sz w:val="24"/>
          <w:shd w:val="clear" w:color="auto" w:fill="FFFFFF"/>
        </w:rPr>
        <w:tab/>
      </w:r>
      <w:r>
        <w:rPr>
          <w:rFonts w:hint="eastAsia" w:ascii="宋体" w:hAnsi="宋体" w:cs="宋体"/>
          <w:sz w:val="24"/>
          <w:shd w:val="clear" w:color="auto" w:fill="FFFFFF"/>
        </w:rPr>
        <w:t>日期：</w:t>
      </w:r>
      <w:r>
        <w:rPr>
          <w:rFonts w:hint="eastAsia" w:ascii="宋体" w:hAnsi="宋体" w:cs="宋体"/>
          <w:sz w:val="24"/>
          <w:u w:val="single"/>
        </w:rPr>
        <w:t xml:space="preserve">    </w:t>
      </w:r>
      <w:r>
        <w:rPr>
          <w:rFonts w:hint="eastAsia" w:ascii="宋体" w:hAnsi="宋体" w:cs="宋体"/>
          <w:sz w:val="24"/>
          <w:shd w:val="clear" w:color="auto" w:fill="FFFFFF"/>
        </w:rPr>
        <w:t>年</w:t>
      </w:r>
      <w:r>
        <w:rPr>
          <w:rFonts w:hint="eastAsia" w:ascii="宋体" w:hAnsi="宋体" w:cs="宋体"/>
          <w:sz w:val="24"/>
          <w:u w:val="single"/>
        </w:rPr>
        <w:t xml:space="preserve">    </w:t>
      </w:r>
      <w:r>
        <w:rPr>
          <w:rFonts w:hint="eastAsia" w:ascii="宋体" w:hAnsi="宋体" w:cs="宋体"/>
          <w:sz w:val="24"/>
          <w:shd w:val="clear" w:color="auto" w:fill="FFFFFF"/>
        </w:rPr>
        <w:t>月</w:t>
      </w:r>
      <w:r>
        <w:rPr>
          <w:rFonts w:hint="eastAsia" w:ascii="宋体" w:hAnsi="宋体" w:cs="宋体"/>
          <w:sz w:val="24"/>
          <w:u w:val="single"/>
        </w:rPr>
        <w:t xml:space="preserve">    </w:t>
      </w:r>
      <w:r>
        <w:rPr>
          <w:rFonts w:hint="eastAsia" w:ascii="宋体" w:hAnsi="宋体" w:cs="宋体"/>
          <w:sz w:val="24"/>
          <w:shd w:val="clear" w:color="auto" w:fill="FFFFFF"/>
        </w:rPr>
        <w:t>日</w:t>
      </w:r>
    </w:p>
    <w:p>
      <w:pPr>
        <w:pStyle w:val="13"/>
        <w:ind w:firstLine="0"/>
      </w:pPr>
    </w:p>
    <w:tbl>
      <w:tblPr>
        <w:tblStyle w:val="37"/>
        <w:tblpPr w:leftFromText="180" w:rightFromText="180" w:vertAnchor="text" w:horzAnchor="page" w:tblpX="1303" w:tblpY="168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771"/>
        <w:gridCol w:w="660"/>
        <w:gridCol w:w="416"/>
        <w:gridCol w:w="1868"/>
        <w:gridCol w:w="416"/>
        <w:gridCol w:w="416"/>
        <w:gridCol w:w="1016"/>
        <w:gridCol w:w="816"/>
        <w:gridCol w:w="661"/>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90" w:type="pct"/>
            <w:noWrap w:val="0"/>
            <w:vAlign w:val="center"/>
          </w:tcPr>
          <w:p>
            <w:pPr>
              <w:widowControl/>
              <w:jc w:val="lef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-887730</wp:posOffset>
                      </wp:positionV>
                      <wp:extent cx="1546860" cy="47244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546860" cy="472440"/>
                              </a:xfrm>
                              <a:prstGeom prst="rect">
                                <a:avLst/>
                              </a:prstGeom>
                              <a:noFill/>
                              <a:ln w="6350">
                                <a:noFill/>
                              </a:ln>
                              <a:effectLst/>
                            </wps:spPr>
                            <wps:txbx>
                              <w:txbxContent>
                                <w:p>
                                  <w:pP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附件一：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pt;margin-top:-69.9pt;height:37.2pt;width:121.8pt;z-index:251659264;mso-width-relative:page;mso-height-relative:page;" filled="f" stroked="f" coordsize="21600,21600" o:gfxdata="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8FP8m3AAAAAoBAAAPAAAAAAAAAAEAIAAA&#10;ACIAAABkcnMvZG93bnJldi54bWxQSwECFAAUAAAACACHTuJAX+MkrUECAAB0BAAADgAAAAAAAAAB&#10;ACAAAAArAQAAZHJzL2Uyb0RvYy54bWxQSwUGAAAAAAYABgBZAQAA3gUAAAAA&#10;">
                      <v:fill on="f" focussize="0,0"/>
                      <v:stroke on="f" weight="0.5pt"/>
                      <v:imagedata o:title=""/>
                      <o:lock v:ext="edit" aspectratio="f"/>
                      <v:textbox>
                        <w:txbxContent>
                          <w:p>
                            <w:pP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附件一：</w:t>
                            </w:r>
                          </w:p>
                        </w:txbxContent>
                      </v:textbox>
                    </v:shape>
                  </w:pict>
                </mc:Fallback>
              </mc:AlternateContent>
            </w:r>
            <w:r>
              <w:rPr>
                <w:rFonts w:hint="eastAsia" w:ascii="微软雅黑" w:hAnsi="微软雅黑" w:eastAsia="微软雅黑" w:cs="宋体"/>
                <w:b/>
                <w:bCs/>
                <w:kern w:val="0"/>
                <w:sz w:val="20"/>
                <w:szCs w:val="20"/>
              </w:rPr>
              <w:t>序号</w:t>
            </w:r>
          </w:p>
        </w:tc>
        <w:tc>
          <w:tcPr>
            <w:tcW w:w="252"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分项名称</w:t>
            </w:r>
          </w:p>
        </w:tc>
        <w:tc>
          <w:tcPr>
            <w:tcW w:w="1012"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需求</w:t>
            </w:r>
          </w:p>
        </w:tc>
        <w:tc>
          <w:tcPr>
            <w:tcW w:w="405"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产品名称/型号</w:t>
            </w:r>
          </w:p>
        </w:tc>
        <w:tc>
          <w:tcPr>
            <w:tcW w:w="253"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品牌</w:t>
            </w:r>
          </w:p>
        </w:tc>
        <w:tc>
          <w:tcPr>
            <w:tcW w:w="1063"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详细描述</w:t>
            </w:r>
          </w:p>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（含质保期描述）</w:t>
            </w:r>
          </w:p>
        </w:tc>
        <w:tc>
          <w:tcPr>
            <w:tcW w:w="202"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数量</w:t>
            </w:r>
          </w:p>
        </w:tc>
        <w:tc>
          <w:tcPr>
            <w:tcW w:w="202"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单位</w:t>
            </w:r>
          </w:p>
        </w:tc>
        <w:tc>
          <w:tcPr>
            <w:tcW w:w="353" w:type="pct"/>
            <w:noWrap w:val="0"/>
            <w:vAlign w:val="center"/>
          </w:tcPr>
          <w:p>
            <w:pPr>
              <w:widowControl/>
              <w:ind w:right="200"/>
              <w:jc w:val="righ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单价（元）</w:t>
            </w:r>
          </w:p>
        </w:tc>
        <w:tc>
          <w:tcPr>
            <w:tcW w:w="405" w:type="pct"/>
            <w:noWrap w:val="0"/>
            <w:vAlign w:val="center"/>
          </w:tcPr>
          <w:p>
            <w:pPr>
              <w:widowControl/>
              <w:jc w:val="right"/>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合计（元）</w:t>
            </w:r>
          </w:p>
        </w:tc>
        <w:tc>
          <w:tcPr>
            <w:tcW w:w="405"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分项总价</w:t>
            </w:r>
          </w:p>
        </w:tc>
        <w:tc>
          <w:tcPr>
            <w:tcW w:w="253" w:type="pct"/>
            <w:noWrap w:val="0"/>
            <w:vAlign w:val="center"/>
          </w:tcPr>
          <w:p>
            <w:pPr>
              <w:widowControl/>
              <w:jc w:val="center"/>
              <w:rPr>
                <w:rFonts w:hint="eastAsia" w:ascii="微软雅黑" w:hAnsi="微软雅黑" w:eastAsia="微软雅黑" w:cs="宋体"/>
                <w:b/>
                <w:bCs/>
                <w:kern w:val="0"/>
                <w:sz w:val="20"/>
                <w:szCs w:val="20"/>
              </w:rPr>
            </w:pPr>
            <w:r>
              <w:rPr>
                <w:rFonts w:hint="eastAsia" w:ascii="微软雅黑" w:hAnsi="微软雅黑" w:eastAsia="微软雅黑" w:cs="宋体"/>
                <w:b/>
                <w:bCs/>
                <w:kern w:val="0"/>
                <w:sz w:val="20"/>
                <w:szCs w:val="20"/>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90" w:type="pct"/>
            <w:vMerge w:val="restart"/>
            <w:noWrap w:val="0"/>
            <w:vAlign w:val="center"/>
          </w:tcPr>
          <w:p>
            <w:r>
              <w:rPr>
                <w:rFonts w:hint="eastAsia"/>
              </w:rPr>
              <w:t>1</w:t>
            </w:r>
          </w:p>
        </w:tc>
        <w:tc>
          <w:tcPr>
            <w:tcW w:w="252" w:type="pct"/>
            <w:vMerge w:val="restart"/>
            <w:noWrap w:val="0"/>
            <w:vAlign w:val="center"/>
          </w:tcPr>
          <w:p/>
        </w:tc>
        <w:tc>
          <w:tcPr>
            <w:tcW w:w="1012" w:type="pct"/>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0"/>
            <w:vAlign w:val="center"/>
          </w:tcPr>
          <w:p/>
        </w:tc>
        <w:tc>
          <w:tcPr>
            <w:tcW w:w="405" w:type="pct"/>
            <w:noWrap w:val="0"/>
            <w:vAlign w:val="center"/>
          </w:tcPr>
          <w:p/>
        </w:tc>
        <w:tc>
          <w:tcPr>
            <w:tcW w:w="405" w:type="pct"/>
            <w:vMerge w:val="restart"/>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90" w:type="pct"/>
            <w:vMerge w:val="continue"/>
            <w:noWrap w:val="0"/>
            <w:vAlign w:val="center"/>
          </w:tcPr>
          <w:p/>
        </w:tc>
        <w:tc>
          <w:tcPr>
            <w:tcW w:w="252" w:type="pct"/>
            <w:vMerge w:val="continue"/>
            <w:noWrap w:val="0"/>
            <w:vAlign w:val="center"/>
          </w:tcPr>
          <w:p/>
        </w:tc>
        <w:tc>
          <w:tcPr>
            <w:tcW w:w="1012" w:type="pct"/>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0" w:type="pct"/>
            <w:vMerge w:val="continue"/>
            <w:noWrap w:val="0"/>
            <w:vAlign w:val="center"/>
          </w:tcPr>
          <w:p/>
        </w:tc>
        <w:tc>
          <w:tcPr>
            <w:tcW w:w="252" w:type="pct"/>
            <w:vMerge w:val="continue"/>
            <w:noWrap w:val="0"/>
            <w:vAlign w:val="center"/>
          </w:tcPr>
          <w:p/>
        </w:tc>
        <w:tc>
          <w:tcPr>
            <w:tcW w:w="1012" w:type="pct"/>
            <w:vMerge w:val="restart"/>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0" w:type="pct"/>
            <w:vMerge w:val="continue"/>
            <w:noWrap w:val="0"/>
            <w:vAlign w:val="center"/>
          </w:tcPr>
          <w:p/>
        </w:tc>
        <w:tc>
          <w:tcPr>
            <w:tcW w:w="252" w:type="pct"/>
            <w:vMerge w:val="continue"/>
            <w:noWrap w:val="0"/>
            <w:vAlign w:val="center"/>
          </w:tcPr>
          <w:p/>
        </w:tc>
        <w:tc>
          <w:tcPr>
            <w:tcW w:w="1012" w:type="pct"/>
            <w:vMerge w:val="continue"/>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0" w:type="pct"/>
            <w:vMerge w:val="continue"/>
            <w:noWrap w:val="0"/>
            <w:vAlign w:val="center"/>
          </w:tcPr>
          <w:p/>
        </w:tc>
        <w:tc>
          <w:tcPr>
            <w:tcW w:w="252" w:type="pct"/>
            <w:vMerge w:val="continue"/>
            <w:noWrap w:val="0"/>
            <w:vAlign w:val="center"/>
          </w:tcPr>
          <w:p/>
        </w:tc>
        <w:tc>
          <w:tcPr>
            <w:tcW w:w="1012" w:type="pct"/>
            <w:vMerge w:val="continue"/>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0" w:type="pct"/>
            <w:vMerge w:val="continue"/>
            <w:noWrap w:val="0"/>
            <w:vAlign w:val="center"/>
          </w:tcPr>
          <w:p/>
        </w:tc>
        <w:tc>
          <w:tcPr>
            <w:tcW w:w="252" w:type="pct"/>
            <w:vMerge w:val="continue"/>
            <w:noWrap w:val="0"/>
            <w:vAlign w:val="center"/>
          </w:tcPr>
          <w:p/>
        </w:tc>
        <w:tc>
          <w:tcPr>
            <w:tcW w:w="1012" w:type="pct"/>
            <w:vMerge w:val="continue"/>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90" w:type="pct"/>
            <w:vMerge w:val="continue"/>
            <w:noWrap w:val="0"/>
            <w:vAlign w:val="center"/>
          </w:tcPr>
          <w:p/>
        </w:tc>
        <w:tc>
          <w:tcPr>
            <w:tcW w:w="252" w:type="pct"/>
            <w:vMerge w:val="continue"/>
            <w:noWrap w:val="0"/>
            <w:vAlign w:val="center"/>
          </w:tcPr>
          <w:p/>
        </w:tc>
        <w:tc>
          <w:tcPr>
            <w:tcW w:w="1012" w:type="pct"/>
            <w:vMerge w:val="continue"/>
            <w:noWrap w:val="0"/>
            <w:vAlign w:val="center"/>
          </w:tcPr>
          <w:p/>
        </w:tc>
        <w:tc>
          <w:tcPr>
            <w:tcW w:w="405" w:type="pct"/>
            <w:noWrap w:val="0"/>
            <w:vAlign w:val="center"/>
          </w:tcPr>
          <w:p/>
        </w:tc>
        <w:tc>
          <w:tcPr>
            <w:tcW w:w="253" w:type="pct"/>
            <w:noWrap w:val="0"/>
            <w:vAlign w:val="center"/>
          </w:tcPr>
          <w:p/>
        </w:tc>
        <w:tc>
          <w:tcPr>
            <w:tcW w:w="1063" w:type="pct"/>
            <w:noWrap w:val="0"/>
            <w:vAlign w:val="center"/>
          </w:tcPr>
          <w:p/>
        </w:tc>
        <w:tc>
          <w:tcPr>
            <w:tcW w:w="202" w:type="pct"/>
            <w:noWrap w:val="0"/>
            <w:vAlign w:val="center"/>
          </w:tcPr>
          <w:p/>
        </w:tc>
        <w:tc>
          <w:tcPr>
            <w:tcW w:w="202" w:type="pct"/>
            <w:noWrap w:val="0"/>
            <w:vAlign w:val="center"/>
          </w:tcPr>
          <w:p/>
        </w:tc>
        <w:tc>
          <w:tcPr>
            <w:tcW w:w="353" w:type="pct"/>
            <w:noWrap/>
            <w:vAlign w:val="center"/>
          </w:tcPr>
          <w:p/>
        </w:tc>
        <w:tc>
          <w:tcPr>
            <w:tcW w:w="405" w:type="pct"/>
            <w:noWrap/>
            <w:vAlign w:val="center"/>
          </w:tcPr>
          <w:p/>
        </w:tc>
        <w:tc>
          <w:tcPr>
            <w:tcW w:w="405" w:type="pct"/>
            <w:vMerge w:val="continue"/>
            <w:noWrap w:val="0"/>
            <w:vAlign w:val="center"/>
          </w:tcPr>
          <w:p/>
        </w:tc>
        <w:tc>
          <w:tcPr>
            <w:tcW w:w="253" w:type="pct"/>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455" w:type="pct"/>
            <w:gridSpan w:val="3"/>
            <w:noWrap w:val="0"/>
            <w:vAlign w:val="center"/>
          </w:tcPr>
          <w:p>
            <w:r>
              <w:rPr>
                <w:rFonts w:hint="eastAsia"/>
              </w:rPr>
              <w:t>合     计</w:t>
            </w:r>
          </w:p>
        </w:tc>
        <w:tc>
          <w:tcPr>
            <w:tcW w:w="1721" w:type="pct"/>
            <w:gridSpan w:val="3"/>
            <w:noWrap w:val="0"/>
            <w:vAlign w:val="center"/>
          </w:tcPr>
          <w:p/>
        </w:tc>
        <w:tc>
          <w:tcPr>
            <w:tcW w:w="405" w:type="pct"/>
            <w:gridSpan w:val="2"/>
            <w:noWrap w:val="0"/>
            <w:vAlign w:val="center"/>
          </w:tcPr>
          <w:p>
            <w:r>
              <w:rPr>
                <w:rFonts w:hint="eastAsia"/>
              </w:rPr>
              <w:t>（人民币大写）</w:t>
            </w:r>
          </w:p>
        </w:tc>
        <w:tc>
          <w:tcPr>
            <w:tcW w:w="353" w:type="pct"/>
            <w:noWrap w:val="0"/>
            <w:vAlign w:val="center"/>
          </w:tcPr>
          <w:p>
            <w:r>
              <w:rPr>
                <w:rFonts w:hint="eastAsia"/>
              </w:rPr>
              <w:t>￥</w:t>
            </w:r>
          </w:p>
        </w:tc>
        <w:tc>
          <w:tcPr>
            <w:tcW w:w="810" w:type="pct"/>
            <w:gridSpan w:val="2"/>
            <w:noWrap w:val="0"/>
            <w:vAlign w:val="center"/>
          </w:tcPr>
          <w:p/>
        </w:tc>
        <w:tc>
          <w:tcPr>
            <w:tcW w:w="253" w:type="pct"/>
            <w:noWrap w:val="0"/>
            <w:vAlign w:val="center"/>
          </w:tcPr>
          <w:p>
            <w:r>
              <w:rPr>
                <w:rFonts w:hint="eastAsia"/>
              </w:rPr>
              <w:t>——</w:t>
            </w:r>
          </w:p>
        </w:tc>
      </w:tr>
    </w:tbl>
    <w:p>
      <w:pPr>
        <w:rPr>
          <w:rFonts w:ascii="黑体" w:hAnsi="黑体" w:eastAsia="黑体"/>
          <w:sz w:val="28"/>
        </w:rPr>
        <w:sectPr>
          <w:footerReference r:id="rId4" w:type="default"/>
          <w:pgSz w:w="11906" w:h="16838"/>
          <w:pgMar w:top="1020" w:right="1304" w:bottom="1020" w:left="1304" w:header="851" w:footer="992" w:gutter="0"/>
          <w:cols w:space="720" w:num="1"/>
          <w:docGrid w:type="linesAndChars" w:linePitch="312" w:charSpace="0"/>
        </w:sectPr>
      </w:pPr>
    </w:p>
    <w:p>
      <w:pPr>
        <w:pStyle w:val="7"/>
        <w:keepNext w:val="0"/>
        <w:keepLines w:val="0"/>
        <w:pageBreakBefore/>
        <w:spacing w:line="360" w:lineRule="auto"/>
        <w:jc w:val="center"/>
        <w:rPr>
          <w:rFonts w:hint="eastAsia" w:ascii="黑体" w:hAnsi="黑体" w:eastAsia="黑体"/>
          <w:spacing w:val="20"/>
          <w:sz w:val="36"/>
          <w:szCs w:val="36"/>
        </w:rPr>
      </w:pPr>
      <w:bookmarkStart w:id="113" w:name="_Toc30800"/>
      <w:bookmarkStart w:id="114" w:name="_Toc17392"/>
      <w:bookmarkStart w:id="115" w:name="_Toc25500"/>
      <w:r>
        <w:rPr>
          <w:rFonts w:hint="eastAsia" w:ascii="黑体" w:hAnsi="黑体" w:eastAsia="黑体"/>
          <w:spacing w:val="20"/>
          <w:sz w:val="36"/>
          <w:szCs w:val="36"/>
        </w:rPr>
        <w:t>第七部分 投标文件格式</w:t>
      </w:r>
      <w:bookmarkEnd w:id="110"/>
      <w:bookmarkEnd w:id="111"/>
      <w:bookmarkEnd w:id="113"/>
      <w:bookmarkEnd w:id="114"/>
      <w:bookmarkEnd w:id="115"/>
    </w:p>
    <w:p>
      <w:pPr>
        <w:pStyle w:val="64"/>
        <w:spacing w:after="312" w:afterLines="100" w:line="360" w:lineRule="auto"/>
        <w:ind w:left="420" w:right="108" w:firstLine="0" w:firstLineChars="0"/>
        <w:jc w:val="right"/>
        <w:rPr>
          <w:rFonts w:hint="eastAsia" w:ascii="黑体" w:hAnsi="黑体" w:eastAsia="黑体"/>
          <w:b/>
          <w:sz w:val="40"/>
          <w:szCs w:val="40"/>
        </w:rPr>
      </w:pPr>
      <w:r>
        <w:rPr>
          <w:rFonts w:hint="eastAsia" w:ascii="黑体" w:hAnsi="黑体" w:eastAsia="黑体"/>
          <w:b/>
          <w:sz w:val="40"/>
          <w:szCs w:val="40"/>
        </w:rPr>
        <w:t>正本</w:t>
      </w:r>
      <w:r>
        <w:rPr>
          <w:rFonts w:ascii="黑体" w:hAnsi="黑体" w:eastAsia="黑体"/>
          <w:b/>
          <w:sz w:val="40"/>
          <w:szCs w:val="40"/>
        </w:rPr>
        <w:t>/副本</w:t>
      </w:r>
    </w:p>
    <w:p>
      <w:pPr>
        <w:spacing w:line="360" w:lineRule="auto"/>
        <w:jc w:val="center"/>
        <w:rPr>
          <w:rFonts w:hint="eastAsia" w:ascii="黑体" w:hAnsi="黑体" w:eastAsia="黑体"/>
          <w:bCs/>
          <w:sz w:val="52"/>
          <w:szCs w:val="52"/>
        </w:rPr>
      </w:pPr>
      <w:r>
        <w:rPr>
          <w:rFonts w:hint="eastAsia" w:ascii="黑体" w:hAnsi="黑体" w:eastAsia="黑体"/>
          <w:bCs/>
          <w:sz w:val="52"/>
          <w:szCs w:val="52"/>
        </w:rPr>
        <w:t>南方报业传媒集团核心信息系统云备份中心建设项目</w:t>
      </w:r>
    </w:p>
    <w:p>
      <w:pPr>
        <w:spacing w:line="360" w:lineRule="auto"/>
        <w:jc w:val="center"/>
        <w:rPr>
          <w:rFonts w:hint="eastAsia" w:ascii="黑体" w:hAnsi="黑体" w:eastAsia="黑体"/>
          <w:b/>
          <w:sz w:val="22"/>
        </w:rPr>
      </w:pPr>
      <w:r>
        <w:rPr>
          <w:rFonts w:hint="eastAsia" w:ascii="黑体" w:hAnsi="黑体" w:eastAsia="黑体"/>
          <w:b/>
          <w:sz w:val="22"/>
        </w:rPr>
        <w:t>（项目编号：</w:t>
      </w:r>
      <w:r>
        <w:rPr>
          <w:rFonts w:ascii="黑体" w:hAnsi="黑体" w:eastAsia="黑体"/>
          <w:b/>
          <w:sz w:val="22"/>
          <w:u w:val="single"/>
        </w:rPr>
        <w:t xml:space="preserve">             </w:t>
      </w:r>
      <w:r>
        <w:rPr>
          <w:rFonts w:hint="eastAsia" w:ascii="黑体" w:hAnsi="黑体" w:eastAsia="黑体"/>
          <w:b/>
          <w:sz w:val="22"/>
        </w:rPr>
        <w:t>）</w:t>
      </w:r>
    </w:p>
    <w:p>
      <w:pPr>
        <w:spacing w:before="1248" w:beforeLines="400" w:line="360" w:lineRule="auto"/>
        <w:jc w:val="center"/>
        <w:rPr>
          <w:rFonts w:hint="eastAsia" w:ascii="黑体" w:hAnsi="黑体" w:eastAsia="黑体"/>
          <w:b/>
          <w:spacing w:val="60"/>
          <w:sz w:val="96"/>
          <w:szCs w:val="96"/>
        </w:rPr>
      </w:pPr>
      <w:r>
        <w:rPr>
          <w:rFonts w:hint="eastAsia" w:ascii="黑体" w:hAnsi="黑体" w:eastAsia="黑体"/>
          <w:b/>
          <w:spacing w:val="60"/>
          <w:sz w:val="96"/>
          <w:szCs w:val="96"/>
        </w:rPr>
        <w:t>投标文件</w:t>
      </w:r>
    </w:p>
    <w:p>
      <w:pPr>
        <w:spacing w:after="1560" w:afterLines="500" w:line="360" w:lineRule="auto"/>
        <w:jc w:val="center"/>
        <w:rPr>
          <w:rFonts w:hint="eastAsia" w:ascii="黑体" w:hAnsi="黑体" w:eastAsia="黑体"/>
          <w:b/>
          <w:sz w:val="22"/>
        </w:rPr>
      </w:pPr>
      <w:r>
        <w:rPr>
          <w:rFonts w:hint="eastAsia" w:ascii="黑体" w:hAnsi="黑体" w:eastAsia="黑体"/>
          <w:b/>
          <w:sz w:val="22"/>
        </w:rPr>
        <w:t>（封面格式仅供参考）</w:t>
      </w:r>
    </w:p>
    <w:tbl>
      <w:tblPr>
        <w:tblStyle w:val="37"/>
        <w:tblW w:w="4184" w:type="pct"/>
        <w:jc w:val="center"/>
        <w:tblLayout w:type="autofit"/>
        <w:tblCellMar>
          <w:top w:w="0" w:type="dxa"/>
          <w:left w:w="108" w:type="dxa"/>
          <w:bottom w:w="0" w:type="dxa"/>
          <w:right w:w="108" w:type="dxa"/>
        </w:tblCellMar>
      </w:tblPr>
      <w:tblGrid>
        <w:gridCol w:w="2085"/>
        <w:gridCol w:w="5251"/>
      </w:tblGrid>
      <w:tr>
        <w:tblPrEx>
          <w:tblCellMar>
            <w:top w:w="0" w:type="dxa"/>
            <w:left w:w="108" w:type="dxa"/>
            <w:bottom w:w="0" w:type="dxa"/>
            <w:right w:w="108" w:type="dxa"/>
          </w:tblCellMar>
        </w:tblPrEx>
        <w:trPr>
          <w:trHeight w:val="507" w:hRule="atLeast"/>
          <w:jc w:val="center"/>
        </w:trPr>
        <w:tc>
          <w:tcPr>
            <w:tcW w:w="1421" w:type="pct"/>
            <w:noWrap w:val="0"/>
            <w:vAlign w:val="center"/>
          </w:tcPr>
          <w:p>
            <w:pPr>
              <w:spacing w:line="360" w:lineRule="auto"/>
              <w:jc w:val="right"/>
              <w:rPr>
                <w:rFonts w:hint="eastAsia" w:ascii="黑体" w:hAnsi="黑体" w:eastAsia="黑体"/>
                <w:sz w:val="28"/>
                <w:szCs w:val="28"/>
              </w:rPr>
            </w:pPr>
            <w:r>
              <w:rPr>
                <w:rFonts w:hint="eastAsia" w:ascii="黑体" w:hAnsi="黑体" w:eastAsia="黑体"/>
                <w:sz w:val="28"/>
                <w:szCs w:val="28"/>
              </w:rPr>
              <w:t>投标人名称：</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6" w:hRule="atLeast"/>
          <w:jc w:val="center"/>
        </w:trPr>
        <w:tc>
          <w:tcPr>
            <w:tcW w:w="1421" w:type="pct"/>
            <w:noWrap w:val="0"/>
            <w:vAlign w:val="center"/>
          </w:tcPr>
          <w:p>
            <w:pPr>
              <w:spacing w:line="360" w:lineRule="auto"/>
              <w:jc w:val="right"/>
              <w:rPr>
                <w:rFonts w:hint="eastAsia" w:ascii="黑体" w:hAnsi="黑体" w:eastAsia="黑体"/>
                <w:sz w:val="28"/>
                <w:szCs w:val="28"/>
              </w:rPr>
            </w:pPr>
            <w:r>
              <w:rPr>
                <w:rFonts w:hint="eastAsia" w:ascii="黑体" w:hAnsi="黑体" w:eastAsia="黑体"/>
                <w:sz w:val="28"/>
                <w:szCs w:val="28"/>
              </w:rPr>
              <w:t>投标人地址：</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0" w:hRule="atLeast"/>
          <w:jc w:val="center"/>
        </w:trPr>
        <w:tc>
          <w:tcPr>
            <w:tcW w:w="1421" w:type="pct"/>
            <w:noWrap w:val="0"/>
            <w:vAlign w:val="center"/>
          </w:tcPr>
          <w:p>
            <w:pPr>
              <w:spacing w:line="360" w:lineRule="auto"/>
              <w:jc w:val="right"/>
              <w:rPr>
                <w:rFonts w:hint="eastAsia" w:ascii="黑体" w:hAnsi="黑体" w:eastAsia="黑体"/>
                <w:spacing w:val="-10"/>
                <w:sz w:val="28"/>
                <w:szCs w:val="28"/>
              </w:rPr>
            </w:pPr>
            <w:r>
              <w:rPr>
                <w:rFonts w:hint="eastAsia" w:ascii="黑体" w:hAnsi="黑体" w:eastAsia="黑体"/>
                <w:sz w:val="28"/>
                <w:szCs w:val="28"/>
              </w:rPr>
              <w:t>投标联系人</w:t>
            </w:r>
            <w:r>
              <w:rPr>
                <w:rFonts w:hint="eastAsia" w:ascii="黑体" w:hAnsi="黑体" w:eastAsia="黑体"/>
                <w:spacing w:val="-10"/>
                <w:sz w:val="28"/>
                <w:szCs w:val="28"/>
              </w:rPr>
              <w:t>：</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8" w:hRule="atLeast"/>
          <w:jc w:val="center"/>
        </w:trPr>
        <w:tc>
          <w:tcPr>
            <w:tcW w:w="1421" w:type="pct"/>
            <w:noWrap w:val="0"/>
            <w:vAlign w:val="center"/>
          </w:tcPr>
          <w:p>
            <w:pPr>
              <w:tabs>
                <w:tab w:val="left" w:pos="170"/>
              </w:tabs>
              <w:spacing w:line="360" w:lineRule="auto"/>
              <w:jc w:val="right"/>
              <w:rPr>
                <w:rFonts w:hint="eastAsia" w:ascii="黑体" w:hAnsi="黑体" w:eastAsia="黑体"/>
                <w:sz w:val="28"/>
                <w:szCs w:val="28"/>
              </w:rPr>
            </w:pPr>
            <w:r>
              <w:rPr>
                <w:rFonts w:hint="eastAsia" w:ascii="黑体" w:hAnsi="黑体" w:eastAsia="黑体"/>
                <w:spacing w:val="24"/>
                <w:sz w:val="28"/>
                <w:szCs w:val="28"/>
              </w:rPr>
              <w:t>联系电话</w:t>
            </w:r>
            <w:r>
              <w:rPr>
                <w:rFonts w:hint="eastAsia" w:ascii="黑体" w:hAnsi="黑体" w:eastAsia="黑体"/>
                <w:sz w:val="28"/>
                <w:szCs w:val="28"/>
              </w:rPr>
              <w:t>：</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bl>
    <w:p>
      <w:pPr>
        <w:spacing w:before="936" w:beforeLines="300" w:line="600" w:lineRule="exact"/>
        <w:jc w:val="center"/>
        <w:rPr>
          <w:rFonts w:hint="eastAsia" w:ascii="黑体" w:hAnsi="黑体" w:eastAsia="黑体"/>
          <w:b/>
          <w:spacing w:val="40"/>
          <w:sz w:val="28"/>
          <w:szCs w:val="28"/>
        </w:rPr>
      </w:pPr>
      <w:r>
        <w:rPr>
          <w:rFonts w:hint="eastAsia" w:ascii="黑体" w:hAnsi="黑体" w:eastAsia="黑体"/>
          <w:b/>
          <w:spacing w:val="40"/>
          <w:sz w:val="28"/>
          <w:szCs w:val="28"/>
        </w:rPr>
        <w:t>日期：</w:t>
      </w:r>
      <w:r>
        <w:rPr>
          <w:rFonts w:hint="eastAsia" w:ascii="黑体" w:hAnsi="黑体" w:eastAsia="黑体"/>
          <w:b/>
          <w:spacing w:val="20"/>
          <w:sz w:val="22"/>
        </w:rPr>
        <w:t xml:space="preserve">    </w:t>
      </w:r>
      <w:r>
        <w:rPr>
          <w:rFonts w:hint="eastAsia" w:ascii="黑体" w:hAnsi="黑体" w:eastAsia="黑体"/>
          <w:b/>
          <w:spacing w:val="40"/>
          <w:sz w:val="28"/>
          <w:szCs w:val="28"/>
        </w:rPr>
        <w:t>年</w:t>
      </w:r>
      <w:r>
        <w:rPr>
          <w:rFonts w:ascii="黑体" w:hAnsi="黑体" w:eastAsia="黑体"/>
          <w:b/>
          <w:spacing w:val="40"/>
          <w:sz w:val="28"/>
          <w:szCs w:val="28"/>
        </w:rPr>
        <w:t xml:space="preserve">  </w:t>
      </w:r>
      <w:r>
        <w:rPr>
          <w:rFonts w:hint="eastAsia" w:ascii="黑体" w:hAnsi="黑体" w:eastAsia="黑体"/>
          <w:b/>
          <w:spacing w:val="40"/>
          <w:sz w:val="28"/>
          <w:szCs w:val="28"/>
        </w:rPr>
        <w:t>月</w:t>
      </w:r>
      <w:r>
        <w:rPr>
          <w:rFonts w:ascii="黑体" w:hAnsi="黑体" w:eastAsia="黑体"/>
          <w:b/>
          <w:spacing w:val="40"/>
          <w:sz w:val="28"/>
          <w:szCs w:val="28"/>
        </w:rPr>
        <w:t xml:space="preserve">  </w:t>
      </w:r>
      <w:r>
        <w:rPr>
          <w:rFonts w:hint="eastAsia" w:ascii="黑体" w:hAnsi="黑体" w:eastAsia="黑体"/>
          <w:b/>
          <w:spacing w:val="40"/>
          <w:sz w:val="28"/>
          <w:szCs w:val="28"/>
        </w:rPr>
        <w:t>日</w:t>
      </w:r>
    </w:p>
    <w:p>
      <w:pPr>
        <w:widowControl/>
        <w:jc w:val="left"/>
        <w:rPr>
          <w:rFonts w:hint="eastAsia" w:ascii="黑体" w:hAnsi="黑体" w:eastAsia="黑体"/>
          <w:b/>
          <w:spacing w:val="40"/>
          <w:sz w:val="28"/>
          <w:szCs w:val="28"/>
        </w:rPr>
      </w:pPr>
      <w:bookmarkStart w:id="116" w:name="_Toc391627754"/>
      <w:bookmarkStart w:id="117" w:name="_Toc405313958"/>
      <w:bookmarkStart w:id="118" w:name="_Hlk81205692"/>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19" w:name="_Toc18745"/>
      <w:bookmarkStart w:id="120" w:name="_Toc21846"/>
      <w:r>
        <w:rPr>
          <w:rStyle w:val="40"/>
          <w:rFonts w:hint="eastAsia" w:ascii="黑体" w:hAnsi="黑体" w:eastAsia="黑体"/>
          <w:b/>
          <w:bCs/>
          <w:spacing w:val="12"/>
          <w:sz w:val="22"/>
          <w:szCs w:val="22"/>
        </w:rPr>
        <w:t>资格性自查索引表</w:t>
      </w:r>
      <w:bookmarkEnd w:id="119"/>
      <w:bookmarkEnd w:id="120"/>
    </w:p>
    <w:p>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资格性自查索引表</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2815" w:type="pct"/>
            <w:tcBorders>
              <w:bottom w:val="single" w:color="auto" w:sz="4" w:space="0"/>
            </w:tcBorders>
            <w:noWrap w:val="0"/>
            <w:vAlign w:val="center"/>
          </w:tcPr>
          <w:p>
            <w:pPr>
              <w:spacing w:line="360" w:lineRule="auto"/>
              <w:ind w:left="221" w:hanging="221" w:hangingChars="100"/>
              <w:jc w:val="center"/>
              <w:rPr>
                <w:rFonts w:hint="eastAsia" w:ascii="黑体" w:hAnsi="黑体" w:eastAsia="黑体"/>
                <w:b/>
                <w:bCs/>
                <w:sz w:val="22"/>
              </w:rPr>
            </w:pPr>
            <w:r>
              <w:rPr>
                <w:rFonts w:hint="eastAsia" w:ascii="黑体" w:hAnsi="黑体" w:eastAsia="黑体"/>
                <w:b/>
                <w:bCs/>
                <w:sz w:val="22"/>
              </w:rPr>
              <w:t>审查内容</w:t>
            </w:r>
          </w:p>
        </w:tc>
        <w:tc>
          <w:tcPr>
            <w:tcW w:w="748" w:type="pct"/>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自查</w:t>
            </w:r>
          </w:p>
          <w:p>
            <w:pPr>
              <w:spacing w:line="360" w:lineRule="auto"/>
              <w:jc w:val="center"/>
              <w:rPr>
                <w:rFonts w:hint="eastAsia" w:ascii="黑体" w:hAnsi="黑体" w:eastAsia="黑体"/>
                <w:b/>
                <w:bCs/>
                <w:sz w:val="22"/>
              </w:rPr>
            </w:pPr>
            <w:r>
              <w:rPr>
                <w:rFonts w:hint="eastAsia" w:ascii="黑体" w:hAnsi="黑体" w:eastAsia="黑体"/>
                <w:b/>
                <w:bCs/>
                <w:sz w:val="22"/>
              </w:rPr>
              <w:t>结论</w:t>
            </w:r>
          </w:p>
        </w:tc>
        <w:tc>
          <w:tcPr>
            <w:tcW w:w="1030" w:type="pct"/>
            <w:noWrap w:val="0"/>
            <w:vAlign w:val="center"/>
          </w:tcPr>
          <w:p>
            <w:pPr>
              <w:spacing w:line="360" w:lineRule="auto"/>
              <w:jc w:val="center"/>
              <w:rPr>
                <w:rFonts w:hint="eastAsia" w:ascii="黑体" w:hAnsi="黑体" w:eastAsia="黑体"/>
                <w:b/>
                <w:bCs/>
                <w:spacing w:val="-10"/>
                <w:sz w:val="22"/>
              </w:rPr>
            </w:pPr>
            <w:r>
              <w:rPr>
                <w:rFonts w:ascii="黑体" w:hAnsi="黑体" w:eastAsia="黑体"/>
                <w:b/>
                <w:bCs/>
                <w:spacing w:val="-10"/>
                <w:sz w:val="22"/>
              </w:rPr>
              <w:t>投标文件响应页码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1</w:t>
            </w:r>
          </w:p>
        </w:tc>
        <w:tc>
          <w:tcPr>
            <w:tcW w:w="2815" w:type="pct"/>
            <w:noWrap w:val="0"/>
            <w:vAlign w:val="center"/>
          </w:tcPr>
          <w:p>
            <w:pPr>
              <w:jc w:val="left"/>
              <w:rPr>
                <w:rFonts w:hint="eastAsia" w:ascii="黑体" w:hAnsi="黑体" w:eastAsia="黑体"/>
                <w:sz w:val="22"/>
                <w:szCs w:val="24"/>
              </w:rPr>
            </w:pPr>
          </w:p>
        </w:tc>
        <w:tc>
          <w:tcPr>
            <w:tcW w:w="748" w:type="pct"/>
            <w:noWrap w:val="0"/>
            <w:vAlign w:val="center"/>
          </w:tcPr>
          <w:p>
            <w:pPr>
              <w:spacing w:line="360" w:lineRule="auto"/>
              <w:jc w:val="center"/>
              <w:rPr>
                <w:rFonts w:hint="eastAsia" w:ascii="黑体" w:hAnsi="黑体" w:eastAsia="黑体"/>
                <w:bCs/>
                <w:sz w:val="22"/>
              </w:rPr>
            </w:pPr>
          </w:p>
        </w:tc>
        <w:tc>
          <w:tcPr>
            <w:tcW w:w="1030" w:type="pct"/>
            <w:noWrap w:val="0"/>
            <w:vAlign w:val="center"/>
          </w:tcPr>
          <w:p>
            <w:pPr>
              <w:spacing w:line="360" w:lineRule="auto"/>
              <w:jc w:val="center"/>
              <w:rPr>
                <w:rFonts w:hint="eastAsia" w:ascii="黑体" w:hAnsi="黑体" w:eastAsia="黑体"/>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2</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3</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4</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bl>
    <w:p>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pPr>
        <w:pStyle w:val="64"/>
        <w:numPr>
          <w:ilvl w:val="0"/>
          <w:numId w:val="71"/>
        </w:numPr>
        <w:spacing w:line="360" w:lineRule="auto"/>
        <w:ind w:firstLineChars="0"/>
        <w:rPr>
          <w:rFonts w:hint="eastAsia" w:ascii="黑体" w:hAnsi="黑体" w:eastAsia="黑体"/>
          <w:sz w:val="22"/>
          <w:szCs w:val="24"/>
        </w:rPr>
      </w:pPr>
      <w:r>
        <w:rPr>
          <w:rFonts w:hint="eastAsia" w:ascii="黑体" w:hAnsi="黑体" w:eastAsia="黑体"/>
          <w:sz w:val="22"/>
          <w:szCs w:val="24"/>
        </w:rPr>
        <w:t>自查结论处请填写：通过</w:t>
      </w:r>
      <w:r>
        <w:rPr>
          <w:rFonts w:ascii="黑体" w:hAnsi="黑体" w:eastAsia="黑体"/>
          <w:sz w:val="22"/>
          <w:szCs w:val="24"/>
        </w:rPr>
        <w:t>/不通过；</w:t>
      </w:r>
    </w:p>
    <w:p>
      <w:pPr>
        <w:pStyle w:val="64"/>
        <w:numPr>
          <w:ilvl w:val="0"/>
          <w:numId w:val="71"/>
        </w:numPr>
        <w:spacing w:line="360" w:lineRule="auto"/>
        <w:ind w:firstLineChars="0"/>
        <w:rPr>
          <w:rFonts w:hint="eastAsia" w:ascii="黑体" w:hAnsi="黑体" w:eastAsia="黑体"/>
          <w:sz w:val="22"/>
          <w:szCs w:val="24"/>
        </w:rPr>
      </w:pPr>
      <w:r>
        <w:rPr>
          <w:rFonts w:hint="eastAsia" w:ascii="黑体" w:hAnsi="黑体" w:eastAsia="黑体"/>
          <w:sz w:val="22"/>
        </w:rPr>
        <w:t>按招标文件第五部分</w:t>
      </w:r>
      <w:r>
        <w:rPr>
          <w:rFonts w:ascii="黑体" w:hAnsi="黑体" w:eastAsia="黑体"/>
          <w:sz w:val="22"/>
        </w:rPr>
        <w:t xml:space="preserve"> </w:t>
      </w:r>
      <w:r>
        <w:rPr>
          <w:rFonts w:hint="eastAsia" w:ascii="黑体" w:hAnsi="黑体" w:eastAsia="黑体"/>
          <w:sz w:val="22"/>
        </w:rPr>
        <w:t>评标方法、步骤、标准之附表资格性审查表（</w:t>
      </w:r>
      <w:r>
        <w:rPr>
          <w:rFonts w:hint="eastAsia" w:ascii="黑体" w:hAnsi="黑体" w:eastAsia="黑体"/>
          <w:kern w:val="0"/>
          <w:sz w:val="22"/>
        </w:rPr>
        <w:t>附表一）</w:t>
      </w:r>
      <w:r>
        <w:rPr>
          <w:rFonts w:hint="eastAsia" w:ascii="黑体" w:hAnsi="黑体" w:eastAsia="黑体"/>
          <w:sz w:val="22"/>
        </w:rPr>
        <w:t>相对应条款填写</w:t>
      </w:r>
      <w:r>
        <w:rPr>
          <w:rFonts w:hint="eastAsia" w:ascii="黑体" w:hAnsi="黑体" w:eastAsia="黑体"/>
          <w:sz w:val="22"/>
          <w:szCs w:val="24"/>
        </w:rPr>
        <w:t>。</w:t>
      </w: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tbl>
      <w:tblPr>
        <w:tblStyle w:val="37"/>
        <w:tblW w:w="0" w:type="auto"/>
        <w:tblInd w:w="0" w:type="dxa"/>
        <w:tblLayout w:type="autofit"/>
        <w:tblCellMar>
          <w:top w:w="0" w:type="dxa"/>
          <w:left w:w="108" w:type="dxa"/>
          <w:bottom w:w="0" w:type="dxa"/>
          <w:right w:w="108" w:type="dxa"/>
        </w:tblCellMar>
      </w:tblPr>
      <w:tblGrid>
        <w:gridCol w:w="5958"/>
        <w:gridCol w:w="2570"/>
      </w:tblGrid>
      <w:tr>
        <w:tblPrEx>
          <w:tblCellMar>
            <w:top w:w="0" w:type="dxa"/>
            <w:left w:w="108" w:type="dxa"/>
            <w:bottom w:w="0" w:type="dxa"/>
            <w:right w:w="108" w:type="dxa"/>
          </w:tblCellMar>
        </w:tblPrEx>
        <w:tc>
          <w:tcPr>
            <w:tcW w:w="5958"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570"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958"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570" w:type="dxa"/>
            <w:noWrap w:val="0"/>
            <w:vAlign w:val="top"/>
          </w:tcPr>
          <w:p>
            <w:pPr>
              <w:spacing w:line="360" w:lineRule="auto"/>
              <w:rPr>
                <w:rFonts w:hint="eastAsia" w:ascii="黑体" w:hAnsi="黑体" w:eastAsia="黑体"/>
                <w:sz w:val="22"/>
              </w:rPr>
            </w:pPr>
          </w:p>
        </w:tc>
      </w:tr>
    </w:tbl>
    <w:p>
      <w:pPr>
        <w:rPr>
          <w:rFonts w:hint="eastAsia" w:ascii="黑体" w:hAnsi="黑体" w:eastAsia="黑体"/>
          <w:sz w:val="22"/>
          <w:szCs w:val="24"/>
        </w:rPr>
      </w:pPr>
    </w:p>
    <w:p>
      <w:pPr>
        <w:rPr>
          <w:rFonts w:hint="eastAsia" w:ascii="黑体" w:hAnsi="黑体" w:eastAsia="黑体"/>
          <w:sz w:val="22"/>
          <w:szCs w:val="24"/>
        </w:rPr>
      </w:pPr>
    </w:p>
    <w:p>
      <w:pPr>
        <w:rPr>
          <w:rFonts w:hint="eastAsia" w:ascii="黑体" w:hAnsi="黑体" w:eastAsia="黑体"/>
          <w:sz w:val="22"/>
          <w:szCs w:val="24"/>
        </w:rPr>
      </w:pP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21" w:name="_Toc16575"/>
      <w:bookmarkStart w:id="122" w:name="_Toc17301"/>
      <w:r>
        <w:rPr>
          <w:rStyle w:val="40"/>
          <w:rFonts w:hint="eastAsia" w:ascii="黑体" w:hAnsi="黑体" w:eastAsia="黑体"/>
          <w:b/>
          <w:bCs/>
          <w:spacing w:val="12"/>
          <w:sz w:val="22"/>
          <w:szCs w:val="22"/>
        </w:rPr>
        <w:t>符合性自查索引表</w:t>
      </w:r>
      <w:bookmarkEnd w:id="121"/>
      <w:bookmarkEnd w:id="122"/>
    </w:p>
    <w:p>
      <w:pPr>
        <w:spacing w:before="312" w:beforeLines="100" w:after="312" w:afterLines="100"/>
        <w:jc w:val="center"/>
        <w:rPr>
          <w:rFonts w:hint="eastAsia" w:ascii="黑体" w:hAnsi="黑体" w:eastAsia="黑体" w:cs="Times New Roman"/>
          <w:b/>
          <w:spacing w:val="20"/>
          <w:sz w:val="32"/>
          <w:szCs w:val="32"/>
        </w:rPr>
      </w:pPr>
      <w:r>
        <w:rPr>
          <w:rFonts w:hint="eastAsia" w:ascii="黑体" w:hAnsi="黑体" w:eastAsia="黑体" w:cs="Times New Roman"/>
          <w:b/>
          <w:spacing w:val="20"/>
          <w:sz w:val="32"/>
          <w:szCs w:val="32"/>
        </w:rPr>
        <w:t>符合性自查索引表</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2815" w:type="pct"/>
            <w:tcBorders>
              <w:bottom w:val="single" w:color="auto" w:sz="4" w:space="0"/>
            </w:tcBorders>
            <w:noWrap w:val="0"/>
            <w:vAlign w:val="center"/>
          </w:tcPr>
          <w:p>
            <w:pPr>
              <w:spacing w:line="360" w:lineRule="auto"/>
              <w:ind w:left="221" w:hanging="221" w:hangingChars="100"/>
              <w:jc w:val="center"/>
              <w:rPr>
                <w:rFonts w:hint="eastAsia" w:ascii="黑体" w:hAnsi="黑体" w:eastAsia="黑体"/>
                <w:b/>
                <w:bCs/>
                <w:sz w:val="22"/>
              </w:rPr>
            </w:pPr>
            <w:r>
              <w:rPr>
                <w:rFonts w:hint="eastAsia" w:ascii="黑体" w:hAnsi="黑体" w:eastAsia="黑体"/>
                <w:b/>
                <w:bCs/>
                <w:sz w:val="22"/>
              </w:rPr>
              <w:t>审查内容</w:t>
            </w:r>
          </w:p>
        </w:tc>
        <w:tc>
          <w:tcPr>
            <w:tcW w:w="748" w:type="pct"/>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自查</w:t>
            </w:r>
          </w:p>
          <w:p>
            <w:pPr>
              <w:spacing w:line="360" w:lineRule="auto"/>
              <w:jc w:val="center"/>
              <w:rPr>
                <w:rFonts w:hint="eastAsia" w:ascii="黑体" w:hAnsi="黑体" w:eastAsia="黑体"/>
                <w:b/>
                <w:bCs/>
                <w:sz w:val="22"/>
              </w:rPr>
            </w:pPr>
            <w:r>
              <w:rPr>
                <w:rFonts w:hint="eastAsia" w:ascii="黑体" w:hAnsi="黑体" w:eastAsia="黑体"/>
                <w:b/>
                <w:bCs/>
                <w:sz w:val="22"/>
              </w:rPr>
              <w:t>结论</w:t>
            </w:r>
          </w:p>
        </w:tc>
        <w:tc>
          <w:tcPr>
            <w:tcW w:w="1030" w:type="pct"/>
            <w:noWrap w:val="0"/>
            <w:vAlign w:val="center"/>
          </w:tcPr>
          <w:p>
            <w:pPr>
              <w:spacing w:line="360" w:lineRule="auto"/>
              <w:jc w:val="center"/>
              <w:rPr>
                <w:rFonts w:hint="eastAsia" w:ascii="黑体" w:hAnsi="黑体" w:eastAsia="黑体"/>
                <w:b/>
                <w:bCs/>
                <w:spacing w:val="-10"/>
                <w:sz w:val="22"/>
              </w:rPr>
            </w:pPr>
            <w:r>
              <w:rPr>
                <w:rFonts w:ascii="黑体" w:hAnsi="黑体" w:eastAsia="黑体"/>
                <w:b/>
                <w:bCs/>
                <w:spacing w:val="-10"/>
                <w:sz w:val="22"/>
              </w:rPr>
              <w:t>投标文件响应页码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1</w:t>
            </w:r>
          </w:p>
        </w:tc>
        <w:tc>
          <w:tcPr>
            <w:tcW w:w="2815" w:type="pct"/>
            <w:noWrap w:val="0"/>
            <w:vAlign w:val="center"/>
          </w:tcPr>
          <w:p>
            <w:pPr>
              <w:jc w:val="left"/>
              <w:rPr>
                <w:rFonts w:hint="eastAsia" w:ascii="黑体" w:hAnsi="黑体" w:eastAsia="黑体"/>
                <w:sz w:val="22"/>
                <w:szCs w:val="24"/>
              </w:rPr>
            </w:pPr>
          </w:p>
        </w:tc>
        <w:tc>
          <w:tcPr>
            <w:tcW w:w="748" w:type="pct"/>
            <w:noWrap w:val="0"/>
            <w:vAlign w:val="center"/>
          </w:tcPr>
          <w:p>
            <w:pPr>
              <w:spacing w:line="360" w:lineRule="auto"/>
              <w:jc w:val="center"/>
              <w:rPr>
                <w:rFonts w:hint="eastAsia" w:ascii="黑体" w:hAnsi="黑体" w:eastAsia="黑体"/>
                <w:bCs/>
                <w:sz w:val="22"/>
              </w:rPr>
            </w:pPr>
          </w:p>
        </w:tc>
        <w:tc>
          <w:tcPr>
            <w:tcW w:w="1030" w:type="pct"/>
            <w:noWrap w:val="0"/>
            <w:vAlign w:val="center"/>
          </w:tcPr>
          <w:p>
            <w:pPr>
              <w:spacing w:line="360" w:lineRule="auto"/>
              <w:jc w:val="center"/>
              <w:rPr>
                <w:rFonts w:hint="eastAsia" w:ascii="黑体" w:hAnsi="黑体" w:eastAsia="黑体"/>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2</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3</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4</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5</w:t>
            </w:r>
          </w:p>
        </w:tc>
        <w:tc>
          <w:tcPr>
            <w:tcW w:w="2815" w:type="pct"/>
            <w:noWrap w:val="0"/>
            <w:vAlign w:val="center"/>
          </w:tcPr>
          <w:p>
            <w:pPr>
              <w:spacing w:line="360" w:lineRule="auto"/>
              <w:jc w:val="left"/>
              <w:rPr>
                <w:rFonts w:hint="eastAsia" w:ascii="黑体" w:hAnsi="黑体" w:eastAsia="黑体"/>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6</w:t>
            </w:r>
          </w:p>
        </w:tc>
        <w:tc>
          <w:tcPr>
            <w:tcW w:w="2815" w:type="pct"/>
            <w:noWrap w:val="0"/>
            <w:vAlign w:val="center"/>
          </w:tcPr>
          <w:p>
            <w:pPr>
              <w:spacing w:line="360" w:lineRule="auto"/>
              <w:jc w:val="left"/>
              <w:rPr>
                <w:rFonts w:hint="eastAsia" w:ascii="黑体" w:hAnsi="黑体" w:eastAsia="黑体"/>
                <w:b/>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7</w:t>
            </w:r>
          </w:p>
        </w:tc>
        <w:tc>
          <w:tcPr>
            <w:tcW w:w="2815" w:type="pct"/>
            <w:noWrap w:val="0"/>
            <w:vAlign w:val="center"/>
          </w:tcPr>
          <w:p>
            <w:pPr>
              <w:spacing w:line="360" w:lineRule="auto"/>
              <w:jc w:val="left"/>
              <w:rPr>
                <w:rFonts w:hint="eastAsia" w:ascii="黑体" w:hAnsi="黑体" w:eastAsia="黑体"/>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8</w:t>
            </w:r>
          </w:p>
        </w:tc>
        <w:tc>
          <w:tcPr>
            <w:tcW w:w="2815" w:type="pct"/>
            <w:noWrap w:val="0"/>
            <w:vAlign w:val="center"/>
          </w:tcPr>
          <w:p>
            <w:pPr>
              <w:spacing w:line="360" w:lineRule="auto"/>
              <w:jc w:val="left"/>
              <w:rPr>
                <w:rFonts w:hint="eastAsia" w:ascii="黑体" w:hAnsi="黑体" w:eastAsia="黑体"/>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07" w:type="pct"/>
            <w:noWrap w:val="0"/>
            <w:vAlign w:val="center"/>
          </w:tcPr>
          <w:p>
            <w:pPr>
              <w:spacing w:line="360" w:lineRule="auto"/>
              <w:jc w:val="center"/>
              <w:rPr>
                <w:rFonts w:hint="eastAsia" w:ascii="黑体" w:hAnsi="黑体" w:eastAsia="黑体"/>
                <w:bCs/>
                <w:sz w:val="22"/>
              </w:rPr>
            </w:pPr>
            <w:r>
              <w:rPr>
                <w:rFonts w:ascii="黑体" w:hAnsi="黑体" w:eastAsia="黑体"/>
                <w:bCs/>
                <w:sz w:val="22"/>
              </w:rPr>
              <w:t>9</w:t>
            </w:r>
          </w:p>
        </w:tc>
        <w:tc>
          <w:tcPr>
            <w:tcW w:w="2815" w:type="pct"/>
            <w:noWrap w:val="0"/>
            <w:vAlign w:val="center"/>
          </w:tcPr>
          <w:p>
            <w:pPr>
              <w:spacing w:line="360" w:lineRule="auto"/>
              <w:jc w:val="left"/>
              <w:rPr>
                <w:rFonts w:hint="eastAsia" w:ascii="黑体" w:hAnsi="黑体" w:eastAsia="黑体"/>
                <w:bCs/>
                <w:sz w:val="22"/>
              </w:rPr>
            </w:pPr>
          </w:p>
        </w:tc>
        <w:tc>
          <w:tcPr>
            <w:tcW w:w="748" w:type="pct"/>
            <w:noWrap w:val="0"/>
            <w:vAlign w:val="center"/>
          </w:tcPr>
          <w:p>
            <w:pPr>
              <w:spacing w:line="360" w:lineRule="auto"/>
              <w:jc w:val="center"/>
              <w:rPr>
                <w:rFonts w:hint="eastAsia" w:ascii="黑体" w:hAnsi="黑体" w:eastAsia="黑体"/>
                <w:b/>
                <w:bCs/>
                <w:sz w:val="22"/>
              </w:rPr>
            </w:pPr>
          </w:p>
        </w:tc>
        <w:tc>
          <w:tcPr>
            <w:tcW w:w="1030" w:type="pct"/>
            <w:noWrap w:val="0"/>
            <w:vAlign w:val="center"/>
          </w:tcPr>
          <w:p>
            <w:pPr>
              <w:spacing w:line="360" w:lineRule="auto"/>
              <w:jc w:val="center"/>
              <w:rPr>
                <w:rFonts w:hint="eastAsia" w:ascii="黑体" w:hAnsi="黑体" w:eastAsia="黑体"/>
                <w:b/>
                <w:bCs/>
                <w:sz w:val="22"/>
              </w:rPr>
            </w:pPr>
          </w:p>
        </w:tc>
      </w:tr>
    </w:tbl>
    <w:p>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pPr>
        <w:pStyle w:val="64"/>
        <w:numPr>
          <w:ilvl w:val="0"/>
          <w:numId w:val="72"/>
        </w:numPr>
        <w:spacing w:line="360" w:lineRule="auto"/>
        <w:ind w:firstLineChars="0"/>
        <w:rPr>
          <w:rFonts w:hint="eastAsia" w:ascii="黑体" w:hAnsi="黑体" w:eastAsia="黑体"/>
          <w:sz w:val="22"/>
          <w:szCs w:val="24"/>
        </w:rPr>
      </w:pPr>
      <w:r>
        <w:rPr>
          <w:rFonts w:hint="eastAsia" w:ascii="黑体" w:hAnsi="黑体" w:eastAsia="黑体"/>
          <w:sz w:val="22"/>
          <w:szCs w:val="24"/>
        </w:rPr>
        <w:t>自查结论处请填写：通过</w:t>
      </w:r>
      <w:r>
        <w:rPr>
          <w:rFonts w:ascii="黑体" w:hAnsi="黑体" w:eastAsia="黑体"/>
          <w:sz w:val="22"/>
          <w:szCs w:val="24"/>
        </w:rPr>
        <w:t>/不通过</w:t>
      </w:r>
      <w:r>
        <w:rPr>
          <w:rFonts w:hint="eastAsia" w:ascii="黑体" w:hAnsi="黑体" w:eastAsia="黑体"/>
          <w:sz w:val="22"/>
          <w:szCs w:val="24"/>
        </w:rPr>
        <w:t>；</w:t>
      </w:r>
    </w:p>
    <w:p>
      <w:pPr>
        <w:pStyle w:val="64"/>
        <w:numPr>
          <w:ilvl w:val="0"/>
          <w:numId w:val="72"/>
        </w:numPr>
        <w:spacing w:line="360" w:lineRule="auto"/>
        <w:ind w:firstLineChars="0"/>
        <w:rPr>
          <w:rFonts w:hint="eastAsia" w:ascii="黑体" w:hAnsi="黑体" w:eastAsia="黑体"/>
          <w:sz w:val="22"/>
          <w:szCs w:val="24"/>
        </w:rPr>
      </w:pPr>
      <w:r>
        <w:rPr>
          <w:rFonts w:hint="eastAsia" w:ascii="黑体" w:hAnsi="黑体" w:eastAsia="黑体"/>
          <w:sz w:val="22"/>
        </w:rPr>
        <w:t>按招标文件第五部分</w:t>
      </w:r>
      <w:r>
        <w:rPr>
          <w:rFonts w:ascii="黑体" w:hAnsi="黑体" w:eastAsia="黑体"/>
          <w:sz w:val="22"/>
        </w:rPr>
        <w:t xml:space="preserve"> </w:t>
      </w:r>
      <w:r>
        <w:rPr>
          <w:rFonts w:hint="eastAsia" w:ascii="黑体" w:hAnsi="黑体" w:eastAsia="黑体"/>
          <w:sz w:val="22"/>
        </w:rPr>
        <w:t>评标方法、步骤、标准之符合性审查表（</w:t>
      </w:r>
      <w:r>
        <w:rPr>
          <w:rFonts w:hint="eastAsia" w:ascii="黑体" w:hAnsi="黑体" w:eastAsia="黑体"/>
          <w:kern w:val="0"/>
          <w:sz w:val="22"/>
        </w:rPr>
        <w:t>附表二）</w:t>
      </w:r>
      <w:r>
        <w:rPr>
          <w:rFonts w:hint="eastAsia" w:ascii="黑体" w:hAnsi="黑体" w:eastAsia="黑体"/>
          <w:sz w:val="22"/>
        </w:rPr>
        <w:t>相对应条款填写</w:t>
      </w:r>
      <w:r>
        <w:rPr>
          <w:rFonts w:hint="eastAsia" w:ascii="黑体" w:hAnsi="黑体" w:eastAsia="黑体"/>
          <w:sz w:val="22"/>
          <w:szCs w:val="24"/>
        </w:rPr>
        <w:t>。</w:t>
      </w: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tbl>
      <w:tblPr>
        <w:tblStyle w:val="37"/>
        <w:tblW w:w="0" w:type="auto"/>
        <w:tblInd w:w="0" w:type="dxa"/>
        <w:tblLayout w:type="autofit"/>
        <w:tblCellMar>
          <w:top w:w="0" w:type="dxa"/>
          <w:left w:w="108" w:type="dxa"/>
          <w:bottom w:w="0" w:type="dxa"/>
          <w:right w:w="108" w:type="dxa"/>
        </w:tblCellMar>
      </w:tblPr>
      <w:tblGrid>
        <w:gridCol w:w="6627"/>
      </w:tblGrid>
      <w:tr>
        <w:tblPrEx>
          <w:tblCellMar>
            <w:top w:w="0" w:type="dxa"/>
            <w:left w:w="108" w:type="dxa"/>
            <w:bottom w:w="0" w:type="dxa"/>
            <w:right w:w="108" w:type="dxa"/>
          </w:tblCellMar>
        </w:tblPrEx>
        <w:tc>
          <w:tcPr>
            <w:tcW w:w="6627"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tblPrEx>
          <w:tblCellMar>
            <w:top w:w="0" w:type="dxa"/>
            <w:left w:w="108" w:type="dxa"/>
            <w:bottom w:w="0" w:type="dxa"/>
            <w:right w:w="108" w:type="dxa"/>
          </w:tblCellMar>
        </w:tblPrEx>
        <w:tc>
          <w:tcPr>
            <w:tcW w:w="6627"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23" w:name="_Toc17539"/>
      <w:bookmarkStart w:id="124" w:name="_Toc15421"/>
      <w:r>
        <w:rPr>
          <w:rStyle w:val="40"/>
          <w:rFonts w:hint="eastAsia" w:ascii="黑体" w:hAnsi="黑体" w:eastAsia="黑体"/>
          <w:b/>
          <w:bCs/>
          <w:spacing w:val="12"/>
          <w:sz w:val="22"/>
          <w:szCs w:val="22"/>
        </w:rPr>
        <w:t>详细评审索引表</w:t>
      </w:r>
      <w:bookmarkEnd w:id="123"/>
      <w:bookmarkEnd w:id="124"/>
    </w:p>
    <w:p>
      <w:pPr>
        <w:spacing w:before="312" w:beforeLines="100" w:after="312" w:afterLines="100"/>
        <w:jc w:val="center"/>
        <w:rPr>
          <w:rFonts w:hint="eastAsia" w:ascii="黑体" w:hAnsi="黑体" w:eastAsia="黑体"/>
          <w:b/>
          <w:spacing w:val="20"/>
          <w:sz w:val="32"/>
          <w:szCs w:val="32"/>
        </w:rPr>
      </w:pPr>
      <w:r>
        <w:rPr>
          <w:rFonts w:hint="eastAsia" w:ascii="黑体" w:hAnsi="黑体" w:eastAsia="黑体"/>
          <w:b/>
          <w:spacing w:val="20"/>
          <w:sz w:val="32"/>
          <w:szCs w:val="32"/>
        </w:rPr>
        <w:t>详细评审索引表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551"/>
        <w:gridCol w:w="3382"/>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商务评审细则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序号</w:t>
            </w:r>
          </w:p>
        </w:tc>
        <w:tc>
          <w:tcPr>
            <w:tcW w:w="1551"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评分内容</w:t>
            </w:r>
          </w:p>
        </w:tc>
        <w:tc>
          <w:tcPr>
            <w:tcW w:w="3382"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评分标准</w:t>
            </w:r>
          </w:p>
        </w:tc>
        <w:tc>
          <w:tcPr>
            <w:tcW w:w="2452"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投标文件响应页码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技术评审细则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序号</w:t>
            </w:r>
          </w:p>
        </w:tc>
        <w:tc>
          <w:tcPr>
            <w:tcW w:w="1551"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评分内容</w:t>
            </w:r>
          </w:p>
        </w:tc>
        <w:tc>
          <w:tcPr>
            <w:tcW w:w="3382"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评分标准</w:t>
            </w:r>
          </w:p>
        </w:tc>
        <w:tc>
          <w:tcPr>
            <w:tcW w:w="2452" w:type="dxa"/>
            <w:noWrap w:val="0"/>
            <w:vAlign w:val="center"/>
          </w:tcPr>
          <w:p>
            <w:pPr>
              <w:spacing w:line="360" w:lineRule="auto"/>
              <w:jc w:val="center"/>
              <w:rPr>
                <w:rFonts w:hint="eastAsia" w:ascii="黑体" w:hAnsi="黑体" w:eastAsia="黑体"/>
                <w:b/>
                <w:sz w:val="22"/>
              </w:rPr>
            </w:pPr>
            <w:r>
              <w:rPr>
                <w:rFonts w:hint="eastAsia" w:ascii="黑体" w:hAnsi="黑体" w:eastAsia="黑体"/>
                <w:b/>
                <w:sz w:val="22"/>
              </w:rPr>
              <w:t>投标文件响应页码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center"/>
          </w:tcPr>
          <w:p>
            <w:pPr>
              <w:spacing w:line="360" w:lineRule="auto"/>
              <w:jc w:val="center"/>
              <w:rPr>
                <w:rFonts w:hint="eastAsia" w:ascii="黑体" w:hAnsi="黑体" w:eastAsia="黑体"/>
                <w:b/>
                <w:sz w:val="22"/>
              </w:rPr>
            </w:pPr>
          </w:p>
        </w:tc>
        <w:tc>
          <w:tcPr>
            <w:tcW w:w="1551" w:type="dxa"/>
            <w:noWrap w:val="0"/>
            <w:vAlign w:val="center"/>
          </w:tcPr>
          <w:p>
            <w:pPr>
              <w:spacing w:line="360" w:lineRule="auto"/>
              <w:jc w:val="center"/>
              <w:rPr>
                <w:rFonts w:hint="eastAsia" w:ascii="黑体" w:hAnsi="黑体" w:eastAsia="黑体"/>
                <w:b/>
                <w:sz w:val="22"/>
              </w:rPr>
            </w:pPr>
          </w:p>
        </w:tc>
        <w:tc>
          <w:tcPr>
            <w:tcW w:w="3382" w:type="dxa"/>
            <w:noWrap w:val="0"/>
            <w:vAlign w:val="center"/>
          </w:tcPr>
          <w:p>
            <w:pPr>
              <w:spacing w:line="360" w:lineRule="auto"/>
              <w:jc w:val="center"/>
              <w:rPr>
                <w:rFonts w:hint="eastAsia" w:ascii="黑体" w:hAnsi="黑体" w:eastAsia="黑体"/>
                <w:b/>
                <w:sz w:val="22"/>
              </w:rPr>
            </w:pPr>
          </w:p>
        </w:tc>
        <w:tc>
          <w:tcPr>
            <w:tcW w:w="2452" w:type="dxa"/>
            <w:noWrap w:val="0"/>
            <w:vAlign w:val="center"/>
          </w:tcPr>
          <w:p>
            <w:pPr>
              <w:spacing w:line="360" w:lineRule="auto"/>
              <w:jc w:val="center"/>
              <w:rPr>
                <w:rFonts w:hint="eastAsia" w:ascii="黑体" w:hAnsi="黑体" w:eastAsia="黑体"/>
                <w:b/>
                <w:sz w:val="22"/>
              </w:rPr>
            </w:pPr>
          </w:p>
        </w:tc>
      </w:tr>
    </w:tbl>
    <w:p>
      <w:pPr>
        <w:spacing w:before="156" w:beforeLines="50" w:line="360" w:lineRule="auto"/>
        <w:rPr>
          <w:rFonts w:hint="eastAsia" w:ascii="黑体" w:hAnsi="黑体" w:eastAsia="黑体"/>
          <w:sz w:val="22"/>
          <w:szCs w:val="24"/>
        </w:rPr>
      </w:pPr>
      <w:r>
        <w:rPr>
          <w:rFonts w:hint="eastAsia" w:ascii="黑体" w:hAnsi="黑体" w:eastAsia="黑体"/>
          <w:sz w:val="22"/>
        </w:rPr>
        <w:t>注明：按招标文件第五部分</w:t>
      </w:r>
      <w:r>
        <w:rPr>
          <w:rFonts w:ascii="黑体" w:hAnsi="黑体" w:eastAsia="黑体"/>
          <w:sz w:val="22"/>
        </w:rPr>
        <w:t xml:space="preserve"> </w:t>
      </w:r>
      <w:r>
        <w:rPr>
          <w:rFonts w:hint="eastAsia" w:ascii="黑体" w:hAnsi="黑体" w:eastAsia="黑体"/>
          <w:sz w:val="22"/>
        </w:rPr>
        <w:t>评标方法、步骤、标准之附表三详细评审表相对应条款填写。</w:t>
      </w: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tbl>
      <w:tblPr>
        <w:tblStyle w:val="37"/>
        <w:tblW w:w="0" w:type="auto"/>
        <w:tblInd w:w="0" w:type="dxa"/>
        <w:tblLayout w:type="autofit"/>
        <w:tblCellMar>
          <w:top w:w="0" w:type="dxa"/>
          <w:left w:w="108" w:type="dxa"/>
          <w:bottom w:w="0" w:type="dxa"/>
          <w:right w:w="108" w:type="dxa"/>
        </w:tblCellMar>
      </w:tblPr>
      <w:tblGrid>
        <w:gridCol w:w="6627"/>
      </w:tblGrid>
      <w:tr>
        <w:tblPrEx>
          <w:tblCellMar>
            <w:top w:w="0" w:type="dxa"/>
            <w:left w:w="108" w:type="dxa"/>
            <w:bottom w:w="0" w:type="dxa"/>
            <w:right w:w="108" w:type="dxa"/>
          </w:tblCellMar>
        </w:tblPrEx>
        <w:tc>
          <w:tcPr>
            <w:tcW w:w="6627"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tblPrEx>
          <w:tblCellMar>
            <w:top w:w="0" w:type="dxa"/>
            <w:left w:w="108" w:type="dxa"/>
            <w:bottom w:w="0" w:type="dxa"/>
            <w:right w:w="108" w:type="dxa"/>
          </w:tblCellMar>
        </w:tblPrEx>
        <w:tc>
          <w:tcPr>
            <w:tcW w:w="6627"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pPr>
        <w:spacing w:line="360" w:lineRule="auto"/>
        <w:sectPr>
          <w:footerReference r:id="rId7" w:type="first"/>
          <w:headerReference r:id="rId5" w:type="default"/>
          <w:footerReference r:id="rId6" w:type="default"/>
          <w:pgSz w:w="11906" w:h="16838"/>
          <w:pgMar w:top="1521" w:right="1558" w:bottom="993" w:left="1797" w:header="851" w:footer="680" w:gutter="0"/>
          <w:cols w:space="720" w:num="1"/>
          <w:titlePg/>
          <w:docGrid w:type="lines" w:linePitch="312" w:charSpace="0"/>
        </w:sectPr>
      </w:pP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25" w:name="_Toc31493"/>
      <w:bookmarkStart w:id="126" w:name="_Toc23786"/>
      <w:r>
        <w:rPr>
          <w:rStyle w:val="40"/>
          <w:rFonts w:hint="eastAsia" w:ascii="黑体" w:hAnsi="黑体" w:eastAsia="黑体"/>
          <w:b/>
          <w:bCs/>
          <w:spacing w:val="12"/>
          <w:sz w:val="22"/>
          <w:szCs w:val="22"/>
        </w:rPr>
        <w:t>开标一览表</w:t>
      </w:r>
      <w:bookmarkEnd w:id="125"/>
      <w:bookmarkEnd w:id="126"/>
    </w:p>
    <w:p>
      <w:pPr>
        <w:spacing w:before="624" w:beforeLines="200" w:after="312" w:afterLines="10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开标一览表</w:t>
      </w:r>
    </w:p>
    <w:tbl>
      <w:tblPr>
        <w:tblStyle w:val="37"/>
        <w:tblW w:w="483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62"/>
        <w:gridCol w:w="2333"/>
        <w:gridCol w:w="1383"/>
        <w:gridCol w:w="2069"/>
        <w:gridCol w:w="2451"/>
        <w:gridCol w:w="45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3" w:hRule="atLeast"/>
        </w:trPr>
        <w:tc>
          <w:tcPr>
            <w:tcW w:w="449"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序号</w:t>
            </w:r>
          </w:p>
        </w:tc>
        <w:tc>
          <w:tcPr>
            <w:tcW w:w="830"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采购标的</w:t>
            </w:r>
          </w:p>
        </w:tc>
        <w:tc>
          <w:tcPr>
            <w:tcW w:w="492"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数量/</w:t>
            </w:r>
          </w:p>
          <w:p>
            <w:pPr>
              <w:jc w:val="center"/>
              <w:rPr>
                <w:rFonts w:hint="eastAsia" w:ascii="黑体" w:hAnsi="黑体" w:eastAsia="黑体" w:cs="黑体"/>
                <w:b/>
                <w:bCs/>
                <w:sz w:val="22"/>
              </w:rPr>
            </w:pPr>
            <w:r>
              <w:rPr>
                <w:rFonts w:hint="eastAsia" w:ascii="黑体" w:hAnsi="黑体" w:eastAsia="黑体" w:cs="黑体"/>
                <w:b/>
                <w:bCs/>
                <w:sz w:val="22"/>
              </w:rPr>
              <w:t>单位</w:t>
            </w:r>
          </w:p>
        </w:tc>
        <w:tc>
          <w:tcPr>
            <w:tcW w:w="736"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服务地点</w:t>
            </w:r>
          </w:p>
        </w:tc>
        <w:tc>
          <w:tcPr>
            <w:tcW w:w="872"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服务时间</w:t>
            </w:r>
          </w:p>
        </w:tc>
        <w:tc>
          <w:tcPr>
            <w:tcW w:w="1619" w:type="pct"/>
            <w:noWrap w:val="0"/>
            <w:vAlign w:val="center"/>
          </w:tcPr>
          <w:p>
            <w:pPr>
              <w:jc w:val="center"/>
              <w:rPr>
                <w:rFonts w:hint="eastAsia" w:ascii="黑体" w:hAnsi="黑体" w:eastAsia="黑体" w:cs="黑体"/>
                <w:b/>
                <w:bCs/>
                <w:sz w:val="22"/>
              </w:rPr>
            </w:pPr>
            <w:r>
              <w:rPr>
                <w:rFonts w:hint="eastAsia" w:ascii="黑体" w:hAnsi="黑体" w:eastAsia="黑体" w:cs="黑体"/>
                <w:b/>
                <w:bCs/>
                <w:sz w:val="22"/>
              </w:rPr>
              <w:t>投标报价（元）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67" w:hRule="atLeast"/>
        </w:trPr>
        <w:tc>
          <w:tcPr>
            <w:tcW w:w="449" w:type="pct"/>
            <w:noWrap w:val="0"/>
            <w:vAlign w:val="center"/>
          </w:tcPr>
          <w:p>
            <w:pPr>
              <w:jc w:val="center"/>
              <w:rPr>
                <w:rFonts w:hint="eastAsia" w:ascii="黑体" w:hAnsi="黑体" w:eastAsia="黑体" w:cs="黑体"/>
                <w:sz w:val="22"/>
              </w:rPr>
            </w:pPr>
            <w:r>
              <w:rPr>
                <w:rFonts w:hint="eastAsia" w:ascii="黑体" w:hAnsi="黑体" w:eastAsia="黑体" w:cs="黑体"/>
                <w:sz w:val="22"/>
              </w:rPr>
              <w:t>1</w:t>
            </w:r>
          </w:p>
        </w:tc>
        <w:tc>
          <w:tcPr>
            <w:tcW w:w="830" w:type="pct"/>
            <w:noWrap w:val="0"/>
            <w:vAlign w:val="center"/>
          </w:tcPr>
          <w:p>
            <w:pPr>
              <w:jc w:val="center"/>
              <w:rPr>
                <w:rFonts w:hint="eastAsia" w:ascii="黑体" w:hAnsi="黑体" w:eastAsia="黑体" w:cs="黑体"/>
                <w:sz w:val="22"/>
              </w:rPr>
            </w:pPr>
            <w:r>
              <w:rPr>
                <w:rFonts w:hint="eastAsia" w:ascii="黑体" w:hAnsi="黑体" w:eastAsia="黑体" w:cs="黑体"/>
                <w:sz w:val="22"/>
              </w:rPr>
              <w:t>南方报业传媒集团核心信息系统云备份中心建设</w:t>
            </w:r>
          </w:p>
        </w:tc>
        <w:tc>
          <w:tcPr>
            <w:tcW w:w="492" w:type="pct"/>
            <w:noWrap w:val="0"/>
            <w:vAlign w:val="center"/>
          </w:tcPr>
          <w:p>
            <w:pPr>
              <w:jc w:val="center"/>
              <w:rPr>
                <w:rFonts w:hint="eastAsia" w:ascii="黑体" w:hAnsi="黑体" w:eastAsia="黑体" w:cs="黑体"/>
                <w:sz w:val="22"/>
              </w:rPr>
            </w:pPr>
            <w:r>
              <w:rPr>
                <w:rFonts w:hint="eastAsia" w:ascii="黑体" w:hAnsi="黑体" w:eastAsia="黑体" w:cs="黑体"/>
                <w:sz w:val="22"/>
              </w:rPr>
              <w:t>1/项</w:t>
            </w:r>
          </w:p>
        </w:tc>
        <w:tc>
          <w:tcPr>
            <w:tcW w:w="736" w:type="pct"/>
            <w:noWrap w:val="0"/>
            <w:vAlign w:val="center"/>
          </w:tcPr>
          <w:p>
            <w:pPr>
              <w:jc w:val="center"/>
              <w:rPr>
                <w:rFonts w:hint="eastAsia" w:ascii="黑体" w:hAnsi="黑体" w:eastAsia="黑体" w:cs="黑体"/>
                <w:sz w:val="22"/>
              </w:rPr>
            </w:pPr>
            <w:r>
              <w:rPr>
                <w:rFonts w:hint="eastAsia" w:ascii="黑体" w:hAnsi="黑体" w:eastAsia="黑体" w:cs="黑体"/>
                <w:sz w:val="22"/>
              </w:rPr>
              <w:t>南海基地云备份中心</w:t>
            </w:r>
          </w:p>
        </w:tc>
        <w:tc>
          <w:tcPr>
            <w:tcW w:w="872" w:type="pct"/>
            <w:noWrap w:val="0"/>
            <w:vAlign w:val="center"/>
          </w:tcPr>
          <w:p>
            <w:pPr>
              <w:jc w:val="center"/>
              <w:rPr>
                <w:rFonts w:hint="eastAsia" w:ascii="黑体" w:hAnsi="黑体" w:eastAsia="黑体" w:cs="黑体"/>
                <w:sz w:val="22"/>
              </w:rPr>
            </w:pPr>
            <w:r>
              <w:rPr>
                <w:rFonts w:hint="eastAsia" w:ascii="黑体" w:hAnsi="黑体" w:eastAsia="黑体" w:cs="黑体"/>
                <w:sz w:val="22"/>
              </w:rPr>
              <w:t>合同签订后3个月内完成</w:t>
            </w:r>
          </w:p>
        </w:tc>
        <w:tc>
          <w:tcPr>
            <w:tcW w:w="1619" w:type="pct"/>
            <w:noWrap w:val="0"/>
            <w:vAlign w:val="center"/>
          </w:tcPr>
          <w:p>
            <w:pPr>
              <w:spacing w:line="360" w:lineRule="auto"/>
              <w:jc w:val="left"/>
              <w:rPr>
                <w:rFonts w:hint="eastAsia" w:ascii="黑体" w:hAnsi="黑体" w:eastAsia="黑体" w:cs="黑体"/>
                <w:sz w:val="22"/>
                <w:u w:val="single"/>
              </w:rPr>
            </w:pPr>
            <w:r>
              <w:rPr>
                <w:rFonts w:hint="eastAsia" w:ascii="黑体" w:hAnsi="黑体" w:eastAsia="黑体" w:cs="黑体"/>
                <w:sz w:val="22"/>
              </w:rPr>
              <w:t>大写：</w:t>
            </w:r>
            <w:r>
              <w:rPr>
                <w:rFonts w:hint="eastAsia" w:ascii="黑体" w:hAnsi="黑体" w:eastAsia="黑体" w:cs="黑体"/>
                <w:sz w:val="22"/>
                <w:u w:val="single"/>
              </w:rPr>
              <w:t xml:space="preserve">                  </w:t>
            </w:r>
          </w:p>
          <w:p>
            <w:pPr>
              <w:pStyle w:val="4"/>
              <w:spacing w:line="360" w:lineRule="auto"/>
              <w:ind w:firstLine="0" w:firstLineChars="0"/>
              <w:jc w:val="left"/>
            </w:pPr>
            <w:r>
              <w:rPr>
                <w:rFonts w:hint="eastAsia" w:ascii="黑体" w:hAnsi="黑体" w:eastAsia="黑体" w:cs="黑体"/>
                <w:sz w:val="22"/>
                <w:szCs w:val="22"/>
              </w:rPr>
              <w:t>小写：</w:t>
            </w:r>
            <w:r>
              <w:rPr>
                <w:rFonts w:hint="eastAsia" w:ascii="黑体" w:hAnsi="黑体" w:eastAsia="黑体" w:cs="黑体"/>
                <w:sz w:val="22"/>
                <w:szCs w:val="22"/>
                <w:u w:val="single"/>
              </w:rPr>
              <w:t xml:space="preserve">¥：                </w:t>
            </w:r>
          </w:p>
        </w:tc>
      </w:tr>
    </w:tbl>
    <w:p>
      <w:pPr>
        <w:spacing w:before="312" w:beforeLines="100"/>
        <w:rPr>
          <w:rFonts w:hint="eastAsia" w:ascii="黑体" w:hAnsi="黑体" w:eastAsia="黑体"/>
          <w:sz w:val="22"/>
        </w:rPr>
      </w:pPr>
      <w:r>
        <w:rPr>
          <w:rFonts w:hint="eastAsia" w:ascii="黑体" w:hAnsi="黑体" w:eastAsia="黑体"/>
          <w:sz w:val="22"/>
        </w:rPr>
        <w:t>注明：</w:t>
      </w:r>
    </w:p>
    <w:p>
      <w:pPr>
        <w:pStyle w:val="64"/>
        <w:numPr>
          <w:ilvl w:val="0"/>
          <w:numId w:val="73"/>
        </w:numPr>
        <w:ind w:firstLineChars="0"/>
        <w:rPr>
          <w:rFonts w:hint="eastAsia" w:ascii="黑体" w:hAnsi="黑体" w:eastAsia="黑体"/>
          <w:sz w:val="22"/>
        </w:rPr>
      </w:pPr>
      <w:r>
        <w:rPr>
          <w:rFonts w:hint="eastAsia" w:ascii="黑体" w:hAnsi="黑体" w:eastAsia="黑体"/>
          <w:sz w:val="22"/>
        </w:rPr>
        <w:t>投标总价栏须用文字和数字两种方式表示的投标报价。投标报价为固定报价，不接受区间报价。</w:t>
      </w:r>
    </w:p>
    <w:p>
      <w:pPr>
        <w:pStyle w:val="64"/>
        <w:numPr>
          <w:ilvl w:val="0"/>
          <w:numId w:val="73"/>
        </w:numPr>
        <w:ind w:firstLineChars="0"/>
        <w:rPr>
          <w:rFonts w:hint="eastAsia" w:ascii="黑体" w:hAnsi="黑体" w:eastAsia="黑体"/>
          <w:sz w:val="22"/>
        </w:rPr>
      </w:pPr>
      <w:r>
        <w:rPr>
          <w:rFonts w:hint="eastAsia" w:ascii="黑体" w:hAnsi="黑体" w:eastAsia="黑体"/>
          <w:sz w:val="22"/>
        </w:rPr>
        <w:t>投标报价货币：人民币；金额单位：元。</w:t>
      </w:r>
    </w:p>
    <w:p>
      <w:pPr>
        <w:pStyle w:val="64"/>
        <w:numPr>
          <w:ilvl w:val="0"/>
          <w:numId w:val="73"/>
        </w:numPr>
        <w:ind w:firstLineChars="0"/>
        <w:rPr>
          <w:rFonts w:hint="eastAsia" w:ascii="黑体" w:hAnsi="黑体" w:eastAsia="黑体"/>
          <w:sz w:val="22"/>
        </w:rPr>
      </w:pPr>
      <w:r>
        <w:rPr>
          <w:rFonts w:hint="eastAsia" w:ascii="黑体" w:hAnsi="黑体" w:eastAsia="黑体"/>
          <w:sz w:val="22"/>
        </w:rPr>
        <w:t>开标一览表内容与投标文件中相应内容不一致的，以开标一览表为准。</w:t>
      </w:r>
    </w:p>
    <w:p>
      <w:pPr>
        <w:pStyle w:val="64"/>
        <w:numPr>
          <w:ilvl w:val="0"/>
          <w:numId w:val="73"/>
        </w:numPr>
        <w:ind w:firstLineChars="0"/>
        <w:rPr>
          <w:rFonts w:hint="eastAsia" w:ascii="黑体" w:hAnsi="黑体" w:eastAsia="黑体"/>
          <w:sz w:val="22"/>
        </w:rPr>
      </w:pPr>
      <w:r>
        <w:rPr>
          <w:rFonts w:hint="eastAsia" w:ascii="黑体" w:hAnsi="黑体" w:eastAsia="黑体"/>
          <w:sz w:val="22"/>
        </w:rPr>
        <w:t>大写金额和小写金额不一致的，以大写金额为准。</w:t>
      </w:r>
    </w:p>
    <w:p>
      <w:pPr>
        <w:pStyle w:val="64"/>
        <w:numPr>
          <w:ilvl w:val="0"/>
          <w:numId w:val="73"/>
        </w:numPr>
        <w:ind w:firstLineChars="0"/>
        <w:rPr>
          <w:rFonts w:hint="eastAsia" w:ascii="黑体" w:hAnsi="黑体" w:eastAsia="黑体"/>
          <w:sz w:val="22"/>
        </w:rPr>
      </w:pPr>
      <w:r>
        <w:rPr>
          <w:rFonts w:hint="eastAsia" w:ascii="黑体" w:hAnsi="黑体" w:eastAsia="黑体"/>
          <w:sz w:val="22"/>
        </w:rPr>
        <w:t>投标人需对本采购项目位的服务进行整体投标，</w:t>
      </w:r>
      <w:r>
        <w:rPr>
          <w:rFonts w:hint="eastAsia" w:ascii="黑体" w:hAnsi="黑体" w:eastAsia="黑体"/>
          <w:b/>
          <w:bCs/>
          <w:sz w:val="22"/>
        </w:rPr>
        <w:t>任何只对其中一部分内容进行的投标都被视为无效投标。</w:t>
      </w:r>
    </w:p>
    <w:tbl>
      <w:tblPr>
        <w:tblStyle w:val="37"/>
        <w:tblW w:w="0" w:type="auto"/>
        <w:jc w:val="center"/>
        <w:tblLayout w:type="autofit"/>
        <w:tblCellMar>
          <w:top w:w="0" w:type="dxa"/>
          <w:left w:w="108" w:type="dxa"/>
          <w:bottom w:w="0" w:type="dxa"/>
          <w:right w:w="108" w:type="dxa"/>
        </w:tblCellMar>
      </w:tblPr>
      <w:tblGrid>
        <w:gridCol w:w="6629"/>
        <w:gridCol w:w="1899"/>
      </w:tblGrid>
      <w:tr>
        <w:tblPrEx>
          <w:tblCellMar>
            <w:top w:w="0" w:type="dxa"/>
            <w:left w:w="108" w:type="dxa"/>
            <w:bottom w:w="0" w:type="dxa"/>
            <w:right w:w="108" w:type="dxa"/>
          </w:tblCellMar>
        </w:tblPrEx>
        <w:trPr>
          <w:jc w:val="center"/>
        </w:trPr>
        <w:tc>
          <w:tcPr>
            <w:tcW w:w="6629" w:type="dxa"/>
            <w:noWrap w:val="0"/>
            <w:vAlign w:val="top"/>
          </w:tcPr>
          <w:p>
            <w:pPr>
              <w:overflowPunct w:val="0"/>
              <w:adjustRightInd w:val="0"/>
              <w:spacing w:line="48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r>
              <w:rPr>
                <w:rFonts w:hint="eastAsia" w:ascii="黑体" w:hAnsi="黑体" w:eastAsia="黑体"/>
                <w:sz w:val="22"/>
                <w:u w:val="single"/>
              </w:rPr>
              <w:t xml:space="preserve">                    </w:t>
            </w:r>
          </w:p>
        </w:tc>
        <w:tc>
          <w:tcPr>
            <w:tcW w:w="1899" w:type="dxa"/>
            <w:noWrap w:val="0"/>
            <w:vAlign w:val="top"/>
          </w:tcPr>
          <w:p>
            <w:pPr>
              <w:spacing w:line="480" w:lineRule="auto"/>
              <w:rPr>
                <w:rFonts w:hint="eastAsia" w:ascii="黑体" w:hAnsi="黑体" w:eastAsia="黑体"/>
                <w:sz w:val="22"/>
              </w:rPr>
            </w:pPr>
          </w:p>
        </w:tc>
      </w:tr>
      <w:tr>
        <w:tblPrEx>
          <w:tblCellMar>
            <w:top w:w="0" w:type="dxa"/>
            <w:left w:w="108" w:type="dxa"/>
            <w:bottom w:w="0" w:type="dxa"/>
            <w:right w:w="108" w:type="dxa"/>
          </w:tblCellMar>
        </w:tblPrEx>
        <w:trPr>
          <w:jc w:val="center"/>
        </w:trPr>
        <w:tc>
          <w:tcPr>
            <w:tcW w:w="6629" w:type="dxa"/>
            <w:noWrap w:val="0"/>
            <w:vAlign w:val="top"/>
          </w:tcPr>
          <w:p>
            <w:pPr>
              <w:spacing w:line="480" w:lineRule="auto"/>
              <w:rPr>
                <w:rFonts w:hint="eastAsia" w:ascii="黑体" w:hAnsi="黑体" w:eastAsia="黑体"/>
                <w:sz w:val="22"/>
              </w:rPr>
            </w:pPr>
            <w:r>
              <w:rPr>
                <w:rFonts w:hint="eastAsia" w:ascii="黑体" w:hAnsi="黑体" w:eastAsia="黑体"/>
                <w:sz w:val="22"/>
              </w:rPr>
              <w:t>投标人法定代表人或被授权人（签名或签章）：</w:t>
            </w:r>
            <w:r>
              <w:rPr>
                <w:rFonts w:ascii="黑体" w:hAnsi="黑体" w:eastAsia="黑体"/>
                <w:sz w:val="22"/>
                <w:u w:val="single"/>
              </w:rPr>
              <w:t xml:space="preserve">     </w:t>
            </w:r>
            <w:r>
              <w:rPr>
                <w:rFonts w:hint="eastAsia" w:ascii="黑体" w:hAnsi="黑体" w:eastAsia="黑体"/>
                <w:sz w:val="22"/>
                <w:u w:val="single"/>
              </w:rPr>
              <w:t xml:space="preserve">             </w:t>
            </w:r>
          </w:p>
        </w:tc>
        <w:tc>
          <w:tcPr>
            <w:tcW w:w="1899" w:type="dxa"/>
            <w:noWrap w:val="0"/>
            <w:vAlign w:val="top"/>
          </w:tcPr>
          <w:p>
            <w:pPr>
              <w:spacing w:line="480" w:lineRule="auto"/>
              <w:rPr>
                <w:rFonts w:hint="eastAsia" w:ascii="黑体" w:hAnsi="黑体" w:eastAsia="黑体"/>
                <w:sz w:val="22"/>
              </w:rPr>
            </w:pPr>
          </w:p>
        </w:tc>
      </w:tr>
      <w:tr>
        <w:tblPrEx>
          <w:tblCellMar>
            <w:top w:w="0" w:type="dxa"/>
            <w:left w:w="108" w:type="dxa"/>
            <w:bottom w:w="0" w:type="dxa"/>
            <w:right w:w="108" w:type="dxa"/>
          </w:tblCellMar>
        </w:tblPrEx>
        <w:trPr>
          <w:jc w:val="center"/>
        </w:trPr>
        <w:tc>
          <w:tcPr>
            <w:tcW w:w="6629" w:type="dxa"/>
            <w:noWrap w:val="0"/>
            <w:vAlign w:val="top"/>
          </w:tcPr>
          <w:p>
            <w:pPr>
              <w:spacing w:line="48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1899" w:type="dxa"/>
            <w:noWrap w:val="0"/>
            <w:vAlign w:val="top"/>
          </w:tcPr>
          <w:p>
            <w:pPr>
              <w:spacing w:line="480" w:lineRule="auto"/>
              <w:rPr>
                <w:rFonts w:hint="eastAsia" w:ascii="黑体" w:hAnsi="黑体" w:eastAsia="黑体"/>
                <w:sz w:val="22"/>
              </w:rPr>
            </w:pPr>
          </w:p>
        </w:tc>
      </w:tr>
    </w:tbl>
    <w:p>
      <w:pPr>
        <w:spacing w:line="360" w:lineRule="auto"/>
        <w:rPr>
          <w:rFonts w:hint="eastAsia" w:ascii="宋体" w:hAnsi="宋体"/>
          <w:sz w:val="22"/>
        </w:rPr>
        <w:sectPr>
          <w:pgSz w:w="16838" w:h="11906" w:orient="landscape"/>
          <w:pgMar w:top="1797" w:right="1521" w:bottom="1558" w:left="993" w:header="851" w:footer="680" w:gutter="0"/>
          <w:cols w:space="720" w:num="1"/>
          <w:titlePg/>
          <w:docGrid w:type="lines" w:linePitch="312" w:charSpace="0"/>
        </w:sectPr>
      </w:pPr>
    </w:p>
    <w:bookmarkEnd w:id="116"/>
    <w:bookmarkEnd w:id="117"/>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27" w:name="_Toc1934"/>
      <w:bookmarkStart w:id="128" w:name="_Toc25749"/>
      <w:r>
        <w:rPr>
          <w:rStyle w:val="40"/>
          <w:rFonts w:hint="eastAsia" w:ascii="黑体" w:hAnsi="黑体" w:eastAsia="黑体"/>
          <w:b/>
          <w:bCs/>
          <w:spacing w:val="12"/>
          <w:sz w:val="22"/>
          <w:szCs w:val="22"/>
        </w:rPr>
        <w:t>分项报价表</w:t>
      </w:r>
      <w:bookmarkEnd w:id="127"/>
      <w:bookmarkEnd w:id="128"/>
    </w:p>
    <w:p>
      <w:pPr>
        <w:pStyle w:val="21"/>
        <w:spacing w:line="360" w:lineRule="auto"/>
        <w:rPr>
          <w:rFonts w:hint="eastAsia" w:ascii="黑体" w:hAnsi="黑体" w:eastAsia="黑体"/>
          <w:b/>
          <w:sz w:val="22"/>
          <w:szCs w:val="22"/>
        </w:rPr>
      </w:pPr>
      <w:r>
        <w:rPr>
          <w:rFonts w:hint="eastAsia" w:ascii="黑体" w:hAnsi="黑体" w:eastAsia="黑体"/>
          <w:b/>
          <w:sz w:val="22"/>
          <w:szCs w:val="22"/>
        </w:rPr>
        <w:t xml:space="preserve">项目名称：                  </w:t>
      </w:r>
    </w:p>
    <w:p>
      <w:pPr>
        <w:pStyle w:val="21"/>
        <w:spacing w:line="360" w:lineRule="auto"/>
        <w:rPr>
          <w:rFonts w:hint="eastAsia" w:ascii="黑体" w:hAnsi="黑体" w:eastAsia="黑体"/>
          <w:b/>
          <w:sz w:val="22"/>
          <w:szCs w:val="22"/>
        </w:rPr>
      </w:pPr>
      <w:r>
        <w:rPr>
          <w:rFonts w:hint="eastAsia" w:ascii="黑体" w:hAnsi="黑体" w:eastAsia="黑体"/>
          <w:b/>
          <w:sz w:val="22"/>
          <w:szCs w:val="22"/>
        </w:rPr>
        <w:t>项目编号：</w:t>
      </w:r>
    </w:p>
    <w:p>
      <w:pPr>
        <w:pStyle w:val="21"/>
        <w:spacing w:line="360" w:lineRule="auto"/>
        <w:rPr>
          <w:rFonts w:hint="eastAsia" w:ascii="黑体" w:hAnsi="黑体" w:eastAsia="黑体"/>
          <w:b/>
          <w:sz w:val="22"/>
          <w:szCs w:val="22"/>
        </w:rPr>
      </w:pPr>
    </w:p>
    <w:tbl>
      <w:tblPr>
        <w:tblStyle w:val="37"/>
        <w:tblpPr w:leftFromText="180" w:rightFromText="180" w:vertAnchor="text" w:horzAnchor="page" w:tblpX="1719" w:tblpY="46"/>
        <w:tblOverlap w:val="never"/>
        <w:tblW w:w="482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7"/>
        <w:gridCol w:w="1276"/>
        <w:gridCol w:w="2254"/>
        <w:gridCol w:w="1999"/>
        <w:gridCol w:w="21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7" w:hRule="atLeast"/>
        </w:trPr>
        <w:tc>
          <w:tcPr>
            <w:tcW w:w="483" w:type="pct"/>
            <w:noWrap w:val="0"/>
            <w:vAlign w:val="center"/>
          </w:tcPr>
          <w:p>
            <w:pPr>
              <w:spacing w:line="360" w:lineRule="auto"/>
              <w:jc w:val="center"/>
              <w:rPr>
                <w:rFonts w:hint="eastAsia" w:ascii="宋体" w:hAnsi="宋体" w:cs="宋体"/>
                <w:b/>
                <w:bCs/>
                <w:sz w:val="24"/>
                <w:szCs w:val="24"/>
              </w:rPr>
            </w:pPr>
            <w:r>
              <w:rPr>
                <w:rFonts w:hint="eastAsia" w:ascii="宋体" w:hAnsi="宋体" w:cs="宋体"/>
                <w:b/>
                <w:bCs/>
                <w:sz w:val="24"/>
                <w:szCs w:val="24"/>
              </w:rPr>
              <w:t>序号</w:t>
            </w:r>
          </w:p>
        </w:tc>
        <w:tc>
          <w:tcPr>
            <w:tcW w:w="754" w:type="pct"/>
            <w:noWrap w:val="0"/>
            <w:vAlign w:val="center"/>
          </w:tcPr>
          <w:p>
            <w:pPr>
              <w:spacing w:line="360" w:lineRule="auto"/>
              <w:jc w:val="center"/>
              <w:rPr>
                <w:rFonts w:hint="eastAsia" w:ascii="宋体" w:hAnsi="宋体" w:cs="宋体"/>
                <w:b/>
                <w:bCs/>
                <w:sz w:val="24"/>
                <w:szCs w:val="24"/>
              </w:rPr>
            </w:pPr>
            <w:r>
              <w:rPr>
                <w:rFonts w:hint="eastAsia" w:ascii="宋体" w:hAnsi="宋体" w:cs="宋体"/>
                <w:b/>
                <w:bCs/>
                <w:sz w:val="24"/>
                <w:szCs w:val="24"/>
              </w:rPr>
              <w:t>分项名称</w:t>
            </w:r>
          </w:p>
        </w:tc>
        <w:tc>
          <w:tcPr>
            <w:tcW w:w="1332" w:type="pct"/>
            <w:noWrap w:val="0"/>
            <w:vAlign w:val="center"/>
          </w:tcPr>
          <w:p>
            <w:pPr>
              <w:jc w:val="center"/>
              <w:rPr>
                <w:rFonts w:hint="eastAsia" w:ascii="宋体" w:hAnsi="宋体" w:cs="宋体"/>
                <w:b/>
                <w:bCs/>
                <w:sz w:val="24"/>
                <w:szCs w:val="24"/>
              </w:rPr>
            </w:pPr>
            <w:r>
              <w:rPr>
                <w:rFonts w:hint="eastAsia" w:ascii="宋体" w:hAnsi="宋体" w:cs="宋体"/>
                <w:b/>
                <w:bCs/>
                <w:sz w:val="24"/>
                <w:szCs w:val="24"/>
              </w:rPr>
              <w:t>服务要求</w:t>
            </w:r>
          </w:p>
        </w:tc>
        <w:tc>
          <w:tcPr>
            <w:tcW w:w="1181" w:type="pct"/>
            <w:noWrap w:val="0"/>
            <w:vAlign w:val="center"/>
          </w:tcPr>
          <w:p>
            <w:pPr>
              <w:jc w:val="center"/>
              <w:rPr>
                <w:rFonts w:hint="eastAsia" w:ascii="宋体" w:hAnsi="宋体" w:cs="宋体"/>
                <w:b/>
                <w:bCs/>
                <w:sz w:val="24"/>
                <w:szCs w:val="24"/>
              </w:rPr>
            </w:pPr>
            <w:r>
              <w:rPr>
                <w:rFonts w:hint="eastAsia" w:ascii="宋体" w:hAnsi="宋体" w:cs="宋体"/>
                <w:b/>
                <w:bCs/>
                <w:sz w:val="24"/>
                <w:szCs w:val="24"/>
              </w:rPr>
              <w:t>服务内容（提供所涉及主要物料的品牌和型号）</w:t>
            </w:r>
          </w:p>
        </w:tc>
        <w:tc>
          <w:tcPr>
            <w:tcW w:w="1250" w:type="pct"/>
            <w:noWrap w:val="0"/>
            <w:vAlign w:val="center"/>
          </w:tcPr>
          <w:p>
            <w:pPr>
              <w:spacing w:line="360" w:lineRule="auto"/>
              <w:jc w:val="center"/>
              <w:rPr>
                <w:rFonts w:ascii="宋体" w:hAnsi="宋体" w:cs="宋体"/>
                <w:b/>
                <w:bCs/>
                <w:sz w:val="24"/>
                <w:szCs w:val="24"/>
              </w:rPr>
            </w:pPr>
            <w:r>
              <w:rPr>
                <w:rFonts w:hint="eastAsia" w:ascii="宋体" w:hAnsi="宋体" w:cs="宋体"/>
                <w:b/>
                <w:bCs/>
                <w:sz w:val="24"/>
                <w:szCs w:val="24"/>
              </w:rPr>
              <w:t>分项单价（元）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1</w:t>
            </w:r>
          </w:p>
        </w:tc>
        <w:tc>
          <w:tcPr>
            <w:tcW w:w="754" w:type="pct"/>
            <w:noWrap w:val="0"/>
            <w:vAlign w:val="center"/>
          </w:tcPr>
          <w:p>
            <w:pPr>
              <w:spacing w:line="360" w:lineRule="auto"/>
              <w:jc w:val="left"/>
              <w:rPr>
                <w:rFonts w:ascii="微软雅黑" w:hAnsi="微软雅黑" w:eastAsia="微软雅黑" w:cs="微软雅黑"/>
                <w:sz w:val="22"/>
              </w:rPr>
            </w:pPr>
            <w:r>
              <w:rPr>
                <w:rFonts w:hint="eastAsia" w:ascii="宋体" w:hAnsi="宋体" w:cs="宋体"/>
                <w:sz w:val="24"/>
                <w:szCs w:val="24"/>
              </w:rPr>
              <w:t>机房空间修整服务</w:t>
            </w:r>
          </w:p>
        </w:tc>
        <w:tc>
          <w:tcPr>
            <w:tcW w:w="1332" w:type="pct"/>
            <w:noWrap w:val="0"/>
            <w:vAlign w:val="top"/>
          </w:tcPr>
          <w:p>
            <w:pPr>
              <w:rPr>
                <w:rFonts w:hint="eastAsia" w:ascii="微软雅黑" w:hAnsi="微软雅黑" w:cs="微软雅黑"/>
                <w:szCs w:val="21"/>
              </w:rPr>
            </w:pPr>
            <w:r>
              <w:rPr>
                <w:rFonts w:hint="eastAsia" w:ascii="宋体" w:hAnsi="宋体" w:cs="宋体"/>
                <w:szCs w:val="21"/>
              </w:rPr>
              <w:t>包括修复墙面和地面、封堵孔洞，防漏水处理。迁移地板下带电装置、改造电箱，安装气体消防装置等。</w:t>
            </w:r>
          </w:p>
        </w:tc>
        <w:tc>
          <w:tcPr>
            <w:tcW w:w="1181" w:type="pct"/>
            <w:noWrap w:val="0"/>
            <w:vAlign w:val="top"/>
          </w:tcPr>
          <w:p>
            <w:pPr>
              <w:rPr>
                <w:rFonts w:hint="eastAsia" w:ascii="微软雅黑" w:hAnsi="微软雅黑" w:eastAsia="微软雅黑" w:cs="微软雅黑"/>
                <w:sz w:val="22"/>
              </w:rPr>
            </w:pPr>
          </w:p>
        </w:tc>
        <w:tc>
          <w:tcPr>
            <w:tcW w:w="1250" w:type="pct"/>
            <w:noWrap w:val="0"/>
            <w:vAlign w:val="top"/>
          </w:tcPr>
          <w:p>
            <w:pPr>
              <w:rPr>
                <w:rFonts w:hint="eastAsia" w:ascii="微软雅黑" w:hAnsi="微软雅黑" w:eastAsia="微软雅黑" w:cs="微软雅黑"/>
                <w:sz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2</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微模块机柜</w:t>
            </w:r>
          </w:p>
        </w:tc>
        <w:tc>
          <w:tcPr>
            <w:tcW w:w="1332" w:type="pct"/>
            <w:noWrap w:val="0"/>
            <w:vAlign w:val="center"/>
          </w:tcPr>
          <w:p>
            <w:pPr>
              <w:rPr>
                <w:rFonts w:hint="eastAsia" w:ascii="宋体" w:hAnsi="宋体" w:cs="宋体"/>
                <w:szCs w:val="21"/>
              </w:rPr>
            </w:pPr>
            <w:r>
              <w:rPr>
                <w:rFonts w:hint="eastAsia" w:ascii="宋体" w:hAnsi="宋体" w:cs="宋体"/>
                <w:szCs w:val="21"/>
              </w:rPr>
              <w:t>新增7个模块式气流封闭机柜，其中服务器机柜3个，网络柜4个，设备柜1个。2N方式供电，含两台20KW UPS（外置电池，单机备电时间半小时以上），内置两台12.5KW空调。</w:t>
            </w:r>
          </w:p>
        </w:tc>
        <w:tc>
          <w:tcPr>
            <w:tcW w:w="1181" w:type="pct"/>
            <w:noWrap w:val="0"/>
            <w:vAlign w:val="top"/>
          </w:tcPr>
          <w:p>
            <w:pPr>
              <w:rPr>
                <w:rFonts w:hint="eastAsia" w:ascii="微软雅黑" w:hAnsi="微软雅黑" w:eastAsia="微软雅黑" w:cs="微软雅黑"/>
                <w:sz w:val="22"/>
              </w:rPr>
            </w:pPr>
          </w:p>
        </w:tc>
        <w:tc>
          <w:tcPr>
            <w:tcW w:w="1250" w:type="pct"/>
            <w:noWrap w:val="0"/>
            <w:vAlign w:val="top"/>
          </w:tcPr>
          <w:p>
            <w:pPr>
              <w:rPr>
                <w:rFonts w:hint="eastAsia" w:ascii="微软雅黑" w:hAnsi="微软雅黑" w:eastAsia="微软雅黑" w:cs="微软雅黑"/>
                <w:sz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3</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网络设施</w:t>
            </w:r>
          </w:p>
        </w:tc>
        <w:tc>
          <w:tcPr>
            <w:tcW w:w="1332" w:type="pct"/>
            <w:noWrap w:val="0"/>
            <w:vAlign w:val="center"/>
          </w:tcPr>
          <w:p>
            <w:pPr>
              <w:rPr>
                <w:rFonts w:hint="eastAsia" w:ascii="宋体" w:hAnsi="宋体" w:cs="宋体"/>
                <w:szCs w:val="21"/>
              </w:rPr>
            </w:pPr>
            <w:r>
              <w:rPr>
                <w:rFonts w:hint="eastAsia" w:ascii="宋体" w:hAnsi="宋体" w:cs="宋体"/>
                <w:szCs w:val="21"/>
              </w:rPr>
              <w:t>两台48口数据中心级万兆交换机，光纤预端接14条24芯及双绞线144条，满配两端跳线。</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4</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服务器设备</w:t>
            </w:r>
          </w:p>
        </w:tc>
        <w:tc>
          <w:tcPr>
            <w:tcW w:w="1332" w:type="pct"/>
            <w:noWrap w:val="0"/>
            <w:vAlign w:val="center"/>
          </w:tcPr>
          <w:p>
            <w:pPr>
              <w:rPr>
                <w:rFonts w:hint="eastAsia" w:ascii="宋体" w:hAnsi="宋体" w:cs="宋体"/>
                <w:szCs w:val="21"/>
              </w:rPr>
            </w:pPr>
            <w:r>
              <w:rPr>
                <w:rFonts w:hint="eastAsia" w:ascii="宋体" w:hAnsi="宋体" w:cs="宋体"/>
                <w:szCs w:val="21"/>
              </w:rPr>
              <w:t>5台高性能服务器，满配大容量硬盘及固态缓存盘。</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5</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云平台软件</w:t>
            </w:r>
          </w:p>
        </w:tc>
        <w:tc>
          <w:tcPr>
            <w:tcW w:w="1332" w:type="pct"/>
            <w:noWrap w:val="0"/>
            <w:vAlign w:val="center"/>
          </w:tcPr>
          <w:p>
            <w:pPr>
              <w:rPr>
                <w:rFonts w:hint="eastAsia" w:ascii="宋体" w:hAnsi="宋体" w:cs="宋体"/>
                <w:szCs w:val="21"/>
              </w:rPr>
            </w:pPr>
            <w:r>
              <w:rPr>
                <w:rFonts w:hint="eastAsia" w:ascii="宋体" w:hAnsi="宋体" w:cs="宋体"/>
                <w:szCs w:val="21"/>
              </w:rPr>
              <w:t>10个CPU授权，及240T高性能存储授权（用于支撑数据库读写需求）。</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6</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系统同步软件</w:t>
            </w:r>
          </w:p>
        </w:tc>
        <w:tc>
          <w:tcPr>
            <w:tcW w:w="1332" w:type="pct"/>
            <w:noWrap w:val="0"/>
            <w:vAlign w:val="center"/>
          </w:tcPr>
          <w:p>
            <w:pPr>
              <w:rPr>
                <w:rFonts w:hint="eastAsia" w:ascii="宋体" w:hAnsi="宋体" w:cs="宋体"/>
                <w:szCs w:val="21"/>
              </w:rPr>
            </w:pPr>
            <w:r>
              <w:rPr>
                <w:rFonts w:hint="eastAsia" w:ascii="宋体" w:hAnsi="宋体" w:cs="宋体"/>
                <w:szCs w:val="21"/>
              </w:rPr>
              <w:t>40TB 容灾同步一体机，10个操作系统同步授权及应急接管许可。</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7</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数据库同步软件</w:t>
            </w:r>
          </w:p>
        </w:tc>
        <w:tc>
          <w:tcPr>
            <w:tcW w:w="1332" w:type="pct"/>
            <w:noWrap w:val="0"/>
            <w:vAlign w:val="center"/>
          </w:tcPr>
          <w:p>
            <w:pPr>
              <w:rPr>
                <w:rFonts w:hint="eastAsia" w:ascii="宋体" w:hAnsi="宋体" w:cs="宋体"/>
                <w:szCs w:val="21"/>
              </w:rPr>
            </w:pPr>
            <w:r>
              <w:rPr>
                <w:rFonts w:hint="eastAsia" w:ascii="宋体" w:hAnsi="宋体" w:cs="宋体"/>
                <w:szCs w:val="21"/>
              </w:rPr>
              <w:t>核心Oracle数据库3节点集群实时同步到容灾中心。</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3" w:type="pct"/>
            <w:noWrap w:val="0"/>
            <w:vAlign w:val="center"/>
          </w:tcPr>
          <w:p>
            <w:pPr>
              <w:jc w:val="center"/>
              <w:rPr>
                <w:rFonts w:hint="eastAsia" w:ascii="微软雅黑" w:hAnsi="微软雅黑" w:eastAsia="微软雅黑" w:cs="微软雅黑"/>
                <w:sz w:val="22"/>
              </w:rPr>
            </w:pPr>
            <w:r>
              <w:rPr>
                <w:rFonts w:hint="eastAsia" w:ascii="微软雅黑" w:hAnsi="微软雅黑" w:eastAsia="微软雅黑" w:cs="微软雅黑"/>
                <w:sz w:val="22"/>
              </w:rPr>
              <w:t>8</w:t>
            </w:r>
          </w:p>
        </w:tc>
        <w:tc>
          <w:tcPr>
            <w:tcW w:w="754" w:type="pct"/>
            <w:noWrap w:val="0"/>
            <w:vAlign w:val="center"/>
          </w:tcPr>
          <w:p>
            <w:pPr>
              <w:spacing w:line="360" w:lineRule="auto"/>
              <w:jc w:val="left"/>
              <w:rPr>
                <w:rFonts w:hint="eastAsia" w:ascii="宋体" w:hAnsi="宋体" w:cs="宋体"/>
                <w:sz w:val="24"/>
                <w:szCs w:val="24"/>
              </w:rPr>
            </w:pPr>
            <w:r>
              <w:rPr>
                <w:rFonts w:hint="eastAsia" w:ascii="宋体" w:hAnsi="宋体" w:cs="宋体"/>
                <w:sz w:val="24"/>
                <w:szCs w:val="24"/>
              </w:rPr>
              <w:t>出口防火墙</w:t>
            </w:r>
          </w:p>
        </w:tc>
        <w:tc>
          <w:tcPr>
            <w:tcW w:w="1332" w:type="pct"/>
            <w:noWrap w:val="0"/>
            <w:vAlign w:val="center"/>
          </w:tcPr>
          <w:p>
            <w:pPr>
              <w:rPr>
                <w:rFonts w:hint="eastAsia" w:ascii="宋体" w:hAnsi="宋体" w:cs="宋体"/>
                <w:szCs w:val="21"/>
              </w:rPr>
            </w:pPr>
            <w:r>
              <w:rPr>
                <w:rFonts w:hint="eastAsia" w:ascii="宋体" w:hAnsi="宋体" w:cs="宋体"/>
                <w:szCs w:val="21"/>
              </w:rPr>
              <w:t>互联网专线防火墙，多业务应用发布能力，高可用部署，带日志中心。</w:t>
            </w:r>
          </w:p>
        </w:tc>
        <w:tc>
          <w:tcPr>
            <w:tcW w:w="1181" w:type="pct"/>
            <w:noWrap w:val="0"/>
            <w:vAlign w:val="top"/>
          </w:tcPr>
          <w:p>
            <w:pPr>
              <w:rPr>
                <w:rFonts w:hint="eastAsia" w:ascii="宋体" w:hAnsi="宋体" w:cs="宋体"/>
                <w:szCs w:val="21"/>
              </w:rPr>
            </w:pPr>
          </w:p>
        </w:tc>
        <w:tc>
          <w:tcPr>
            <w:tcW w:w="1250" w:type="pct"/>
            <w:noWrap w:val="0"/>
            <w:vAlign w:val="top"/>
          </w:tcPr>
          <w:p>
            <w:pPr>
              <w:rPr>
                <w:rFonts w:hint="eastAsia" w:ascii="宋体" w:hAnsi="宋体" w:cs="宋体"/>
                <w:szCs w:val="21"/>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50" w:type="pct"/>
            <w:gridSpan w:val="4"/>
            <w:noWrap w:val="0"/>
            <w:vAlign w:val="center"/>
          </w:tcPr>
          <w:p>
            <w:pPr>
              <w:tabs>
                <w:tab w:val="left" w:pos="1755"/>
              </w:tabs>
              <w:jc w:val="left"/>
              <w:rPr>
                <w:rFonts w:ascii="微软雅黑" w:hAnsi="微软雅黑" w:eastAsia="微软雅黑" w:cs="微软雅黑"/>
                <w:sz w:val="22"/>
              </w:rPr>
            </w:pPr>
            <w:r>
              <w:rPr>
                <w:rFonts w:hint="eastAsia" w:ascii="微软雅黑" w:hAnsi="微软雅黑" w:eastAsia="微软雅黑" w:cs="微软雅黑"/>
                <w:sz w:val="22"/>
              </w:rPr>
              <w:tab/>
            </w:r>
            <w:r>
              <w:rPr>
                <w:rFonts w:hint="eastAsia" w:ascii="微软雅黑" w:hAnsi="微软雅黑" w:eastAsia="微软雅黑" w:cs="微软雅黑"/>
                <w:sz w:val="22"/>
              </w:rPr>
              <w:t>服务总价</w:t>
            </w:r>
          </w:p>
        </w:tc>
        <w:tc>
          <w:tcPr>
            <w:tcW w:w="1250" w:type="pct"/>
            <w:noWrap w:val="0"/>
            <w:vAlign w:val="top"/>
          </w:tcPr>
          <w:p>
            <w:pPr>
              <w:rPr>
                <w:rFonts w:hint="eastAsia" w:ascii="微软雅黑" w:hAnsi="微软雅黑" w:eastAsia="微软雅黑" w:cs="微软雅黑"/>
                <w:sz w:val="22"/>
              </w:rPr>
            </w:pPr>
          </w:p>
        </w:tc>
      </w:tr>
    </w:tbl>
    <w:p>
      <w:pPr>
        <w:pStyle w:val="21"/>
        <w:spacing w:line="360" w:lineRule="auto"/>
        <w:rPr>
          <w:rFonts w:hint="eastAsia" w:ascii="黑体" w:hAnsi="黑体" w:eastAsia="黑体"/>
          <w:b/>
          <w:sz w:val="22"/>
          <w:szCs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pStyle w:val="85"/>
        <w:spacing w:line="360" w:lineRule="auto"/>
        <w:rPr>
          <w:rFonts w:hint="eastAsia" w:ascii="黑体" w:hAnsi="黑体" w:eastAsia="黑体"/>
          <w:sz w:val="22"/>
        </w:rPr>
      </w:pPr>
    </w:p>
    <w:p>
      <w:pPr>
        <w:pStyle w:val="32"/>
        <w:ind w:left="0" w:leftChars="0"/>
        <w:rPr>
          <w:rFonts w:hint="eastAsia" w:ascii="黑体" w:hAnsi="黑体" w:eastAsia="黑体"/>
          <w:sz w:val="18"/>
          <w:szCs w:val="22"/>
        </w:rPr>
      </w:pPr>
    </w:p>
    <w:p>
      <w:pPr>
        <w:pStyle w:val="32"/>
        <w:rPr>
          <w:rFonts w:hint="eastAsia" w:ascii="黑体" w:hAnsi="黑体" w:eastAsia="黑体"/>
          <w:sz w:val="18"/>
          <w:szCs w:val="22"/>
        </w:rPr>
      </w:pPr>
    </w:p>
    <w:p>
      <w:pPr>
        <w:adjustRightInd w:val="0"/>
        <w:snapToGrid w:val="0"/>
        <w:spacing w:line="360" w:lineRule="auto"/>
        <w:ind w:firstLine="1320" w:firstLineChars="600"/>
        <w:jc w:val="right"/>
        <w:rPr>
          <w:rFonts w:hint="eastAsia" w:ascii="黑体" w:hAnsi="黑体" w:eastAsia="黑体"/>
          <w:sz w:val="22"/>
          <w:u w:val="single"/>
        </w:rPr>
      </w:pPr>
      <w:r>
        <w:rPr>
          <w:rFonts w:hint="eastAsia" w:ascii="黑体" w:hAnsi="黑体" w:eastAsia="黑体"/>
          <w:sz w:val="22"/>
        </w:rPr>
        <w:t>投标人名称（盖章）：</w:t>
      </w:r>
    </w:p>
    <w:p>
      <w:pPr>
        <w:spacing w:line="360" w:lineRule="auto"/>
        <w:jc w:val="center"/>
        <w:rPr>
          <w:rFonts w:hint="eastAsia" w:ascii="黑体" w:hAnsi="黑体" w:eastAsia="黑体"/>
          <w:sz w:val="22"/>
        </w:rPr>
      </w:pPr>
      <w:r>
        <w:rPr>
          <w:rFonts w:ascii="黑体" w:hAnsi="黑体" w:eastAsia="黑体"/>
          <w:sz w:val="22"/>
        </w:rPr>
        <w:t xml:space="preserve">                                                            </w:t>
      </w:r>
      <w:r>
        <w:rPr>
          <w:rFonts w:hint="eastAsia" w:ascii="黑体" w:hAnsi="黑体" w:eastAsia="黑体"/>
          <w:sz w:val="22"/>
        </w:rPr>
        <w:t>日期：</w:t>
      </w:r>
      <w:r>
        <w:rPr>
          <w:rFonts w:ascii="黑体" w:hAnsi="黑体" w:eastAsia="黑体"/>
          <w:sz w:val="22"/>
        </w:rPr>
        <w:t xml:space="preserve">  </w:t>
      </w:r>
      <w:r>
        <w:rPr>
          <w:rFonts w:hint="eastAsia" w:ascii="黑体" w:hAnsi="黑体" w:eastAsia="黑体"/>
          <w:sz w:val="22"/>
        </w:rPr>
        <w:t>年</w:t>
      </w:r>
      <w:r>
        <w:rPr>
          <w:rFonts w:ascii="黑体" w:hAnsi="黑体" w:eastAsia="黑体"/>
          <w:sz w:val="22"/>
        </w:rPr>
        <w:t xml:space="preserve">  </w:t>
      </w:r>
      <w:r>
        <w:rPr>
          <w:rFonts w:hint="eastAsia" w:ascii="黑体" w:hAnsi="黑体" w:eastAsia="黑体"/>
          <w:sz w:val="22"/>
        </w:rPr>
        <w:t>月</w:t>
      </w:r>
      <w:r>
        <w:rPr>
          <w:rFonts w:ascii="黑体" w:hAnsi="黑体" w:eastAsia="黑体"/>
          <w:sz w:val="22"/>
        </w:rPr>
        <w:t xml:space="preserve">  </w:t>
      </w:r>
      <w:r>
        <w:rPr>
          <w:rFonts w:hint="eastAsia" w:ascii="黑体" w:hAnsi="黑体" w:eastAsia="黑体"/>
          <w:sz w:val="22"/>
        </w:rPr>
        <w:t>日</w:t>
      </w: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29" w:name="_Toc7114"/>
      <w:bookmarkStart w:id="130" w:name="_Toc405313961"/>
      <w:bookmarkStart w:id="131" w:name="_Toc391627757"/>
      <w:bookmarkStart w:id="132" w:name="_Toc16140"/>
      <w:r>
        <w:rPr>
          <w:rStyle w:val="40"/>
          <w:rFonts w:hint="eastAsia" w:ascii="黑体" w:hAnsi="黑体" w:eastAsia="黑体"/>
          <w:b/>
          <w:bCs/>
          <w:spacing w:val="12"/>
          <w:sz w:val="22"/>
          <w:szCs w:val="22"/>
        </w:rPr>
        <w:t>投标函</w:t>
      </w:r>
      <w:bookmarkEnd w:id="129"/>
      <w:bookmarkEnd w:id="130"/>
      <w:bookmarkEnd w:id="131"/>
      <w:bookmarkEnd w:id="132"/>
    </w:p>
    <w:p>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投标函</w:t>
      </w:r>
    </w:p>
    <w:p>
      <w:pPr>
        <w:spacing w:before="156" w:beforeLines="5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p>
      <w:pPr>
        <w:autoSpaceDE w:val="0"/>
        <w:autoSpaceDN w:val="0"/>
        <w:adjustRightInd w:val="0"/>
        <w:spacing w:line="360" w:lineRule="auto"/>
        <w:ind w:right="26" w:firstLine="440" w:firstLineChars="200"/>
        <w:rPr>
          <w:rFonts w:hint="eastAsia" w:ascii="黑体" w:hAnsi="黑体" w:eastAsia="黑体"/>
          <w:kern w:val="0"/>
          <w:sz w:val="22"/>
        </w:rPr>
      </w:pPr>
      <w:r>
        <w:rPr>
          <w:rFonts w:hint="eastAsia" w:ascii="黑体" w:hAnsi="黑体" w:eastAsia="黑体"/>
          <w:bCs/>
          <w:kern w:val="0"/>
          <w:sz w:val="22"/>
        </w:rPr>
        <w:t>依据贵方</w:t>
      </w:r>
      <w:r>
        <w:rPr>
          <w:rFonts w:ascii="黑体" w:hAnsi="黑体" w:eastAsia="黑体"/>
          <w:bCs/>
          <w:kern w:val="0"/>
          <w:sz w:val="22"/>
          <w:u w:val="single"/>
        </w:rPr>
        <w:t xml:space="preserve">    </w:t>
      </w:r>
      <w:r>
        <w:rPr>
          <w:rFonts w:hint="eastAsia" w:ascii="黑体" w:hAnsi="黑体" w:eastAsia="黑体"/>
          <w:b/>
          <w:bCs/>
          <w:sz w:val="22"/>
          <w:u w:val="single"/>
        </w:rPr>
        <w:t>项目名称</w:t>
      </w:r>
      <w:r>
        <w:rPr>
          <w:rFonts w:ascii="黑体" w:hAnsi="黑体" w:eastAsia="黑体"/>
          <w:b/>
          <w:bCs/>
          <w:sz w:val="22"/>
          <w:u w:val="single"/>
        </w:rPr>
        <w:t xml:space="preserve"> </w:t>
      </w:r>
      <w:r>
        <w:rPr>
          <w:rFonts w:ascii="黑体" w:hAnsi="黑体" w:eastAsia="黑体"/>
          <w:bCs/>
          <w:sz w:val="22"/>
          <w:u w:val="single"/>
        </w:rPr>
        <w:t xml:space="preserve">    </w:t>
      </w:r>
      <w:r>
        <w:rPr>
          <w:rFonts w:hint="eastAsia" w:ascii="黑体" w:hAnsi="黑体" w:eastAsia="黑体"/>
          <w:bCs/>
          <w:kern w:val="0"/>
          <w:sz w:val="22"/>
        </w:rPr>
        <w:t>项目</w:t>
      </w:r>
      <w:r>
        <w:rPr>
          <w:rFonts w:hint="eastAsia" w:ascii="黑体" w:hAnsi="黑体" w:eastAsia="黑体"/>
          <w:bCs/>
          <w:sz w:val="22"/>
          <w:u w:val="single"/>
        </w:rPr>
        <w:t>（</w:t>
      </w:r>
      <w:r>
        <w:rPr>
          <w:rFonts w:hint="eastAsia" w:ascii="黑体" w:hAnsi="黑体" w:eastAsia="黑体"/>
          <w:b/>
          <w:bCs/>
          <w:sz w:val="22"/>
          <w:u w:val="single"/>
        </w:rPr>
        <w:t>项目编号：</w:t>
      </w:r>
      <w:r>
        <w:rPr>
          <w:rFonts w:ascii="黑体" w:hAnsi="黑体" w:eastAsia="黑体"/>
          <w:bCs/>
          <w:sz w:val="22"/>
          <w:u w:val="single"/>
        </w:rPr>
        <w:t xml:space="preserve">        )</w:t>
      </w:r>
      <w:r>
        <w:rPr>
          <w:rFonts w:hint="eastAsia" w:ascii="黑体" w:hAnsi="黑体" w:eastAsia="黑体"/>
          <w:bCs/>
          <w:sz w:val="22"/>
          <w:u w:val="single"/>
        </w:rPr>
        <w:t>-   采购包   （包名称+包组号）</w:t>
      </w:r>
      <w:r>
        <w:rPr>
          <w:rFonts w:hint="eastAsia" w:ascii="黑体" w:hAnsi="黑体" w:eastAsia="黑体"/>
          <w:bCs/>
          <w:kern w:val="0"/>
          <w:sz w:val="22"/>
        </w:rPr>
        <w:t>的投标邀请，我方代表</w:t>
      </w:r>
      <w:r>
        <w:rPr>
          <w:rFonts w:ascii="黑体" w:hAnsi="黑体" w:eastAsia="黑体"/>
          <w:bCs/>
          <w:kern w:val="0"/>
          <w:sz w:val="22"/>
          <w:u w:val="single"/>
        </w:rPr>
        <w:t xml:space="preserve"> </w:t>
      </w:r>
      <w:r>
        <w:rPr>
          <w:rFonts w:hint="eastAsia" w:ascii="黑体" w:hAnsi="黑体" w:eastAsia="黑体"/>
          <w:b/>
          <w:bCs/>
          <w:sz w:val="22"/>
          <w:u w:val="single"/>
        </w:rPr>
        <w:t>（姓名、职务）</w:t>
      </w:r>
      <w:r>
        <w:rPr>
          <w:rFonts w:ascii="黑体" w:hAnsi="黑体" w:eastAsia="黑体"/>
          <w:bCs/>
          <w:sz w:val="22"/>
          <w:u w:val="single"/>
        </w:rPr>
        <w:t xml:space="preserve"> </w:t>
      </w:r>
      <w:r>
        <w:rPr>
          <w:rFonts w:hint="eastAsia" w:ascii="黑体" w:hAnsi="黑体" w:eastAsia="黑体"/>
          <w:bCs/>
          <w:kern w:val="0"/>
          <w:sz w:val="22"/>
        </w:rPr>
        <w:t>经正式授权并代表</w:t>
      </w:r>
      <w:r>
        <w:rPr>
          <w:rFonts w:ascii="黑体" w:hAnsi="黑体" w:eastAsia="黑体"/>
          <w:bCs/>
          <w:kern w:val="0"/>
          <w:sz w:val="22"/>
          <w:u w:val="single"/>
        </w:rPr>
        <w:t xml:space="preserve"> </w:t>
      </w:r>
      <w:r>
        <w:rPr>
          <w:rFonts w:hint="eastAsia" w:ascii="黑体" w:hAnsi="黑体" w:eastAsia="黑体"/>
          <w:b/>
          <w:bCs/>
          <w:sz w:val="22"/>
          <w:u w:val="single"/>
        </w:rPr>
        <w:t>（投标人名称）</w:t>
      </w:r>
      <w:r>
        <w:rPr>
          <w:rFonts w:ascii="黑体" w:hAnsi="黑体" w:eastAsia="黑体"/>
          <w:bCs/>
          <w:sz w:val="22"/>
          <w:u w:val="single"/>
        </w:rPr>
        <w:t xml:space="preserve"> </w:t>
      </w:r>
      <w:r>
        <w:rPr>
          <w:rFonts w:hint="eastAsia" w:ascii="黑体" w:hAnsi="黑体" w:eastAsia="黑体"/>
          <w:bCs/>
          <w:sz w:val="22"/>
        </w:rPr>
        <w:t>提交唱标信封一份、</w:t>
      </w:r>
      <w:r>
        <w:rPr>
          <w:rFonts w:hint="eastAsia" w:ascii="黑体" w:hAnsi="黑体" w:eastAsia="黑体"/>
          <w:bCs/>
          <w:kern w:val="0"/>
          <w:sz w:val="22"/>
        </w:rPr>
        <w:t>投标文件</w:t>
      </w:r>
      <w:r>
        <w:rPr>
          <w:rFonts w:ascii="黑体" w:hAnsi="黑体" w:eastAsia="黑体"/>
          <w:bCs/>
          <w:kern w:val="0"/>
          <w:sz w:val="22"/>
        </w:rPr>
        <w:t>正本一份，副本</w:t>
      </w:r>
      <w:r>
        <w:rPr>
          <w:rFonts w:ascii="黑体" w:hAnsi="黑体" w:eastAsia="黑体"/>
          <w:bCs/>
          <w:kern w:val="0"/>
          <w:sz w:val="22"/>
          <w:u w:val="single"/>
        </w:rPr>
        <w:t xml:space="preserve"> （</w:t>
      </w:r>
      <w:r>
        <w:rPr>
          <w:rFonts w:hint="eastAsia" w:ascii="黑体" w:hAnsi="黑体" w:eastAsia="黑体"/>
          <w:b/>
          <w:bCs/>
          <w:kern w:val="0"/>
          <w:sz w:val="22"/>
          <w:u w:val="single"/>
        </w:rPr>
        <w:t>详见投标须知前附表</w:t>
      </w:r>
      <w:r>
        <w:rPr>
          <w:rFonts w:ascii="黑体" w:hAnsi="黑体" w:eastAsia="黑体"/>
          <w:b/>
          <w:bCs/>
          <w:kern w:val="0"/>
          <w:sz w:val="22"/>
          <w:u w:val="single"/>
        </w:rPr>
        <w:t xml:space="preserve">） </w:t>
      </w:r>
      <w:r>
        <w:rPr>
          <w:rFonts w:ascii="黑体" w:hAnsi="黑体" w:eastAsia="黑体"/>
          <w:bCs/>
          <w:kern w:val="0"/>
          <w:sz w:val="22"/>
          <w:u w:val="single"/>
        </w:rPr>
        <w:t xml:space="preserve"> </w:t>
      </w:r>
      <w:r>
        <w:rPr>
          <w:rFonts w:hint="eastAsia" w:ascii="黑体" w:hAnsi="黑体" w:eastAsia="黑体"/>
          <w:bCs/>
          <w:kern w:val="0"/>
          <w:sz w:val="22"/>
        </w:rPr>
        <w:t>份。</w:t>
      </w:r>
    </w:p>
    <w:p>
      <w:pPr>
        <w:autoSpaceDE w:val="0"/>
        <w:autoSpaceDN w:val="0"/>
        <w:adjustRightInd w:val="0"/>
        <w:spacing w:line="360" w:lineRule="auto"/>
        <w:ind w:right="246"/>
        <w:rPr>
          <w:rFonts w:hint="eastAsia" w:ascii="黑体" w:hAnsi="黑体" w:eastAsia="黑体"/>
          <w:kern w:val="0"/>
          <w:sz w:val="22"/>
        </w:rPr>
      </w:pPr>
      <w:r>
        <w:rPr>
          <w:rFonts w:hint="eastAsia" w:ascii="黑体" w:hAnsi="黑体" w:eastAsia="黑体"/>
          <w:kern w:val="0"/>
          <w:sz w:val="22"/>
        </w:rPr>
        <w:t>在此，我方声明如下：</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pacing w:val="-6"/>
          <w:sz w:val="22"/>
        </w:rPr>
        <w:t>同意并接受招标文件的各项要求，遵守招标文件中的各项规定，按招标文件的要求提供报价</w:t>
      </w:r>
      <w:r>
        <w:rPr>
          <w:rFonts w:hint="eastAsia" w:ascii="黑体" w:hAnsi="黑体" w:eastAsia="黑体"/>
          <w:sz w:val="22"/>
        </w:rPr>
        <w:t>。</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投标有效期为递交投标文件截止日起</w:t>
      </w:r>
      <w:r>
        <w:rPr>
          <w:rFonts w:hint="eastAsia" w:ascii="黑体" w:hAnsi="黑体" w:eastAsia="黑体"/>
          <w:sz w:val="22"/>
          <w:u w:val="single"/>
        </w:rPr>
        <w:t xml:space="preserve"> </w:t>
      </w:r>
      <w:r>
        <w:rPr>
          <w:rFonts w:ascii="黑体" w:hAnsi="黑体" w:eastAsia="黑体"/>
          <w:sz w:val="22"/>
          <w:u w:val="single"/>
        </w:rPr>
        <w:t>90</w:t>
      </w:r>
      <w:r>
        <w:rPr>
          <w:rFonts w:hint="eastAsia" w:ascii="黑体" w:hAnsi="黑体" w:eastAsia="黑体"/>
          <w:sz w:val="22"/>
          <w:u w:val="single"/>
        </w:rPr>
        <w:t xml:space="preserve"> </w:t>
      </w:r>
      <w:r>
        <w:rPr>
          <w:rFonts w:hint="eastAsia" w:ascii="黑体" w:hAnsi="黑体" w:eastAsia="黑体"/>
          <w:sz w:val="22"/>
        </w:rPr>
        <w:t>天，如中标，有效期将延至合同终止日为止。</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我方已经详细地阅读了全部招标文件及其附件，包括澄清及参考文件</w:t>
      </w:r>
      <w:r>
        <w:rPr>
          <w:rFonts w:ascii="黑体" w:hAnsi="黑体" w:eastAsia="黑体"/>
          <w:sz w:val="22"/>
        </w:rPr>
        <w:t>(如有)。我方已完全清晰理解招标文件的要求，不存在任何含糊不清和误解之处，同意放弃对这些文件所提出的</w:t>
      </w:r>
      <w:r>
        <w:rPr>
          <w:rFonts w:hint="eastAsia" w:ascii="黑体" w:hAnsi="黑体" w:eastAsia="黑体"/>
          <w:sz w:val="22"/>
        </w:rPr>
        <w:t>询问</w:t>
      </w:r>
      <w:r>
        <w:rPr>
          <w:rFonts w:ascii="黑体" w:hAnsi="黑体" w:eastAsia="黑体"/>
          <w:sz w:val="22"/>
        </w:rPr>
        <w:t>和质疑的权利。</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我方已毫无保留地向贵方提供一切所需的证明材料。</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承诺在本次投标不存在以下情况：单位负责人为同一人或者存在直接控股、管理关系的不同供应商，不得同时参加本采购项目投标。为本项目提供整体设计、规范编制或者项目管理、监理、检测等服务的供应商。</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我方承诺在本次投标文件中提供的一切文件，无论是原件还是复印件均为真实和准确的，绝无任何虚假、伪造和夸大的成份，否则，愿承担相应的后果和法律责任。</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我方完全服从和尊重评委会所作的评定结果，同时清楚理解到报价最低并非意味着必定获得中标资格。</w:t>
      </w:r>
    </w:p>
    <w:p>
      <w:pPr>
        <w:pStyle w:val="64"/>
        <w:numPr>
          <w:ilvl w:val="0"/>
          <w:numId w:val="74"/>
        </w:numPr>
        <w:spacing w:line="360" w:lineRule="auto"/>
        <w:ind w:firstLineChars="0"/>
        <w:rPr>
          <w:rFonts w:hint="eastAsia" w:ascii="黑体" w:hAnsi="黑体" w:eastAsia="黑体"/>
          <w:sz w:val="22"/>
        </w:rPr>
      </w:pPr>
      <w:r>
        <w:rPr>
          <w:rFonts w:hint="eastAsia" w:ascii="黑体" w:hAnsi="黑体" w:eastAsia="黑体"/>
          <w:sz w:val="22"/>
        </w:rPr>
        <w:t>我方同意按招标文件规定向采购代理机构缴纳中标服务费。</w:t>
      </w:r>
    </w:p>
    <w:p>
      <w:pPr>
        <w:pStyle w:val="64"/>
        <w:numPr>
          <w:ilvl w:val="0"/>
          <w:numId w:val="74"/>
        </w:numPr>
        <w:tabs>
          <w:tab w:val="left" w:pos="567"/>
          <w:tab w:val="left" w:pos="709"/>
        </w:tabs>
        <w:spacing w:after="312" w:afterLines="100" w:line="360" w:lineRule="auto"/>
        <w:ind w:firstLineChars="0"/>
        <w:rPr>
          <w:rFonts w:hint="eastAsia" w:ascii="黑体" w:hAnsi="黑体" w:eastAsia="黑体"/>
          <w:sz w:val="22"/>
        </w:rPr>
      </w:pPr>
      <w:r>
        <w:rPr>
          <w:rFonts w:ascii="黑体" w:hAnsi="黑体" w:eastAsia="黑体"/>
          <w:sz w:val="22"/>
        </w:rPr>
        <w:t>所有与本招标有关的函件请发往下列地址：</w:t>
      </w:r>
    </w:p>
    <w:tbl>
      <w:tblPr>
        <w:tblStyle w:val="37"/>
        <w:tblW w:w="5000" w:type="pct"/>
        <w:jc w:val="center"/>
        <w:tblLayout w:type="autofit"/>
        <w:tblCellMar>
          <w:top w:w="0" w:type="dxa"/>
          <w:left w:w="108" w:type="dxa"/>
          <w:bottom w:w="0" w:type="dxa"/>
          <w:right w:w="108" w:type="dxa"/>
        </w:tblCellMar>
      </w:tblPr>
      <w:tblGrid>
        <w:gridCol w:w="4383"/>
        <w:gridCol w:w="4384"/>
      </w:tblGrid>
      <w:tr>
        <w:tblPrEx>
          <w:tblCellMar>
            <w:top w:w="0" w:type="dxa"/>
            <w:left w:w="108" w:type="dxa"/>
            <w:bottom w:w="0" w:type="dxa"/>
            <w:right w:w="108" w:type="dxa"/>
          </w:tblCellMar>
        </w:tblPrEx>
        <w:trPr>
          <w:jc w:val="center"/>
        </w:trPr>
        <w:tc>
          <w:tcPr>
            <w:tcW w:w="2500" w:type="pct"/>
            <w:noWrap w:val="0"/>
            <w:vAlign w:val="top"/>
          </w:tcPr>
          <w:p>
            <w:pPr>
              <w:spacing w:before="156" w:beforeLines="50" w:line="360" w:lineRule="auto"/>
              <w:rPr>
                <w:rFonts w:hint="eastAsia" w:ascii="黑体" w:hAnsi="黑体" w:eastAsia="黑体"/>
                <w:sz w:val="22"/>
              </w:rPr>
            </w:pPr>
            <w:r>
              <w:rPr>
                <w:rFonts w:hint="eastAsia" w:ascii="黑体" w:hAnsi="黑体" w:eastAsia="黑体"/>
                <w:sz w:val="22"/>
              </w:rPr>
              <w:t>投标人地址：</w:t>
            </w:r>
            <w:r>
              <w:rPr>
                <w:rFonts w:ascii="黑体" w:hAnsi="黑体" w:eastAsia="黑体"/>
                <w:sz w:val="22"/>
                <w:u w:val="single"/>
              </w:rPr>
              <w:t xml:space="preserve">                          </w:t>
            </w:r>
          </w:p>
        </w:tc>
        <w:tc>
          <w:tcPr>
            <w:tcW w:w="2500" w:type="pct"/>
            <w:noWrap w:val="0"/>
            <w:vAlign w:val="top"/>
          </w:tcPr>
          <w:p>
            <w:pPr>
              <w:spacing w:before="156" w:beforeLines="50" w:line="360" w:lineRule="auto"/>
              <w:rPr>
                <w:rFonts w:hint="eastAsia" w:ascii="黑体" w:hAnsi="黑体" w:eastAsia="黑体"/>
                <w:sz w:val="22"/>
              </w:rPr>
            </w:pPr>
            <w:r>
              <w:rPr>
                <w:rFonts w:hint="eastAsia" w:ascii="黑体" w:hAnsi="黑体" w:eastAsia="黑体"/>
                <w:sz w:val="22"/>
              </w:rPr>
              <w:t>邮编：</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2500" w:type="pct"/>
            <w:noWrap w:val="0"/>
            <w:vAlign w:val="top"/>
          </w:tcPr>
          <w:p>
            <w:pPr>
              <w:spacing w:line="360" w:lineRule="auto"/>
              <w:rPr>
                <w:rFonts w:hint="eastAsia" w:ascii="黑体" w:hAnsi="黑体" w:eastAsia="黑体"/>
                <w:sz w:val="22"/>
              </w:rPr>
            </w:pPr>
            <w:r>
              <w:rPr>
                <w:rFonts w:hint="eastAsia" w:ascii="黑体" w:hAnsi="黑体" w:eastAsia="黑体"/>
                <w:sz w:val="22"/>
              </w:rPr>
              <w:t>联系电话：</w:t>
            </w:r>
            <w:r>
              <w:rPr>
                <w:rFonts w:ascii="黑体" w:hAnsi="黑体" w:eastAsia="黑体"/>
                <w:sz w:val="22"/>
                <w:u w:val="single"/>
              </w:rPr>
              <w:t xml:space="preserve">                            </w:t>
            </w:r>
          </w:p>
        </w:tc>
        <w:tc>
          <w:tcPr>
            <w:tcW w:w="2500" w:type="pct"/>
            <w:noWrap w:val="0"/>
            <w:vAlign w:val="top"/>
          </w:tcPr>
          <w:p>
            <w:pPr>
              <w:spacing w:line="360" w:lineRule="auto"/>
              <w:rPr>
                <w:rFonts w:hint="eastAsia" w:ascii="黑体" w:hAnsi="黑体" w:eastAsia="黑体"/>
                <w:sz w:val="22"/>
              </w:rPr>
            </w:pPr>
            <w:r>
              <w:rPr>
                <w:rFonts w:hint="eastAsia" w:ascii="黑体" w:hAnsi="黑体" w:eastAsia="黑体"/>
                <w:sz w:val="22"/>
              </w:rPr>
              <w:t>传真：</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2500" w:type="pct"/>
            <w:noWrap w:val="0"/>
            <w:vAlign w:val="top"/>
          </w:tcPr>
          <w:p>
            <w:pPr>
              <w:spacing w:line="360" w:lineRule="auto"/>
              <w:rPr>
                <w:rFonts w:hint="eastAsia" w:ascii="黑体" w:hAnsi="黑体" w:eastAsia="黑体"/>
                <w:sz w:val="22"/>
              </w:rPr>
            </w:pPr>
            <w:r>
              <w:rPr>
                <w:rFonts w:hint="eastAsia" w:ascii="黑体" w:hAnsi="黑体" w:eastAsia="黑体"/>
                <w:sz w:val="22"/>
              </w:rPr>
              <w:t>项目联系人：</w:t>
            </w:r>
            <w:r>
              <w:rPr>
                <w:rFonts w:ascii="黑体" w:hAnsi="黑体" w:eastAsia="黑体"/>
                <w:sz w:val="22"/>
                <w:u w:val="single"/>
              </w:rPr>
              <w:t xml:space="preserve">                          </w:t>
            </w:r>
          </w:p>
        </w:tc>
        <w:tc>
          <w:tcPr>
            <w:tcW w:w="2500" w:type="pct"/>
            <w:noWrap w:val="0"/>
            <w:vAlign w:val="top"/>
          </w:tcPr>
          <w:p>
            <w:pPr>
              <w:spacing w:line="360" w:lineRule="auto"/>
              <w:rPr>
                <w:rFonts w:hint="eastAsia" w:ascii="黑体" w:hAnsi="黑体" w:eastAsia="黑体"/>
                <w:sz w:val="22"/>
              </w:rPr>
            </w:pPr>
            <w:r>
              <w:rPr>
                <w:rFonts w:hint="eastAsia" w:ascii="黑体" w:hAnsi="黑体" w:eastAsia="黑体"/>
                <w:sz w:val="22"/>
              </w:rPr>
              <w:t>手机：</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5000" w:type="pct"/>
            <w:gridSpan w:val="2"/>
            <w:noWrap w:val="0"/>
            <w:vAlign w:val="top"/>
          </w:tcPr>
          <w:p>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5000" w:type="pct"/>
            <w:gridSpan w:val="2"/>
            <w:noWrap w:val="0"/>
            <w:vAlign w:val="top"/>
          </w:tcPr>
          <w:p>
            <w:pPr>
              <w:spacing w:line="360" w:lineRule="auto"/>
              <w:jc w:val="left"/>
              <w:rPr>
                <w:rFonts w:hint="eastAsia" w:ascii="黑体" w:hAnsi="黑体" w:eastAsia="黑体"/>
                <w:sz w:val="22"/>
              </w:rPr>
            </w:pPr>
            <w:r>
              <w:rPr>
                <w:rFonts w:hint="eastAsia" w:ascii="黑体" w:hAnsi="黑体" w:eastAsia="黑体"/>
                <w:sz w:val="22"/>
              </w:rPr>
              <w:t>投标人法定代表人或被授权人（签名或签章）：</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5000" w:type="pct"/>
            <w:gridSpan w:val="2"/>
            <w:noWrap w:val="0"/>
            <w:vAlign w:val="top"/>
          </w:tcPr>
          <w:p>
            <w:pPr>
              <w:spacing w:line="360" w:lineRule="auto"/>
              <w:jc w:val="left"/>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w:t>
            </w:r>
            <w:r>
              <w:rPr>
                <w:rFonts w:hint="eastAsia" w:ascii="黑体" w:hAnsi="黑体" w:eastAsia="黑体"/>
                <w:sz w:val="22"/>
                <w:u w:val="single"/>
              </w:rPr>
              <w:t>年</w:t>
            </w:r>
            <w:r>
              <w:rPr>
                <w:rFonts w:ascii="黑体" w:hAnsi="黑体" w:eastAsia="黑体"/>
                <w:sz w:val="22"/>
                <w:u w:val="single"/>
              </w:rPr>
              <w:t xml:space="preserve">        </w:t>
            </w:r>
            <w:r>
              <w:rPr>
                <w:rFonts w:hint="eastAsia" w:ascii="黑体" w:hAnsi="黑体" w:eastAsia="黑体"/>
                <w:sz w:val="22"/>
                <w:u w:val="single"/>
              </w:rPr>
              <w:t>月</w:t>
            </w:r>
            <w:r>
              <w:rPr>
                <w:rFonts w:ascii="黑体" w:hAnsi="黑体" w:eastAsia="黑体"/>
                <w:sz w:val="22"/>
                <w:u w:val="single"/>
              </w:rPr>
              <w:t xml:space="preserve">         </w:t>
            </w:r>
            <w:r>
              <w:rPr>
                <w:rFonts w:hint="eastAsia" w:ascii="黑体" w:hAnsi="黑体" w:eastAsia="黑体"/>
                <w:sz w:val="22"/>
                <w:u w:val="single"/>
              </w:rPr>
              <w:t>日</w:t>
            </w: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33" w:name="_Toc5005"/>
      <w:bookmarkStart w:id="134" w:name="_Toc7447"/>
      <w:bookmarkStart w:id="135" w:name="_Toc391627758"/>
      <w:bookmarkStart w:id="136" w:name="_Toc405313962"/>
      <w:r>
        <w:rPr>
          <w:rStyle w:val="40"/>
          <w:rFonts w:hint="eastAsia" w:ascii="黑体" w:hAnsi="黑体" w:eastAsia="黑体"/>
          <w:b/>
          <w:bCs/>
          <w:spacing w:val="12"/>
          <w:sz w:val="22"/>
          <w:szCs w:val="22"/>
        </w:rPr>
        <w:t>资格声明函</w:t>
      </w:r>
      <w:bookmarkEnd w:id="133"/>
      <w:bookmarkEnd w:id="134"/>
    </w:p>
    <w:p>
      <w:pPr>
        <w:jc w:val="center"/>
        <w:rPr>
          <w:rStyle w:val="40"/>
          <w:rFonts w:hint="eastAsia" w:ascii="黑体" w:hAnsi="黑体" w:eastAsia="黑体"/>
          <w:spacing w:val="12"/>
          <w:sz w:val="32"/>
          <w:szCs w:val="32"/>
        </w:rPr>
      </w:pPr>
      <w:r>
        <w:rPr>
          <w:rStyle w:val="40"/>
          <w:rFonts w:hint="eastAsia" w:ascii="黑体" w:hAnsi="黑体" w:eastAsia="黑体"/>
          <w:spacing w:val="12"/>
          <w:sz w:val="32"/>
          <w:szCs w:val="32"/>
        </w:rPr>
        <w:t>资格声明函</w:t>
      </w:r>
    </w:p>
    <w:p>
      <w:pPr>
        <w:spacing w:before="156" w:beforeLines="5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p>
      <w:pPr>
        <w:autoSpaceDE w:val="0"/>
        <w:autoSpaceDN w:val="0"/>
        <w:adjustRightInd w:val="0"/>
        <w:spacing w:line="360" w:lineRule="auto"/>
        <w:ind w:right="26" w:firstLine="440" w:firstLineChars="200"/>
        <w:rPr>
          <w:rFonts w:hint="eastAsia" w:ascii="黑体" w:hAnsi="黑体" w:eastAsia="黑体"/>
          <w:kern w:val="0"/>
          <w:sz w:val="22"/>
        </w:rPr>
      </w:pPr>
      <w:r>
        <w:rPr>
          <w:rFonts w:hint="eastAsia" w:ascii="黑体" w:hAnsi="黑体" w:eastAsia="黑体"/>
          <w:bCs/>
          <w:kern w:val="0"/>
          <w:sz w:val="22"/>
        </w:rPr>
        <w:t>我方参与贵方</w:t>
      </w:r>
      <w:r>
        <w:rPr>
          <w:rFonts w:ascii="黑体" w:hAnsi="黑体" w:eastAsia="黑体"/>
          <w:bCs/>
          <w:kern w:val="0"/>
          <w:sz w:val="22"/>
          <w:u w:val="single"/>
        </w:rPr>
        <w:t xml:space="preserve"> </w:t>
      </w:r>
      <w:r>
        <w:rPr>
          <w:rFonts w:hint="eastAsia" w:ascii="黑体" w:hAnsi="黑体" w:eastAsia="黑体"/>
          <w:bCs/>
          <w:kern w:val="0"/>
          <w:sz w:val="22"/>
          <w:u w:val="single"/>
        </w:rPr>
        <w:t>组织的</w:t>
      </w:r>
      <w:r>
        <w:rPr>
          <w:rFonts w:ascii="黑体" w:hAnsi="黑体" w:eastAsia="黑体"/>
          <w:bCs/>
          <w:kern w:val="0"/>
          <w:sz w:val="22"/>
          <w:u w:val="single"/>
        </w:rPr>
        <w:t xml:space="preserve">   </w:t>
      </w:r>
      <w:r>
        <w:rPr>
          <w:rFonts w:hint="eastAsia" w:ascii="黑体" w:hAnsi="黑体" w:eastAsia="黑体"/>
          <w:b/>
          <w:bCs/>
          <w:sz w:val="22"/>
          <w:u w:val="single"/>
        </w:rPr>
        <w:t>项目名称</w:t>
      </w:r>
      <w:r>
        <w:rPr>
          <w:rFonts w:ascii="黑体" w:hAnsi="黑体" w:eastAsia="黑体"/>
          <w:b/>
          <w:bCs/>
          <w:sz w:val="22"/>
          <w:u w:val="single"/>
        </w:rPr>
        <w:t xml:space="preserve"> </w:t>
      </w:r>
      <w:r>
        <w:rPr>
          <w:rFonts w:ascii="黑体" w:hAnsi="黑体" w:eastAsia="黑体"/>
          <w:bCs/>
          <w:sz w:val="22"/>
          <w:u w:val="single"/>
        </w:rPr>
        <w:t xml:space="preserve">    </w:t>
      </w:r>
      <w:r>
        <w:rPr>
          <w:rFonts w:hint="eastAsia" w:ascii="黑体" w:hAnsi="黑体" w:eastAsia="黑体"/>
          <w:bCs/>
          <w:kern w:val="0"/>
          <w:sz w:val="22"/>
        </w:rPr>
        <w:t>项目</w:t>
      </w:r>
      <w:r>
        <w:rPr>
          <w:rFonts w:hint="eastAsia" w:ascii="黑体" w:hAnsi="黑体" w:eastAsia="黑体"/>
          <w:bCs/>
          <w:sz w:val="22"/>
          <w:u w:val="single"/>
        </w:rPr>
        <w:t>（</w:t>
      </w:r>
      <w:r>
        <w:rPr>
          <w:rFonts w:hint="eastAsia" w:ascii="黑体" w:hAnsi="黑体" w:eastAsia="黑体"/>
          <w:b/>
          <w:bCs/>
          <w:sz w:val="22"/>
          <w:u w:val="single"/>
        </w:rPr>
        <w:t>项目编号：</w:t>
      </w:r>
      <w:r>
        <w:rPr>
          <w:rFonts w:ascii="黑体" w:hAnsi="黑体" w:eastAsia="黑体"/>
          <w:bCs/>
          <w:sz w:val="22"/>
          <w:u w:val="single"/>
        </w:rPr>
        <w:t xml:space="preserve">        )</w:t>
      </w:r>
      <w:r>
        <w:rPr>
          <w:rFonts w:hint="eastAsia" w:ascii="黑体" w:hAnsi="黑体" w:eastAsia="黑体"/>
          <w:bCs/>
          <w:sz w:val="22"/>
        </w:rPr>
        <w:t>的采购活动，</w:t>
      </w:r>
      <w:r>
        <w:rPr>
          <w:rFonts w:hint="eastAsia" w:ascii="黑体" w:hAnsi="黑体" w:eastAsia="黑体"/>
          <w:kern w:val="0"/>
          <w:sz w:val="22"/>
        </w:rPr>
        <w:t>在此，我方声明如下：</w:t>
      </w:r>
    </w:p>
    <w:p>
      <w:pPr>
        <w:pStyle w:val="4"/>
        <w:ind w:firstLine="440"/>
        <w:rPr>
          <w:rFonts w:hint="eastAsia" w:ascii="黑体" w:hAnsi="黑体" w:eastAsia="黑体"/>
          <w:sz w:val="22"/>
          <w:szCs w:val="22"/>
        </w:rPr>
      </w:pPr>
    </w:p>
    <w:p>
      <w:pPr>
        <w:spacing w:line="360" w:lineRule="auto"/>
        <w:rPr>
          <w:rFonts w:hint="eastAsia" w:ascii="黑体" w:hAnsi="黑体" w:eastAsia="黑体"/>
          <w:sz w:val="22"/>
        </w:rPr>
      </w:pPr>
      <w:r>
        <w:rPr>
          <w:rFonts w:hint="eastAsia" w:ascii="黑体" w:hAnsi="黑体" w:eastAsia="黑体"/>
          <w:sz w:val="22"/>
        </w:rPr>
        <w:t>1）我方具有独立承担民事责任的能力；</w:t>
      </w:r>
    </w:p>
    <w:p>
      <w:pPr>
        <w:spacing w:line="360" w:lineRule="auto"/>
        <w:rPr>
          <w:rFonts w:hint="eastAsia" w:ascii="黑体" w:hAnsi="黑体" w:eastAsia="黑体"/>
          <w:sz w:val="22"/>
        </w:rPr>
      </w:pPr>
      <w:r>
        <w:rPr>
          <w:rFonts w:hint="eastAsia" w:ascii="黑体" w:hAnsi="黑体" w:eastAsia="黑体"/>
          <w:sz w:val="22"/>
        </w:rPr>
        <w:t>2）我方有依法缴纳税收和社会保障资金的良好记录；</w:t>
      </w:r>
    </w:p>
    <w:p>
      <w:pPr>
        <w:spacing w:line="360" w:lineRule="auto"/>
        <w:rPr>
          <w:rFonts w:hint="eastAsia" w:ascii="黑体" w:hAnsi="黑体" w:eastAsia="黑体"/>
          <w:sz w:val="22"/>
        </w:rPr>
      </w:pPr>
      <w:r>
        <w:rPr>
          <w:rFonts w:hint="eastAsia" w:ascii="黑体" w:hAnsi="黑体" w:eastAsia="黑体"/>
          <w:sz w:val="22"/>
        </w:rPr>
        <w:t>3）我方具有良好的商业信誉和健全的财务会计制度；</w:t>
      </w:r>
    </w:p>
    <w:p>
      <w:pPr>
        <w:spacing w:line="360" w:lineRule="auto"/>
        <w:rPr>
          <w:rFonts w:hint="eastAsia" w:ascii="黑体" w:hAnsi="黑体" w:eastAsia="黑体"/>
          <w:sz w:val="22"/>
        </w:rPr>
      </w:pPr>
      <w:r>
        <w:rPr>
          <w:rFonts w:hint="eastAsia" w:ascii="黑体" w:hAnsi="黑体" w:eastAsia="黑体"/>
          <w:sz w:val="22"/>
        </w:rPr>
        <w:t>4）我方具有履行合同所必需的设备和专业技术能力；</w:t>
      </w:r>
    </w:p>
    <w:p>
      <w:pPr>
        <w:spacing w:line="360" w:lineRule="auto"/>
        <w:rPr>
          <w:rFonts w:hint="eastAsia" w:ascii="黑体" w:hAnsi="黑体" w:eastAsia="黑体"/>
          <w:sz w:val="22"/>
        </w:rPr>
      </w:pPr>
      <w:r>
        <w:rPr>
          <w:rFonts w:hint="eastAsia" w:ascii="黑体" w:hAnsi="黑体" w:eastAsia="黑体"/>
          <w:sz w:val="22"/>
        </w:rPr>
        <w:t>5）我方承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4"/>
        <w:ind w:firstLine="440"/>
        <w:rPr>
          <w:rFonts w:hint="eastAsia" w:ascii="黑体" w:hAnsi="黑体" w:eastAsia="黑体"/>
          <w:sz w:val="22"/>
          <w:szCs w:val="22"/>
        </w:rPr>
      </w:pPr>
    </w:p>
    <w:p>
      <w:pPr>
        <w:pStyle w:val="4"/>
        <w:numPr>
          <w:ilvl w:val="0"/>
          <w:numId w:val="73"/>
        </w:numPr>
        <w:ind w:firstLineChars="0"/>
        <w:rPr>
          <w:rFonts w:hint="eastAsia" w:ascii="黑体" w:hAnsi="黑体" w:eastAsia="黑体"/>
          <w:sz w:val="22"/>
          <w:szCs w:val="22"/>
        </w:rPr>
      </w:pPr>
      <w:r>
        <w:rPr>
          <w:rFonts w:hint="eastAsia" w:ascii="黑体" w:hAnsi="黑体" w:eastAsia="黑体"/>
          <w:sz w:val="22"/>
          <w:szCs w:val="22"/>
        </w:rPr>
        <w:t xml:space="preserve"> 我方非联合体参与本项目投标。</w:t>
      </w:r>
    </w:p>
    <w:p>
      <w:pPr>
        <w:pStyle w:val="4"/>
        <w:numPr>
          <w:ilvl w:val="0"/>
          <w:numId w:val="73"/>
        </w:numPr>
        <w:ind w:firstLineChars="0"/>
        <w:rPr>
          <w:rFonts w:hint="eastAsia" w:ascii="黑体" w:hAnsi="黑体" w:eastAsia="黑体"/>
          <w:sz w:val="22"/>
          <w:szCs w:val="22"/>
        </w:rPr>
      </w:pPr>
      <w:r>
        <w:rPr>
          <w:rFonts w:hint="eastAsia" w:ascii="黑体" w:hAnsi="黑体" w:eastAsia="黑体"/>
          <w:sz w:val="22"/>
          <w:szCs w:val="22"/>
          <w:u w:val="single"/>
        </w:rPr>
        <w:t xml:space="preserve">        （其他供应商觉得需要补充的说明）                    </w:t>
      </w:r>
      <w:r>
        <w:rPr>
          <w:rFonts w:hint="eastAsia" w:ascii="黑体" w:hAnsi="黑体" w:eastAsia="黑体"/>
          <w:sz w:val="22"/>
          <w:szCs w:val="22"/>
        </w:rPr>
        <w:t xml:space="preserve">   </w:t>
      </w:r>
    </w:p>
    <w:p>
      <w:pPr>
        <w:pStyle w:val="4"/>
        <w:ind w:firstLine="440"/>
        <w:rPr>
          <w:rFonts w:hint="eastAsia" w:ascii="黑体" w:hAnsi="黑体" w:eastAsia="黑体"/>
          <w:sz w:val="22"/>
          <w:szCs w:val="22"/>
        </w:rPr>
      </w:pPr>
    </w:p>
    <w:p>
      <w:pPr>
        <w:pStyle w:val="4"/>
        <w:ind w:firstLine="640"/>
      </w:pPr>
    </w:p>
    <w:p>
      <w:pPr>
        <w:pStyle w:val="4"/>
        <w:ind w:firstLine="640"/>
      </w:pPr>
    </w:p>
    <w:tbl>
      <w:tblPr>
        <w:tblStyle w:val="37"/>
        <w:tblW w:w="0" w:type="auto"/>
        <w:tblInd w:w="0" w:type="dxa"/>
        <w:tblLayout w:type="autofit"/>
        <w:tblCellMar>
          <w:top w:w="0" w:type="dxa"/>
          <w:left w:w="108" w:type="dxa"/>
          <w:bottom w:w="0" w:type="dxa"/>
          <w:right w:w="108" w:type="dxa"/>
        </w:tblCellMar>
      </w:tblPr>
      <w:tblGrid>
        <w:gridCol w:w="6058"/>
        <w:gridCol w:w="2470"/>
      </w:tblGrid>
      <w:tr>
        <w:tblPrEx>
          <w:tblCellMar>
            <w:top w:w="0" w:type="dxa"/>
            <w:left w:w="108" w:type="dxa"/>
            <w:bottom w:w="0" w:type="dxa"/>
            <w:right w:w="108" w:type="dxa"/>
          </w:tblCellMar>
        </w:tblPrEx>
        <w:tc>
          <w:tcPr>
            <w:tcW w:w="6058"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hint="eastAsia" w:ascii="黑体" w:hAnsi="黑体" w:eastAsia="黑体"/>
                <w:sz w:val="22"/>
                <w:u w:val="single"/>
              </w:rPr>
              <w:t xml:space="preserve">                         </w:t>
            </w:r>
          </w:p>
        </w:tc>
        <w:tc>
          <w:tcPr>
            <w:tcW w:w="2470"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6058"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hint="eastAsia" w:ascii="黑体" w:hAnsi="黑体" w:eastAsia="黑体"/>
                <w:sz w:val="22"/>
                <w:u w:val="single"/>
              </w:rPr>
              <w:t xml:space="preserve">             年           月            日</w:t>
            </w:r>
          </w:p>
        </w:tc>
        <w:tc>
          <w:tcPr>
            <w:tcW w:w="2470" w:type="dxa"/>
            <w:noWrap w:val="0"/>
            <w:vAlign w:val="top"/>
          </w:tcPr>
          <w:p>
            <w:pPr>
              <w:spacing w:line="360" w:lineRule="auto"/>
              <w:rPr>
                <w:rFonts w:hint="eastAsia" w:ascii="黑体" w:hAnsi="黑体" w:eastAsia="黑体"/>
                <w:sz w:val="22"/>
              </w:rPr>
            </w:pP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37" w:name="_Toc31752"/>
      <w:bookmarkStart w:id="138" w:name="_Toc1055"/>
      <w:r>
        <w:rPr>
          <w:rStyle w:val="40"/>
          <w:rFonts w:hint="eastAsia" w:ascii="黑体" w:hAnsi="黑体" w:eastAsia="黑体"/>
          <w:b/>
          <w:bCs/>
          <w:spacing w:val="12"/>
          <w:sz w:val="22"/>
          <w:szCs w:val="22"/>
        </w:rPr>
        <w:t>资格证明材料</w:t>
      </w:r>
      <w:bookmarkEnd w:id="137"/>
      <w:bookmarkEnd w:id="138"/>
    </w:p>
    <w:p>
      <w:r>
        <w:rPr>
          <w:rStyle w:val="40"/>
          <w:rFonts w:hint="eastAsia" w:ascii="黑体" w:hAnsi="黑体" w:eastAsia="黑体"/>
          <w:spacing w:val="12"/>
          <w:sz w:val="22"/>
        </w:rPr>
        <w:t>投标人按照资格条件要求提供相关资料。</w:t>
      </w:r>
    </w:p>
    <w:p>
      <w:pPr>
        <w:numPr>
          <w:ilvl w:val="0"/>
          <w:numId w:val="75"/>
        </w:numPr>
        <w:spacing w:line="360" w:lineRule="auto"/>
        <w:rPr>
          <w:rFonts w:hint="eastAsia" w:ascii="宋体" w:hAnsi="宋体" w:cs="宋体"/>
          <w:sz w:val="24"/>
          <w:szCs w:val="24"/>
        </w:rPr>
      </w:pPr>
      <w:r>
        <w:rPr>
          <w:rFonts w:hint="eastAsia" w:ascii="宋体" w:hAnsi="宋体" w:cs="宋体"/>
          <w:sz w:val="24"/>
          <w:szCs w:val="24"/>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numPr>
          <w:ilvl w:val="0"/>
          <w:numId w:val="75"/>
        </w:numPr>
        <w:spacing w:line="360" w:lineRule="auto"/>
        <w:rPr>
          <w:rFonts w:hint="eastAsia" w:ascii="宋体" w:hAnsi="宋体" w:cs="宋体"/>
          <w:sz w:val="24"/>
          <w:szCs w:val="24"/>
        </w:rPr>
      </w:pPr>
      <w:r>
        <w:rPr>
          <w:rFonts w:hint="eastAsia" w:ascii="宋体" w:hAnsi="宋体" w:cs="宋体"/>
          <w:sz w:val="24"/>
          <w:szCs w:val="24"/>
        </w:rPr>
        <w:t>有依法缴纳税收和社会保障资金的良好记录。【提供投标截止日前6个月内任意1个月依法缴纳税收和社会保障资金的相关材料。如依法免税或不需要缴纳社会保障资金的，提供相应证明材料。】</w:t>
      </w:r>
    </w:p>
    <w:p>
      <w:pPr>
        <w:numPr>
          <w:ilvl w:val="0"/>
          <w:numId w:val="75"/>
        </w:numPr>
        <w:spacing w:line="360" w:lineRule="auto"/>
        <w:rPr>
          <w:rFonts w:hint="eastAsia" w:ascii="宋体" w:hAnsi="宋体" w:cs="宋体"/>
          <w:sz w:val="24"/>
          <w:szCs w:val="24"/>
        </w:rPr>
      </w:pPr>
      <w:r>
        <w:rPr>
          <w:rFonts w:hint="eastAsia" w:ascii="宋体" w:hAnsi="宋体" w:cs="宋体"/>
          <w:sz w:val="24"/>
          <w:szCs w:val="24"/>
        </w:rPr>
        <w:t>具有良好的商业信誉和健全的财务会计制度（提供2023年度财务状况报告或2024年至今任意1个月的财务状况报告复印件，或银行出具的资信证明材料复印件）。</w:t>
      </w:r>
    </w:p>
    <w:p>
      <w:pPr>
        <w:spacing w:line="360" w:lineRule="auto"/>
        <w:rPr>
          <w:rFonts w:hint="eastAsia" w:ascii="宋体" w:hAnsi="宋体" w:cs="宋体"/>
          <w:sz w:val="24"/>
          <w:szCs w:val="24"/>
        </w:rPr>
      </w:pPr>
      <w:r>
        <w:rPr>
          <w:rFonts w:hint="eastAsia" w:ascii="宋体" w:hAnsi="宋体" w:cs="宋体"/>
          <w:sz w:val="24"/>
          <w:szCs w:val="24"/>
        </w:rPr>
        <w:t>4）履行合同所必需的设备和专业技术能力。【自拟填报设备及专业技术能力情况或提供资格声明函。】</w:t>
      </w:r>
    </w:p>
    <w:p>
      <w:pPr>
        <w:pStyle w:val="4"/>
        <w:ind w:firstLine="0" w:firstLineChars="0"/>
      </w:pPr>
      <w:r>
        <w:rPr>
          <w:rStyle w:val="40"/>
          <w:rFonts w:hint="eastAsia" w:ascii="黑体" w:hAnsi="黑体" w:eastAsia="黑体"/>
          <w:spacing w:val="12"/>
          <w:kern w:val="2"/>
          <w:sz w:val="22"/>
          <w:szCs w:val="22"/>
        </w:rPr>
        <w:t>5）其他</w:t>
      </w: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39" w:name="_Toc18819"/>
      <w:bookmarkStart w:id="140" w:name="_Toc19391"/>
      <w:r>
        <w:rPr>
          <w:rStyle w:val="40"/>
          <w:rFonts w:hint="eastAsia" w:ascii="黑体" w:hAnsi="黑体" w:eastAsia="黑体"/>
          <w:b/>
          <w:bCs/>
          <w:spacing w:val="12"/>
          <w:sz w:val="22"/>
          <w:szCs w:val="22"/>
        </w:rPr>
        <w:t>法定代表人身份证明书</w:t>
      </w:r>
      <w:bookmarkEnd w:id="135"/>
      <w:bookmarkEnd w:id="136"/>
      <w:bookmarkEnd w:id="139"/>
      <w:bookmarkEnd w:id="140"/>
    </w:p>
    <w:p>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法定代表人身份证明书</w:t>
      </w:r>
    </w:p>
    <w:p>
      <w:pPr>
        <w:spacing w:before="312" w:beforeLines="100" w:after="156" w:afterLines="50" w:line="360" w:lineRule="auto"/>
        <w:rPr>
          <w:rFonts w:hint="eastAsia" w:ascii="黑体" w:hAnsi="黑体" w:eastAsia="黑体"/>
          <w:b/>
          <w:sz w:val="22"/>
          <w:szCs w:val="24"/>
        </w:rPr>
      </w:pPr>
      <w:r>
        <w:rPr>
          <w:rFonts w:hint="eastAsia" w:ascii="黑体" w:hAnsi="黑体" w:eastAsia="黑体"/>
          <w:b/>
          <w:sz w:val="22"/>
          <w:szCs w:val="24"/>
        </w:rPr>
        <w:t>致：（采购人名称）</w:t>
      </w:r>
    </w:p>
    <w:tbl>
      <w:tblPr>
        <w:tblStyle w:val="37"/>
        <w:tblW w:w="5000" w:type="pct"/>
        <w:jc w:val="center"/>
        <w:tblLayout w:type="autofit"/>
        <w:tblCellMar>
          <w:top w:w="0" w:type="dxa"/>
          <w:left w:w="108" w:type="dxa"/>
          <w:bottom w:w="0" w:type="dxa"/>
          <w:right w:w="108" w:type="dxa"/>
        </w:tblCellMar>
      </w:tblPr>
      <w:tblGrid>
        <w:gridCol w:w="2881"/>
        <w:gridCol w:w="5886"/>
      </w:tblGrid>
      <w:tr>
        <w:tblPrEx>
          <w:tblCellMar>
            <w:top w:w="0" w:type="dxa"/>
            <w:left w:w="108" w:type="dxa"/>
            <w:bottom w:w="0" w:type="dxa"/>
            <w:right w:w="108" w:type="dxa"/>
          </w:tblCellMar>
        </w:tblPrEx>
        <w:trPr>
          <w:jc w:val="center"/>
        </w:trPr>
        <w:tc>
          <w:tcPr>
            <w:tcW w:w="5000" w:type="pct"/>
            <w:gridSpan w:val="2"/>
            <w:noWrap w:val="0"/>
            <w:vAlign w:val="top"/>
          </w:tcPr>
          <w:p>
            <w:pPr>
              <w:spacing w:line="360" w:lineRule="auto"/>
              <w:rPr>
                <w:rFonts w:hint="eastAsia" w:ascii="黑体" w:hAnsi="黑体" w:eastAsia="黑体"/>
                <w:sz w:val="22"/>
              </w:rPr>
            </w:pPr>
            <w:r>
              <w:rPr>
                <w:rFonts w:ascii="黑体" w:hAnsi="黑体" w:eastAsia="黑体"/>
                <w:sz w:val="22"/>
                <w:u w:val="single"/>
              </w:rPr>
              <w:t xml:space="preserve">                 </w:t>
            </w:r>
            <w:r>
              <w:rPr>
                <w:rFonts w:hint="eastAsia" w:ascii="黑体" w:hAnsi="黑体" w:eastAsia="黑体"/>
                <w:sz w:val="22"/>
              </w:rPr>
              <w:t>同志，现任我单位</w:t>
            </w:r>
            <w:r>
              <w:rPr>
                <w:rFonts w:ascii="黑体" w:hAnsi="黑体" w:eastAsia="黑体"/>
                <w:sz w:val="22"/>
                <w:u w:val="single"/>
              </w:rPr>
              <w:t xml:space="preserve">               </w:t>
            </w:r>
            <w:r>
              <w:rPr>
                <w:rFonts w:hint="eastAsia" w:ascii="黑体" w:hAnsi="黑体" w:eastAsia="黑体"/>
                <w:sz w:val="22"/>
              </w:rPr>
              <w:t>职务，为法定代表人，特此证明。</w:t>
            </w:r>
          </w:p>
        </w:tc>
      </w:tr>
      <w:tr>
        <w:trPr>
          <w:trHeight w:val="2891" w:hRule="atLeast"/>
          <w:jc w:val="center"/>
        </w:trPr>
        <w:tc>
          <w:tcPr>
            <w:tcW w:w="5000" w:type="pct"/>
            <w:gridSpan w:val="2"/>
            <w:noWrap w:val="0"/>
            <w:vAlign w:val="top"/>
          </w:tcPr>
          <w:p>
            <w:pPr>
              <w:spacing w:line="360" w:lineRule="auto"/>
              <w:rPr>
                <w:rFonts w:hint="eastAsia" w:ascii="黑体" w:hAnsi="黑体" w:eastAsia="黑体"/>
                <w:sz w:val="22"/>
              </w:rPr>
            </w:pPr>
          </w:p>
          <w:p>
            <w:pPr>
              <w:spacing w:line="360" w:lineRule="auto"/>
              <w:rPr>
                <w:rFonts w:hint="eastAsia" w:ascii="黑体" w:hAnsi="黑体" w:eastAsia="黑体"/>
                <w:sz w:val="22"/>
              </w:rPr>
            </w:pPr>
            <w:r>
              <w:rPr>
                <w:rFonts w:hint="eastAsia" w:ascii="黑体" w:hAnsi="黑体" w:eastAsia="黑体"/>
                <w:sz w:val="22"/>
              </w:rPr>
              <w:t>附：</w:t>
            </w:r>
          </w:p>
          <w:p>
            <w:pPr>
              <w:spacing w:line="360" w:lineRule="auto"/>
              <w:rPr>
                <w:rFonts w:hint="eastAsia" w:ascii="黑体" w:hAnsi="黑体" w:eastAsia="黑体"/>
                <w:sz w:val="22"/>
              </w:rPr>
            </w:pPr>
            <w:r>
              <w:rPr>
                <w:rFonts w:hint="eastAsia" w:ascii="黑体" w:hAnsi="黑体" w:eastAsia="黑体"/>
                <w:sz w:val="22"/>
              </w:rPr>
              <w:t xml:space="preserve">代表人性别：    </w:t>
            </w:r>
          </w:p>
          <w:p>
            <w:pPr>
              <w:spacing w:line="360" w:lineRule="auto"/>
              <w:rPr>
                <w:rFonts w:hint="eastAsia" w:ascii="黑体" w:hAnsi="黑体" w:eastAsia="黑体"/>
                <w:sz w:val="22"/>
              </w:rPr>
            </w:pPr>
            <w:r>
              <w:rPr>
                <w:rFonts w:hint="eastAsia" w:ascii="黑体" w:hAnsi="黑体" w:eastAsia="黑体"/>
                <w:sz w:val="22"/>
              </w:rPr>
              <w:t xml:space="preserve">身份证号码： </w:t>
            </w:r>
          </w:p>
          <w:p>
            <w:pPr>
              <w:spacing w:line="360" w:lineRule="auto"/>
              <w:rPr>
                <w:rFonts w:hint="eastAsia" w:ascii="黑体" w:hAnsi="黑体" w:eastAsia="黑体"/>
                <w:sz w:val="22"/>
              </w:rPr>
            </w:pPr>
            <w:r>
              <w:rPr>
                <w:rFonts w:hint="eastAsia" w:ascii="黑体" w:hAnsi="黑体" w:eastAsia="黑体"/>
                <w:sz w:val="22"/>
              </w:rPr>
              <w:t xml:space="preserve">联系电话：  </w:t>
            </w:r>
          </w:p>
          <w:p>
            <w:pPr>
              <w:spacing w:line="360" w:lineRule="auto"/>
              <w:rPr>
                <w:rFonts w:hint="eastAsia" w:ascii="黑体" w:hAnsi="黑体" w:eastAsia="黑体"/>
                <w:sz w:val="22"/>
              </w:rPr>
            </w:pPr>
          </w:p>
        </w:tc>
      </w:tr>
      <w:tr>
        <w:tblPrEx>
          <w:tblCellMar>
            <w:top w:w="0" w:type="dxa"/>
            <w:left w:w="108" w:type="dxa"/>
            <w:bottom w:w="0" w:type="dxa"/>
            <w:right w:w="108" w:type="dxa"/>
          </w:tblCellMar>
        </w:tblPrEx>
        <w:trPr>
          <w:trHeight w:val="354" w:hRule="atLeast"/>
          <w:jc w:val="center"/>
        </w:trPr>
        <w:tc>
          <w:tcPr>
            <w:tcW w:w="5000" w:type="pct"/>
            <w:gridSpan w:val="2"/>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rPr>
          <w:jc w:val="center"/>
        </w:trPr>
        <w:tc>
          <w:tcPr>
            <w:tcW w:w="1643" w:type="pct"/>
            <w:noWrap w:val="0"/>
            <w:vAlign w:val="top"/>
          </w:tcPr>
          <w:p>
            <w:pPr>
              <w:spacing w:line="360" w:lineRule="auto"/>
              <w:rPr>
                <w:rFonts w:hint="eastAsia" w:ascii="黑体" w:hAnsi="黑体" w:eastAsia="黑体"/>
                <w:sz w:val="22"/>
              </w:rPr>
            </w:pPr>
          </w:p>
        </w:tc>
        <w:tc>
          <w:tcPr>
            <w:tcW w:w="3357" w:type="pct"/>
            <w:noWrap w:val="0"/>
            <w:vAlign w:val="top"/>
          </w:tcPr>
          <w:p>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1643" w:type="pct"/>
            <w:noWrap w:val="0"/>
            <w:vAlign w:val="top"/>
          </w:tcPr>
          <w:p>
            <w:pPr>
              <w:spacing w:line="360" w:lineRule="auto"/>
              <w:rPr>
                <w:rFonts w:hint="eastAsia" w:ascii="黑体" w:hAnsi="黑体" w:eastAsia="黑体"/>
                <w:sz w:val="22"/>
              </w:rPr>
            </w:pPr>
          </w:p>
        </w:tc>
        <w:tc>
          <w:tcPr>
            <w:tcW w:w="3357" w:type="pct"/>
            <w:noWrap w:val="0"/>
            <w:vAlign w:val="top"/>
          </w:tcPr>
          <w:p>
            <w:pPr>
              <w:spacing w:line="360" w:lineRule="auto"/>
              <w:rPr>
                <w:rFonts w:hint="eastAsia" w:ascii="黑体" w:hAnsi="黑体" w:eastAsia="黑体"/>
                <w:sz w:val="22"/>
              </w:rPr>
            </w:pPr>
            <w:r>
              <w:rPr>
                <w:rFonts w:hint="eastAsia" w:ascii="黑体" w:hAnsi="黑体" w:eastAsia="黑体"/>
                <w:sz w:val="22"/>
              </w:rPr>
              <w:t>法定代表人（签名或签章）：</w:t>
            </w:r>
            <w:r>
              <w:rPr>
                <w:rFonts w:ascii="黑体" w:hAnsi="黑体" w:eastAsia="黑体"/>
                <w:sz w:val="22"/>
                <w:u w:val="single"/>
              </w:rPr>
              <w:t xml:space="preserve">                         </w:t>
            </w:r>
          </w:p>
        </w:tc>
      </w:tr>
      <w:tr>
        <w:trPr>
          <w:jc w:val="center"/>
        </w:trPr>
        <w:tc>
          <w:tcPr>
            <w:tcW w:w="1643" w:type="pct"/>
            <w:noWrap w:val="0"/>
            <w:vAlign w:val="top"/>
          </w:tcPr>
          <w:p>
            <w:pPr>
              <w:spacing w:line="360" w:lineRule="auto"/>
              <w:rPr>
                <w:rFonts w:hint="eastAsia" w:ascii="黑体" w:hAnsi="黑体" w:eastAsia="黑体"/>
                <w:sz w:val="22"/>
              </w:rPr>
            </w:pPr>
          </w:p>
        </w:tc>
        <w:tc>
          <w:tcPr>
            <w:tcW w:w="3357" w:type="pct"/>
            <w:noWrap w:val="0"/>
            <w:vAlign w:val="top"/>
          </w:tcPr>
          <w:p>
            <w:pPr>
              <w:spacing w:after="312" w:afterLines="100"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pPr>
        <w:spacing w:before="156" w:beforeLines="50" w:after="156" w:afterLines="50" w:line="360" w:lineRule="auto"/>
        <w:rPr>
          <w:rFonts w:hint="eastAsia" w:ascii="黑体" w:hAnsi="黑体" w:eastAsia="黑体"/>
          <w:sz w:val="22"/>
        </w:rPr>
      </w:pPr>
      <w:r>
        <w:rPr>
          <w:rFonts w:hint="eastAsia" w:ascii="黑体" w:hAnsi="黑体" w:eastAsia="黑体"/>
          <w:sz w:val="22"/>
        </w:rPr>
        <w:t>须附：法定代表人有效期内身份证复印件</w:t>
      </w:r>
    </w:p>
    <w:tbl>
      <w:tblPr>
        <w:tblStyle w:val="37"/>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833" w:hRule="atLeast"/>
          <w:jc w:val="center"/>
        </w:trPr>
        <w:tc>
          <w:tcPr>
            <w:tcW w:w="2500" w:type="pct"/>
            <w:noWrap w:val="0"/>
            <w:vAlign w:val="center"/>
          </w:tcPr>
          <w:p>
            <w:pPr>
              <w:pStyle w:val="68"/>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正面</w:t>
            </w:r>
          </w:p>
        </w:tc>
        <w:tc>
          <w:tcPr>
            <w:tcW w:w="2500" w:type="pct"/>
            <w:noWrap w:val="0"/>
            <w:vAlign w:val="center"/>
          </w:tcPr>
          <w:p>
            <w:pPr>
              <w:pStyle w:val="68"/>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背面</w:t>
            </w:r>
          </w:p>
        </w:tc>
      </w:tr>
    </w:tbl>
    <w:p>
      <w:pPr>
        <w:spacing w:before="156" w:beforeLines="50" w:after="93" w:afterLines="30" w:line="360" w:lineRule="auto"/>
        <w:rPr>
          <w:rFonts w:hint="eastAsia" w:ascii="黑体" w:hAnsi="黑体" w:eastAsia="黑体"/>
          <w:sz w:val="22"/>
        </w:rPr>
      </w:pP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41" w:name="_Toc405313963"/>
      <w:bookmarkStart w:id="142" w:name="_Toc20499"/>
      <w:bookmarkStart w:id="143" w:name="_Toc6104"/>
      <w:bookmarkStart w:id="144" w:name="_Toc391627759"/>
      <w:r>
        <w:rPr>
          <w:rStyle w:val="40"/>
          <w:rFonts w:hint="eastAsia" w:ascii="黑体" w:hAnsi="黑体" w:eastAsia="黑体"/>
          <w:b/>
          <w:bCs/>
          <w:spacing w:val="12"/>
          <w:sz w:val="22"/>
          <w:szCs w:val="22"/>
        </w:rPr>
        <w:t>法定代表人授权委托书</w:t>
      </w:r>
      <w:bookmarkEnd w:id="141"/>
      <w:bookmarkEnd w:id="142"/>
      <w:bookmarkEnd w:id="143"/>
      <w:bookmarkEnd w:id="144"/>
    </w:p>
    <w:p>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法定代表人授权委托书</w:t>
      </w:r>
    </w:p>
    <w:p>
      <w:pPr>
        <w:spacing w:before="468" w:beforeLines="150" w:after="312" w:afterLines="100" w:line="360" w:lineRule="auto"/>
        <w:rPr>
          <w:rFonts w:hint="eastAsia" w:ascii="黑体" w:hAnsi="黑体" w:eastAsia="黑体"/>
          <w:b/>
          <w:sz w:val="22"/>
          <w:szCs w:val="24"/>
        </w:rPr>
      </w:pPr>
      <w:r>
        <w:rPr>
          <w:rFonts w:hint="eastAsia" w:ascii="黑体" w:hAnsi="黑体" w:eastAsia="黑体"/>
          <w:b/>
          <w:sz w:val="22"/>
          <w:szCs w:val="24"/>
        </w:rPr>
        <w:t>致：（采购人名称）</w:t>
      </w:r>
    </w:p>
    <w:p>
      <w:pPr>
        <w:pStyle w:val="68"/>
        <w:spacing w:line="360" w:lineRule="auto"/>
        <w:ind w:firstLine="450" w:firstLineChars="0"/>
        <w:rPr>
          <w:rFonts w:hint="eastAsia" w:ascii="黑体" w:hAnsi="黑体" w:eastAsia="黑体"/>
          <w:sz w:val="22"/>
          <w:szCs w:val="22"/>
        </w:rPr>
      </w:pPr>
      <w:r>
        <w:rPr>
          <w:rFonts w:hint="eastAsia" w:ascii="黑体" w:hAnsi="黑体" w:eastAsia="黑体"/>
          <w:sz w:val="22"/>
          <w:szCs w:val="22"/>
        </w:rPr>
        <w:t>本人</w:t>
      </w:r>
      <w:r>
        <w:rPr>
          <w:rFonts w:ascii="黑体" w:hAnsi="黑体" w:eastAsia="黑体"/>
          <w:sz w:val="22"/>
          <w:szCs w:val="22"/>
          <w:u w:val="single"/>
        </w:rPr>
        <w:t xml:space="preserve">   </w:t>
      </w:r>
      <w:r>
        <w:rPr>
          <w:rFonts w:hint="eastAsia" w:ascii="黑体" w:hAnsi="黑体" w:eastAsia="黑体"/>
          <w:sz w:val="22"/>
          <w:szCs w:val="22"/>
          <w:u w:val="single"/>
        </w:rPr>
        <w:t>（姓名）</w:t>
      </w:r>
      <w:r>
        <w:rPr>
          <w:rFonts w:ascii="黑体" w:hAnsi="黑体" w:eastAsia="黑体"/>
          <w:sz w:val="22"/>
          <w:szCs w:val="22"/>
          <w:u w:val="single"/>
        </w:rPr>
        <w:t xml:space="preserve">  </w:t>
      </w:r>
      <w:r>
        <w:rPr>
          <w:rFonts w:hint="eastAsia" w:ascii="黑体" w:hAnsi="黑体" w:eastAsia="黑体"/>
          <w:sz w:val="22"/>
          <w:szCs w:val="22"/>
        </w:rPr>
        <w:t>系</w:t>
      </w:r>
      <w:r>
        <w:rPr>
          <w:rFonts w:ascii="黑体" w:hAnsi="黑体" w:eastAsia="黑体"/>
          <w:sz w:val="22"/>
          <w:szCs w:val="22"/>
          <w:u w:val="single"/>
        </w:rPr>
        <w:t xml:space="preserve">     （投标人名称）    </w:t>
      </w:r>
      <w:r>
        <w:rPr>
          <w:rFonts w:hint="eastAsia" w:ascii="黑体" w:hAnsi="黑体" w:eastAsia="黑体"/>
          <w:sz w:val="22"/>
          <w:szCs w:val="22"/>
        </w:rPr>
        <w:t>的法定代表人，现委托</w:t>
      </w:r>
      <w:r>
        <w:rPr>
          <w:rFonts w:ascii="黑体" w:hAnsi="黑体" w:eastAsia="黑体"/>
          <w:sz w:val="22"/>
          <w:szCs w:val="22"/>
          <w:u w:val="single"/>
        </w:rPr>
        <w:t xml:space="preserve"> （姓名） </w:t>
      </w:r>
      <w:r>
        <w:rPr>
          <w:rFonts w:hint="eastAsia" w:ascii="黑体" w:hAnsi="黑体" w:eastAsia="黑体"/>
          <w:sz w:val="22"/>
          <w:szCs w:val="22"/>
        </w:rPr>
        <w:t>为我方合法代理人。代理人根据授权，以我方名义签署、澄清、说明、补正、递交、撤回、修改</w:t>
      </w:r>
      <w:r>
        <w:rPr>
          <w:rFonts w:ascii="黑体" w:hAnsi="黑体" w:eastAsia="黑体"/>
          <w:sz w:val="22"/>
          <w:szCs w:val="22"/>
          <w:u w:val="single"/>
        </w:rPr>
        <w:t xml:space="preserve">          （项目名称）      </w:t>
      </w:r>
      <w:r>
        <w:rPr>
          <w:rFonts w:hint="eastAsia" w:ascii="黑体" w:hAnsi="黑体" w:eastAsia="黑体"/>
          <w:sz w:val="22"/>
          <w:szCs w:val="22"/>
        </w:rPr>
        <w:t>（项目编号：</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u w:val="single"/>
        </w:rPr>
        <w:t>　</w:t>
      </w:r>
      <w:r>
        <w:rPr>
          <w:rFonts w:hint="eastAsia" w:ascii="黑体" w:hAnsi="黑体" w:eastAsia="黑体"/>
          <w:sz w:val="22"/>
          <w:szCs w:val="22"/>
        </w:rPr>
        <w:t>）投标文件、签订合同和处理有关事宜，其法律后果由我方承担。</w:t>
      </w:r>
    </w:p>
    <w:p>
      <w:pPr>
        <w:pStyle w:val="68"/>
        <w:spacing w:line="360" w:lineRule="auto"/>
        <w:ind w:firstLine="448" w:firstLineChars="204"/>
        <w:rPr>
          <w:rFonts w:hint="eastAsia" w:ascii="黑体" w:hAnsi="黑体" w:eastAsia="黑体"/>
          <w:sz w:val="22"/>
          <w:szCs w:val="22"/>
        </w:rPr>
      </w:pPr>
      <w:r>
        <w:rPr>
          <w:rFonts w:hint="eastAsia" w:ascii="黑体" w:hAnsi="黑体" w:eastAsia="黑体"/>
          <w:sz w:val="22"/>
          <w:szCs w:val="22"/>
        </w:rPr>
        <w:t>本委托书于</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年</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月</w:t>
      </w:r>
      <w:r>
        <w:rPr>
          <w:rFonts w:hint="eastAsia" w:ascii="黑体" w:hAnsi="黑体" w:eastAsia="黑体"/>
          <w:sz w:val="22"/>
          <w:szCs w:val="22"/>
          <w:u w:val="single"/>
        </w:rPr>
        <w:t>　</w:t>
      </w:r>
      <w:r>
        <w:rPr>
          <w:rFonts w:ascii="黑体" w:hAnsi="黑体" w:eastAsia="黑体"/>
          <w:sz w:val="22"/>
          <w:szCs w:val="22"/>
          <w:u w:val="single"/>
        </w:rPr>
        <w:t xml:space="preserve"> </w:t>
      </w:r>
      <w:r>
        <w:rPr>
          <w:rFonts w:hint="eastAsia" w:ascii="黑体" w:hAnsi="黑体" w:eastAsia="黑体"/>
          <w:sz w:val="22"/>
          <w:szCs w:val="22"/>
        </w:rPr>
        <w:t>日签字生效，特此证明。</w:t>
      </w:r>
    </w:p>
    <w:p>
      <w:pPr>
        <w:pStyle w:val="68"/>
        <w:spacing w:line="360" w:lineRule="auto"/>
        <w:ind w:firstLine="448" w:firstLineChars="204"/>
        <w:rPr>
          <w:rFonts w:hint="eastAsia" w:ascii="黑体" w:hAnsi="黑体" w:eastAsia="黑体"/>
          <w:sz w:val="22"/>
          <w:szCs w:val="22"/>
        </w:rPr>
      </w:pPr>
    </w:p>
    <w:p>
      <w:pPr>
        <w:pStyle w:val="68"/>
        <w:spacing w:line="360" w:lineRule="auto"/>
        <w:ind w:firstLine="0" w:firstLineChars="0"/>
        <w:rPr>
          <w:rFonts w:hint="eastAsia" w:ascii="黑体" w:hAnsi="黑体" w:eastAsia="黑体"/>
          <w:sz w:val="22"/>
          <w:szCs w:val="22"/>
        </w:rPr>
      </w:pPr>
    </w:p>
    <w:p>
      <w:pPr>
        <w:pStyle w:val="68"/>
        <w:spacing w:line="360" w:lineRule="auto"/>
        <w:ind w:firstLine="0" w:firstLineChars="0"/>
        <w:rPr>
          <w:rFonts w:hint="eastAsia" w:ascii="黑体" w:hAnsi="黑体" w:eastAsia="黑体"/>
          <w:sz w:val="22"/>
          <w:szCs w:val="22"/>
        </w:rPr>
      </w:pPr>
    </w:p>
    <w:tbl>
      <w:tblPr>
        <w:tblStyle w:val="37"/>
        <w:tblW w:w="0" w:type="auto"/>
        <w:tblInd w:w="0" w:type="dxa"/>
        <w:tblLayout w:type="autofit"/>
        <w:tblCellMar>
          <w:top w:w="0" w:type="dxa"/>
          <w:left w:w="108" w:type="dxa"/>
          <w:bottom w:w="0" w:type="dxa"/>
          <w:right w:w="108" w:type="dxa"/>
        </w:tblCellMar>
      </w:tblPr>
      <w:tblGrid>
        <w:gridCol w:w="2802"/>
        <w:gridCol w:w="5726"/>
      </w:tblGrid>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r>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法定代表人（签名或签章）：</w:t>
            </w:r>
            <w:r>
              <w:rPr>
                <w:rFonts w:ascii="黑体" w:hAnsi="黑体" w:eastAsia="黑体"/>
                <w:sz w:val="22"/>
                <w:u w:val="single"/>
              </w:rPr>
              <w:t xml:space="preserve">                         </w:t>
            </w:r>
          </w:p>
        </w:tc>
      </w:tr>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职务：</w:t>
            </w:r>
            <w:r>
              <w:rPr>
                <w:rFonts w:ascii="黑体" w:hAnsi="黑体" w:eastAsia="黑体"/>
                <w:sz w:val="22"/>
                <w:u w:val="single"/>
              </w:rPr>
              <w:t xml:space="preserve">                                              </w:t>
            </w:r>
          </w:p>
        </w:tc>
      </w:tr>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被授权人（签名或签章）：</w:t>
            </w:r>
            <w:r>
              <w:rPr>
                <w:rFonts w:ascii="黑体" w:hAnsi="黑体" w:eastAsia="黑体"/>
                <w:sz w:val="22"/>
                <w:u w:val="single"/>
              </w:rPr>
              <w:t xml:space="preserve">                           </w:t>
            </w:r>
          </w:p>
        </w:tc>
      </w:tr>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职务：</w:t>
            </w:r>
            <w:r>
              <w:rPr>
                <w:rFonts w:ascii="黑体" w:hAnsi="黑体" w:eastAsia="黑体"/>
                <w:sz w:val="22"/>
                <w:u w:val="single"/>
              </w:rPr>
              <w:t xml:space="preserve">                                              </w:t>
            </w:r>
          </w:p>
        </w:tc>
      </w:tr>
      <w:tr>
        <w:tblPrEx>
          <w:tblCellMar>
            <w:top w:w="0" w:type="dxa"/>
            <w:left w:w="108" w:type="dxa"/>
            <w:bottom w:w="0" w:type="dxa"/>
            <w:right w:w="108" w:type="dxa"/>
          </w:tblCellMar>
        </w:tblPrEx>
        <w:tc>
          <w:tcPr>
            <w:tcW w:w="2802" w:type="dxa"/>
            <w:noWrap w:val="0"/>
            <w:vAlign w:val="top"/>
          </w:tcPr>
          <w:p>
            <w:pPr>
              <w:pStyle w:val="68"/>
              <w:spacing w:line="360" w:lineRule="auto"/>
              <w:ind w:firstLine="0" w:firstLineChars="0"/>
              <w:rPr>
                <w:rFonts w:hint="eastAsia" w:ascii="黑体" w:hAnsi="黑体" w:eastAsia="黑体"/>
                <w:sz w:val="22"/>
                <w:szCs w:val="22"/>
              </w:rPr>
            </w:pPr>
          </w:p>
        </w:tc>
        <w:tc>
          <w:tcPr>
            <w:tcW w:w="5726"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r>
    </w:tbl>
    <w:p>
      <w:pPr>
        <w:pStyle w:val="68"/>
        <w:spacing w:line="360" w:lineRule="auto"/>
        <w:ind w:firstLine="0" w:firstLineChars="0"/>
        <w:rPr>
          <w:rFonts w:hint="eastAsia" w:ascii="黑体" w:hAnsi="黑体" w:eastAsia="黑体"/>
          <w:sz w:val="22"/>
          <w:szCs w:val="22"/>
        </w:rPr>
      </w:pPr>
    </w:p>
    <w:p>
      <w:pPr>
        <w:pStyle w:val="68"/>
        <w:spacing w:line="360" w:lineRule="auto"/>
        <w:ind w:firstLine="0" w:firstLineChars="0"/>
        <w:rPr>
          <w:rFonts w:hint="eastAsia" w:ascii="黑体" w:hAnsi="黑体" w:eastAsia="黑体"/>
          <w:sz w:val="22"/>
          <w:szCs w:val="22"/>
        </w:rPr>
      </w:pPr>
    </w:p>
    <w:p>
      <w:pPr>
        <w:spacing w:after="156" w:afterLines="50" w:line="360" w:lineRule="auto"/>
        <w:rPr>
          <w:rFonts w:hint="eastAsia" w:ascii="黑体" w:hAnsi="黑体" w:eastAsia="黑体"/>
          <w:sz w:val="22"/>
        </w:rPr>
      </w:pPr>
      <w:r>
        <w:rPr>
          <w:rFonts w:hint="eastAsia" w:ascii="黑体" w:hAnsi="黑体" w:eastAsia="黑体"/>
          <w:sz w:val="22"/>
        </w:rPr>
        <w:t>须附：被授权人有效期内身份证复印件</w:t>
      </w:r>
    </w:p>
    <w:tbl>
      <w:tblPr>
        <w:tblStyle w:val="37"/>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310" w:hRule="atLeast"/>
          <w:jc w:val="center"/>
        </w:trPr>
        <w:tc>
          <w:tcPr>
            <w:tcW w:w="2500" w:type="pct"/>
            <w:noWrap w:val="0"/>
            <w:vAlign w:val="center"/>
          </w:tcPr>
          <w:p>
            <w:pPr>
              <w:pStyle w:val="68"/>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正面</w:t>
            </w:r>
          </w:p>
        </w:tc>
        <w:tc>
          <w:tcPr>
            <w:tcW w:w="2500" w:type="pct"/>
            <w:noWrap w:val="0"/>
            <w:vAlign w:val="center"/>
          </w:tcPr>
          <w:p>
            <w:pPr>
              <w:pStyle w:val="68"/>
              <w:spacing w:line="460" w:lineRule="exact"/>
              <w:ind w:firstLine="0" w:firstLineChars="0"/>
              <w:jc w:val="center"/>
              <w:rPr>
                <w:rFonts w:hint="eastAsia" w:ascii="黑体" w:hAnsi="黑体" w:eastAsia="黑体"/>
                <w:sz w:val="24"/>
                <w:szCs w:val="24"/>
              </w:rPr>
            </w:pPr>
            <w:r>
              <w:rPr>
                <w:rFonts w:hint="eastAsia" w:ascii="黑体" w:hAnsi="黑体" w:eastAsia="黑体"/>
                <w:sz w:val="24"/>
                <w:szCs w:val="24"/>
              </w:rPr>
              <w:t>背面</w:t>
            </w: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45" w:name="_Toc9627"/>
      <w:bookmarkStart w:id="146" w:name="_Toc15809"/>
      <w:bookmarkStart w:id="147" w:name="_Toc405313964"/>
      <w:bookmarkStart w:id="148" w:name="_Toc391627760"/>
      <w:r>
        <w:rPr>
          <w:rStyle w:val="40"/>
          <w:rFonts w:hint="eastAsia" w:ascii="黑体" w:hAnsi="黑体" w:eastAsia="黑体"/>
          <w:b/>
          <w:bCs/>
          <w:spacing w:val="12"/>
          <w:sz w:val="22"/>
          <w:szCs w:val="22"/>
        </w:rPr>
        <w:t>投标人基本情况说明</w:t>
      </w:r>
      <w:bookmarkEnd w:id="145"/>
      <w:bookmarkEnd w:id="146"/>
      <w:bookmarkEnd w:id="147"/>
      <w:bookmarkEnd w:id="148"/>
    </w:p>
    <w:p>
      <w:pPr>
        <w:spacing w:before="156" w:beforeLines="50" w:after="156" w:afterLines="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投标人基本情况说明</w:t>
      </w:r>
    </w:p>
    <w:p>
      <w:pPr>
        <w:pStyle w:val="64"/>
        <w:numPr>
          <w:ilvl w:val="0"/>
          <w:numId w:val="76"/>
        </w:numPr>
        <w:spacing w:after="156" w:afterLines="50" w:line="360" w:lineRule="auto"/>
        <w:ind w:firstLineChars="0"/>
        <w:rPr>
          <w:rFonts w:hint="eastAsia" w:ascii="黑体" w:hAnsi="黑体" w:eastAsia="黑体"/>
          <w:sz w:val="22"/>
        </w:rPr>
      </w:pPr>
      <w:r>
        <w:rPr>
          <w:rFonts w:ascii="黑体" w:hAnsi="黑体" w:eastAsia="黑体"/>
          <w:sz w:val="22"/>
        </w:rPr>
        <w:t>公司基本情况</w:t>
      </w:r>
    </w:p>
    <w:tbl>
      <w:tblPr>
        <w:tblStyle w:val="37"/>
        <w:tblW w:w="5000" w:type="pct"/>
        <w:jc w:val="center"/>
        <w:tblLayout w:type="autofit"/>
        <w:tblCellMar>
          <w:top w:w="0" w:type="dxa"/>
          <w:left w:w="108" w:type="dxa"/>
          <w:bottom w:w="0" w:type="dxa"/>
          <w:right w:w="108" w:type="dxa"/>
        </w:tblCellMar>
      </w:tblPr>
      <w:tblGrid>
        <w:gridCol w:w="1753"/>
        <w:gridCol w:w="2439"/>
        <w:gridCol w:w="1068"/>
        <w:gridCol w:w="1410"/>
        <w:gridCol w:w="2097"/>
      </w:tblGrid>
      <w:tr>
        <w:tblPrEx>
          <w:tblCellMar>
            <w:top w:w="0" w:type="dxa"/>
            <w:left w:w="108" w:type="dxa"/>
            <w:bottom w:w="0" w:type="dxa"/>
            <w:right w:w="108" w:type="dxa"/>
          </w:tblCellMar>
        </w:tblPrEx>
        <w:trPr>
          <w:jc w:val="center"/>
        </w:trPr>
        <w:tc>
          <w:tcPr>
            <w:tcW w:w="3000" w:type="pct"/>
            <w:gridSpan w:val="3"/>
            <w:noWrap w:val="0"/>
            <w:vAlign w:val="top"/>
          </w:tcPr>
          <w:p>
            <w:pPr>
              <w:spacing w:line="360" w:lineRule="auto"/>
              <w:rPr>
                <w:rFonts w:hint="eastAsia" w:ascii="黑体" w:hAnsi="黑体" w:eastAsia="黑体"/>
                <w:sz w:val="22"/>
              </w:rPr>
            </w:pPr>
            <w:r>
              <w:rPr>
                <w:rFonts w:ascii="黑体" w:hAnsi="黑体" w:eastAsia="黑体"/>
                <w:sz w:val="22"/>
              </w:rPr>
              <w:t>公司名称：</w:t>
            </w:r>
            <w:r>
              <w:rPr>
                <w:rFonts w:ascii="黑体" w:hAnsi="黑体" w:eastAsia="黑体"/>
                <w:sz w:val="22"/>
                <w:u w:val="single"/>
              </w:rPr>
              <w:t xml:space="preserve">           </w:t>
            </w:r>
            <w:r>
              <w:rPr>
                <w:rFonts w:hint="eastAsia" w:ascii="黑体" w:hAnsi="黑体" w:eastAsia="黑体"/>
                <w:sz w:val="22"/>
                <w:u w:val="single"/>
              </w:rPr>
              <w:t xml:space="preserve">                    </w:t>
            </w:r>
            <w:r>
              <w:rPr>
                <w:rFonts w:ascii="黑体" w:hAnsi="黑体" w:eastAsia="黑体"/>
                <w:sz w:val="22"/>
                <w:u w:val="single"/>
              </w:rPr>
              <w:t xml:space="preserve">    </w:t>
            </w:r>
            <w:r>
              <w:rPr>
                <w:rFonts w:ascii="黑体" w:hAnsi="黑体" w:eastAsia="黑体"/>
                <w:sz w:val="22"/>
              </w:rPr>
              <w:t xml:space="preserve"> </w:t>
            </w:r>
          </w:p>
        </w:tc>
        <w:tc>
          <w:tcPr>
            <w:tcW w:w="2000" w:type="pct"/>
            <w:gridSpan w:val="2"/>
            <w:noWrap w:val="0"/>
            <w:vAlign w:val="top"/>
          </w:tcPr>
          <w:p>
            <w:pPr>
              <w:spacing w:line="360" w:lineRule="auto"/>
              <w:rPr>
                <w:rFonts w:hint="eastAsia" w:ascii="黑体" w:hAnsi="黑体" w:eastAsia="黑体"/>
                <w:sz w:val="22"/>
              </w:rPr>
            </w:pPr>
            <w:r>
              <w:rPr>
                <w:rFonts w:hint="eastAsia" w:ascii="黑体" w:hAnsi="黑体" w:eastAsia="黑体"/>
                <w:sz w:val="22"/>
              </w:rPr>
              <w:t>公司固话：</w:t>
            </w:r>
            <w:r>
              <w:rPr>
                <w:rFonts w:hint="eastAsia"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3000" w:type="pct"/>
            <w:gridSpan w:val="3"/>
            <w:noWrap w:val="0"/>
            <w:vAlign w:val="top"/>
          </w:tcPr>
          <w:p>
            <w:pPr>
              <w:spacing w:line="360" w:lineRule="auto"/>
              <w:rPr>
                <w:rFonts w:hint="eastAsia" w:ascii="黑体" w:hAnsi="黑体" w:eastAsia="黑体"/>
                <w:sz w:val="22"/>
              </w:rPr>
            </w:pPr>
            <w:r>
              <w:rPr>
                <w:rFonts w:hint="eastAsia" w:ascii="黑体" w:hAnsi="黑体" w:eastAsia="黑体"/>
                <w:sz w:val="22"/>
              </w:rPr>
              <w:t>单位地址：</w:t>
            </w:r>
            <w:r>
              <w:rPr>
                <w:rFonts w:hint="eastAsia" w:ascii="黑体" w:hAnsi="黑体" w:eastAsia="黑体"/>
                <w:sz w:val="22"/>
                <w:u w:val="single"/>
              </w:rPr>
              <w:t xml:space="preserve">                                    </w:t>
            </w:r>
          </w:p>
        </w:tc>
        <w:tc>
          <w:tcPr>
            <w:tcW w:w="2000" w:type="pct"/>
            <w:gridSpan w:val="2"/>
            <w:noWrap w:val="0"/>
            <w:vAlign w:val="top"/>
          </w:tcPr>
          <w:p>
            <w:pPr>
              <w:spacing w:line="360" w:lineRule="auto"/>
              <w:rPr>
                <w:rFonts w:hint="eastAsia" w:ascii="黑体" w:hAnsi="黑体" w:eastAsia="黑体"/>
                <w:sz w:val="22"/>
              </w:rPr>
            </w:pPr>
            <w:r>
              <w:rPr>
                <w:rFonts w:hint="eastAsia" w:ascii="黑体" w:hAnsi="黑体" w:eastAsia="黑体"/>
                <w:sz w:val="22"/>
              </w:rPr>
              <w:t>公司传真：</w:t>
            </w:r>
            <w:r>
              <w:rPr>
                <w:rFonts w:hint="eastAsia"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3000" w:type="pct"/>
            <w:gridSpan w:val="3"/>
            <w:noWrap w:val="0"/>
            <w:vAlign w:val="top"/>
          </w:tcPr>
          <w:p>
            <w:pPr>
              <w:spacing w:line="360" w:lineRule="auto"/>
              <w:rPr>
                <w:rFonts w:hint="eastAsia" w:ascii="黑体" w:hAnsi="黑体" w:eastAsia="黑体"/>
                <w:sz w:val="22"/>
              </w:rPr>
            </w:pPr>
            <w:r>
              <w:rPr>
                <w:rFonts w:hint="eastAsia" w:ascii="黑体" w:hAnsi="黑体" w:eastAsia="黑体"/>
                <w:sz w:val="22"/>
              </w:rPr>
              <w:t>注册资金：</w:t>
            </w:r>
            <w:r>
              <w:rPr>
                <w:rFonts w:hint="eastAsia" w:ascii="黑体" w:hAnsi="黑体" w:eastAsia="黑体"/>
                <w:sz w:val="22"/>
                <w:u w:val="single"/>
              </w:rPr>
              <w:t xml:space="preserve">                                    </w:t>
            </w:r>
          </w:p>
        </w:tc>
        <w:tc>
          <w:tcPr>
            <w:tcW w:w="2000" w:type="pct"/>
            <w:gridSpan w:val="2"/>
            <w:noWrap w:val="0"/>
            <w:vAlign w:val="top"/>
          </w:tcPr>
          <w:p>
            <w:pPr>
              <w:spacing w:line="360" w:lineRule="auto"/>
              <w:rPr>
                <w:rFonts w:hint="eastAsia" w:ascii="黑体" w:hAnsi="黑体" w:eastAsia="黑体"/>
                <w:sz w:val="22"/>
              </w:rPr>
            </w:pPr>
            <w:r>
              <w:rPr>
                <w:rFonts w:hint="eastAsia" w:ascii="黑体" w:hAnsi="黑体" w:eastAsia="黑体"/>
                <w:sz w:val="22"/>
              </w:rPr>
              <w:t>单位性质：</w:t>
            </w:r>
            <w:r>
              <w:rPr>
                <w:rFonts w:hint="eastAsia"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3000" w:type="pct"/>
            <w:gridSpan w:val="3"/>
            <w:noWrap w:val="0"/>
            <w:vAlign w:val="top"/>
          </w:tcPr>
          <w:p>
            <w:pPr>
              <w:spacing w:line="360" w:lineRule="auto"/>
              <w:rPr>
                <w:rFonts w:hint="eastAsia" w:ascii="黑体" w:hAnsi="黑体" w:eastAsia="黑体"/>
                <w:sz w:val="22"/>
              </w:rPr>
            </w:pPr>
            <w:r>
              <w:rPr>
                <w:rFonts w:hint="eastAsia" w:ascii="黑体" w:hAnsi="黑体" w:eastAsia="黑体"/>
                <w:sz w:val="22"/>
              </w:rPr>
              <w:t>公司开户银行名称：</w:t>
            </w:r>
            <w:r>
              <w:rPr>
                <w:rFonts w:hint="eastAsia" w:ascii="黑体" w:hAnsi="黑体" w:eastAsia="黑体"/>
                <w:sz w:val="22"/>
                <w:u w:val="single"/>
              </w:rPr>
              <w:t xml:space="preserve">                            </w:t>
            </w:r>
          </w:p>
        </w:tc>
        <w:tc>
          <w:tcPr>
            <w:tcW w:w="2000" w:type="pct"/>
            <w:gridSpan w:val="2"/>
            <w:noWrap w:val="0"/>
            <w:vAlign w:val="top"/>
          </w:tcPr>
          <w:p>
            <w:pPr>
              <w:spacing w:line="360" w:lineRule="auto"/>
              <w:rPr>
                <w:rFonts w:hint="eastAsia" w:ascii="黑体" w:hAnsi="黑体" w:eastAsia="黑体"/>
                <w:sz w:val="22"/>
              </w:rPr>
            </w:pPr>
            <w:r>
              <w:rPr>
                <w:rFonts w:hint="eastAsia" w:ascii="黑体" w:hAnsi="黑体" w:eastAsia="黑体"/>
                <w:sz w:val="22"/>
              </w:rPr>
              <w:t>开户账号：</w:t>
            </w:r>
            <w:r>
              <w:rPr>
                <w:rFonts w:hint="eastAsia" w:ascii="黑体" w:hAnsi="黑体" w:eastAsia="黑体"/>
                <w:sz w:val="22"/>
                <w:u w:val="single"/>
              </w:rPr>
              <w:t xml:space="preserve">                    </w:t>
            </w:r>
          </w:p>
        </w:tc>
      </w:tr>
      <w:tr>
        <w:tblPrEx>
          <w:tblCellMar>
            <w:top w:w="0" w:type="dxa"/>
            <w:left w:w="108" w:type="dxa"/>
            <w:bottom w:w="0" w:type="dxa"/>
            <w:right w:w="108" w:type="dxa"/>
          </w:tblCellMar>
        </w:tblPrEx>
        <w:trPr>
          <w:jc w:val="center"/>
        </w:trPr>
        <w:tc>
          <w:tcPr>
            <w:tcW w:w="5000" w:type="pct"/>
            <w:gridSpan w:val="5"/>
            <w:noWrap w:val="0"/>
            <w:vAlign w:val="top"/>
          </w:tcPr>
          <w:p>
            <w:pPr>
              <w:spacing w:line="360" w:lineRule="auto"/>
              <w:rPr>
                <w:rFonts w:hint="eastAsia" w:ascii="黑体" w:hAnsi="黑体" w:eastAsia="黑体"/>
                <w:sz w:val="22"/>
              </w:rPr>
            </w:pPr>
            <w:r>
              <w:rPr>
                <w:rFonts w:ascii="黑体" w:hAnsi="黑体" w:eastAsia="黑体"/>
                <w:sz w:val="22"/>
              </w:rPr>
              <w:t>营业注册执照</w:t>
            </w:r>
            <w:r>
              <w:rPr>
                <w:rFonts w:hint="eastAsia" w:ascii="黑体" w:hAnsi="黑体" w:eastAsia="黑体"/>
                <w:sz w:val="22"/>
              </w:rPr>
              <w:t>或事业单位法人证书</w:t>
            </w:r>
            <w:r>
              <w:rPr>
                <w:rFonts w:ascii="黑体" w:hAnsi="黑体" w:eastAsia="黑体"/>
                <w:sz w:val="22"/>
              </w:rPr>
              <w:t>号</w:t>
            </w:r>
            <w:r>
              <w:rPr>
                <w:rFonts w:hint="eastAsia" w:ascii="黑体" w:hAnsi="黑体" w:eastAsia="黑体"/>
                <w:sz w:val="22"/>
              </w:rPr>
              <w:t>：</w:t>
            </w:r>
            <w:r>
              <w:rPr>
                <w:rFonts w:hint="eastAsia" w:ascii="黑体" w:hAnsi="黑体" w:eastAsia="黑体"/>
                <w:sz w:val="22"/>
                <w:u w:val="single"/>
              </w:rPr>
              <w:t xml:space="preserve">                                             </w:t>
            </w:r>
          </w:p>
        </w:tc>
      </w:tr>
      <w:tr>
        <w:tblPrEx>
          <w:tblCellMar>
            <w:top w:w="0" w:type="dxa"/>
            <w:left w:w="108" w:type="dxa"/>
            <w:bottom w:w="0" w:type="dxa"/>
            <w:right w:w="108" w:type="dxa"/>
          </w:tblCellMar>
        </w:tblPrEx>
        <w:trPr>
          <w:trHeight w:val="583" w:hRule="atLeast"/>
          <w:jc w:val="center"/>
        </w:trPr>
        <w:tc>
          <w:tcPr>
            <w:tcW w:w="5000" w:type="pct"/>
            <w:gridSpan w:val="5"/>
            <w:noWrap w:val="0"/>
            <w:vAlign w:val="top"/>
          </w:tcPr>
          <w:p>
            <w:pPr>
              <w:spacing w:line="360" w:lineRule="auto"/>
              <w:rPr>
                <w:rFonts w:hint="eastAsia" w:ascii="黑体" w:hAnsi="黑体" w:eastAsia="黑体"/>
                <w:sz w:val="22"/>
              </w:rPr>
            </w:pPr>
            <w:r>
              <w:rPr>
                <w:rFonts w:hint="eastAsia" w:ascii="黑体" w:hAnsi="黑体" w:eastAsia="黑体"/>
                <w:sz w:val="22"/>
              </w:rPr>
              <w:t>公司财务状况：（如有）                                  【价格单位：（人民币）元】</w:t>
            </w:r>
          </w:p>
        </w:tc>
      </w:tr>
      <w:tr>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年  度</w:t>
            </w:r>
          </w:p>
        </w:tc>
        <w:tc>
          <w:tcPr>
            <w:tcW w:w="1391"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总资产（元）</w:t>
            </w:r>
          </w:p>
        </w:tc>
        <w:tc>
          <w:tcPr>
            <w:tcW w:w="1413" w:type="pct"/>
            <w:gridSpan w:val="2"/>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年营业额（元）</w:t>
            </w:r>
          </w:p>
        </w:tc>
        <w:tc>
          <w:tcPr>
            <w:tcW w:w="1197" w:type="pct"/>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年净利润（元）</w:t>
            </w:r>
          </w:p>
        </w:tc>
      </w:tr>
      <w:tr>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391"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413" w:type="pct"/>
            <w:gridSpan w:val="2"/>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197"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391"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413" w:type="pct"/>
            <w:gridSpan w:val="2"/>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c>
          <w:tcPr>
            <w:tcW w:w="1197" w:type="pct"/>
            <w:tcBorders>
              <w:top w:val="single" w:color="auto" w:sz="6" w:space="0"/>
              <w:left w:val="single" w:color="auto" w:sz="6" w:space="0"/>
              <w:bottom w:val="single" w:color="auto" w:sz="6" w:space="0"/>
              <w:right w:val="single" w:color="auto" w:sz="6" w:space="0"/>
            </w:tcBorders>
            <w:noWrap w:val="0"/>
            <w:vAlign w:val="top"/>
          </w:tcPr>
          <w:p>
            <w:pPr>
              <w:spacing w:line="360" w:lineRule="auto"/>
              <w:rPr>
                <w:rFonts w:hint="eastAsia" w:ascii="黑体" w:hAnsi="黑体" w:eastAsia="黑体"/>
                <w:sz w:val="22"/>
              </w:rPr>
            </w:pPr>
          </w:p>
        </w:tc>
      </w:tr>
    </w:tbl>
    <w:p>
      <w:pPr>
        <w:pStyle w:val="64"/>
        <w:numPr>
          <w:ilvl w:val="0"/>
          <w:numId w:val="76"/>
        </w:numPr>
        <w:spacing w:after="156" w:afterLines="50" w:line="360" w:lineRule="auto"/>
        <w:ind w:firstLineChars="0"/>
        <w:rPr>
          <w:rFonts w:hint="eastAsia" w:ascii="黑体" w:hAnsi="黑体" w:eastAsia="黑体"/>
          <w:sz w:val="22"/>
        </w:rPr>
      </w:pPr>
      <w:r>
        <w:rPr>
          <w:rFonts w:ascii="黑体" w:hAnsi="黑体" w:eastAsia="黑体"/>
          <w:sz w:val="22"/>
        </w:rPr>
        <w:t>投标人获得国家有关部门颁发的资质证明</w:t>
      </w:r>
      <w:r>
        <w:rPr>
          <w:rFonts w:hint="eastAsia" w:ascii="黑体" w:hAnsi="黑体" w:eastAsia="黑体"/>
          <w:sz w:val="22"/>
        </w:rPr>
        <w:t>或荣誉</w:t>
      </w:r>
      <w:r>
        <w:rPr>
          <w:rFonts w:ascii="黑体" w:hAnsi="黑体" w:eastAsia="黑体"/>
          <w:sz w:val="22"/>
        </w:rPr>
        <w:t>：</w:t>
      </w:r>
      <w:r>
        <w:rPr>
          <w:rFonts w:hint="eastAsia" w:ascii="黑体" w:hAnsi="黑体" w:eastAsia="黑体"/>
          <w:sz w:val="22"/>
        </w:rPr>
        <w:t>（如有）</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2192"/>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center"/>
          </w:tcPr>
          <w:p>
            <w:pPr>
              <w:spacing w:line="360" w:lineRule="auto"/>
              <w:jc w:val="center"/>
              <w:rPr>
                <w:rFonts w:hint="eastAsia" w:ascii="黑体" w:hAnsi="黑体" w:eastAsia="黑体"/>
                <w:sz w:val="22"/>
              </w:rPr>
            </w:pPr>
            <w:r>
              <w:rPr>
                <w:rFonts w:ascii="黑体" w:hAnsi="黑体" w:eastAsia="黑体"/>
                <w:sz w:val="22"/>
              </w:rPr>
              <w:t>证书名称</w:t>
            </w:r>
          </w:p>
        </w:tc>
        <w:tc>
          <w:tcPr>
            <w:tcW w:w="1250" w:type="pct"/>
            <w:noWrap w:val="0"/>
            <w:vAlign w:val="center"/>
          </w:tcPr>
          <w:p>
            <w:pPr>
              <w:spacing w:line="360" w:lineRule="auto"/>
              <w:jc w:val="center"/>
              <w:rPr>
                <w:rFonts w:hint="eastAsia" w:ascii="黑体" w:hAnsi="黑体" w:eastAsia="黑体"/>
                <w:sz w:val="22"/>
              </w:rPr>
            </w:pPr>
            <w:r>
              <w:rPr>
                <w:rFonts w:ascii="黑体" w:hAnsi="黑体" w:eastAsia="黑体"/>
                <w:sz w:val="22"/>
              </w:rPr>
              <w:t>发证单位</w:t>
            </w:r>
          </w:p>
        </w:tc>
        <w:tc>
          <w:tcPr>
            <w:tcW w:w="1250" w:type="pct"/>
            <w:noWrap w:val="0"/>
            <w:vAlign w:val="center"/>
          </w:tcPr>
          <w:p>
            <w:pPr>
              <w:spacing w:line="360" w:lineRule="auto"/>
              <w:jc w:val="center"/>
              <w:rPr>
                <w:rFonts w:hint="eastAsia" w:ascii="黑体" w:hAnsi="黑体" w:eastAsia="黑体"/>
                <w:sz w:val="22"/>
              </w:rPr>
            </w:pPr>
            <w:r>
              <w:rPr>
                <w:rFonts w:ascii="黑体" w:hAnsi="黑体" w:eastAsia="黑体"/>
                <w:sz w:val="22"/>
              </w:rPr>
              <w:t>证书等级</w:t>
            </w:r>
          </w:p>
        </w:tc>
        <w:tc>
          <w:tcPr>
            <w:tcW w:w="1250" w:type="pct"/>
            <w:noWrap w:val="0"/>
            <w:vAlign w:val="center"/>
          </w:tcPr>
          <w:p>
            <w:pPr>
              <w:spacing w:line="360" w:lineRule="auto"/>
              <w:jc w:val="center"/>
              <w:rPr>
                <w:rFonts w:hint="eastAsia" w:ascii="黑体" w:hAnsi="黑体" w:eastAsia="黑体"/>
                <w:sz w:val="22"/>
              </w:rPr>
            </w:pPr>
            <w:r>
              <w:rPr>
                <w:rFonts w:ascii="黑体" w:hAnsi="黑体" w:eastAsia="黑体"/>
                <w:sz w:val="22"/>
              </w:rPr>
              <w:t>证书有效期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c>
          <w:tcPr>
            <w:tcW w:w="1250" w:type="pct"/>
            <w:noWrap w:val="0"/>
            <w:vAlign w:val="top"/>
          </w:tcPr>
          <w:p>
            <w:pPr>
              <w:spacing w:line="360" w:lineRule="auto"/>
              <w:rPr>
                <w:rFonts w:hint="eastAsia" w:ascii="黑体" w:hAnsi="黑体" w:eastAsia="黑体"/>
                <w:sz w:val="22"/>
              </w:rPr>
            </w:pPr>
          </w:p>
        </w:tc>
      </w:tr>
    </w:tbl>
    <w:p>
      <w:pPr>
        <w:spacing w:before="156" w:beforeLines="50" w:after="624" w:afterLines="200" w:line="360" w:lineRule="auto"/>
        <w:rPr>
          <w:rFonts w:hint="eastAsia" w:ascii="黑体" w:hAnsi="黑体" w:eastAsia="黑体" w:cs="Times New Roman"/>
          <w:sz w:val="22"/>
        </w:rPr>
      </w:pPr>
      <w:r>
        <w:rPr>
          <w:rFonts w:hint="eastAsia" w:ascii="黑体" w:hAnsi="黑体" w:eastAsia="黑体" w:cs="Times New Roman"/>
          <w:sz w:val="22"/>
        </w:rPr>
        <w:t>兹证明上述声明是真实、正确的，并提供了全部能提供的资料和数据，我方同意遵照贵方要求出示有关证明文件。</w:t>
      </w:r>
    </w:p>
    <w:tbl>
      <w:tblPr>
        <w:tblStyle w:val="37"/>
        <w:tblW w:w="0" w:type="auto"/>
        <w:tblInd w:w="0" w:type="dxa"/>
        <w:tblLayout w:type="autofit"/>
        <w:tblCellMar>
          <w:top w:w="0" w:type="dxa"/>
          <w:left w:w="108" w:type="dxa"/>
          <w:bottom w:w="0" w:type="dxa"/>
          <w:right w:w="108" w:type="dxa"/>
        </w:tblCellMar>
      </w:tblPr>
      <w:tblGrid>
        <w:gridCol w:w="6058"/>
        <w:gridCol w:w="2470"/>
      </w:tblGrid>
      <w:tr>
        <w:tblPrEx>
          <w:tblCellMar>
            <w:top w:w="0" w:type="dxa"/>
            <w:left w:w="108" w:type="dxa"/>
            <w:bottom w:w="0" w:type="dxa"/>
            <w:right w:w="108" w:type="dxa"/>
          </w:tblCellMar>
        </w:tblPrEx>
        <w:tc>
          <w:tcPr>
            <w:tcW w:w="6058"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hint="eastAsia" w:ascii="黑体" w:hAnsi="黑体" w:eastAsia="黑体"/>
                <w:sz w:val="22"/>
                <w:u w:val="single"/>
              </w:rPr>
              <w:t xml:space="preserve">                         </w:t>
            </w:r>
          </w:p>
        </w:tc>
        <w:tc>
          <w:tcPr>
            <w:tcW w:w="2470"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6058"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hint="eastAsia" w:ascii="黑体" w:hAnsi="黑体" w:eastAsia="黑体"/>
                <w:sz w:val="22"/>
                <w:u w:val="single"/>
              </w:rPr>
              <w:t xml:space="preserve">             年           月            日</w:t>
            </w:r>
          </w:p>
        </w:tc>
        <w:tc>
          <w:tcPr>
            <w:tcW w:w="2470" w:type="dxa"/>
            <w:noWrap w:val="0"/>
            <w:vAlign w:val="top"/>
          </w:tcPr>
          <w:p>
            <w:pPr>
              <w:spacing w:line="360" w:lineRule="auto"/>
              <w:rPr>
                <w:rFonts w:hint="eastAsia" w:ascii="黑体" w:hAnsi="黑体" w:eastAsia="黑体"/>
                <w:sz w:val="22"/>
              </w:rPr>
            </w:pP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49" w:name="_Toc16922"/>
      <w:bookmarkStart w:id="150" w:name="_Toc6356"/>
      <w:bookmarkStart w:id="151" w:name="_Toc405313968"/>
      <w:bookmarkStart w:id="152" w:name="_Toc391627765"/>
      <w:r>
        <w:rPr>
          <w:rStyle w:val="40"/>
          <w:rFonts w:hint="eastAsia" w:ascii="黑体" w:hAnsi="黑体" w:eastAsia="黑体"/>
          <w:b/>
          <w:bCs/>
          <w:spacing w:val="12"/>
          <w:sz w:val="22"/>
          <w:szCs w:val="22"/>
        </w:rPr>
        <w:t>同类</w:t>
      </w:r>
      <w:r>
        <w:rPr>
          <w:rStyle w:val="40"/>
          <w:rFonts w:ascii="黑体" w:hAnsi="黑体" w:eastAsia="黑体"/>
          <w:b/>
          <w:bCs/>
          <w:spacing w:val="12"/>
          <w:sz w:val="22"/>
          <w:szCs w:val="22"/>
        </w:rPr>
        <w:t>业绩</w:t>
      </w:r>
      <w:r>
        <w:rPr>
          <w:rStyle w:val="40"/>
          <w:rFonts w:hint="eastAsia" w:ascii="黑体" w:hAnsi="黑体" w:eastAsia="黑体"/>
          <w:b/>
          <w:bCs/>
          <w:spacing w:val="12"/>
          <w:sz w:val="22"/>
          <w:szCs w:val="22"/>
        </w:rPr>
        <w:t>一览</w:t>
      </w:r>
      <w:r>
        <w:rPr>
          <w:rStyle w:val="40"/>
          <w:rFonts w:ascii="黑体" w:hAnsi="黑体" w:eastAsia="黑体"/>
          <w:b/>
          <w:bCs/>
          <w:spacing w:val="12"/>
          <w:sz w:val="22"/>
          <w:szCs w:val="22"/>
        </w:rPr>
        <w:t>表</w:t>
      </w:r>
      <w:bookmarkEnd w:id="149"/>
      <w:bookmarkEnd w:id="150"/>
      <w:bookmarkEnd w:id="151"/>
      <w:bookmarkEnd w:id="152"/>
    </w:p>
    <w:p>
      <w:pPr>
        <w:spacing w:before="312" w:beforeLines="100" w:after="468" w:afterLines="1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同类业绩一览表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362"/>
        <w:gridCol w:w="1606"/>
        <w:gridCol w:w="1601"/>
        <w:gridCol w:w="1456"/>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378" w:type="pct"/>
            <w:noWrap w:val="0"/>
            <w:vAlign w:val="center"/>
          </w:tcPr>
          <w:p>
            <w:pPr>
              <w:spacing w:before="156" w:after="156" w:line="240" w:lineRule="exact"/>
              <w:jc w:val="center"/>
              <w:rPr>
                <w:rFonts w:hint="eastAsia" w:ascii="黑体" w:hAnsi="黑体" w:eastAsia="黑体"/>
                <w:b/>
                <w:bCs/>
                <w:sz w:val="22"/>
              </w:rPr>
            </w:pPr>
            <w:r>
              <w:rPr>
                <w:rFonts w:ascii="黑体" w:hAnsi="黑体" w:eastAsia="黑体"/>
                <w:b/>
                <w:bCs/>
                <w:sz w:val="22"/>
              </w:rPr>
              <w:t>序号</w:t>
            </w:r>
          </w:p>
        </w:tc>
        <w:tc>
          <w:tcPr>
            <w:tcW w:w="1347" w:type="pct"/>
            <w:noWrap w:val="0"/>
            <w:vAlign w:val="center"/>
          </w:tcPr>
          <w:p>
            <w:pPr>
              <w:spacing w:before="156" w:after="156" w:line="240" w:lineRule="exact"/>
              <w:jc w:val="center"/>
              <w:rPr>
                <w:rFonts w:hint="eastAsia" w:ascii="黑体" w:hAnsi="黑体" w:eastAsia="黑体"/>
                <w:b/>
                <w:bCs/>
                <w:sz w:val="22"/>
              </w:rPr>
            </w:pPr>
            <w:r>
              <w:rPr>
                <w:rFonts w:hint="eastAsia" w:ascii="黑体" w:hAnsi="黑体" w:eastAsia="黑体"/>
                <w:b/>
                <w:bCs/>
                <w:sz w:val="22"/>
              </w:rPr>
              <w:t>项目名称</w:t>
            </w:r>
          </w:p>
        </w:tc>
        <w:tc>
          <w:tcPr>
            <w:tcW w:w="916" w:type="pct"/>
            <w:noWrap w:val="0"/>
            <w:vAlign w:val="center"/>
          </w:tcPr>
          <w:p>
            <w:pPr>
              <w:spacing w:before="156" w:after="156" w:line="240" w:lineRule="exact"/>
              <w:jc w:val="center"/>
              <w:rPr>
                <w:rFonts w:hint="eastAsia" w:ascii="黑体" w:hAnsi="黑体" w:eastAsia="黑体"/>
                <w:b/>
                <w:bCs/>
                <w:sz w:val="22"/>
              </w:rPr>
            </w:pPr>
            <w:r>
              <w:rPr>
                <w:rFonts w:hint="eastAsia" w:ascii="黑体" w:hAnsi="黑体" w:eastAsia="黑体"/>
                <w:b/>
                <w:bCs/>
                <w:sz w:val="22"/>
              </w:rPr>
              <w:t>合同金额</w:t>
            </w:r>
          </w:p>
        </w:tc>
        <w:tc>
          <w:tcPr>
            <w:tcW w:w="913" w:type="pct"/>
            <w:noWrap w:val="0"/>
            <w:vAlign w:val="center"/>
          </w:tcPr>
          <w:p>
            <w:pPr>
              <w:spacing w:before="156" w:after="156" w:line="240" w:lineRule="exact"/>
              <w:jc w:val="center"/>
              <w:rPr>
                <w:rFonts w:hint="eastAsia" w:ascii="黑体" w:hAnsi="黑体" w:eastAsia="黑体"/>
                <w:b/>
                <w:bCs/>
                <w:sz w:val="22"/>
              </w:rPr>
            </w:pPr>
            <w:r>
              <w:rPr>
                <w:rFonts w:hint="eastAsia" w:ascii="黑体" w:hAnsi="黑体" w:eastAsia="黑体"/>
                <w:b/>
                <w:bCs/>
                <w:sz w:val="22"/>
              </w:rPr>
              <w:t>签约时间</w:t>
            </w:r>
          </w:p>
        </w:tc>
        <w:tc>
          <w:tcPr>
            <w:tcW w:w="830" w:type="pct"/>
            <w:noWrap w:val="0"/>
            <w:vAlign w:val="center"/>
          </w:tcPr>
          <w:p>
            <w:pPr>
              <w:spacing w:before="156" w:after="156" w:line="240" w:lineRule="exact"/>
              <w:jc w:val="center"/>
              <w:rPr>
                <w:rFonts w:hint="eastAsia" w:ascii="黑体" w:hAnsi="黑体" w:eastAsia="黑体"/>
                <w:b/>
                <w:bCs/>
                <w:sz w:val="22"/>
              </w:rPr>
            </w:pPr>
            <w:r>
              <w:rPr>
                <w:rFonts w:hint="eastAsia" w:ascii="黑体" w:hAnsi="黑体" w:eastAsia="黑体"/>
                <w:b/>
                <w:bCs/>
                <w:sz w:val="22"/>
              </w:rPr>
              <w:t>完成情况</w:t>
            </w:r>
          </w:p>
        </w:tc>
        <w:tc>
          <w:tcPr>
            <w:tcW w:w="615" w:type="pct"/>
            <w:noWrap w:val="0"/>
            <w:vAlign w:val="center"/>
          </w:tcPr>
          <w:p>
            <w:pPr>
              <w:spacing w:before="156" w:after="156" w:line="240" w:lineRule="exact"/>
              <w:jc w:val="center"/>
              <w:rPr>
                <w:rFonts w:hint="eastAsia" w:ascii="黑体" w:hAnsi="黑体" w:eastAsia="黑体"/>
                <w:b/>
                <w:bCs/>
                <w:sz w:val="22"/>
              </w:rPr>
            </w:pPr>
            <w:r>
              <w:rPr>
                <w:rFonts w:hint="eastAsia" w:ascii="黑体" w:hAnsi="黑体" w:eastAsia="黑体"/>
                <w:b/>
                <w:bCs/>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noWrap w:val="0"/>
            <w:vAlign w:val="center"/>
          </w:tcPr>
          <w:p>
            <w:pPr>
              <w:spacing w:before="156" w:after="156" w:line="240" w:lineRule="exact"/>
              <w:jc w:val="center"/>
              <w:rPr>
                <w:rFonts w:hint="eastAsia" w:ascii="黑体" w:hAnsi="黑体" w:eastAsia="黑体"/>
                <w:sz w:val="22"/>
              </w:rPr>
            </w:pPr>
          </w:p>
        </w:tc>
        <w:tc>
          <w:tcPr>
            <w:tcW w:w="1347" w:type="pct"/>
            <w:noWrap w:val="0"/>
            <w:vAlign w:val="center"/>
          </w:tcPr>
          <w:p>
            <w:pPr>
              <w:spacing w:before="156" w:after="156" w:line="240" w:lineRule="exact"/>
              <w:jc w:val="center"/>
              <w:rPr>
                <w:rFonts w:hint="eastAsia" w:ascii="黑体" w:hAnsi="黑体" w:eastAsia="黑体"/>
                <w:sz w:val="22"/>
              </w:rPr>
            </w:pPr>
          </w:p>
        </w:tc>
        <w:tc>
          <w:tcPr>
            <w:tcW w:w="916" w:type="pct"/>
            <w:noWrap w:val="0"/>
            <w:vAlign w:val="center"/>
          </w:tcPr>
          <w:p>
            <w:pPr>
              <w:spacing w:before="156" w:after="156" w:line="240" w:lineRule="exact"/>
              <w:jc w:val="center"/>
              <w:rPr>
                <w:rFonts w:hint="eastAsia" w:ascii="黑体" w:hAnsi="黑体" w:eastAsia="黑体"/>
                <w:sz w:val="22"/>
              </w:rPr>
            </w:pPr>
          </w:p>
        </w:tc>
        <w:tc>
          <w:tcPr>
            <w:tcW w:w="913" w:type="pct"/>
            <w:noWrap w:val="0"/>
            <w:vAlign w:val="center"/>
          </w:tcPr>
          <w:p>
            <w:pPr>
              <w:spacing w:before="156" w:after="156" w:line="240" w:lineRule="exact"/>
              <w:jc w:val="center"/>
              <w:rPr>
                <w:rFonts w:hint="eastAsia" w:ascii="黑体" w:hAnsi="黑体" w:eastAsia="黑体"/>
                <w:sz w:val="22"/>
              </w:rPr>
            </w:pPr>
          </w:p>
        </w:tc>
        <w:tc>
          <w:tcPr>
            <w:tcW w:w="830" w:type="pct"/>
            <w:noWrap w:val="0"/>
            <w:vAlign w:val="center"/>
          </w:tcPr>
          <w:p>
            <w:pPr>
              <w:spacing w:before="156" w:after="156" w:line="240" w:lineRule="exact"/>
              <w:jc w:val="center"/>
              <w:rPr>
                <w:rFonts w:hint="eastAsia" w:ascii="黑体" w:hAnsi="黑体" w:eastAsia="黑体"/>
                <w:sz w:val="22"/>
              </w:rPr>
            </w:pPr>
          </w:p>
        </w:tc>
        <w:tc>
          <w:tcPr>
            <w:tcW w:w="615" w:type="pct"/>
            <w:noWrap w:val="0"/>
            <w:vAlign w:val="center"/>
          </w:tcPr>
          <w:p>
            <w:pPr>
              <w:spacing w:before="156" w:after="156" w:line="240" w:lineRule="exact"/>
              <w:jc w:val="center"/>
              <w:rPr>
                <w:rFonts w:hint="eastAsia" w:ascii="黑体" w:hAnsi="黑体" w:eastAsia="黑体"/>
                <w:sz w:val="22"/>
              </w:rPr>
            </w:pPr>
          </w:p>
        </w:tc>
      </w:tr>
    </w:tbl>
    <w:p>
      <w:pPr>
        <w:spacing w:before="156" w:beforeLines="50" w:line="360" w:lineRule="auto"/>
        <w:rPr>
          <w:rFonts w:hint="eastAsia" w:ascii="黑体" w:hAnsi="黑体" w:eastAsia="黑体"/>
          <w:sz w:val="22"/>
        </w:rPr>
      </w:pPr>
      <w:r>
        <w:rPr>
          <w:rFonts w:hint="eastAsia" w:ascii="黑体" w:hAnsi="黑体" w:eastAsia="黑体"/>
          <w:sz w:val="22"/>
        </w:rPr>
        <w:t>注明：后附相关资料。需提供证明资料内容详见</w:t>
      </w:r>
      <w:r>
        <w:rPr>
          <w:rFonts w:hint="eastAsia" w:ascii="黑体" w:hAnsi="黑体" w:eastAsia="黑体"/>
          <w:sz w:val="22"/>
          <w:u w:val="single"/>
        </w:rPr>
        <w:t>（招标文件第五部分</w:t>
      </w:r>
      <w:r>
        <w:rPr>
          <w:rFonts w:ascii="黑体" w:hAnsi="黑体" w:eastAsia="黑体"/>
          <w:sz w:val="22"/>
          <w:u w:val="single"/>
        </w:rPr>
        <w:t xml:space="preserve"> </w:t>
      </w:r>
      <w:r>
        <w:rPr>
          <w:rFonts w:hint="eastAsia" w:ascii="黑体" w:hAnsi="黑体" w:eastAsia="黑体"/>
          <w:sz w:val="22"/>
          <w:u w:val="single"/>
        </w:rPr>
        <w:t>评标方法、步骤、标准之</w:t>
      </w:r>
      <w:r>
        <w:rPr>
          <w:rFonts w:hint="eastAsia" w:ascii="黑体" w:hAnsi="黑体" w:eastAsia="黑体"/>
          <w:kern w:val="0"/>
          <w:sz w:val="22"/>
          <w:u w:val="single"/>
        </w:rPr>
        <w:t>附表三</w:t>
      </w:r>
      <w:r>
        <w:rPr>
          <w:rFonts w:hint="eastAsia" w:ascii="黑体" w:hAnsi="黑体" w:eastAsia="黑体"/>
          <w:sz w:val="22"/>
          <w:u w:val="single"/>
        </w:rPr>
        <w:t>详细评审表相对应条款）</w:t>
      </w:r>
      <w:r>
        <w:rPr>
          <w:rFonts w:ascii="黑体" w:hAnsi="黑体" w:eastAsia="黑体"/>
          <w:sz w:val="22"/>
          <w:u w:val="single"/>
        </w:rPr>
        <w:t xml:space="preserve"> </w:t>
      </w:r>
      <w:r>
        <w:rPr>
          <w:rFonts w:hint="eastAsia" w:ascii="黑体" w:hAnsi="黑体" w:eastAsia="黑体"/>
          <w:sz w:val="22"/>
        </w:rPr>
        <w:t>。</w:t>
      </w: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353"/>
        <w:gridCol w:w="3175"/>
      </w:tblGrid>
      <w:tr>
        <w:tblPrEx>
          <w:tblCellMar>
            <w:top w:w="0" w:type="dxa"/>
            <w:left w:w="108" w:type="dxa"/>
            <w:bottom w:w="0" w:type="dxa"/>
            <w:right w:w="108" w:type="dxa"/>
          </w:tblCellMar>
        </w:tblPrEx>
        <w:tc>
          <w:tcPr>
            <w:tcW w:w="5353"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353"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pPr>
              <w:spacing w:line="360" w:lineRule="auto"/>
              <w:rPr>
                <w:rFonts w:hint="eastAsia" w:ascii="黑体" w:hAnsi="黑体" w:eastAsia="黑体"/>
                <w:sz w:val="22"/>
              </w:rPr>
            </w:pP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53" w:name="_Toc28816"/>
      <w:bookmarkStart w:id="154" w:name="_Toc17419"/>
      <w:r>
        <w:rPr>
          <w:rStyle w:val="40"/>
          <w:rFonts w:hint="eastAsia" w:ascii="黑体" w:hAnsi="黑体" w:eastAsia="黑体"/>
          <w:b/>
          <w:bCs/>
          <w:spacing w:val="12"/>
          <w:sz w:val="22"/>
          <w:szCs w:val="22"/>
        </w:rPr>
        <w:t>拟派人员情况一览表</w:t>
      </w:r>
      <w:bookmarkEnd w:id="153"/>
      <w:bookmarkEnd w:id="154"/>
    </w:p>
    <w:p>
      <w:pPr>
        <w:spacing w:before="624" w:beforeLines="200" w:after="312" w:afterLines="10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拟派人员情况一览表</w:t>
      </w:r>
    </w:p>
    <w:tbl>
      <w:tblPr>
        <w:tblStyle w:val="37"/>
        <w:tblpPr w:leftFromText="180" w:rightFromText="180" w:vertAnchor="text" w:tblpXSpec="center"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145"/>
        <w:gridCol w:w="1296"/>
        <w:gridCol w:w="1895"/>
        <w:gridCol w:w="1455"/>
        <w:gridCol w:w="1020"/>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16" w:type="pct"/>
            <w:noWrap w:val="0"/>
            <w:vAlign w:val="center"/>
          </w:tcPr>
          <w:p>
            <w:pPr>
              <w:jc w:val="center"/>
              <w:rPr>
                <w:rFonts w:hint="eastAsia" w:ascii="黑体" w:hAnsi="黑体" w:eastAsia="黑体"/>
                <w:b/>
                <w:bCs/>
                <w:sz w:val="22"/>
              </w:rPr>
            </w:pPr>
            <w:r>
              <w:rPr>
                <w:rFonts w:hint="eastAsia" w:ascii="黑体" w:hAnsi="黑体" w:eastAsia="黑体"/>
                <w:b/>
                <w:bCs/>
                <w:sz w:val="22"/>
              </w:rPr>
              <w:t>序号</w:t>
            </w:r>
          </w:p>
        </w:tc>
        <w:tc>
          <w:tcPr>
            <w:tcW w:w="653" w:type="pct"/>
            <w:noWrap w:val="0"/>
            <w:vAlign w:val="center"/>
          </w:tcPr>
          <w:p>
            <w:pPr>
              <w:jc w:val="center"/>
              <w:rPr>
                <w:rFonts w:hint="eastAsia" w:ascii="黑体" w:hAnsi="黑体" w:eastAsia="黑体"/>
                <w:b/>
                <w:bCs/>
                <w:sz w:val="22"/>
              </w:rPr>
            </w:pPr>
            <w:r>
              <w:rPr>
                <w:rFonts w:hint="eastAsia" w:ascii="黑体" w:hAnsi="黑体" w:eastAsia="黑体"/>
                <w:b/>
                <w:bCs/>
                <w:sz w:val="22"/>
              </w:rPr>
              <w:t>姓名</w:t>
            </w:r>
          </w:p>
        </w:tc>
        <w:tc>
          <w:tcPr>
            <w:tcW w:w="739" w:type="pct"/>
            <w:noWrap w:val="0"/>
            <w:vAlign w:val="center"/>
          </w:tcPr>
          <w:p>
            <w:pPr>
              <w:jc w:val="center"/>
              <w:rPr>
                <w:rFonts w:hint="eastAsia" w:ascii="黑体" w:hAnsi="黑体" w:eastAsia="黑体"/>
                <w:b/>
                <w:bCs/>
                <w:sz w:val="22"/>
              </w:rPr>
            </w:pPr>
            <w:r>
              <w:rPr>
                <w:rFonts w:hint="eastAsia" w:ascii="黑体" w:hAnsi="黑体" w:eastAsia="黑体"/>
                <w:b/>
                <w:bCs/>
                <w:sz w:val="22"/>
              </w:rPr>
              <w:t>职位</w:t>
            </w:r>
          </w:p>
        </w:tc>
        <w:tc>
          <w:tcPr>
            <w:tcW w:w="1081" w:type="pct"/>
            <w:noWrap w:val="0"/>
            <w:vAlign w:val="center"/>
          </w:tcPr>
          <w:p>
            <w:pPr>
              <w:jc w:val="center"/>
              <w:rPr>
                <w:rFonts w:hint="eastAsia" w:ascii="黑体" w:hAnsi="黑体" w:eastAsia="黑体"/>
                <w:b/>
                <w:bCs/>
                <w:sz w:val="22"/>
              </w:rPr>
            </w:pPr>
            <w:r>
              <w:rPr>
                <w:rFonts w:hint="eastAsia" w:ascii="黑体" w:hAnsi="黑体" w:eastAsia="黑体"/>
                <w:b/>
                <w:bCs/>
                <w:sz w:val="22"/>
              </w:rPr>
              <w:t>持何种资格证件</w:t>
            </w:r>
          </w:p>
        </w:tc>
        <w:tc>
          <w:tcPr>
            <w:tcW w:w="830" w:type="pct"/>
            <w:noWrap w:val="0"/>
            <w:vAlign w:val="center"/>
          </w:tcPr>
          <w:p>
            <w:pPr>
              <w:jc w:val="center"/>
              <w:rPr>
                <w:rFonts w:hint="eastAsia" w:ascii="黑体" w:hAnsi="黑体" w:eastAsia="黑体"/>
                <w:b/>
                <w:bCs/>
                <w:sz w:val="22"/>
              </w:rPr>
            </w:pPr>
            <w:r>
              <w:rPr>
                <w:rFonts w:hint="eastAsia" w:ascii="黑体" w:hAnsi="黑体" w:eastAsia="黑体"/>
                <w:b/>
                <w:bCs/>
                <w:sz w:val="22"/>
              </w:rPr>
              <w:t>发证时间</w:t>
            </w:r>
          </w:p>
        </w:tc>
        <w:tc>
          <w:tcPr>
            <w:tcW w:w="582" w:type="pct"/>
            <w:noWrap w:val="0"/>
            <w:vAlign w:val="center"/>
          </w:tcPr>
          <w:p>
            <w:pPr>
              <w:jc w:val="center"/>
              <w:rPr>
                <w:rFonts w:hint="eastAsia" w:ascii="黑体" w:hAnsi="黑体" w:eastAsia="黑体"/>
                <w:b/>
                <w:bCs/>
                <w:sz w:val="22"/>
              </w:rPr>
            </w:pPr>
            <w:r>
              <w:rPr>
                <w:rFonts w:hint="eastAsia" w:ascii="黑体" w:hAnsi="黑体" w:eastAsia="黑体"/>
                <w:b/>
                <w:bCs/>
                <w:sz w:val="22"/>
              </w:rPr>
              <w:t>学历</w:t>
            </w:r>
          </w:p>
        </w:tc>
        <w:tc>
          <w:tcPr>
            <w:tcW w:w="699" w:type="pct"/>
            <w:noWrap w:val="0"/>
            <w:vAlign w:val="center"/>
          </w:tcPr>
          <w:p>
            <w:pPr>
              <w:jc w:val="center"/>
              <w:rPr>
                <w:rFonts w:hint="eastAsia" w:ascii="黑体" w:hAnsi="黑体" w:eastAsia="黑体"/>
                <w:b/>
                <w:bCs/>
                <w:sz w:val="22"/>
              </w:rPr>
            </w:pPr>
            <w:r>
              <w:rPr>
                <w:rFonts w:hint="eastAsia" w:ascii="黑体" w:hAnsi="黑体" w:eastAsia="黑体"/>
                <w:b/>
                <w:bCs/>
                <w:sz w:val="22"/>
              </w:rPr>
              <w:t>经验年限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widowControl/>
              <w:tabs>
                <w:tab w:val="right" w:leader="dot" w:pos="8302"/>
              </w:tabs>
              <w:spacing w:line="480" w:lineRule="auto"/>
              <w:jc w:val="center"/>
              <w:rPr>
                <w:rFonts w:hint="eastAsia" w:ascii="黑体" w:hAnsi="黑体" w:eastAsia="黑体"/>
                <w:kern w:val="0"/>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widowControl/>
              <w:tabs>
                <w:tab w:val="right" w:leader="dot" w:pos="8302"/>
              </w:tabs>
              <w:spacing w:line="480" w:lineRule="auto"/>
              <w:jc w:val="center"/>
              <w:rPr>
                <w:rFonts w:hint="eastAsia" w:ascii="黑体" w:hAnsi="黑体" w:eastAsia="黑体"/>
                <w:kern w:val="0"/>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16" w:type="pct"/>
            <w:noWrap w:val="0"/>
            <w:vAlign w:val="center"/>
          </w:tcPr>
          <w:p>
            <w:pPr>
              <w:spacing w:line="480" w:lineRule="auto"/>
              <w:jc w:val="center"/>
              <w:rPr>
                <w:rFonts w:hint="eastAsia" w:ascii="黑体" w:hAnsi="黑体" w:eastAsia="黑体"/>
                <w:sz w:val="22"/>
              </w:rPr>
            </w:pPr>
          </w:p>
        </w:tc>
        <w:tc>
          <w:tcPr>
            <w:tcW w:w="653" w:type="pct"/>
            <w:noWrap w:val="0"/>
            <w:vAlign w:val="center"/>
          </w:tcPr>
          <w:p>
            <w:pPr>
              <w:spacing w:line="480" w:lineRule="auto"/>
              <w:jc w:val="center"/>
              <w:rPr>
                <w:rFonts w:hint="eastAsia" w:ascii="黑体" w:hAnsi="黑体" w:eastAsia="黑体"/>
                <w:sz w:val="22"/>
              </w:rPr>
            </w:pPr>
          </w:p>
        </w:tc>
        <w:tc>
          <w:tcPr>
            <w:tcW w:w="739" w:type="pct"/>
            <w:noWrap w:val="0"/>
            <w:vAlign w:val="center"/>
          </w:tcPr>
          <w:p>
            <w:pPr>
              <w:spacing w:line="480" w:lineRule="auto"/>
              <w:jc w:val="center"/>
              <w:rPr>
                <w:rFonts w:hint="eastAsia" w:ascii="黑体" w:hAnsi="黑体" w:eastAsia="黑体"/>
                <w:sz w:val="22"/>
              </w:rPr>
            </w:pPr>
          </w:p>
        </w:tc>
        <w:tc>
          <w:tcPr>
            <w:tcW w:w="1081" w:type="pct"/>
            <w:noWrap w:val="0"/>
            <w:vAlign w:val="center"/>
          </w:tcPr>
          <w:p>
            <w:pPr>
              <w:spacing w:line="480" w:lineRule="auto"/>
              <w:jc w:val="center"/>
              <w:rPr>
                <w:rFonts w:hint="eastAsia" w:ascii="黑体" w:hAnsi="黑体" w:eastAsia="黑体"/>
                <w:sz w:val="22"/>
              </w:rPr>
            </w:pPr>
          </w:p>
        </w:tc>
        <w:tc>
          <w:tcPr>
            <w:tcW w:w="830" w:type="pct"/>
            <w:noWrap w:val="0"/>
            <w:vAlign w:val="top"/>
          </w:tcPr>
          <w:p>
            <w:pPr>
              <w:spacing w:line="480" w:lineRule="auto"/>
              <w:jc w:val="center"/>
              <w:rPr>
                <w:rFonts w:hint="eastAsia" w:ascii="黑体" w:hAnsi="黑体" w:eastAsia="黑体"/>
                <w:sz w:val="22"/>
              </w:rPr>
            </w:pPr>
          </w:p>
        </w:tc>
        <w:tc>
          <w:tcPr>
            <w:tcW w:w="582" w:type="pct"/>
            <w:noWrap w:val="0"/>
            <w:vAlign w:val="center"/>
          </w:tcPr>
          <w:p>
            <w:pPr>
              <w:spacing w:line="480" w:lineRule="auto"/>
              <w:jc w:val="center"/>
              <w:rPr>
                <w:rFonts w:hint="eastAsia" w:ascii="黑体" w:hAnsi="黑体" w:eastAsia="黑体"/>
                <w:sz w:val="22"/>
              </w:rPr>
            </w:pPr>
          </w:p>
        </w:tc>
        <w:tc>
          <w:tcPr>
            <w:tcW w:w="699" w:type="pct"/>
            <w:noWrap w:val="0"/>
            <w:vAlign w:val="top"/>
          </w:tcPr>
          <w:p>
            <w:pPr>
              <w:spacing w:line="480" w:lineRule="auto"/>
              <w:jc w:val="center"/>
              <w:rPr>
                <w:rFonts w:hint="eastAsia" w:ascii="黑体" w:hAnsi="黑体" w:eastAsia="黑体"/>
                <w:sz w:val="22"/>
              </w:rPr>
            </w:pPr>
          </w:p>
        </w:tc>
      </w:tr>
    </w:tbl>
    <w:p>
      <w:pPr>
        <w:pStyle w:val="3"/>
        <w:overflowPunct w:val="0"/>
        <w:spacing w:before="156" w:beforeLines="50" w:after="0" w:line="360" w:lineRule="auto"/>
        <w:rPr>
          <w:rFonts w:hint="eastAsia" w:ascii="黑体" w:hAnsi="黑体" w:eastAsia="黑体"/>
          <w:sz w:val="22"/>
          <w:szCs w:val="22"/>
        </w:rPr>
      </w:pPr>
    </w:p>
    <w:p>
      <w:pPr>
        <w:pStyle w:val="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注明：后附相关资料。需提供证明资料内容详见</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w:t>
      </w: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p>
      <w:pPr>
        <w:spacing w:line="360" w:lineRule="auto"/>
        <w:rPr>
          <w:rFonts w:hint="eastAsia" w:ascii="黑体" w:hAnsi="黑体" w:eastAsia="黑体"/>
          <w:sz w:val="22"/>
          <w:szCs w:val="24"/>
        </w:rPr>
      </w:pPr>
    </w:p>
    <w:tbl>
      <w:tblPr>
        <w:tblStyle w:val="37"/>
        <w:tblW w:w="0" w:type="auto"/>
        <w:tblInd w:w="0" w:type="dxa"/>
        <w:tblLayout w:type="autofit"/>
        <w:tblCellMar>
          <w:top w:w="0" w:type="dxa"/>
          <w:left w:w="108" w:type="dxa"/>
          <w:bottom w:w="0" w:type="dxa"/>
          <w:right w:w="108" w:type="dxa"/>
        </w:tblCellMar>
      </w:tblPr>
      <w:tblGrid>
        <w:gridCol w:w="5353"/>
        <w:gridCol w:w="3175"/>
      </w:tblGrid>
      <w:tr>
        <w:tblPrEx>
          <w:tblCellMar>
            <w:top w:w="0" w:type="dxa"/>
            <w:left w:w="108" w:type="dxa"/>
            <w:bottom w:w="0" w:type="dxa"/>
            <w:right w:w="108" w:type="dxa"/>
          </w:tblCellMar>
        </w:tblPrEx>
        <w:tc>
          <w:tcPr>
            <w:tcW w:w="5353"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353"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pPr>
              <w:spacing w:line="360" w:lineRule="auto"/>
              <w:rPr>
                <w:rFonts w:hint="eastAsia" w:ascii="黑体" w:hAnsi="黑体" w:eastAsia="黑体"/>
                <w:sz w:val="22"/>
              </w:rPr>
            </w:pPr>
          </w:p>
        </w:tc>
      </w:tr>
    </w:tbl>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55" w:name="_Toc13679"/>
      <w:bookmarkStart w:id="156" w:name="_Toc32761"/>
      <w:bookmarkStart w:id="157" w:name="_Toc391627771"/>
      <w:bookmarkStart w:id="158" w:name="_Toc405313975"/>
      <w:r>
        <w:rPr>
          <w:rStyle w:val="40"/>
          <w:rFonts w:hint="eastAsia" w:ascii="黑体" w:hAnsi="黑体" w:eastAsia="黑体"/>
          <w:b/>
          <w:bCs/>
          <w:spacing w:val="12"/>
          <w:sz w:val="22"/>
          <w:szCs w:val="22"/>
        </w:rPr>
        <w:t>项目负责人简历表</w:t>
      </w:r>
      <w:bookmarkEnd w:id="155"/>
      <w:bookmarkEnd w:id="156"/>
      <w:bookmarkEnd w:id="157"/>
      <w:bookmarkEnd w:id="158"/>
    </w:p>
    <w:p>
      <w:pPr>
        <w:spacing w:before="624" w:beforeLines="200" w:after="312" w:afterLines="10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项目负责人简历表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746"/>
        <w:gridCol w:w="1361"/>
        <w:gridCol w:w="326"/>
        <w:gridCol w:w="184"/>
        <w:gridCol w:w="842"/>
        <w:gridCol w:w="544"/>
        <w:gridCol w:w="14"/>
        <w:gridCol w:w="1129"/>
        <w:gridCol w:w="435"/>
        <w:gridCol w:w="647"/>
        <w:gridCol w:w="409"/>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19" w:type="pct"/>
            <w:noWrap w:val="0"/>
            <w:vAlign w:val="center"/>
          </w:tcPr>
          <w:p>
            <w:pPr>
              <w:jc w:val="center"/>
              <w:rPr>
                <w:rFonts w:hint="eastAsia" w:ascii="黑体" w:hAnsi="黑体" w:eastAsia="黑体"/>
                <w:sz w:val="22"/>
              </w:rPr>
            </w:pPr>
            <w:r>
              <w:rPr>
                <w:rFonts w:hint="eastAsia" w:ascii="黑体" w:hAnsi="黑体" w:eastAsia="黑体"/>
                <w:sz w:val="22"/>
              </w:rPr>
              <w:t>姓名</w:t>
            </w:r>
          </w:p>
        </w:tc>
        <w:tc>
          <w:tcPr>
            <w:tcW w:w="1493" w:type="pct"/>
            <w:gridSpan w:val="4"/>
            <w:noWrap w:val="0"/>
            <w:vAlign w:val="center"/>
          </w:tcPr>
          <w:p>
            <w:pPr>
              <w:jc w:val="center"/>
              <w:rPr>
                <w:rFonts w:hint="eastAsia" w:ascii="黑体" w:hAnsi="黑体" w:eastAsia="黑体"/>
                <w:sz w:val="22"/>
              </w:rPr>
            </w:pPr>
          </w:p>
        </w:tc>
        <w:tc>
          <w:tcPr>
            <w:tcW w:w="480" w:type="pct"/>
            <w:noWrap w:val="0"/>
            <w:vAlign w:val="center"/>
          </w:tcPr>
          <w:p>
            <w:pPr>
              <w:jc w:val="center"/>
              <w:rPr>
                <w:rFonts w:hint="eastAsia" w:ascii="黑体" w:hAnsi="黑体" w:eastAsia="黑体"/>
                <w:sz w:val="22"/>
              </w:rPr>
            </w:pPr>
            <w:r>
              <w:rPr>
                <w:rFonts w:hint="eastAsia" w:ascii="黑体" w:hAnsi="黑体" w:eastAsia="黑体"/>
                <w:sz w:val="22"/>
              </w:rPr>
              <w:t>性别</w:t>
            </w:r>
          </w:p>
        </w:tc>
        <w:tc>
          <w:tcPr>
            <w:tcW w:w="962" w:type="pct"/>
            <w:gridSpan w:val="3"/>
            <w:noWrap w:val="0"/>
            <w:vAlign w:val="center"/>
          </w:tcPr>
          <w:p>
            <w:pPr>
              <w:jc w:val="center"/>
              <w:rPr>
                <w:rFonts w:hint="eastAsia" w:ascii="黑体" w:hAnsi="黑体" w:eastAsia="黑体"/>
                <w:sz w:val="22"/>
              </w:rPr>
            </w:pPr>
          </w:p>
        </w:tc>
        <w:tc>
          <w:tcPr>
            <w:tcW w:w="617" w:type="pct"/>
            <w:gridSpan w:val="2"/>
            <w:noWrap w:val="0"/>
            <w:vAlign w:val="center"/>
          </w:tcPr>
          <w:p>
            <w:pPr>
              <w:jc w:val="center"/>
              <w:rPr>
                <w:rFonts w:hint="eastAsia" w:ascii="黑体" w:hAnsi="黑体" w:eastAsia="黑体"/>
                <w:sz w:val="22"/>
              </w:rPr>
            </w:pPr>
            <w:r>
              <w:rPr>
                <w:rFonts w:hint="eastAsia" w:ascii="黑体" w:hAnsi="黑体" w:eastAsia="黑体"/>
                <w:sz w:val="22"/>
              </w:rPr>
              <w:t>年龄</w:t>
            </w:r>
          </w:p>
        </w:tc>
        <w:tc>
          <w:tcPr>
            <w:tcW w:w="1030" w:type="pct"/>
            <w:gridSpan w:val="2"/>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19" w:type="pct"/>
            <w:noWrap w:val="0"/>
            <w:vAlign w:val="center"/>
          </w:tcPr>
          <w:p>
            <w:pPr>
              <w:jc w:val="center"/>
              <w:rPr>
                <w:rFonts w:hint="eastAsia" w:ascii="黑体" w:hAnsi="黑体" w:eastAsia="黑体"/>
                <w:sz w:val="22"/>
              </w:rPr>
            </w:pPr>
            <w:r>
              <w:rPr>
                <w:rFonts w:hint="eastAsia" w:ascii="黑体" w:hAnsi="黑体" w:eastAsia="黑体"/>
                <w:sz w:val="22"/>
              </w:rPr>
              <w:t>职务</w:t>
            </w:r>
          </w:p>
        </w:tc>
        <w:tc>
          <w:tcPr>
            <w:tcW w:w="1493" w:type="pct"/>
            <w:gridSpan w:val="4"/>
            <w:noWrap w:val="0"/>
            <w:vAlign w:val="center"/>
          </w:tcPr>
          <w:p>
            <w:pPr>
              <w:jc w:val="center"/>
              <w:rPr>
                <w:rFonts w:hint="eastAsia" w:ascii="黑体" w:hAnsi="黑体" w:eastAsia="黑体"/>
                <w:sz w:val="22"/>
              </w:rPr>
            </w:pPr>
          </w:p>
        </w:tc>
        <w:tc>
          <w:tcPr>
            <w:tcW w:w="480" w:type="pct"/>
            <w:noWrap w:val="0"/>
            <w:vAlign w:val="center"/>
          </w:tcPr>
          <w:p>
            <w:pPr>
              <w:jc w:val="center"/>
              <w:rPr>
                <w:rFonts w:hint="eastAsia" w:ascii="黑体" w:hAnsi="黑体" w:eastAsia="黑体"/>
                <w:sz w:val="22"/>
              </w:rPr>
            </w:pPr>
            <w:r>
              <w:rPr>
                <w:rFonts w:hint="eastAsia" w:ascii="黑体" w:hAnsi="黑体" w:eastAsia="黑体"/>
                <w:sz w:val="22"/>
              </w:rPr>
              <w:t>职称</w:t>
            </w:r>
          </w:p>
        </w:tc>
        <w:tc>
          <w:tcPr>
            <w:tcW w:w="962" w:type="pct"/>
            <w:gridSpan w:val="3"/>
            <w:noWrap w:val="0"/>
            <w:vAlign w:val="center"/>
          </w:tcPr>
          <w:p>
            <w:pPr>
              <w:jc w:val="center"/>
              <w:rPr>
                <w:rFonts w:hint="eastAsia" w:ascii="黑体" w:hAnsi="黑体" w:eastAsia="黑体"/>
                <w:sz w:val="22"/>
              </w:rPr>
            </w:pPr>
          </w:p>
        </w:tc>
        <w:tc>
          <w:tcPr>
            <w:tcW w:w="617" w:type="pct"/>
            <w:gridSpan w:val="2"/>
            <w:noWrap w:val="0"/>
            <w:vAlign w:val="center"/>
          </w:tcPr>
          <w:p>
            <w:pPr>
              <w:jc w:val="center"/>
              <w:rPr>
                <w:rFonts w:hint="eastAsia" w:ascii="黑体" w:hAnsi="黑体" w:eastAsia="黑体"/>
                <w:sz w:val="22"/>
              </w:rPr>
            </w:pPr>
            <w:r>
              <w:rPr>
                <w:rFonts w:hint="eastAsia" w:ascii="黑体" w:hAnsi="黑体" w:eastAsia="黑体"/>
                <w:sz w:val="22"/>
              </w:rPr>
              <w:t>学历</w:t>
            </w:r>
          </w:p>
        </w:tc>
        <w:tc>
          <w:tcPr>
            <w:tcW w:w="1030" w:type="pct"/>
            <w:gridSpan w:val="2"/>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21" w:type="pct"/>
            <w:gridSpan w:val="3"/>
            <w:noWrap w:val="0"/>
            <w:vAlign w:val="center"/>
          </w:tcPr>
          <w:p>
            <w:pPr>
              <w:jc w:val="center"/>
              <w:rPr>
                <w:rFonts w:hint="eastAsia" w:ascii="黑体" w:hAnsi="黑体" w:eastAsia="黑体"/>
                <w:sz w:val="22"/>
              </w:rPr>
            </w:pPr>
            <w:r>
              <w:rPr>
                <w:rFonts w:hint="eastAsia" w:ascii="黑体" w:hAnsi="黑体" w:eastAsia="黑体"/>
                <w:sz w:val="22"/>
              </w:rPr>
              <w:t>参加工作时间</w:t>
            </w:r>
          </w:p>
        </w:tc>
        <w:tc>
          <w:tcPr>
            <w:tcW w:w="1081" w:type="pct"/>
            <w:gridSpan w:val="4"/>
            <w:noWrap w:val="0"/>
            <w:vAlign w:val="center"/>
          </w:tcPr>
          <w:p>
            <w:pPr>
              <w:jc w:val="center"/>
              <w:rPr>
                <w:rFonts w:hint="eastAsia" w:ascii="黑体" w:hAnsi="黑体" w:eastAsia="黑体"/>
                <w:sz w:val="22"/>
              </w:rPr>
            </w:pPr>
          </w:p>
        </w:tc>
        <w:tc>
          <w:tcPr>
            <w:tcW w:w="1502" w:type="pct"/>
            <w:gridSpan w:val="5"/>
            <w:noWrap w:val="0"/>
            <w:vAlign w:val="center"/>
          </w:tcPr>
          <w:p>
            <w:pPr>
              <w:jc w:val="center"/>
              <w:rPr>
                <w:rFonts w:hint="eastAsia" w:ascii="黑体" w:hAnsi="黑体" w:eastAsia="黑体"/>
                <w:sz w:val="22"/>
              </w:rPr>
            </w:pPr>
            <w:r>
              <w:rPr>
                <w:rFonts w:hint="eastAsia" w:ascii="黑体" w:hAnsi="黑体" w:eastAsia="黑体"/>
                <w:sz w:val="22"/>
              </w:rPr>
              <w:t>相关经验年限</w:t>
            </w:r>
          </w:p>
        </w:tc>
        <w:tc>
          <w:tcPr>
            <w:tcW w:w="796" w:type="pct"/>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21" w:type="pct"/>
            <w:gridSpan w:val="3"/>
            <w:noWrap w:val="0"/>
            <w:vAlign w:val="center"/>
          </w:tcPr>
          <w:p>
            <w:pPr>
              <w:jc w:val="center"/>
              <w:rPr>
                <w:rFonts w:hint="eastAsia" w:ascii="黑体" w:hAnsi="黑体" w:eastAsia="黑体"/>
                <w:sz w:val="22"/>
              </w:rPr>
            </w:pPr>
            <w:r>
              <w:rPr>
                <w:rFonts w:hint="eastAsia" w:ascii="黑体" w:hAnsi="黑体" w:eastAsia="黑体"/>
                <w:sz w:val="22"/>
              </w:rPr>
              <w:t>资格证书名称、编号</w:t>
            </w:r>
          </w:p>
        </w:tc>
        <w:tc>
          <w:tcPr>
            <w:tcW w:w="3379" w:type="pct"/>
            <w:gridSpan w:val="10"/>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000" w:type="pct"/>
            <w:gridSpan w:val="13"/>
            <w:noWrap w:val="0"/>
            <w:vAlign w:val="center"/>
          </w:tcPr>
          <w:p>
            <w:pPr>
              <w:jc w:val="center"/>
              <w:rPr>
                <w:rFonts w:hint="eastAsia" w:ascii="黑体" w:hAnsi="黑体" w:eastAsia="黑体"/>
                <w:sz w:val="22"/>
              </w:rPr>
            </w:pPr>
            <w:r>
              <w:rPr>
                <w:rFonts w:hint="eastAsia" w:ascii="黑体" w:hAnsi="黑体" w:eastAsia="黑体"/>
                <w:sz w:val="22"/>
              </w:rPr>
              <w:t>目前在任及以往服务项目情况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5" w:type="pct"/>
            <w:gridSpan w:val="2"/>
            <w:noWrap w:val="0"/>
            <w:vAlign w:val="center"/>
          </w:tcPr>
          <w:p>
            <w:pPr>
              <w:jc w:val="center"/>
              <w:rPr>
                <w:rFonts w:hint="eastAsia" w:ascii="黑体" w:hAnsi="黑体" w:eastAsia="黑体"/>
                <w:sz w:val="22"/>
              </w:rPr>
            </w:pPr>
            <w:r>
              <w:rPr>
                <w:rFonts w:hint="eastAsia" w:ascii="黑体" w:hAnsi="黑体" w:eastAsia="黑体"/>
                <w:sz w:val="22"/>
              </w:rPr>
              <w:t>采购人</w:t>
            </w:r>
          </w:p>
        </w:tc>
        <w:tc>
          <w:tcPr>
            <w:tcW w:w="962" w:type="pct"/>
            <w:gridSpan w:val="2"/>
            <w:noWrap w:val="0"/>
            <w:vAlign w:val="center"/>
          </w:tcPr>
          <w:p>
            <w:pPr>
              <w:jc w:val="center"/>
              <w:rPr>
                <w:rFonts w:hint="eastAsia" w:ascii="黑体" w:hAnsi="黑体" w:eastAsia="黑体"/>
                <w:sz w:val="22"/>
              </w:rPr>
            </w:pPr>
            <w:r>
              <w:rPr>
                <w:rFonts w:hint="eastAsia" w:ascii="黑体" w:hAnsi="黑体" w:eastAsia="黑体"/>
                <w:sz w:val="22"/>
              </w:rPr>
              <w:t>项目名称</w:t>
            </w:r>
          </w:p>
        </w:tc>
        <w:tc>
          <w:tcPr>
            <w:tcW w:w="903" w:type="pct"/>
            <w:gridSpan w:val="4"/>
            <w:noWrap w:val="0"/>
            <w:vAlign w:val="center"/>
          </w:tcPr>
          <w:p>
            <w:pPr>
              <w:jc w:val="center"/>
              <w:rPr>
                <w:rFonts w:hint="eastAsia" w:ascii="黑体" w:hAnsi="黑体" w:eastAsia="黑体"/>
                <w:sz w:val="22"/>
              </w:rPr>
            </w:pPr>
            <w:r>
              <w:rPr>
                <w:rFonts w:hint="eastAsia" w:ascii="黑体" w:hAnsi="黑体" w:eastAsia="黑体"/>
                <w:sz w:val="22"/>
              </w:rPr>
              <w:t>项目规模</w:t>
            </w:r>
          </w:p>
        </w:tc>
        <w:tc>
          <w:tcPr>
            <w:tcW w:w="892" w:type="pct"/>
            <w:gridSpan w:val="2"/>
            <w:noWrap w:val="0"/>
            <w:vAlign w:val="center"/>
          </w:tcPr>
          <w:p>
            <w:pPr>
              <w:jc w:val="center"/>
              <w:rPr>
                <w:rFonts w:hint="eastAsia" w:ascii="黑体" w:hAnsi="黑体" w:eastAsia="黑体"/>
                <w:sz w:val="22"/>
              </w:rPr>
            </w:pPr>
            <w:r>
              <w:rPr>
                <w:rFonts w:hint="eastAsia" w:ascii="黑体" w:hAnsi="黑体" w:eastAsia="黑体"/>
                <w:sz w:val="22"/>
              </w:rPr>
              <w:t>所任职务</w:t>
            </w:r>
          </w:p>
        </w:tc>
        <w:tc>
          <w:tcPr>
            <w:tcW w:w="1399" w:type="pct"/>
            <w:gridSpan w:val="3"/>
            <w:noWrap w:val="0"/>
            <w:vAlign w:val="center"/>
          </w:tcPr>
          <w:p>
            <w:pPr>
              <w:jc w:val="center"/>
              <w:rPr>
                <w:rFonts w:hint="eastAsia" w:ascii="黑体" w:hAnsi="黑体" w:eastAsia="黑体"/>
                <w:sz w:val="22"/>
              </w:rPr>
            </w:pPr>
            <w:r>
              <w:rPr>
                <w:rFonts w:hint="eastAsia" w:ascii="黑体" w:hAnsi="黑体" w:eastAsia="黑体"/>
                <w:sz w:val="22"/>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pPr>
              <w:jc w:val="center"/>
              <w:rPr>
                <w:rFonts w:hint="eastAsia" w:ascii="黑体" w:hAnsi="黑体" w:eastAsia="黑体"/>
                <w:sz w:val="22"/>
              </w:rPr>
            </w:pPr>
          </w:p>
        </w:tc>
        <w:tc>
          <w:tcPr>
            <w:tcW w:w="962" w:type="pct"/>
            <w:gridSpan w:val="2"/>
            <w:noWrap w:val="0"/>
            <w:vAlign w:val="center"/>
          </w:tcPr>
          <w:p>
            <w:pPr>
              <w:jc w:val="center"/>
              <w:rPr>
                <w:rFonts w:hint="eastAsia" w:ascii="黑体" w:hAnsi="黑体" w:eastAsia="黑体"/>
                <w:sz w:val="22"/>
              </w:rPr>
            </w:pPr>
          </w:p>
        </w:tc>
        <w:tc>
          <w:tcPr>
            <w:tcW w:w="903" w:type="pct"/>
            <w:gridSpan w:val="4"/>
            <w:noWrap w:val="0"/>
            <w:vAlign w:val="center"/>
          </w:tcPr>
          <w:p>
            <w:pPr>
              <w:jc w:val="center"/>
              <w:rPr>
                <w:rFonts w:hint="eastAsia" w:ascii="黑体" w:hAnsi="黑体" w:eastAsia="黑体"/>
                <w:sz w:val="22"/>
              </w:rPr>
            </w:pPr>
          </w:p>
        </w:tc>
        <w:tc>
          <w:tcPr>
            <w:tcW w:w="892" w:type="pct"/>
            <w:gridSpan w:val="2"/>
            <w:noWrap w:val="0"/>
            <w:vAlign w:val="center"/>
          </w:tcPr>
          <w:p>
            <w:pPr>
              <w:jc w:val="center"/>
              <w:rPr>
                <w:rFonts w:hint="eastAsia" w:ascii="黑体" w:hAnsi="黑体" w:eastAsia="黑体"/>
                <w:sz w:val="22"/>
              </w:rPr>
            </w:pPr>
          </w:p>
        </w:tc>
        <w:tc>
          <w:tcPr>
            <w:tcW w:w="1399" w:type="pct"/>
            <w:gridSpan w:val="3"/>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pPr>
              <w:jc w:val="center"/>
              <w:rPr>
                <w:rFonts w:hint="eastAsia" w:ascii="黑体" w:hAnsi="黑体" w:eastAsia="黑体"/>
                <w:sz w:val="22"/>
              </w:rPr>
            </w:pPr>
          </w:p>
        </w:tc>
        <w:tc>
          <w:tcPr>
            <w:tcW w:w="962" w:type="pct"/>
            <w:gridSpan w:val="2"/>
            <w:noWrap w:val="0"/>
            <w:vAlign w:val="center"/>
          </w:tcPr>
          <w:p>
            <w:pPr>
              <w:jc w:val="center"/>
              <w:rPr>
                <w:rFonts w:hint="eastAsia" w:ascii="黑体" w:hAnsi="黑体" w:eastAsia="黑体"/>
                <w:sz w:val="22"/>
              </w:rPr>
            </w:pPr>
          </w:p>
        </w:tc>
        <w:tc>
          <w:tcPr>
            <w:tcW w:w="903" w:type="pct"/>
            <w:gridSpan w:val="4"/>
            <w:noWrap w:val="0"/>
            <w:vAlign w:val="center"/>
          </w:tcPr>
          <w:p>
            <w:pPr>
              <w:jc w:val="center"/>
              <w:rPr>
                <w:rFonts w:hint="eastAsia" w:ascii="黑体" w:hAnsi="黑体" w:eastAsia="黑体"/>
                <w:sz w:val="22"/>
              </w:rPr>
            </w:pPr>
          </w:p>
        </w:tc>
        <w:tc>
          <w:tcPr>
            <w:tcW w:w="892" w:type="pct"/>
            <w:gridSpan w:val="2"/>
            <w:noWrap w:val="0"/>
            <w:vAlign w:val="center"/>
          </w:tcPr>
          <w:p>
            <w:pPr>
              <w:jc w:val="center"/>
              <w:rPr>
                <w:rFonts w:hint="eastAsia" w:ascii="黑体" w:hAnsi="黑体" w:eastAsia="黑体"/>
                <w:sz w:val="22"/>
              </w:rPr>
            </w:pPr>
          </w:p>
        </w:tc>
        <w:tc>
          <w:tcPr>
            <w:tcW w:w="1399" w:type="pct"/>
            <w:gridSpan w:val="3"/>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pPr>
              <w:jc w:val="center"/>
              <w:rPr>
                <w:rFonts w:hint="eastAsia" w:ascii="黑体" w:hAnsi="黑体" w:eastAsia="黑体"/>
                <w:sz w:val="22"/>
              </w:rPr>
            </w:pPr>
          </w:p>
        </w:tc>
        <w:tc>
          <w:tcPr>
            <w:tcW w:w="962" w:type="pct"/>
            <w:gridSpan w:val="2"/>
            <w:noWrap w:val="0"/>
            <w:vAlign w:val="center"/>
          </w:tcPr>
          <w:p>
            <w:pPr>
              <w:jc w:val="center"/>
              <w:rPr>
                <w:rFonts w:hint="eastAsia" w:ascii="黑体" w:hAnsi="黑体" w:eastAsia="黑体"/>
                <w:sz w:val="22"/>
              </w:rPr>
            </w:pPr>
          </w:p>
        </w:tc>
        <w:tc>
          <w:tcPr>
            <w:tcW w:w="903" w:type="pct"/>
            <w:gridSpan w:val="4"/>
            <w:noWrap w:val="0"/>
            <w:vAlign w:val="center"/>
          </w:tcPr>
          <w:p>
            <w:pPr>
              <w:jc w:val="center"/>
              <w:rPr>
                <w:rFonts w:hint="eastAsia" w:ascii="黑体" w:hAnsi="黑体" w:eastAsia="黑体"/>
                <w:sz w:val="22"/>
              </w:rPr>
            </w:pPr>
          </w:p>
        </w:tc>
        <w:tc>
          <w:tcPr>
            <w:tcW w:w="892" w:type="pct"/>
            <w:gridSpan w:val="2"/>
            <w:noWrap w:val="0"/>
            <w:vAlign w:val="center"/>
          </w:tcPr>
          <w:p>
            <w:pPr>
              <w:jc w:val="center"/>
              <w:rPr>
                <w:rFonts w:hint="eastAsia" w:ascii="黑体" w:hAnsi="黑体" w:eastAsia="黑体"/>
                <w:sz w:val="22"/>
              </w:rPr>
            </w:pPr>
          </w:p>
        </w:tc>
        <w:tc>
          <w:tcPr>
            <w:tcW w:w="1399" w:type="pct"/>
            <w:gridSpan w:val="3"/>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pPr>
              <w:jc w:val="center"/>
              <w:rPr>
                <w:rFonts w:hint="eastAsia" w:ascii="黑体" w:hAnsi="黑体" w:eastAsia="黑体"/>
                <w:sz w:val="22"/>
              </w:rPr>
            </w:pPr>
          </w:p>
        </w:tc>
        <w:tc>
          <w:tcPr>
            <w:tcW w:w="962" w:type="pct"/>
            <w:gridSpan w:val="2"/>
            <w:noWrap w:val="0"/>
            <w:vAlign w:val="center"/>
          </w:tcPr>
          <w:p>
            <w:pPr>
              <w:jc w:val="center"/>
              <w:rPr>
                <w:rFonts w:hint="eastAsia" w:ascii="黑体" w:hAnsi="黑体" w:eastAsia="黑体"/>
                <w:sz w:val="22"/>
              </w:rPr>
            </w:pPr>
          </w:p>
        </w:tc>
        <w:tc>
          <w:tcPr>
            <w:tcW w:w="903" w:type="pct"/>
            <w:gridSpan w:val="4"/>
            <w:noWrap w:val="0"/>
            <w:vAlign w:val="center"/>
          </w:tcPr>
          <w:p>
            <w:pPr>
              <w:jc w:val="center"/>
              <w:rPr>
                <w:rFonts w:hint="eastAsia" w:ascii="黑体" w:hAnsi="黑体" w:eastAsia="黑体"/>
                <w:sz w:val="22"/>
              </w:rPr>
            </w:pPr>
          </w:p>
        </w:tc>
        <w:tc>
          <w:tcPr>
            <w:tcW w:w="892" w:type="pct"/>
            <w:gridSpan w:val="2"/>
            <w:noWrap w:val="0"/>
            <w:vAlign w:val="center"/>
          </w:tcPr>
          <w:p>
            <w:pPr>
              <w:jc w:val="center"/>
              <w:rPr>
                <w:rFonts w:hint="eastAsia" w:ascii="黑体" w:hAnsi="黑体" w:eastAsia="黑体"/>
                <w:sz w:val="22"/>
              </w:rPr>
            </w:pPr>
          </w:p>
        </w:tc>
        <w:tc>
          <w:tcPr>
            <w:tcW w:w="1399" w:type="pct"/>
            <w:gridSpan w:val="3"/>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5" w:type="pct"/>
            <w:gridSpan w:val="2"/>
            <w:noWrap w:val="0"/>
            <w:vAlign w:val="center"/>
          </w:tcPr>
          <w:p>
            <w:pPr>
              <w:jc w:val="center"/>
              <w:rPr>
                <w:rFonts w:hint="eastAsia" w:ascii="黑体" w:hAnsi="黑体" w:eastAsia="黑体"/>
                <w:sz w:val="22"/>
              </w:rPr>
            </w:pPr>
          </w:p>
        </w:tc>
        <w:tc>
          <w:tcPr>
            <w:tcW w:w="962" w:type="pct"/>
            <w:gridSpan w:val="2"/>
            <w:noWrap w:val="0"/>
            <w:vAlign w:val="center"/>
          </w:tcPr>
          <w:p>
            <w:pPr>
              <w:jc w:val="center"/>
              <w:rPr>
                <w:rFonts w:hint="eastAsia" w:ascii="黑体" w:hAnsi="黑体" w:eastAsia="黑体"/>
                <w:sz w:val="22"/>
              </w:rPr>
            </w:pPr>
          </w:p>
        </w:tc>
        <w:tc>
          <w:tcPr>
            <w:tcW w:w="903" w:type="pct"/>
            <w:gridSpan w:val="4"/>
            <w:noWrap w:val="0"/>
            <w:vAlign w:val="center"/>
          </w:tcPr>
          <w:p>
            <w:pPr>
              <w:jc w:val="center"/>
              <w:rPr>
                <w:rFonts w:hint="eastAsia" w:ascii="黑体" w:hAnsi="黑体" w:eastAsia="黑体"/>
                <w:sz w:val="22"/>
              </w:rPr>
            </w:pPr>
          </w:p>
        </w:tc>
        <w:tc>
          <w:tcPr>
            <w:tcW w:w="892" w:type="pct"/>
            <w:gridSpan w:val="2"/>
            <w:noWrap w:val="0"/>
            <w:vAlign w:val="center"/>
          </w:tcPr>
          <w:p>
            <w:pPr>
              <w:jc w:val="center"/>
              <w:rPr>
                <w:rFonts w:hint="eastAsia" w:ascii="黑体" w:hAnsi="黑体" w:eastAsia="黑体"/>
                <w:sz w:val="22"/>
              </w:rPr>
            </w:pPr>
          </w:p>
        </w:tc>
        <w:tc>
          <w:tcPr>
            <w:tcW w:w="1399" w:type="pct"/>
            <w:gridSpan w:val="3"/>
            <w:noWrap w:val="0"/>
            <w:vAlign w:val="center"/>
          </w:tcPr>
          <w:p>
            <w:pPr>
              <w:jc w:val="center"/>
              <w:rPr>
                <w:rFonts w:hint="eastAsia" w:ascii="黑体" w:hAnsi="黑体" w:eastAsia="黑体"/>
                <w:sz w:val="22"/>
              </w:rPr>
            </w:pPr>
          </w:p>
        </w:tc>
      </w:tr>
    </w:tbl>
    <w:p>
      <w:pPr>
        <w:pStyle w:val="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注明：后附相关资料。需提供证明资料内容详见</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w:t>
      </w: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825"/>
        <w:gridCol w:w="2703"/>
      </w:tblGrid>
      <w:tr>
        <w:tblPrEx>
          <w:tblCellMar>
            <w:top w:w="0" w:type="dxa"/>
            <w:left w:w="108" w:type="dxa"/>
            <w:bottom w:w="0" w:type="dxa"/>
            <w:right w:w="108" w:type="dxa"/>
          </w:tblCellMar>
        </w:tblPrEx>
        <w:tc>
          <w:tcPr>
            <w:tcW w:w="5825"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703"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825"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703" w:type="dxa"/>
            <w:noWrap w:val="0"/>
            <w:vAlign w:val="top"/>
          </w:tcPr>
          <w:p>
            <w:pPr>
              <w:spacing w:line="360" w:lineRule="auto"/>
              <w:rPr>
                <w:rFonts w:hint="eastAsia" w:ascii="黑体" w:hAnsi="黑体" w:eastAsia="黑体"/>
                <w:sz w:val="22"/>
              </w:rPr>
            </w:pPr>
          </w:p>
        </w:tc>
      </w:tr>
    </w:tbl>
    <w:p>
      <w:pPr>
        <w:spacing w:line="360" w:lineRule="auto"/>
        <w:rPr>
          <w:rFonts w:hint="eastAsia" w:ascii="黑体" w:hAnsi="黑体" w:eastAsia="黑体"/>
          <w:sz w:val="22"/>
        </w:rPr>
      </w:pPr>
    </w:p>
    <w:p>
      <w:pPr>
        <w:spacing w:line="360" w:lineRule="auto"/>
        <w:rPr>
          <w:rFonts w:hint="eastAsia" w:ascii="黑体" w:hAnsi="黑体" w:eastAsia="黑体"/>
          <w:sz w:val="22"/>
        </w:rPr>
      </w:pP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59" w:name="_Toc8076"/>
      <w:bookmarkStart w:id="160" w:name="_Toc26903"/>
      <w:bookmarkStart w:id="161" w:name="_Hlk82386912"/>
      <w:bookmarkStart w:id="162" w:name="_Toc494567328"/>
      <w:bookmarkStart w:id="163" w:name="_Toc391627770"/>
      <w:bookmarkStart w:id="164" w:name="_Toc405313974"/>
      <w:r>
        <w:rPr>
          <w:rStyle w:val="40"/>
          <w:rFonts w:hint="eastAsia" w:ascii="黑体" w:hAnsi="黑体" w:eastAsia="黑体"/>
          <w:b/>
          <w:bCs/>
          <w:spacing w:val="12"/>
          <w:sz w:val="22"/>
          <w:szCs w:val="22"/>
        </w:rPr>
        <w:t>合同条款响应表</w:t>
      </w:r>
      <w:bookmarkEnd w:id="159"/>
      <w:bookmarkEnd w:id="160"/>
    </w:p>
    <w:p>
      <w:pPr>
        <w:spacing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合同条款响应表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3300"/>
        <w:gridCol w:w="2185"/>
        <w:gridCol w:w="1308"/>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序号</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合同条款序号</w:t>
            </w:r>
          </w:p>
        </w:tc>
        <w:tc>
          <w:tcPr>
            <w:tcW w:w="1246"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条款内容</w:t>
            </w:r>
          </w:p>
        </w:tc>
        <w:tc>
          <w:tcPr>
            <w:tcW w:w="746"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是否响应</w:t>
            </w:r>
          </w:p>
        </w:tc>
        <w:tc>
          <w:tcPr>
            <w:tcW w:w="68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b/>
                <w:bCs/>
                <w:sz w:val="22"/>
              </w:rPr>
            </w:pPr>
            <w:r>
              <w:rPr>
                <w:rFonts w:hint="eastAsia" w:ascii="黑体" w:hAnsi="黑体" w:eastAsia="黑体"/>
                <w:b/>
                <w:bCs/>
                <w:sz w:val="22"/>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pStyle w:val="96"/>
              <w:keepNext w:val="0"/>
              <w:keepLines/>
              <w:adjustRightInd/>
              <w:spacing w:before="0" w:after="0" w:line="360" w:lineRule="auto"/>
              <w:outlineLvl w:val="0"/>
              <w:rPr>
                <w:rFonts w:hint="eastAsia" w:ascii="黑体" w:hAnsi="黑体" w:eastAsia="黑体"/>
                <w:spacing w:val="0"/>
                <w:kern w:val="2"/>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pStyle w:val="96"/>
              <w:keepNext w:val="0"/>
              <w:keepLines/>
              <w:adjustRightInd/>
              <w:spacing w:before="0" w:after="0" w:line="360" w:lineRule="auto"/>
              <w:outlineLvl w:val="0"/>
              <w:rPr>
                <w:rFonts w:hint="eastAsia" w:ascii="黑体" w:hAnsi="黑体" w:eastAsia="黑体"/>
                <w:spacing w:val="0"/>
                <w:kern w:val="2"/>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2</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pStyle w:val="96"/>
              <w:keepNext w:val="0"/>
              <w:keepLines/>
              <w:adjustRightInd/>
              <w:spacing w:before="0" w:after="0" w:line="360" w:lineRule="auto"/>
              <w:outlineLvl w:val="0"/>
              <w:rPr>
                <w:rFonts w:hint="eastAsia" w:ascii="黑体" w:hAnsi="黑体" w:eastAsia="黑体"/>
                <w:spacing w:val="0"/>
                <w:kern w:val="2"/>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pStyle w:val="96"/>
              <w:keepNext w:val="0"/>
              <w:keepLines/>
              <w:adjustRightInd/>
              <w:spacing w:before="0" w:after="0" w:line="360" w:lineRule="auto"/>
              <w:outlineLvl w:val="0"/>
              <w:rPr>
                <w:rFonts w:hint="eastAsia" w:ascii="黑体" w:hAnsi="黑体" w:eastAsia="黑体"/>
                <w:spacing w:val="0"/>
                <w:kern w:val="2"/>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3</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黑体" w:hAnsi="黑体" w:eastAsia="黑体"/>
                <w:sz w:val="22"/>
              </w:rPr>
            </w:pPr>
            <w:r>
              <w:rPr>
                <w:rFonts w:hint="eastAsia" w:ascii="黑体" w:hAnsi="黑体" w:eastAsia="黑体"/>
                <w:sz w:val="22"/>
              </w:rPr>
              <w:t xml:space="preserve">  4</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2"/>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2"/>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2"/>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2"/>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5</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i/>
                <w:iCs/>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6</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ind w:right="-35"/>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7</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8</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9</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10</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11</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12</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lang w:val="en-GB"/>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lang w:val="en-GB"/>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13</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hint="eastAsia" w:ascii="黑体" w:hAnsi="黑体" w:eastAsia="黑体"/>
                <w:sz w:val="22"/>
              </w:rPr>
              <w:t>14</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jc w:val="center"/>
              <w:outlineLvl w:val="0"/>
              <w:rPr>
                <w:rFonts w:hint="eastAsia" w:ascii="黑体" w:hAnsi="黑体" w:eastAsia="黑体"/>
                <w:sz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keepNext/>
              <w:keepLines/>
              <w:spacing w:line="360" w:lineRule="auto"/>
              <w:outlineLvl w:val="0"/>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黑体" w:hAnsi="黑体" w:eastAsia="黑体"/>
                <w:sz w:val="22"/>
              </w:rPr>
            </w:pPr>
            <w:r>
              <w:rPr>
                <w:rFonts w:ascii="黑体" w:hAnsi="黑体" w:eastAsia="黑体"/>
                <w:sz w:val="22"/>
              </w:rPr>
              <w:t>…</w:t>
            </w:r>
          </w:p>
        </w:tc>
        <w:tc>
          <w:tcPr>
            <w:tcW w:w="1882" w:type="pct"/>
            <w:tcBorders>
              <w:top w:val="single" w:color="auto" w:sz="4" w:space="0"/>
              <w:left w:val="single" w:color="auto" w:sz="4" w:space="0"/>
              <w:bottom w:val="single" w:color="auto" w:sz="4" w:space="0"/>
              <w:right w:val="single" w:color="auto" w:sz="4" w:space="0"/>
            </w:tcBorders>
            <w:noWrap w:val="0"/>
            <w:vAlign w:val="center"/>
          </w:tcPr>
          <w:p>
            <w:pPr>
              <w:pStyle w:val="28"/>
              <w:keepNext/>
              <w:keepLines/>
              <w:spacing w:line="360" w:lineRule="auto"/>
              <w:outlineLvl w:val="0"/>
              <w:rPr>
                <w:rFonts w:hint="eastAsia" w:ascii="黑体" w:hAnsi="黑体" w:eastAsia="黑体"/>
                <w:sz w:val="22"/>
                <w:szCs w:val="22"/>
              </w:rPr>
            </w:pPr>
          </w:p>
        </w:tc>
        <w:tc>
          <w:tcPr>
            <w:tcW w:w="1246" w:type="pct"/>
            <w:tcBorders>
              <w:top w:val="single" w:color="auto" w:sz="4" w:space="0"/>
              <w:left w:val="single" w:color="auto" w:sz="4" w:space="0"/>
              <w:bottom w:val="single" w:color="auto" w:sz="4" w:space="0"/>
              <w:right w:val="single" w:color="auto" w:sz="4" w:space="0"/>
            </w:tcBorders>
            <w:noWrap w:val="0"/>
            <w:vAlign w:val="center"/>
          </w:tcPr>
          <w:p>
            <w:pPr>
              <w:pStyle w:val="91"/>
              <w:keepNext/>
              <w:keepLines/>
              <w:spacing w:line="360" w:lineRule="auto"/>
              <w:outlineLvl w:val="0"/>
              <w:rPr>
                <w:rFonts w:hint="eastAsia" w:ascii="黑体" w:hAnsi="黑体" w:eastAsia="黑体"/>
                <w:color w:val="auto"/>
                <w:sz w:val="22"/>
                <w:szCs w:val="22"/>
              </w:rPr>
            </w:pPr>
          </w:p>
        </w:tc>
        <w:tc>
          <w:tcPr>
            <w:tcW w:w="746" w:type="pct"/>
            <w:tcBorders>
              <w:top w:val="single" w:color="auto" w:sz="4" w:space="0"/>
              <w:left w:val="single" w:color="auto" w:sz="4" w:space="0"/>
              <w:bottom w:val="single" w:color="auto" w:sz="4" w:space="0"/>
              <w:right w:val="single" w:color="auto" w:sz="4" w:space="0"/>
            </w:tcBorders>
            <w:noWrap w:val="0"/>
            <w:vAlign w:val="center"/>
          </w:tcPr>
          <w:p>
            <w:pPr>
              <w:pStyle w:val="91"/>
              <w:keepNext/>
              <w:keepLines/>
              <w:spacing w:line="360" w:lineRule="auto"/>
              <w:outlineLvl w:val="0"/>
              <w:rPr>
                <w:rFonts w:hint="eastAsia" w:ascii="黑体" w:hAnsi="黑体" w:eastAsia="黑体"/>
                <w:color w:val="auto"/>
                <w:sz w:val="22"/>
                <w:szCs w:val="22"/>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pStyle w:val="91"/>
              <w:keepNext/>
              <w:keepLines/>
              <w:spacing w:line="360" w:lineRule="auto"/>
              <w:outlineLvl w:val="0"/>
              <w:rPr>
                <w:rFonts w:hint="eastAsia" w:ascii="黑体" w:hAnsi="黑体" w:eastAsia="黑体"/>
                <w:color w:val="auto"/>
                <w:sz w:val="22"/>
                <w:szCs w:val="22"/>
              </w:rPr>
            </w:pPr>
          </w:p>
        </w:tc>
      </w:tr>
    </w:tbl>
    <w:p>
      <w:pPr>
        <w:spacing w:line="360" w:lineRule="auto"/>
        <w:rPr>
          <w:rFonts w:hint="eastAsia" w:ascii="黑体" w:hAnsi="黑体" w:eastAsia="黑体"/>
          <w:sz w:val="22"/>
        </w:rPr>
      </w:pPr>
      <w:r>
        <w:rPr>
          <w:rFonts w:hint="eastAsia" w:ascii="黑体" w:hAnsi="黑体" w:eastAsia="黑体"/>
          <w:sz w:val="22"/>
        </w:rPr>
        <w:t>注：1、请按照招标文件合同条款逐条列明合同条款响应情况；</w:t>
      </w:r>
    </w:p>
    <w:p>
      <w:pPr>
        <w:spacing w:line="360" w:lineRule="auto"/>
        <w:ind w:firstLine="444" w:firstLineChars="202"/>
        <w:rPr>
          <w:rFonts w:hint="eastAsia" w:ascii="黑体" w:hAnsi="黑体" w:eastAsia="黑体"/>
          <w:sz w:val="22"/>
        </w:rPr>
      </w:pPr>
      <w:r>
        <w:rPr>
          <w:rFonts w:hint="eastAsia" w:ascii="黑体" w:hAnsi="黑体" w:eastAsia="黑体"/>
          <w:sz w:val="22"/>
        </w:rPr>
        <w:t>2、“是否响应”一栏应按实填写，不填写则视为无偏离响应。</w:t>
      </w:r>
    </w:p>
    <w:p>
      <w:pPr>
        <w:spacing w:line="360" w:lineRule="auto"/>
        <w:ind w:firstLine="444" w:firstLineChars="202"/>
        <w:rPr>
          <w:rFonts w:hint="eastAsia" w:ascii="黑体" w:hAnsi="黑体" w:eastAsia="黑体"/>
          <w:sz w:val="22"/>
        </w:rPr>
      </w:pPr>
      <w:r>
        <w:rPr>
          <w:rFonts w:hint="eastAsia" w:ascii="黑体" w:hAnsi="黑体" w:eastAsia="黑体"/>
          <w:sz w:val="22"/>
        </w:rPr>
        <w:t>3、请在“偏离说明”栏内扼要说明偏离情况。</w:t>
      </w:r>
    </w:p>
    <w:p>
      <w:pPr>
        <w:spacing w:line="360" w:lineRule="auto"/>
        <w:ind w:firstLine="444" w:firstLineChars="202"/>
        <w:rPr>
          <w:rFonts w:hint="eastAsia" w:ascii="黑体" w:hAnsi="黑体" w:eastAsia="黑体"/>
          <w:sz w:val="22"/>
          <w:lang w:val="en-GB"/>
        </w:rPr>
      </w:pPr>
      <w:r>
        <w:rPr>
          <w:rFonts w:hint="eastAsia" w:ascii="黑体" w:hAnsi="黑体" w:eastAsia="黑体"/>
          <w:sz w:val="22"/>
        </w:rPr>
        <w:t>4、投标人响应合同条款应具体、明确，含糊不清、不确切或伪造、变造证明材料的，按照不完全响应或者完全不响应处理。构成提供虚假材料的，移送监管部门查处，并纳入采购人黑名单，不准参与采购人及下属单位项目。</w:t>
      </w: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353"/>
        <w:gridCol w:w="3175"/>
      </w:tblGrid>
      <w:tr>
        <w:tblPrEx>
          <w:tblCellMar>
            <w:top w:w="0" w:type="dxa"/>
            <w:left w:w="108" w:type="dxa"/>
            <w:bottom w:w="0" w:type="dxa"/>
            <w:right w:w="108" w:type="dxa"/>
          </w:tblCellMar>
        </w:tblPrEx>
        <w:tc>
          <w:tcPr>
            <w:tcW w:w="5353"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353"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pPr>
              <w:spacing w:line="360" w:lineRule="auto"/>
              <w:rPr>
                <w:rFonts w:hint="eastAsia" w:ascii="黑体" w:hAnsi="黑体" w:eastAsia="黑体"/>
                <w:sz w:val="22"/>
              </w:rPr>
            </w:pPr>
          </w:p>
        </w:tc>
      </w:tr>
    </w:tbl>
    <w:p>
      <w:pPr>
        <w:keepNext/>
        <w:keepLines/>
        <w:spacing w:line="377" w:lineRule="auto"/>
        <w:rPr>
          <w:sz w:val="22"/>
          <w:szCs w:val="24"/>
        </w:rPr>
      </w:pPr>
      <w:r>
        <w:rPr>
          <w:sz w:val="22"/>
          <w:szCs w:val="24"/>
        </w:rPr>
        <w:br w:type="page"/>
      </w:r>
    </w:p>
    <w:p>
      <w:pPr>
        <w:adjustRightInd w:val="0"/>
        <w:snapToGrid w:val="0"/>
        <w:spacing w:line="360" w:lineRule="auto"/>
        <w:rPr>
          <w:rFonts w:hint="eastAsia" w:ascii="黑体" w:hAnsi="黑体" w:eastAsia="黑体"/>
          <w:sz w:val="22"/>
        </w:rPr>
      </w:pPr>
      <w:r>
        <w:rPr>
          <w:rFonts w:hint="eastAsia" w:ascii="黑体" w:hAnsi="黑体" w:eastAsia="黑体"/>
          <w:sz w:val="22"/>
        </w:rPr>
        <w:t>请填写供应商（乙方）签订合同所需信息，</w:t>
      </w:r>
      <w:r>
        <w:rPr>
          <w:rFonts w:hint="eastAsia" w:ascii="黑体" w:hAnsi="黑体" w:eastAsia="黑体"/>
          <w:b/>
          <w:sz w:val="22"/>
        </w:rPr>
        <w:t>此表非常重要，请认真填写</w:t>
      </w:r>
      <w:r>
        <w:rPr>
          <w:rFonts w:hint="eastAsia" w:ascii="黑体" w:hAnsi="黑体" w:eastAsia="黑体"/>
          <w:sz w:val="22"/>
        </w:rPr>
        <w:t>。</w:t>
      </w:r>
    </w:p>
    <w:p>
      <w:pPr>
        <w:adjustRightInd w:val="0"/>
        <w:snapToGrid w:val="0"/>
        <w:spacing w:line="360" w:lineRule="auto"/>
        <w:rPr>
          <w:rFonts w:hint="eastAsia" w:ascii="黑体" w:hAnsi="黑体" w:eastAsia="黑体"/>
          <w:sz w:val="22"/>
        </w:rPr>
      </w:pPr>
    </w:p>
    <w:tbl>
      <w:tblPr>
        <w:tblStyle w:val="37"/>
        <w:tblW w:w="0" w:type="auto"/>
        <w:tblInd w:w="288" w:type="dxa"/>
        <w:tblLayout w:type="fixed"/>
        <w:tblCellMar>
          <w:top w:w="0" w:type="dxa"/>
          <w:left w:w="108" w:type="dxa"/>
          <w:bottom w:w="0" w:type="dxa"/>
          <w:right w:w="108" w:type="dxa"/>
        </w:tblCellMar>
      </w:tblPr>
      <w:tblGrid>
        <w:gridCol w:w="8804"/>
      </w:tblGrid>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乙方（盖章）：</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法定代表人：</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乙方代表（签字）：</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地址：</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邮政编码：</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电话：</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传真：</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开户银行：</w:t>
            </w:r>
          </w:p>
        </w:tc>
      </w:tr>
      <w:tr>
        <w:tblPrEx>
          <w:tblCellMar>
            <w:top w:w="0" w:type="dxa"/>
            <w:left w:w="108" w:type="dxa"/>
            <w:bottom w:w="0" w:type="dxa"/>
            <w:right w:w="108" w:type="dxa"/>
          </w:tblCellMar>
        </w:tblPrEx>
        <w:trPr>
          <w:trHeight w:val="567" w:hRule="atLeast"/>
        </w:trPr>
        <w:tc>
          <w:tcPr>
            <w:tcW w:w="8804" w:type="dxa"/>
            <w:noWrap w:val="0"/>
            <w:vAlign w:val="top"/>
          </w:tcPr>
          <w:p>
            <w:pPr>
              <w:spacing w:line="480" w:lineRule="exact"/>
              <w:rPr>
                <w:rFonts w:hint="eastAsia" w:ascii="黑体" w:hAnsi="黑体" w:eastAsia="黑体"/>
                <w:sz w:val="22"/>
              </w:rPr>
            </w:pPr>
            <w:r>
              <w:rPr>
                <w:rFonts w:hint="eastAsia" w:ascii="黑体" w:hAnsi="黑体" w:eastAsia="黑体"/>
                <w:sz w:val="22"/>
              </w:rPr>
              <w:t>开户账号：</w:t>
            </w:r>
          </w:p>
        </w:tc>
      </w:tr>
      <w:tr>
        <w:tblPrEx>
          <w:tblCellMar>
            <w:top w:w="0" w:type="dxa"/>
            <w:left w:w="108" w:type="dxa"/>
            <w:bottom w:w="0" w:type="dxa"/>
            <w:right w:w="108" w:type="dxa"/>
          </w:tblCellMar>
        </w:tblPrEx>
        <w:trPr>
          <w:trHeight w:val="567" w:hRule="atLeast"/>
        </w:trPr>
        <w:tc>
          <w:tcPr>
            <w:tcW w:w="8804" w:type="dxa"/>
            <w:noWrap w:val="0"/>
            <w:vAlign w:val="center"/>
          </w:tcPr>
          <w:p>
            <w:pPr>
              <w:tabs>
                <w:tab w:val="left" w:pos="1440"/>
              </w:tabs>
              <w:spacing w:line="480" w:lineRule="exact"/>
              <w:rPr>
                <w:rFonts w:hint="eastAsia" w:ascii="黑体" w:hAnsi="黑体" w:eastAsia="黑体"/>
                <w:sz w:val="22"/>
              </w:rPr>
            </w:pPr>
            <w:r>
              <w:rPr>
                <w:rFonts w:hint="eastAsia" w:ascii="黑体" w:hAnsi="黑体" w:eastAsia="黑体"/>
                <w:sz w:val="22"/>
              </w:rPr>
              <w:t xml:space="preserve">2024年    月    日　                       </w:t>
            </w:r>
          </w:p>
        </w:tc>
      </w:tr>
    </w:tbl>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rPr>
          <w:rFonts w:hint="eastAsia" w:ascii="黑体" w:hAnsi="黑体" w:eastAsia="黑体"/>
          <w:sz w:val="22"/>
          <w:szCs w:val="24"/>
        </w:rPr>
      </w:pPr>
    </w:p>
    <w:bookmarkEnd w:id="161"/>
    <w:p>
      <w:pPr>
        <w:rPr>
          <w:rFonts w:hint="eastAsia" w:ascii="黑体" w:hAnsi="黑体" w:eastAsia="黑体"/>
          <w:sz w:val="22"/>
          <w:szCs w:val="24"/>
        </w:rPr>
      </w:pPr>
    </w:p>
    <w:bookmarkEnd w:id="162"/>
    <w:p>
      <w:pPr>
        <w:spacing w:line="360" w:lineRule="auto"/>
        <w:rPr>
          <w:rFonts w:hint="eastAsia" w:ascii="黑体" w:hAnsi="黑体" w:eastAsia="黑体"/>
          <w:sz w:val="22"/>
        </w:rPr>
      </w:pPr>
    </w:p>
    <w:bookmarkEnd w:id="163"/>
    <w:bookmarkEnd w:id="164"/>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65" w:name="_Toc31375"/>
      <w:bookmarkStart w:id="166" w:name="_Toc5666"/>
      <w:r>
        <w:rPr>
          <w:rStyle w:val="40"/>
          <w:rFonts w:hint="eastAsia" w:ascii="黑体" w:hAnsi="黑体" w:eastAsia="黑体"/>
          <w:b/>
          <w:bCs/>
          <w:spacing w:val="12"/>
          <w:sz w:val="22"/>
          <w:szCs w:val="22"/>
        </w:rPr>
        <w:t>技术</w:t>
      </w:r>
      <w:r>
        <w:rPr>
          <w:rFonts w:hint="eastAsia" w:ascii="黑体" w:hAnsi="黑体" w:eastAsia="黑体" w:cs="黑体"/>
          <w:sz w:val="22"/>
          <w:szCs w:val="24"/>
        </w:rPr>
        <w:t>和服务要求响应表</w:t>
      </w:r>
      <w:bookmarkEnd w:id="165"/>
      <w:bookmarkEnd w:id="166"/>
    </w:p>
    <w:p>
      <w:pPr>
        <w:spacing w:before="624" w:beforeLines="200" w:after="468" w:afterLines="1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技术和服务要求响应表</w:t>
      </w:r>
    </w:p>
    <w:tbl>
      <w:tblPr>
        <w:tblStyle w:val="37"/>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1644"/>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noWrap w:val="0"/>
            <w:vAlign w:val="center"/>
          </w:tcPr>
          <w:p>
            <w:pPr>
              <w:jc w:val="center"/>
              <w:rPr>
                <w:rFonts w:hint="eastAsia" w:ascii="黑体" w:hAnsi="黑体" w:eastAsia="黑体"/>
                <w:b/>
                <w:sz w:val="22"/>
              </w:rPr>
            </w:pPr>
            <w:r>
              <w:rPr>
                <w:rFonts w:hint="eastAsia" w:ascii="黑体" w:hAnsi="黑体" w:eastAsia="黑体"/>
                <w:b/>
                <w:sz w:val="22"/>
              </w:rPr>
              <w:t>序号</w:t>
            </w:r>
          </w:p>
        </w:tc>
        <w:tc>
          <w:tcPr>
            <w:tcW w:w="2352" w:type="dxa"/>
            <w:noWrap w:val="0"/>
            <w:vAlign w:val="center"/>
          </w:tcPr>
          <w:p>
            <w:pPr>
              <w:jc w:val="center"/>
              <w:rPr>
                <w:rFonts w:hint="eastAsia" w:ascii="黑体" w:hAnsi="黑体" w:eastAsia="黑体"/>
                <w:b/>
                <w:sz w:val="22"/>
              </w:rPr>
            </w:pPr>
            <w:r>
              <w:rPr>
                <w:rFonts w:hint="eastAsia" w:ascii="黑体" w:hAnsi="黑体" w:eastAsia="黑体"/>
                <w:b/>
                <w:sz w:val="22"/>
              </w:rPr>
              <w:t>招标文件要求</w:t>
            </w:r>
          </w:p>
        </w:tc>
        <w:tc>
          <w:tcPr>
            <w:tcW w:w="2126" w:type="dxa"/>
            <w:noWrap w:val="0"/>
            <w:vAlign w:val="center"/>
          </w:tcPr>
          <w:p>
            <w:pPr>
              <w:jc w:val="center"/>
              <w:rPr>
                <w:rFonts w:hint="eastAsia" w:ascii="黑体" w:hAnsi="黑体" w:eastAsia="黑体"/>
                <w:b/>
                <w:sz w:val="22"/>
              </w:rPr>
            </w:pPr>
            <w:r>
              <w:rPr>
                <w:rFonts w:hint="eastAsia" w:ascii="黑体" w:hAnsi="黑体" w:eastAsia="黑体"/>
                <w:b/>
                <w:bCs/>
                <w:sz w:val="22"/>
              </w:rPr>
              <w:t>投标文件响应内容</w:t>
            </w:r>
          </w:p>
        </w:tc>
        <w:tc>
          <w:tcPr>
            <w:tcW w:w="1644" w:type="dxa"/>
            <w:noWrap w:val="0"/>
            <w:vAlign w:val="center"/>
          </w:tcPr>
          <w:p>
            <w:pPr>
              <w:ind w:left="307" w:hanging="307" w:hangingChars="139"/>
              <w:jc w:val="center"/>
              <w:rPr>
                <w:rFonts w:hint="eastAsia" w:ascii="黑体" w:hAnsi="黑体" w:eastAsia="黑体"/>
                <w:b/>
                <w:sz w:val="22"/>
              </w:rPr>
            </w:pPr>
            <w:r>
              <w:rPr>
                <w:rFonts w:hint="eastAsia" w:ascii="黑体" w:hAnsi="黑体" w:eastAsia="黑体"/>
                <w:b/>
                <w:sz w:val="22"/>
              </w:rPr>
              <w:t>偏离情况</w:t>
            </w:r>
          </w:p>
        </w:tc>
        <w:tc>
          <w:tcPr>
            <w:tcW w:w="1575" w:type="dxa"/>
            <w:noWrap w:val="0"/>
            <w:vAlign w:val="center"/>
          </w:tcPr>
          <w:p>
            <w:pPr>
              <w:jc w:val="center"/>
              <w:rPr>
                <w:rFonts w:hint="eastAsia" w:ascii="黑体" w:hAnsi="黑体" w:eastAsia="黑体"/>
                <w:b/>
                <w:sz w:val="22"/>
              </w:rPr>
            </w:pPr>
            <w:r>
              <w:rPr>
                <w:rFonts w:hint="eastAsia" w:ascii="黑体" w:hAnsi="黑体" w:eastAsia="黑体"/>
                <w:b/>
                <w:sz w:val="22"/>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noWrap w:val="0"/>
            <w:vAlign w:val="center"/>
          </w:tcPr>
          <w:p>
            <w:pPr>
              <w:spacing w:line="360" w:lineRule="auto"/>
              <w:jc w:val="center"/>
              <w:rPr>
                <w:rFonts w:hint="eastAsia" w:ascii="黑体" w:hAnsi="黑体" w:eastAsia="黑体"/>
                <w:sz w:val="22"/>
              </w:rPr>
            </w:pPr>
          </w:p>
        </w:tc>
        <w:tc>
          <w:tcPr>
            <w:tcW w:w="2352" w:type="dxa"/>
            <w:noWrap w:val="0"/>
            <w:vAlign w:val="center"/>
          </w:tcPr>
          <w:p>
            <w:pPr>
              <w:spacing w:line="360" w:lineRule="auto"/>
              <w:jc w:val="center"/>
              <w:rPr>
                <w:rFonts w:hint="eastAsia" w:ascii="黑体" w:hAnsi="黑体" w:eastAsia="黑体"/>
                <w:sz w:val="22"/>
              </w:rPr>
            </w:pPr>
          </w:p>
        </w:tc>
        <w:tc>
          <w:tcPr>
            <w:tcW w:w="2126" w:type="dxa"/>
            <w:noWrap w:val="0"/>
            <w:vAlign w:val="center"/>
          </w:tcPr>
          <w:p>
            <w:pPr>
              <w:spacing w:line="360" w:lineRule="auto"/>
              <w:jc w:val="center"/>
              <w:rPr>
                <w:rFonts w:hint="eastAsia" w:ascii="黑体" w:hAnsi="黑体" w:eastAsia="黑体"/>
                <w:sz w:val="22"/>
              </w:rPr>
            </w:pPr>
          </w:p>
        </w:tc>
        <w:tc>
          <w:tcPr>
            <w:tcW w:w="1644" w:type="dxa"/>
            <w:noWrap w:val="0"/>
            <w:vAlign w:val="center"/>
          </w:tcPr>
          <w:p>
            <w:pPr>
              <w:spacing w:line="360" w:lineRule="auto"/>
              <w:jc w:val="center"/>
              <w:rPr>
                <w:rFonts w:hint="eastAsia" w:ascii="黑体" w:hAnsi="黑体" w:eastAsia="黑体"/>
                <w:sz w:val="22"/>
              </w:rPr>
            </w:pPr>
          </w:p>
        </w:tc>
        <w:tc>
          <w:tcPr>
            <w:tcW w:w="1575" w:type="dxa"/>
            <w:noWrap w:val="0"/>
            <w:vAlign w:val="center"/>
          </w:tcPr>
          <w:p>
            <w:pPr>
              <w:spacing w:line="36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noWrap w:val="0"/>
            <w:vAlign w:val="center"/>
          </w:tcPr>
          <w:p>
            <w:pPr>
              <w:spacing w:line="360" w:lineRule="auto"/>
              <w:jc w:val="center"/>
              <w:rPr>
                <w:rFonts w:hint="eastAsia" w:ascii="黑体" w:hAnsi="黑体" w:eastAsia="黑体"/>
                <w:sz w:val="22"/>
              </w:rPr>
            </w:pPr>
          </w:p>
        </w:tc>
        <w:tc>
          <w:tcPr>
            <w:tcW w:w="2352" w:type="dxa"/>
            <w:noWrap w:val="0"/>
            <w:vAlign w:val="center"/>
          </w:tcPr>
          <w:p>
            <w:pPr>
              <w:spacing w:line="360" w:lineRule="auto"/>
              <w:jc w:val="center"/>
              <w:rPr>
                <w:rFonts w:hint="eastAsia" w:ascii="黑体" w:hAnsi="黑体" w:eastAsia="黑体"/>
                <w:sz w:val="22"/>
              </w:rPr>
            </w:pPr>
          </w:p>
        </w:tc>
        <w:tc>
          <w:tcPr>
            <w:tcW w:w="2126" w:type="dxa"/>
            <w:noWrap w:val="0"/>
            <w:vAlign w:val="center"/>
          </w:tcPr>
          <w:p>
            <w:pPr>
              <w:spacing w:line="360" w:lineRule="auto"/>
              <w:jc w:val="center"/>
              <w:rPr>
                <w:rFonts w:hint="eastAsia" w:ascii="黑体" w:hAnsi="黑体" w:eastAsia="黑体"/>
                <w:sz w:val="22"/>
              </w:rPr>
            </w:pPr>
          </w:p>
        </w:tc>
        <w:tc>
          <w:tcPr>
            <w:tcW w:w="1644" w:type="dxa"/>
            <w:noWrap w:val="0"/>
            <w:vAlign w:val="center"/>
          </w:tcPr>
          <w:p>
            <w:pPr>
              <w:spacing w:line="360" w:lineRule="auto"/>
              <w:jc w:val="center"/>
              <w:rPr>
                <w:rFonts w:hint="eastAsia" w:ascii="黑体" w:hAnsi="黑体" w:eastAsia="黑体"/>
                <w:sz w:val="22"/>
              </w:rPr>
            </w:pPr>
          </w:p>
        </w:tc>
        <w:tc>
          <w:tcPr>
            <w:tcW w:w="1575" w:type="dxa"/>
            <w:noWrap w:val="0"/>
            <w:vAlign w:val="center"/>
          </w:tcPr>
          <w:p>
            <w:pPr>
              <w:spacing w:line="36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noWrap w:val="0"/>
            <w:vAlign w:val="center"/>
          </w:tcPr>
          <w:p>
            <w:pPr>
              <w:spacing w:line="360" w:lineRule="auto"/>
              <w:jc w:val="center"/>
              <w:rPr>
                <w:rFonts w:hint="eastAsia" w:ascii="黑体" w:hAnsi="黑体" w:eastAsia="黑体"/>
                <w:sz w:val="22"/>
              </w:rPr>
            </w:pPr>
          </w:p>
        </w:tc>
        <w:tc>
          <w:tcPr>
            <w:tcW w:w="2352" w:type="dxa"/>
            <w:noWrap w:val="0"/>
            <w:vAlign w:val="center"/>
          </w:tcPr>
          <w:p>
            <w:pPr>
              <w:spacing w:line="360" w:lineRule="auto"/>
              <w:jc w:val="center"/>
              <w:rPr>
                <w:rFonts w:hint="eastAsia" w:ascii="黑体" w:hAnsi="黑体" w:eastAsia="黑体"/>
                <w:sz w:val="22"/>
              </w:rPr>
            </w:pPr>
          </w:p>
        </w:tc>
        <w:tc>
          <w:tcPr>
            <w:tcW w:w="2126" w:type="dxa"/>
            <w:noWrap w:val="0"/>
            <w:vAlign w:val="center"/>
          </w:tcPr>
          <w:p>
            <w:pPr>
              <w:spacing w:line="360" w:lineRule="auto"/>
              <w:jc w:val="center"/>
              <w:rPr>
                <w:rFonts w:hint="eastAsia" w:ascii="黑体" w:hAnsi="黑体" w:eastAsia="黑体"/>
                <w:sz w:val="22"/>
              </w:rPr>
            </w:pPr>
          </w:p>
        </w:tc>
        <w:tc>
          <w:tcPr>
            <w:tcW w:w="1644" w:type="dxa"/>
            <w:noWrap w:val="0"/>
            <w:vAlign w:val="center"/>
          </w:tcPr>
          <w:p>
            <w:pPr>
              <w:spacing w:line="360" w:lineRule="auto"/>
              <w:jc w:val="center"/>
              <w:rPr>
                <w:rFonts w:hint="eastAsia" w:ascii="黑体" w:hAnsi="黑体" w:eastAsia="黑体"/>
                <w:sz w:val="22"/>
              </w:rPr>
            </w:pPr>
          </w:p>
        </w:tc>
        <w:tc>
          <w:tcPr>
            <w:tcW w:w="1575" w:type="dxa"/>
            <w:noWrap w:val="0"/>
            <w:vAlign w:val="center"/>
          </w:tcPr>
          <w:p>
            <w:pPr>
              <w:spacing w:line="36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0" w:type="dxa"/>
            <w:noWrap w:val="0"/>
            <w:vAlign w:val="center"/>
          </w:tcPr>
          <w:p>
            <w:pPr>
              <w:spacing w:line="360" w:lineRule="auto"/>
              <w:jc w:val="center"/>
              <w:rPr>
                <w:rFonts w:hint="eastAsia" w:ascii="黑体" w:hAnsi="黑体" w:eastAsia="黑体"/>
                <w:sz w:val="22"/>
              </w:rPr>
            </w:pPr>
          </w:p>
        </w:tc>
        <w:tc>
          <w:tcPr>
            <w:tcW w:w="2352" w:type="dxa"/>
            <w:noWrap w:val="0"/>
            <w:vAlign w:val="center"/>
          </w:tcPr>
          <w:p>
            <w:pPr>
              <w:spacing w:line="360" w:lineRule="auto"/>
              <w:jc w:val="center"/>
              <w:rPr>
                <w:rFonts w:hint="eastAsia" w:ascii="黑体" w:hAnsi="黑体" w:eastAsia="黑体"/>
                <w:sz w:val="22"/>
              </w:rPr>
            </w:pPr>
          </w:p>
        </w:tc>
        <w:tc>
          <w:tcPr>
            <w:tcW w:w="2126" w:type="dxa"/>
            <w:noWrap w:val="0"/>
            <w:vAlign w:val="center"/>
          </w:tcPr>
          <w:p>
            <w:pPr>
              <w:spacing w:line="360" w:lineRule="auto"/>
              <w:jc w:val="center"/>
              <w:rPr>
                <w:rFonts w:hint="eastAsia" w:ascii="黑体" w:hAnsi="黑体" w:eastAsia="黑体"/>
                <w:sz w:val="22"/>
              </w:rPr>
            </w:pPr>
          </w:p>
        </w:tc>
        <w:tc>
          <w:tcPr>
            <w:tcW w:w="1644" w:type="dxa"/>
            <w:noWrap w:val="0"/>
            <w:vAlign w:val="center"/>
          </w:tcPr>
          <w:p>
            <w:pPr>
              <w:spacing w:line="360" w:lineRule="auto"/>
              <w:jc w:val="center"/>
              <w:rPr>
                <w:rFonts w:hint="eastAsia" w:ascii="黑体" w:hAnsi="黑体" w:eastAsia="黑体"/>
                <w:sz w:val="22"/>
              </w:rPr>
            </w:pPr>
          </w:p>
        </w:tc>
        <w:tc>
          <w:tcPr>
            <w:tcW w:w="1575" w:type="dxa"/>
            <w:noWrap w:val="0"/>
            <w:vAlign w:val="center"/>
          </w:tcPr>
          <w:p>
            <w:pPr>
              <w:spacing w:line="360" w:lineRule="auto"/>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0" w:type="dxa"/>
            <w:noWrap w:val="0"/>
            <w:vAlign w:val="center"/>
          </w:tcPr>
          <w:p>
            <w:pPr>
              <w:spacing w:line="360" w:lineRule="auto"/>
              <w:jc w:val="center"/>
              <w:rPr>
                <w:rFonts w:hint="eastAsia" w:ascii="黑体" w:hAnsi="黑体" w:eastAsia="黑体"/>
                <w:sz w:val="22"/>
              </w:rPr>
            </w:pPr>
          </w:p>
        </w:tc>
        <w:tc>
          <w:tcPr>
            <w:tcW w:w="2352" w:type="dxa"/>
            <w:noWrap w:val="0"/>
            <w:vAlign w:val="center"/>
          </w:tcPr>
          <w:p>
            <w:pPr>
              <w:spacing w:line="360" w:lineRule="auto"/>
              <w:jc w:val="center"/>
              <w:rPr>
                <w:rFonts w:hint="eastAsia" w:ascii="黑体" w:hAnsi="黑体" w:eastAsia="黑体"/>
                <w:sz w:val="22"/>
              </w:rPr>
            </w:pPr>
          </w:p>
        </w:tc>
        <w:tc>
          <w:tcPr>
            <w:tcW w:w="2126" w:type="dxa"/>
            <w:noWrap w:val="0"/>
            <w:vAlign w:val="center"/>
          </w:tcPr>
          <w:p>
            <w:pPr>
              <w:spacing w:line="360" w:lineRule="auto"/>
              <w:jc w:val="center"/>
              <w:rPr>
                <w:rFonts w:hint="eastAsia" w:ascii="黑体" w:hAnsi="黑体" w:eastAsia="黑体"/>
                <w:sz w:val="22"/>
              </w:rPr>
            </w:pPr>
          </w:p>
        </w:tc>
        <w:tc>
          <w:tcPr>
            <w:tcW w:w="1644" w:type="dxa"/>
            <w:noWrap w:val="0"/>
            <w:vAlign w:val="center"/>
          </w:tcPr>
          <w:p>
            <w:pPr>
              <w:spacing w:line="360" w:lineRule="auto"/>
              <w:jc w:val="center"/>
              <w:rPr>
                <w:rFonts w:hint="eastAsia" w:ascii="黑体" w:hAnsi="黑体" w:eastAsia="黑体"/>
                <w:sz w:val="22"/>
              </w:rPr>
            </w:pPr>
          </w:p>
        </w:tc>
        <w:tc>
          <w:tcPr>
            <w:tcW w:w="1575" w:type="dxa"/>
            <w:noWrap w:val="0"/>
            <w:vAlign w:val="center"/>
          </w:tcPr>
          <w:p>
            <w:pPr>
              <w:spacing w:line="360" w:lineRule="auto"/>
              <w:jc w:val="center"/>
              <w:rPr>
                <w:rFonts w:hint="eastAsia" w:ascii="黑体" w:hAnsi="黑体" w:eastAsia="黑体"/>
                <w:sz w:val="22"/>
              </w:rPr>
            </w:pPr>
          </w:p>
        </w:tc>
      </w:tr>
    </w:tbl>
    <w:p>
      <w:pPr>
        <w:spacing w:before="156" w:beforeLines="50" w:line="360" w:lineRule="auto"/>
        <w:rPr>
          <w:rFonts w:hint="eastAsia" w:ascii="黑体" w:hAnsi="黑体" w:eastAsia="黑体"/>
          <w:sz w:val="22"/>
        </w:rPr>
      </w:pPr>
      <w:r>
        <w:rPr>
          <w:rFonts w:hint="eastAsia" w:ascii="黑体" w:hAnsi="黑体" w:eastAsia="黑体"/>
          <w:sz w:val="22"/>
        </w:rPr>
        <w:t>注明：</w:t>
      </w:r>
    </w:p>
    <w:p>
      <w:pPr>
        <w:pStyle w:val="64"/>
        <w:numPr>
          <w:ilvl w:val="0"/>
          <w:numId w:val="77"/>
        </w:numPr>
        <w:spacing w:line="360" w:lineRule="auto"/>
        <w:ind w:firstLineChars="0"/>
        <w:rPr>
          <w:rFonts w:hint="eastAsia" w:ascii="黑体" w:hAnsi="黑体" w:eastAsia="黑体"/>
          <w:sz w:val="22"/>
        </w:rPr>
      </w:pPr>
      <w:r>
        <w:rPr>
          <w:rFonts w:hint="eastAsia" w:ascii="黑体" w:hAnsi="黑体" w:eastAsia="黑体"/>
          <w:sz w:val="22"/>
        </w:rPr>
        <w:t>偏离情况项填写“正”、“负”或“无”，说明项中填写原因。</w:t>
      </w:r>
    </w:p>
    <w:p>
      <w:pPr>
        <w:pStyle w:val="64"/>
        <w:numPr>
          <w:ilvl w:val="0"/>
          <w:numId w:val="77"/>
        </w:numPr>
        <w:spacing w:line="360" w:lineRule="auto"/>
        <w:ind w:firstLineChars="0"/>
        <w:rPr>
          <w:rFonts w:hint="eastAsia" w:ascii="黑体" w:hAnsi="黑体" w:eastAsia="黑体"/>
          <w:sz w:val="22"/>
        </w:rPr>
      </w:pPr>
      <w:r>
        <w:rPr>
          <w:rFonts w:hint="eastAsia" w:ascii="黑体" w:hAnsi="黑体" w:eastAsia="黑体"/>
          <w:sz w:val="22"/>
        </w:rPr>
        <w:t>偏离情况项应按实填写，不填写则视为无偏离响应。</w:t>
      </w:r>
    </w:p>
    <w:p>
      <w:pPr>
        <w:pStyle w:val="64"/>
        <w:numPr>
          <w:ilvl w:val="0"/>
          <w:numId w:val="77"/>
        </w:numPr>
        <w:spacing w:line="360" w:lineRule="auto"/>
        <w:ind w:firstLineChars="0"/>
        <w:rPr>
          <w:rFonts w:hint="eastAsia" w:ascii="黑体" w:hAnsi="黑体" w:eastAsia="黑体"/>
          <w:sz w:val="22"/>
        </w:rPr>
      </w:pPr>
      <w:r>
        <w:rPr>
          <w:rFonts w:hint="eastAsia" w:ascii="黑体" w:hAnsi="黑体" w:eastAsia="黑体"/>
          <w:sz w:val="22"/>
        </w:rPr>
        <w:t>投标人应按照招标文件要求，根据“采购需求书”内容作出全面响应。对响应有偏离的，则说明偏离的内容。</w:t>
      </w:r>
      <w:r>
        <w:rPr>
          <w:rFonts w:hint="eastAsia" w:ascii="黑体" w:hAnsi="黑体" w:eastAsia="黑体" w:cs="Times New Roman"/>
          <w:sz w:val="22"/>
        </w:rPr>
        <w:t>“采购需求”内容中若有要求提供相关证明资料的，须按要求提供，否则视为负偏离</w:t>
      </w:r>
      <w:r>
        <w:rPr>
          <w:rFonts w:hint="eastAsia" w:ascii="黑体" w:hAnsi="黑体" w:eastAsia="黑体"/>
          <w:sz w:val="22"/>
        </w:rPr>
        <w:t>。</w:t>
      </w: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775"/>
        <w:gridCol w:w="2753"/>
      </w:tblGrid>
      <w:tr>
        <w:tblPrEx>
          <w:tblCellMar>
            <w:top w:w="0" w:type="dxa"/>
            <w:left w:w="108" w:type="dxa"/>
            <w:bottom w:w="0" w:type="dxa"/>
            <w:right w:w="108" w:type="dxa"/>
          </w:tblCellMar>
        </w:tblPrEx>
        <w:tc>
          <w:tcPr>
            <w:tcW w:w="5775"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2753"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775"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2753" w:type="dxa"/>
            <w:noWrap w:val="0"/>
            <w:vAlign w:val="top"/>
          </w:tcPr>
          <w:p>
            <w:pPr>
              <w:spacing w:line="360" w:lineRule="auto"/>
              <w:rPr>
                <w:rFonts w:hint="eastAsia" w:ascii="黑体" w:hAnsi="黑体" w:eastAsia="黑体"/>
                <w:sz w:val="22"/>
              </w:rPr>
            </w:pPr>
          </w:p>
        </w:tc>
      </w:tr>
    </w:tbl>
    <w:p>
      <w:pPr>
        <w:spacing w:line="360" w:lineRule="auto"/>
        <w:rPr>
          <w:rFonts w:hint="eastAsia" w:ascii="黑体" w:hAnsi="黑体" w:eastAsia="黑体"/>
          <w:sz w:val="22"/>
        </w:rPr>
      </w:pPr>
    </w:p>
    <w:p>
      <w:pPr>
        <w:rPr>
          <w:rStyle w:val="40"/>
          <w:rFonts w:hint="eastAsia" w:ascii="黑体" w:hAnsi="黑体" w:eastAsia="黑体"/>
          <w:spacing w:val="12"/>
          <w:sz w:val="22"/>
          <w:lang w:val="en-US" w:eastAsia="zh-CN"/>
        </w:rPr>
      </w:pPr>
      <w:bookmarkStart w:id="167" w:name="_Toc82388833"/>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68" w:name="_Toc2688"/>
      <w:bookmarkStart w:id="169" w:name="_Toc24807"/>
      <w:r>
        <w:rPr>
          <w:rStyle w:val="40"/>
          <w:rFonts w:ascii="黑体" w:hAnsi="黑体" w:eastAsia="黑体"/>
          <w:b/>
          <w:bCs/>
          <w:spacing w:val="12"/>
          <w:sz w:val="22"/>
          <w:szCs w:val="22"/>
        </w:rPr>
        <w:t>拟投入本项目设备/</w:t>
      </w:r>
      <w:r>
        <w:rPr>
          <w:rStyle w:val="40"/>
          <w:rFonts w:hint="eastAsia" w:ascii="黑体" w:hAnsi="黑体" w:eastAsia="黑体"/>
          <w:b/>
          <w:bCs/>
          <w:spacing w:val="12"/>
          <w:sz w:val="22"/>
          <w:szCs w:val="22"/>
        </w:rPr>
        <w:t>物料情况一览表</w:t>
      </w:r>
      <w:bookmarkEnd w:id="168"/>
      <w:bookmarkEnd w:id="169"/>
    </w:p>
    <w:p>
      <w:pPr>
        <w:rPr>
          <w:rStyle w:val="40"/>
          <w:rFonts w:hint="eastAsia" w:ascii="黑体" w:hAnsi="黑体" w:eastAsia="黑体"/>
          <w:spacing w:val="12"/>
          <w:sz w:val="22"/>
        </w:rPr>
      </w:pPr>
    </w:p>
    <w:p>
      <w:pPr>
        <w:spacing w:before="624" w:beforeLines="200" w:after="468" w:afterLines="150" w:line="360" w:lineRule="auto"/>
        <w:jc w:val="center"/>
        <w:rPr>
          <w:rFonts w:hint="eastAsia" w:ascii="黑体" w:hAnsi="黑体" w:eastAsia="黑体"/>
          <w:b/>
          <w:spacing w:val="20"/>
          <w:sz w:val="32"/>
          <w:szCs w:val="32"/>
        </w:rPr>
      </w:pPr>
      <w:r>
        <w:rPr>
          <w:rFonts w:hint="eastAsia" w:ascii="黑体" w:hAnsi="黑体" w:eastAsia="黑体"/>
          <w:b/>
          <w:spacing w:val="20"/>
          <w:sz w:val="32"/>
          <w:szCs w:val="32"/>
        </w:rPr>
        <w:t>拟投入本项目设备/物料情况一览表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2421"/>
        <w:gridCol w:w="1753"/>
        <w:gridCol w:w="1753"/>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84" w:type="dxa"/>
            <w:noWrap w:val="0"/>
            <w:vAlign w:val="top"/>
          </w:tcPr>
          <w:p>
            <w:pPr>
              <w:jc w:val="center"/>
              <w:rPr>
                <w:rFonts w:hint="eastAsia" w:ascii="黑体" w:hAnsi="黑体" w:eastAsia="黑体"/>
                <w:b/>
                <w:sz w:val="22"/>
              </w:rPr>
            </w:pPr>
            <w:r>
              <w:rPr>
                <w:rFonts w:hint="eastAsia" w:ascii="黑体" w:hAnsi="黑体" w:eastAsia="黑体"/>
                <w:b/>
                <w:sz w:val="22"/>
              </w:rPr>
              <w:t>序号</w:t>
            </w:r>
          </w:p>
        </w:tc>
        <w:tc>
          <w:tcPr>
            <w:tcW w:w="2421" w:type="dxa"/>
            <w:noWrap w:val="0"/>
            <w:vAlign w:val="top"/>
          </w:tcPr>
          <w:p>
            <w:pPr>
              <w:jc w:val="center"/>
              <w:rPr>
                <w:rFonts w:hint="eastAsia" w:ascii="黑体" w:hAnsi="黑体" w:eastAsia="黑体"/>
                <w:b/>
                <w:sz w:val="22"/>
              </w:rPr>
            </w:pPr>
            <w:r>
              <w:rPr>
                <w:rFonts w:hint="eastAsia" w:ascii="黑体" w:hAnsi="黑体" w:eastAsia="黑体"/>
                <w:b/>
                <w:sz w:val="22"/>
              </w:rPr>
              <w:t>设备/物料名称</w:t>
            </w:r>
          </w:p>
        </w:tc>
        <w:tc>
          <w:tcPr>
            <w:tcW w:w="1753" w:type="dxa"/>
            <w:noWrap w:val="0"/>
            <w:vAlign w:val="top"/>
          </w:tcPr>
          <w:p>
            <w:pPr>
              <w:jc w:val="center"/>
              <w:rPr>
                <w:rFonts w:hint="eastAsia" w:ascii="黑体" w:hAnsi="黑体" w:eastAsia="黑体"/>
                <w:b/>
                <w:sz w:val="22"/>
              </w:rPr>
            </w:pPr>
            <w:r>
              <w:rPr>
                <w:rFonts w:hint="eastAsia" w:ascii="黑体" w:hAnsi="黑体" w:eastAsia="黑体"/>
                <w:b/>
                <w:sz w:val="22"/>
              </w:rPr>
              <w:t>功能说明</w:t>
            </w:r>
          </w:p>
        </w:tc>
        <w:tc>
          <w:tcPr>
            <w:tcW w:w="1753" w:type="dxa"/>
            <w:noWrap w:val="0"/>
            <w:vAlign w:val="top"/>
          </w:tcPr>
          <w:p>
            <w:pPr>
              <w:jc w:val="center"/>
              <w:rPr>
                <w:rFonts w:hint="eastAsia" w:ascii="黑体" w:hAnsi="黑体" w:eastAsia="黑体"/>
                <w:b/>
                <w:sz w:val="22"/>
              </w:rPr>
            </w:pPr>
            <w:r>
              <w:rPr>
                <w:rFonts w:hint="eastAsia" w:ascii="黑体" w:hAnsi="黑体" w:eastAsia="黑体"/>
                <w:b/>
                <w:sz w:val="22"/>
              </w:rPr>
              <w:t>购置时间</w:t>
            </w:r>
          </w:p>
        </w:tc>
        <w:tc>
          <w:tcPr>
            <w:tcW w:w="1753" w:type="dxa"/>
            <w:noWrap w:val="0"/>
            <w:vAlign w:val="top"/>
          </w:tcPr>
          <w:p>
            <w:pPr>
              <w:jc w:val="center"/>
              <w:rPr>
                <w:rFonts w:hint="eastAsia" w:ascii="黑体" w:hAnsi="黑体" w:eastAsia="黑体"/>
                <w:b/>
                <w:sz w:val="22"/>
              </w:rPr>
            </w:pPr>
            <w:r>
              <w:rPr>
                <w:rFonts w:hint="eastAsia" w:ascii="黑体" w:hAnsi="黑体" w:eastAsia="黑体"/>
                <w:b/>
                <w:sz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84" w:type="dxa"/>
            <w:noWrap w:val="0"/>
            <w:vAlign w:val="top"/>
          </w:tcPr>
          <w:p>
            <w:pPr>
              <w:pStyle w:val="4"/>
              <w:ind w:firstLine="442"/>
              <w:jc w:val="center"/>
              <w:rPr>
                <w:rFonts w:hint="eastAsia" w:ascii="黑体" w:hAnsi="黑体" w:eastAsia="黑体" w:cs="Arial"/>
                <w:b/>
                <w:kern w:val="2"/>
                <w:sz w:val="22"/>
                <w:szCs w:val="22"/>
              </w:rPr>
            </w:pPr>
          </w:p>
        </w:tc>
        <w:tc>
          <w:tcPr>
            <w:tcW w:w="2421"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084" w:type="dxa"/>
            <w:noWrap w:val="0"/>
            <w:vAlign w:val="top"/>
          </w:tcPr>
          <w:p>
            <w:pPr>
              <w:pStyle w:val="4"/>
              <w:ind w:firstLine="442"/>
              <w:jc w:val="center"/>
              <w:rPr>
                <w:rFonts w:hint="eastAsia" w:ascii="黑体" w:hAnsi="黑体" w:eastAsia="黑体" w:cs="Arial"/>
                <w:b/>
                <w:kern w:val="2"/>
                <w:sz w:val="22"/>
                <w:szCs w:val="22"/>
              </w:rPr>
            </w:pPr>
          </w:p>
        </w:tc>
        <w:tc>
          <w:tcPr>
            <w:tcW w:w="2421"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84" w:type="dxa"/>
            <w:noWrap w:val="0"/>
            <w:vAlign w:val="top"/>
          </w:tcPr>
          <w:p>
            <w:pPr>
              <w:pStyle w:val="4"/>
              <w:ind w:firstLine="442"/>
              <w:jc w:val="center"/>
              <w:rPr>
                <w:rFonts w:hint="eastAsia" w:ascii="黑体" w:hAnsi="黑体" w:eastAsia="黑体" w:cs="Arial"/>
                <w:b/>
                <w:kern w:val="2"/>
                <w:sz w:val="22"/>
                <w:szCs w:val="22"/>
              </w:rPr>
            </w:pPr>
          </w:p>
        </w:tc>
        <w:tc>
          <w:tcPr>
            <w:tcW w:w="2421"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84" w:type="dxa"/>
            <w:noWrap w:val="0"/>
            <w:vAlign w:val="top"/>
          </w:tcPr>
          <w:p>
            <w:pPr>
              <w:pStyle w:val="4"/>
              <w:ind w:firstLine="442"/>
              <w:jc w:val="center"/>
              <w:rPr>
                <w:rFonts w:hint="eastAsia" w:ascii="黑体" w:hAnsi="黑体" w:eastAsia="黑体" w:cs="Arial"/>
                <w:b/>
                <w:kern w:val="2"/>
                <w:sz w:val="22"/>
                <w:szCs w:val="22"/>
              </w:rPr>
            </w:pPr>
          </w:p>
        </w:tc>
        <w:tc>
          <w:tcPr>
            <w:tcW w:w="2421"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c>
          <w:tcPr>
            <w:tcW w:w="1753" w:type="dxa"/>
            <w:noWrap w:val="0"/>
            <w:vAlign w:val="top"/>
          </w:tcPr>
          <w:p>
            <w:pPr>
              <w:pStyle w:val="4"/>
              <w:ind w:firstLine="442"/>
              <w:jc w:val="center"/>
              <w:rPr>
                <w:rFonts w:hint="eastAsia" w:ascii="黑体" w:hAnsi="黑体" w:eastAsia="黑体" w:cs="Arial"/>
                <w:b/>
                <w:kern w:val="2"/>
                <w:sz w:val="22"/>
                <w:szCs w:val="22"/>
              </w:rPr>
            </w:pPr>
          </w:p>
        </w:tc>
      </w:tr>
    </w:tbl>
    <w:p>
      <w:pPr>
        <w:pStyle w:val="4"/>
        <w:ind w:firstLine="640"/>
        <w:jc w:val="center"/>
        <w:rPr>
          <w:rFonts w:hint="eastAsia" w:ascii="宋体" w:hAnsi="宋体" w:eastAsia="宋体" w:cs="宋体"/>
        </w:rPr>
      </w:pPr>
    </w:p>
    <w:p>
      <w:pPr>
        <w:pStyle w:val="3"/>
        <w:overflowPunct w:val="0"/>
        <w:spacing w:before="156" w:beforeLines="50" w:after="0" w:line="360" w:lineRule="auto"/>
        <w:rPr>
          <w:rFonts w:hint="eastAsia" w:ascii="黑体" w:hAnsi="黑体" w:eastAsia="黑体"/>
          <w:sz w:val="22"/>
          <w:szCs w:val="22"/>
        </w:rPr>
      </w:pPr>
      <w:r>
        <w:rPr>
          <w:rFonts w:hint="eastAsia" w:ascii="黑体" w:hAnsi="黑体" w:eastAsia="黑体"/>
          <w:sz w:val="22"/>
          <w:szCs w:val="22"/>
        </w:rPr>
        <w:t>注明：后附相关资料（设备/物料照片、购置发票、产品说明书、投入方案等）。根据评审要求</w:t>
      </w:r>
      <w:r>
        <w:rPr>
          <w:rFonts w:hint="eastAsia" w:ascii="黑体" w:hAnsi="黑体" w:eastAsia="黑体"/>
          <w:sz w:val="22"/>
          <w:szCs w:val="22"/>
          <w:u w:val="single"/>
        </w:rPr>
        <w:t>（招标文件第五部分</w:t>
      </w:r>
      <w:r>
        <w:rPr>
          <w:rFonts w:ascii="黑体" w:hAnsi="黑体" w:eastAsia="黑体"/>
          <w:sz w:val="22"/>
          <w:szCs w:val="22"/>
          <w:u w:val="single"/>
        </w:rPr>
        <w:t xml:space="preserve"> </w:t>
      </w:r>
      <w:r>
        <w:rPr>
          <w:rFonts w:hint="eastAsia" w:ascii="黑体" w:hAnsi="黑体" w:eastAsia="黑体"/>
          <w:sz w:val="22"/>
          <w:szCs w:val="22"/>
          <w:u w:val="single"/>
        </w:rPr>
        <w:t>评标方法、步骤、标准之</w:t>
      </w:r>
      <w:r>
        <w:rPr>
          <w:rFonts w:hint="eastAsia" w:ascii="黑体" w:hAnsi="黑体" w:eastAsia="黑体"/>
          <w:kern w:val="0"/>
          <w:sz w:val="22"/>
          <w:szCs w:val="22"/>
          <w:u w:val="single"/>
        </w:rPr>
        <w:t>附表三</w:t>
      </w:r>
      <w:r>
        <w:rPr>
          <w:rFonts w:hint="eastAsia" w:ascii="黑体" w:hAnsi="黑体" w:eastAsia="黑体"/>
          <w:sz w:val="22"/>
          <w:szCs w:val="22"/>
          <w:u w:val="single"/>
        </w:rPr>
        <w:t>详细评审表相对应条款）</w:t>
      </w:r>
      <w:r>
        <w:rPr>
          <w:rFonts w:ascii="黑体" w:hAnsi="黑体" w:eastAsia="黑体"/>
          <w:sz w:val="22"/>
          <w:szCs w:val="22"/>
          <w:u w:val="single"/>
        </w:rPr>
        <w:t xml:space="preserve"> </w:t>
      </w:r>
      <w:r>
        <w:rPr>
          <w:rFonts w:hint="eastAsia" w:ascii="黑体" w:hAnsi="黑体" w:eastAsia="黑体"/>
          <w:sz w:val="22"/>
          <w:szCs w:val="22"/>
        </w:rPr>
        <w:t>自拟提供。</w:t>
      </w: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70" w:name="_Toc23765"/>
      <w:bookmarkStart w:id="171" w:name="_Toc15722"/>
      <w:r>
        <w:rPr>
          <w:rStyle w:val="40"/>
          <w:rFonts w:hint="eastAsia" w:ascii="黑体" w:hAnsi="黑体" w:eastAsia="黑体"/>
          <w:b/>
          <w:bCs/>
          <w:spacing w:val="12"/>
          <w:sz w:val="22"/>
          <w:szCs w:val="22"/>
        </w:rPr>
        <w:t>服务方案</w:t>
      </w:r>
      <w:bookmarkEnd w:id="170"/>
      <w:bookmarkEnd w:id="171"/>
    </w:p>
    <w:p>
      <w:pPr>
        <w:rPr>
          <w:rStyle w:val="40"/>
          <w:rFonts w:hint="eastAsia" w:ascii="黑体" w:hAnsi="黑体" w:eastAsia="黑体" w:cs="Times New Roman"/>
          <w:spacing w:val="12"/>
          <w:sz w:val="22"/>
        </w:rPr>
      </w:pPr>
      <w:r>
        <w:rPr>
          <w:rStyle w:val="40"/>
          <w:rFonts w:hint="eastAsia" w:ascii="黑体" w:hAnsi="黑体" w:eastAsia="黑体" w:cs="Times New Roman"/>
          <w:spacing w:val="12"/>
          <w:sz w:val="22"/>
        </w:rPr>
        <w:t>投标人根据自身情况和招标文件要求自拟。</w:t>
      </w: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72" w:name="_Toc22576"/>
      <w:bookmarkStart w:id="173" w:name="_Toc12725"/>
      <w:r>
        <w:rPr>
          <w:rStyle w:val="40"/>
          <w:rFonts w:hint="eastAsia" w:ascii="黑体" w:hAnsi="黑体" w:eastAsia="黑体"/>
          <w:b/>
          <w:bCs/>
          <w:spacing w:val="12"/>
          <w:sz w:val="22"/>
          <w:szCs w:val="22"/>
        </w:rPr>
        <w:t>★号条款要求响应一览表</w:t>
      </w:r>
      <w:bookmarkEnd w:id="167"/>
      <w:bookmarkEnd w:id="172"/>
      <w:bookmarkEnd w:id="173"/>
    </w:p>
    <w:p>
      <w:pPr>
        <w:spacing w:before="312" w:beforeLines="100" w:after="312" w:afterLines="100"/>
        <w:jc w:val="center"/>
        <w:rPr>
          <w:rFonts w:hint="eastAsia" w:ascii="黑体" w:hAnsi="黑体" w:eastAsia="黑体" w:cs="Times New Roman"/>
          <w:b/>
          <w:spacing w:val="20"/>
          <w:sz w:val="32"/>
          <w:szCs w:val="32"/>
        </w:rPr>
      </w:pPr>
      <w:bookmarkStart w:id="174" w:name="_Hlk82385743"/>
      <w:r>
        <w:rPr>
          <w:rFonts w:hint="eastAsia" w:ascii="黑体" w:hAnsi="黑体" w:eastAsia="黑体" w:cs="Times New Roman"/>
          <w:b/>
          <w:spacing w:val="20"/>
          <w:sz w:val="32"/>
          <w:szCs w:val="32"/>
        </w:rPr>
        <w:t>★号条款</w:t>
      </w:r>
      <w:bookmarkEnd w:id="174"/>
      <w:r>
        <w:rPr>
          <w:rFonts w:hint="eastAsia" w:ascii="黑体" w:hAnsi="黑体" w:eastAsia="黑体" w:cs="Times New Roman"/>
          <w:b/>
          <w:spacing w:val="20"/>
          <w:sz w:val="32"/>
          <w:szCs w:val="32"/>
        </w:rPr>
        <w:t>响应一览表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3190"/>
        <w:gridCol w:w="1843"/>
        <w:gridCol w:w="1843"/>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0" w:type="auto"/>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序号</w:t>
            </w:r>
          </w:p>
        </w:tc>
        <w:tc>
          <w:tcPr>
            <w:tcW w:w="3190"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采购需求★号条款要求</w:t>
            </w:r>
          </w:p>
        </w:tc>
        <w:tc>
          <w:tcPr>
            <w:tcW w:w="1843"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投标人响应内容</w:t>
            </w:r>
          </w:p>
        </w:tc>
        <w:tc>
          <w:tcPr>
            <w:tcW w:w="1843"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偏离情况及说明</w:t>
            </w:r>
          </w:p>
          <w:p>
            <w:pPr>
              <w:spacing w:line="360" w:lineRule="auto"/>
              <w:jc w:val="center"/>
              <w:rPr>
                <w:rFonts w:hint="eastAsia" w:ascii="黑体" w:hAnsi="黑体" w:eastAsia="黑体"/>
                <w:sz w:val="22"/>
                <w:szCs w:val="24"/>
              </w:rPr>
            </w:pPr>
            <w:r>
              <w:rPr>
                <w:rFonts w:ascii="黑体" w:hAnsi="黑体" w:eastAsia="黑体"/>
                <w:sz w:val="22"/>
                <w:szCs w:val="24"/>
              </w:rPr>
              <w:t>(正偏离/</w:t>
            </w:r>
            <w:r>
              <w:rPr>
                <w:rFonts w:hint="eastAsia" w:ascii="黑体" w:hAnsi="黑体" w:eastAsia="黑体"/>
                <w:sz w:val="22"/>
                <w:szCs w:val="24"/>
              </w:rPr>
              <w:t>无偏离</w:t>
            </w:r>
            <w:r>
              <w:rPr>
                <w:rFonts w:ascii="黑体" w:hAnsi="黑体" w:eastAsia="黑体"/>
                <w:sz w:val="22"/>
                <w:szCs w:val="24"/>
              </w:rPr>
              <w:t>/负偏离)</w:t>
            </w:r>
          </w:p>
        </w:tc>
        <w:tc>
          <w:tcPr>
            <w:tcW w:w="1190"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查阅</w:t>
            </w:r>
            <w:r>
              <w:rPr>
                <w:rFonts w:ascii="黑体" w:hAnsi="黑体" w:eastAsia="黑体"/>
                <w:sz w:val="22"/>
                <w:szCs w:val="24"/>
              </w:rPr>
              <w:t>/证明文件索引页码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pPr>
              <w:spacing w:line="360" w:lineRule="auto"/>
              <w:jc w:val="center"/>
              <w:rPr>
                <w:rFonts w:hint="eastAsia" w:ascii="黑体" w:hAnsi="黑体" w:eastAsia="黑体"/>
                <w:sz w:val="22"/>
                <w:szCs w:val="24"/>
              </w:rPr>
            </w:pPr>
            <w:r>
              <w:rPr>
                <w:rFonts w:ascii="黑体" w:hAnsi="黑体" w:eastAsia="黑体"/>
                <w:sz w:val="22"/>
                <w:szCs w:val="24"/>
              </w:rPr>
              <w:t>1</w:t>
            </w:r>
          </w:p>
        </w:tc>
        <w:tc>
          <w:tcPr>
            <w:tcW w:w="3190"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190" w:type="dxa"/>
            <w:noWrap w:val="0"/>
            <w:vAlign w:val="top"/>
          </w:tcPr>
          <w:p>
            <w:pPr>
              <w:spacing w:line="360" w:lineRule="auto"/>
              <w:rPr>
                <w:rFonts w:hint="eastAsia" w:ascii="黑体" w:hAnsi="黑体" w:eastAsia="黑体"/>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pPr>
              <w:spacing w:line="360" w:lineRule="auto"/>
              <w:jc w:val="center"/>
              <w:rPr>
                <w:rFonts w:hint="eastAsia" w:ascii="黑体" w:hAnsi="黑体" w:eastAsia="黑体"/>
                <w:sz w:val="22"/>
                <w:szCs w:val="24"/>
              </w:rPr>
            </w:pPr>
            <w:r>
              <w:rPr>
                <w:rFonts w:ascii="黑体" w:hAnsi="黑体" w:eastAsia="黑体"/>
                <w:sz w:val="22"/>
                <w:szCs w:val="24"/>
              </w:rPr>
              <w:t>2</w:t>
            </w:r>
          </w:p>
        </w:tc>
        <w:tc>
          <w:tcPr>
            <w:tcW w:w="3190"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190" w:type="dxa"/>
            <w:noWrap w:val="0"/>
            <w:vAlign w:val="top"/>
          </w:tcPr>
          <w:p>
            <w:pPr>
              <w:spacing w:line="360" w:lineRule="auto"/>
              <w:rPr>
                <w:rFonts w:hint="eastAsia" w:ascii="黑体" w:hAnsi="黑体" w:eastAsia="黑体"/>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pPr>
              <w:spacing w:line="360" w:lineRule="auto"/>
              <w:jc w:val="center"/>
              <w:rPr>
                <w:rFonts w:hint="eastAsia" w:ascii="黑体" w:hAnsi="黑体" w:eastAsia="黑体"/>
                <w:sz w:val="22"/>
                <w:szCs w:val="24"/>
              </w:rPr>
            </w:pPr>
            <w:r>
              <w:rPr>
                <w:rFonts w:ascii="黑体" w:hAnsi="黑体" w:eastAsia="黑体"/>
                <w:sz w:val="22"/>
                <w:szCs w:val="24"/>
              </w:rPr>
              <w:t>3</w:t>
            </w:r>
          </w:p>
        </w:tc>
        <w:tc>
          <w:tcPr>
            <w:tcW w:w="3190"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190" w:type="dxa"/>
            <w:noWrap w:val="0"/>
            <w:vAlign w:val="top"/>
          </w:tcPr>
          <w:p>
            <w:pPr>
              <w:spacing w:line="360" w:lineRule="auto"/>
              <w:rPr>
                <w:rFonts w:hint="eastAsia" w:ascii="黑体" w:hAnsi="黑体" w:eastAsia="黑体"/>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pPr>
              <w:spacing w:line="360" w:lineRule="auto"/>
              <w:jc w:val="center"/>
              <w:rPr>
                <w:rFonts w:hint="eastAsia" w:ascii="黑体" w:hAnsi="黑体" w:eastAsia="黑体"/>
                <w:sz w:val="22"/>
                <w:szCs w:val="24"/>
              </w:rPr>
            </w:pPr>
            <w:r>
              <w:rPr>
                <w:rFonts w:ascii="黑体" w:hAnsi="黑体" w:eastAsia="黑体"/>
                <w:sz w:val="22"/>
                <w:szCs w:val="24"/>
              </w:rPr>
              <w:t>4</w:t>
            </w:r>
          </w:p>
        </w:tc>
        <w:tc>
          <w:tcPr>
            <w:tcW w:w="3190"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190" w:type="dxa"/>
            <w:noWrap w:val="0"/>
            <w:vAlign w:val="top"/>
          </w:tcPr>
          <w:p>
            <w:pPr>
              <w:spacing w:line="360" w:lineRule="auto"/>
              <w:rPr>
                <w:rFonts w:hint="eastAsia" w:ascii="黑体" w:hAnsi="黑体" w:eastAsia="黑体"/>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0"/>
            <w:vAlign w:val="center"/>
          </w:tcPr>
          <w:p>
            <w:pPr>
              <w:spacing w:line="360" w:lineRule="auto"/>
              <w:jc w:val="center"/>
              <w:rPr>
                <w:rFonts w:hint="eastAsia" w:ascii="黑体" w:hAnsi="黑体" w:eastAsia="黑体"/>
                <w:sz w:val="22"/>
                <w:szCs w:val="24"/>
              </w:rPr>
            </w:pPr>
            <w:r>
              <w:rPr>
                <w:rFonts w:ascii="黑体" w:hAnsi="黑体" w:eastAsia="黑体"/>
                <w:sz w:val="22"/>
                <w:szCs w:val="24"/>
              </w:rPr>
              <w:t>…</w:t>
            </w:r>
          </w:p>
        </w:tc>
        <w:tc>
          <w:tcPr>
            <w:tcW w:w="3190"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843" w:type="dxa"/>
            <w:noWrap w:val="0"/>
            <w:vAlign w:val="top"/>
          </w:tcPr>
          <w:p>
            <w:pPr>
              <w:spacing w:line="360" w:lineRule="auto"/>
              <w:rPr>
                <w:rFonts w:hint="eastAsia" w:ascii="黑体" w:hAnsi="黑体" w:eastAsia="黑体"/>
                <w:sz w:val="22"/>
                <w:szCs w:val="24"/>
              </w:rPr>
            </w:pPr>
          </w:p>
        </w:tc>
        <w:tc>
          <w:tcPr>
            <w:tcW w:w="1190" w:type="dxa"/>
            <w:noWrap w:val="0"/>
            <w:vAlign w:val="top"/>
          </w:tcPr>
          <w:p>
            <w:pPr>
              <w:spacing w:line="360" w:lineRule="auto"/>
              <w:rPr>
                <w:rFonts w:hint="eastAsia" w:ascii="黑体" w:hAnsi="黑体" w:eastAsia="黑体"/>
                <w:sz w:val="22"/>
                <w:szCs w:val="24"/>
              </w:rPr>
            </w:pPr>
          </w:p>
        </w:tc>
      </w:tr>
    </w:tbl>
    <w:p>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pPr>
        <w:pStyle w:val="64"/>
        <w:numPr>
          <w:ilvl w:val="0"/>
          <w:numId w:val="78"/>
        </w:numPr>
        <w:spacing w:line="360" w:lineRule="auto"/>
        <w:ind w:firstLineChars="0"/>
        <w:rPr>
          <w:rFonts w:hint="eastAsia" w:ascii="黑体" w:hAnsi="黑体" w:eastAsia="黑体"/>
          <w:sz w:val="22"/>
          <w:szCs w:val="24"/>
        </w:rPr>
      </w:pPr>
      <w:r>
        <w:rPr>
          <w:rFonts w:hint="eastAsia" w:ascii="黑体" w:hAnsi="黑体" w:eastAsia="黑体"/>
          <w:sz w:val="22"/>
          <w:szCs w:val="24"/>
        </w:rPr>
        <w:t>投标人必须对应招标文件“采购需求”要求的</w:t>
      </w:r>
      <w:bookmarkStart w:id="175" w:name="_Hlk82385673"/>
      <w:r>
        <w:rPr>
          <w:rFonts w:hint="eastAsia" w:ascii="黑体" w:hAnsi="黑体" w:eastAsia="黑体"/>
          <w:sz w:val="22"/>
          <w:szCs w:val="24"/>
        </w:rPr>
        <w:t>★</w:t>
      </w:r>
      <w:r>
        <w:rPr>
          <w:rFonts w:ascii="黑体" w:hAnsi="黑体" w:eastAsia="黑体"/>
          <w:sz w:val="22"/>
          <w:szCs w:val="24"/>
        </w:rPr>
        <w:t>号条款</w:t>
      </w:r>
      <w:bookmarkEnd w:id="175"/>
      <w:r>
        <w:rPr>
          <w:rFonts w:ascii="黑体" w:hAnsi="黑体" w:eastAsia="黑体"/>
          <w:sz w:val="22"/>
          <w:szCs w:val="24"/>
        </w:rPr>
        <w:t>逐条应答并按要求填写表格</w:t>
      </w:r>
      <w:r>
        <w:rPr>
          <w:rFonts w:hint="eastAsia" w:ascii="黑体" w:hAnsi="黑体" w:eastAsia="黑体"/>
          <w:sz w:val="22"/>
          <w:szCs w:val="24"/>
        </w:rPr>
        <w:t>；</w:t>
      </w:r>
    </w:p>
    <w:p>
      <w:pPr>
        <w:pStyle w:val="64"/>
        <w:numPr>
          <w:ilvl w:val="0"/>
          <w:numId w:val="78"/>
        </w:numPr>
        <w:spacing w:line="360" w:lineRule="auto"/>
        <w:ind w:firstLineChars="0"/>
        <w:rPr>
          <w:rFonts w:hint="eastAsia" w:ascii="黑体" w:hAnsi="黑体" w:eastAsia="黑体"/>
          <w:sz w:val="22"/>
          <w:szCs w:val="24"/>
        </w:rPr>
      </w:pPr>
      <w:r>
        <w:rPr>
          <w:rFonts w:hint="eastAsia" w:ascii="黑体" w:hAnsi="黑体" w:eastAsia="黑体"/>
          <w:sz w:val="22"/>
          <w:szCs w:val="24"/>
        </w:rPr>
        <w:t>若招标文件“采购需求”中的★号条款中规定须提交相关证明文件的，须按要求提供，并作为附件附于表格后。未按要求提供或未提供完整的，视为负偏离处理。</w:t>
      </w: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353"/>
        <w:gridCol w:w="3175"/>
      </w:tblGrid>
      <w:tr>
        <w:tblPrEx>
          <w:tblCellMar>
            <w:top w:w="0" w:type="dxa"/>
            <w:left w:w="108" w:type="dxa"/>
            <w:bottom w:w="0" w:type="dxa"/>
            <w:right w:w="108" w:type="dxa"/>
          </w:tblCellMar>
        </w:tblPrEx>
        <w:tc>
          <w:tcPr>
            <w:tcW w:w="5353"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pPr>
              <w:spacing w:line="360" w:lineRule="auto"/>
              <w:rPr>
                <w:rFonts w:hint="eastAsia" w:ascii="黑体" w:hAnsi="黑体" w:eastAsia="黑体"/>
                <w:sz w:val="22"/>
              </w:rPr>
            </w:pPr>
          </w:p>
        </w:tc>
      </w:tr>
      <w:tr>
        <w:tblPrEx>
          <w:tblCellMar>
            <w:top w:w="0" w:type="dxa"/>
            <w:left w:w="108" w:type="dxa"/>
            <w:bottom w:w="0" w:type="dxa"/>
            <w:right w:w="108" w:type="dxa"/>
          </w:tblCellMar>
        </w:tblPrEx>
        <w:tc>
          <w:tcPr>
            <w:tcW w:w="5353"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pPr>
              <w:spacing w:line="360" w:lineRule="auto"/>
              <w:rPr>
                <w:rFonts w:hint="eastAsia" w:ascii="黑体" w:hAnsi="黑体" w:eastAsia="黑体"/>
                <w:sz w:val="22"/>
              </w:rPr>
            </w:pPr>
          </w:p>
        </w:tc>
      </w:tr>
    </w:tbl>
    <w:p>
      <w:pPr>
        <w:spacing w:line="360" w:lineRule="auto"/>
        <w:rPr>
          <w:rFonts w:hint="eastAsia" w:ascii="黑体" w:hAnsi="黑体" w:eastAsia="黑体"/>
          <w:sz w:val="22"/>
        </w:rPr>
      </w:pPr>
    </w:p>
    <w:p>
      <w:pPr>
        <w:pStyle w:val="8"/>
        <w:keepNext w:val="0"/>
        <w:keepLines w:val="0"/>
        <w:pageBreakBefore/>
        <w:numPr>
          <w:ilvl w:val="0"/>
          <w:numId w:val="70"/>
        </w:numPr>
        <w:tabs>
          <w:tab w:val="left" w:pos="284"/>
        </w:tabs>
        <w:spacing w:line="360" w:lineRule="auto"/>
        <w:jc w:val="left"/>
        <w:rPr>
          <w:rStyle w:val="40"/>
          <w:rFonts w:hint="eastAsia" w:ascii="黑体" w:hAnsi="黑体" w:eastAsia="黑体"/>
          <w:b/>
          <w:bCs/>
          <w:spacing w:val="12"/>
          <w:sz w:val="22"/>
          <w:szCs w:val="22"/>
        </w:rPr>
      </w:pPr>
      <w:bookmarkStart w:id="176" w:name="_Toc82388834"/>
      <w:bookmarkStart w:id="177" w:name="_Toc238"/>
      <w:bookmarkStart w:id="178" w:name="_Toc6687"/>
      <w:r>
        <w:rPr>
          <w:rStyle w:val="40"/>
          <w:rFonts w:hint="eastAsia" w:ascii="黑体" w:hAnsi="黑体" w:eastAsia="黑体"/>
          <w:b/>
          <w:bCs/>
          <w:spacing w:val="12"/>
          <w:sz w:val="22"/>
          <w:szCs w:val="22"/>
        </w:rPr>
        <w:t>▲号条款要求扣分明细响应表</w:t>
      </w:r>
      <w:bookmarkEnd w:id="176"/>
      <w:bookmarkEnd w:id="177"/>
      <w:bookmarkEnd w:id="178"/>
    </w:p>
    <w:p>
      <w:pPr>
        <w:spacing w:before="312" w:beforeLines="100" w:after="312" w:afterLines="100"/>
        <w:jc w:val="center"/>
        <w:rPr>
          <w:rFonts w:hint="eastAsia" w:ascii="黑体" w:hAnsi="黑体" w:eastAsia="黑体" w:cs="Times New Roman"/>
          <w:b/>
          <w:spacing w:val="20"/>
          <w:sz w:val="32"/>
          <w:szCs w:val="32"/>
        </w:rPr>
      </w:pPr>
      <w:bookmarkStart w:id="179" w:name="_Hlk82385592"/>
      <w:r>
        <w:rPr>
          <w:rFonts w:hint="eastAsia" w:ascii="黑体" w:hAnsi="黑体" w:eastAsia="黑体" w:cs="Times New Roman"/>
          <w:b/>
          <w:spacing w:val="20"/>
          <w:sz w:val="32"/>
          <w:szCs w:val="32"/>
        </w:rPr>
        <w:t>▲</w:t>
      </w:r>
      <w:r>
        <w:rPr>
          <w:rFonts w:ascii="黑体" w:hAnsi="黑体" w:eastAsia="黑体" w:cs="Times New Roman"/>
          <w:b/>
          <w:spacing w:val="20"/>
          <w:sz w:val="32"/>
          <w:szCs w:val="32"/>
        </w:rPr>
        <w:t>号条款</w:t>
      </w:r>
      <w:bookmarkEnd w:id="179"/>
      <w:r>
        <w:rPr>
          <w:rFonts w:hint="eastAsia" w:ascii="黑体" w:hAnsi="黑体" w:eastAsia="黑体" w:cs="Times New Roman"/>
          <w:b/>
          <w:spacing w:val="20"/>
          <w:sz w:val="32"/>
          <w:szCs w:val="32"/>
        </w:rPr>
        <w:t>要求扣分明细响应表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2410"/>
        <w:gridCol w:w="2745"/>
        <w:gridCol w:w="1932"/>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jc w:val="center"/>
        </w:trPr>
        <w:tc>
          <w:tcPr>
            <w:tcW w:w="459" w:type="dxa"/>
            <w:noWrap w:val="0"/>
            <w:vAlign w:val="center"/>
          </w:tcPr>
          <w:p>
            <w:pPr>
              <w:jc w:val="center"/>
              <w:rPr>
                <w:rFonts w:hint="eastAsia" w:ascii="黑体" w:hAnsi="黑体" w:eastAsia="黑体"/>
                <w:sz w:val="22"/>
              </w:rPr>
            </w:pPr>
            <w:r>
              <w:rPr>
                <w:rFonts w:hint="eastAsia" w:ascii="黑体" w:hAnsi="黑体" w:eastAsia="黑体"/>
                <w:sz w:val="22"/>
              </w:rPr>
              <w:t>序号</w:t>
            </w:r>
          </w:p>
        </w:tc>
        <w:tc>
          <w:tcPr>
            <w:tcW w:w="2410" w:type="dxa"/>
            <w:noWrap w:val="0"/>
            <w:vAlign w:val="center"/>
          </w:tcPr>
          <w:p>
            <w:pPr>
              <w:jc w:val="center"/>
              <w:rPr>
                <w:rFonts w:hint="eastAsia" w:ascii="黑体" w:hAnsi="黑体" w:eastAsia="黑体"/>
                <w:sz w:val="22"/>
              </w:rPr>
            </w:pPr>
            <w:r>
              <w:rPr>
                <w:rFonts w:hint="eastAsia" w:ascii="黑体" w:hAnsi="黑体" w:eastAsia="黑体"/>
                <w:sz w:val="22"/>
                <w:szCs w:val="24"/>
              </w:rPr>
              <w:t>采购需求▲号条款</w:t>
            </w:r>
          </w:p>
        </w:tc>
        <w:tc>
          <w:tcPr>
            <w:tcW w:w="2745"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投标人响应内容</w:t>
            </w:r>
          </w:p>
          <w:p>
            <w:pPr>
              <w:spacing w:line="360" w:lineRule="auto"/>
              <w:jc w:val="center"/>
              <w:rPr>
                <w:rFonts w:hint="eastAsia" w:ascii="黑体" w:hAnsi="黑体" w:eastAsia="黑体"/>
                <w:sz w:val="22"/>
              </w:rPr>
            </w:pPr>
            <w:r>
              <w:rPr>
                <w:rFonts w:ascii="黑体" w:hAnsi="黑体" w:eastAsia="黑体"/>
                <w:sz w:val="22"/>
                <w:szCs w:val="24"/>
              </w:rPr>
              <w:t>(投标人应按</w:t>
            </w:r>
            <w:r>
              <w:rPr>
                <w:rFonts w:hint="eastAsia" w:ascii="黑体" w:hAnsi="黑体" w:eastAsia="黑体"/>
                <w:sz w:val="22"/>
                <w:szCs w:val="24"/>
              </w:rPr>
              <w:t>投标时响应的服务实际数据填写</w:t>
            </w:r>
            <w:r>
              <w:rPr>
                <w:rFonts w:ascii="黑体" w:hAnsi="黑体" w:eastAsia="黑体"/>
                <w:sz w:val="22"/>
                <w:szCs w:val="24"/>
              </w:rPr>
              <w:t>)</w:t>
            </w:r>
          </w:p>
        </w:tc>
        <w:tc>
          <w:tcPr>
            <w:tcW w:w="1932"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响应情况及说明</w:t>
            </w:r>
            <w:r>
              <w:rPr>
                <w:rFonts w:ascii="黑体" w:hAnsi="黑体" w:eastAsia="黑体"/>
                <w:sz w:val="22"/>
                <w:szCs w:val="24"/>
              </w:rPr>
              <w:t>(正偏离/无偏离/负偏离)</w:t>
            </w:r>
          </w:p>
        </w:tc>
        <w:tc>
          <w:tcPr>
            <w:tcW w:w="1115" w:type="dxa"/>
            <w:noWrap w:val="0"/>
            <w:vAlign w:val="center"/>
          </w:tcPr>
          <w:p>
            <w:pPr>
              <w:spacing w:line="360" w:lineRule="auto"/>
              <w:jc w:val="center"/>
              <w:rPr>
                <w:rFonts w:hint="eastAsia" w:ascii="黑体" w:hAnsi="黑体" w:eastAsia="黑体"/>
                <w:sz w:val="22"/>
                <w:szCs w:val="24"/>
              </w:rPr>
            </w:pPr>
            <w:r>
              <w:rPr>
                <w:rFonts w:hint="eastAsia" w:ascii="黑体" w:hAnsi="黑体" w:eastAsia="黑体"/>
                <w:sz w:val="22"/>
                <w:szCs w:val="24"/>
              </w:rPr>
              <w:t>查阅</w:t>
            </w:r>
            <w:r>
              <w:rPr>
                <w:rFonts w:ascii="黑体" w:hAnsi="黑体" w:eastAsia="黑体"/>
                <w:sz w:val="22"/>
                <w:szCs w:val="24"/>
              </w:rPr>
              <w:t>/证明文件索引页码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59" w:type="dxa"/>
            <w:noWrap w:val="0"/>
            <w:vAlign w:val="center"/>
          </w:tcPr>
          <w:p>
            <w:pPr>
              <w:jc w:val="center"/>
              <w:rPr>
                <w:rFonts w:hint="eastAsia" w:ascii="黑体" w:hAnsi="黑体" w:eastAsia="黑体"/>
                <w:sz w:val="22"/>
              </w:rPr>
            </w:pPr>
            <w:r>
              <w:rPr>
                <w:rFonts w:ascii="黑体" w:hAnsi="黑体" w:eastAsia="黑体"/>
                <w:sz w:val="22"/>
              </w:rPr>
              <w:t>1</w:t>
            </w:r>
          </w:p>
        </w:tc>
        <w:tc>
          <w:tcPr>
            <w:tcW w:w="2410" w:type="dxa"/>
            <w:noWrap w:val="0"/>
            <w:vAlign w:val="center"/>
          </w:tcPr>
          <w:p>
            <w:pPr>
              <w:jc w:val="center"/>
              <w:rPr>
                <w:rFonts w:hint="eastAsia" w:ascii="黑体" w:hAnsi="黑体" w:eastAsia="黑体"/>
                <w:sz w:val="22"/>
              </w:rPr>
            </w:pPr>
          </w:p>
        </w:tc>
        <w:tc>
          <w:tcPr>
            <w:tcW w:w="2745" w:type="dxa"/>
            <w:noWrap w:val="0"/>
            <w:vAlign w:val="center"/>
          </w:tcPr>
          <w:p>
            <w:pPr>
              <w:jc w:val="center"/>
              <w:rPr>
                <w:rFonts w:hint="eastAsia" w:ascii="黑体" w:hAnsi="黑体" w:eastAsia="黑体"/>
                <w:sz w:val="22"/>
              </w:rPr>
            </w:pPr>
          </w:p>
        </w:tc>
        <w:tc>
          <w:tcPr>
            <w:tcW w:w="1932" w:type="dxa"/>
            <w:noWrap w:val="0"/>
            <w:vAlign w:val="center"/>
          </w:tcPr>
          <w:p>
            <w:pPr>
              <w:jc w:val="center"/>
              <w:rPr>
                <w:rFonts w:hint="eastAsia" w:ascii="黑体" w:hAnsi="黑体" w:eastAsia="黑体"/>
                <w:sz w:val="22"/>
              </w:rPr>
            </w:pPr>
          </w:p>
        </w:tc>
        <w:tc>
          <w:tcPr>
            <w:tcW w:w="1115" w:type="dxa"/>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459" w:type="dxa"/>
            <w:noWrap w:val="0"/>
            <w:vAlign w:val="center"/>
          </w:tcPr>
          <w:p>
            <w:pPr>
              <w:jc w:val="center"/>
              <w:rPr>
                <w:rFonts w:hint="eastAsia" w:ascii="黑体" w:hAnsi="黑体" w:eastAsia="黑体"/>
                <w:sz w:val="22"/>
              </w:rPr>
            </w:pPr>
            <w:r>
              <w:rPr>
                <w:rFonts w:ascii="黑体" w:hAnsi="黑体" w:eastAsia="黑体"/>
                <w:sz w:val="22"/>
              </w:rPr>
              <w:t>2</w:t>
            </w:r>
          </w:p>
        </w:tc>
        <w:tc>
          <w:tcPr>
            <w:tcW w:w="2410" w:type="dxa"/>
            <w:noWrap w:val="0"/>
            <w:vAlign w:val="center"/>
          </w:tcPr>
          <w:p>
            <w:pPr>
              <w:jc w:val="center"/>
              <w:rPr>
                <w:rFonts w:hint="eastAsia" w:ascii="黑体" w:hAnsi="黑体" w:eastAsia="黑体"/>
                <w:sz w:val="22"/>
              </w:rPr>
            </w:pPr>
          </w:p>
        </w:tc>
        <w:tc>
          <w:tcPr>
            <w:tcW w:w="2745" w:type="dxa"/>
            <w:noWrap w:val="0"/>
            <w:vAlign w:val="center"/>
          </w:tcPr>
          <w:p>
            <w:pPr>
              <w:jc w:val="center"/>
              <w:rPr>
                <w:rFonts w:hint="eastAsia" w:ascii="黑体" w:hAnsi="黑体" w:eastAsia="黑体"/>
                <w:sz w:val="22"/>
              </w:rPr>
            </w:pPr>
          </w:p>
        </w:tc>
        <w:tc>
          <w:tcPr>
            <w:tcW w:w="1932" w:type="dxa"/>
            <w:noWrap w:val="0"/>
            <w:vAlign w:val="center"/>
          </w:tcPr>
          <w:p>
            <w:pPr>
              <w:jc w:val="center"/>
              <w:rPr>
                <w:rFonts w:hint="eastAsia" w:ascii="黑体" w:hAnsi="黑体" w:eastAsia="黑体"/>
                <w:sz w:val="22"/>
              </w:rPr>
            </w:pPr>
          </w:p>
        </w:tc>
        <w:tc>
          <w:tcPr>
            <w:tcW w:w="1115" w:type="dxa"/>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459" w:type="dxa"/>
            <w:noWrap w:val="0"/>
            <w:vAlign w:val="center"/>
          </w:tcPr>
          <w:p>
            <w:pPr>
              <w:jc w:val="center"/>
              <w:rPr>
                <w:rFonts w:hint="eastAsia" w:ascii="黑体" w:hAnsi="黑体" w:eastAsia="黑体"/>
                <w:sz w:val="22"/>
              </w:rPr>
            </w:pPr>
            <w:r>
              <w:rPr>
                <w:rFonts w:ascii="黑体" w:hAnsi="黑体" w:eastAsia="黑体"/>
                <w:sz w:val="22"/>
              </w:rPr>
              <w:t>3</w:t>
            </w:r>
          </w:p>
        </w:tc>
        <w:tc>
          <w:tcPr>
            <w:tcW w:w="2410" w:type="dxa"/>
            <w:noWrap w:val="0"/>
            <w:vAlign w:val="center"/>
          </w:tcPr>
          <w:p>
            <w:pPr>
              <w:jc w:val="center"/>
              <w:rPr>
                <w:rFonts w:hint="eastAsia" w:ascii="黑体" w:hAnsi="黑体" w:eastAsia="黑体"/>
                <w:sz w:val="22"/>
              </w:rPr>
            </w:pPr>
          </w:p>
        </w:tc>
        <w:tc>
          <w:tcPr>
            <w:tcW w:w="2745" w:type="dxa"/>
            <w:noWrap w:val="0"/>
            <w:vAlign w:val="center"/>
          </w:tcPr>
          <w:p>
            <w:pPr>
              <w:jc w:val="center"/>
              <w:rPr>
                <w:rFonts w:hint="eastAsia" w:ascii="黑体" w:hAnsi="黑体" w:eastAsia="黑体"/>
                <w:sz w:val="22"/>
              </w:rPr>
            </w:pPr>
          </w:p>
        </w:tc>
        <w:tc>
          <w:tcPr>
            <w:tcW w:w="1932" w:type="dxa"/>
            <w:noWrap w:val="0"/>
            <w:vAlign w:val="center"/>
          </w:tcPr>
          <w:p>
            <w:pPr>
              <w:jc w:val="center"/>
              <w:rPr>
                <w:rFonts w:hint="eastAsia" w:ascii="黑体" w:hAnsi="黑体" w:eastAsia="黑体"/>
                <w:sz w:val="22"/>
              </w:rPr>
            </w:pPr>
          </w:p>
        </w:tc>
        <w:tc>
          <w:tcPr>
            <w:tcW w:w="1115" w:type="dxa"/>
            <w:noWrap w:val="0"/>
            <w:vAlign w:val="center"/>
          </w:tcPr>
          <w:p>
            <w:pPr>
              <w:jc w:val="center"/>
              <w:rPr>
                <w:rFonts w:hint="eastAsia" w:ascii="黑体" w:hAnsi="黑体" w:eastAsia="黑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459" w:type="dxa"/>
            <w:noWrap w:val="0"/>
            <w:vAlign w:val="center"/>
          </w:tcPr>
          <w:p>
            <w:pPr>
              <w:jc w:val="center"/>
              <w:rPr>
                <w:rFonts w:hint="eastAsia" w:ascii="黑体" w:hAnsi="黑体" w:eastAsia="黑体"/>
                <w:sz w:val="22"/>
              </w:rPr>
            </w:pPr>
            <w:r>
              <w:rPr>
                <w:rFonts w:ascii="黑体" w:hAnsi="黑体" w:eastAsia="黑体"/>
                <w:sz w:val="22"/>
              </w:rPr>
              <w:t>…</w:t>
            </w:r>
          </w:p>
        </w:tc>
        <w:tc>
          <w:tcPr>
            <w:tcW w:w="2410" w:type="dxa"/>
            <w:noWrap w:val="0"/>
            <w:vAlign w:val="center"/>
          </w:tcPr>
          <w:p>
            <w:pPr>
              <w:jc w:val="center"/>
              <w:rPr>
                <w:rFonts w:hint="eastAsia" w:ascii="黑体" w:hAnsi="黑体" w:eastAsia="黑体"/>
                <w:sz w:val="22"/>
              </w:rPr>
            </w:pPr>
          </w:p>
        </w:tc>
        <w:tc>
          <w:tcPr>
            <w:tcW w:w="2745" w:type="dxa"/>
            <w:noWrap w:val="0"/>
            <w:vAlign w:val="center"/>
          </w:tcPr>
          <w:p>
            <w:pPr>
              <w:jc w:val="center"/>
              <w:rPr>
                <w:rFonts w:hint="eastAsia" w:ascii="黑体" w:hAnsi="黑体" w:eastAsia="黑体"/>
                <w:sz w:val="22"/>
              </w:rPr>
            </w:pPr>
          </w:p>
        </w:tc>
        <w:tc>
          <w:tcPr>
            <w:tcW w:w="1932" w:type="dxa"/>
            <w:noWrap w:val="0"/>
            <w:vAlign w:val="center"/>
          </w:tcPr>
          <w:p>
            <w:pPr>
              <w:jc w:val="center"/>
              <w:rPr>
                <w:rFonts w:hint="eastAsia" w:ascii="黑体" w:hAnsi="黑体" w:eastAsia="黑体"/>
                <w:sz w:val="22"/>
              </w:rPr>
            </w:pPr>
          </w:p>
        </w:tc>
        <w:tc>
          <w:tcPr>
            <w:tcW w:w="1115" w:type="dxa"/>
            <w:noWrap w:val="0"/>
            <w:vAlign w:val="center"/>
          </w:tcPr>
          <w:p>
            <w:pPr>
              <w:jc w:val="center"/>
              <w:rPr>
                <w:rFonts w:hint="eastAsia" w:ascii="黑体" w:hAnsi="黑体" w:eastAsia="黑体"/>
                <w:sz w:val="22"/>
              </w:rPr>
            </w:pPr>
          </w:p>
        </w:tc>
      </w:tr>
    </w:tbl>
    <w:p>
      <w:pPr>
        <w:spacing w:before="156" w:beforeLines="50" w:line="360" w:lineRule="auto"/>
        <w:rPr>
          <w:rFonts w:hint="eastAsia" w:ascii="黑体" w:hAnsi="黑体" w:eastAsia="黑体"/>
          <w:sz w:val="22"/>
          <w:szCs w:val="24"/>
        </w:rPr>
      </w:pPr>
      <w:r>
        <w:rPr>
          <w:rFonts w:hint="eastAsia" w:ascii="黑体" w:hAnsi="黑体" w:eastAsia="黑体"/>
          <w:sz w:val="22"/>
          <w:szCs w:val="24"/>
        </w:rPr>
        <w:t>注明：</w:t>
      </w:r>
    </w:p>
    <w:p>
      <w:pPr>
        <w:pStyle w:val="64"/>
        <w:numPr>
          <w:ilvl w:val="0"/>
          <w:numId w:val="79"/>
        </w:numPr>
        <w:spacing w:line="360" w:lineRule="auto"/>
        <w:ind w:firstLineChars="0"/>
        <w:rPr>
          <w:rFonts w:hint="eastAsia" w:ascii="黑体" w:hAnsi="黑体" w:eastAsia="黑体"/>
          <w:spacing w:val="4"/>
          <w:sz w:val="22"/>
          <w:szCs w:val="24"/>
        </w:rPr>
      </w:pPr>
      <w:r>
        <w:rPr>
          <w:rFonts w:hint="eastAsia" w:ascii="黑体" w:hAnsi="黑体" w:eastAsia="黑体"/>
          <w:spacing w:val="4"/>
          <w:sz w:val="22"/>
          <w:szCs w:val="24"/>
        </w:rPr>
        <w:t>投标人必须对应招标文件</w:t>
      </w:r>
      <w:r>
        <w:rPr>
          <w:rFonts w:hint="eastAsia" w:ascii="黑体" w:hAnsi="黑体" w:eastAsia="黑体" w:cs="Times New Roman"/>
          <w:bCs/>
          <w:spacing w:val="4"/>
          <w:sz w:val="22"/>
        </w:rPr>
        <w:t>“采购需求”要求的</w:t>
      </w:r>
      <w:bookmarkStart w:id="180" w:name="_Hlk82385546"/>
      <w:r>
        <w:rPr>
          <w:rFonts w:hint="eastAsia" w:ascii="黑体" w:hAnsi="黑体" w:eastAsia="黑体"/>
          <w:sz w:val="22"/>
          <w:szCs w:val="24"/>
        </w:rPr>
        <w:t>▲</w:t>
      </w:r>
      <w:r>
        <w:rPr>
          <w:rFonts w:ascii="黑体" w:hAnsi="黑体" w:eastAsia="黑体"/>
          <w:sz w:val="22"/>
          <w:szCs w:val="24"/>
        </w:rPr>
        <w:t>号条款</w:t>
      </w:r>
      <w:bookmarkEnd w:id="180"/>
      <w:r>
        <w:rPr>
          <w:rFonts w:hint="eastAsia" w:ascii="黑体" w:hAnsi="黑体" w:eastAsia="黑体"/>
          <w:spacing w:val="4"/>
          <w:sz w:val="22"/>
          <w:szCs w:val="24"/>
        </w:rPr>
        <w:t>逐条应答并按要求填写表格。</w:t>
      </w:r>
    </w:p>
    <w:p>
      <w:pPr>
        <w:pStyle w:val="64"/>
        <w:numPr>
          <w:ilvl w:val="0"/>
          <w:numId w:val="79"/>
        </w:numPr>
        <w:spacing w:line="360" w:lineRule="auto"/>
        <w:ind w:firstLineChars="0"/>
        <w:rPr>
          <w:rFonts w:hint="eastAsia" w:ascii="黑体" w:hAnsi="黑体" w:eastAsia="黑体"/>
          <w:sz w:val="22"/>
          <w:szCs w:val="24"/>
        </w:rPr>
      </w:pPr>
      <w:r>
        <w:rPr>
          <w:rFonts w:hint="eastAsia" w:ascii="黑体" w:hAnsi="黑体" w:eastAsia="黑体"/>
          <w:sz w:val="22"/>
        </w:rPr>
        <w:t>需提供证明资料内容详见</w:t>
      </w:r>
      <w:r>
        <w:rPr>
          <w:rFonts w:hint="eastAsia" w:ascii="黑体" w:hAnsi="黑体" w:eastAsia="黑体"/>
          <w:sz w:val="22"/>
          <w:u w:val="single"/>
        </w:rPr>
        <w:t>（招标文件第五部分</w:t>
      </w:r>
      <w:r>
        <w:rPr>
          <w:rFonts w:ascii="黑体" w:hAnsi="黑体" w:eastAsia="黑体"/>
          <w:sz w:val="22"/>
          <w:u w:val="single"/>
        </w:rPr>
        <w:t xml:space="preserve"> </w:t>
      </w:r>
      <w:r>
        <w:rPr>
          <w:rFonts w:hint="eastAsia" w:ascii="黑体" w:hAnsi="黑体" w:eastAsia="黑体"/>
          <w:sz w:val="22"/>
          <w:u w:val="single"/>
        </w:rPr>
        <w:t>评标方法、步骤、标准之</w:t>
      </w:r>
      <w:r>
        <w:rPr>
          <w:rFonts w:hint="eastAsia" w:ascii="黑体" w:hAnsi="黑体" w:eastAsia="黑体"/>
          <w:kern w:val="0"/>
          <w:sz w:val="22"/>
          <w:u w:val="single"/>
        </w:rPr>
        <w:t>附表三</w:t>
      </w:r>
      <w:r>
        <w:rPr>
          <w:rFonts w:hint="eastAsia" w:ascii="黑体" w:hAnsi="黑体" w:eastAsia="黑体"/>
          <w:sz w:val="22"/>
          <w:u w:val="single"/>
        </w:rPr>
        <w:t>详细评审表相对应条款）</w:t>
      </w:r>
      <w:r>
        <w:rPr>
          <w:rFonts w:hint="eastAsia" w:ascii="黑体" w:hAnsi="黑体" w:eastAsia="黑体"/>
          <w:sz w:val="22"/>
        </w:rPr>
        <w:t>，提供的证明资料</w:t>
      </w:r>
      <w:r>
        <w:rPr>
          <w:rFonts w:hint="eastAsia" w:ascii="黑体" w:hAnsi="黑体" w:eastAsia="黑体"/>
          <w:sz w:val="22"/>
          <w:szCs w:val="24"/>
        </w:rPr>
        <w:t>作为附件附于表格后。未按要求提供或未提供完整的，视为负偏离处理。</w:t>
      </w:r>
    </w:p>
    <w:p>
      <w:pPr>
        <w:spacing w:line="360" w:lineRule="auto"/>
        <w:rPr>
          <w:rFonts w:hint="eastAsia" w:ascii="黑体" w:hAnsi="黑体" w:eastAsia="黑体"/>
          <w:sz w:val="22"/>
        </w:rPr>
      </w:pPr>
    </w:p>
    <w:p>
      <w:pPr>
        <w:spacing w:line="360" w:lineRule="auto"/>
        <w:rPr>
          <w:rFonts w:hint="eastAsia" w:ascii="黑体" w:hAnsi="黑体" w:eastAsia="黑体"/>
          <w:sz w:val="22"/>
        </w:rPr>
      </w:pPr>
    </w:p>
    <w:p>
      <w:pPr>
        <w:spacing w:line="360" w:lineRule="auto"/>
        <w:rPr>
          <w:rFonts w:hint="eastAsia" w:ascii="黑体" w:hAnsi="黑体" w:eastAsia="黑体"/>
          <w:sz w:val="22"/>
        </w:rPr>
      </w:pPr>
    </w:p>
    <w:tbl>
      <w:tblPr>
        <w:tblStyle w:val="37"/>
        <w:tblW w:w="0" w:type="auto"/>
        <w:tblInd w:w="0" w:type="dxa"/>
        <w:tblLayout w:type="autofit"/>
        <w:tblCellMar>
          <w:top w:w="0" w:type="dxa"/>
          <w:left w:w="108" w:type="dxa"/>
          <w:bottom w:w="0" w:type="dxa"/>
          <w:right w:w="108" w:type="dxa"/>
        </w:tblCellMar>
      </w:tblPr>
      <w:tblGrid>
        <w:gridCol w:w="5353"/>
        <w:gridCol w:w="3175"/>
      </w:tblGrid>
      <w:tr>
        <w:tc>
          <w:tcPr>
            <w:tcW w:w="5353" w:type="dxa"/>
            <w:noWrap w:val="0"/>
            <w:vAlign w:val="top"/>
          </w:tcPr>
          <w:p>
            <w:pPr>
              <w:overflowPunct w:val="0"/>
              <w:adjustRightInd w:val="0"/>
              <w:spacing w:line="360" w:lineRule="auto"/>
              <w:rPr>
                <w:rFonts w:hint="eastAsia" w:ascii="黑体" w:hAnsi="黑体" w:eastAsia="黑体"/>
                <w:sz w:val="22"/>
              </w:rPr>
            </w:pPr>
            <w:r>
              <w:rPr>
                <w:rFonts w:hint="eastAsia" w:ascii="黑体" w:hAnsi="黑体" w:eastAsia="黑体"/>
                <w:sz w:val="22"/>
              </w:rPr>
              <w:t>投标人名称（加盖公章）：</w:t>
            </w:r>
            <w:r>
              <w:rPr>
                <w:rFonts w:ascii="黑体" w:hAnsi="黑体" w:eastAsia="黑体"/>
                <w:sz w:val="22"/>
                <w:u w:val="single"/>
              </w:rPr>
              <w:t xml:space="preserve">                         </w:t>
            </w:r>
          </w:p>
        </w:tc>
        <w:tc>
          <w:tcPr>
            <w:tcW w:w="3175" w:type="dxa"/>
            <w:noWrap w:val="0"/>
            <w:vAlign w:val="top"/>
          </w:tcPr>
          <w:p>
            <w:pPr>
              <w:spacing w:line="360" w:lineRule="auto"/>
              <w:rPr>
                <w:rFonts w:hint="eastAsia" w:ascii="黑体" w:hAnsi="黑体" w:eastAsia="黑体"/>
                <w:sz w:val="22"/>
              </w:rPr>
            </w:pPr>
          </w:p>
        </w:tc>
      </w:tr>
      <w:tr>
        <w:tc>
          <w:tcPr>
            <w:tcW w:w="5353" w:type="dxa"/>
            <w:noWrap w:val="0"/>
            <w:vAlign w:val="top"/>
          </w:tcPr>
          <w:p>
            <w:pPr>
              <w:spacing w:line="360" w:lineRule="auto"/>
              <w:rPr>
                <w:rFonts w:hint="eastAsia" w:ascii="黑体" w:hAnsi="黑体" w:eastAsia="黑体"/>
                <w:sz w:val="22"/>
              </w:rPr>
            </w:pPr>
            <w:r>
              <w:rPr>
                <w:rFonts w:hint="eastAsia" w:ascii="黑体" w:hAnsi="黑体" w:eastAsia="黑体"/>
                <w:sz w:val="22"/>
              </w:rPr>
              <w:t>日期：</w:t>
            </w:r>
            <w:r>
              <w:rPr>
                <w:rFonts w:ascii="黑体" w:hAnsi="黑体" w:eastAsia="黑体"/>
                <w:sz w:val="22"/>
                <w:u w:val="single"/>
              </w:rPr>
              <w:t xml:space="preserve">             年           月            日</w:t>
            </w:r>
          </w:p>
        </w:tc>
        <w:tc>
          <w:tcPr>
            <w:tcW w:w="3175" w:type="dxa"/>
            <w:noWrap w:val="0"/>
            <w:vAlign w:val="top"/>
          </w:tcPr>
          <w:p>
            <w:pPr>
              <w:spacing w:line="360" w:lineRule="auto"/>
              <w:rPr>
                <w:rFonts w:hint="eastAsia" w:ascii="黑体" w:hAnsi="黑体" w:eastAsia="黑体"/>
                <w:sz w:val="22"/>
              </w:rPr>
            </w:pPr>
          </w:p>
        </w:tc>
      </w:tr>
    </w:tbl>
    <w:p>
      <w:pPr>
        <w:spacing w:line="360" w:lineRule="auto"/>
        <w:rPr>
          <w:rFonts w:hint="eastAsia" w:ascii="黑体" w:hAnsi="黑体" w:eastAsia="黑体"/>
          <w:sz w:val="22"/>
          <w:szCs w:val="24"/>
        </w:rPr>
      </w:pPr>
    </w:p>
    <w:bookmarkEnd w:id="118"/>
    <w:p>
      <w:pPr>
        <w:spacing w:line="360" w:lineRule="auto"/>
        <w:rPr>
          <w:rFonts w:hint="eastAsia" w:ascii="黑体" w:hAnsi="黑体" w:eastAsia="黑体"/>
          <w:sz w:val="22"/>
          <w:szCs w:val="24"/>
        </w:rPr>
      </w:pPr>
    </w:p>
    <w:p>
      <w:pPr>
        <w:pStyle w:val="7"/>
        <w:keepNext w:val="0"/>
        <w:keepLines w:val="0"/>
        <w:pageBreakBefore/>
        <w:spacing w:line="360" w:lineRule="auto"/>
        <w:jc w:val="center"/>
        <w:rPr>
          <w:rFonts w:hint="eastAsia" w:ascii="黑体" w:hAnsi="黑体" w:eastAsia="黑体"/>
          <w:spacing w:val="20"/>
          <w:sz w:val="36"/>
          <w:szCs w:val="36"/>
        </w:rPr>
      </w:pPr>
      <w:bookmarkStart w:id="181" w:name="_Toc21869"/>
      <w:bookmarkStart w:id="182" w:name="_Toc16983"/>
      <w:bookmarkStart w:id="183" w:name="_Toc29690"/>
      <w:r>
        <w:rPr>
          <w:rFonts w:hint="eastAsia" w:ascii="黑体" w:hAnsi="黑体" w:eastAsia="黑体"/>
          <w:spacing w:val="20"/>
          <w:sz w:val="36"/>
          <w:szCs w:val="36"/>
        </w:rPr>
        <w:t>第八部分 唱标信封格式</w:t>
      </w:r>
      <w:bookmarkEnd w:id="181"/>
      <w:bookmarkEnd w:id="182"/>
      <w:bookmarkEnd w:id="183"/>
    </w:p>
    <w:p>
      <w:pPr>
        <w:spacing w:line="360" w:lineRule="auto"/>
        <w:jc w:val="center"/>
        <w:rPr>
          <w:rFonts w:hint="eastAsia" w:ascii="黑体" w:hAnsi="黑体" w:eastAsia="黑体"/>
          <w:bCs/>
          <w:sz w:val="52"/>
          <w:szCs w:val="52"/>
        </w:rPr>
      </w:pPr>
    </w:p>
    <w:p>
      <w:pPr>
        <w:spacing w:line="360" w:lineRule="auto"/>
        <w:jc w:val="center"/>
        <w:rPr>
          <w:rFonts w:hint="eastAsia" w:ascii="黑体" w:hAnsi="黑体" w:eastAsia="黑体"/>
          <w:bCs/>
          <w:sz w:val="44"/>
          <w:szCs w:val="44"/>
        </w:rPr>
      </w:pPr>
      <w:r>
        <w:rPr>
          <w:rFonts w:hint="eastAsia" w:ascii="黑体" w:hAnsi="黑体" w:eastAsia="黑体"/>
          <w:bCs/>
          <w:sz w:val="44"/>
          <w:szCs w:val="44"/>
        </w:rPr>
        <w:t>南方报业传媒集团核心信息系统云备份中心建设项目</w:t>
      </w:r>
    </w:p>
    <w:p>
      <w:pPr>
        <w:spacing w:line="360" w:lineRule="auto"/>
        <w:jc w:val="center"/>
        <w:rPr>
          <w:rFonts w:hint="eastAsia" w:ascii="黑体" w:hAnsi="黑体" w:eastAsia="黑体"/>
          <w:b/>
          <w:sz w:val="22"/>
        </w:rPr>
      </w:pPr>
    </w:p>
    <w:p>
      <w:pPr>
        <w:spacing w:line="360" w:lineRule="auto"/>
        <w:jc w:val="center"/>
        <w:rPr>
          <w:rFonts w:hint="eastAsia" w:ascii="黑体" w:hAnsi="黑体" w:eastAsia="黑体"/>
          <w:b/>
          <w:sz w:val="32"/>
          <w:szCs w:val="32"/>
        </w:rPr>
      </w:pPr>
      <w:r>
        <w:rPr>
          <w:rFonts w:hint="eastAsia" w:ascii="黑体" w:hAnsi="黑体" w:eastAsia="黑体"/>
          <w:bCs/>
          <w:sz w:val="32"/>
          <w:szCs w:val="32"/>
        </w:rPr>
        <w:t>（项目编号：</w:t>
      </w:r>
      <w:r>
        <w:rPr>
          <w:rFonts w:ascii="黑体" w:hAnsi="黑体" w:eastAsia="黑体"/>
          <w:bCs/>
          <w:sz w:val="32"/>
          <w:szCs w:val="32"/>
          <w:u w:val="single"/>
        </w:rPr>
        <w:t xml:space="preserve">             </w:t>
      </w:r>
      <w:r>
        <w:rPr>
          <w:rFonts w:hint="eastAsia" w:ascii="黑体" w:hAnsi="黑体" w:eastAsia="黑体"/>
          <w:bCs/>
          <w:sz w:val="32"/>
          <w:szCs w:val="32"/>
        </w:rPr>
        <w:t>）</w:t>
      </w:r>
    </w:p>
    <w:p>
      <w:pPr>
        <w:spacing w:before="1404" w:beforeLines="450" w:line="360" w:lineRule="auto"/>
        <w:jc w:val="center"/>
        <w:rPr>
          <w:rFonts w:hint="eastAsia" w:ascii="黑体" w:hAnsi="黑体" w:eastAsia="黑体"/>
          <w:b/>
          <w:spacing w:val="60"/>
          <w:sz w:val="96"/>
          <w:szCs w:val="96"/>
        </w:rPr>
      </w:pPr>
      <w:r>
        <w:rPr>
          <w:rFonts w:hint="eastAsia" w:ascii="黑体" w:hAnsi="黑体" w:eastAsia="黑体"/>
          <w:b/>
          <w:spacing w:val="60"/>
          <w:sz w:val="96"/>
          <w:szCs w:val="96"/>
        </w:rPr>
        <w:t>唱标信封</w:t>
      </w:r>
    </w:p>
    <w:p>
      <w:pPr>
        <w:spacing w:after="2028" w:afterLines="650" w:line="360" w:lineRule="auto"/>
        <w:jc w:val="center"/>
        <w:rPr>
          <w:rFonts w:hint="eastAsia" w:ascii="黑体" w:hAnsi="黑体" w:eastAsia="黑体"/>
          <w:b/>
          <w:sz w:val="22"/>
        </w:rPr>
      </w:pPr>
      <w:r>
        <w:rPr>
          <w:rFonts w:hint="eastAsia" w:ascii="黑体" w:hAnsi="黑体" w:eastAsia="黑体"/>
          <w:b/>
          <w:sz w:val="22"/>
        </w:rPr>
        <w:t>（封面格式仅供参考）</w:t>
      </w:r>
    </w:p>
    <w:tbl>
      <w:tblPr>
        <w:tblStyle w:val="37"/>
        <w:tblW w:w="4184" w:type="pct"/>
        <w:jc w:val="center"/>
        <w:tblLayout w:type="autofit"/>
        <w:tblCellMar>
          <w:top w:w="0" w:type="dxa"/>
          <w:left w:w="108" w:type="dxa"/>
          <w:bottom w:w="0" w:type="dxa"/>
          <w:right w:w="108" w:type="dxa"/>
        </w:tblCellMar>
      </w:tblPr>
      <w:tblGrid>
        <w:gridCol w:w="2085"/>
        <w:gridCol w:w="5251"/>
      </w:tblGrid>
      <w:tr>
        <w:tblPrEx>
          <w:tblCellMar>
            <w:top w:w="0" w:type="dxa"/>
            <w:left w:w="108" w:type="dxa"/>
            <w:bottom w:w="0" w:type="dxa"/>
            <w:right w:w="108" w:type="dxa"/>
          </w:tblCellMar>
        </w:tblPrEx>
        <w:trPr>
          <w:trHeight w:val="507" w:hRule="atLeast"/>
          <w:jc w:val="center"/>
        </w:trPr>
        <w:tc>
          <w:tcPr>
            <w:tcW w:w="1421" w:type="pct"/>
            <w:noWrap w:val="0"/>
            <w:vAlign w:val="center"/>
          </w:tcPr>
          <w:p>
            <w:pPr>
              <w:spacing w:line="360" w:lineRule="auto"/>
              <w:jc w:val="right"/>
              <w:rPr>
                <w:rFonts w:hint="eastAsia" w:ascii="黑体" w:hAnsi="黑体" w:eastAsia="黑体"/>
                <w:sz w:val="28"/>
                <w:szCs w:val="28"/>
              </w:rPr>
            </w:pPr>
            <w:r>
              <w:rPr>
                <w:rFonts w:hint="eastAsia" w:ascii="黑体" w:hAnsi="黑体" w:eastAsia="黑体"/>
                <w:sz w:val="28"/>
                <w:szCs w:val="28"/>
              </w:rPr>
              <w:t>投标人名称：</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6" w:hRule="atLeast"/>
          <w:jc w:val="center"/>
        </w:trPr>
        <w:tc>
          <w:tcPr>
            <w:tcW w:w="1421" w:type="pct"/>
            <w:noWrap w:val="0"/>
            <w:vAlign w:val="center"/>
          </w:tcPr>
          <w:p>
            <w:pPr>
              <w:spacing w:line="360" w:lineRule="auto"/>
              <w:jc w:val="right"/>
              <w:rPr>
                <w:rFonts w:hint="eastAsia" w:ascii="黑体" w:hAnsi="黑体" w:eastAsia="黑体"/>
                <w:sz w:val="28"/>
                <w:szCs w:val="28"/>
              </w:rPr>
            </w:pPr>
            <w:r>
              <w:rPr>
                <w:rFonts w:hint="eastAsia" w:ascii="黑体" w:hAnsi="黑体" w:eastAsia="黑体"/>
                <w:sz w:val="28"/>
                <w:szCs w:val="28"/>
              </w:rPr>
              <w:t>投标人地址：</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0" w:hRule="atLeast"/>
          <w:jc w:val="center"/>
        </w:trPr>
        <w:tc>
          <w:tcPr>
            <w:tcW w:w="1421" w:type="pct"/>
            <w:noWrap w:val="0"/>
            <w:vAlign w:val="center"/>
          </w:tcPr>
          <w:p>
            <w:pPr>
              <w:spacing w:line="360" w:lineRule="auto"/>
              <w:jc w:val="right"/>
              <w:rPr>
                <w:rFonts w:hint="eastAsia" w:ascii="黑体" w:hAnsi="黑体" w:eastAsia="黑体"/>
                <w:spacing w:val="-10"/>
                <w:sz w:val="28"/>
                <w:szCs w:val="28"/>
              </w:rPr>
            </w:pPr>
            <w:r>
              <w:rPr>
                <w:rFonts w:hint="eastAsia" w:ascii="黑体" w:hAnsi="黑体" w:eastAsia="黑体"/>
                <w:sz w:val="28"/>
                <w:szCs w:val="28"/>
              </w:rPr>
              <w:t>投标联系人</w:t>
            </w:r>
            <w:r>
              <w:rPr>
                <w:rFonts w:hint="eastAsia" w:ascii="黑体" w:hAnsi="黑体" w:eastAsia="黑体"/>
                <w:spacing w:val="-10"/>
                <w:sz w:val="28"/>
                <w:szCs w:val="28"/>
              </w:rPr>
              <w:t>：</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r>
        <w:tblPrEx>
          <w:tblCellMar>
            <w:top w:w="0" w:type="dxa"/>
            <w:left w:w="108" w:type="dxa"/>
            <w:bottom w:w="0" w:type="dxa"/>
            <w:right w:w="108" w:type="dxa"/>
          </w:tblCellMar>
        </w:tblPrEx>
        <w:trPr>
          <w:trHeight w:val="558" w:hRule="atLeast"/>
          <w:jc w:val="center"/>
        </w:trPr>
        <w:tc>
          <w:tcPr>
            <w:tcW w:w="1421" w:type="pct"/>
            <w:noWrap w:val="0"/>
            <w:vAlign w:val="center"/>
          </w:tcPr>
          <w:p>
            <w:pPr>
              <w:tabs>
                <w:tab w:val="left" w:pos="170"/>
              </w:tabs>
              <w:spacing w:line="360" w:lineRule="auto"/>
              <w:jc w:val="right"/>
              <w:rPr>
                <w:rFonts w:hint="eastAsia" w:ascii="黑体" w:hAnsi="黑体" w:eastAsia="黑体"/>
                <w:sz w:val="28"/>
                <w:szCs w:val="28"/>
              </w:rPr>
            </w:pPr>
            <w:r>
              <w:rPr>
                <w:rFonts w:hint="eastAsia" w:ascii="黑体" w:hAnsi="黑体" w:eastAsia="黑体"/>
                <w:spacing w:val="24"/>
                <w:sz w:val="28"/>
                <w:szCs w:val="28"/>
              </w:rPr>
              <w:t>联系电话</w:t>
            </w:r>
            <w:r>
              <w:rPr>
                <w:rFonts w:hint="eastAsia" w:ascii="黑体" w:hAnsi="黑体" w:eastAsia="黑体"/>
                <w:sz w:val="28"/>
                <w:szCs w:val="28"/>
              </w:rPr>
              <w:t>：</w:t>
            </w:r>
          </w:p>
        </w:tc>
        <w:tc>
          <w:tcPr>
            <w:tcW w:w="3579" w:type="pct"/>
            <w:noWrap w:val="0"/>
            <w:vAlign w:val="center"/>
          </w:tcPr>
          <w:p>
            <w:pPr>
              <w:spacing w:line="360" w:lineRule="auto"/>
              <w:jc w:val="left"/>
              <w:rPr>
                <w:rFonts w:hint="eastAsia" w:ascii="黑体" w:hAnsi="黑体" w:eastAsia="黑体"/>
                <w:sz w:val="28"/>
                <w:szCs w:val="28"/>
                <w:u w:val="single"/>
              </w:rPr>
            </w:pPr>
            <w:r>
              <w:rPr>
                <w:rFonts w:ascii="黑体" w:hAnsi="黑体" w:eastAsia="黑体"/>
                <w:sz w:val="28"/>
                <w:szCs w:val="28"/>
                <w:u w:val="single"/>
              </w:rPr>
              <w:t xml:space="preserve">                                       </w:t>
            </w:r>
          </w:p>
        </w:tc>
      </w:tr>
    </w:tbl>
    <w:p>
      <w:pPr>
        <w:spacing w:before="468" w:beforeLines="150" w:line="600" w:lineRule="exact"/>
        <w:jc w:val="center"/>
        <w:rPr>
          <w:rFonts w:hint="eastAsia" w:ascii="黑体" w:hAnsi="黑体" w:eastAsia="黑体"/>
          <w:b/>
          <w:bCs/>
          <w:spacing w:val="40"/>
          <w:sz w:val="28"/>
          <w:szCs w:val="28"/>
        </w:rPr>
      </w:pPr>
      <w:r>
        <w:rPr>
          <w:rFonts w:hint="eastAsia" w:ascii="黑体" w:hAnsi="黑体" w:eastAsia="黑体"/>
          <w:b/>
          <w:spacing w:val="40"/>
          <w:sz w:val="28"/>
          <w:szCs w:val="28"/>
        </w:rPr>
        <w:t>日期：</w:t>
      </w:r>
      <w:r>
        <w:rPr>
          <w:rFonts w:hint="eastAsia" w:ascii="黑体" w:hAnsi="黑体" w:eastAsia="黑体"/>
          <w:b/>
          <w:spacing w:val="20"/>
          <w:sz w:val="22"/>
        </w:rPr>
        <w:t xml:space="preserve">    </w:t>
      </w:r>
      <w:r>
        <w:rPr>
          <w:rFonts w:hint="eastAsia" w:ascii="黑体" w:hAnsi="黑体" w:eastAsia="黑体"/>
          <w:b/>
          <w:spacing w:val="40"/>
          <w:sz w:val="28"/>
          <w:szCs w:val="28"/>
        </w:rPr>
        <w:t xml:space="preserve">年 </w:t>
      </w:r>
      <w:r>
        <w:rPr>
          <w:rFonts w:ascii="黑体" w:hAnsi="黑体" w:eastAsia="黑体"/>
          <w:b/>
          <w:spacing w:val="40"/>
          <w:sz w:val="28"/>
          <w:szCs w:val="28"/>
        </w:rPr>
        <w:t xml:space="preserve"> </w:t>
      </w:r>
      <w:r>
        <w:rPr>
          <w:rFonts w:hint="eastAsia" w:ascii="黑体" w:hAnsi="黑体" w:eastAsia="黑体"/>
          <w:b/>
          <w:spacing w:val="40"/>
          <w:sz w:val="28"/>
          <w:szCs w:val="28"/>
        </w:rPr>
        <w:t xml:space="preserve">月 </w:t>
      </w:r>
      <w:r>
        <w:rPr>
          <w:rFonts w:ascii="黑体" w:hAnsi="黑体" w:eastAsia="黑体"/>
          <w:b/>
          <w:spacing w:val="40"/>
          <w:sz w:val="28"/>
          <w:szCs w:val="28"/>
        </w:rPr>
        <w:t xml:space="preserve"> </w:t>
      </w:r>
      <w:r>
        <w:rPr>
          <w:rFonts w:hint="eastAsia" w:ascii="黑体" w:hAnsi="黑体" w:eastAsia="黑体"/>
          <w:b/>
          <w:spacing w:val="40"/>
          <w:sz w:val="28"/>
          <w:szCs w:val="28"/>
        </w:rPr>
        <w:t>日</w:t>
      </w:r>
    </w:p>
    <w:p>
      <w:pPr>
        <w:spacing w:line="360" w:lineRule="auto"/>
        <w:rPr>
          <w:rFonts w:hint="eastAsia" w:ascii="黑体" w:hAnsi="黑体" w:eastAsia="黑体"/>
          <w:sz w:val="22"/>
          <w:szCs w:val="24"/>
        </w:rPr>
      </w:pPr>
    </w:p>
    <w:p>
      <w:pPr>
        <w:widowControl/>
        <w:jc w:val="left"/>
        <w:rPr>
          <w:rFonts w:hint="eastAsia" w:ascii="黑体" w:hAnsi="黑体" w:eastAsia="黑体"/>
          <w:sz w:val="22"/>
          <w:szCs w:val="24"/>
        </w:rPr>
      </w:pPr>
      <w:r>
        <w:rPr>
          <w:rFonts w:ascii="黑体" w:hAnsi="黑体" w:eastAsia="黑体"/>
          <w:sz w:val="22"/>
          <w:szCs w:val="24"/>
        </w:rPr>
        <w:br w:type="page"/>
      </w:r>
    </w:p>
    <w:p>
      <w:pPr>
        <w:pStyle w:val="64"/>
        <w:numPr>
          <w:ilvl w:val="0"/>
          <w:numId w:val="80"/>
        </w:numPr>
        <w:spacing w:before="312" w:beforeLines="100" w:after="312" w:afterLines="100" w:line="360" w:lineRule="auto"/>
        <w:ind w:firstLineChars="0"/>
        <w:jc w:val="left"/>
        <w:rPr>
          <w:rFonts w:hint="eastAsia" w:ascii="黑体" w:hAnsi="黑体" w:eastAsia="黑体"/>
          <w:b/>
          <w:spacing w:val="20"/>
          <w:sz w:val="32"/>
          <w:szCs w:val="32"/>
        </w:rPr>
      </w:pPr>
      <w:r>
        <w:rPr>
          <w:rFonts w:hint="eastAsia" w:ascii="黑体" w:hAnsi="黑体" w:eastAsia="黑体"/>
          <w:b/>
          <w:spacing w:val="20"/>
          <w:sz w:val="32"/>
          <w:szCs w:val="32"/>
        </w:rPr>
        <w:t>唱标信封内装：</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开标一览表加盖投标人公章；</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分项报价表加盖投标人公章；</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法定代表人证明书或法定代表人授权委托书加盖投标人公章；</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投标保证金汇入情况说明加盖投标人公章；</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银行汇款凭证加盖投标人公章；</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sz w:val="22"/>
        </w:rPr>
        <w:t>电子文件（U</w:t>
      </w:r>
      <w:r>
        <w:rPr>
          <w:rFonts w:ascii="黑体" w:hAnsi="黑体" w:eastAsia="黑体"/>
          <w:sz w:val="22"/>
        </w:rPr>
        <w:t>盘）；</w:t>
      </w:r>
    </w:p>
    <w:p>
      <w:pPr>
        <w:pStyle w:val="64"/>
        <w:numPr>
          <w:ilvl w:val="0"/>
          <w:numId w:val="81"/>
        </w:numPr>
        <w:spacing w:line="360" w:lineRule="auto"/>
        <w:ind w:firstLineChars="0"/>
        <w:rPr>
          <w:rFonts w:hint="eastAsia" w:ascii="黑体" w:hAnsi="黑体" w:eastAsia="黑体"/>
          <w:sz w:val="22"/>
        </w:rPr>
      </w:pPr>
      <w:r>
        <w:rPr>
          <w:rFonts w:hint="eastAsia" w:ascii="黑体" w:hAnsi="黑体" w:eastAsia="黑体"/>
          <w:bCs/>
          <w:sz w:val="22"/>
        </w:rPr>
        <w:t>其他格式（如有）</w:t>
      </w:r>
      <w:r>
        <w:rPr>
          <w:rFonts w:hint="eastAsia" w:ascii="黑体" w:hAnsi="黑体" w:eastAsia="黑体"/>
          <w:sz w:val="22"/>
        </w:rPr>
        <w:t>。</w:t>
      </w:r>
    </w:p>
    <w:p>
      <w:pPr>
        <w:widowControl/>
        <w:jc w:val="left"/>
        <w:rPr>
          <w:rFonts w:hint="eastAsia" w:ascii="黑体" w:hAnsi="黑体" w:eastAsia="黑体"/>
          <w:sz w:val="22"/>
          <w:szCs w:val="24"/>
        </w:rPr>
      </w:pPr>
    </w:p>
    <w:sectPr>
      <w:pgSz w:w="11906" w:h="16838"/>
      <w:pgMar w:top="1521" w:right="1558" w:bottom="993" w:left="1797" w:header="851"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DEZBWU+FZY4JW--GB1-0">
    <w:altName w:val="微软雅黑"/>
    <w:panose1 w:val="00000000000000000000"/>
    <w:charset w:val="86"/>
    <w:family w:val="swiss"/>
    <w:pitch w:val="default"/>
    <w:sig w:usb0="00000000" w:usb1="00000000" w:usb2="00000000" w:usb3="00000000" w:csb0="00040000" w:csb1="00000000"/>
  </w:font>
  <w:font w:name="??????_GBK">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pPr>
    <w:r>
      <w:fldChar w:fldCharType="begin"/>
    </w:r>
    <w:r>
      <w:instrText xml:space="preserve"> PAGE   \* MERGEFORMAT </w:instrText>
    </w:r>
    <w:r>
      <w:fldChar w:fldCharType="separate"/>
    </w:r>
    <w:r>
      <w:rPr>
        <w:lang w:val="zh-CN"/>
      </w:rPr>
      <w:t>33</w:t>
    </w:r>
    <w:r>
      <w:fldChar w:fldCharType="end"/>
    </w:r>
  </w:p>
  <w:p>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5"/>
                            <w:jc w:val="right"/>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lang w:val="zh-CN"/>
                            </w:rPr>
                            <w:t>33</w:t>
                          </w:r>
                          <w:r>
                            <w:rPr>
                              <w:sz w:val="22"/>
                              <w:szCs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25"/>
                      <w:jc w:val="right"/>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lang w:val="zh-CN"/>
                      </w:rPr>
                      <w:t>33</w:t>
                    </w:r>
                    <w:r>
                      <w:rPr>
                        <w:sz w:val="22"/>
                        <w:szCs w:val="22"/>
                      </w:rPr>
                      <w:fldChar w:fldCharType="end"/>
                    </w:r>
                  </w:p>
                </w:txbxContent>
              </v:textbox>
            </v:shape>
          </w:pict>
        </mc:Fallback>
      </mc:AlternateContent>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5"/>
                            <w:jc w:val="center"/>
                          </w:pPr>
                          <w:r>
                            <w:fldChar w:fldCharType="begin"/>
                          </w:r>
                          <w:r>
                            <w:instrText xml:space="preserve">PAGE   \* MERGEFORMAT</w:instrText>
                          </w:r>
                          <w:r>
                            <w:fldChar w:fldCharType="separate"/>
                          </w:r>
                          <w:r>
                            <w:rPr>
                              <w:lang w:val="zh-CN"/>
                            </w:rPr>
                            <w:t>2</w:t>
                          </w:r>
                          <w:r>
                            <w:fldChar w:fldCharType="end"/>
                          </w:r>
                        </w:p>
                        <w:p>
                          <w:pPr>
                            <w:pStyle w:val="4"/>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25"/>
                      <w:jc w:val="center"/>
                    </w:pPr>
                    <w:r>
                      <w:fldChar w:fldCharType="begin"/>
                    </w:r>
                    <w:r>
                      <w:instrText xml:space="preserve">PAGE   \* MERGEFORMAT</w:instrText>
                    </w:r>
                    <w:r>
                      <w:fldChar w:fldCharType="separate"/>
                    </w:r>
                    <w:r>
                      <w:rPr>
                        <w:lang w:val="zh-CN"/>
                      </w:rPr>
                      <w:t>2</w:t>
                    </w:r>
                    <w:r>
                      <w:fldChar w:fldCharType="end"/>
                    </w:r>
                  </w:p>
                  <w:p>
                    <w:pPr>
                      <w:pStyle w:val="4"/>
                      <w:ind w:firstLine="640"/>
                    </w:pPr>
                  </w:p>
                </w:txbxContent>
              </v:textbox>
            </v:shape>
          </w:pict>
        </mc:Fallback>
      </mc:AlternateContent>
    </w:r>
  </w:p>
  <w:p>
    <w:pPr>
      <w:pStyle w:val="2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5"/>
                            <w:jc w:val="center"/>
                          </w:pPr>
                          <w:r>
                            <w:fldChar w:fldCharType="begin"/>
                          </w:r>
                          <w:r>
                            <w:instrText xml:space="preserve">PAGE   \* MERGEFORMAT</w:instrText>
                          </w:r>
                          <w:r>
                            <w:fldChar w:fldCharType="separate"/>
                          </w:r>
                          <w:r>
                            <w:rPr>
                              <w:lang w:val="zh-CN"/>
                            </w:rPr>
                            <w:t>2</w:t>
                          </w:r>
                          <w:r>
                            <w:fldChar w:fldCharType="end"/>
                          </w:r>
                        </w:p>
                        <w:p>
                          <w:pPr>
                            <w:pStyle w:val="4"/>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25"/>
                      <w:jc w:val="center"/>
                    </w:pPr>
                    <w:r>
                      <w:fldChar w:fldCharType="begin"/>
                    </w:r>
                    <w:r>
                      <w:instrText xml:space="preserve">PAGE   \* MERGEFORMAT</w:instrText>
                    </w:r>
                    <w:r>
                      <w:fldChar w:fldCharType="separate"/>
                    </w:r>
                    <w:r>
                      <w:rPr>
                        <w:lang w:val="zh-CN"/>
                      </w:rPr>
                      <w:t>2</w:t>
                    </w:r>
                    <w:r>
                      <w:fldChar w:fldCharType="end"/>
                    </w:r>
                  </w:p>
                  <w:p>
                    <w:pPr>
                      <w:pStyle w:val="4"/>
                      <w:ind w:firstLine="640"/>
                    </w:pPr>
                  </w:p>
                </w:txbxContent>
              </v:textbox>
            </v:shape>
          </w:pict>
        </mc:Fallback>
      </mc:AlternateContent>
    </w:r>
  </w:p>
  <w:p>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left"/>
      <w:rPr>
        <w:rFonts w:hint="eastAsia" w:ascii="黑体" w:hAnsi="黑体" w:eastAsia="黑体"/>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9EF3D"/>
    <w:multiLevelType w:val="singleLevel"/>
    <w:tmpl w:val="9E09EF3D"/>
    <w:lvl w:ilvl="0" w:tentative="0">
      <w:start w:val="6"/>
      <w:numFmt w:val="chineseCounting"/>
      <w:suff w:val="space"/>
      <w:lvlText w:val="第%1条"/>
      <w:lvlJc w:val="left"/>
      <w:rPr>
        <w:rFonts w:hint="eastAsia"/>
      </w:rPr>
    </w:lvl>
  </w:abstractNum>
  <w:abstractNum w:abstractNumId="1">
    <w:nsid w:val="AD1DDCBC"/>
    <w:multiLevelType w:val="singleLevel"/>
    <w:tmpl w:val="AD1DDCBC"/>
    <w:lvl w:ilvl="0" w:tentative="0">
      <w:start w:val="1"/>
      <w:numFmt w:val="decimal"/>
      <w:suff w:val="nothing"/>
      <w:lvlText w:val="%1、"/>
      <w:lvlJc w:val="left"/>
    </w:lvl>
  </w:abstractNum>
  <w:abstractNum w:abstractNumId="2">
    <w:nsid w:val="B4AB3A7C"/>
    <w:multiLevelType w:val="singleLevel"/>
    <w:tmpl w:val="B4AB3A7C"/>
    <w:lvl w:ilvl="0" w:tentative="0">
      <w:start w:val="2"/>
      <w:numFmt w:val="decimal"/>
      <w:suff w:val="nothing"/>
      <w:lvlText w:val="%1、"/>
      <w:lvlJc w:val="left"/>
    </w:lvl>
  </w:abstractNum>
  <w:abstractNum w:abstractNumId="3">
    <w:nsid w:val="B5CD7FBD"/>
    <w:multiLevelType w:val="multilevel"/>
    <w:tmpl w:val="B5CD7FBD"/>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4.%2"/>
      <w:lvlJc w:val="left"/>
      <w:pPr>
        <w:ind w:left="567" w:hanging="567"/>
      </w:pPr>
      <w:rPr>
        <w:rFonts w:hint="default" w:ascii="宋体" w:hAnsi="宋体" w:eastAsia="宋体" w:cs="宋体"/>
      </w:rPr>
    </w:lvl>
    <w:lvl w:ilvl="2" w:tentative="0">
      <w:start w:val="3"/>
      <w:numFmt w:val="decimal"/>
      <w:lvlText w:val="%1.4.%3"/>
      <w:lvlJc w:val="left"/>
      <w:pPr>
        <w:ind w:left="709" w:hanging="709"/>
      </w:pPr>
      <w:rPr>
        <w:rFonts w:hint="default"/>
      </w:rPr>
    </w:lvl>
    <w:lvl w:ilvl="3" w:tentative="0">
      <w:start w:val="1"/>
      <w:numFmt w:val="decimal"/>
      <w:lvlText w:val="%1.%2.%3.%4."/>
      <w:lvlJc w:val="left"/>
      <w:pPr>
        <w:ind w:left="851" w:hanging="851"/>
      </w:pPr>
      <w:rPr>
        <w:rFonts w:hint="default" w:ascii="宋体" w:hAnsi="宋体" w:eastAsia="宋体" w:cs="宋体"/>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BEECC247"/>
    <w:multiLevelType w:val="singleLevel"/>
    <w:tmpl w:val="BEECC247"/>
    <w:lvl w:ilvl="0" w:tentative="0">
      <w:start w:val="1"/>
      <w:numFmt w:val="decimal"/>
      <w:suff w:val="nothing"/>
      <w:lvlText w:val="%1）"/>
      <w:lvlJc w:val="left"/>
    </w:lvl>
  </w:abstractNum>
  <w:abstractNum w:abstractNumId="5">
    <w:nsid w:val="DFD35341"/>
    <w:multiLevelType w:val="singleLevel"/>
    <w:tmpl w:val="DFD35341"/>
    <w:lvl w:ilvl="0" w:tentative="0">
      <w:start w:val="1"/>
      <w:numFmt w:val="chineseCounting"/>
      <w:suff w:val="nothing"/>
      <w:lvlText w:val="%1、"/>
      <w:lvlJc w:val="left"/>
      <w:pPr>
        <w:ind w:left="0" w:firstLine="420"/>
      </w:pPr>
      <w:rPr>
        <w:rFonts w:hint="eastAsia"/>
      </w:rPr>
    </w:lvl>
  </w:abstractNum>
  <w:abstractNum w:abstractNumId="6">
    <w:nsid w:val="038A63D2"/>
    <w:multiLevelType w:val="multilevel"/>
    <w:tmpl w:val="038A63D2"/>
    <w:lvl w:ilvl="0" w:tentative="0">
      <w:start w:val="29"/>
      <w:numFmt w:val="decimal"/>
      <w:lvlText w:val="%1"/>
      <w:lvlJc w:val="left"/>
      <w:pPr>
        <w:ind w:left="425" w:hanging="425"/>
      </w:pPr>
      <w:rPr>
        <w:rFonts w:hint="eastAsia"/>
        <w:b/>
        <w:i w:val="0"/>
        <w:color w:val="auto"/>
        <w:sz w:val="21"/>
      </w:rPr>
    </w:lvl>
    <w:lvl w:ilvl="1" w:tentative="0">
      <w:start w:val="1"/>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3.%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040A34B3"/>
    <w:multiLevelType w:val="multilevel"/>
    <w:tmpl w:val="040A34B3"/>
    <w:lvl w:ilvl="0" w:tentative="0">
      <w:start w:val="1"/>
      <w:numFmt w:val="decimal"/>
      <w:lvlText w:val="14.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43631BE"/>
    <w:multiLevelType w:val="multilevel"/>
    <w:tmpl w:val="043631BE"/>
    <w:lvl w:ilvl="0" w:tentative="0">
      <w:start w:val="1"/>
      <w:numFmt w:val="decimal"/>
      <w:lvlText w:val="2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8AF46D7"/>
    <w:multiLevelType w:val="multilevel"/>
    <w:tmpl w:val="08AF46D7"/>
    <w:lvl w:ilvl="0" w:tentative="0">
      <w:start w:val="1"/>
      <w:numFmt w:val="decimal"/>
      <w:lvlText w:val="3.%1"/>
      <w:lvlJc w:val="left"/>
      <w:pPr>
        <w:ind w:left="94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A9528F9"/>
    <w:multiLevelType w:val="multilevel"/>
    <w:tmpl w:val="0A9528F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B5D1CF6"/>
    <w:multiLevelType w:val="multilevel"/>
    <w:tmpl w:val="0B5D1CF6"/>
    <w:lvl w:ilvl="0" w:tentative="0">
      <w:start w:val="1"/>
      <w:numFmt w:val="decimal"/>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0FE07D7"/>
    <w:multiLevelType w:val="multilevel"/>
    <w:tmpl w:val="10FE07D7"/>
    <w:lvl w:ilvl="0" w:tentative="0">
      <w:start w:val="1"/>
      <w:numFmt w:val="decimal"/>
      <w:lvlText w:val="2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76E0134"/>
    <w:multiLevelType w:val="multilevel"/>
    <w:tmpl w:val="176E0134"/>
    <w:lvl w:ilvl="0" w:tentative="0">
      <w:start w:val="1"/>
      <w:numFmt w:val="decimal"/>
      <w:lvlText w:val="2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83154B4"/>
    <w:multiLevelType w:val="multilevel"/>
    <w:tmpl w:val="183154B4"/>
    <w:lvl w:ilvl="0" w:tentative="0">
      <w:start w:val="1"/>
      <w:numFmt w:val="decimal"/>
      <w:lvlText w:val="2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9CD77AF"/>
    <w:multiLevelType w:val="multilevel"/>
    <w:tmpl w:val="19CD77AF"/>
    <w:lvl w:ilvl="0" w:tentative="0">
      <w:start w:val="1"/>
      <w:numFmt w:val="decimal"/>
      <w:lvlText w:val="3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A600377"/>
    <w:multiLevelType w:val="multilevel"/>
    <w:tmpl w:val="1A600377"/>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A973E3B"/>
    <w:multiLevelType w:val="multilevel"/>
    <w:tmpl w:val="1A973E3B"/>
    <w:lvl w:ilvl="0" w:tentative="0">
      <w:start w:val="1"/>
      <w:numFmt w:val="decimal"/>
      <w:lvlText w:val="1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C4E0595"/>
    <w:multiLevelType w:val="multilevel"/>
    <w:tmpl w:val="1C4E05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D1318A6"/>
    <w:multiLevelType w:val="multilevel"/>
    <w:tmpl w:val="1D1318A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1D8E0E47"/>
    <w:multiLevelType w:val="singleLevel"/>
    <w:tmpl w:val="1D8E0E47"/>
    <w:lvl w:ilvl="0" w:tentative="0">
      <w:start w:val="2"/>
      <w:numFmt w:val="decimal"/>
      <w:suff w:val="nothing"/>
      <w:lvlText w:val="%1、"/>
      <w:lvlJc w:val="left"/>
    </w:lvl>
  </w:abstractNum>
  <w:abstractNum w:abstractNumId="21">
    <w:nsid w:val="1DA21561"/>
    <w:multiLevelType w:val="multilevel"/>
    <w:tmpl w:val="1DA2156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30.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1E0E2DA0"/>
    <w:multiLevelType w:val="multilevel"/>
    <w:tmpl w:val="1E0E2DA0"/>
    <w:lvl w:ilvl="0" w:tentative="0">
      <w:start w:val="1"/>
      <w:numFmt w:val="decimal"/>
      <w:lvlText w:val="%1"/>
      <w:lvlJc w:val="left"/>
      <w:pPr>
        <w:ind w:left="425" w:hanging="425"/>
      </w:pPr>
      <w:rPr>
        <w:rFonts w:hint="eastAsia"/>
        <w:b/>
        <w:i w:val="0"/>
        <w:color w:val="auto"/>
        <w:sz w:val="21"/>
      </w:rPr>
    </w:lvl>
    <w:lvl w:ilvl="1" w:tentative="0">
      <w:start w:val="1"/>
      <w:numFmt w:val="decimal"/>
      <w:lvlText w:val="29.%2"/>
      <w:lvlJc w:val="left"/>
      <w:pPr>
        <w:ind w:left="567" w:hanging="567"/>
      </w:pPr>
      <w:rPr>
        <w:rFonts w:hint="eastAsia"/>
        <w:b/>
        <w:bCs w:val="0"/>
        <w:color w:val="auto"/>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3">
    <w:nsid w:val="1F1F0EBB"/>
    <w:multiLevelType w:val="multilevel"/>
    <w:tmpl w:val="1F1F0EBB"/>
    <w:lvl w:ilvl="0" w:tentative="0">
      <w:start w:val="1"/>
      <w:numFmt w:val="decimal"/>
      <w:lvlText w:val="3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25F566EF"/>
    <w:multiLevelType w:val="multilevel"/>
    <w:tmpl w:val="25F566EF"/>
    <w:lvl w:ilvl="0" w:tentative="0">
      <w:start w:val="1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5">
    <w:nsid w:val="2A16535C"/>
    <w:multiLevelType w:val="multilevel"/>
    <w:tmpl w:val="2A16535C"/>
    <w:lvl w:ilvl="0" w:tentative="0">
      <w:start w:val="1"/>
      <w:numFmt w:val="decimal"/>
      <w:lvlText w:val="1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B1320B6"/>
    <w:multiLevelType w:val="multilevel"/>
    <w:tmpl w:val="2B1320B6"/>
    <w:lvl w:ilvl="0" w:tentative="0">
      <w:start w:val="1"/>
      <w:numFmt w:val="decimal"/>
      <w:lvlText w:val="2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2B8721E3"/>
    <w:multiLevelType w:val="multilevel"/>
    <w:tmpl w:val="2B8721E3"/>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8">
    <w:nsid w:val="2C2B1E1F"/>
    <w:multiLevelType w:val="multilevel"/>
    <w:tmpl w:val="2C2B1E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2E8F60A7"/>
    <w:multiLevelType w:val="multilevel"/>
    <w:tmpl w:val="2E8F60A7"/>
    <w:lvl w:ilvl="0" w:tentative="0">
      <w:start w:val="1"/>
      <w:numFmt w:val="decimal"/>
      <w:lvlText w:val="2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2FF332FE"/>
    <w:multiLevelType w:val="multilevel"/>
    <w:tmpl w:val="2FF332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346F47EE"/>
    <w:multiLevelType w:val="multilevel"/>
    <w:tmpl w:val="346F47E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4CE7977"/>
    <w:multiLevelType w:val="multilevel"/>
    <w:tmpl w:val="34CE7977"/>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36603967"/>
    <w:multiLevelType w:val="multilevel"/>
    <w:tmpl w:val="36603967"/>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3B5D1229"/>
    <w:multiLevelType w:val="multilevel"/>
    <w:tmpl w:val="3B5D1229"/>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3BFF7564"/>
    <w:multiLevelType w:val="multilevel"/>
    <w:tmpl w:val="3BFF7564"/>
    <w:lvl w:ilvl="0" w:tentative="0">
      <w:start w:val="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6">
    <w:nsid w:val="3E7B3266"/>
    <w:multiLevelType w:val="multilevel"/>
    <w:tmpl w:val="3E7B3266"/>
    <w:lvl w:ilvl="0" w:tentative="0">
      <w:start w:val="1"/>
      <w:numFmt w:val="decimal"/>
      <w:lvlText w:val="3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3EDA68BD"/>
    <w:multiLevelType w:val="multilevel"/>
    <w:tmpl w:val="3EDA68B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426A2696"/>
    <w:multiLevelType w:val="multilevel"/>
    <w:tmpl w:val="426A2696"/>
    <w:lvl w:ilvl="0" w:tentative="0">
      <w:start w:val="13"/>
      <w:numFmt w:val="decimal"/>
      <w:lvlText w:val="%1"/>
      <w:lvlJc w:val="left"/>
      <w:pPr>
        <w:ind w:left="425" w:hanging="425"/>
      </w:pPr>
      <w:rPr>
        <w:rFonts w:hint="eastAsia"/>
      </w:rPr>
    </w:lvl>
    <w:lvl w:ilvl="1" w:tentative="0">
      <w:start w:val="1"/>
      <w:numFmt w:val="decimal"/>
      <w:lvlText w:val="10.%2"/>
      <w:lvlJc w:val="left"/>
      <w:pPr>
        <w:ind w:left="567" w:hanging="567"/>
      </w:pPr>
      <w:rPr>
        <w:rFonts w:hint="eastAsia"/>
      </w:rPr>
    </w:lvl>
    <w:lvl w:ilvl="2" w:tentative="0">
      <w:start w:val="3"/>
      <w:numFmt w:val="decimal"/>
      <w:lvlText w:val="%1.2.1"/>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9">
    <w:nsid w:val="482F7A7A"/>
    <w:multiLevelType w:val="multilevel"/>
    <w:tmpl w:val="482F7A7A"/>
    <w:lvl w:ilvl="0" w:tentative="0">
      <w:start w:val="1"/>
      <w:numFmt w:val="decimal"/>
      <w:lvlText w:val="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49FB7819"/>
    <w:multiLevelType w:val="multilevel"/>
    <w:tmpl w:val="49FB78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4A804453"/>
    <w:multiLevelType w:val="multilevel"/>
    <w:tmpl w:val="4A804453"/>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4AD52286"/>
    <w:multiLevelType w:val="multilevel"/>
    <w:tmpl w:val="4AD52286"/>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4AE21275"/>
    <w:multiLevelType w:val="multilevel"/>
    <w:tmpl w:val="4AE21275"/>
    <w:lvl w:ilvl="0" w:tentative="0">
      <w:start w:val="8"/>
      <w:numFmt w:val="decimal"/>
      <w:lvlText w:val="%1"/>
      <w:lvlJc w:val="left"/>
      <w:pPr>
        <w:ind w:left="425" w:hanging="425"/>
      </w:pPr>
      <w:rPr>
        <w:rFonts w:hint="eastAsia"/>
      </w:rPr>
    </w:lvl>
    <w:lvl w:ilvl="1" w:tentative="0">
      <w:start w:val="1"/>
      <w:numFmt w:val="decimal"/>
      <w:lvlText w:val="6.%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4">
    <w:nsid w:val="4BAE0827"/>
    <w:multiLevelType w:val="multilevel"/>
    <w:tmpl w:val="4BAE0827"/>
    <w:lvl w:ilvl="0" w:tentative="0">
      <w:start w:val="1"/>
      <w:numFmt w:val="decimal"/>
      <w:lvlText w:val="3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51062AD7"/>
    <w:multiLevelType w:val="multilevel"/>
    <w:tmpl w:val="51062AD7"/>
    <w:lvl w:ilvl="0" w:tentative="0">
      <w:start w:val="1"/>
      <w:numFmt w:val="decimal"/>
      <w:lvlText w:val="2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51502957"/>
    <w:multiLevelType w:val="multilevel"/>
    <w:tmpl w:val="51502957"/>
    <w:lvl w:ilvl="0" w:tentative="0">
      <w:start w:val="18"/>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19.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7">
    <w:nsid w:val="52BA71BE"/>
    <w:multiLevelType w:val="multilevel"/>
    <w:tmpl w:val="52BA71B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3.%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8">
    <w:nsid w:val="53331BC6"/>
    <w:multiLevelType w:val="multilevel"/>
    <w:tmpl w:val="53331BC6"/>
    <w:lvl w:ilvl="0" w:tentative="0">
      <w:start w:val="3"/>
      <w:numFmt w:val="decimal"/>
      <w:lvlText w:val="%1"/>
      <w:lvlJc w:val="left"/>
      <w:pPr>
        <w:ind w:left="425" w:hanging="425"/>
      </w:pPr>
      <w:rPr>
        <w:rFonts w:hint="eastAsia"/>
      </w:rPr>
    </w:lvl>
    <w:lvl w:ilvl="1" w:tentative="0">
      <w:start w:val="1"/>
      <w:numFmt w:val="decimal"/>
      <w:lvlText w:val="3.%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9">
    <w:nsid w:val="537A3F02"/>
    <w:multiLevelType w:val="multilevel"/>
    <w:tmpl w:val="537A3F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54F200C9"/>
    <w:multiLevelType w:val="multilevel"/>
    <w:tmpl w:val="54F200C9"/>
    <w:lvl w:ilvl="0" w:tentative="0">
      <w:start w:val="1"/>
      <w:numFmt w:val="decimal"/>
      <w:lvlText w:val="2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55CF31B5"/>
    <w:multiLevelType w:val="multilevel"/>
    <w:tmpl w:val="55CF31B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55E32074"/>
    <w:multiLevelType w:val="multilevel"/>
    <w:tmpl w:val="55E320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57E64E5F"/>
    <w:multiLevelType w:val="multilevel"/>
    <w:tmpl w:val="57E64E5F"/>
    <w:lvl w:ilvl="0" w:tentative="0">
      <w:start w:val="1"/>
      <w:numFmt w:val="decimal"/>
      <w:lvlText w:val="%1"/>
      <w:lvlJc w:val="left"/>
      <w:pPr>
        <w:ind w:left="420" w:hanging="420"/>
      </w:pPr>
      <w:rPr>
        <w:rFonts w:hint="eastAsia"/>
        <w:b/>
        <w:i w:val="0"/>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58643DD7"/>
    <w:multiLevelType w:val="multilevel"/>
    <w:tmpl w:val="58643DD7"/>
    <w:lvl w:ilvl="0" w:tentative="0">
      <w:start w:val="1"/>
      <w:numFmt w:val="decimal"/>
      <w:lvlText w:val="17.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58DC2BF5"/>
    <w:multiLevelType w:val="multilevel"/>
    <w:tmpl w:val="58DC2BF5"/>
    <w:lvl w:ilvl="0" w:tentative="0">
      <w:start w:val="1"/>
      <w:numFmt w:val="decimal"/>
      <w:lvlText w:val="1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592B198C"/>
    <w:multiLevelType w:val="multilevel"/>
    <w:tmpl w:val="592B198C"/>
    <w:lvl w:ilvl="0" w:tentative="0">
      <w:start w:val="1"/>
      <w:numFmt w:val="chineseCountingThousand"/>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5C0E4467"/>
    <w:multiLevelType w:val="multilevel"/>
    <w:tmpl w:val="5C0E4467"/>
    <w:lvl w:ilvl="0" w:tentative="0">
      <w:start w:val="1"/>
      <w:numFmt w:val="decimal"/>
      <w:lvlText w:val="2.%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5FD40241"/>
    <w:multiLevelType w:val="multilevel"/>
    <w:tmpl w:val="5FD40241"/>
    <w:lvl w:ilvl="0" w:tentative="0">
      <w:start w:val="1"/>
      <w:numFmt w:val="decimal"/>
      <w:lvlText w:val="17.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61636B35"/>
    <w:multiLevelType w:val="multilevel"/>
    <w:tmpl w:val="61636B35"/>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209F425"/>
    <w:multiLevelType w:val="singleLevel"/>
    <w:tmpl w:val="6209F425"/>
    <w:lvl w:ilvl="0" w:tentative="0">
      <w:start w:val="1"/>
      <w:numFmt w:val="chineseCounting"/>
      <w:suff w:val="space"/>
      <w:lvlText w:val="第%1条"/>
      <w:lvlJc w:val="left"/>
    </w:lvl>
  </w:abstractNum>
  <w:abstractNum w:abstractNumId="61">
    <w:nsid w:val="62A80407"/>
    <w:multiLevelType w:val="multilevel"/>
    <w:tmpl w:val="62A80407"/>
    <w:lvl w:ilvl="0" w:tentative="0">
      <w:start w:val="1"/>
      <w:numFmt w:val="decimal"/>
      <w:lvlText w:val="1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63173248"/>
    <w:multiLevelType w:val="multilevel"/>
    <w:tmpl w:val="63173248"/>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65715ED9"/>
    <w:multiLevelType w:val="multilevel"/>
    <w:tmpl w:val="65715E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5C87B74"/>
    <w:multiLevelType w:val="multilevel"/>
    <w:tmpl w:val="65C87B74"/>
    <w:lvl w:ilvl="0" w:tentative="0">
      <w:start w:val="1"/>
      <w:numFmt w:val="decimal"/>
      <w:lvlText w:val="2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65D6B8CB"/>
    <w:multiLevelType w:val="singleLevel"/>
    <w:tmpl w:val="65D6B8CB"/>
    <w:lvl w:ilvl="0" w:tentative="0">
      <w:start w:val="1"/>
      <w:numFmt w:val="decimal"/>
      <w:suff w:val="nothing"/>
      <w:lvlText w:val="%1、"/>
      <w:lvlJc w:val="left"/>
      <w:pPr>
        <w:ind w:left="105" w:firstLine="0"/>
      </w:pPr>
    </w:lvl>
  </w:abstractNum>
  <w:abstractNum w:abstractNumId="66">
    <w:nsid w:val="67F55E3A"/>
    <w:multiLevelType w:val="multilevel"/>
    <w:tmpl w:val="67F55E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6A2271FD"/>
    <w:multiLevelType w:val="multilevel"/>
    <w:tmpl w:val="6A2271FD"/>
    <w:lvl w:ilvl="0" w:tentative="0">
      <w:start w:val="1"/>
      <w:numFmt w:val="decimal"/>
      <w:lvlText w:val="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6BCC430F"/>
    <w:multiLevelType w:val="multilevel"/>
    <w:tmpl w:val="6BCC430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708621A4"/>
    <w:multiLevelType w:val="multilevel"/>
    <w:tmpl w:val="708621A4"/>
    <w:lvl w:ilvl="0" w:tentative="0">
      <w:start w:val="1"/>
      <w:numFmt w:val="decimal"/>
      <w:lvlText w:val="3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71580BEF"/>
    <w:multiLevelType w:val="multilevel"/>
    <w:tmpl w:val="71580BEF"/>
    <w:lvl w:ilvl="0" w:tentative="0">
      <w:start w:val="30"/>
      <w:numFmt w:val="decimal"/>
      <w:lvlText w:val="%1"/>
      <w:lvlJc w:val="left"/>
      <w:pPr>
        <w:ind w:left="425" w:hanging="425"/>
      </w:pPr>
      <w:rPr>
        <w:rFonts w:hint="eastAsia"/>
        <w:b/>
        <w:i w:val="0"/>
        <w:color w:val="auto"/>
        <w:sz w:val="21"/>
      </w:rPr>
    </w:lvl>
    <w:lvl w:ilvl="1" w:tentative="0">
      <w:start w:val="4"/>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1">
    <w:nsid w:val="7264255B"/>
    <w:multiLevelType w:val="multilevel"/>
    <w:tmpl w:val="7264255B"/>
    <w:lvl w:ilvl="0" w:tentative="0">
      <w:start w:val="1"/>
      <w:numFmt w:val="chineseCountingThousand"/>
      <w:lvlText w:val="(%1)"/>
      <w:lvlJc w:val="left"/>
      <w:pPr>
        <w:ind w:left="420" w:hanging="420"/>
      </w:pPr>
      <w:rPr>
        <w:rFonts w:hint="eastAsia"/>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28821B6"/>
    <w:multiLevelType w:val="multilevel"/>
    <w:tmpl w:val="728821B6"/>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2E62A6A"/>
    <w:multiLevelType w:val="multilevel"/>
    <w:tmpl w:val="72E62A6A"/>
    <w:lvl w:ilvl="0" w:tentative="0">
      <w:start w:val="1"/>
      <w:numFmt w:val="decimal"/>
      <w:lvlText w:val="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761A1D84"/>
    <w:multiLevelType w:val="multilevel"/>
    <w:tmpl w:val="761A1D84"/>
    <w:lvl w:ilvl="0" w:tentative="0">
      <w:start w:val="1"/>
      <w:numFmt w:val="decimal"/>
      <w:lvlText w:val="1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76C06892"/>
    <w:multiLevelType w:val="multilevel"/>
    <w:tmpl w:val="76C06892"/>
    <w:lvl w:ilvl="0" w:tentative="0">
      <w:start w:val="1"/>
      <w:numFmt w:val="decimal"/>
      <w:lvlText w:val="1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7BA40B41"/>
    <w:multiLevelType w:val="multilevel"/>
    <w:tmpl w:val="7BA40B4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1.%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7">
    <w:nsid w:val="7C9C2E3E"/>
    <w:multiLevelType w:val="multilevel"/>
    <w:tmpl w:val="7C9C2E3E"/>
    <w:lvl w:ilvl="0" w:tentative="0">
      <w:start w:val="2"/>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8">
    <w:nsid w:val="7D823685"/>
    <w:multiLevelType w:val="multilevel"/>
    <w:tmpl w:val="7D82368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7E8F7E29"/>
    <w:multiLevelType w:val="multilevel"/>
    <w:tmpl w:val="7E8F7E29"/>
    <w:lvl w:ilvl="0" w:tentative="0">
      <w:start w:val="1"/>
      <w:numFmt w:val="decimal"/>
      <w:lvlText w:val="3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7FEF4FD5"/>
    <w:multiLevelType w:val="multilevel"/>
    <w:tmpl w:val="7FEF4FD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1"/>
  </w:num>
  <w:num w:numId="2">
    <w:abstractNumId w:val="19"/>
  </w:num>
  <w:num w:numId="3">
    <w:abstractNumId w:val="20"/>
  </w:num>
  <w:num w:numId="4">
    <w:abstractNumId w:val="2"/>
  </w:num>
  <w:num w:numId="5">
    <w:abstractNumId w:val="5"/>
  </w:num>
  <w:num w:numId="6">
    <w:abstractNumId w:val="22"/>
  </w:num>
  <w:num w:numId="7">
    <w:abstractNumId w:val="57"/>
  </w:num>
  <w:num w:numId="8">
    <w:abstractNumId w:val="9"/>
  </w:num>
  <w:num w:numId="9">
    <w:abstractNumId w:val="16"/>
  </w:num>
  <w:num w:numId="10">
    <w:abstractNumId w:val="62"/>
  </w:num>
  <w:num w:numId="11">
    <w:abstractNumId w:val="41"/>
  </w:num>
  <w:num w:numId="12">
    <w:abstractNumId w:val="72"/>
  </w:num>
  <w:num w:numId="13">
    <w:abstractNumId w:val="39"/>
  </w:num>
  <w:num w:numId="14">
    <w:abstractNumId w:val="73"/>
  </w:num>
  <w:num w:numId="15">
    <w:abstractNumId w:val="55"/>
  </w:num>
  <w:num w:numId="16">
    <w:abstractNumId w:val="11"/>
  </w:num>
  <w:num w:numId="17">
    <w:abstractNumId w:val="80"/>
  </w:num>
  <w:num w:numId="18">
    <w:abstractNumId w:val="24"/>
  </w:num>
  <w:num w:numId="19">
    <w:abstractNumId w:val="34"/>
  </w:num>
  <w:num w:numId="20">
    <w:abstractNumId w:val="10"/>
  </w:num>
  <w:num w:numId="21">
    <w:abstractNumId w:val="7"/>
  </w:num>
  <w:num w:numId="22">
    <w:abstractNumId w:val="61"/>
  </w:num>
  <w:num w:numId="23">
    <w:abstractNumId w:val="74"/>
  </w:num>
  <w:num w:numId="24">
    <w:abstractNumId w:val="75"/>
  </w:num>
  <w:num w:numId="25">
    <w:abstractNumId w:val="58"/>
  </w:num>
  <w:num w:numId="26">
    <w:abstractNumId w:val="54"/>
  </w:num>
  <w:num w:numId="27">
    <w:abstractNumId w:val="25"/>
  </w:num>
  <w:num w:numId="28">
    <w:abstractNumId w:val="17"/>
  </w:num>
  <w:num w:numId="29">
    <w:abstractNumId w:val="46"/>
  </w:num>
  <w:num w:numId="30">
    <w:abstractNumId w:val="14"/>
  </w:num>
  <w:num w:numId="31">
    <w:abstractNumId w:val="13"/>
  </w:num>
  <w:num w:numId="32">
    <w:abstractNumId w:val="42"/>
  </w:num>
  <w:num w:numId="33">
    <w:abstractNumId w:val="45"/>
  </w:num>
  <w:num w:numId="34">
    <w:abstractNumId w:val="64"/>
  </w:num>
  <w:num w:numId="35">
    <w:abstractNumId w:val="26"/>
  </w:num>
  <w:num w:numId="36">
    <w:abstractNumId w:val="12"/>
  </w:num>
  <w:num w:numId="37">
    <w:abstractNumId w:val="50"/>
  </w:num>
  <w:num w:numId="38">
    <w:abstractNumId w:val="8"/>
  </w:num>
  <w:num w:numId="39">
    <w:abstractNumId w:val="29"/>
  </w:num>
  <w:num w:numId="40">
    <w:abstractNumId w:val="6"/>
  </w:num>
  <w:num w:numId="41">
    <w:abstractNumId w:val="15"/>
  </w:num>
  <w:num w:numId="42">
    <w:abstractNumId w:val="76"/>
  </w:num>
  <w:num w:numId="43">
    <w:abstractNumId w:val="21"/>
  </w:num>
  <w:num w:numId="44">
    <w:abstractNumId w:val="27"/>
  </w:num>
  <w:num w:numId="45">
    <w:abstractNumId w:val="70"/>
  </w:num>
  <w:num w:numId="46">
    <w:abstractNumId w:val="67"/>
  </w:num>
  <w:num w:numId="47">
    <w:abstractNumId w:val="33"/>
  </w:num>
  <w:num w:numId="48">
    <w:abstractNumId w:val="44"/>
  </w:num>
  <w:num w:numId="49">
    <w:abstractNumId w:val="79"/>
  </w:num>
  <w:num w:numId="50">
    <w:abstractNumId w:val="23"/>
  </w:num>
  <w:num w:numId="51">
    <w:abstractNumId w:val="36"/>
  </w:num>
  <w:num w:numId="52">
    <w:abstractNumId w:val="69"/>
  </w:num>
  <w:num w:numId="53">
    <w:abstractNumId w:val="32"/>
  </w:num>
  <w:num w:numId="54">
    <w:abstractNumId w:val="56"/>
  </w:num>
  <w:num w:numId="55">
    <w:abstractNumId w:val="53"/>
  </w:num>
  <w:num w:numId="56">
    <w:abstractNumId w:val="47"/>
  </w:num>
  <w:num w:numId="57">
    <w:abstractNumId w:val="35"/>
  </w:num>
  <w:num w:numId="58">
    <w:abstractNumId w:val="77"/>
  </w:num>
  <w:num w:numId="59">
    <w:abstractNumId w:val="59"/>
  </w:num>
  <w:num w:numId="60">
    <w:abstractNumId w:val="48"/>
  </w:num>
  <w:num w:numId="61">
    <w:abstractNumId w:val="3"/>
  </w:num>
  <w:num w:numId="62">
    <w:abstractNumId w:val="43"/>
  </w:num>
  <w:num w:numId="63">
    <w:abstractNumId w:val="38"/>
  </w:num>
  <w:num w:numId="64">
    <w:abstractNumId w:val="68"/>
  </w:num>
  <w:num w:numId="65">
    <w:abstractNumId w:val="18"/>
  </w:num>
  <w:num w:numId="66">
    <w:abstractNumId w:val="1"/>
  </w:num>
  <w:num w:numId="67">
    <w:abstractNumId w:val="65"/>
  </w:num>
  <w:num w:numId="68">
    <w:abstractNumId w:val="60"/>
  </w:num>
  <w:num w:numId="69">
    <w:abstractNumId w:val="0"/>
  </w:num>
  <w:num w:numId="70">
    <w:abstractNumId w:val="49"/>
  </w:num>
  <w:num w:numId="71">
    <w:abstractNumId w:val="28"/>
  </w:num>
  <w:num w:numId="72">
    <w:abstractNumId w:val="63"/>
  </w:num>
  <w:num w:numId="73">
    <w:abstractNumId w:val="66"/>
  </w:num>
  <w:num w:numId="74">
    <w:abstractNumId w:val="71"/>
  </w:num>
  <w:num w:numId="75">
    <w:abstractNumId w:val="4"/>
  </w:num>
  <w:num w:numId="76">
    <w:abstractNumId w:val="78"/>
  </w:num>
  <w:num w:numId="77">
    <w:abstractNumId w:val="40"/>
  </w:num>
  <w:num w:numId="78">
    <w:abstractNumId w:val="37"/>
  </w:num>
  <w:num w:numId="79">
    <w:abstractNumId w:val="51"/>
  </w:num>
  <w:num w:numId="80">
    <w:abstractNumId w:val="30"/>
  </w:num>
  <w:num w:numId="8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MzU3N2Q4ZTE0ZjgwZmJiYmNiZjViMmRiZTNjZTYifQ=="/>
  </w:docVars>
  <w:rsids>
    <w:rsidRoot w:val="00113B06"/>
    <w:rsid w:val="000003F9"/>
    <w:rsid w:val="00001F97"/>
    <w:rsid w:val="00002932"/>
    <w:rsid w:val="00002B11"/>
    <w:rsid w:val="00002E7B"/>
    <w:rsid w:val="00003266"/>
    <w:rsid w:val="00003270"/>
    <w:rsid w:val="00003C75"/>
    <w:rsid w:val="00003D2B"/>
    <w:rsid w:val="000047C9"/>
    <w:rsid w:val="0000569B"/>
    <w:rsid w:val="0000591B"/>
    <w:rsid w:val="00005D02"/>
    <w:rsid w:val="0000736C"/>
    <w:rsid w:val="0000775F"/>
    <w:rsid w:val="00007AFD"/>
    <w:rsid w:val="00007E86"/>
    <w:rsid w:val="000100E9"/>
    <w:rsid w:val="0001065E"/>
    <w:rsid w:val="00011C70"/>
    <w:rsid w:val="0001212F"/>
    <w:rsid w:val="00012350"/>
    <w:rsid w:val="00012887"/>
    <w:rsid w:val="000129CC"/>
    <w:rsid w:val="000132B0"/>
    <w:rsid w:val="00013B5A"/>
    <w:rsid w:val="00013C52"/>
    <w:rsid w:val="00013F69"/>
    <w:rsid w:val="00014FD9"/>
    <w:rsid w:val="000155C8"/>
    <w:rsid w:val="0001578E"/>
    <w:rsid w:val="000163DA"/>
    <w:rsid w:val="00016A0A"/>
    <w:rsid w:val="00017A0F"/>
    <w:rsid w:val="00017A69"/>
    <w:rsid w:val="0002022E"/>
    <w:rsid w:val="00020492"/>
    <w:rsid w:val="00020994"/>
    <w:rsid w:val="00020A70"/>
    <w:rsid w:val="00020E65"/>
    <w:rsid w:val="00021869"/>
    <w:rsid w:val="00022516"/>
    <w:rsid w:val="00023D47"/>
    <w:rsid w:val="00023E8B"/>
    <w:rsid w:val="0002428A"/>
    <w:rsid w:val="0002432C"/>
    <w:rsid w:val="00024720"/>
    <w:rsid w:val="00025686"/>
    <w:rsid w:val="00025BA4"/>
    <w:rsid w:val="00025EC9"/>
    <w:rsid w:val="000262C8"/>
    <w:rsid w:val="000268AD"/>
    <w:rsid w:val="000274FC"/>
    <w:rsid w:val="00030413"/>
    <w:rsid w:val="00032773"/>
    <w:rsid w:val="000329D9"/>
    <w:rsid w:val="000338CE"/>
    <w:rsid w:val="00033A70"/>
    <w:rsid w:val="00034A59"/>
    <w:rsid w:val="00034B87"/>
    <w:rsid w:val="0003507B"/>
    <w:rsid w:val="0003526D"/>
    <w:rsid w:val="00035599"/>
    <w:rsid w:val="0003575B"/>
    <w:rsid w:val="00036B6D"/>
    <w:rsid w:val="00036DF6"/>
    <w:rsid w:val="000370E9"/>
    <w:rsid w:val="0004007C"/>
    <w:rsid w:val="00040EF7"/>
    <w:rsid w:val="00041895"/>
    <w:rsid w:val="00041A8A"/>
    <w:rsid w:val="00042437"/>
    <w:rsid w:val="00042B14"/>
    <w:rsid w:val="0004306E"/>
    <w:rsid w:val="000431F9"/>
    <w:rsid w:val="000434C4"/>
    <w:rsid w:val="00043882"/>
    <w:rsid w:val="0004426E"/>
    <w:rsid w:val="000445A8"/>
    <w:rsid w:val="0004489A"/>
    <w:rsid w:val="000450C9"/>
    <w:rsid w:val="00045FBD"/>
    <w:rsid w:val="00046138"/>
    <w:rsid w:val="000474AD"/>
    <w:rsid w:val="00047632"/>
    <w:rsid w:val="0004768E"/>
    <w:rsid w:val="00047745"/>
    <w:rsid w:val="00047959"/>
    <w:rsid w:val="000500B4"/>
    <w:rsid w:val="0005038B"/>
    <w:rsid w:val="000504E2"/>
    <w:rsid w:val="0005084B"/>
    <w:rsid w:val="00050CF5"/>
    <w:rsid w:val="00051B0A"/>
    <w:rsid w:val="000527EE"/>
    <w:rsid w:val="0005311F"/>
    <w:rsid w:val="00053409"/>
    <w:rsid w:val="00053536"/>
    <w:rsid w:val="00053CF7"/>
    <w:rsid w:val="0005542F"/>
    <w:rsid w:val="00055623"/>
    <w:rsid w:val="00055C02"/>
    <w:rsid w:val="00056198"/>
    <w:rsid w:val="0005685F"/>
    <w:rsid w:val="000569AD"/>
    <w:rsid w:val="00056A46"/>
    <w:rsid w:val="00056DF4"/>
    <w:rsid w:val="00057891"/>
    <w:rsid w:val="00057A49"/>
    <w:rsid w:val="000611E2"/>
    <w:rsid w:val="0006230A"/>
    <w:rsid w:val="00063E88"/>
    <w:rsid w:val="000642C3"/>
    <w:rsid w:val="00064347"/>
    <w:rsid w:val="000647C7"/>
    <w:rsid w:val="000647F9"/>
    <w:rsid w:val="00064C24"/>
    <w:rsid w:val="00065ABC"/>
    <w:rsid w:val="00065C3D"/>
    <w:rsid w:val="00065E30"/>
    <w:rsid w:val="00066297"/>
    <w:rsid w:val="00067EA1"/>
    <w:rsid w:val="00070C6C"/>
    <w:rsid w:val="00071077"/>
    <w:rsid w:val="0007138C"/>
    <w:rsid w:val="000714D9"/>
    <w:rsid w:val="00071BBD"/>
    <w:rsid w:val="000721A3"/>
    <w:rsid w:val="0007298C"/>
    <w:rsid w:val="00073109"/>
    <w:rsid w:val="00073546"/>
    <w:rsid w:val="0007397B"/>
    <w:rsid w:val="00073BAC"/>
    <w:rsid w:val="00074C07"/>
    <w:rsid w:val="0007527F"/>
    <w:rsid w:val="00075F80"/>
    <w:rsid w:val="0007744A"/>
    <w:rsid w:val="00077996"/>
    <w:rsid w:val="00077E5C"/>
    <w:rsid w:val="000801BF"/>
    <w:rsid w:val="000806B8"/>
    <w:rsid w:val="0008077E"/>
    <w:rsid w:val="00080905"/>
    <w:rsid w:val="00080AD6"/>
    <w:rsid w:val="00080D21"/>
    <w:rsid w:val="00080F16"/>
    <w:rsid w:val="00080FAB"/>
    <w:rsid w:val="0008149C"/>
    <w:rsid w:val="000815EF"/>
    <w:rsid w:val="00081949"/>
    <w:rsid w:val="00081C04"/>
    <w:rsid w:val="00081DE6"/>
    <w:rsid w:val="00081FD7"/>
    <w:rsid w:val="00083862"/>
    <w:rsid w:val="00084527"/>
    <w:rsid w:val="00084E44"/>
    <w:rsid w:val="000852B5"/>
    <w:rsid w:val="00085AB9"/>
    <w:rsid w:val="00085BA3"/>
    <w:rsid w:val="00086FA0"/>
    <w:rsid w:val="000900E1"/>
    <w:rsid w:val="0009074A"/>
    <w:rsid w:val="00091A52"/>
    <w:rsid w:val="00091FAD"/>
    <w:rsid w:val="00092D1E"/>
    <w:rsid w:val="00092D68"/>
    <w:rsid w:val="00092E16"/>
    <w:rsid w:val="00093733"/>
    <w:rsid w:val="00093820"/>
    <w:rsid w:val="00094D9E"/>
    <w:rsid w:val="00094E0E"/>
    <w:rsid w:val="00095543"/>
    <w:rsid w:val="00095955"/>
    <w:rsid w:val="000959C1"/>
    <w:rsid w:val="000963E9"/>
    <w:rsid w:val="000972D0"/>
    <w:rsid w:val="00097AD4"/>
    <w:rsid w:val="00097BB6"/>
    <w:rsid w:val="000A03C5"/>
    <w:rsid w:val="000A04F5"/>
    <w:rsid w:val="000A0553"/>
    <w:rsid w:val="000A08A8"/>
    <w:rsid w:val="000A0BCA"/>
    <w:rsid w:val="000A0CC5"/>
    <w:rsid w:val="000A1B71"/>
    <w:rsid w:val="000A1CAB"/>
    <w:rsid w:val="000A23C1"/>
    <w:rsid w:val="000A23F0"/>
    <w:rsid w:val="000A25AB"/>
    <w:rsid w:val="000A265E"/>
    <w:rsid w:val="000A2680"/>
    <w:rsid w:val="000A2C5A"/>
    <w:rsid w:val="000A525C"/>
    <w:rsid w:val="000A58FA"/>
    <w:rsid w:val="000A607E"/>
    <w:rsid w:val="000A6863"/>
    <w:rsid w:val="000A69B0"/>
    <w:rsid w:val="000A70DF"/>
    <w:rsid w:val="000A74D7"/>
    <w:rsid w:val="000A7FB6"/>
    <w:rsid w:val="000B0F74"/>
    <w:rsid w:val="000B1390"/>
    <w:rsid w:val="000B1392"/>
    <w:rsid w:val="000B144C"/>
    <w:rsid w:val="000B1DAF"/>
    <w:rsid w:val="000B1E77"/>
    <w:rsid w:val="000B262E"/>
    <w:rsid w:val="000B2764"/>
    <w:rsid w:val="000B2938"/>
    <w:rsid w:val="000B30D6"/>
    <w:rsid w:val="000B31F5"/>
    <w:rsid w:val="000B3561"/>
    <w:rsid w:val="000B3DF5"/>
    <w:rsid w:val="000B3FB3"/>
    <w:rsid w:val="000B48CA"/>
    <w:rsid w:val="000B4A00"/>
    <w:rsid w:val="000B4B82"/>
    <w:rsid w:val="000B4BC4"/>
    <w:rsid w:val="000B526B"/>
    <w:rsid w:val="000B56F0"/>
    <w:rsid w:val="000B5EE4"/>
    <w:rsid w:val="000B6B90"/>
    <w:rsid w:val="000B6FC4"/>
    <w:rsid w:val="000B7383"/>
    <w:rsid w:val="000B7C39"/>
    <w:rsid w:val="000C00D1"/>
    <w:rsid w:val="000C015B"/>
    <w:rsid w:val="000C0782"/>
    <w:rsid w:val="000C08ED"/>
    <w:rsid w:val="000C0DE5"/>
    <w:rsid w:val="000C1825"/>
    <w:rsid w:val="000C2830"/>
    <w:rsid w:val="000C2A31"/>
    <w:rsid w:val="000C2D6A"/>
    <w:rsid w:val="000C5349"/>
    <w:rsid w:val="000C6825"/>
    <w:rsid w:val="000C68BB"/>
    <w:rsid w:val="000C6999"/>
    <w:rsid w:val="000C794C"/>
    <w:rsid w:val="000C7BAB"/>
    <w:rsid w:val="000D07B5"/>
    <w:rsid w:val="000D0B4B"/>
    <w:rsid w:val="000D0F8D"/>
    <w:rsid w:val="000D15BF"/>
    <w:rsid w:val="000D192D"/>
    <w:rsid w:val="000D2878"/>
    <w:rsid w:val="000D2E90"/>
    <w:rsid w:val="000D35C4"/>
    <w:rsid w:val="000D3BBD"/>
    <w:rsid w:val="000D557C"/>
    <w:rsid w:val="000D6325"/>
    <w:rsid w:val="000D6972"/>
    <w:rsid w:val="000D6CD5"/>
    <w:rsid w:val="000D739B"/>
    <w:rsid w:val="000D74C5"/>
    <w:rsid w:val="000D75C9"/>
    <w:rsid w:val="000D775F"/>
    <w:rsid w:val="000D7760"/>
    <w:rsid w:val="000D780C"/>
    <w:rsid w:val="000D7E59"/>
    <w:rsid w:val="000D7EA9"/>
    <w:rsid w:val="000E015F"/>
    <w:rsid w:val="000E07AC"/>
    <w:rsid w:val="000E203E"/>
    <w:rsid w:val="000E2612"/>
    <w:rsid w:val="000E2CA1"/>
    <w:rsid w:val="000E2ED0"/>
    <w:rsid w:val="000E32B6"/>
    <w:rsid w:val="000E3365"/>
    <w:rsid w:val="000E3C2F"/>
    <w:rsid w:val="000E4F35"/>
    <w:rsid w:val="000E5389"/>
    <w:rsid w:val="000E5D11"/>
    <w:rsid w:val="000E5DB4"/>
    <w:rsid w:val="000E5DC6"/>
    <w:rsid w:val="000E72C8"/>
    <w:rsid w:val="000E7361"/>
    <w:rsid w:val="000E78A6"/>
    <w:rsid w:val="000F07C3"/>
    <w:rsid w:val="000F0C2C"/>
    <w:rsid w:val="000F1889"/>
    <w:rsid w:val="000F1995"/>
    <w:rsid w:val="000F1D0D"/>
    <w:rsid w:val="000F22ED"/>
    <w:rsid w:val="000F2CF4"/>
    <w:rsid w:val="000F2D20"/>
    <w:rsid w:val="000F33B5"/>
    <w:rsid w:val="000F345D"/>
    <w:rsid w:val="000F4431"/>
    <w:rsid w:val="000F47AB"/>
    <w:rsid w:val="000F5DEF"/>
    <w:rsid w:val="000F612F"/>
    <w:rsid w:val="000F6D8A"/>
    <w:rsid w:val="000F75BE"/>
    <w:rsid w:val="000F7A57"/>
    <w:rsid w:val="00100361"/>
    <w:rsid w:val="00100683"/>
    <w:rsid w:val="0010105C"/>
    <w:rsid w:val="0010114C"/>
    <w:rsid w:val="00101869"/>
    <w:rsid w:val="00101A88"/>
    <w:rsid w:val="00101CF4"/>
    <w:rsid w:val="00101E31"/>
    <w:rsid w:val="001033B6"/>
    <w:rsid w:val="001034F2"/>
    <w:rsid w:val="00106979"/>
    <w:rsid w:val="00106BE0"/>
    <w:rsid w:val="001071E3"/>
    <w:rsid w:val="00107643"/>
    <w:rsid w:val="00107A76"/>
    <w:rsid w:val="0011039A"/>
    <w:rsid w:val="001103D0"/>
    <w:rsid w:val="00111143"/>
    <w:rsid w:val="001114DA"/>
    <w:rsid w:val="00111726"/>
    <w:rsid w:val="0011264A"/>
    <w:rsid w:val="00112670"/>
    <w:rsid w:val="00112CD1"/>
    <w:rsid w:val="00112D11"/>
    <w:rsid w:val="0011304C"/>
    <w:rsid w:val="001136AE"/>
    <w:rsid w:val="00113B06"/>
    <w:rsid w:val="00114454"/>
    <w:rsid w:val="001144BF"/>
    <w:rsid w:val="001158FA"/>
    <w:rsid w:val="00115CFE"/>
    <w:rsid w:val="001165DE"/>
    <w:rsid w:val="001170E9"/>
    <w:rsid w:val="00120AFE"/>
    <w:rsid w:val="00120EB5"/>
    <w:rsid w:val="0012116F"/>
    <w:rsid w:val="00121E2B"/>
    <w:rsid w:val="00122058"/>
    <w:rsid w:val="0012389E"/>
    <w:rsid w:val="001247DC"/>
    <w:rsid w:val="00125CD6"/>
    <w:rsid w:val="00130D4F"/>
    <w:rsid w:val="00131000"/>
    <w:rsid w:val="0013349D"/>
    <w:rsid w:val="00133F8B"/>
    <w:rsid w:val="001345BE"/>
    <w:rsid w:val="001347A0"/>
    <w:rsid w:val="00134B18"/>
    <w:rsid w:val="00134C2C"/>
    <w:rsid w:val="00134C66"/>
    <w:rsid w:val="00135135"/>
    <w:rsid w:val="00135634"/>
    <w:rsid w:val="001357A4"/>
    <w:rsid w:val="00135FE9"/>
    <w:rsid w:val="001370F0"/>
    <w:rsid w:val="00141848"/>
    <w:rsid w:val="00141862"/>
    <w:rsid w:val="00142323"/>
    <w:rsid w:val="001424FB"/>
    <w:rsid w:val="001437CB"/>
    <w:rsid w:val="00143A7D"/>
    <w:rsid w:val="00143C09"/>
    <w:rsid w:val="00143C47"/>
    <w:rsid w:val="00144242"/>
    <w:rsid w:val="00145567"/>
    <w:rsid w:val="00145632"/>
    <w:rsid w:val="00145E3F"/>
    <w:rsid w:val="001465A5"/>
    <w:rsid w:val="001470A4"/>
    <w:rsid w:val="00150234"/>
    <w:rsid w:val="00150C6F"/>
    <w:rsid w:val="001514DC"/>
    <w:rsid w:val="00151976"/>
    <w:rsid w:val="00151A3C"/>
    <w:rsid w:val="00151D66"/>
    <w:rsid w:val="001520DC"/>
    <w:rsid w:val="00153C2C"/>
    <w:rsid w:val="00153E9A"/>
    <w:rsid w:val="00154445"/>
    <w:rsid w:val="00154BB5"/>
    <w:rsid w:val="00154D5B"/>
    <w:rsid w:val="001551DD"/>
    <w:rsid w:val="00156336"/>
    <w:rsid w:val="00156355"/>
    <w:rsid w:val="00160063"/>
    <w:rsid w:val="00160209"/>
    <w:rsid w:val="00160269"/>
    <w:rsid w:val="0016042C"/>
    <w:rsid w:val="0016044E"/>
    <w:rsid w:val="00160475"/>
    <w:rsid w:val="00161EE8"/>
    <w:rsid w:val="001624FF"/>
    <w:rsid w:val="00162DC0"/>
    <w:rsid w:val="00163179"/>
    <w:rsid w:val="00163810"/>
    <w:rsid w:val="00163AE0"/>
    <w:rsid w:val="00163B71"/>
    <w:rsid w:val="00166DCE"/>
    <w:rsid w:val="00167FE2"/>
    <w:rsid w:val="00171882"/>
    <w:rsid w:val="001721B7"/>
    <w:rsid w:val="0017294B"/>
    <w:rsid w:val="001729CC"/>
    <w:rsid w:val="00173C77"/>
    <w:rsid w:val="00173E19"/>
    <w:rsid w:val="001747FB"/>
    <w:rsid w:val="001754CC"/>
    <w:rsid w:val="001754F0"/>
    <w:rsid w:val="00175D4E"/>
    <w:rsid w:val="00175DA9"/>
    <w:rsid w:val="00175FD5"/>
    <w:rsid w:val="001772E3"/>
    <w:rsid w:val="00177A6A"/>
    <w:rsid w:val="00177AE4"/>
    <w:rsid w:val="00177B0F"/>
    <w:rsid w:val="00177C63"/>
    <w:rsid w:val="00177CCE"/>
    <w:rsid w:val="001802F0"/>
    <w:rsid w:val="0018082A"/>
    <w:rsid w:val="0018096A"/>
    <w:rsid w:val="00180B97"/>
    <w:rsid w:val="001819A8"/>
    <w:rsid w:val="00182072"/>
    <w:rsid w:val="001821C9"/>
    <w:rsid w:val="001825C9"/>
    <w:rsid w:val="00183C32"/>
    <w:rsid w:val="0018408E"/>
    <w:rsid w:val="00184637"/>
    <w:rsid w:val="0018482A"/>
    <w:rsid w:val="001857A4"/>
    <w:rsid w:val="00187F02"/>
    <w:rsid w:val="00190A98"/>
    <w:rsid w:val="00190F74"/>
    <w:rsid w:val="00191E78"/>
    <w:rsid w:val="00191EB7"/>
    <w:rsid w:val="00192955"/>
    <w:rsid w:val="00192CDF"/>
    <w:rsid w:val="001933AA"/>
    <w:rsid w:val="0019398D"/>
    <w:rsid w:val="00194B7C"/>
    <w:rsid w:val="00194F0E"/>
    <w:rsid w:val="001952DB"/>
    <w:rsid w:val="001953FB"/>
    <w:rsid w:val="00195ED0"/>
    <w:rsid w:val="00196D21"/>
    <w:rsid w:val="001A0F34"/>
    <w:rsid w:val="001A1A00"/>
    <w:rsid w:val="001A2059"/>
    <w:rsid w:val="001A23EE"/>
    <w:rsid w:val="001A241E"/>
    <w:rsid w:val="001A336E"/>
    <w:rsid w:val="001A3FD4"/>
    <w:rsid w:val="001A4243"/>
    <w:rsid w:val="001A4347"/>
    <w:rsid w:val="001A45CD"/>
    <w:rsid w:val="001A4746"/>
    <w:rsid w:val="001A49B7"/>
    <w:rsid w:val="001A57E8"/>
    <w:rsid w:val="001A6433"/>
    <w:rsid w:val="001A6DF8"/>
    <w:rsid w:val="001A6FD4"/>
    <w:rsid w:val="001A7604"/>
    <w:rsid w:val="001A7B69"/>
    <w:rsid w:val="001A7C33"/>
    <w:rsid w:val="001B0384"/>
    <w:rsid w:val="001B0F54"/>
    <w:rsid w:val="001B0F69"/>
    <w:rsid w:val="001B111C"/>
    <w:rsid w:val="001B21E6"/>
    <w:rsid w:val="001B2313"/>
    <w:rsid w:val="001B27D1"/>
    <w:rsid w:val="001B31F4"/>
    <w:rsid w:val="001B3C18"/>
    <w:rsid w:val="001B40EE"/>
    <w:rsid w:val="001B5098"/>
    <w:rsid w:val="001B538C"/>
    <w:rsid w:val="001B59A7"/>
    <w:rsid w:val="001B5EB0"/>
    <w:rsid w:val="001B617D"/>
    <w:rsid w:val="001B65B2"/>
    <w:rsid w:val="001B6BE1"/>
    <w:rsid w:val="001B6EFA"/>
    <w:rsid w:val="001B7206"/>
    <w:rsid w:val="001B79D9"/>
    <w:rsid w:val="001B7CB7"/>
    <w:rsid w:val="001B7D53"/>
    <w:rsid w:val="001C0FF2"/>
    <w:rsid w:val="001C24A2"/>
    <w:rsid w:val="001C2B7A"/>
    <w:rsid w:val="001C3417"/>
    <w:rsid w:val="001C3AEF"/>
    <w:rsid w:val="001C43B5"/>
    <w:rsid w:val="001C53B2"/>
    <w:rsid w:val="001C59C0"/>
    <w:rsid w:val="001C5C11"/>
    <w:rsid w:val="001C6D02"/>
    <w:rsid w:val="001C700E"/>
    <w:rsid w:val="001C7334"/>
    <w:rsid w:val="001C747C"/>
    <w:rsid w:val="001C7550"/>
    <w:rsid w:val="001C79CC"/>
    <w:rsid w:val="001D20A2"/>
    <w:rsid w:val="001D20C2"/>
    <w:rsid w:val="001D2383"/>
    <w:rsid w:val="001D23D5"/>
    <w:rsid w:val="001D2542"/>
    <w:rsid w:val="001D321C"/>
    <w:rsid w:val="001D3F56"/>
    <w:rsid w:val="001D423C"/>
    <w:rsid w:val="001D4D1A"/>
    <w:rsid w:val="001D58DC"/>
    <w:rsid w:val="001D5C66"/>
    <w:rsid w:val="001D5FD0"/>
    <w:rsid w:val="001D633F"/>
    <w:rsid w:val="001D6369"/>
    <w:rsid w:val="001D6CB4"/>
    <w:rsid w:val="001D7096"/>
    <w:rsid w:val="001D70AB"/>
    <w:rsid w:val="001D70E2"/>
    <w:rsid w:val="001D782A"/>
    <w:rsid w:val="001D7F3B"/>
    <w:rsid w:val="001E0347"/>
    <w:rsid w:val="001E1320"/>
    <w:rsid w:val="001E1953"/>
    <w:rsid w:val="001E2190"/>
    <w:rsid w:val="001E2261"/>
    <w:rsid w:val="001E237E"/>
    <w:rsid w:val="001E302A"/>
    <w:rsid w:val="001E38C2"/>
    <w:rsid w:val="001E4B2A"/>
    <w:rsid w:val="001E59B6"/>
    <w:rsid w:val="001E5D22"/>
    <w:rsid w:val="001E6196"/>
    <w:rsid w:val="001E70BE"/>
    <w:rsid w:val="001E7316"/>
    <w:rsid w:val="001F0A03"/>
    <w:rsid w:val="001F0E98"/>
    <w:rsid w:val="001F132E"/>
    <w:rsid w:val="001F23D8"/>
    <w:rsid w:val="001F2462"/>
    <w:rsid w:val="001F286A"/>
    <w:rsid w:val="001F31F7"/>
    <w:rsid w:val="001F3E3E"/>
    <w:rsid w:val="001F49AB"/>
    <w:rsid w:val="001F4EFE"/>
    <w:rsid w:val="001F57E3"/>
    <w:rsid w:val="001F59B8"/>
    <w:rsid w:val="001F6059"/>
    <w:rsid w:val="001F6582"/>
    <w:rsid w:val="001F6EE7"/>
    <w:rsid w:val="001F737C"/>
    <w:rsid w:val="001F73CE"/>
    <w:rsid w:val="001F7963"/>
    <w:rsid w:val="001F7C7E"/>
    <w:rsid w:val="00200527"/>
    <w:rsid w:val="00200C6B"/>
    <w:rsid w:val="00201183"/>
    <w:rsid w:val="00201240"/>
    <w:rsid w:val="0020139E"/>
    <w:rsid w:val="0020271E"/>
    <w:rsid w:val="00202DB5"/>
    <w:rsid w:val="00204087"/>
    <w:rsid w:val="0020462F"/>
    <w:rsid w:val="0020658C"/>
    <w:rsid w:val="002066DD"/>
    <w:rsid w:val="00206B08"/>
    <w:rsid w:val="00207447"/>
    <w:rsid w:val="002075E1"/>
    <w:rsid w:val="00207CE2"/>
    <w:rsid w:val="00207CFF"/>
    <w:rsid w:val="00207EAC"/>
    <w:rsid w:val="00207EDC"/>
    <w:rsid w:val="0021027F"/>
    <w:rsid w:val="00210456"/>
    <w:rsid w:val="0021053E"/>
    <w:rsid w:val="00210BA4"/>
    <w:rsid w:val="00211218"/>
    <w:rsid w:val="0021121D"/>
    <w:rsid w:val="00211865"/>
    <w:rsid w:val="00211FC9"/>
    <w:rsid w:val="00212AFA"/>
    <w:rsid w:val="00212FC2"/>
    <w:rsid w:val="0021302A"/>
    <w:rsid w:val="00213F56"/>
    <w:rsid w:val="00214707"/>
    <w:rsid w:val="00214A72"/>
    <w:rsid w:val="00215084"/>
    <w:rsid w:val="0022056D"/>
    <w:rsid w:val="00221055"/>
    <w:rsid w:val="0022195F"/>
    <w:rsid w:val="00221A11"/>
    <w:rsid w:val="002220BC"/>
    <w:rsid w:val="00222411"/>
    <w:rsid w:val="00222690"/>
    <w:rsid w:val="00225376"/>
    <w:rsid w:val="002254FC"/>
    <w:rsid w:val="0022562B"/>
    <w:rsid w:val="00225737"/>
    <w:rsid w:val="0022611D"/>
    <w:rsid w:val="002261D4"/>
    <w:rsid w:val="002263E9"/>
    <w:rsid w:val="00226858"/>
    <w:rsid w:val="002268A7"/>
    <w:rsid w:val="002269B6"/>
    <w:rsid w:val="00226B98"/>
    <w:rsid w:val="00227078"/>
    <w:rsid w:val="002271C8"/>
    <w:rsid w:val="00227640"/>
    <w:rsid w:val="00227C6A"/>
    <w:rsid w:val="002307B1"/>
    <w:rsid w:val="00230C32"/>
    <w:rsid w:val="00230D95"/>
    <w:rsid w:val="00231176"/>
    <w:rsid w:val="00232622"/>
    <w:rsid w:val="002328EC"/>
    <w:rsid w:val="00233096"/>
    <w:rsid w:val="002337A9"/>
    <w:rsid w:val="002338E9"/>
    <w:rsid w:val="00234854"/>
    <w:rsid w:val="00234A4F"/>
    <w:rsid w:val="00235A7E"/>
    <w:rsid w:val="00236077"/>
    <w:rsid w:val="00236F48"/>
    <w:rsid w:val="002370E3"/>
    <w:rsid w:val="00237403"/>
    <w:rsid w:val="00237F19"/>
    <w:rsid w:val="0024025C"/>
    <w:rsid w:val="002403BF"/>
    <w:rsid w:val="002416A8"/>
    <w:rsid w:val="00241D1D"/>
    <w:rsid w:val="002421C0"/>
    <w:rsid w:val="002423DF"/>
    <w:rsid w:val="00242F8C"/>
    <w:rsid w:val="00243C71"/>
    <w:rsid w:val="00243F51"/>
    <w:rsid w:val="00244AC8"/>
    <w:rsid w:val="00244EED"/>
    <w:rsid w:val="00245009"/>
    <w:rsid w:val="0024507E"/>
    <w:rsid w:val="00245E45"/>
    <w:rsid w:val="0024682D"/>
    <w:rsid w:val="00246E57"/>
    <w:rsid w:val="00246E8A"/>
    <w:rsid w:val="00250236"/>
    <w:rsid w:val="00250717"/>
    <w:rsid w:val="002507E3"/>
    <w:rsid w:val="00250EAB"/>
    <w:rsid w:val="00251207"/>
    <w:rsid w:val="0025154B"/>
    <w:rsid w:val="002515E8"/>
    <w:rsid w:val="0025164E"/>
    <w:rsid w:val="00251C83"/>
    <w:rsid w:val="00252030"/>
    <w:rsid w:val="0025260B"/>
    <w:rsid w:val="0025316A"/>
    <w:rsid w:val="00253370"/>
    <w:rsid w:val="00253546"/>
    <w:rsid w:val="00254329"/>
    <w:rsid w:val="002554DC"/>
    <w:rsid w:val="00255559"/>
    <w:rsid w:val="00255947"/>
    <w:rsid w:val="00255A4A"/>
    <w:rsid w:val="00255D3D"/>
    <w:rsid w:val="00256603"/>
    <w:rsid w:val="0025726A"/>
    <w:rsid w:val="00260D2A"/>
    <w:rsid w:val="002613ED"/>
    <w:rsid w:val="002615A1"/>
    <w:rsid w:val="00261617"/>
    <w:rsid w:val="00261A39"/>
    <w:rsid w:val="0026201B"/>
    <w:rsid w:val="0026213E"/>
    <w:rsid w:val="0026286F"/>
    <w:rsid w:val="002634D2"/>
    <w:rsid w:val="00263550"/>
    <w:rsid w:val="00264E81"/>
    <w:rsid w:val="0026533C"/>
    <w:rsid w:val="00265732"/>
    <w:rsid w:val="00265BCE"/>
    <w:rsid w:val="002663F6"/>
    <w:rsid w:val="00266BBB"/>
    <w:rsid w:val="00266BE7"/>
    <w:rsid w:val="0026704D"/>
    <w:rsid w:val="00267C4F"/>
    <w:rsid w:val="002701BD"/>
    <w:rsid w:val="00270447"/>
    <w:rsid w:val="00270594"/>
    <w:rsid w:val="00270822"/>
    <w:rsid w:val="00270C0F"/>
    <w:rsid w:val="00270F9F"/>
    <w:rsid w:val="0027137A"/>
    <w:rsid w:val="00271467"/>
    <w:rsid w:val="002714B0"/>
    <w:rsid w:val="0027168B"/>
    <w:rsid w:val="0027195E"/>
    <w:rsid w:val="00271EB5"/>
    <w:rsid w:val="00272522"/>
    <w:rsid w:val="00272D6E"/>
    <w:rsid w:val="00272F44"/>
    <w:rsid w:val="002733A0"/>
    <w:rsid w:val="00275549"/>
    <w:rsid w:val="00276B74"/>
    <w:rsid w:val="0027765F"/>
    <w:rsid w:val="00277CC1"/>
    <w:rsid w:val="00280439"/>
    <w:rsid w:val="0028083D"/>
    <w:rsid w:val="00281353"/>
    <w:rsid w:val="002825E2"/>
    <w:rsid w:val="00283352"/>
    <w:rsid w:val="0028420E"/>
    <w:rsid w:val="0028477A"/>
    <w:rsid w:val="00284A19"/>
    <w:rsid w:val="00285A9C"/>
    <w:rsid w:val="00286319"/>
    <w:rsid w:val="00286520"/>
    <w:rsid w:val="002867E0"/>
    <w:rsid w:val="0028687B"/>
    <w:rsid w:val="002905FF"/>
    <w:rsid w:val="00290C97"/>
    <w:rsid w:val="0029144F"/>
    <w:rsid w:val="00291911"/>
    <w:rsid w:val="00292448"/>
    <w:rsid w:val="002927E9"/>
    <w:rsid w:val="00292AD3"/>
    <w:rsid w:val="002932A0"/>
    <w:rsid w:val="0029349C"/>
    <w:rsid w:val="002937A7"/>
    <w:rsid w:val="00293CDA"/>
    <w:rsid w:val="00293D3E"/>
    <w:rsid w:val="00294D11"/>
    <w:rsid w:val="00295C0A"/>
    <w:rsid w:val="002963B4"/>
    <w:rsid w:val="002965DD"/>
    <w:rsid w:val="0029694E"/>
    <w:rsid w:val="00296B5C"/>
    <w:rsid w:val="002A0127"/>
    <w:rsid w:val="002A0904"/>
    <w:rsid w:val="002A0E66"/>
    <w:rsid w:val="002A1678"/>
    <w:rsid w:val="002A178D"/>
    <w:rsid w:val="002A1796"/>
    <w:rsid w:val="002A2871"/>
    <w:rsid w:val="002A4CF8"/>
    <w:rsid w:val="002A4FF9"/>
    <w:rsid w:val="002A5140"/>
    <w:rsid w:val="002A51D4"/>
    <w:rsid w:val="002A6416"/>
    <w:rsid w:val="002A66DA"/>
    <w:rsid w:val="002A6A2A"/>
    <w:rsid w:val="002A6A9C"/>
    <w:rsid w:val="002A76C8"/>
    <w:rsid w:val="002A7850"/>
    <w:rsid w:val="002A7AD7"/>
    <w:rsid w:val="002A7B49"/>
    <w:rsid w:val="002B0BA7"/>
    <w:rsid w:val="002B0DFA"/>
    <w:rsid w:val="002B0EB2"/>
    <w:rsid w:val="002B262B"/>
    <w:rsid w:val="002B3425"/>
    <w:rsid w:val="002B3C61"/>
    <w:rsid w:val="002B4174"/>
    <w:rsid w:val="002B5493"/>
    <w:rsid w:val="002B70E8"/>
    <w:rsid w:val="002B73B0"/>
    <w:rsid w:val="002B7942"/>
    <w:rsid w:val="002C0A98"/>
    <w:rsid w:val="002C0BCC"/>
    <w:rsid w:val="002C11CB"/>
    <w:rsid w:val="002C1AE1"/>
    <w:rsid w:val="002C25D7"/>
    <w:rsid w:val="002C27B7"/>
    <w:rsid w:val="002C2940"/>
    <w:rsid w:val="002C2BC6"/>
    <w:rsid w:val="002C3064"/>
    <w:rsid w:val="002C351F"/>
    <w:rsid w:val="002C36D9"/>
    <w:rsid w:val="002C53BB"/>
    <w:rsid w:val="002C6B61"/>
    <w:rsid w:val="002C6CCF"/>
    <w:rsid w:val="002C6FEB"/>
    <w:rsid w:val="002C7DB0"/>
    <w:rsid w:val="002C7E0E"/>
    <w:rsid w:val="002C7FCA"/>
    <w:rsid w:val="002D0038"/>
    <w:rsid w:val="002D0053"/>
    <w:rsid w:val="002D006B"/>
    <w:rsid w:val="002D0672"/>
    <w:rsid w:val="002D0793"/>
    <w:rsid w:val="002D273A"/>
    <w:rsid w:val="002D2BAA"/>
    <w:rsid w:val="002D34D6"/>
    <w:rsid w:val="002D375C"/>
    <w:rsid w:val="002D3C57"/>
    <w:rsid w:val="002D3E94"/>
    <w:rsid w:val="002D3F17"/>
    <w:rsid w:val="002D49E7"/>
    <w:rsid w:val="002D4A85"/>
    <w:rsid w:val="002D4E71"/>
    <w:rsid w:val="002D4EFB"/>
    <w:rsid w:val="002D4F22"/>
    <w:rsid w:val="002D5E95"/>
    <w:rsid w:val="002D6273"/>
    <w:rsid w:val="002D62A6"/>
    <w:rsid w:val="002D687B"/>
    <w:rsid w:val="002D6E10"/>
    <w:rsid w:val="002D6ECF"/>
    <w:rsid w:val="002E076A"/>
    <w:rsid w:val="002E0A8F"/>
    <w:rsid w:val="002E1110"/>
    <w:rsid w:val="002E137D"/>
    <w:rsid w:val="002E25D2"/>
    <w:rsid w:val="002E3B14"/>
    <w:rsid w:val="002E3F27"/>
    <w:rsid w:val="002E3FDD"/>
    <w:rsid w:val="002E4973"/>
    <w:rsid w:val="002E4A46"/>
    <w:rsid w:val="002E5CA5"/>
    <w:rsid w:val="002E65A1"/>
    <w:rsid w:val="002E666B"/>
    <w:rsid w:val="002E6828"/>
    <w:rsid w:val="002E79E2"/>
    <w:rsid w:val="002E7B2E"/>
    <w:rsid w:val="002F00FF"/>
    <w:rsid w:val="002F0156"/>
    <w:rsid w:val="002F0CC7"/>
    <w:rsid w:val="002F0FDD"/>
    <w:rsid w:val="002F169E"/>
    <w:rsid w:val="002F177C"/>
    <w:rsid w:val="002F28A1"/>
    <w:rsid w:val="002F3E5C"/>
    <w:rsid w:val="002F43D6"/>
    <w:rsid w:val="002F463C"/>
    <w:rsid w:val="002F49B3"/>
    <w:rsid w:val="002F4AFD"/>
    <w:rsid w:val="002F55D5"/>
    <w:rsid w:val="002F6227"/>
    <w:rsid w:val="002F63CD"/>
    <w:rsid w:val="002F7012"/>
    <w:rsid w:val="002F715F"/>
    <w:rsid w:val="002F7181"/>
    <w:rsid w:val="002F7736"/>
    <w:rsid w:val="0030060A"/>
    <w:rsid w:val="00300674"/>
    <w:rsid w:val="00300896"/>
    <w:rsid w:val="00300F8B"/>
    <w:rsid w:val="00301175"/>
    <w:rsid w:val="003027F7"/>
    <w:rsid w:val="003029DC"/>
    <w:rsid w:val="00302AC7"/>
    <w:rsid w:val="003030D3"/>
    <w:rsid w:val="0030340C"/>
    <w:rsid w:val="00303F40"/>
    <w:rsid w:val="00304D6F"/>
    <w:rsid w:val="00304EE5"/>
    <w:rsid w:val="003055F1"/>
    <w:rsid w:val="003056CA"/>
    <w:rsid w:val="003063BE"/>
    <w:rsid w:val="0030754A"/>
    <w:rsid w:val="00311093"/>
    <w:rsid w:val="00311207"/>
    <w:rsid w:val="00312452"/>
    <w:rsid w:val="00312EF0"/>
    <w:rsid w:val="00313CBD"/>
    <w:rsid w:val="00314E00"/>
    <w:rsid w:val="003151FD"/>
    <w:rsid w:val="00315BFE"/>
    <w:rsid w:val="00315FC8"/>
    <w:rsid w:val="003164D9"/>
    <w:rsid w:val="00317027"/>
    <w:rsid w:val="00320076"/>
    <w:rsid w:val="003201B1"/>
    <w:rsid w:val="003203E9"/>
    <w:rsid w:val="00321E22"/>
    <w:rsid w:val="003220D4"/>
    <w:rsid w:val="003223A6"/>
    <w:rsid w:val="00322462"/>
    <w:rsid w:val="0032257F"/>
    <w:rsid w:val="00323CEA"/>
    <w:rsid w:val="00324245"/>
    <w:rsid w:val="00324BCF"/>
    <w:rsid w:val="00324C44"/>
    <w:rsid w:val="00324DFE"/>
    <w:rsid w:val="003257E5"/>
    <w:rsid w:val="0032684F"/>
    <w:rsid w:val="00326AAF"/>
    <w:rsid w:val="00326F02"/>
    <w:rsid w:val="00327402"/>
    <w:rsid w:val="00327730"/>
    <w:rsid w:val="003277A1"/>
    <w:rsid w:val="0033094A"/>
    <w:rsid w:val="00330952"/>
    <w:rsid w:val="0033104E"/>
    <w:rsid w:val="003319A9"/>
    <w:rsid w:val="0033256A"/>
    <w:rsid w:val="00333077"/>
    <w:rsid w:val="00334009"/>
    <w:rsid w:val="00334286"/>
    <w:rsid w:val="0033468A"/>
    <w:rsid w:val="003346D6"/>
    <w:rsid w:val="003351E2"/>
    <w:rsid w:val="003351E6"/>
    <w:rsid w:val="00335EDC"/>
    <w:rsid w:val="00336528"/>
    <w:rsid w:val="00337356"/>
    <w:rsid w:val="00337FCB"/>
    <w:rsid w:val="00340560"/>
    <w:rsid w:val="00340EE3"/>
    <w:rsid w:val="00341014"/>
    <w:rsid w:val="003415CF"/>
    <w:rsid w:val="0034231A"/>
    <w:rsid w:val="0034249B"/>
    <w:rsid w:val="003427D9"/>
    <w:rsid w:val="00342D43"/>
    <w:rsid w:val="003440E5"/>
    <w:rsid w:val="00344A03"/>
    <w:rsid w:val="0034530A"/>
    <w:rsid w:val="00345C3E"/>
    <w:rsid w:val="0034634B"/>
    <w:rsid w:val="003475BB"/>
    <w:rsid w:val="003478BB"/>
    <w:rsid w:val="0035009D"/>
    <w:rsid w:val="00350258"/>
    <w:rsid w:val="0035054D"/>
    <w:rsid w:val="003505F6"/>
    <w:rsid w:val="003513E7"/>
    <w:rsid w:val="00351B28"/>
    <w:rsid w:val="00351DDD"/>
    <w:rsid w:val="00351F0E"/>
    <w:rsid w:val="0035253A"/>
    <w:rsid w:val="00352A72"/>
    <w:rsid w:val="003530D5"/>
    <w:rsid w:val="00353B26"/>
    <w:rsid w:val="00353B32"/>
    <w:rsid w:val="00353BF5"/>
    <w:rsid w:val="00354222"/>
    <w:rsid w:val="00354383"/>
    <w:rsid w:val="00354DEB"/>
    <w:rsid w:val="00354E0A"/>
    <w:rsid w:val="00354FC9"/>
    <w:rsid w:val="0035513C"/>
    <w:rsid w:val="003557C9"/>
    <w:rsid w:val="00355C6C"/>
    <w:rsid w:val="00356107"/>
    <w:rsid w:val="003563ED"/>
    <w:rsid w:val="00356963"/>
    <w:rsid w:val="00357221"/>
    <w:rsid w:val="003577B3"/>
    <w:rsid w:val="00357D5D"/>
    <w:rsid w:val="00360498"/>
    <w:rsid w:val="00360BC9"/>
    <w:rsid w:val="0036107A"/>
    <w:rsid w:val="00361298"/>
    <w:rsid w:val="003613BD"/>
    <w:rsid w:val="003617CE"/>
    <w:rsid w:val="00361888"/>
    <w:rsid w:val="003618FB"/>
    <w:rsid w:val="00361AFD"/>
    <w:rsid w:val="0036274B"/>
    <w:rsid w:val="00362EA1"/>
    <w:rsid w:val="00363141"/>
    <w:rsid w:val="003632F2"/>
    <w:rsid w:val="003637FF"/>
    <w:rsid w:val="00363C71"/>
    <w:rsid w:val="003650F2"/>
    <w:rsid w:val="0036547F"/>
    <w:rsid w:val="0036647B"/>
    <w:rsid w:val="0036695F"/>
    <w:rsid w:val="00367098"/>
    <w:rsid w:val="003674F1"/>
    <w:rsid w:val="003718E2"/>
    <w:rsid w:val="003723C0"/>
    <w:rsid w:val="003729AC"/>
    <w:rsid w:val="00373BDD"/>
    <w:rsid w:val="00373CCB"/>
    <w:rsid w:val="0037429D"/>
    <w:rsid w:val="00375540"/>
    <w:rsid w:val="00375CEB"/>
    <w:rsid w:val="003761CC"/>
    <w:rsid w:val="00376254"/>
    <w:rsid w:val="00376792"/>
    <w:rsid w:val="00376B66"/>
    <w:rsid w:val="00376D70"/>
    <w:rsid w:val="00380B38"/>
    <w:rsid w:val="00380D37"/>
    <w:rsid w:val="003812D0"/>
    <w:rsid w:val="003813B5"/>
    <w:rsid w:val="00381706"/>
    <w:rsid w:val="00381BDA"/>
    <w:rsid w:val="003820D6"/>
    <w:rsid w:val="00382C8B"/>
    <w:rsid w:val="00382DDB"/>
    <w:rsid w:val="003839BF"/>
    <w:rsid w:val="00383B66"/>
    <w:rsid w:val="00384036"/>
    <w:rsid w:val="003840CB"/>
    <w:rsid w:val="00384B72"/>
    <w:rsid w:val="00384FA7"/>
    <w:rsid w:val="00384FB4"/>
    <w:rsid w:val="0038567D"/>
    <w:rsid w:val="00385946"/>
    <w:rsid w:val="00385B2C"/>
    <w:rsid w:val="00386439"/>
    <w:rsid w:val="00387503"/>
    <w:rsid w:val="00387CCC"/>
    <w:rsid w:val="003908CE"/>
    <w:rsid w:val="0039092A"/>
    <w:rsid w:val="0039209A"/>
    <w:rsid w:val="003920BC"/>
    <w:rsid w:val="0039310D"/>
    <w:rsid w:val="00394B59"/>
    <w:rsid w:val="00395648"/>
    <w:rsid w:val="00396815"/>
    <w:rsid w:val="00396B2A"/>
    <w:rsid w:val="00396F97"/>
    <w:rsid w:val="00397524"/>
    <w:rsid w:val="003A057C"/>
    <w:rsid w:val="003A0597"/>
    <w:rsid w:val="003A060B"/>
    <w:rsid w:val="003A0760"/>
    <w:rsid w:val="003A0C5B"/>
    <w:rsid w:val="003A1321"/>
    <w:rsid w:val="003A138D"/>
    <w:rsid w:val="003A1AEE"/>
    <w:rsid w:val="003A23EE"/>
    <w:rsid w:val="003A286E"/>
    <w:rsid w:val="003A2CA7"/>
    <w:rsid w:val="003A2ED4"/>
    <w:rsid w:val="003A3B91"/>
    <w:rsid w:val="003A3DE5"/>
    <w:rsid w:val="003A492B"/>
    <w:rsid w:val="003A4A7D"/>
    <w:rsid w:val="003A56A8"/>
    <w:rsid w:val="003A5B1D"/>
    <w:rsid w:val="003A5F4A"/>
    <w:rsid w:val="003A5F9C"/>
    <w:rsid w:val="003A6D39"/>
    <w:rsid w:val="003A6ED3"/>
    <w:rsid w:val="003A71C5"/>
    <w:rsid w:val="003A7488"/>
    <w:rsid w:val="003A7E49"/>
    <w:rsid w:val="003B0308"/>
    <w:rsid w:val="003B070F"/>
    <w:rsid w:val="003B0A92"/>
    <w:rsid w:val="003B0C54"/>
    <w:rsid w:val="003B0CA0"/>
    <w:rsid w:val="003B0E33"/>
    <w:rsid w:val="003B1B0F"/>
    <w:rsid w:val="003B1DB4"/>
    <w:rsid w:val="003B251D"/>
    <w:rsid w:val="003B3051"/>
    <w:rsid w:val="003B4483"/>
    <w:rsid w:val="003B4B26"/>
    <w:rsid w:val="003B50E7"/>
    <w:rsid w:val="003B53B8"/>
    <w:rsid w:val="003B5491"/>
    <w:rsid w:val="003B6F1D"/>
    <w:rsid w:val="003C031C"/>
    <w:rsid w:val="003C04D2"/>
    <w:rsid w:val="003C096C"/>
    <w:rsid w:val="003C13B1"/>
    <w:rsid w:val="003C1471"/>
    <w:rsid w:val="003C16A4"/>
    <w:rsid w:val="003C1977"/>
    <w:rsid w:val="003C1E05"/>
    <w:rsid w:val="003C1E48"/>
    <w:rsid w:val="003C22CA"/>
    <w:rsid w:val="003C26CF"/>
    <w:rsid w:val="003C2EDD"/>
    <w:rsid w:val="003C3367"/>
    <w:rsid w:val="003C40FB"/>
    <w:rsid w:val="003C4C7E"/>
    <w:rsid w:val="003C584D"/>
    <w:rsid w:val="003C6293"/>
    <w:rsid w:val="003C6811"/>
    <w:rsid w:val="003C6AF7"/>
    <w:rsid w:val="003C6E30"/>
    <w:rsid w:val="003C7489"/>
    <w:rsid w:val="003C787B"/>
    <w:rsid w:val="003C7BA3"/>
    <w:rsid w:val="003C7C73"/>
    <w:rsid w:val="003D033E"/>
    <w:rsid w:val="003D06A7"/>
    <w:rsid w:val="003D0E64"/>
    <w:rsid w:val="003D0FCD"/>
    <w:rsid w:val="003D1B8C"/>
    <w:rsid w:val="003D2164"/>
    <w:rsid w:val="003D228E"/>
    <w:rsid w:val="003D31D5"/>
    <w:rsid w:val="003D376F"/>
    <w:rsid w:val="003D4420"/>
    <w:rsid w:val="003D49A7"/>
    <w:rsid w:val="003D4E7C"/>
    <w:rsid w:val="003D5200"/>
    <w:rsid w:val="003D5F39"/>
    <w:rsid w:val="003D6BB8"/>
    <w:rsid w:val="003D6D78"/>
    <w:rsid w:val="003D6EDA"/>
    <w:rsid w:val="003D70C1"/>
    <w:rsid w:val="003D713B"/>
    <w:rsid w:val="003D76B6"/>
    <w:rsid w:val="003D7B40"/>
    <w:rsid w:val="003E12D0"/>
    <w:rsid w:val="003E18EB"/>
    <w:rsid w:val="003E1BA6"/>
    <w:rsid w:val="003E1C1E"/>
    <w:rsid w:val="003E23A2"/>
    <w:rsid w:val="003E267F"/>
    <w:rsid w:val="003E2BD3"/>
    <w:rsid w:val="003E2E55"/>
    <w:rsid w:val="003E341C"/>
    <w:rsid w:val="003E356D"/>
    <w:rsid w:val="003E3D8A"/>
    <w:rsid w:val="003E41E6"/>
    <w:rsid w:val="003E51A3"/>
    <w:rsid w:val="003E64EE"/>
    <w:rsid w:val="003E753A"/>
    <w:rsid w:val="003E7944"/>
    <w:rsid w:val="003F0666"/>
    <w:rsid w:val="003F0E3D"/>
    <w:rsid w:val="003F2351"/>
    <w:rsid w:val="003F23EF"/>
    <w:rsid w:val="003F270C"/>
    <w:rsid w:val="003F2DE4"/>
    <w:rsid w:val="003F39A7"/>
    <w:rsid w:val="003F3C8B"/>
    <w:rsid w:val="003F47B6"/>
    <w:rsid w:val="003F5009"/>
    <w:rsid w:val="003F55D5"/>
    <w:rsid w:val="003F59F6"/>
    <w:rsid w:val="003F5C83"/>
    <w:rsid w:val="003F678D"/>
    <w:rsid w:val="003F6AD6"/>
    <w:rsid w:val="003F6BE1"/>
    <w:rsid w:val="003F799D"/>
    <w:rsid w:val="003F7FFB"/>
    <w:rsid w:val="0040021D"/>
    <w:rsid w:val="00400222"/>
    <w:rsid w:val="00400F10"/>
    <w:rsid w:val="00400F6E"/>
    <w:rsid w:val="004011DB"/>
    <w:rsid w:val="00401484"/>
    <w:rsid w:val="00401722"/>
    <w:rsid w:val="004022B2"/>
    <w:rsid w:val="004045B1"/>
    <w:rsid w:val="00404FAE"/>
    <w:rsid w:val="00405FE6"/>
    <w:rsid w:val="00406B91"/>
    <w:rsid w:val="00406D1A"/>
    <w:rsid w:val="00407F51"/>
    <w:rsid w:val="00410584"/>
    <w:rsid w:val="00410C1B"/>
    <w:rsid w:val="00410DC2"/>
    <w:rsid w:val="00411222"/>
    <w:rsid w:val="00412252"/>
    <w:rsid w:val="004122F9"/>
    <w:rsid w:val="00412A24"/>
    <w:rsid w:val="00412A29"/>
    <w:rsid w:val="00412B81"/>
    <w:rsid w:val="00413E83"/>
    <w:rsid w:val="004144D6"/>
    <w:rsid w:val="004158B3"/>
    <w:rsid w:val="00416AAB"/>
    <w:rsid w:val="004173BA"/>
    <w:rsid w:val="004176B6"/>
    <w:rsid w:val="00417CA2"/>
    <w:rsid w:val="00417EDD"/>
    <w:rsid w:val="0042082F"/>
    <w:rsid w:val="00420C78"/>
    <w:rsid w:val="00421109"/>
    <w:rsid w:val="00421463"/>
    <w:rsid w:val="00421A9F"/>
    <w:rsid w:val="00423F45"/>
    <w:rsid w:val="0042493E"/>
    <w:rsid w:val="00424959"/>
    <w:rsid w:val="00424E76"/>
    <w:rsid w:val="004250EE"/>
    <w:rsid w:val="004253C7"/>
    <w:rsid w:val="004260A6"/>
    <w:rsid w:val="00426631"/>
    <w:rsid w:val="004267CA"/>
    <w:rsid w:val="00426FE4"/>
    <w:rsid w:val="004272A4"/>
    <w:rsid w:val="00427CAD"/>
    <w:rsid w:val="00427E13"/>
    <w:rsid w:val="0043018B"/>
    <w:rsid w:val="004306CD"/>
    <w:rsid w:val="004308B2"/>
    <w:rsid w:val="00431246"/>
    <w:rsid w:val="0043147B"/>
    <w:rsid w:val="00432268"/>
    <w:rsid w:val="004328D8"/>
    <w:rsid w:val="00433B49"/>
    <w:rsid w:val="00436F5C"/>
    <w:rsid w:val="00437329"/>
    <w:rsid w:val="00437B94"/>
    <w:rsid w:val="00437B9B"/>
    <w:rsid w:val="00437C98"/>
    <w:rsid w:val="0044009B"/>
    <w:rsid w:val="0044024C"/>
    <w:rsid w:val="00440380"/>
    <w:rsid w:val="00441324"/>
    <w:rsid w:val="00441EBE"/>
    <w:rsid w:val="0044212F"/>
    <w:rsid w:val="0044336F"/>
    <w:rsid w:val="0044350E"/>
    <w:rsid w:val="0044440C"/>
    <w:rsid w:val="00444ABA"/>
    <w:rsid w:val="004455CF"/>
    <w:rsid w:val="00445C46"/>
    <w:rsid w:val="00445C8E"/>
    <w:rsid w:val="00446610"/>
    <w:rsid w:val="00447802"/>
    <w:rsid w:val="00447D12"/>
    <w:rsid w:val="00447E30"/>
    <w:rsid w:val="00450A37"/>
    <w:rsid w:val="00450C87"/>
    <w:rsid w:val="00451639"/>
    <w:rsid w:val="00452328"/>
    <w:rsid w:val="00452A3B"/>
    <w:rsid w:val="00452CCA"/>
    <w:rsid w:val="0045345C"/>
    <w:rsid w:val="0045484C"/>
    <w:rsid w:val="00455341"/>
    <w:rsid w:val="004554ED"/>
    <w:rsid w:val="00455BB9"/>
    <w:rsid w:val="00455C02"/>
    <w:rsid w:val="00455E0C"/>
    <w:rsid w:val="00456D92"/>
    <w:rsid w:val="00457946"/>
    <w:rsid w:val="0046041A"/>
    <w:rsid w:val="00460526"/>
    <w:rsid w:val="00460D5A"/>
    <w:rsid w:val="00460D81"/>
    <w:rsid w:val="0046106D"/>
    <w:rsid w:val="004617D3"/>
    <w:rsid w:val="00461E39"/>
    <w:rsid w:val="00462064"/>
    <w:rsid w:val="004626B9"/>
    <w:rsid w:val="00462F22"/>
    <w:rsid w:val="0046375D"/>
    <w:rsid w:val="00463E78"/>
    <w:rsid w:val="0046427F"/>
    <w:rsid w:val="0046459B"/>
    <w:rsid w:val="00464A24"/>
    <w:rsid w:val="00464A80"/>
    <w:rsid w:val="00464E84"/>
    <w:rsid w:val="00464F1F"/>
    <w:rsid w:val="00465FC5"/>
    <w:rsid w:val="00466001"/>
    <w:rsid w:val="004662BE"/>
    <w:rsid w:val="00467062"/>
    <w:rsid w:val="0047097D"/>
    <w:rsid w:val="004713AF"/>
    <w:rsid w:val="00471F57"/>
    <w:rsid w:val="00472258"/>
    <w:rsid w:val="00472E95"/>
    <w:rsid w:val="00473178"/>
    <w:rsid w:val="00473AFD"/>
    <w:rsid w:val="00476377"/>
    <w:rsid w:val="0047690C"/>
    <w:rsid w:val="004769F0"/>
    <w:rsid w:val="00476F3A"/>
    <w:rsid w:val="004772FE"/>
    <w:rsid w:val="00477986"/>
    <w:rsid w:val="004803A7"/>
    <w:rsid w:val="00480513"/>
    <w:rsid w:val="00480990"/>
    <w:rsid w:val="00480DAD"/>
    <w:rsid w:val="00480F40"/>
    <w:rsid w:val="004810B1"/>
    <w:rsid w:val="004812DD"/>
    <w:rsid w:val="0048182D"/>
    <w:rsid w:val="00481BD6"/>
    <w:rsid w:val="00481DF1"/>
    <w:rsid w:val="00482590"/>
    <w:rsid w:val="004826C7"/>
    <w:rsid w:val="004828DB"/>
    <w:rsid w:val="004829D5"/>
    <w:rsid w:val="00482E60"/>
    <w:rsid w:val="0048430C"/>
    <w:rsid w:val="00484759"/>
    <w:rsid w:val="00484D8A"/>
    <w:rsid w:val="00486658"/>
    <w:rsid w:val="00486C65"/>
    <w:rsid w:val="00486D90"/>
    <w:rsid w:val="004871E2"/>
    <w:rsid w:val="00487858"/>
    <w:rsid w:val="00487E4F"/>
    <w:rsid w:val="00487E6F"/>
    <w:rsid w:val="00487FDB"/>
    <w:rsid w:val="004901E8"/>
    <w:rsid w:val="0049115A"/>
    <w:rsid w:val="00491581"/>
    <w:rsid w:val="004925A6"/>
    <w:rsid w:val="00492B9D"/>
    <w:rsid w:val="00492C1D"/>
    <w:rsid w:val="00492E1B"/>
    <w:rsid w:val="004932FC"/>
    <w:rsid w:val="00493322"/>
    <w:rsid w:val="0049356E"/>
    <w:rsid w:val="00493924"/>
    <w:rsid w:val="004943D5"/>
    <w:rsid w:val="00494B02"/>
    <w:rsid w:val="00494C7E"/>
    <w:rsid w:val="00494FE2"/>
    <w:rsid w:val="00494FF1"/>
    <w:rsid w:val="004956BA"/>
    <w:rsid w:val="00495FA0"/>
    <w:rsid w:val="00496011"/>
    <w:rsid w:val="004964FE"/>
    <w:rsid w:val="0049722C"/>
    <w:rsid w:val="0049747B"/>
    <w:rsid w:val="004975AF"/>
    <w:rsid w:val="004A05B1"/>
    <w:rsid w:val="004A06B4"/>
    <w:rsid w:val="004A07AC"/>
    <w:rsid w:val="004A11CF"/>
    <w:rsid w:val="004A2A57"/>
    <w:rsid w:val="004A2F57"/>
    <w:rsid w:val="004A3FFD"/>
    <w:rsid w:val="004A4473"/>
    <w:rsid w:val="004A5056"/>
    <w:rsid w:val="004A56D4"/>
    <w:rsid w:val="004A5B63"/>
    <w:rsid w:val="004A5CF5"/>
    <w:rsid w:val="004A68C7"/>
    <w:rsid w:val="004A7430"/>
    <w:rsid w:val="004B007C"/>
    <w:rsid w:val="004B01C5"/>
    <w:rsid w:val="004B06B0"/>
    <w:rsid w:val="004B0B1F"/>
    <w:rsid w:val="004B0F0F"/>
    <w:rsid w:val="004B115C"/>
    <w:rsid w:val="004B136F"/>
    <w:rsid w:val="004B1658"/>
    <w:rsid w:val="004B165B"/>
    <w:rsid w:val="004B2716"/>
    <w:rsid w:val="004B2EAA"/>
    <w:rsid w:val="004B3A10"/>
    <w:rsid w:val="004B3A2E"/>
    <w:rsid w:val="004B3C31"/>
    <w:rsid w:val="004B4A56"/>
    <w:rsid w:val="004B4FA3"/>
    <w:rsid w:val="004B50B0"/>
    <w:rsid w:val="004B67F4"/>
    <w:rsid w:val="004B6F18"/>
    <w:rsid w:val="004B73DF"/>
    <w:rsid w:val="004B7BD3"/>
    <w:rsid w:val="004B7CB6"/>
    <w:rsid w:val="004B7CB7"/>
    <w:rsid w:val="004B7E72"/>
    <w:rsid w:val="004C013C"/>
    <w:rsid w:val="004C0C5C"/>
    <w:rsid w:val="004C23B4"/>
    <w:rsid w:val="004C24DE"/>
    <w:rsid w:val="004C2D93"/>
    <w:rsid w:val="004C2FFB"/>
    <w:rsid w:val="004C3445"/>
    <w:rsid w:val="004C40BC"/>
    <w:rsid w:val="004C451F"/>
    <w:rsid w:val="004C4BA2"/>
    <w:rsid w:val="004C4D5A"/>
    <w:rsid w:val="004C509C"/>
    <w:rsid w:val="004C577D"/>
    <w:rsid w:val="004C5F8A"/>
    <w:rsid w:val="004C60BA"/>
    <w:rsid w:val="004C61D4"/>
    <w:rsid w:val="004C63B9"/>
    <w:rsid w:val="004C6897"/>
    <w:rsid w:val="004C6D0E"/>
    <w:rsid w:val="004C71BC"/>
    <w:rsid w:val="004D06E6"/>
    <w:rsid w:val="004D0719"/>
    <w:rsid w:val="004D0F90"/>
    <w:rsid w:val="004D0FC5"/>
    <w:rsid w:val="004D1E12"/>
    <w:rsid w:val="004D23D9"/>
    <w:rsid w:val="004D3B88"/>
    <w:rsid w:val="004D3E10"/>
    <w:rsid w:val="004D40E5"/>
    <w:rsid w:val="004D479D"/>
    <w:rsid w:val="004D535C"/>
    <w:rsid w:val="004D6002"/>
    <w:rsid w:val="004D6CD0"/>
    <w:rsid w:val="004D6F95"/>
    <w:rsid w:val="004D6FE1"/>
    <w:rsid w:val="004D7AF4"/>
    <w:rsid w:val="004E034A"/>
    <w:rsid w:val="004E0AE1"/>
    <w:rsid w:val="004E13FC"/>
    <w:rsid w:val="004E149F"/>
    <w:rsid w:val="004E217C"/>
    <w:rsid w:val="004E2380"/>
    <w:rsid w:val="004E2432"/>
    <w:rsid w:val="004E277F"/>
    <w:rsid w:val="004E35E1"/>
    <w:rsid w:val="004E3BEB"/>
    <w:rsid w:val="004E3FD5"/>
    <w:rsid w:val="004E427D"/>
    <w:rsid w:val="004E44D7"/>
    <w:rsid w:val="004E4656"/>
    <w:rsid w:val="004E5168"/>
    <w:rsid w:val="004E5326"/>
    <w:rsid w:val="004E6576"/>
    <w:rsid w:val="004E7D05"/>
    <w:rsid w:val="004E7D75"/>
    <w:rsid w:val="004F1DEC"/>
    <w:rsid w:val="004F2B73"/>
    <w:rsid w:val="004F2E1C"/>
    <w:rsid w:val="004F32AF"/>
    <w:rsid w:val="004F3D71"/>
    <w:rsid w:val="004F508B"/>
    <w:rsid w:val="004F5AE2"/>
    <w:rsid w:val="004F5D57"/>
    <w:rsid w:val="004F614A"/>
    <w:rsid w:val="004F6680"/>
    <w:rsid w:val="004F6DBE"/>
    <w:rsid w:val="004F740A"/>
    <w:rsid w:val="004F7D80"/>
    <w:rsid w:val="004F7E8F"/>
    <w:rsid w:val="00500663"/>
    <w:rsid w:val="005006FC"/>
    <w:rsid w:val="00500DB4"/>
    <w:rsid w:val="00501B34"/>
    <w:rsid w:val="00501C0F"/>
    <w:rsid w:val="0050228A"/>
    <w:rsid w:val="0050339C"/>
    <w:rsid w:val="005034DF"/>
    <w:rsid w:val="0050363D"/>
    <w:rsid w:val="005037EE"/>
    <w:rsid w:val="005053BB"/>
    <w:rsid w:val="00505515"/>
    <w:rsid w:val="0050578F"/>
    <w:rsid w:val="0050591E"/>
    <w:rsid w:val="0050650B"/>
    <w:rsid w:val="005071E5"/>
    <w:rsid w:val="005076C0"/>
    <w:rsid w:val="005105B8"/>
    <w:rsid w:val="00510F99"/>
    <w:rsid w:val="00511572"/>
    <w:rsid w:val="00511CCC"/>
    <w:rsid w:val="00513488"/>
    <w:rsid w:val="0051363C"/>
    <w:rsid w:val="005147BF"/>
    <w:rsid w:val="005155BA"/>
    <w:rsid w:val="00515645"/>
    <w:rsid w:val="0051595C"/>
    <w:rsid w:val="005159F7"/>
    <w:rsid w:val="00515E10"/>
    <w:rsid w:val="00520382"/>
    <w:rsid w:val="005203FF"/>
    <w:rsid w:val="0052084E"/>
    <w:rsid w:val="00520A68"/>
    <w:rsid w:val="00521116"/>
    <w:rsid w:val="005215D5"/>
    <w:rsid w:val="0052164C"/>
    <w:rsid w:val="0052170B"/>
    <w:rsid w:val="00521DDD"/>
    <w:rsid w:val="00522169"/>
    <w:rsid w:val="00522BFC"/>
    <w:rsid w:val="00523E15"/>
    <w:rsid w:val="00525ADF"/>
    <w:rsid w:val="00525E80"/>
    <w:rsid w:val="005261ED"/>
    <w:rsid w:val="00526D52"/>
    <w:rsid w:val="00527C39"/>
    <w:rsid w:val="00527EFF"/>
    <w:rsid w:val="005312F5"/>
    <w:rsid w:val="00531F9C"/>
    <w:rsid w:val="00532154"/>
    <w:rsid w:val="0053220B"/>
    <w:rsid w:val="00532922"/>
    <w:rsid w:val="00533A50"/>
    <w:rsid w:val="00533CF1"/>
    <w:rsid w:val="00534339"/>
    <w:rsid w:val="0053475A"/>
    <w:rsid w:val="00534AD1"/>
    <w:rsid w:val="00535081"/>
    <w:rsid w:val="005358F9"/>
    <w:rsid w:val="00535B87"/>
    <w:rsid w:val="00536ADB"/>
    <w:rsid w:val="00536C4F"/>
    <w:rsid w:val="00536F4A"/>
    <w:rsid w:val="005373D6"/>
    <w:rsid w:val="005377D9"/>
    <w:rsid w:val="00540778"/>
    <w:rsid w:val="00540A75"/>
    <w:rsid w:val="00540DB1"/>
    <w:rsid w:val="0054108A"/>
    <w:rsid w:val="0054122E"/>
    <w:rsid w:val="0054135B"/>
    <w:rsid w:val="00541490"/>
    <w:rsid w:val="005418D8"/>
    <w:rsid w:val="005418E3"/>
    <w:rsid w:val="00541D1D"/>
    <w:rsid w:val="005428E6"/>
    <w:rsid w:val="00542C53"/>
    <w:rsid w:val="00543871"/>
    <w:rsid w:val="00544487"/>
    <w:rsid w:val="00544643"/>
    <w:rsid w:val="00544CC3"/>
    <w:rsid w:val="00545188"/>
    <w:rsid w:val="0054598B"/>
    <w:rsid w:val="00546581"/>
    <w:rsid w:val="00547523"/>
    <w:rsid w:val="0055026E"/>
    <w:rsid w:val="00550E27"/>
    <w:rsid w:val="00551389"/>
    <w:rsid w:val="005514F5"/>
    <w:rsid w:val="00551C4F"/>
    <w:rsid w:val="00551F90"/>
    <w:rsid w:val="005526F6"/>
    <w:rsid w:val="005530E8"/>
    <w:rsid w:val="005535A1"/>
    <w:rsid w:val="00553E91"/>
    <w:rsid w:val="00554724"/>
    <w:rsid w:val="00554B5E"/>
    <w:rsid w:val="00555336"/>
    <w:rsid w:val="00555854"/>
    <w:rsid w:val="00555B78"/>
    <w:rsid w:val="00555CF4"/>
    <w:rsid w:val="00555FD4"/>
    <w:rsid w:val="005571E1"/>
    <w:rsid w:val="00557256"/>
    <w:rsid w:val="005572EE"/>
    <w:rsid w:val="00557344"/>
    <w:rsid w:val="00557486"/>
    <w:rsid w:val="00557A9A"/>
    <w:rsid w:val="00557B0B"/>
    <w:rsid w:val="00557CB4"/>
    <w:rsid w:val="00560893"/>
    <w:rsid w:val="0056102C"/>
    <w:rsid w:val="005625F3"/>
    <w:rsid w:val="00562BE3"/>
    <w:rsid w:val="00562EA1"/>
    <w:rsid w:val="00562ECA"/>
    <w:rsid w:val="00563146"/>
    <w:rsid w:val="00563514"/>
    <w:rsid w:val="005635B3"/>
    <w:rsid w:val="0056368B"/>
    <w:rsid w:val="005654B3"/>
    <w:rsid w:val="00565EF6"/>
    <w:rsid w:val="005664D6"/>
    <w:rsid w:val="00566D9C"/>
    <w:rsid w:val="00567610"/>
    <w:rsid w:val="00567FF2"/>
    <w:rsid w:val="005703CB"/>
    <w:rsid w:val="00570431"/>
    <w:rsid w:val="005709F3"/>
    <w:rsid w:val="00570AC3"/>
    <w:rsid w:val="00570B54"/>
    <w:rsid w:val="00570CB0"/>
    <w:rsid w:val="00571582"/>
    <w:rsid w:val="00571684"/>
    <w:rsid w:val="005716CB"/>
    <w:rsid w:val="0057349F"/>
    <w:rsid w:val="00573C15"/>
    <w:rsid w:val="0057427B"/>
    <w:rsid w:val="00574817"/>
    <w:rsid w:val="005748DB"/>
    <w:rsid w:val="00575D45"/>
    <w:rsid w:val="0057670D"/>
    <w:rsid w:val="00577649"/>
    <w:rsid w:val="00577702"/>
    <w:rsid w:val="00577FEC"/>
    <w:rsid w:val="0058029D"/>
    <w:rsid w:val="005814EE"/>
    <w:rsid w:val="00581698"/>
    <w:rsid w:val="00581D9E"/>
    <w:rsid w:val="00582F75"/>
    <w:rsid w:val="005830B1"/>
    <w:rsid w:val="005838D2"/>
    <w:rsid w:val="00584379"/>
    <w:rsid w:val="00585750"/>
    <w:rsid w:val="00585CB6"/>
    <w:rsid w:val="00585E85"/>
    <w:rsid w:val="00585F59"/>
    <w:rsid w:val="0058616A"/>
    <w:rsid w:val="005861D3"/>
    <w:rsid w:val="00586C30"/>
    <w:rsid w:val="00586F98"/>
    <w:rsid w:val="00587037"/>
    <w:rsid w:val="0058786A"/>
    <w:rsid w:val="00590F47"/>
    <w:rsid w:val="00591E25"/>
    <w:rsid w:val="0059261F"/>
    <w:rsid w:val="00593334"/>
    <w:rsid w:val="00593C15"/>
    <w:rsid w:val="0059471F"/>
    <w:rsid w:val="00594E97"/>
    <w:rsid w:val="00595B5B"/>
    <w:rsid w:val="005978DE"/>
    <w:rsid w:val="005A0239"/>
    <w:rsid w:val="005A03CF"/>
    <w:rsid w:val="005A041A"/>
    <w:rsid w:val="005A0F2A"/>
    <w:rsid w:val="005A1277"/>
    <w:rsid w:val="005A14DF"/>
    <w:rsid w:val="005A1980"/>
    <w:rsid w:val="005A2075"/>
    <w:rsid w:val="005A21D7"/>
    <w:rsid w:val="005A2968"/>
    <w:rsid w:val="005A29BB"/>
    <w:rsid w:val="005A32EC"/>
    <w:rsid w:val="005A35F4"/>
    <w:rsid w:val="005A3663"/>
    <w:rsid w:val="005A4475"/>
    <w:rsid w:val="005A4661"/>
    <w:rsid w:val="005A46AE"/>
    <w:rsid w:val="005A48DB"/>
    <w:rsid w:val="005A4D74"/>
    <w:rsid w:val="005A4EF5"/>
    <w:rsid w:val="005A5961"/>
    <w:rsid w:val="005A5DFF"/>
    <w:rsid w:val="005A791B"/>
    <w:rsid w:val="005A7CC8"/>
    <w:rsid w:val="005B0B40"/>
    <w:rsid w:val="005B0BD1"/>
    <w:rsid w:val="005B103E"/>
    <w:rsid w:val="005B1A3B"/>
    <w:rsid w:val="005B1F35"/>
    <w:rsid w:val="005B2024"/>
    <w:rsid w:val="005B2735"/>
    <w:rsid w:val="005B29C2"/>
    <w:rsid w:val="005B2AE0"/>
    <w:rsid w:val="005B31B6"/>
    <w:rsid w:val="005B3A48"/>
    <w:rsid w:val="005B3EA6"/>
    <w:rsid w:val="005B408B"/>
    <w:rsid w:val="005B40AD"/>
    <w:rsid w:val="005B5115"/>
    <w:rsid w:val="005B5E6B"/>
    <w:rsid w:val="005B5FC4"/>
    <w:rsid w:val="005B60D3"/>
    <w:rsid w:val="005B7E7C"/>
    <w:rsid w:val="005C006E"/>
    <w:rsid w:val="005C0816"/>
    <w:rsid w:val="005C10E0"/>
    <w:rsid w:val="005C149F"/>
    <w:rsid w:val="005C1776"/>
    <w:rsid w:val="005C1FAE"/>
    <w:rsid w:val="005C2D73"/>
    <w:rsid w:val="005C2F0E"/>
    <w:rsid w:val="005C3DCF"/>
    <w:rsid w:val="005C4038"/>
    <w:rsid w:val="005C42C9"/>
    <w:rsid w:val="005C42F5"/>
    <w:rsid w:val="005C4772"/>
    <w:rsid w:val="005C57B0"/>
    <w:rsid w:val="005C5C22"/>
    <w:rsid w:val="005C5DAC"/>
    <w:rsid w:val="005C6195"/>
    <w:rsid w:val="005C6284"/>
    <w:rsid w:val="005C6B5B"/>
    <w:rsid w:val="005C6DDB"/>
    <w:rsid w:val="005C76F8"/>
    <w:rsid w:val="005C7D42"/>
    <w:rsid w:val="005D0E45"/>
    <w:rsid w:val="005D0E4B"/>
    <w:rsid w:val="005D0EC4"/>
    <w:rsid w:val="005D19B7"/>
    <w:rsid w:val="005D1A1A"/>
    <w:rsid w:val="005D1EB5"/>
    <w:rsid w:val="005D1ED8"/>
    <w:rsid w:val="005D31FE"/>
    <w:rsid w:val="005D3C12"/>
    <w:rsid w:val="005D40E6"/>
    <w:rsid w:val="005D4685"/>
    <w:rsid w:val="005D4961"/>
    <w:rsid w:val="005D5C4F"/>
    <w:rsid w:val="005D62F5"/>
    <w:rsid w:val="005D6999"/>
    <w:rsid w:val="005D6B24"/>
    <w:rsid w:val="005D7D69"/>
    <w:rsid w:val="005E0C14"/>
    <w:rsid w:val="005E1779"/>
    <w:rsid w:val="005E2659"/>
    <w:rsid w:val="005E310E"/>
    <w:rsid w:val="005E35A3"/>
    <w:rsid w:val="005E3731"/>
    <w:rsid w:val="005E3977"/>
    <w:rsid w:val="005E4669"/>
    <w:rsid w:val="005E5013"/>
    <w:rsid w:val="005E50F0"/>
    <w:rsid w:val="005E50F1"/>
    <w:rsid w:val="005E6B5D"/>
    <w:rsid w:val="005E6B87"/>
    <w:rsid w:val="005E7159"/>
    <w:rsid w:val="005E75C4"/>
    <w:rsid w:val="005F0EE9"/>
    <w:rsid w:val="005F11CC"/>
    <w:rsid w:val="005F2121"/>
    <w:rsid w:val="005F27AD"/>
    <w:rsid w:val="005F2C74"/>
    <w:rsid w:val="005F30B5"/>
    <w:rsid w:val="005F34D0"/>
    <w:rsid w:val="005F3C70"/>
    <w:rsid w:val="005F3F99"/>
    <w:rsid w:val="005F62A3"/>
    <w:rsid w:val="006000F1"/>
    <w:rsid w:val="00601749"/>
    <w:rsid w:val="00601D40"/>
    <w:rsid w:val="00602457"/>
    <w:rsid w:val="00604305"/>
    <w:rsid w:val="00604640"/>
    <w:rsid w:val="006048BC"/>
    <w:rsid w:val="00604977"/>
    <w:rsid w:val="00605674"/>
    <w:rsid w:val="0060578F"/>
    <w:rsid w:val="00605C67"/>
    <w:rsid w:val="00605F0E"/>
    <w:rsid w:val="0060635A"/>
    <w:rsid w:val="00606577"/>
    <w:rsid w:val="006065DC"/>
    <w:rsid w:val="006069AC"/>
    <w:rsid w:val="006077EA"/>
    <w:rsid w:val="00610A6C"/>
    <w:rsid w:val="00610D57"/>
    <w:rsid w:val="00610DCE"/>
    <w:rsid w:val="00611BED"/>
    <w:rsid w:val="00611D71"/>
    <w:rsid w:val="006122CF"/>
    <w:rsid w:val="00612321"/>
    <w:rsid w:val="0061488B"/>
    <w:rsid w:val="00614C35"/>
    <w:rsid w:val="006156BD"/>
    <w:rsid w:val="00615A52"/>
    <w:rsid w:val="00616F9A"/>
    <w:rsid w:val="006174A3"/>
    <w:rsid w:val="00617636"/>
    <w:rsid w:val="00620975"/>
    <w:rsid w:val="00621742"/>
    <w:rsid w:val="0062195D"/>
    <w:rsid w:val="00621BFC"/>
    <w:rsid w:val="00622F77"/>
    <w:rsid w:val="00623101"/>
    <w:rsid w:val="00623FBC"/>
    <w:rsid w:val="006241E0"/>
    <w:rsid w:val="00624EDB"/>
    <w:rsid w:val="006259C6"/>
    <w:rsid w:val="00625DF2"/>
    <w:rsid w:val="00626AE8"/>
    <w:rsid w:val="00626EAB"/>
    <w:rsid w:val="00627CDB"/>
    <w:rsid w:val="00627D7A"/>
    <w:rsid w:val="0063044C"/>
    <w:rsid w:val="00630A55"/>
    <w:rsid w:val="00630FB3"/>
    <w:rsid w:val="00631115"/>
    <w:rsid w:val="0063227D"/>
    <w:rsid w:val="006325FC"/>
    <w:rsid w:val="00632707"/>
    <w:rsid w:val="006333E0"/>
    <w:rsid w:val="00633CD8"/>
    <w:rsid w:val="0063403F"/>
    <w:rsid w:val="006343EE"/>
    <w:rsid w:val="00634B9A"/>
    <w:rsid w:val="006356BC"/>
    <w:rsid w:val="00636C8D"/>
    <w:rsid w:val="0063703D"/>
    <w:rsid w:val="006375F9"/>
    <w:rsid w:val="00640D62"/>
    <w:rsid w:val="00640F46"/>
    <w:rsid w:val="00641D61"/>
    <w:rsid w:val="00641ECA"/>
    <w:rsid w:val="00642680"/>
    <w:rsid w:val="006428CE"/>
    <w:rsid w:val="00642B6A"/>
    <w:rsid w:val="00643170"/>
    <w:rsid w:val="006433C6"/>
    <w:rsid w:val="0064380B"/>
    <w:rsid w:val="0064490B"/>
    <w:rsid w:val="00645020"/>
    <w:rsid w:val="00645525"/>
    <w:rsid w:val="006458E6"/>
    <w:rsid w:val="00645D63"/>
    <w:rsid w:val="00646825"/>
    <w:rsid w:val="00646BCA"/>
    <w:rsid w:val="006479E0"/>
    <w:rsid w:val="00647D47"/>
    <w:rsid w:val="00647EE7"/>
    <w:rsid w:val="00650261"/>
    <w:rsid w:val="00650417"/>
    <w:rsid w:val="006505A6"/>
    <w:rsid w:val="00650730"/>
    <w:rsid w:val="00651444"/>
    <w:rsid w:val="006515E3"/>
    <w:rsid w:val="00651636"/>
    <w:rsid w:val="00651E07"/>
    <w:rsid w:val="00651E6A"/>
    <w:rsid w:val="006535D3"/>
    <w:rsid w:val="00653649"/>
    <w:rsid w:val="006536F5"/>
    <w:rsid w:val="00655663"/>
    <w:rsid w:val="00656FA5"/>
    <w:rsid w:val="0065703D"/>
    <w:rsid w:val="00657264"/>
    <w:rsid w:val="00657CEB"/>
    <w:rsid w:val="00657CFA"/>
    <w:rsid w:val="0066034A"/>
    <w:rsid w:val="0066089F"/>
    <w:rsid w:val="00660EEB"/>
    <w:rsid w:val="00661541"/>
    <w:rsid w:val="00661BE5"/>
    <w:rsid w:val="00662314"/>
    <w:rsid w:val="0066241F"/>
    <w:rsid w:val="0066381F"/>
    <w:rsid w:val="00663A5A"/>
    <w:rsid w:val="00663E07"/>
    <w:rsid w:val="006643AE"/>
    <w:rsid w:val="006649F6"/>
    <w:rsid w:val="00664C78"/>
    <w:rsid w:val="0066511E"/>
    <w:rsid w:val="006653D5"/>
    <w:rsid w:val="00665654"/>
    <w:rsid w:val="00665AE4"/>
    <w:rsid w:val="00666190"/>
    <w:rsid w:val="00666388"/>
    <w:rsid w:val="00666466"/>
    <w:rsid w:val="00666514"/>
    <w:rsid w:val="00666C33"/>
    <w:rsid w:val="00666C48"/>
    <w:rsid w:val="00666D3B"/>
    <w:rsid w:val="00667649"/>
    <w:rsid w:val="00667DA6"/>
    <w:rsid w:val="00667E29"/>
    <w:rsid w:val="00670BC9"/>
    <w:rsid w:val="00671301"/>
    <w:rsid w:val="00671BE1"/>
    <w:rsid w:val="00672388"/>
    <w:rsid w:val="00672906"/>
    <w:rsid w:val="00675467"/>
    <w:rsid w:val="006757BF"/>
    <w:rsid w:val="00675970"/>
    <w:rsid w:val="00675C88"/>
    <w:rsid w:val="00676842"/>
    <w:rsid w:val="006773F6"/>
    <w:rsid w:val="0067779F"/>
    <w:rsid w:val="006779FE"/>
    <w:rsid w:val="00680163"/>
    <w:rsid w:val="0068108E"/>
    <w:rsid w:val="006810E5"/>
    <w:rsid w:val="006813A2"/>
    <w:rsid w:val="0068196C"/>
    <w:rsid w:val="00681AE5"/>
    <w:rsid w:val="00681AFE"/>
    <w:rsid w:val="006828F7"/>
    <w:rsid w:val="006836AB"/>
    <w:rsid w:val="00683B34"/>
    <w:rsid w:val="00683E19"/>
    <w:rsid w:val="00684C76"/>
    <w:rsid w:val="00684E24"/>
    <w:rsid w:val="006857A3"/>
    <w:rsid w:val="00686A5C"/>
    <w:rsid w:val="00686C78"/>
    <w:rsid w:val="00687CA7"/>
    <w:rsid w:val="0069075C"/>
    <w:rsid w:val="00690B26"/>
    <w:rsid w:val="00690BDC"/>
    <w:rsid w:val="00690E1D"/>
    <w:rsid w:val="00691E8A"/>
    <w:rsid w:val="00692543"/>
    <w:rsid w:val="00692E47"/>
    <w:rsid w:val="00692FA6"/>
    <w:rsid w:val="006933FC"/>
    <w:rsid w:val="006933FE"/>
    <w:rsid w:val="00693498"/>
    <w:rsid w:val="006946A9"/>
    <w:rsid w:val="006948F1"/>
    <w:rsid w:val="00694EE7"/>
    <w:rsid w:val="00695624"/>
    <w:rsid w:val="00695FB4"/>
    <w:rsid w:val="00696069"/>
    <w:rsid w:val="00696081"/>
    <w:rsid w:val="0069629C"/>
    <w:rsid w:val="00696436"/>
    <w:rsid w:val="00696D7F"/>
    <w:rsid w:val="0069743F"/>
    <w:rsid w:val="00697B3C"/>
    <w:rsid w:val="00697EE8"/>
    <w:rsid w:val="006A01D3"/>
    <w:rsid w:val="006A0507"/>
    <w:rsid w:val="006A0721"/>
    <w:rsid w:val="006A0A5C"/>
    <w:rsid w:val="006A0C72"/>
    <w:rsid w:val="006A0CD5"/>
    <w:rsid w:val="006A1244"/>
    <w:rsid w:val="006A1B77"/>
    <w:rsid w:val="006A1BCD"/>
    <w:rsid w:val="006A24E4"/>
    <w:rsid w:val="006A3568"/>
    <w:rsid w:val="006A37B9"/>
    <w:rsid w:val="006A54F7"/>
    <w:rsid w:val="006A5B2C"/>
    <w:rsid w:val="006A7A57"/>
    <w:rsid w:val="006B0946"/>
    <w:rsid w:val="006B1015"/>
    <w:rsid w:val="006B1D3E"/>
    <w:rsid w:val="006B2401"/>
    <w:rsid w:val="006B24B4"/>
    <w:rsid w:val="006B29F0"/>
    <w:rsid w:val="006B2E33"/>
    <w:rsid w:val="006B2F90"/>
    <w:rsid w:val="006B3008"/>
    <w:rsid w:val="006B3048"/>
    <w:rsid w:val="006B312A"/>
    <w:rsid w:val="006B36FC"/>
    <w:rsid w:val="006B4AE1"/>
    <w:rsid w:val="006B51B8"/>
    <w:rsid w:val="006B54E4"/>
    <w:rsid w:val="006B56F1"/>
    <w:rsid w:val="006B64C3"/>
    <w:rsid w:val="006B6841"/>
    <w:rsid w:val="006B695C"/>
    <w:rsid w:val="006B7286"/>
    <w:rsid w:val="006B7AD6"/>
    <w:rsid w:val="006B7C65"/>
    <w:rsid w:val="006C021F"/>
    <w:rsid w:val="006C0486"/>
    <w:rsid w:val="006C068F"/>
    <w:rsid w:val="006C0B1F"/>
    <w:rsid w:val="006C1924"/>
    <w:rsid w:val="006C1E47"/>
    <w:rsid w:val="006C2248"/>
    <w:rsid w:val="006C2533"/>
    <w:rsid w:val="006C33FC"/>
    <w:rsid w:val="006C3416"/>
    <w:rsid w:val="006C4FF6"/>
    <w:rsid w:val="006C5680"/>
    <w:rsid w:val="006C652A"/>
    <w:rsid w:val="006C6820"/>
    <w:rsid w:val="006C684E"/>
    <w:rsid w:val="006C76CB"/>
    <w:rsid w:val="006D043F"/>
    <w:rsid w:val="006D067B"/>
    <w:rsid w:val="006D13B1"/>
    <w:rsid w:val="006D178E"/>
    <w:rsid w:val="006D1C37"/>
    <w:rsid w:val="006D1F2C"/>
    <w:rsid w:val="006D23F3"/>
    <w:rsid w:val="006D2709"/>
    <w:rsid w:val="006D29B1"/>
    <w:rsid w:val="006D2BAA"/>
    <w:rsid w:val="006D2DE2"/>
    <w:rsid w:val="006D2E74"/>
    <w:rsid w:val="006D2F4B"/>
    <w:rsid w:val="006D311C"/>
    <w:rsid w:val="006D3CDA"/>
    <w:rsid w:val="006D512C"/>
    <w:rsid w:val="006D5397"/>
    <w:rsid w:val="006D565C"/>
    <w:rsid w:val="006D5E2B"/>
    <w:rsid w:val="006D5E8B"/>
    <w:rsid w:val="006D5EA4"/>
    <w:rsid w:val="006D66CC"/>
    <w:rsid w:val="006D75C8"/>
    <w:rsid w:val="006D7679"/>
    <w:rsid w:val="006E0C09"/>
    <w:rsid w:val="006E1174"/>
    <w:rsid w:val="006E160F"/>
    <w:rsid w:val="006E1A75"/>
    <w:rsid w:val="006E2A1C"/>
    <w:rsid w:val="006E2C09"/>
    <w:rsid w:val="006E3226"/>
    <w:rsid w:val="006E32A1"/>
    <w:rsid w:val="006E3981"/>
    <w:rsid w:val="006E3F4B"/>
    <w:rsid w:val="006E4DE0"/>
    <w:rsid w:val="006E583C"/>
    <w:rsid w:val="006E5886"/>
    <w:rsid w:val="006E670F"/>
    <w:rsid w:val="006E7345"/>
    <w:rsid w:val="006E7B1D"/>
    <w:rsid w:val="006F0E20"/>
    <w:rsid w:val="006F183B"/>
    <w:rsid w:val="006F190F"/>
    <w:rsid w:val="006F208F"/>
    <w:rsid w:val="006F2A74"/>
    <w:rsid w:val="006F3621"/>
    <w:rsid w:val="006F3988"/>
    <w:rsid w:val="006F3D8D"/>
    <w:rsid w:val="006F3DD0"/>
    <w:rsid w:val="006F41D5"/>
    <w:rsid w:val="006F46C5"/>
    <w:rsid w:val="006F5389"/>
    <w:rsid w:val="006F5A04"/>
    <w:rsid w:val="006F73BC"/>
    <w:rsid w:val="006F7494"/>
    <w:rsid w:val="00700803"/>
    <w:rsid w:val="00700BDB"/>
    <w:rsid w:val="00700C5F"/>
    <w:rsid w:val="00701400"/>
    <w:rsid w:val="00701AD1"/>
    <w:rsid w:val="0070239A"/>
    <w:rsid w:val="00702A5E"/>
    <w:rsid w:val="00702BD0"/>
    <w:rsid w:val="00703408"/>
    <w:rsid w:val="00703666"/>
    <w:rsid w:val="00704DFA"/>
    <w:rsid w:val="00704F6D"/>
    <w:rsid w:val="00705959"/>
    <w:rsid w:val="0070737A"/>
    <w:rsid w:val="007075C5"/>
    <w:rsid w:val="00707D80"/>
    <w:rsid w:val="00707F07"/>
    <w:rsid w:val="0071021F"/>
    <w:rsid w:val="00710936"/>
    <w:rsid w:val="007117A0"/>
    <w:rsid w:val="00711CE0"/>
    <w:rsid w:val="00712D41"/>
    <w:rsid w:val="007134C0"/>
    <w:rsid w:val="007137A6"/>
    <w:rsid w:val="00714643"/>
    <w:rsid w:val="007148A4"/>
    <w:rsid w:val="0071509B"/>
    <w:rsid w:val="007150AC"/>
    <w:rsid w:val="00715311"/>
    <w:rsid w:val="007156D8"/>
    <w:rsid w:val="00715C8D"/>
    <w:rsid w:val="00716215"/>
    <w:rsid w:val="00716896"/>
    <w:rsid w:val="00716C67"/>
    <w:rsid w:val="00721121"/>
    <w:rsid w:val="00721C60"/>
    <w:rsid w:val="00721E72"/>
    <w:rsid w:val="00722F54"/>
    <w:rsid w:val="0072392A"/>
    <w:rsid w:val="007251C4"/>
    <w:rsid w:val="0072521A"/>
    <w:rsid w:val="00725B93"/>
    <w:rsid w:val="00725E2A"/>
    <w:rsid w:val="00726176"/>
    <w:rsid w:val="007262FC"/>
    <w:rsid w:val="00726800"/>
    <w:rsid w:val="00727321"/>
    <w:rsid w:val="00727537"/>
    <w:rsid w:val="00727716"/>
    <w:rsid w:val="00727BA1"/>
    <w:rsid w:val="0073015C"/>
    <w:rsid w:val="00730CBE"/>
    <w:rsid w:val="0073137F"/>
    <w:rsid w:val="00731436"/>
    <w:rsid w:val="00732B6C"/>
    <w:rsid w:val="00732C26"/>
    <w:rsid w:val="00733418"/>
    <w:rsid w:val="00733622"/>
    <w:rsid w:val="007342BF"/>
    <w:rsid w:val="0073475F"/>
    <w:rsid w:val="00735F3D"/>
    <w:rsid w:val="0073666A"/>
    <w:rsid w:val="00736B8B"/>
    <w:rsid w:val="00737D81"/>
    <w:rsid w:val="007403D2"/>
    <w:rsid w:val="0074081B"/>
    <w:rsid w:val="00740BC4"/>
    <w:rsid w:val="00740E44"/>
    <w:rsid w:val="00741813"/>
    <w:rsid w:val="007429AC"/>
    <w:rsid w:val="00742A23"/>
    <w:rsid w:val="0074359E"/>
    <w:rsid w:val="00743F9A"/>
    <w:rsid w:val="00744092"/>
    <w:rsid w:val="00744555"/>
    <w:rsid w:val="00745175"/>
    <w:rsid w:val="00746B8F"/>
    <w:rsid w:val="00746CBE"/>
    <w:rsid w:val="00746EA6"/>
    <w:rsid w:val="00747E43"/>
    <w:rsid w:val="00747EE6"/>
    <w:rsid w:val="00747FAB"/>
    <w:rsid w:val="007500D4"/>
    <w:rsid w:val="0075084B"/>
    <w:rsid w:val="00750CCE"/>
    <w:rsid w:val="00751848"/>
    <w:rsid w:val="0075241F"/>
    <w:rsid w:val="007542B3"/>
    <w:rsid w:val="0075508C"/>
    <w:rsid w:val="007554DD"/>
    <w:rsid w:val="00755788"/>
    <w:rsid w:val="007558CD"/>
    <w:rsid w:val="00756074"/>
    <w:rsid w:val="00757581"/>
    <w:rsid w:val="0075770A"/>
    <w:rsid w:val="00757879"/>
    <w:rsid w:val="007606BD"/>
    <w:rsid w:val="0076089C"/>
    <w:rsid w:val="007611DF"/>
    <w:rsid w:val="0076130D"/>
    <w:rsid w:val="0076197B"/>
    <w:rsid w:val="00762396"/>
    <w:rsid w:val="007626EB"/>
    <w:rsid w:val="00762754"/>
    <w:rsid w:val="00762B40"/>
    <w:rsid w:val="007632B5"/>
    <w:rsid w:val="00763310"/>
    <w:rsid w:val="00764839"/>
    <w:rsid w:val="00764919"/>
    <w:rsid w:val="0076573A"/>
    <w:rsid w:val="0076582D"/>
    <w:rsid w:val="0076592A"/>
    <w:rsid w:val="00766719"/>
    <w:rsid w:val="00766B0E"/>
    <w:rsid w:val="007670EC"/>
    <w:rsid w:val="007679EE"/>
    <w:rsid w:val="00770025"/>
    <w:rsid w:val="0077037D"/>
    <w:rsid w:val="00770815"/>
    <w:rsid w:val="00770B62"/>
    <w:rsid w:val="00770FCF"/>
    <w:rsid w:val="0077184D"/>
    <w:rsid w:val="0077194E"/>
    <w:rsid w:val="00771CE2"/>
    <w:rsid w:val="00772C38"/>
    <w:rsid w:val="00772F75"/>
    <w:rsid w:val="00773A7E"/>
    <w:rsid w:val="007746D4"/>
    <w:rsid w:val="00774F01"/>
    <w:rsid w:val="007750CB"/>
    <w:rsid w:val="00775686"/>
    <w:rsid w:val="00775B8E"/>
    <w:rsid w:val="007765AF"/>
    <w:rsid w:val="0077760A"/>
    <w:rsid w:val="007776E9"/>
    <w:rsid w:val="00777FBA"/>
    <w:rsid w:val="00780828"/>
    <w:rsid w:val="007811F8"/>
    <w:rsid w:val="007812E9"/>
    <w:rsid w:val="00781631"/>
    <w:rsid w:val="00781D94"/>
    <w:rsid w:val="00781DE5"/>
    <w:rsid w:val="00783EEF"/>
    <w:rsid w:val="0078414B"/>
    <w:rsid w:val="00784616"/>
    <w:rsid w:val="0078481B"/>
    <w:rsid w:val="00785663"/>
    <w:rsid w:val="00785756"/>
    <w:rsid w:val="00785AD3"/>
    <w:rsid w:val="007868C5"/>
    <w:rsid w:val="00786C02"/>
    <w:rsid w:val="0078792E"/>
    <w:rsid w:val="00787CD3"/>
    <w:rsid w:val="00790BF9"/>
    <w:rsid w:val="00790E82"/>
    <w:rsid w:val="00791B90"/>
    <w:rsid w:val="00791D93"/>
    <w:rsid w:val="0079218A"/>
    <w:rsid w:val="007921D3"/>
    <w:rsid w:val="00792652"/>
    <w:rsid w:val="00792D65"/>
    <w:rsid w:val="00792D84"/>
    <w:rsid w:val="007933D0"/>
    <w:rsid w:val="00793D61"/>
    <w:rsid w:val="00794388"/>
    <w:rsid w:val="00794651"/>
    <w:rsid w:val="00794A7A"/>
    <w:rsid w:val="00794CF3"/>
    <w:rsid w:val="007956B1"/>
    <w:rsid w:val="0079579F"/>
    <w:rsid w:val="0079590A"/>
    <w:rsid w:val="00795D0C"/>
    <w:rsid w:val="00795DB8"/>
    <w:rsid w:val="00796811"/>
    <w:rsid w:val="00797307"/>
    <w:rsid w:val="00797E0A"/>
    <w:rsid w:val="007A0F11"/>
    <w:rsid w:val="007A1DA0"/>
    <w:rsid w:val="007A1F7C"/>
    <w:rsid w:val="007A24D3"/>
    <w:rsid w:val="007A3709"/>
    <w:rsid w:val="007A396C"/>
    <w:rsid w:val="007A3D5F"/>
    <w:rsid w:val="007A41F0"/>
    <w:rsid w:val="007A432E"/>
    <w:rsid w:val="007A4384"/>
    <w:rsid w:val="007A444D"/>
    <w:rsid w:val="007A4694"/>
    <w:rsid w:val="007A47A0"/>
    <w:rsid w:val="007A4843"/>
    <w:rsid w:val="007A5C24"/>
    <w:rsid w:val="007A6167"/>
    <w:rsid w:val="007A73FB"/>
    <w:rsid w:val="007A772B"/>
    <w:rsid w:val="007A7E95"/>
    <w:rsid w:val="007A7FA1"/>
    <w:rsid w:val="007A7FE1"/>
    <w:rsid w:val="007B0423"/>
    <w:rsid w:val="007B0F82"/>
    <w:rsid w:val="007B1828"/>
    <w:rsid w:val="007B1F93"/>
    <w:rsid w:val="007B2693"/>
    <w:rsid w:val="007B2926"/>
    <w:rsid w:val="007B2CDF"/>
    <w:rsid w:val="007B3789"/>
    <w:rsid w:val="007B3D00"/>
    <w:rsid w:val="007B427E"/>
    <w:rsid w:val="007B4C16"/>
    <w:rsid w:val="007B4D0F"/>
    <w:rsid w:val="007B53A2"/>
    <w:rsid w:val="007B55A9"/>
    <w:rsid w:val="007B5ADF"/>
    <w:rsid w:val="007B5AEE"/>
    <w:rsid w:val="007B6106"/>
    <w:rsid w:val="007B62C6"/>
    <w:rsid w:val="007B6388"/>
    <w:rsid w:val="007B665D"/>
    <w:rsid w:val="007B667F"/>
    <w:rsid w:val="007B67C5"/>
    <w:rsid w:val="007B6999"/>
    <w:rsid w:val="007B69E6"/>
    <w:rsid w:val="007B706D"/>
    <w:rsid w:val="007B794F"/>
    <w:rsid w:val="007C012B"/>
    <w:rsid w:val="007C02ED"/>
    <w:rsid w:val="007C035E"/>
    <w:rsid w:val="007C0E5C"/>
    <w:rsid w:val="007C0FC1"/>
    <w:rsid w:val="007C1003"/>
    <w:rsid w:val="007C151D"/>
    <w:rsid w:val="007C1A23"/>
    <w:rsid w:val="007C1AA7"/>
    <w:rsid w:val="007C2119"/>
    <w:rsid w:val="007C2499"/>
    <w:rsid w:val="007C24B4"/>
    <w:rsid w:val="007C26D5"/>
    <w:rsid w:val="007C4A64"/>
    <w:rsid w:val="007C5FA2"/>
    <w:rsid w:val="007C6574"/>
    <w:rsid w:val="007C6635"/>
    <w:rsid w:val="007C7551"/>
    <w:rsid w:val="007D1124"/>
    <w:rsid w:val="007D12E7"/>
    <w:rsid w:val="007D2CD3"/>
    <w:rsid w:val="007D2DD6"/>
    <w:rsid w:val="007D4062"/>
    <w:rsid w:val="007D42B0"/>
    <w:rsid w:val="007D4334"/>
    <w:rsid w:val="007D469E"/>
    <w:rsid w:val="007D4871"/>
    <w:rsid w:val="007D522F"/>
    <w:rsid w:val="007D5329"/>
    <w:rsid w:val="007D57CF"/>
    <w:rsid w:val="007D5E57"/>
    <w:rsid w:val="007D6AB8"/>
    <w:rsid w:val="007D6FAE"/>
    <w:rsid w:val="007D7038"/>
    <w:rsid w:val="007D75D0"/>
    <w:rsid w:val="007D75ED"/>
    <w:rsid w:val="007D7DE3"/>
    <w:rsid w:val="007E0051"/>
    <w:rsid w:val="007E00DC"/>
    <w:rsid w:val="007E020B"/>
    <w:rsid w:val="007E1104"/>
    <w:rsid w:val="007E2158"/>
    <w:rsid w:val="007E2260"/>
    <w:rsid w:val="007E2B7A"/>
    <w:rsid w:val="007E2E32"/>
    <w:rsid w:val="007E36B0"/>
    <w:rsid w:val="007E4022"/>
    <w:rsid w:val="007E4A47"/>
    <w:rsid w:val="007E4AB8"/>
    <w:rsid w:val="007E4FC0"/>
    <w:rsid w:val="007E516A"/>
    <w:rsid w:val="007E570D"/>
    <w:rsid w:val="007E60A0"/>
    <w:rsid w:val="007E68B8"/>
    <w:rsid w:val="007E7127"/>
    <w:rsid w:val="007E72B4"/>
    <w:rsid w:val="007E745B"/>
    <w:rsid w:val="007F10E0"/>
    <w:rsid w:val="007F118D"/>
    <w:rsid w:val="007F19D7"/>
    <w:rsid w:val="007F1D03"/>
    <w:rsid w:val="007F2431"/>
    <w:rsid w:val="007F2821"/>
    <w:rsid w:val="007F282E"/>
    <w:rsid w:val="007F287A"/>
    <w:rsid w:val="007F2AF5"/>
    <w:rsid w:val="007F2D79"/>
    <w:rsid w:val="007F3EC8"/>
    <w:rsid w:val="007F44E1"/>
    <w:rsid w:val="007F4769"/>
    <w:rsid w:val="007F4B97"/>
    <w:rsid w:val="007F5EE7"/>
    <w:rsid w:val="007F6A5A"/>
    <w:rsid w:val="007F6EB5"/>
    <w:rsid w:val="007F6FED"/>
    <w:rsid w:val="007F746D"/>
    <w:rsid w:val="007F77E4"/>
    <w:rsid w:val="007F7904"/>
    <w:rsid w:val="007F7964"/>
    <w:rsid w:val="007F7FBB"/>
    <w:rsid w:val="008007D9"/>
    <w:rsid w:val="0080257E"/>
    <w:rsid w:val="00803105"/>
    <w:rsid w:val="008038D1"/>
    <w:rsid w:val="00804732"/>
    <w:rsid w:val="00804D49"/>
    <w:rsid w:val="00804DB0"/>
    <w:rsid w:val="00804E26"/>
    <w:rsid w:val="00805A33"/>
    <w:rsid w:val="0080625E"/>
    <w:rsid w:val="00806314"/>
    <w:rsid w:val="008067F0"/>
    <w:rsid w:val="00806866"/>
    <w:rsid w:val="008074E0"/>
    <w:rsid w:val="00810D65"/>
    <w:rsid w:val="00810E56"/>
    <w:rsid w:val="00812058"/>
    <w:rsid w:val="00812161"/>
    <w:rsid w:val="00813087"/>
    <w:rsid w:val="008135FB"/>
    <w:rsid w:val="008138F7"/>
    <w:rsid w:val="00813951"/>
    <w:rsid w:val="00813C06"/>
    <w:rsid w:val="00813F8B"/>
    <w:rsid w:val="00814590"/>
    <w:rsid w:val="0081492C"/>
    <w:rsid w:val="00815512"/>
    <w:rsid w:val="00816B1C"/>
    <w:rsid w:val="00816E01"/>
    <w:rsid w:val="0081798F"/>
    <w:rsid w:val="00820BDB"/>
    <w:rsid w:val="00820EEB"/>
    <w:rsid w:val="00820EF8"/>
    <w:rsid w:val="00821D32"/>
    <w:rsid w:val="00821FD9"/>
    <w:rsid w:val="008222BE"/>
    <w:rsid w:val="00822B83"/>
    <w:rsid w:val="00822BCF"/>
    <w:rsid w:val="008234BE"/>
    <w:rsid w:val="0082384F"/>
    <w:rsid w:val="00823C5F"/>
    <w:rsid w:val="00823FE0"/>
    <w:rsid w:val="00824B02"/>
    <w:rsid w:val="00824CCD"/>
    <w:rsid w:val="00824E6D"/>
    <w:rsid w:val="00825119"/>
    <w:rsid w:val="0082613C"/>
    <w:rsid w:val="00826F29"/>
    <w:rsid w:val="00826FC5"/>
    <w:rsid w:val="00827D47"/>
    <w:rsid w:val="008300FD"/>
    <w:rsid w:val="00830D0A"/>
    <w:rsid w:val="00830F5D"/>
    <w:rsid w:val="008310D3"/>
    <w:rsid w:val="0083115B"/>
    <w:rsid w:val="0083122F"/>
    <w:rsid w:val="0083151A"/>
    <w:rsid w:val="00831B9B"/>
    <w:rsid w:val="00831E9B"/>
    <w:rsid w:val="0083240C"/>
    <w:rsid w:val="00832491"/>
    <w:rsid w:val="00832530"/>
    <w:rsid w:val="008335C3"/>
    <w:rsid w:val="008338B5"/>
    <w:rsid w:val="00833922"/>
    <w:rsid w:val="00833A40"/>
    <w:rsid w:val="00833E73"/>
    <w:rsid w:val="00834499"/>
    <w:rsid w:val="00834520"/>
    <w:rsid w:val="00835C05"/>
    <w:rsid w:val="00836F5E"/>
    <w:rsid w:val="008371A2"/>
    <w:rsid w:val="0083752C"/>
    <w:rsid w:val="00840371"/>
    <w:rsid w:val="0084141C"/>
    <w:rsid w:val="00841425"/>
    <w:rsid w:val="008415DA"/>
    <w:rsid w:val="008416A3"/>
    <w:rsid w:val="0084189F"/>
    <w:rsid w:val="0084219D"/>
    <w:rsid w:val="0084321A"/>
    <w:rsid w:val="0084339B"/>
    <w:rsid w:val="00844EBA"/>
    <w:rsid w:val="00845079"/>
    <w:rsid w:val="00845301"/>
    <w:rsid w:val="0084561B"/>
    <w:rsid w:val="00845960"/>
    <w:rsid w:val="008468C9"/>
    <w:rsid w:val="00847557"/>
    <w:rsid w:val="00850624"/>
    <w:rsid w:val="00850C87"/>
    <w:rsid w:val="008512E7"/>
    <w:rsid w:val="008514F1"/>
    <w:rsid w:val="00851AFB"/>
    <w:rsid w:val="00851D91"/>
    <w:rsid w:val="008524E7"/>
    <w:rsid w:val="008527AA"/>
    <w:rsid w:val="00852806"/>
    <w:rsid w:val="00852846"/>
    <w:rsid w:val="00852DF9"/>
    <w:rsid w:val="00854856"/>
    <w:rsid w:val="008549CD"/>
    <w:rsid w:val="0085505C"/>
    <w:rsid w:val="008559EF"/>
    <w:rsid w:val="00856273"/>
    <w:rsid w:val="008573A8"/>
    <w:rsid w:val="00857D67"/>
    <w:rsid w:val="00857ECB"/>
    <w:rsid w:val="008607F8"/>
    <w:rsid w:val="00861397"/>
    <w:rsid w:val="00861973"/>
    <w:rsid w:val="008619CD"/>
    <w:rsid w:val="00861A28"/>
    <w:rsid w:val="00861A4C"/>
    <w:rsid w:val="00861A73"/>
    <w:rsid w:val="00861EBE"/>
    <w:rsid w:val="008627A6"/>
    <w:rsid w:val="008627FF"/>
    <w:rsid w:val="00863C7C"/>
    <w:rsid w:val="00863D85"/>
    <w:rsid w:val="00863F5A"/>
    <w:rsid w:val="008642DD"/>
    <w:rsid w:val="0086496C"/>
    <w:rsid w:val="00865208"/>
    <w:rsid w:val="00865F07"/>
    <w:rsid w:val="008661CC"/>
    <w:rsid w:val="008662A7"/>
    <w:rsid w:val="00867483"/>
    <w:rsid w:val="008675C5"/>
    <w:rsid w:val="00867F0D"/>
    <w:rsid w:val="0087022C"/>
    <w:rsid w:val="0087102A"/>
    <w:rsid w:val="008728E5"/>
    <w:rsid w:val="00873C32"/>
    <w:rsid w:val="0087405A"/>
    <w:rsid w:val="008745A4"/>
    <w:rsid w:val="008752ED"/>
    <w:rsid w:val="008762DD"/>
    <w:rsid w:val="00876303"/>
    <w:rsid w:val="00877686"/>
    <w:rsid w:val="00877B01"/>
    <w:rsid w:val="00877E08"/>
    <w:rsid w:val="008806C6"/>
    <w:rsid w:val="0088097E"/>
    <w:rsid w:val="00880A1E"/>
    <w:rsid w:val="00881462"/>
    <w:rsid w:val="008815AF"/>
    <w:rsid w:val="00881A49"/>
    <w:rsid w:val="00882B3D"/>
    <w:rsid w:val="00882D1F"/>
    <w:rsid w:val="00883F90"/>
    <w:rsid w:val="00886679"/>
    <w:rsid w:val="00886B47"/>
    <w:rsid w:val="00887609"/>
    <w:rsid w:val="0088770C"/>
    <w:rsid w:val="00887AE8"/>
    <w:rsid w:val="00890255"/>
    <w:rsid w:val="00890467"/>
    <w:rsid w:val="008907BD"/>
    <w:rsid w:val="00890F8D"/>
    <w:rsid w:val="00891285"/>
    <w:rsid w:val="00891958"/>
    <w:rsid w:val="00891E34"/>
    <w:rsid w:val="008928FE"/>
    <w:rsid w:val="0089293A"/>
    <w:rsid w:val="00892BAB"/>
    <w:rsid w:val="00892C92"/>
    <w:rsid w:val="00892E4C"/>
    <w:rsid w:val="00892F9F"/>
    <w:rsid w:val="0089326D"/>
    <w:rsid w:val="00893509"/>
    <w:rsid w:val="0089420D"/>
    <w:rsid w:val="00894407"/>
    <w:rsid w:val="0089461C"/>
    <w:rsid w:val="008946F7"/>
    <w:rsid w:val="00894D6F"/>
    <w:rsid w:val="0089619B"/>
    <w:rsid w:val="00896B70"/>
    <w:rsid w:val="00896BA3"/>
    <w:rsid w:val="0089709D"/>
    <w:rsid w:val="008978C8"/>
    <w:rsid w:val="00897917"/>
    <w:rsid w:val="008A08F8"/>
    <w:rsid w:val="008A0A75"/>
    <w:rsid w:val="008A0B74"/>
    <w:rsid w:val="008A0EFC"/>
    <w:rsid w:val="008A1144"/>
    <w:rsid w:val="008A17A6"/>
    <w:rsid w:val="008A1AA2"/>
    <w:rsid w:val="008A1AE4"/>
    <w:rsid w:val="008A1C56"/>
    <w:rsid w:val="008A231F"/>
    <w:rsid w:val="008A23E2"/>
    <w:rsid w:val="008A257D"/>
    <w:rsid w:val="008A27D4"/>
    <w:rsid w:val="008A2E0C"/>
    <w:rsid w:val="008A3000"/>
    <w:rsid w:val="008A3A67"/>
    <w:rsid w:val="008A3A78"/>
    <w:rsid w:val="008A4086"/>
    <w:rsid w:val="008A42E6"/>
    <w:rsid w:val="008A4902"/>
    <w:rsid w:val="008A5BB2"/>
    <w:rsid w:val="008A7950"/>
    <w:rsid w:val="008B03E2"/>
    <w:rsid w:val="008B05C5"/>
    <w:rsid w:val="008B0824"/>
    <w:rsid w:val="008B0BD4"/>
    <w:rsid w:val="008B0EC4"/>
    <w:rsid w:val="008B410D"/>
    <w:rsid w:val="008B5E05"/>
    <w:rsid w:val="008B7345"/>
    <w:rsid w:val="008B7C63"/>
    <w:rsid w:val="008B7DAD"/>
    <w:rsid w:val="008C0007"/>
    <w:rsid w:val="008C0349"/>
    <w:rsid w:val="008C0FDD"/>
    <w:rsid w:val="008C104F"/>
    <w:rsid w:val="008C12EA"/>
    <w:rsid w:val="008C16BC"/>
    <w:rsid w:val="008C16F4"/>
    <w:rsid w:val="008C2A8A"/>
    <w:rsid w:val="008C2BEB"/>
    <w:rsid w:val="008C34FC"/>
    <w:rsid w:val="008C387F"/>
    <w:rsid w:val="008C44CE"/>
    <w:rsid w:val="008C4A0E"/>
    <w:rsid w:val="008C5288"/>
    <w:rsid w:val="008C59C7"/>
    <w:rsid w:val="008C5CCC"/>
    <w:rsid w:val="008C5F47"/>
    <w:rsid w:val="008C5FE6"/>
    <w:rsid w:val="008C6326"/>
    <w:rsid w:val="008C6530"/>
    <w:rsid w:val="008D00ED"/>
    <w:rsid w:val="008D05A1"/>
    <w:rsid w:val="008D0A63"/>
    <w:rsid w:val="008D13FA"/>
    <w:rsid w:val="008D1797"/>
    <w:rsid w:val="008D224F"/>
    <w:rsid w:val="008D2A8B"/>
    <w:rsid w:val="008D2B29"/>
    <w:rsid w:val="008D2CB1"/>
    <w:rsid w:val="008D2F94"/>
    <w:rsid w:val="008D34D5"/>
    <w:rsid w:val="008D3D28"/>
    <w:rsid w:val="008D3F6A"/>
    <w:rsid w:val="008D48A5"/>
    <w:rsid w:val="008D4A67"/>
    <w:rsid w:val="008D4FBB"/>
    <w:rsid w:val="008D5339"/>
    <w:rsid w:val="008D6B16"/>
    <w:rsid w:val="008D724F"/>
    <w:rsid w:val="008D746B"/>
    <w:rsid w:val="008D7A9D"/>
    <w:rsid w:val="008D7DB1"/>
    <w:rsid w:val="008E0974"/>
    <w:rsid w:val="008E0EAE"/>
    <w:rsid w:val="008E1130"/>
    <w:rsid w:val="008E1B2C"/>
    <w:rsid w:val="008E2259"/>
    <w:rsid w:val="008E2502"/>
    <w:rsid w:val="008E2F09"/>
    <w:rsid w:val="008E36C4"/>
    <w:rsid w:val="008E3F72"/>
    <w:rsid w:val="008E431C"/>
    <w:rsid w:val="008E4B9D"/>
    <w:rsid w:val="008E4FE7"/>
    <w:rsid w:val="008E50E6"/>
    <w:rsid w:val="008E5547"/>
    <w:rsid w:val="008E5E69"/>
    <w:rsid w:val="008E6D54"/>
    <w:rsid w:val="008E6E39"/>
    <w:rsid w:val="008E7502"/>
    <w:rsid w:val="008E78E5"/>
    <w:rsid w:val="008E796B"/>
    <w:rsid w:val="008E7BEE"/>
    <w:rsid w:val="008F08A8"/>
    <w:rsid w:val="008F1998"/>
    <w:rsid w:val="008F22BF"/>
    <w:rsid w:val="008F47D4"/>
    <w:rsid w:val="008F4B9A"/>
    <w:rsid w:val="008F4D79"/>
    <w:rsid w:val="008F5DA9"/>
    <w:rsid w:val="008F686D"/>
    <w:rsid w:val="008F6892"/>
    <w:rsid w:val="008F6985"/>
    <w:rsid w:val="008F7066"/>
    <w:rsid w:val="008F77FD"/>
    <w:rsid w:val="008F7995"/>
    <w:rsid w:val="008F7E88"/>
    <w:rsid w:val="00900904"/>
    <w:rsid w:val="0090097F"/>
    <w:rsid w:val="0090128F"/>
    <w:rsid w:val="00901C97"/>
    <w:rsid w:val="00902526"/>
    <w:rsid w:val="00903358"/>
    <w:rsid w:val="00903819"/>
    <w:rsid w:val="0090418D"/>
    <w:rsid w:val="00904ACB"/>
    <w:rsid w:val="00905120"/>
    <w:rsid w:val="0090513D"/>
    <w:rsid w:val="00905269"/>
    <w:rsid w:val="00905419"/>
    <w:rsid w:val="00905AD6"/>
    <w:rsid w:val="00905E82"/>
    <w:rsid w:val="00906027"/>
    <w:rsid w:val="009074E0"/>
    <w:rsid w:val="00907506"/>
    <w:rsid w:val="00907812"/>
    <w:rsid w:val="0090781A"/>
    <w:rsid w:val="0091002E"/>
    <w:rsid w:val="0091052A"/>
    <w:rsid w:val="00910F16"/>
    <w:rsid w:val="00911898"/>
    <w:rsid w:val="00911A93"/>
    <w:rsid w:val="00913861"/>
    <w:rsid w:val="009138E2"/>
    <w:rsid w:val="00913ABD"/>
    <w:rsid w:val="00913B86"/>
    <w:rsid w:val="009141E4"/>
    <w:rsid w:val="00914222"/>
    <w:rsid w:val="00914574"/>
    <w:rsid w:val="0091462C"/>
    <w:rsid w:val="00914B53"/>
    <w:rsid w:val="009156EF"/>
    <w:rsid w:val="00916008"/>
    <w:rsid w:val="00916343"/>
    <w:rsid w:val="00916766"/>
    <w:rsid w:val="00917A60"/>
    <w:rsid w:val="009203FA"/>
    <w:rsid w:val="00920921"/>
    <w:rsid w:val="00920B77"/>
    <w:rsid w:val="00920D61"/>
    <w:rsid w:val="00921364"/>
    <w:rsid w:val="00921983"/>
    <w:rsid w:val="00921A0C"/>
    <w:rsid w:val="00921D2A"/>
    <w:rsid w:val="00921DE5"/>
    <w:rsid w:val="0092258F"/>
    <w:rsid w:val="00922C91"/>
    <w:rsid w:val="00923889"/>
    <w:rsid w:val="00924A74"/>
    <w:rsid w:val="009251C8"/>
    <w:rsid w:val="009257A2"/>
    <w:rsid w:val="00925C46"/>
    <w:rsid w:val="00926120"/>
    <w:rsid w:val="00926798"/>
    <w:rsid w:val="00927636"/>
    <w:rsid w:val="0092798F"/>
    <w:rsid w:val="00927D56"/>
    <w:rsid w:val="00927DBA"/>
    <w:rsid w:val="00930250"/>
    <w:rsid w:val="009304D1"/>
    <w:rsid w:val="00930729"/>
    <w:rsid w:val="00930E61"/>
    <w:rsid w:val="00931503"/>
    <w:rsid w:val="009318E8"/>
    <w:rsid w:val="009319F8"/>
    <w:rsid w:val="00931EC4"/>
    <w:rsid w:val="009321ED"/>
    <w:rsid w:val="00932B66"/>
    <w:rsid w:val="0093329B"/>
    <w:rsid w:val="00934410"/>
    <w:rsid w:val="009362E3"/>
    <w:rsid w:val="0093696D"/>
    <w:rsid w:val="0093745C"/>
    <w:rsid w:val="0094121F"/>
    <w:rsid w:val="00941375"/>
    <w:rsid w:val="0094156E"/>
    <w:rsid w:val="00941CF5"/>
    <w:rsid w:val="00942786"/>
    <w:rsid w:val="0094398F"/>
    <w:rsid w:val="00943A9A"/>
    <w:rsid w:val="00945187"/>
    <w:rsid w:val="00945C2F"/>
    <w:rsid w:val="00946A15"/>
    <w:rsid w:val="00946C16"/>
    <w:rsid w:val="00947008"/>
    <w:rsid w:val="00947EBD"/>
    <w:rsid w:val="0095050F"/>
    <w:rsid w:val="00951B2D"/>
    <w:rsid w:val="00951CCB"/>
    <w:rsid w:val="009520B1"/>
    <w:rsid w:val="0095278B"/>
    <w:rsid w:val="0095481B"/>
    <w:rsid w:val="00955C76"/>
    <w:rsid w:val="00955CA3"/>
    <w:rsid w:val="00956D16"/>
    <w:rsid w:val="00956E3F"/>
    <w:rsid w:val="0095754A"/>
    <w:rsid w:val="0095755B"/>
    <w:rsid w:val="009578E4"/>
    <w:rsid w:val="00960B5B"/>
    <w:rsid w:val="00961BB3"/>
    <w:rsid w:val="00961D12"/>
    <w:rsid w:val="009620AC"/>
    <w:rsid w:val="009630BF"/>
    <w:rsid w:val="00963A3D"/>
    <w:rsid w:val="009655B2"/>
    <w:rsid w:val="00965B7D"/>
    <w:rsid w:val="00967456"/>
    <w:rsid w:val="00967869"/>
    <w:rsid w:val="0097036E"/>
    <w:rsid w:val="00970507"/>
    <w:rsid w:val="00970EA1"/>
    <w:rsid w:val="00971010"/>
    <w:rsid w:val="00971024"/>
    <w:rsid w:val="00971378"/>
    <w:rsid w:val="009714BD"/>
    <w:rsid w:val="00971DB8"/>
    <w:rsid w:val="00972779"/>
    <w:rsid w:val="00973011"/>
    <w:rsid w:val="0097330C"/>
    <w:rsid w:val="0097412F"/>
    <w:rsid w:val="00974317"/>
    <w:rsid w:val="00974980"/>
    <w:rsid w:val="009753FC"/>
    <w:rsid w:val="00975515"/>
    <w:rsid w:val="009762CF"/>
    <w:rsid w:val="00976EA2"/>
    <w:rsid w:val="00980E6E"/>
    <w:rsid w:val="00981CA5"/>
    <w:rsid w:val="00981CD9"/>
    <w:rsid w:val="00981E90"/>
    <w:rsid w:val="00982264"/>
    <w:rsid w:val="00982BDC"/>
    <w:rsid w:val="00983FB9"/>
    <w:rsid w:val="009848EF"/>
    <w:rsid w:val="009849C2"/>
    <w:rsid w:val="00984E84"/>
    <w:rsid w:val="0098514A"/>
    <w:rsid w:val="009852FA"/>
    <w:rsid w:val="00985362"/>
    <w:rsid w:val="00986835"/>
    <w:rsid w:val="00986BA4"/>
    <w:rsid w:val="00986D0F"/>
    <w:rsid w:val="0098734A"/>
    <w:rsid w:val="00987BE2"/>
    <w:rsid w:val="0099035E"/>
    <w:rsid w:val="009905FD"/>
    <w:rsid w:val="00990B3F"/>
    <w:rsid w:val="0099150E"/>
    <w:rsid w:val="00991AF9"/>
    <w:rsid w:val="00991B2B"/>
    <w:rsid w:val="0099300D"/>
    <w:rsid w:val="009935F3"/>
    <w:rsid w:val="0099367C"/>
    <w:rsid w:val="00993D53"/>
    <w:rsid w:val="00993E38"/>
    <w:rsid w:val="00993EAA"/>
    <w:rsid w:val="00993EBE"/>
    <w:rsid w:val="00994071"/>
    <w:rsid w:val="00994281"/>
    <w:rsid w:val="0099589F"/>
    <w:rsid w:val="00995D51"/>
    <w:rsid w:val="0099646A"/>
    <w:rsid w:val="00996BFB"/>
    <w:rsid w:val="00997813"/>
    <w:rsid w:val="009A109F"/>
    <w:rsid w:val="009A1109"/>
    <w:rsid w:val="009A2148"/>
    <w:rsid w:val="009A292E"/>
    <w:rsid w:val="009A46EE"/>
    <w:rsid w:val="009A61D6"/>
    <w:rsid w:val="009A6C1A"/>
    <w:rsid w:val="009A7C43"/>
    <w:rsid w:val="009A7E12"/>
    <w:rsid w:val="009A7E16"/>
    <w:rsid w:val="009B07AF"/>
    <w:rsid w:val="009B09F0"/>
    <w:rsid w:val="009B0B54"/>
    <w:rsid w:val="009B18A3"/>
    <w:rsid w:val="009B1D36"/>
    <w:rsid w:val="009B205B"/>
    <w:rsid w:val="009B22EC"/>
    <w:rsid w:val="009B2A8B"/>
    <w:rsid w:val="009B2D99"/>
    <w:rsid w:val="009B3DDE"/>
    <w:rsid w:val="009B42EE"/>
    <w:rsid w:val="009B4BB3"/>
    <w:rsid w:val="009B5FC6"/>
    <w:rsid w:val="009B6694"/>
    <w:rsid w:val="009B6962"/>
    <w:rsid w:val="009B72F5"/>
    <w:rsid w:val="009C09C9"/>
    <w:rsid w:val="009C0E09"/>
    <w:rsid w:val="009C18B7"/>
    <w:rsid w:val="009C2142"/>
    <w:rsid w:val="009C2302"/>
    <w:rsid w:val="009C29A5"/>
    <w:rsid w:val="009C2D85"/>
    <w:rsid w:val="009C3869"/>
    <w:rsid w:val="009C3920"/>
    <w:rsid w:val="009C49E6"/>
    <w:rsid w:val="009C4A45"/>
    <w:rsid w:val="009C5A6A"/>
    <w:rsid w:val="009C6125"/>
    <w:rsid w:val="009C625D"/>
    <w:rsid w:val="009C6271"/>
    <w:rsid w:val="009C6EFB"/>
    <w:rsid w:val="009C7491"/>
    <w:rsid w:val="009C751D"/>
    <w:rsid w:val="009C775F"/>
    <w:rsid w:val="009C7D0F"/>
    <w:rsid w:val="009D0DCE"/>
    <w:rsid w:val="009D1DB4"/>
    <w:rsid w:val="009D2006"/>
    <w:rsid w:val="009D265B"/>
    <w:rsid w:val="009D2B7D"/>
    <w:rsid w:val="009D2FC3"/>
    <w:rsid w:val="009D323F"/>
    <w:rsid w:val="009D3785"/>
    <w:rsid w:val="009D398D"/>
    <w:rsid w:val="009D4381"/>
    <w:rsid w:val="009D4BEE"/>
    <w:rsid w:val="009D50D8"/>
    <w:rsid w:val="009D5E82"/>
    <w:rsid w:val="009D65FB"/>
    <w:rsid w:val="009D6806"/>
    <w:rsid w:val="009D688D"/>
    <w:rsid w:val="009D705A"/>
    <w:rsid w:val="009E0BD0"/>
    <w:rsid w:val="009E13C3"/>
    <w:rsid w:val="009E1A92"/>
    <w:rsid w:val="009E1B3B"/>
    <w:rsid w:val="009E232C"/>
    <w:rsid w:val="009E2504"/>
    <w:rsid w:val="009E2628"/>
    <w:rsid w:val="009E2C5D"/>
    <w:rsid w:val="009E3647"/>
    <w:rsid w:val="009E4E97"/>
    <w:rsid w:val="009E5BA7"/>
    <w:rsid w:val="009E6197"/>
    <w:rsid w:val="009E71FC"/>
    <w:rsid w:val="009E7870"/>
    <w:rsid w:val="009E7AB0"/>
    <w:rsid w:val="009E7C3A"/>
    <w:rsid w:val="009E7E64"/>
    <w:rsid w:val="009F1112"/>
    <w:rsid w:val="009F1F04"/>
    <w:rsid w:val="009F260A"/>
    <w:rsid w:val="009F2745"/>
    <w:rsid w:val="009F30C8"/>
    <w:rsid w:val="009F3B64"/>
    <w:rsid w:val="009F41C3"/>
    <w:rsid w:val="009F44F7"/>
    <w:rsid w:val="009F5394"/>
    <w:rsid w:val="009F5624"/>
    <w:rsid w:val="009F6A56"/>
    <w:rsid w:val="009F6CBE"/>
    <w:rsid w:val="009F6D66"/>
    <w:rsid w:val="009F7003"/>
    <w:rsid w:val="009F7889"/>
    <w:rsid w:val="009F7934"/>
    <w:rsid w:val="00A0004C"/>
    <w:rsid w:val="00A008BF"/>
    <w:rsid w:val="00A01437"/>
    <w:rsid w:val="00A0239E"/>
    <w:rsid w:val="00A0353A"/>
    <w:rsid w:val="00A03B5A"/>
    <w:rsid w:val="00A040EF"/>
    <w:rsid w:val="00A04694"/>
    <w:rsid w:val="00A04B2A"/>
    <w:rsid w:val="00A04B9A"/>
    <w:rsid w:val="00A04E75"/>
    <w:rsid w:val="00A05461"/>
    <w:rsid w:val="00A055C1"/>
    <w:rsid w:val="00A05D17"/>
    <w:rsid w:val="00A05FF4"/>
    <w:rsid w:val="00A06044"/>
    <w:rsid w:val="00A06E2D"/>
    <w:rsid w:val="00A07169"/>
    <w:rsid w:val="00A07423"/>
    <w:rsid w:val="00A10619"/>
    <w:rsid w:val="00A11802"/>
    <w:rsid w:val="00A13224"/>
    <w:rsid w:val="00A133F1"/>
    <w:rsid w:val="00A13E3F"/>
    <w:rsid w:val="00A14049"/>
    <w:rsid w:val="00A14276"/>
    <w:rsid w:val="00A149FF"/>
    <w:rsid w:val="00A1594B"/>
    <w:rsid w:val="00A15C4D"/>
    <w:rsid w:val="00A16150"/>
    <w:rsid w:val="00A16457"/>
    <w:rsid w:val="00A164FD"/>
    <w:rsid w:val="00A1740C"/>
    <w:rsid w:val="00A2018E"/>
    <w:rsid w:val="00A2028A"/>
    <w:rsid w:val="00A21218"/>
    <w:rsid w:val="00A21AA6"/>
    <w:rsid w:val="00A2243F"/>
    <w:rsid w:val="00A225DC"/>
    <w:rsid w:val="00A23916"/>
    <w:rsid w:val="00A23EDF"/>
    <w:rsid w:val="00A2423A"/>
    <w:rsid w:val="00A244C6"/>
    <w:rsid w:val="00A24CAD"/>
    <w:rsid w:val="00A251D5"/>
    <w:rsid w:val="00A267E4"/>
    <w:rsid w:val="00A27139"/>
    <w:rsid w:val="00A27783"/>
    <w:rsid w:val="00A3093F"/>
    <w:rsid w:val="00A31060"/>
    <w:rsid w:val="00A31114"/>
    <w:rsid w:val="00A31CAE"/>
    <w:rsid w:val="00A31CFE"/>
    <w:rsid w:val="00A31E9D"/>
    <w:rsid w:val="00A3264D"/>
    <w:rsid w:val="00A32EC6"/>
    <w:rsid w:val="00A32FB7"/>
    <w:rsid w:val="00A33E11"/>
    <w:rsid w:val="00A341F3"/>
    <w:rsid w:val="00A35F58"/>
    <w:rsid w:val="00A36354"/>
    <w:rsid w:val="00A36A42"/>
    <w:rsid w:val="00A379D0"/>
    <w:rsid w:val="00A4004F"/>
    <w:rsid w:val="00A40B0C"/>
    <w:rsid w:val="00A40B69"/>
    <w:rsid w:val="00A4138A"/>
    <w:rsid w:val="00A416EA"/>
    <w:rsid w:val="00A41C0F"/>
    <w:rsid w:val="00A41C14"/>
    <w:rsid w:val="00A41ECD"/>
    <w:rsid w:val="00A42ADC"/>
    <w:rsid w:val="00A431ED"/>
    <w:rsid w:val="00A439F6"/>
    <w:rsid w:val="00A43DDD"/>
    <w:rsid w:val="00A43ECE"/>
    <w:rsid w:val="00A442BD"/>
    <w:rsid w:val="00A4430C"/>
    <w:rsid w:val="00A45430"/>
    <w:rsid w:val="00A4660D"/>
    <w:rsid w:val="00A473EB"/>
    <w:rsid w:val="00A47485"/>
    <w:rsid w:val="00A5060D"/>
    <w:rsid w:val="00A50D71"/>
    <w:rsid w:val="00A51BEC"/>
    <w:rsid w:val="00A5234C"/>
    <w:rsid w:val="00A52ACC"/>
    <w:rsid w:val="00A53497"/>
    <w:rsid w:val="00A53F95"/>
    <w:rsid w:val="00A53FCC"/>
    <w:rsid w:val="00A54070"/>
    <w:rsid w:val="00A54148"/>
    <w:rsid w:val="00A543CE"/>
    <w:rsid w:val="00A54448"/>
    <w:rsid w:val="00A54475"/>
    <w:rsid w:val="00A55967"/>
    <w:rsid w:val="00A55B06"/>
    <w:rsid w:val="00A56850"/>
    <w:rsid w:val="00A575E1"/>
    <w:rsid w:val="00A57841"/>
    <w:rsid w:val="00A609C8"/>
    <w:rsid w:val="00A60C75"/>
    <w:rsid w:val="00A611CE"/>
    <w:rsid w:val="00A61338"/>
    <w:rsid w:val="00A61DBC"/>
    <w:rsid w:val="00A629A4"/>
    <w:rsid w:val="00A62BF4"/>
    <w:rsid w:val="00A62FC9"/>
    <w:rsid w:val="00A63B6C"/>
    <w:rsid w:val="00A648AE"/>
    <w:rsid w:val="00A64BAA"/>
    <w:rsid w:val="00A64BC9"/>
    <w:rsid w:val="00A658C2"/>
    <w:rsid w:val="00A67216"/>
    <w:rsid w:val="00A675F7"/>
    <w:rsid w:val="00A67D27"/>
    <w:rsid w:val="00A67F5D"/>
    <w:rsid w:val="00A70FAD"/>
    <w:rsid w:val="00A71604"/>
    <w:rsid w:val="00A72568"/>
    <w:rsid w:val="00A7289F"/>
    <w:rsid w:val="00A72A2F"/>
    <w:rsid w:val="00A741DC"/>
    <w:rsid w:val="00A7460D"/>
    <w:rsid w:val="00A74DC9"/>
    <w:rsid w:val="00A76408"/>
    <w:rsid w:val="00A76444"/>
    <w:rsid w:val="00A76880"/>
    <w:rsid w:val="00A77061"/>
    <w:rsid w:val="00A81883"/>
    <w:rsid w:val="00A8204D"/>
    <w:rsid w:val="00A8245A"/>
    <w:rsid w:val="00A82C7C"/>
    <w:rsid w:val="00A82CE6"/>
    <w:rsid w:val="00A82D07"/>
    <w:rsid w:val="00A8300D"/>
    <w:rsid w:val="00A836DB"/>
    <w:rsid w:val="00A83A1F"/>
    <w:rsid w:val="00A83EAD"/>
    <w:rsid w:val="00A84955"/>
    <w:rsid w:val="00A851D0"/>
    <w:rsid w:val="00A853D4"/>
    <w:rsid w:val="00A856B3"/>
    <w:rsid w:val="00A85830"/>
    <w:rsid w:val="00A85D87"/>
    <w:rsid w:val="00A869D9"/>
    <w:rsid w:val="00A8704B"/>
    <w:rsid w:val="00A8757D"/>
    <w:rsid w:val="00A9028C"/>
    <w:rsid w:val="00A9048D"/>
    <w:rsid w:val="00A904CE"/>
    <w:rsid w:val="00A904D2"/>
    <w:rsid w:val="00A90D6E"/>
    <w:rsid w:val="00A90F6F"/>
    <w:rsid w:val="00A918E3"/>
    <w:rsid w:val="00A91FCD"/>
    <w:rsid w:val="00A922CA"/>
    <w:rsid w:val="00A92EF1"/>
    <w:rsid w:val="00A9361C"/>
    <w:rsid w:val="00A9438D"/>
    <w:rsid w:val="00A9519D"/>
    <w:rsid w:val="00A9584A"/>
    <w:rsid w:val="00A96063"/>
    <w:rsid w:val="00A96DD7"/>
    <w:rsid w:val="00A9734F"/>
    <w:rsid w:val="00A97967"/>
    <w:rsid w:val="00A97D7D"/>
    <w:rsid w:val="00A97FF7"/>
    <w:rsid w:val="00AA136E"/>
    <w:rsid w:val="00AA228C"/>
    <w:rsid w:val="00AA2304"/>
    <w:rsid w:val="00AA2EAF"/>
    <w:rsid w:val="00AA2F84"/>
    <w:rsid w:val="00AA37F6"/>
    <w:rsid w:val="00AA3948"/>
    <w:rsid w:val="00AA3CD8"/>
    <w:rsid w:val="00AA400E"/>
    <w:rsid w:val="00AA40F3"/>
    <w:rsid w:val="00AA492F"/>
    <w:rsid w:val="00AA4FC9"/>
    <w:rsid w:val="00AA5F73"/>
    <w:rsid w:val="00AA619A"/>
    <w:rsid w:val="00AA69ED"/>
    <w:rsid w:val="00AA72EF"/>
    <w:rsid w:val="00AA7582"/>
    <w:rsid w:val="00AB02F1"/>
    <w:rsid w:val="00AB13C3"/>
    <w:rsid w:val="00AB1462"/>
    <w:rsid w:val="00AB271D"/>
    <w:rsid w:val="00AB30C7"/>
    <w:rsid w:val="00AB493A"/>
    <w:rsid w:val="00AB7060"/>
    <w:rsid w:val="00AB7176"/>
    <w:rsid w:val="00AB7C47"/>
    <w:rsid w:val="00AC0B1D"/>
    <w:rsid w:val="00AC10B1"/>
    <w:rsid w:val="00AC150B"/>
    <w:rsid w:val="00AC1DB2"/>
    <w:rsid w:val="00AC22D5"/>
    <w:rsid w:val="00AC2B73"/>
    <w:rsid w:val="00AC389F"/>
    <w:rsid w:val="00AC3B94"/>
    <w:rsid w:val="00AC3C0F"/>
    <w:rsid w:val="00AC3E9C"/>
    <w:rsid w:val="00AC402A"/>
    <w:rsid w:val="00AC4044"/>
    <w:rsid w:val="00AC460A"/>
    <w:rsid w:val="00AC4DFF"/>
    <w:rsid w:val="00AC5141"/>
    <w:rsid w:val="00AC559D"/>
    <w:rsid w:val="00AC62CE"/>
    <w:rsid w:val="00AC65CE"/>
    <w:rsid w:val="00AC69AA"/>
    <w:rsid w:val="00AC72F2"/>
    <w:rsid w:val="00AC75D1"/>
    <w:rsid w:val="00AD0948"/>
    <w:rsid w:val="00AD0C8A"/>
    <w:rsid w:val="00AD1491"/>
    <w:rsid w:val="00AD1D8C"/>
    <w:rsid w:val="00AD1F78"/>
    <w:rsid w:val="00AD2662"/>
    <w:rsid w:val="00AD26DC"/>
    <w:rsid w:val="00AD366E"/>
    <w:rsid w:val="00AD3A57"/>
    <w:rsid w:val="00AD4B55"/>
    <w:rsid w:val="00AD4E16"/>
    <w:rsid w:val="00AD6166"/>
    <w:rsid w:val="00AD61F9"/>
    <w:rsid w:val="00AD67A9"/>
    <w:rsid w:val="00AD6C7F"/>
    <w:rsid w:val="00AE1286"/>
    <w:rsid w:val="00AE16EC"/>
    <w:rsid w:val="00AE1B8F"/>
    <w:rsid w:val="00AE1F77"/>
    <w:rsid w:val="00AE248A"/>
    <w:rsid w:val="00AE2875"/>
    <w:rsid w:val="00AE3072"/>
    <w:rsid w:val="00AE3BF7"/>
    <w:rsid w:val="00AE3DBA"/>
    <w:rsid w:val="00AE4142"/>
    <w:rsid w:val="00AE4415"/>
    <w:rsid w:val="00AE458A"/>
    <w:rsid w:val="00AE4D6D"/>
    <w:rsid w:val="00AE4DF8"/>
    <w:rsid w:val="00AE4FE6"/>
    <w:rsid w:val="00AE5E7E"/>
    <w:rsid w:val="00AE5FAD"/>
    <w:rsid w:val="00AE63AE"/>
    <w:rsid w:val="00AE6937"/>
    <w:rsid w:val="00AE7048"/>
    <w:rsid w:val="00AE70AC"/>
    <w:rsid w:val="00AE7922"/>
    <w:rsid w:val="00AE7B17"/>
    <w:rsid w:val="00AE7FE8"/>
    <w:rsid w:val="00AF02DB"/>
    <w:rsid w:val="00AF0E80"/>
    <w:rsid w:val="00AF2775"/>
    <w:rsid w:val="00AF2962"/>
    <w:rsid w:val="00AF2E7F"/>
    <w:rsid w:val="00AF30FE"/>
    <w:rsid w:val="00AF3206"/>
    <w:rsid w:val="00AF3A2E"/>
    <w:rsid w:val="00AF3AB8"/>
    <w:rsid w:val="00AF3D45"/>
    <w:rsid w:val="00AF3EE9"/>
    <w:rsid w:val="00AF4D73"/>
    <w:rsid w:val="00AF52AF"/>
    <w:rsid w:val="00AF5A7A"/>
    <w:rsid w:val="00AF6107"/>
    <w:rsid w:val="00AF6164"/>
    <w:rsid w:val="00AF6512"/>
    <w:rsid w:val="00AF662F"/>
    <w:rsid w:val="00AF6874"/>
    <w:rsid w:val="00B00319"/>
    <w:rsid w:val="00B007DE"/>
    <w:rsid w:val="00B01500"/>
    <w:rsid w:val="00B016C6"/>
    <w:rsid w:val="00B020A9"/>
    <w:rsid w:val="00B023CB"/>
    <w:rsid w:val="00B02A70"/>
    <w:rsid w:val="00B02C38"/>
    <w:rsid w:val="00B03181"/>
    <w:rsid w:val="00B032EC"/>
    <w:rsid w:val="00B033C1"/>
    <w:rsid w:val="00B054B2"/>
    <w:rsid w:val="00B0551E"/>
    <w:rsid w:val="00B05540"/>
    <w:rsid w:val="00B0617C"/>
    <w:rsid w:val="00B06C9C"/>
    <w:rsid w:val="00B07650"/>
    <w:rsid w:val="00B10272"/>
    <w:rsid w:val="00B10357"/>
    <w:rsid w:val="00B10918"/>
    <w:rsid w:val="00B10C56"/>
    <w:rsid w:val="00B10C72"/>
    <w:rsid w:val="00B10D00"/>
    <w:rsid w:val="00B10DC2"/>
    <w:rsid w:val="00B112AC"/>
    <w:rsid w:val="00B113C5"/>
    <w:rsid w:val="00B11C26"/>
    <w:rsid w:val="00B11ED9"/>
    <w:rsid w:val="00B124A1"/>
    <w:rsid w:val="00B12C4B"/>
    <w:rsid w:val="00B133FF"/>
    <w:rsid w:val="00B144E2"/>
    <w:rsid w:val="00B14B38"/>
    <w:rsid w:val="00B15341"/>
    <w:rsid w:val="00B15501"/>
    <w:rsid w:val="00B16FC8"/>
    <w:rsid w:val="00B17E7D"/>
    <w:rsid w:val="00B17F65"/>
    <w:rsid w:val="00B202D1"/>
    <w:rsid w:val="00B20F7B"/>
    <w:rsid w:val="00B21392"/>
    <w:rsid w:val="00B2289F"/>
    <w:rsid w:val="00B23220"/>
    <w:rsid w:val="00B23BE0"/>
    <w:rsid w:val="00B24237"/>
    <w:rsid w:val="00B242AF"/>
    <w:rsid w:val="00B24548"/>
    <w:rsid w:val="00B24968"/>
    <w:rsid w:val="00B24AD2"/>
    <w:rsid w:val="00B25183"/>
    <w:rsid w:val="00B256BB"/>
    <w:rsid w:val="00B26086"/>
    <w:rsid w:val="00B2687E"/>
    <w:rsid w:val="00B26D3F"/>
    <w:rsid w:val="00B26E2C"/>
    <w:rsid w:val="00B26ECF"/>
    <w:rsid w:val="00B27BD4"/>
    <w:rsid w:val="00B27E7E"/>
    <w:rsid w:val="00B301EB"/>
    <w:rsid w:val="00B30523"/>
    <w:rsid w:val="00B305F9"/>
    <w:rsid w:val="00B307CB"/>
    <w:rsid w:val="00B30AA5"/>
    <w:rsid w:val="00B30B52"/>
    <w:rsid w:val="00B30E68"/>
    <w:rsid w:val="00B30FAC"/>
    <w:rsid w:val="00B31094"/>
    <w:rsid w:val="00B3130A"/>
    <w:rsid w:val="00B3151A"/>
    <w:rsid w:val="00B315F7"/>
    <w:rsid w:val="00B31B20"/>
    <w:rsid w:val="00B31C33"/>
    <w:rsid w:val="00B31F51"/>
    <w:rsid w:val="00B31FB5"/>
    <w:rsid w:val="00B320CB"/>
    <w:rsid w:val="00B3250A"/>
    <w:rsid w:val="00B33C4A"/>
    <w:rsid w:val="00B342A6"/>
    <w:rsid w:val="00B344E2"/>
    <w:rsid w:val="00B34BA8"/>
    <w:rsid w:val="00B3503E"/>
    <w:rsid w:val="00B3508A"/>
    <w:rsid w:val="00B362D5"/>
    <w:rsid w:val="00B36559"/>
    <w:rsid w:val="00B36774"/>
    <w:rsid w:val="00B3686C"/>
    <w:rsid w:val="00B36FB1"/>
    <w:rsid w:val="00B3752D"/>
    <w:rsid w:val="00B375ED"/>
    <w:rsid w:val="00B401B5"/>
    <w:rsid w:val="00B4042D"/>
    <w:rsid w:val="00B416C4"/>
    <w:rsid w:val="00B4176C"/>
    <w:rsid w:val="00B42AE8"/>
    <w:rsid w:val="00B42F47"/>
    <w:rsid w:val="00B431E5"/>
    <w:rsid w:val="00B43567"/>
    <w:rsid w:val="00B4371A"/>
    <w:rsid w:val="00B43AD6"/>
    <w:rsid w:val="00B44530"/>
    <w:rsid w:val="00B4471F"/>
    <w:rsid w:val="00B44A85"/>
    <w:rsid w:val="00B4624E"/>
    <w:rsid w:val="00B4707E"/>
    <w:rsid w:val="00B47991"/>
    <w:rsid w:val="00B47A1D"/>
    <w:rsid w:val="00B47BAF"/>
    <w:rsid w:val="00B47E15"/>
    <w:rsid w:val="00B5060A"/>
    <w:rsid w:val="00B506BD"/>
    <w:rsid w:val="00B508A8"/>
    <w:rsid w:val="00B51645"/>
    <w:rsid w:val="00B521E0"/>
    <w:rsid w:val="00B52583"/>
    <w:rsid w:val="00B53881"/>
    <w:rsid w:val="00B55740"/>
    <w:rsid w:val="00B55CFE"/>
    <w:rsid w:val="00B566DD"/>
    <w:rsid w:val="00B569DD"/>
    <w:rsid w:val="00B56ABA"/>
    <w:rsid w:val="00B572D9"/>
    <w:rsid w:val="00B60182"/>
    <w:rsid w:val="00B605F8"/>
    <w:rsid w:val="00B60694"/>
    <w:rsid w:val="00B610BA"/>
    <w:rsid w:val="00B613C0"/>
    <w:rsid w:val="00B61890"/>
    <w:rsid w:val="00B619BE"/>
    <w:rsid w:val="00B62ECE"/>
    <w:rsid w:val="00B64A17"/>
    <w:rsid w:val="00B65A44"/>
    <w:rsid w:val="00B65A76"/>
    <w:rsid w:val="00B65BDF"/>
    <w:rsid w:val="00B65F6D"/>
    <w:rsid w:val="00B65F7A"/>
    <w:rsid w:val="00B65FD7"/>
    <w:rsid w:val="00B6637E"/>
    <w:rsid w:val="00B666F9"/>
    <w:rsid w:val="00B66817"/>
    <w:rsid w:val="00B670EC"/>
    <w:rsid w:val="00B677F5"/>
    <w:rsid w:val="00B67822"/>
    <w:rsid w:val="00B67BB7"/>
    <w:rsid w:val="00B70576"/>
    <w:rsid w:val="00B705A3"/>
    <w:rsid w:val="00B71D74"/>
    <w:rsid w:val="00B721F5"/>
    <w:rsid w:val="00B727C7"/>
    <w:rsid w:val="00B72D19"/>
    <w:rsid w:val="00B72FA6"/>
    <w:rsid w:val="00B732B3"/>
    <w:rsid w:val="00B73555"/>
    <w:rsid w:val="00B74848"/>
    <w:rsid w:val="00B74C50"/>
    <w:rsid w:val="00B75D67"/>
    <w:rsid w:val="00B76785"/>
    <w:rsid w:val="00B77E4C"/>
    <w:rsid w:val="00B80289"/>
    <w:rsid w:val="00B805EC"/>
    <w:rsid w:val="00B80961"/>
    <w:rsid w:val="00B8187E"/>
    <w:rsid w:val="00B81C70"/>
    <w:rsid w:val="00B82057"/>
    <w:rsid w:val="00B82455"/>
    <w:rsid w:val="00B8292B"/>
    <w:rsid w:val="00B82BEF"/>
    <w:rsid w:val="00B82CF2"/>
    <w:rsid w:val="00B82F0C"/>
    <w:rsid w:val="00B83F21"/>
    <w:rsid w:val="00B84DD3"/>
    <w:rsid w:val="00B84E04"/>
    <w:rsid w:val="00B8542C"/>
    <w:rsid w:val="00B85604"/>
    <w:rsid w:val="00B85E16"/>
    <w:rsid w:val="00B86738"/>
    <w:rsid w:val="00B87402"/>
    <w:rsid w:val="00B90343"/>
    <w:rsid w:val="00B90D65"/>
    <w:rsid w:val="00B90F9E"/>
    <w:rsid w:val="00B9186E"/>
    <w:rsid w:val="00B91976"/>
    <w:rsid w:val="00B91A3D"/>
    <w:rsid w:val="00B92360"/>
    <w:rsid w:val="00B9262A"/>
    <w:rsid w:val="00B9288C"/>
    <w:rsid w:val="00B92894"/>
    <w:rsid w:val="00B93625"/>
    <w:rsid w:val="00B93E8E"/>
    <w:rsid w:val="00B949EC"/>
    <w:rsid w:val="00B950F0"/>
    <w:rsid w:val="00B95AE2"/>
    <w:rsid w:val="00B95CFA"/>
    <w:rsid w:val="00B95F03"/>
    <w:rsid w:val="00B96C7E"/>
    <w:rsid w:val="00B96F74"/>
    <w:rsid w:val="00B974A0"/>
    <w:rsid w:val="00B976C3"/>
    <w:rsid w:val="00BA0405"/>
    <w:rsid w:val="00BA1BEB"/>
    <w:rsid w:val="00BA20C0"/>
    <w:rsid w:val="00BA230C"/>
    <w:rsid w:val="00BA2EAA"/>
    <w:rsid w:val="00BA34B7"/>
    <w:rsid w:val="00BA34DA"/>
    <w:rsid w:val="00BA35F1"/>
    <w:rsid w:val="00BA3BE6"/>
    <w:rsid w:val="00BA46CA"/>
    <w:rsid w:val="00BA5302"/>
    <w:rsid w:val="00BA5821"/>
    <w:rsid w:val="00BA7627"/>
    <w:rsid w:val="00BA7658"/>
    <w:rsid w:val="00BA7B03"/>
    <w:rsid w:val="00BB02BC"/>
    <w:rsid w:val="00BB0B31"/>
    <w:rsid w:val="00BB0EEB"/>
    <w:rsid w:val="00BB1081"/>
    <w:rsid w:val="00BB1291"/>
    <w:rsid w:val="00BB17AA"/>
    <w:rsid w:val="00BB261F"/>
    <w:rsid w:val="00BB2B3D"/>
    <w:rsid w:val="00BB3B00"/>
    <w:rsid w:val="00BB3FDD"/>
    <w:rsid w:val="00BB468F"/>
    <w:rsid w:val="00BB58D5"/>
    <w:rsid w:val="00BB5BF2"/>
    <w:rsid w:val="00BB5E2F"/>
    <w:rsid w:val="00BB5ED9"/>
    <w:rsid w:val="00BB65B6"/>
    <w:rsid w:val="00BB67B7"/>
    <w:rsid w:val="00BB6D6D"/>
    <w:rsid w:val="00BB71B8"/>
    <w:rsid w:val="00BB71CC"/>
    <w:rsid w:val="00BB7253"/>
    <w:rsid w:val="00BB789D"/>
    <w:rsid w:val="00BB79B3"/>
    <w:rsid w:val="00BC020C"/>
    <w:rsid w:val="00BC0289"/>
    <w:rsid w:val="00BC0A59"/>
    <w:rsid w:val="00BC0D72"/>
    <w:rsid w:val="00BC0DF4"/>
    <w:rsid w:val="00BC1147"/>
    <w:rsid w:val="00BC4467"/>
    <w:rsid w:val="00BC4BA0"/>
    <w:rsid w:val="00BC50CB"/>
    <w:rsid w:val="00BC569B"/>
    <w:rsid w:val="00BC59AA"/>
    <w:rsid w:val="00BC6ABF"/>
    <w:rsid w:val="00BC7B21"/>
    <w:rsid w:val="00BC7BA6"/>
    <w:rsid w:val="00BC7BB3"/>
    <w:rsid w:val="00BD04D5"/>
    <w:rsid w:val="00BD0BAB"/>
    <w:rsid w:val="00BD1853"/>
    <w:rsid w:val="00BD1857"/>
    <w:rsid w:val="00BD28F8"/>
    <w:rsid w:val="00BD295B"/>
    <w:rsid w:val="00BD2994"/>
    <w:rsid w:val="00BD3A1B"/>
    <w:rsid w:val="00BD3E33"/>
    <w:rsid w:val="00BD3FE5"/>
    <w:rsid w:val="00BD4044"/>
    <w:rsid w:val="00BD4943"/>
    <w:rsid w:val="00BD615D"/>
    <w:rsid w:val="00BD7063"/>
    <w:rsid w:val="00BD7268"/>
    <w:rsid w:val="00BD7270"/>
    <w:rsid w:val="00BD7D82"/>
    <w:rsid w:val="00BE070E"/>
    <w:rsid w:val="00BE0D02"/>
    <w:rsid w:val="00BE19BC"/>
    <w:rsid w:val="00BE1D05"/>
    <w:rsid w:val="00BE1E31"/>
    <w:rsid w:val="00BE1E47"/>
    <w:rsid w:val="00BE2598"/>
    <w:rsid w:val="00BE29E4"/>
    <w:rsid w:val="00BE2F33"/>
    <w:rsid w:val="00BE2F3E"/>
    <w:rsid w:val="00BE3CEA"/>
    <w:rsid w:val="00BE3E3C"/>
    <w:rsid w:val="00BE4E62"/>
    <w:rsid w:val="00BE4FEB"/>
    <w:rsid w:val="00BE5495"/>
    <w:rsid w:val="00BE63D1"/>
    <w:rsid w:val="00BE6C4E"/>
    <w:rsid w:val="00BE6CBF"/>
    <w:rsid w:val="00BE759D"/>
    <w:rsid w:val="00BF0645"/>
    <w:rsid w:val="00BF08EB"/>
    <w:rsid w:val="00BF0C47"/>
    <w:rsid w:val="00BF1741"/>
    <w:rsid w:val="00BF2275"/>
    <w:rsid w:val="00BF2B26"/>
    <w:rsid w:val="00BF4698"/>
    <w:rsid w:val="00BF51B4"/>
    <w:rsid w:val="00BF59FF"/>
    <w:rsid w:val="00BF5C04"/>
    <w:rsid w:val="00BF6934"/>
    <w:rsid w:val="00BF6A3A"/>
    <w:rsid w:val="00BF6A4C"/>
    <w:rsid w:val="00BF6FAC"/>
    <w:rsid w:val="00BF7692"/>
    <w:rsid w:val="00BF7F05"/>
    <w:rsid w:val="00C0053C"/>
    <w:rsid w:val="00C00626"/>
    <w:rsid w:val="00C00B29"/>
    <w:rsid w:val="00C00BBF"/>
    <w:rsid w:val="00C01623"/>
    <w:rsid w:val="00C01E94"/>
    <w:rsid w:val="00C02011"/>
    <w:rsid w:val="00C0231A"/>
    <w:rsid w:val="00C02519"/>
    <w:rsid w:val="00C025E6"/>
    <w:rsid w:val="00C03109"/>
    <w:rsid w:val="00C036D0"/>
    <w:rsid w:val="00C037C7"/>
    <w:rsid w:val="00C04121"/>
    <w:rsid w:val="00C04227"/>
    <w:rsid w:val="00C04957"/>
    <w:rsid w:val="00C055EF"/>
    <w:rsid w:val="00C05DC6"/>
    <w:rsid w:val="00C069FB"/>
    <w:rsid w:val="00C06BEA"/>
    <w:rsid w:val="00C06D98"/>
    <w:rsid w:val="00C07759"/>
    <w:rsid w:val="00C07F76"/>
    <w:rsid w:val="00C1071A"/>
    <w:rsid w:val="00C10A48"/>
    <w:rsid w:val="00C11A98"/>
    <w:rsid w:val="00C11E5F"/>
    <w:rsid w:val="00C11EB8"/>
    <w:rsid w:val="00C1218B"/>
    <w:rsid w:val="00C12481"/>
    <w:rsid w:val="00C12801"/>
    <w:rsid w:val="00C12C08"/>
    <w:rsid w:val="00C13991"/>
    <w:rsid w:val="00C13C05"/>
    <w:rsid w:val="00C13C10"/>
    <w:rsid w:val="00C13E31"/>
    <w:rsid w:val="00C1459C"/>
    <w:rsid w:val="00C14CFE"/>
    <w:rsid w:val="00C1613F"/>
    <w:rsid w:val="00C1672A"/>
    <w:rsid w:val="00C16AB8"/>
    <w:rsid w:val="00C1753A"/>
    <w:rsid w:val="00C204A5"/>
    <w:rsid w:val="00C21592"/>
    <w:rsid w:val="00C218B2"/>
    <w:rsid w:val="00C21C39"/>
    <w:rsid w:val="00C21E64"/>
    <w:rsid w:val="00C2205A"/>
    <w:rsid w:val="00C2298A"/>
    <w:rsid w:val="00C22C52"/>
    <w:rsid w:val="00C22E9A"/>
    <w:rsid w:val="00C23116"/>
    <w:rsid w:val="00C235C9"/>
    <w:rsid w:val="00C23A0C"/>
    <w:rsid w:val="00C23EDD"/>
    <w:rsid w:val="00C241DA"/>
    <w:rsid w:val="00C2422E"/>
    <w:rsid w:val="00C24500"/>
    <w:rsid w:val="00C248A4"/>
    <w:rsid w:val="00C25738"/>
    <w:rsid w:val="00C25750"/>
    <w:rsid w:val="00C25C6B"/>
    <w:rsid w:val="00C25E18"/>
    <w:rsid w:val="00C25F07"/>
    <w:rsid w:val="00C2660B"/>
    <w:rsid w:val="00C2665E"/>
    <w:rsid w:val="00C27369"/>
    <w:rsid w:val="00C30083"/>
    <w:rsid w:val="00C30134"/>
    <w:rsid w:val="00C30150"/>
    <w:rsid w:val="00C3048D"/>
    <w:rsid w:val="00C305B1"/>
    <w:rsid w:val="00C30877"/>
    <w:rsid w:val="00C32D8D"/>
    <w:rsid w:val="00C32ED2"/>
    <w:rsid w:val="00C33889"/>
    <w:rsid w:val="00C33BE9"/>
    <w:rsid w:val="00C33E4A"/>
    <w:rsid w:val="00C34153"/>
    <w:rsid w:val="00C343BD"/>
    <w:rsid w:val="00C344E5"/>
    <w:rsid w:val="00C34D6E"/>
    <w:rsid w:val="00C3528F"/>
    <w:rsid w:val="00C35ED3"/>
    <w:rsid w:val="00C36854"/>
    <w:rsid w:val="00C37BF1"/>
    <w:rsid w:val="00C41220"/>
    <w:rsid w:val="00C412CE"/>
    <w:rsid w:val="00C4239E"/>
    <w:rsid w:val="00C42710"/>
    <w:rsid w:val="00C42CA6"/>
    <w:rsid w:val="00C42F0C"/>
    <w:rsid w:val="00C44B0A"/>
    <w:rsid w:val="00C44F96"/>
    <w:rsid w:val="00C45108"/>
    <w:rsid w:val="00C45D9E"/>
    <w:rsid w:val="00C4620C"/>
    <w:rsid w:val="00C46651"/>
    <w:rsid w:val="00C46A0C"/>
    <w:rsid w:val="00C47E20"/>
    <w:rsid w:val="00C50552"/>
    <w:rsid w:val="00C50CE8"/>
    <w:rsid w:val="00C513E5"/>
    <w:rsid w:val="00C51FFF"/>
    <w:rsid w:val="00C523C3"/>
    <w:rsid w:val="00C52BEF"/>
    <w:rsid w:val="00C52BFA"/>
    <w:rsid w:val="00C52DD2"/>
    <w:rsid w:val="00C53055"/>
    <w:rsid w:val="00C53177"/>
    <w:rsid w:val="00C531FE"/>
    <w:rsid w:val="00C5377F"/>
    <w:rsid w:val="00C54D60"/>
    <w:rsid w:val="00C54F09"/>
    <w:rsid w:val="00C54F4E"/>
    <w:rsid w:val="00C55201"/>
    <w:rsid w:val="00C5546E"/>
    <w:rsid w:val="00C554BA"/>
    <w:rsid w:val="00C554FA"/>
    <w:rsid w:val="00C55680"/>
    <w:rsid w:val="00C55E17"/>
    <w:rsid w:val="00C57A32"/>
    <w:rsid w:val="00C57E37"/>
    <w:rsid w:val="00C604A1"/>
    <w:rsid w:val="00C61162"/>
    <w:rsid w:val="00C6147C"/>
    <w:rsid w:val="00C62D65"/>
    <w:rsid w:val="00C63248"/>
    <w:rsid w:val="00C63632"/>
    <w:rsid w:val="00C63854"/>
    <w:rsid w:val="00C63D24"/>
    <w:rsid w:val="00C64566"/>
    <w:rsid w:val="00C646F2"/>
    <w:rsid w:val="00C6495F"/>
    <w:rsid w:val="00C64F3C"/>
    <w:rsid w:val="00C66225"/>
    <w:rsid w:val="00C66563"/>
    <w:rsid w:val="00C66BA0"/>
    <w:rsid w:val="00C66D5D"/>
    <w:rsid w:val="00C6709D"/>
    <w:rsid w:val="00C675C9"/>
    <w:rsid w:val="00C717E3"/>
    <w:rsid w:val="00C72084"/>
    <w:rsid w:val="00C72C1C"/>
    <w:rsid w:val="00C72E42"/>
    <w:rsid w:val="00C73327"/>
    <w:rsid w:val="00C7337C"/>
    <w:rsid w:val="00C739BF"/>
    <w:rsid w:val="00C74275"/>
    <w:rsid w:val="00C74CEA"/>
    <w:rsid w:val="00C7550B"/>
    <w:rsid w:val="00C75D94"/>
    <w:rsid w:val="00C76296"/>
    <w:rsid w:val="00C76303"/>
    <w:rsid w:val="00C76947"/>
    <w:rsid w:val="00C77E9A"/>
    <w:rsid w:val="00C80285"/>
    <w:rsid w:val="00C80DE3"/>
    <w:rsid w:val="00C80F01"/>
    <w:rsid w:val="00C8170D"/>
    <w:rsid w:val="00C81948"/>
    <w:rsid w:val="00C819DF"/>
    <w:rsid w:val="00C81D7E"/>
    <w:rsid w:val="00C8292C"/>
    <w:rsid w:val="00C8296E"/>
    <w:rsid w:val="00C82D1B"/>
    <w:rsid w:val="00C83E11"/>
    <w:rsid w:val="00C84418"/>
    <w:rsid w:val="00C84600"/>
    <w:rsid w:val="00C84737"/>
    <w:rsid w:val="00C84B89"/>
    <w:rsid w:val="00C84FA5"/>
    <w:rsid w:val="00C85375"/>
    <w:rsid w:val="00C85A3A"/>
    <w:rsid w:val="00C85CE4"/>
    <w:rsid w:val="00C8689C"/>
    <w:rsid w:val="00C868E9"/>
    <w:rsid w:val="00C86CC1"/>
    <w:rsid w:val="00C86CD7"/>
    <w:rsid w:val="00C86E77"/>
    <w:rsid w:val="00C8711E"/>
    <w:rsid w:val="00C877BF"/>
    <w:rsid w:val="00C900EA"/>
    <w:rsid w:val="00C90B93"/>
    <w:rsid w:val="00C914B5"/>
    <w:rsid w:val="00C91A81"/>
    <w:rsid w:val="00C91E59"/>
    <w:rsid w:val="00C9206E"/>
    <w:rsid w:val="00C92702"/>
    <w:rsid w:val="00C92947"/>
    <w:rsid w:val="00C94892"/>
    <w:rsid w:val="00C948D1"/>
    <w:rsid w:val="00C94E8B"/>
    <w:rsid w:val="00C95170"/>
    <w:rsid w:val="00C9590D"/>
    <w:rsid w:val="00C961F6"/>
    <w:rsid w:val="00C96AC5"/>
    <w:rsid w:val="00C96F49"/>
    <w:rsid w:val="00C970AF"/>
    <w:rsid w:val="00C973C7"/>
    <w:rsid w:val="00C975B6"/>
    <w:rsid w:val="00C97981"/>
    <w:rsid w:val="00C97E3C"/>
    <w:rsid w:val="00C97EF1"/>
    <w:rsid w:val="00CA0969"/>
    <w:rsid w:val="00CA09BF"/>
    <w:rsid w:val="00CA22E1"/>
    <w:rsid w:val="00CA2BF7"/>
    <w:rsid w:val="00CA2E03"/>
    <w:rsid w:val="00CA3561"/>
    <w:rsid w:val="00CA3876"/>
    <w:rsid w:val="00CA48A5"/>
    <w:rsid w:val="00CA504A"/>
    <w:rsid w:val="00CA55A2"/>
    <w:rsid w:val="00CA598A"/>
    <w:rsid w:val="00CA5B7C"/>
    <w:rsid w:val="00CA5E19"/>
    <w:rsid w:val="00CA6779"/>
    <w:rsid w:val="00CA6CB9"/>
    <w:rsid w:val="00CA6DFD"/>
    <w:rsid w:val="00CA729D"/>
    <w:rsid w:val="00CA7C6F"/>
    <w:rsid w:val="00CB0F8B"/>
    <w:rsid w:val="00CB102D"/>
    <w:rsid w:val="00CB1701"/>
    <w:rsid w:val="00CB173F"/>
    <w:rsid w:val="00CB2F89"/>
    <w:rsid w:val="00CB5863"/>
    <w:rsid w:val="00CB733D"/>
    <w:rsid w:val="00CB7416"/>
    <w:rsid w:val="00CC03A9"/>
    <w:rsid w:val="00CC142C"/>
    <w:rsid w:val="00CC173E"/>
    <w:rsid w:val="00CC1775"/>
    <w:rsid w:val="00CC1933"/>
    <w:rsid w:val="00CC2414"/>
    <w:rsid w:val="00CC2682"/>
    <w:rsid w:val="00CC2959"/>
    <w:rsid w:val="00CC2986"/>
    <w:rsid w:val="00CC3D8A"/>
    <w:rsid w:val="00CC3DC9"/>
    <w:rsid w:val="00CC3E33"/>
    <w:rsid w:val="00CC4731"/>
    <w:rsid w:val="00CC61F4"/>
    <w:rsid w:val="00CC651D"/>
    <w:rsid w:val="00CC655C"/>
    <w:rsid w:val="00CC65AC"/>
    <w:rsid w:val="00CC785E"/>
    <w:rsid w:val="00CC7AAE"/>
    <w:rsid w:val="00CC7BA3"/>
    <w:rsid w:val="00CD07E2"/>
    <w:rsid w:val="00CD1AEF"/>
    <w:rsid w:val="00CD28C6"/>
    <w:rsid w:val="00CD4247"/>
    <w:rsid w:val="00CD4254"/>
    <w:rsid w:val="00CD4631"/>
    <w:rsid w:val="00CD4B45"/>
    <w:rsid w:val="00CD6073"/>
    <w:rsid w:val="00CD6192"/>
    <w:rsid w:val="00CD6BD0"/>
    <w:rsid w:val="00CD73CF"/>
    <w:rsid w:val="00CD778C"/>
    <w:rsid w:val="00CE0159"/>
    <w:rsid w:val="00CE0358"/>
    <w:rsid w:val="00CE03A6"/>
    <w:rsid w:val="00CE0853"/>
    <w:rsid w:val="00CE092D"/>
    <w:rsid w:val="00CE0C53"/>
    <w:rsid w:val="00CE0CAA"/>
    <w:rsid w:val="00CE111B"/>
    <w:rsid w:val="00CE2810"/>
    <w:rsid w:val="00CE29DC"/>
    <w:rsid w:val="00CE32F7"/>
    <w:rsid w:val="00CE3ADA"/>
    <w:rsid w:val="00CE3DBD"/>
    <w:rsid w:val="00CE5E19"/>
    <w:rsid w:val="00CE6306"/>
    <w:rsid w:val="00CE6844"/>
    <w:rsid w:val="00CE6917"/>
    <w:rsid w:val="00CE6EAF"/>
    <w:rsid w:val="00CE7CCB"/>
    <w:rsid w:val="00CF0ABD"/>
    <w:rsid w:val="00CF11A7"/>
    <w:rsid w:val="00CF169C"/>
    <w:rsid w:val="00CF19F9"/>
    <w:rsid w:val="00CF1A60"/>
    <w:rsid w:val="00CF2B9D"/>
    <w:rsid w:val="00CF2D8A"/>
    <w:rsid w:val="00CF3678"/>
    <w:rsid w:val="00CF38E1"/>
    <w:rsid w:val="00CF40EC"/>
    <w:rsid w:val="00CF569D"/>
    <w:rsid w:val="00CF58FA"/>
    <w:rsid w:val="00CF59AF"/>
    <w:rsid w:val="00CF5DAE"/>
    <w:rsid w:val="00CF5E59"/>
    <w:rsid w:val="00CF60F2"/>
    <w:rsid w:val="00CF61BB"/>
    <w:rsid w:val="00CF691F"/>
    <w:rsid w:val="00CF6D49"/>
    <w:rsid w:val="00CF7085"/>
    <w:rsid w:val="00CF7093"/>
    <w:rsid w:val="00CF7F34"/>
    <w:rsid w:val="00D01132"/>
    <w:rsid w:val="00D012C4"/>
    <w:rsid w:val="00D017A3"/>
    <w:rsid w:val="00D022E1"/>
    <w:rsid w:val="00D0238F"/>
    <w:rsid w:val="00D02AE6"/>
    <w:rsid w:val="00D02F23"/>
    <w:rsid w:val="00D02FAA"/>
    <w:rsid w:val="00D0487F"/>
    <w:rsid w:val="00D053E8"/>
    <w:rsid w:val="00D06569"/>
    <w:rsid w:val="00D067A8"/>
    <w:rsid w:val="00D068AF"/>
    <w:rsid w:val="00D06DA9"/>
    <w:rsid w:val="00D10226"/>
    <w:rsid w:val="00D10A0C"/>
    <w:rsid w:val="00D10BEC"/>
    <w:rsid w:val="00D10C97"/>
    <w:rsid w:val="00D1104A"/>
    <w:rsid w:val="00D11A42"/>
    <w:rsid w:val="00D11CE3"/>
    <w:rsid w:val="00D11F6B"/>
    <w:rsid w:val="00D12899"/>
    <w:rsid w:val="00D130AA"/>
    <w:rsid w:val="00D134D7"/>
    <w:rsid w:val="00D13697"/>
    <w:rsid w:val="00D13A81"/>
    <w:rsid w:val="00D13CFD"/>
    <w:rsid w:val="00D13D20"/>
    <w:rsid w:val="00D1419E"/>
    <w:rsid w:val="00D1458F"/>
    <w:rsid w:val="00D14962"/>
    <w:rsid w:val="00D149FF"/>
    <w:rsid w:val="00D14EB0"/>
    <w:rsid w:val="00D15426"/>
    <w:rsid w:val="00D15B39"/>
    <w:rsid w:val="00D164EC"/>
    <w:rsid w:val="00D1672C"/>
    <w:rsid w:val="00D17C17"/>
    <w:rsid w:val="00D17DDE"/>
    <w:rsid w:val="00D17FF4"/>
    <w:rsid w:val="00D204EB"/>
    <w:rsid w:val="00D2055E"/>
    <w:rsid w:val="00D2076B"/>
    <w:rsid w:val="00D21424"/>
    <w:rsid w:val="00D2223A"/>
    <w:rsid w:val="00D22382"/>
    <w:rsid w:val="00D2302C"/>
    <w:rsid w:val="00D23451"/>
    <w:rsid w:val="00D2443B"/>
    <w:rsid w:val="00D252C7"/>
    <w:rsid w:val="00D25456"/>
    <w:rsid w:val="00D25F43"/>
    <w:rsid w:val="00D274C9"/>
    <w:rsid w:val="00D27630"/>
    <w:rsid w:val="00D27A97"/>
    <w:rsid w:val="00D27F4F"/>
    <w:rsid w:val="00D302D0"/>
    <w:rsid w:val="00D30DEF"/>
    <w:rsid w:val="00D30FDC"/>
    <w:rsid w:val="00D318D6"/>
    <w:rsid w:val="00D31D96"/>
    <w:rsid w:val="00D321D5"/>
    <w:rsid w:val="00D32339"/>
    <w:rsid w:val="00D3272F"/>
    <w:rsid w:val="00D33A75"/>
    <w:rsid w:val="00D33D19"/>
    <w:rsid w:val="00D33D2C"/>
    <w:rsid w:val="00D34004"/>
    <w:rsid w:val="00D34699"/>
    <w:rsid w:val="00D347D0"/>
    <w:rsid w:val="00D34A99"/>
    <w:rsid w:val="00D34E05"/>
    <w:rsid w:val="00D3511F"/>
    <w:rsid w:val="00D35185"/>
    <w:rsid w:val="00D35215"/>
    <w:rsid w:val="00D3678A"/>
    <w:rsid w:val="00D3747B"/>
    <w:rsid w:val="00D37F5C"/>
    <w:rsid w:val="00D406FD"/>
    <w:rsid w:val="00D40C66"/>
    <w:rsid w:val="00D41314"/>
    <w:rsid w:val="00D41514"/>
    <w:rsid w:val="00D41951"/>
    <w:rsid w:val="00D419FD"/>
    <w:rsid w:val="00D41FB1"/>
    <w:rsid w:val="00D420CB"/>
    <w:rsid w:val="00D421A9"/>
    <w:rsid w:val="00D42C57"/>
    <w:rsid w:val="00D436F0"/>
    <w:rsid w:val="00D437E8"/>
    <w:rsid w:val="00D43C9A"/>
    <w:rsid w:val="00D444E9"/>
    <w:rsid w:val="00D449DF"/>
    <w:rsid w:val="00D44B7F"/>
    <w:rsid w:val="00D453BC"/>
    <w:rsid w:val="00D456DB"/>
    <w:rsid w:val="00D4580A"/>
    <w:rsid w:val="00D45BA0"/>
    <w:rsid w:val="00D462EB"/>
    <w:rsid w:val="00D46AF2"/>
    <w:rsid w:val="00D501C1"/>
    <w:rsid w:val="00D50C1E"/>
    <w:rsid w:val="00D51FFB"/>
    <w:rsid w:val="00D52284"/>
    <w:rsid w:val="00D52BD1"/>
    <w:rsid w:val="00D531B8"/>
    <w:rsid w:val="00D53608"/>
    <w:rsid w:val="00D54CFD"/>
    <w:rsid w:val="00D55113"/>
    <w:rsid w:val="00D55B25"/>
    <w:rsid w:val="00D55B61"/>
    <w:rsid w:val="00D56EF8"/>
    <w:rsid w:val="00D6046C"/>
    <w:rsid w:val="00D61A49"/>
    <w:rsid w:val="00D61C4D"/>
    <w:rsid w:val="00D622F1"/>
    <w:rsid w:val="00D62977"/>
    <w:rsid w:val="00D62D4E"/>
    <w:rsid w:val="00D62EE1"/>
    <w:rsid w:val="00D6310B"/>
    <w:rsid w:val="00D64CC0"/>
    <w:rsid w:val="00D65165"/>
    <w:rsid w:val="00D670A9"/>
    <w:rsid w:val="00D67559"/>
    <w:rsid w:val="00D67A03"/>
    <w:rsid w:val="00D67F30"/>
    <w:rsid w:val="00D70117"/>
    <w:rsid w:val="00D70348"/>
    <w:rsid w:val="00D703E8"/>
    <w:rsid w:val="00D704DD"/>
    <w:rsid w:val="00D7056E"/>
    <w:rsid w:val="00D70B76"/>
    <w:rsid w:val="00D70BCC"/>
    <w:rsid w:val="00D71357"/>
    <w:rsid w:val="00D713F2"/>
    <w:rsid w:val="00D716C0"/>
    <w:rsid w:val="00D71A61"/>
    <w:rsid w:val="00D72732"/>
    <w:rsid w:val="00D72DBD"/>
    <w:rsid w:val="00D7313E"/>
    <w:rsid w:val="00D736B6"/>
    <w:rsid w:val="00D73DD4"/>
    <w:rsid w:val="00D73F9F"/>
    <w:rsid w:val="00D74057"/>
    <w:rsid w:val="00D740B5"/>
    <w:rsid w:val="00D742D5"/>
    <w:rsid w:val="00D75001"/>
    <w:rsid w:val="00D75B27"/>
    <w:rsid w:val="00D76290"/>
    <w:rsid w:val="00D76686"/>
    <w:rsid w:val="00D7683D"/>
    <w:rsid w:val="00D769FB"/>
    <w:rsid w:val="00D77B0E"/>
    <w:rsid w:val="00D77DCC"/>
    <w:rsid w:val="00D8010F"/>
    <w:rsid w:val="00D80168"/>
    <w:rsid w:val="00D808F8"/>
    <w:rsid w:val="00D820AD"/>
    <w:rsid w:val="00D82E5D"/>
    <w:rsid w:val="00D82F31"/>
    <w:rsid w:val="00D83471"/>
    <w:rsid w:val="00D8382B"/>
    <w:rsid w:val="00D83DEE"/>
    <w:rsid w:val="00D83EEC"/>
    <w:rsid w:val="00D849D2"/>
    <w:rsid w:val="00D84A97"/>
    <w:rsid w:val="00D84C00"/>
    <w:rsid w:val="00D8540D"/>
    <w:rsid w:val="00D859B2"/>
    <w:rsid w:val="00D85CED"/>
    <w:rsid w:val="00D8649F"/>
    <w:rsid w:val="00D867B9"/>
    <w:rsid w:val="00D86A80"/>
    <w:rsid w:val="00D86C6E"/>
    <w:rsid w:val="00D87B7E"/>
    <w:rsid w:val="00D90172"/>
    <w:rsid w:val="00D92DE4"/>
    <w:rsid w:val="00D93656"/>
    <w:rsid w:val="00D94136"/>
    <w:rsid w:val="00D9554B"/>
    <w:rsid w:val="00D95777"/>
    <w:rsid w:val="00D95894"/>
    <w:rsid w:val="00D95D44"/>
    <w:rsid w:val="00D967CA"/>
    <w:rsid w:val="00D96FA9"/>
    <w:rsid w:val="00D97338"/>
    <w:rsid w:val="00D97501"/>
    <w:rsid w:val="00DA06CB"/>
    <w:rsid w:val="00DA0794"/>
    <w:rsid w:val="00DA1623"/>
    <w:rsid w:val="00DA1CB0"/>
    <w:rsid w:val="00DA3C69"/>
    <w:rsid w:val="00DA4206"/>
    <w:rsid w:val="00DA45E4"/>
    <w:rsid w:val="00DA56C0"/>
    <w:rsid w:val="00DA6300"/>
    <w:rsid w:val="00DA66B0"/>
    <w:rsid w:val="00DA6969"/>
    <w:rsid w:val="00DA733E"/>
    <w:rsid w:val="00DA7B35"/>
    <w:rsid w:val="00DB05F9"/>
    <w:rsid w:val="00DB2446"/>
    <w:rsid w:val="00DB2633"/>
    <w:rsid w:val="00DB38AF"/>
    <w:rsid w:val="00DB408E"/>
    <w:rsid w:val="00DB493A"/>
    <w:rsid w:val="00DB4F50"/>
    <w:rsid w:val="00DB5001"/>
    <w:rsid w:val="00DB5AFA"/>
    <w:rsid w:val="00DB5D59"/>
    <w:rsid w:val="00DB6164"/>
    <w:rsid w:val="00DB63BC"/>
    <w:rsid w:val="00DB6E35"/>
    <w:rsid w:val="00DB7504"/>
    <w:rsid w:val="00DB7BE1"/>
    <w:rsid w:val="00DB7C0E"/>
    <w:rsid w:val="00DB7E48"/>
    <w:rsid w:val="00DB7F14"/>
    <w:rsid w:val="00DC03EA"/>
    <w:rsid w:val="00DC04EA"/>
    <w:rsid w:val="00DC0589"/>
    <w:rsid w:val="00DC1421"/>
    <w:rsid w:val="00DC2BD1"/>
    <w:rsid w:val="00DC39C3"/>
    <w:rsid w:val="00DC532C"/>
    <w:rsid w:val="00DC5568"/>
    <w:rsid w:val="00DC56F0"/>
    <w:rsid w:val="00DC5D55"/>
    <w:rsid w:val="00DC62A8"/>
    <w:rsid w:val="00DC64B8"/>
    <w:rsid w:val="00DC6D5B"/>
    <w:rsid w:val="00DC72BC"/>
    <w:rsid w:val="00DC733F"/>
    <w:rsid w:val="00DD0063"/>
    <w:rsid w:val="00DD0184"/>
    <w:rsid w:val="00DD03F9"/>
    <w:rsid w:val="00DD03FB"/>
    <w:rsid w:val="00DD09C0"/>
    <w:rsid w:val="00DD0D60"/>
    <w:rsid w:val="00DD10D6"/>
    <w:rsid w:val="00DD19E8"/>
    <w:rsid w:val="00DD1B1A"/>
    <w:rsid w:val="00DD1BF4"/>
    <w:rsid w:val="00DD1D75"/>
    <w:rsid w:val="00DD1F7B"/>
    <w:rsid w:val="00DD2662"/>
    <w:rsid w:val="00DD2B7A"/>
    <w:rsid w:val="00DD3278"/>
    <w:rsid w:val="00DD34CF"/>
    <w:rsid w:val="00DD370B"/>
    <w:rsid w:val="00DD38CD"/>
    <w:rsid w:val="00DD38DC"/>
    <w:rsid w:val="00DD3DA4"/>
    <w:rsid w:val="00DD437E"/>
    <w:rsid w:val="00DD4EE7"/>
    <w:rsid w:val="00DD554B"/>
    <w:rsid w:val="00DD61FE"/>
    <w:rsid w:val="00DD62A7"/>
    <w:rsid w:val="00DD6B36"/>
    <w:rsid w:val="00DE0447"/>
    <w:rsid w:val="00DE0629"/>
    <w:rsid w:val="00DE0F00"/>
    <w:rsid w:val="00DE1090"/>
    <w:rsid w:val="00DE1716"/>
    <w:rsid w:val="00DE26E1"/>
    <w:rsid w:val="00DE290C"/>
    <w:rsid w:val="00DE2A52"/>
    <w:rsid w:val="00DE2B15"/>
    <w:rsid w:val="00DE2FF2"/>
    <w:rsid w:val="00DE3313"/>
    <w:rsid w:val="00DE3CB0"/>
    <w:rsid w:val="00DE3ECF"/>
    <w:rsid w:val="00DE49D4"/>
    <w:rsid w:val="00DE4BA1"/>
    <w:rsid w:val="00DE4EB2"/>
    <w:rsid w:val="00DE4ECB"/>
    <w:rsid w:val="00DE4F26"/>
    <w:rsid w:val="00DE596D"/>
    <w:rsid w:val="00DE60B6"/>
    <w:rsid w:val="00DE62A2"/>
    <w:rsid w:val="00DE6791"/>
    <w:rsid w:val="00DE6D48"/>
    <w:rsid w:val="00DE75DE"/>
    <w:rsid w:val="00DE77F0"/>
    <w:rsid w:val="00DE7816"/>
    <w:rsid w:val="00DF04AD"/>
    <w:rsid w:val="00DF1334"/>
    <w:rsid w:val="00DF152B"/>
    <w:rsid w:val="00DF215B"/>
    <w:rsid w:val="00DF21E8"/>
    <w:rsid w:val="00DF242D"/>
    <w:rsid w:val="00DF242E"/>
    <w:rsid w:val="00DF3051"/>
    <w:rsid w:val="00DF3576"/>
    <w:rsid w:val="00DF3A4A"/>
    <w:rsid w:val="00DF3BB4"/>
    <w:rsid w:val="00DF3C41"/>
    <w:rsid w:val="00DF4A3E"/>
    <w:rsid w:val="00DF4BA1"/>
    <w:rsid w:val="00DF4F71"/>
    <w:rsid w:val="00DF581A"/>
    <w:rsid w:val="00DF5E64"/>
    <w:rsid w:val="00DF61ED"/>
    <w:rsid w:val="00DF6AFA"/>
    <w:rsid w:val="00DF6FE2"/>
    <w:rsid w:val="00DF7609"/>
    <w:rsid w:val="00DF7850"/>
    <w:rsid w:val="00DF7E47"/>
    <w:rsid w:val="00E0051A"/>
    <w:rsid w:val="00E00883"/>
    <w:rsid w:val="00E0193E"/>
    <w:rsid w:val="00E02D42"/>
    <w:rsid w:val="00E035AD"/>
    <w:rsid w:val="00E05B26"/>
    <w:rsid w:val="00E05C4F"/>
    <w:rsid w:val="00E06848"/>
    <w:rsid w:val="00E06C71"/>
    <w:rsid w:val="00E1047D"/>
    <w:rsid w:val="00E1107E"/>
    <w:rsid w:val="00E11B0C"/>
    <w:rsid w:val="00E129F8"/>
    <w:rsid w:val="00E12F4E"/>
    <w:rsid w:val="00E13779"/>
    <w:rsid w:val="00E13A85"/>
    <w:rsid w:val="00E141DF"/>
    <w:rsid w:val="00E146F2"/>
    <w:rsid w:val="00E148EF"/>
    <w:rsid w:val="00E14AE5"/>
    <w:rsid w:val="00E1523E"/>
    <w:rsid w:val="00E1590F"/>
    <w:rsid w:val="00E16147"/>
    <w:rsid w:val="00E16368"/>
    <w:rsid w:val="00E16DBA"/>
    <w:rsid w:val="00E1779F"/>
    <w:rsid w:val="00E1794D"/>
    <w:rsid w:val="00E200E7"/>
    <w:rsid w:val="00E20187"/>
    <w:rsid w:val="00E202E0"/>
    <w:rsid w:val="00E20EDA"/>
    <w:rsid w:val="00E20FFA"/>
    <w:rsid w:val="00E21885"/>
    <w:rsid w:val="00E21F5A"/>
    <w:rsid w:val="00E221EC"/>
    <w:rsid w:val="00E230FF"/>
    <w:rsid w:val="00E23691"/>
    <w:rsid w:val="00E23D60"/>
    <w:rsid w:val="00E23FDC"/>
    <w:rsid w:val="00E245A0"/>
    <w:rsid w:val="00E2597D"/>
    <w:rsid w:val="00E25AB4"/>
    <w:rsid w:val="00E2604A"/>
    <w:rsid w:val="00E26948"/>
    <w:rsid w:val="00E26C28"/>
    <w:rsid w:val="00E271F8"/>
    <w:rsid w:val="00E27254"/>
    <w:rsid w:val="00E27589"/>
    <w:rsid w:val="00E30C9F"/>
    <w:rsid w:val="00E30CD7"/>
    <w:rsid w:val="00E30FB9"/>
    <w:rsid w:val="00E31197"/>
    <w:rsid w:val="00E3147F"/>
    <w:rsid w:val="00E315F1"/>
    <w:rsid w:val="00E319B8"/>
    <w:rsid w:val="00E33454"/>
    <w:rsid w:val="00E3386F"/>
    <w:rsid w:val="00E33E51"/>
    <w:rsid w:val="00E34BFB"/>
    <w:rsid w:val="00E35098"/>
    <w:rsid w:val="00E35A09"/>
    <w:rsid w:val="00E35E6C"/>
    <w:rsid w:val="00E36EE6"/>
    <w:rsid w:val="00E405EF"/>
    <w:rsid w:val="00E40CA9"/>
    <w:rsid w:val="00E40CB4"/>
    <w:rsid w:val="00E41AA9"/>
    <w:rsid w:val="00E41E94"/>
    <w:rsid w:val="00E42117"/>
    <w:rsid w:val="00E421FB"/>
    <w:rsid w:val="00E4241C"/>
    <w:rsid w:val="00E42637"/>
    <w:rsid w:val="00E42CE5"/>
    <w:rsid w:val="00E42DF3"/>
    <w:rsid w:val="00E430F9"/>
    <w:rsid w:val="00E43D7E"/>
    <w:rsid w:val="00E43DAC"/>
    <w:rsid w:val="00E43EB7"/>
    <w:rsid w:val="00E43F18"/>
    <w:rsid w:val="00E44719"/>
    <w:rsid w:val="00E44905"/>
    <w:rsid w:val="00E457AA"/>
    <w:rsid w:val="00E45BDC"/>
    <w:rsid w:val="00E46CC6"/>
    <w:rsid w:val="00E511E3"/>
    <w:rsid w:val="00E51337"/>
    <w:rsid w:val="00E51A2E"/>
    <w:rsid w:val="00E51E85"/>
    <w:rsid w:val="00E52416"/>
    <w:rsid w:val="00E52DD6"/>
    <w:rsid w:val="00E53048"/>
    <w:rsid w:val="00E53A6F"/>
    <w:rsid w:val="00E53AA7"/>
    <w:rsid w:val="00E53F88"/>
    <w:rsid w:val="00E5464D"/>
    <w:rsid w:val="00E54684"/>
    <w:rsid w:val="00E54A33"/>
    <w:rsid w:val="00E54DC4"/>
    <w:rsid w:val="00E55B99"/>
    <w:rsid w:val="00E56574"/>
    <w:rsid w:val="00E56CCD"/>
    <w:rsid w:val="00E5781B"/>
    <w:rsid w:val="00E61083"/>
    <w:rsid w:val="00E61533"/>
    <w:rsid w:val="00E6177C"/>
    <w:rsid w:val="00E6240D"/>
    <w:rsid w:val="00E62AAA"/>
    <w:rsid w:val="00E62E4F"/>
    <w:rsid w:val="00E63B96"/>
    <w:rsid w:val="00E63BF7"/>
    <w:rsid w:val="00E641FC"/>
    <w:rsid w:val="00E644BE"/>
    <w:rsid w:val="00E64DD5"/>
    <w:rsid w:val="00E64F4C"/>
    <w:rsid w:val="00E6534D"/>
    <w:rsid w:val="00E657C1"/>
    <w:rsid w:val="00E6660C"/>
    <w:rsid w:val="00E66B46"/>
    <w:rsid w:val="00E66C62"/>
    <w:rsid w:val="00E66CEE"/>
    <w:rsid w:val="00E66EE0"/>
    <w:rsid w:val="00E66FCC"/>
    <w:rsid w:val="00E674C2"/>
    <w:rsid w:val="00E67B46"/>
    <w:rsid w:val="00E67CB5"/>
    <w:rsid w:val="00E67EDD"/>
    <w:rsid w:val="00E701F2"/>
    <w:rsid w:val="00E7135D"/>
    <w:rsid w:val="00E71A61"/>
    <w:rsid w:val="00E7255A"/>
    <w:rsid w:val="00E72860"/>
    <w:rsid w:val="00E7312C"/>
    <w:rsid w:val="00E7338B"/>
    <w:rsid w:val="00E7355E"/>
    <w:rsid w:val="00E741D0"/>
    <w:rsid w:val="00E75994"/>
    <w:rsid w:val="00E75AE0"/>
    <w:rsid w:val="00E76097"/>
    <w:rsid w:val="00E76C37"/>
    <w:rsid w:val="00E76DD6"/>
    <w:rsid w:val="00E773CD"/>
    <w:rsid w:val="00E800A3"/>
    <w:rsid w:val="00E8088F"/>
    <w:rsid w:val="00E80C7D"/>
    <w:rsid w:val="00E825F7"/>
    <w:rsid w:val="00E82677"/>
    <w:rsid w:val="00E82A41"/>
    <w:rsid w:val="00E83495"/>
    <w:rsid w:val="00E839A6"/>
    <w:rsid w:val="00E84667"/>
    <w:rsid w:val="00E84C5D"/>
    <w:rsid w:val="00E85E7E"/>
    <w:rsid w:val="00E8606A"/>
    <w:rsid w:val="00E865E0"/>
    <w:rsid w:val="00E86CDD"/>
    <w:rsid w:val="00E86E99"/>
    <w:rsid w:val="00E87D7E"/>
    <w:rsid w:val="00E9016A"/>
    <w:rsid w:val="00E90C8D"/>
    <w:rsid w:val="00E91B3F"/>
    <w:rsid w:val="00E91DA6"/>
    <w:rsid w:val="00E91EE2"/>
    <w:rsid w:val="00E92E50"/>
    <w:rsid w:val="00E9330F"/>
    <w:rsid w:val="00E93ADA"/>
    <w:rsid w:val="00E93D30"/>
    <w:rsid w:val="00E94A80"/>
    <w:rsid w:val="00E94EC1"/>
    <w:rsid w:val="00E95153"/>
    <w:rsid w:val="00E95E9A"/>
    <w:rsid w:val="00E95F02"/>
    <w:rsid w:val="00E961BB"/>
    <w:rsid w:val="00E962F4"/>
    <w:rsid w:val="00E97445"/>
    <w:rsid w:val="00E97648"/>
    <w:rsid w:val="00E97C18"/>
    <w:rsid w:val="00EA0350"/>
    <w:rsid w:val="00EA0379"/>
    <w:rsid w:val="00EA17EA"/>
    <w:rsid w:val="00EA1ACE"/>
    <w:rsid w:val="00EA1BDA"/>
    <w:rsid w:val="00EA218E"/>
    <w:rsid w:val="00EA24CE"/>
    <w:rsid w:val="00EA3149"/>
    <w:rsid w:val="00EA33DD"/>
    <w:rsid w:val="00EA383A"/>
    <w:rsid w:val="00EA3AB4"/>
    <w:rsid w:val="00EA3AEB"/>
    <w:rsid w:val="00EA3F1E"/>
    <w:rsid w:val="00EA417A"/>
    <w:rsid w:val="00EA530E"/>
    <w:rsid w:val="00EA5656"/>
    <w:rsid w:val="00EA5C2A"/>
    <w:rsid w:val="00EA6026"/>
    <w:rsid w:val="00EA6128"/>
    <w:rsid w:val="00EA613F"/>
    <w:rsid w:val="00EA6CB5"/>
    <w:rsid w:val="00EA6F69"/>
    <w:rsid w:val="00EA7798"/>
    <w:rsid w:val="00EA7BA5"/>
    <w:rsid w:val="00EB090D"/>
    <w:rsid w:val="00EB09FB"/>
    <w:rsid w:val="00EB0A20"/>
    <w:rsid w:val="00EB116F"/>
    <w:rsid w:val="00EB1525"/>
    <w:rsid w:val="00EB2002"/>
    <w:rsid w:val="00EB23FC"/>
    <w:rsid w:val="00EB2B8A"/>
    <w:rsid w:val="00EB2DCB"/>
    <w:rsid w:val="00EB2E55"/>
    <w:rsid w:val="00EB3017"/>
    <w:rsid w:val="00EB3DC5"/>
    <w:rsid w:val="00EB4B0A"/>
    <w:rsid w:val="00EB5162"/>
    <w:rsid w:val="00EB52C6"/>
    <w:rsid w:val="00EB55C7"/>
    <w:rsid w:val="00EB579D"/>
    <w:rsid w:val="00EB5BA9"/>
    <w:rsid w:val="00EB5C25"/>
    <w:rsid w:val="00EB6511"/>
    <w:rsid w:val="00EB665C"/>
    <w:rsid w:val="00EB7A99"/>
    <w:rsid w:val="00EB7ED3"/>
    <w:rsid w:val="00EB7EDA"/>
    <w:rsid w:val="00EC0083"/>
    <w:rsid w:val="00EC035B"/>
    <w:rsid w:val="00EC0B8D"/>
    <w:rsid w:val="00EC13CB"/>
    <w:rsid w:val="00EC14BE"/>
    <w:rsid w:val="00EC1AFE"/>
    <w:rsid w:val="00EC20BB"/>
    <w:rsid w:val="00EC35E7"/>
    <w:rsid w:val="00EC3C22"/>
    <w:rsid w:val="00EC4F4B"/>
    <w:rsid w:val="00EC5719"/>
    <w:rsid w:val="00ED0937"/>
    <w:rsid w:val="00ED0B11"/>
    <w:rsid w:val="00ED16D8"/>
    <w:rsid w:val="00ED1A6E"/>
    <w:rsid w:val="00ED1E60"/>
    <w:rsid w:val="00ED229B"/>
    <w:rsid w:val="00ED2AD6"/>
    <w:rsid w:val="00ED34FB"/>
    <w:rsid w:val="00ED3582"/>
    <w:rsid w:val="00ED39A3"/>
    <w:rsid w:val="00ED4319"/>
    <w:rsid w:val="00ED6334"/>
    <w:rsid w:val="00ED68DC"/>
    <w:rsid w:val="00ED6FF1"/>
    <w:rsid w:val="00ED73E7"/>
    <w:rsid w:val="00ED7FA4"/>
    <w:rsid w:val="00EE0C22"/>
    <w:rsid w:val="00EE0C49"/>
    <w:rsid w:val="00EE14F8"/>
    <w:rsid w:val="00EE22E8"/>
    <w:rsid w:val="00EE246F"/>
    <w:rsid w:val="00EE272C"/>
    <w:rsid w:val="00EE28A3"/>
    <w:rsid w:val="00EE2EBF"/>
    <w:rsid w:val="00EE3375"/>
    <w:rsid w:val="00EE3FCA"/>
    <w:rsid w:val="00EE4062"/>
    <w:rsid w:val="00EE458C"/>
    <w:rsid w:val="00EE4765"/>
    <w:rsid w:val="00EE51AA"/>
    <w:rsid w:val="00EE6275"/>
    <w:rsid w:val="00EE67CB"/>
    <w:rsid w:val="00EE6A55"/>
    <w:rsid w:val="00EE6E25"/>
    <w:rsid w:val="00EE70B3"/>
    <w:rsid w:val="00EF09E0"/>
    <w:rsid w:val="00EF0D39"/>
    <w:rsid w:val="00EF1240"/>
    <w:rsid w:val="00EF1C22"/>
    <w:rsid w:val="00EF21FB"/>
    <w:rsid w:val="00EF238B"/>
    <w:rsid w:val="00EF2539"/>
    <w:rsid w:val="00EF2648"/>
    <w:rsid w:val="00EF2A5F"/>
    <w:rsid w:val="00EF2AA5"/>
    <w:rsid w:val="00EF3FF7"/>
    <w:rsid w:val="00EF43B7"/>
    <w:rsid w:val="00EF4401"/>
    <w:rsid w:val="00EF446B"/>
    <w:rsid w:val="00EF48A0"/>
    <w:rsid w:val="00EF538B"/>
    <w:rsid w:val="00EF567B"/>
    <w:rsid w:val="00EF591D"/>
    <w:rsid w:val="00EF667A"/>
    <w:rsid w:val="00EF6839"/>
    <w:rsid w:val="00EF7684"/>
    <w:rsid w:val="00EF770E"/>
    <w:rsid w:val="00EF78E2"/>
    <w:rsid w:val="00F0025E"/>
    <w:rsid w:val="00F00719"/>
    <w:rsid w:val="00F00C84"/>
    <w:rsid w:val="00F00E96"/>
    <w:rsid w:val="00F0214E"/>
    <w:rsid w:val="00F034B1"/>
    <w:rsid w:val="00F03504"/>
    <w:rsid w:val="00F0455C"/>
    <w:rsid w:val="00F053F2"/>
    <w:rsid w:val="00F05481"/>
    <w:rsid w:val="00F05FA3"/>
    <w:rsid w:val="00F06390"/>
    <w:rsid w:val="00F06845"/>
    <w:rsid w:val="00F06904"/>
    <w:rsid w:val="00F1003F"/>
    <w:rsid w:val="00F10AF2"/>
    <w:rsid w:val="00F10B74"/>
    <w:rsid w:val="00F10D13"/>
    <w:rsid w:val="00F10E7E"/>
    <w:rsid w:val="00F11BBA"/>
    <w:rsid w:val="00F128DB"/>
    <w:rsid w:val="00F12DFB"/>
    <w:rsid w:val="00F12E36"/>
    <w:rsid w:val="00F12ED1"/>
    <w:rsid w:val="00F1366B"/>
    <w:rsid w:val="00F137F8"/>
    <w:rsid w:val="00F13D71"/>
    <w:rsid w:val="00F13E2A"/>
    <w:rsid w:val="00F142BC"/>
    <w:rsid w:val="00F14E8F"/>
    <w:rsid w:val="00F15140"/>
    <w:rsid w:val="00F151B7"/>
    <w:rsid w:val="00F154B8"/>
    <w:rsid w:val="00F160B9"/>
    <w:rsid w:val="00F16706"/>
    <w:rsid w:val="00F174A4"/>
    <w:rsid w:val="00F17E3D"/>
    <w:rsid w:val="00F17E3F"/>
    <w:rsid w:val="00F17E95"/>
    <w:rsid w:val="00F2040D"/>
    <w:rsid w:val="00F2162E"/>
    <w:rsid w:val="00F2196F"/>
    <w:rsid w:val="00F21986"/>
    <w:rsid w:val="00F222E7"/>
    <w:rsid w:val="00F22D34"/>
    <w:rsid w:val="00F22E61"/>
    <w:rsid w:val="00F24BD5"/>
    <w:rsid w:val="00F252FF"/>
    <w:rsid w:val="00F26439"/>
    <w:rsid w:val="00F266D8"/>
    <w:rsid w:val="00F27224"/>
    <w:rsid w:val="00F274B3"/>
    <w:rsid w:val="00F315AB"/>
    <w:rsid w:val="00F31832"/>
    <w:rsid w:val="00F31DEF"/>
    <w:rsid w:val="00F3235D"/>
    <w:rsid w:val="00F32AB2"/>
    <w:rsid w:val="00F32C5A"/>
    <w:rsid w:val="00F3309A"/>
    <w:rsid w:val="00F33779"/>
    <w:rsid w:val="00F33A24"/>
    <w:rsid w:val="00F34091"/>
    <w:rsid w:val="00F35A83"/>
    <w:rsid w:val="00F362DE"/>
    <w:rsid w:val="00F365AC"/>
    <w:rsid w:val="00F36705"/>
    <w:rsid w:val="00F37CE7"/>
    <w:rsid w:val="00F37F57"/>
    <w:rsid w:val="00F40146"/>
    <w:rsid w:val="00F41301"/>
    <w:rsid w:val="00F41312"/>
    <w:rsid w:val="00F41394"/>
    <w:rsid w:val="00F417AF"/>
    <w:rsid w:val="00F41F6D"/>
    <w:rsid w:val="00F420BE"/>
    <w:rsid w:val="00F42822"/>
    <w:rsid w:val="00F42C9F"/>
    <w:rsid w:val="00F4307D"/>
    <w:rsid w:val="00F44754"/>
    <w:rsid w:val="00F4573B"/>
    <w:rsid w:val="00F45F47"/>
    <w:rsid w:val="00F45FDE"/>
    <w:rsid w:val="00F46797"/>
    <w:rsid w:val="00F47076"/>
    <w:rsid w:val="00F50397"/>
    <w:rsid w:val="00F50B34"/>
    <w:rsid w:val="00F50FB7"/>
    <w:rsid w:val="00F512DA"/>
    <w:rsid w:val="00F51608"/>
    <w:rsid w:val="00F517E6"/>
    <w:rsid w:val="00F51994"/>
    <w:rsid w:val="00F51C00"/>
    <w:rsid w:val="00F52FFF"/>
    <w:rsid w:val="00F53521"/>
    <w:rsid w:val="00F54147"/>
    <w:rsid w:val="00F541CA"/>
    <w:rsid w:val="00F546D0"/>
    <w:rsid w:val="00F5515C"/>
    <w:rsid w:val="00F555F6"/>
    <w:rsid w:val="00F56166"/>
    <w:rsid w:val="00F56E8F"/>
    <w:rsid w:val="00F573C8"/>
    <w:rsid w:val="00F57A5E"/>
    <w:rsid w:val="00F57C10"/>
    <w:rsid w:val="00F60790"/>
    <w:rsid w:val="00F60F7F"/>
    <w:rsid w:val="00F61781"/>
    <w:rsid w:val="00F61BCE"/>
    <w:rsid w:val="00F62062"/>
    <w:rsid w:val="00F62666"/>
    <w:rsid w:val="00F62B9F"/>
    <w:rsid w:val="00F63731"/>
    <w:rsid w:val="00F64342"/>
    <w:rsid w:val="00F64A89"/>
    <w:rsid w:val="00F64F7A"/>
    <w:rsid w:val="00F6510F"/>
    <w:rsid w:val="00F65918"/>
    <w:rsid w:val="00F6641F"/>
    <w:rsid w:val="00F664EC"/>
    <w:rsid w:val="00F66DF6"/>
    <w:rsid w:val="00F66F7E"/>
    <w:rsid w:val="00F6709C"/>
    <w:rsid w:val="00F670B9"/>
    <w:rsid w:val="00F67222"/>
    <w:rsid w:val="00F674EA"/>
    <w:rsid w:val="00F67880"/>
    <w:rsid w:val="00F70BF6"/>
    <w:rsid w:val="00F7186A"/>
    <w:rsid w:val="00F71FF3"/>
    <w:rsid w:val="00F723C0"/>
    <w:rsid w:val="00F73FC1"/>
    <w:rsid w:val="00F75478"/>
    <w:rsid w:val="00F75E8B"/>
    <w:rsid w:val="00F76223"/>
    <w:rsid w:val="00F76644"/>
    <w:rsid w:val="00F7692C"/>
    <w:rsid w:val="00F76B60"/>
    <w:rsid w:val="00F76C0D"/>
    <w:rsid w:val="00F77440"/>
    <w:rsid w:val="00F777C3"/>
    <w:rsid w:val="00F77A04"/>
    <w:rsid w:val="00F800D5"/>
    <w:rsid w:val="00F802A1"/>
    <w:rsid w:val="00F8059F"/>
    <w:rsid w:val="00F80641"/>
    <w:rsid w:val="00F8083C"/>
    <w:rsid w:val="00F809ED"/>
    <w:rsid w:val="00F80DB3"/>
    <w:rsid w:val="00F8113D"/>
    <w:rsid w:val="00F812B0"/>
    <w:rsid w:val="00F81404"/>
    <w:rsid w:val="00F815D0"/>
    <w:rsid w:val="00F81A96"/>
    <w:rsid w:val="00F823A2"/>
    <w:rsid w:val="00F82D6A"/>
    <w:rsid w:val="00F83315"/>
    <w:rsid w:val="00F833BE"/>
    <w:rsid w:val="00F834BD"/>
    <w:rsid w:val="00F842F0"/>
    <w:rsid w:val="00F84353"/>
    <w:rsid w:val="00F8487F"/>
    <w:rsid w:val="00F84D85"/>
    <w:rsid w:val="00F856ED"/>
    <w:rsid w:val="00F85AEC"/>
    <w:rsid w:val="00F87211"/>
    <w:rsid w:val="00F906FA"/>
    <w:rsid w:val="00F90D98"/>
    <w:rsid w:val="00F90F1A"/>
    <w:rsid w:val="00F912CA"/>
    <w:rsid w:val="00F92029"/>
    <w:rsid w:val="00F92045"/>
    <w:rsid w:val="00F92453"/>
    <w:rsid w:val="00F92462"/>
    <w:rsid w:val="00F92F53"/>
    <w:rsid w:val="00F931AA"/>
    <w:rsid w:val="00F93634"/>
    <w:rsid w:val="00F94C2F"/>
    <w:rsid w:val="00F94CD3"/>
    <w:rsid w:val="00F94EE1"/>
    <w:rsid w:val="00F94F77"/>
    <w:rsid w:val="00F95EF4"/>
    <w:rsid w:val="00F95F8E"/>
    <w:rsid w:val="00F96626"/>
    <w:rsid w:val="00F97089"/>
    <w:rsid w:val="00F97C97"/>
    <w:rsid w:val="00F97E95"/>
    <w:rsid w:val="00F97F4B"/>
    <w:rsid w:val="00FA0C67"/>
    <w:rsid w:val="00FA1C66"/>
    <w:rsid w:val="00FA1D6D"/>
    <w:rsid w:val="00FA209D"/>
    <w:rsid w:val="00FA24A2"/>
    <w:rsid w:val="00FA2C3A"/>
    <w:rsid w:val="00FA3510"/>
    <w:rsid w:val="00FA3609"/>
    <w:rsid w:val="00FA3643"/>
    <w:rsid w:val="00FA3BD4"/>
    <w:rsid w:val="00FA419A"/>
    <w:rsid w:val="00FA5E32"/>
    <w:rsid w:val="00FA6291"/>
    <w:rsid w:val="00FA696F"/>
    <w:rsid w:val="00FA79EC"/>
    <w:rsid w:val="00FA7A36"/>
    <w:rsid w:val="00FA7B88"/>
    <w:rsid w:val="00FB0C33"/>
    <w:rsid w:val="00FB10D4"/>
    <w:rsid w:val="00FB138A"/>
    <w:rsid w:val="00FB1D8D"/>
    <w:rsid w:val="00FB2907"/>
    <w:rsid w:val="00FB2E29"/>
    <w:rsid w:val="00FB37E9"/>
    <w:rsid w:val="00FB3CCB"/>
    <w:rsid w:val="00FB5EC1"/>
    <w:rsid w:val="00FB733D"/>
    <w:rsid w:val="00FB7BD2"/>
    <w:rsid w:val="00FB7DF1"/>
    <w:rsid w:val="00FC05E6"/>
    <w:rsid w:val="00FC06C8"/>
    <w:rsid w:val="00FC0886"/>
    <w:rsid w:val="00FC22C2"/>
    <w:rsid w:val="00FC256E"/>
    <w:rsid w:val="00FC2991"/>
    <w:rsid w:val="00FC29CC"/>
    <w:rsid w:val="00FC2F3C"/>
    <w:rsid w:val="00FC345B"/>
    <w:rsid w:val="00FC4053"/>
    <w:rsid w:val="00FC539F"/>
    <w:rsid w:val="00FC53F0"/>
    <w:rsid w:val="00FC5688"/>
    <w:rsid w:val="00FC6045"/>
    <w:rsid w:val="00FC61B7"/>
    <w:rsid w:val="00FC62CF"/>
    <w:rsid w:val="00FC7ECA"/>
    <w:rsid w:val="00FD020C"/>
    <w:rsid w:val="00FD03E3"/>
    <w:rsid w:val="00FD0843"/>
    <w:rsid w:val="00FD09B0"/>
    <w:rsid w:val="00FD0A70"/>
    <w:rsid w:val="00FD113C"/>
    <w:rsid w:val="00FD12AE"/>
    <w:rsid w:val="00FD18BA"/>
    <w:rsid w:val="00FD1DC5"/>
    <w:rsid w:val="00FD1F7E"/>
    <w:rsid w:val="00FD2FA4"/>
    <w:rsid w:val="00FD3EF8"/>
    <w:rsid w:val="00FD3FB7"/>
    <w:rsid w:val="00FD44CF"/>
    <w:rsid w:val="00FD4D69"/>
    <w:rsid w:val="00FD4FB1"/>
    <w:rsid w:val="00FD6074"/>
    <w:rsid w:val="00FD6498"/>
    <w:rsid w:val="00FD708D"/>
    <w:rsid w:val="00FD7D75"/>
    <w:rsid w:val="00FD7DFA"/>
    <w:rsid w:val="00FE01AF"/>
    <w:rsid w:val="00FE07AD"/>
    <w:rsid w:val="00FE0D8C"/>
    <w:rsid w:val="00FE0E69"/>
    <w:rsid w:val="00FE1787"/>
    <w:rsid w:val="00FE1B8C"/>
    <w:rsid w:val="00FE308B"/>
    <w:rsid w:val="00FE3B24"/>
    <w:rsid w:val="00FE40FD"/>
    <w:rsid w:val="00FE4E7F"/>
    <w:rsid w:val="00FE53AD"/>
    <w:rsid w:val="00FE5BF0"/>
    <w:rsid w:val="00FE764C"/>
    <w:rsid w:val="00FF162A"/>
    <w:rsid w:val="00FF1BD6"/>
    <w:rsid w:val="00FF1E71"/>
    <w:rsid w:val="00FF20BE"/>
    <w:rsid w:val="00FF20D7"/>
    <w:rsid w:val="00FF24A1"/>
    <w:rsid w:val="00FF2CAB"/>
    <w:rsid w:val="00FF353D"/>
    <w:rsid w:val="00FF35F6"/>
    <w:rsid w:val="00FF3C85"/>
    <w:rsid w:val="00FF3F62"/>
    <w:rsid w:val="00FF4237"/>
    <w:rsid w:val="00FF4CD6"/>
    <w:rsid w:val="00FF4EEF"/>
    <w:rsid w:val="00FF5740"/>
    <w:rsid w:val="00FF5F03"/>
    <w:rsid w:val="00FF6B9A"/>
    <w:rsid w:val="00FF6E5F"/>
    <w:rsid w:val="00FF7F68"/>
    <w:rsid w:val="01541EA9"/>
    <w:rsid w:val="01542D43"/>
    <w:rsid w:val="015B4FE6"/>
    <w:rsid w:val="0167795A"/>
    <w:rsid w:val="01794AD8"/>
    <w:rsid w:val="01B85F94"/>
    <w:rsid w:val="01C2284A"/>
    <w:rsid w:val="01DE77E3"/>
    <w:rsid w:val="01E34D25"/>
    <w:rsid w:val="01E75067"/>
    <w:rsid w:val="01F22DBA"/>
    <w:rsid w:val="02431912"/>
    <w:rsid w:val="025D03DD"/>
    <w:rsid w:val="027F7B2A"/>
    <w:rsid w:val="0292118C"/>
    <w:rsid w:val="029B6A40"/>
    <w:rsid w:val="02CB1CF7"/>
    <w:rsid w:val="02CC4CA2"/>
    <w:rsid w:val="036D1000"/>
    <w:rsid w:val="038A13AF"/>
    <w:rsid w:val="03BA4F03"/>
    <w:rsid w:val="03F43A2F"/>
    <w:rsid w:val="03F9335E"/>
    <w:rsid w:val="049C3E6C"/>
    <w:rsid w:val="04B75458"/>
    <w:rsid w:val="04E01B29"/>
    <w:rsid w:val="05613F17"/>
    <w:rsid w:val="057354E1"/>
    <w:rsid w:val="05B66C8F"/>
    <w:rsid w:val="05FF37FE"/>
    <w:rsid w:val="0635067E"/>
    <w:rsid w:val="0666259B"/>
    <w:rsid w:val="068907B4"/>
    <w:rsid w:val="06921E56"/>
    <w:rsid w:val="069A095C"/>
    <w:rsid w:val="06B01218"/>
    <w:rsid w:val="06EE29A2"/>
    <w:rsid w:val="06FF699E"/>
    <w:rsid w:val="072A2F74"/>
    <w:rsid w:val="073A1069"/>
    <w:rsid w:val="0751611A"/>
    <w:rsid w:val="078A20ED"/>
    <w:rsid w:val="07A90B17"/>
    <w:rsid w:val="07AF0DC6"/>
    <w:rsid w:val="07FD0FDA"/>
    <w:rsid w:val="081232CB"/>
    <w:rsid w:val="082D0D5E"/>
    <w:rsid w:val="082F4AD6"/>
    <w:rsid w:val="084E6464"/>
    <w:rsid w:val="087A4FBF"/>
    <w:rsid w:val="089E6732"/>
    <w:rsid w:val="08D00FFA"/>
    <w:rsid w:val="09324C4C"/>
    <w:rsid w:val="094E0AD4"/>
    <w:rsid w:val="099F33D7"/>
    <w:rsid w:val="09E22B15"/>
    <w:rsid w:val="0A440BB4"/>
    <w:rsid w:val="0A51342A"/>
    <w:rsid w:val="0ACA4814"/>
    <w:rsid w:val="0AD82095"/>
    <w:rsid w:val="0AF3628F"/>
    <w:rsid w:val="0B1800F7"/>
    <w:rsid w:val="0B7061D0"/>
    <w:rsid w:val="0B7948E1"/>
    <w:rsid w:val="0B891CA7"/>
    <w:rsid w:val="0B980BE5"/>
    <w:rsid w:val="0BA9762F"/>
    <w:rsid w:val="0BB11466"/>
    <w:rsid w:val="0BF036A0"/>
    <w:rsid w:val="0BFC3097"/>
    <w:rsid w:val="0C550884"/>
    <w:rsid w:val="0C6F39D4"/>
    <w:rsid w:val="0CC66EC2"/>
    <w:rsid w:val="0D15073F"/>
    <w:rsid w:val="0D58687D"/>
    <w:rsid w:val="0D6D73BF"/>
    <w:rsid w:val="0D8C0655"/>
    <w:rsid w:val="0DA53BF1"/>
    <w:rsid w:val="0DA90D95"/>
    <w:rsid w:val="0DB63E8C"/>
    <w:rsid w:val="0DE14811"/>
    <w:rsid w:val="0DEC49E4"/>
    <w:rsid w:val="0DEE43F5"/>
    <w:rsid w:val="0E0F75D3"/>
    <w:rsid w:val="0E1275C5"/>
    <w:rsid w:val="0E1327A4"/>
    <w:rsid w:val="0E275123"/>
    <w:rsid w:val="0E455054"/>
    <w:rsid w:val="0E7C4E30"/>
    <w:rsid w:val="0EB66D95"/>
    <w:rsid w:val="0EE36E7C"/>
    <w:rsid w:val="0EEFAC80"/>
    <w:rsid w:val="0EFA6E76"/>
    <w:rsid w:val="0F2B7FD7"/>
    <w:rsid w:val="0F6E31EE"/>
    <w:rsid w:val="0F7554C5"/>
    <w:rsid w:val="0F933B9D"/>
    <w:rsid w:val="0FA933C0"/>
    <w:rsid w:val="0FD8068E"/>
    <w:rsid w:val="0FDE143F"/>
    <w:rsid w:val="101A6B79"/>
    <w:rsid w:val="101C0036"/>
    <w:rsid w:val="109E4CC5"/>
    <w:rsid w:val="109F44C7"/>
    <w:rsid w:val="10EA3C90"/>
    <w:rsid w:val="10F1115B"/>
    <w:rsid w:val="110B3C4A"/>
    <w:rsid w:val="11822C48"/>
    <w:rsid w:val="11B76E7E"/>
    <w:rsid w:val="11EB77F7"/>
    <w:rsid w:val="120A3E26"/>
    <w:rsid w:val="12117034"/>
    <w:rsid w:val="12236D5C"/>
    <w:rsid w:val="12E60311"/>
    <w:rsid w:val="13412450"/>
    <w:rsid w:val="136441CE"/>
    <w:rsid w:val="13651CF4"/>
    <w:rsid w:val="13842C16"/>
    <w:rsid w:val="139F773F"/>
    <w:rsid w:val="13EB5688"/>
    <w:rsid w:val="13F32FA3"/>
    <w:rsid w:val="13F35552"/>
    <w:rsid w:val="1410327B"/>
    <w:rsid w:val="14191607"/>
    <w:rsid w:val="144A465D"/>
    <w:rsid w:val="1479029B"/>
    <w:rsid w:val="14AE5BD1"/>
    <w:rsid w:val="14B56810"/>
    <w:rsid w:val="14B7386B"/>
    <w:rsid w:val="14C2659D"/>
    <w:rsid w:val="14F325EF"/>
    <w:rsid w:val="150D257F"/>
    <w:rsid w:val="15312FA9"/>
    <w:rsid w:val="15D369BC"/>
    <w:rsid w:val="15DB564B"/>
    <w:rsid w:val="15F67157"/>
    <w:rsid w:val="15FF418F"/>
    <w:rsid w:val="169D3553"/>
    <w:rsid w:val="16AA0791"/>
    <w:rsid w:val="16B135CE"/>
    <w:rsid w:val="171A4BA4"/>
    <w:rsid w:val="17940F4F"/>
    <w:rsid w:val="17AD2F19"/>
    <w:rsid w:val="17B38329"/>
    <w:rsid w:val="17C05240"/>
    <w:rsid w:val="18005E60"/>
    <w:rsid w:val="1808565A"/>
    <w:rsid w:val="1841525A"/>
    <w:rsid w:val="187E190E"/>
    <w:rsid w:val="188D1AD1"/>
    <w:rsid w:val="189439DF"/>
    <w:rsid w:val="18FF057C"/>
    <w:rsid w:val="19097F8B"/>
    <w:rsid w:val="191D28B1"/>
    <w:rsid w:val="192530CA"/>
    <w:rsid w:val="193FBE10"/>
    <w:rsid w:val="197F5917"/>
    <w:rsid w:val="199669A7"/>
    <w:rsid w:val="19CA4189"/>
    <w:rsid w:val="19CA9C4B"/>
    <w:rsid w:val="19F97867"/>
    <w:rsid w:val="1A3D3D9B"/>
    <w:rsid w:val="1A675696"/>
    <w:rsid w:val="1A6E0F60"/>
    <w:rsid w:val="1A7F47B4"/>
    <w:rsid w:val="1A993138"/>
    <w:rsid w:val="1ABA46D4"/>
    <w:rsid w:val="1ACD248F"/>
    <w:rsid w:val="1AEF41D9"/>
    <w:rsid w:val="1AFA714B"/>
    <w:rsid w:val="1AFFEA57"/>
    <w:rsid w:val="1B3204C1"/>
    <w:rsid w:val="1B4072CF"/>
    <w:rsid w:val="1B427DC5"/>
    <w:rsid w:val="1B753A98"/>
    <w:rsid w:val="1B79458F"/>
    <w:rsid w:val="1B996256"/>
    <w:rsid w:val="1BB074A7"/>
    <w:rsid w:val="1BBFA341"/>
    <w:rsid w:val="1BD74CB5"/>
    <w:rsid w:val="1BE22134"/>
    <w:rsid w:val="1BEF471E"/>
    <w:rsid w:val="1BF64F14"/>
    <w:rsid w:val="1BFD854B"/>
    <w:rsid w:val="1C08210D"/>
    <w:rsid w:val="1C3E12F9"/>
    <w:rsid w:val="1C430BCA"/>
    <w:rsid w:val="1C646FED"/>
    <w:rsid w:val="1C67088B"/>
    <w:rsid w:val="1CBEF9B6"/>
    <w:rsid w:val="1CFD996A"/>
    <w:rsid w:val="1D0048A3"/>
    <w:rsid w:val="1D57445C"/>
    <w:rsid w:val="1D60233E"/>
    <w:rsid w:val="1D7FFD98"/>
    <w:rsid w:val="1DDE2C0D"/>
    <w:rsid w:val="1DE37094"/>
    <w:rsid w:val="1DECDF58"/>
    <w:rsid w:val="1E1665EA"/>
    <w:rsid w:val="1E2F1AF5"/>
    <w:rsid w:val="1E3B5065"/>
    <w:rsid w:val="1E70A603"/>
    <w:rsid w:val="1E8B3DF0"/>
    <w:rsid w:val="1EAA46F9"/>
    <w:rsid w:val="1EBA637E"/>
    <w:rsid w:val="1EBFB663"/>
    <w:rsid w:val="1ECBF37B"/>
    <w:rsid w:val="1EE92A08"/>
    <w:rsid w:val="1EF32FFB"/>
    <w:rsid w:val="1EFDBBBF"/>
    <w:rsid w:val="1EFFDD69"/>
    <w:rsid w:val="1F1D5196"/>
    <w:rsid w:val="1F5F96BC"/>
    <w:rsid w:val="1F663A80"/>
    <w:rsid w:val="1F6F8C74"/>
    <w:rsid w:val="1F777952"/>
    <w:rsid w:val="1F7C5189"/>
    <w:rsid w:val="1F8B663F"/>
    <w:rsid w:val="1FB7461D"/>
    <w:rsid w:val="1FB79748"/>
    <w:rsid w:val="1FBF5394"/>
    <w:rsid w:val="1FE36B98"/>
    <w:rsid w:val="1FEFF335"/>
    <w:rsid w:val="1FF73840"/>
    <w:rsid w:val="1FF9CE93"/>
    <w:rsid w:val="1FFA6714"/>
    <w:rsid w:val="1FFE2E2F"/>
    <w:rsid w:val="20156C71"/>
    <w:rsid w:val="2021A2E0"/>
    <w:rsid w:val="20375FA9"/>
    <w:rsid w:val="206A26F8"/>
    <w:rsid w:val="210D0ED4"/>
    <w:rsid w:val="21156B08"/>
    <w:rsid w:val="2184648F"/>
    <w:rsid w:val="21AF394B"/>
    <w:rsid w:val="21BB1C63"/>
    <w:rsid w:val="21FBFDCF"/>
    <w:rsid w:val="223871C8"/>
    <w:rsid w:val="226338A3"/>
    <w:rsid w:val="228A0A58"/>
    <w:rsid w:val="228F6446"/>
    <w:rsid w:val="22904C40"/>
    <w:rsid w:val="22C24A14"/>
    <w:rsid w:val="22EA7F92"/>
    <w:rsid w:val="235D3177"/>
    <w:rsid w:val="23645B24"/>
    <w:rsid w:val="2378512C"/>
    <w:rsid w:val="23A203FB"/>
    <w:rsid w:val="23B00E19"/>
    <w:rsid w:val="23CD36CA"/>
    <w:rsid w:val="23E847F6"/>
    <w:rsid w:val="23FFA762"/>
    <w:rsid w:val="248420F6"/>
    <w:rsid w:val="24913B41"/>
    <w:rsid w:val="249A79FC"/>
    <w:rsid w:val="24E13970"/>
    <w:rsid w:val="24FF643E"/>
    <w:rsid w:val="250E03F3"/>
    <w:rsid w:val="2542070E"/>
    <w:rsid w:val="256911D0"/>
    <w:rsid w:val="25733DFD"/>
    <w:rsid w:val="25A91BC1"/>
    <w:rsid w:val="25B604E4"/>
    <w:rsid w:val="25B74631"/>
    <w:rsid w:val="25CB34D2"/>
    <w:rsid w:val="25FFF086"/>
    <w:rsid w:val="261E7FD3"/>
    <w:rsid w:val="263564F8"/>
    <w:rsid w:val="263E43E7"/>
    <w:rsid w:val="26547683"/>
    <w:rsid w:val="26555BF8"/>
    <w:rsid w:val="26771903"/>
    <w:rsid w:val="26D7660D"/>
    <w:rsid w:val="26EB042A"/>
    <w:rsid w:val="26FDD099"/>
    <w:rsid w:val="27551F14"/>
    <w:rsid w:val="276C231A"/>
    <w:rsid w:val="2789206D"/>
    <w:rsid w:val="27894419"/>
    <w:rsid w:val="27B9C0A7"/>
    <w:rsid w:val="27BB7CDD"/>
    <w:rsid w:val="27DA4607"/>
    <w:rsid w:val="27DF1C1D"/>
    <w:rsid w:val="27FF6204"/>
    <w:rsid w:val="2804329B"/>
    <w:rsid w:val="280923EB"/>
    <w:rsid w:val="28127295"/>
    <w:rsid w:val="289C7EB4"/>
    <w:rsid w:val="28C17575"/>
    <w:rsid w:val="28D04E62"/>
    <w:rsid w:val="28DB7297"/>
    <w:rsid w:val="293D2EBE"/>
    <w:rsid w:val="295D5933"/>
    <w:rsid w:val="29A04058"/>
    <w:rsid w:val="29D5234D"/>
    <w:rsid w:val="29DF11F5"/>
    <w:rsid w:val="29F86FC6"/>
    <w:rsid w:val="2A0B6F8A"/>
    <w:rsid w:val="2A0E2346"/>
    <w:rsid w:val="2A554419"/>
    <w:rsid w:val="2A693A20"/>
    <w:rsid w:val="2A7D127A"/>
    <w:rsid w:val="2A8D625F"/>
    <w:rsid w:val="2AA34B7F"/>
    <w:rsid w:val="2AB51A74"/>
    <w:rsid w:val="2AB71864"/>
    <w:rsid w:val="2AB73A3B"/>
    <w:rsid w:val="2AB7793B"/>
    <w:rsid w:val="2AFC77A1"/>
    <w:rsid w:val="2AFE4E20"/>
    <w:rsid w:val="2B3D7387"/>
    <w:rsid w:val="2B85564A"/>
    <w:rsid w:val="2BBB564C"/>
    <w:rsid w:val="2BBF0D83"/>
    <w:rsid w:val="2BBF3DFB"/>
    <w:rsid w:val="2BC26FF8"/>
    <w:rsid w:val="2BDF4A2E"/>
    <w:rsid w:val="2BDFF5EF"/>
    <w:rsid w:val="2BE55237"/>
    <w:rsid w:val="2C0931CD"/>
    <w:rsid w:val="2C4D100B"/>
    <w:rsid w:val="2C9034E6"/>
    <w:rsid w:val="2C9E14C2"/>
    <w:rsid w:val="2CC35E7E"/>
    <w:rsid w:val="2CEF5816"/>
    <w:rsid w:val="2CFDC283"/>
    <w:rsid w:val="2D0B5263"/>
    <w:rsid w:val="2D113C66"/>
    <w:rsid w:val="2D12622B"/>
    <w:rsid w:val="2D254C1E"/>
    <w:rsid w:val="2D7B083E"/>
    <w:rsid w:val="2D855015"/>
    <w:rsid w:val="2D98715B"/>
    <w:rsid w:val="2DA51213"/>
    <w:rsid w:val="2DADFC3D"/>
    <w:rsid w:val="2DBA2F11"/>
    <w:rsid w:val="2DBD655D"/>
    <w:rsid w:val="2DD122A9"/>
    <w:rsid w:val="2DD5138F"/>
    <w:rsid w:val="2DFD30D9"/>
    <w:rsid w:val="2E5D7767"/>
    <w:rsid w:val="2E6007C2"/>
    <w:rsid w:val="2E827F44"/>
    <w:rsid w:val="2E830BDD"/>
    <w:rsid w:val="2E851C89"/>
    <w:rsid w:val="2EBC3A3B"/>
    <w:rsid w:val="2EE351E2"/>
    <w:rsid w:val="2EF75DB9"/>
    <w:rsid w:val="2F37730B"/>
    <w:rsid w:val="2F640860"/>
    <w:rsid w:val="2F7EB145"/>
    <w:rsid w:val="2F875074"/>
    <w:rsid w:val="2FB7E2D5"/>
    <w:rsid w:val="2FCD9991"/>
    <w:rsid w:val="2FEF0232"/>
    <w:rsid w:val="2FF61897"/>
    <w:rsid w:val="2FF63B39"/>
    <w:rsid w:val="2FFA6DAB"/>
    <w:rsid w:val="2FFDE277"/>
    <w:rsid w:val="2FFED9EC"/>
    <w:rsid w:val="2FFFFA5A"/>
    <w:rsid w:val="300A106F"/>
    <w:rsid w:val="301A0444"/>
    <w:rsid w:val="301E3768"/>
    <w:rsid w:val="3021231F"/>
    <w:rsid w:val="3049232A"/>
    <w:rsid w:val="308047E6"/>
    <w:rsid w:val="30B5507D"/>
    <w:rsid w:val="30BC03B5"/>
    <w:rsid w:val="30CF7407"/>
    <w:rsid w:val="31061FC9"/>
    <w:rsid w:val="316B039E"/>
    <w:rsid w:val="3172568D"/>
    <w:rsid w:val="31770F12"/>
    <w:rsid w:val="31BB7257"/>
    <w:rsid w:val="31E77F3D"/>
    <w:rsid w:val="31EB27C2"/>
    <w:rsid w:val="3218123E"/>
    <w:rsid w:val="32B51F59"/>
    <w:rsid w:val="32D912FC"/>
    <w:rsid w:val="32EF0712"/>
    <w:rsid w:val="3300439E"/>
    <w:rsid w:val="330D0DA2"/>
    <w:rsid w:val="336530DF"/>
    <w:rsid w:val="33750436"/>
    <w:rsid w:val="339628D2"/>
    <w:rsid w:val="339B9953"/>
    <w:rsid w:val="33AA2ED6"/>
    <w:rsid w:val="33BB0721"/>
    <w:rsid w:val="33BD9A41"/>
    <w:rsid w:val="33CFB3C4"/>
    <w:rsid w:val="33EF5A53"/>
    <w:rsid w:val="33FD0062"/>
    <w:rsid w:val="33FD53CE"/>
    <w:rsid w:val="33FD8F26"/>
    <w:rsid w:val="340011EC"/>
    <w:rsid w:val="34261578"/>
    <w:rsid w:val="34332FBC"/>
    <w:rsid w:val="343637B7"/>
    <w:rsid w:val="34802932"/>
    <w:rsid w:val="34914DCA"/>
    <w:rsid w:val="34DD7448"/>
    <w:rsid w:val="35357EF6"/>
    <w:rsid w:val="353DEC5A"/>
    <w:rsid w:val="35B94946"/>
    <w:rsid w:val="35FF60B5"/>
    <w:rsid w:val="363C33FA"/>
    <w:rsid w:val="3697C172"/>
    <w:rsid w:val="36C72EE0"/>
    <w:rsid w:val="36C8026D"/>
    <w:rsid w:val="36DCC979"/>
    <w:rsid w:val="36EF6F6C"/>
    <w:rsid w:val="36FDE5AE"/>
    <w:rsid w:val="36FF825F"/>
    <w:rsid w:val="370947E5"/>
    <w:rsid w:val="37735EDE"/>
    <w:rsid w:val="37ADDB7D"/>
    <w:rsid w:val="37BA64F1"/>
    <w:rsid w:val="37CE0FAA"/>
    <w:rsid w:val="37DF2056"/>
    <w:rsid w:val="37E2C822"/>
    <w:rsid w:val="37F701E8"/>
    <w:rsid w:val="37F9E8C6"/>
    <w:rsid w:val="37FDD116"/>
    <w:rsid w:val="37FDFAE2"/>
    <w:rsid w:val="37FF9620"/>
    <w:rsid w:val="37FFCFD3"/>
    <w:rsid w:val="37FFD9F0"/>
    <w:rsid w:val="385B1603"/>
    <w:rsid w:val="385E26EA"/>
    <w:rsid w:val="38796D81"/>
    <w:rsid w:val="38961E84"/>
    <w:rsid w:val="389FF72B"/>
    <w:rsid w:val="38A52E99"/>
    <w:rsid w:val="38A677FE"/>
    <w:rsid w:val="38B60A92"/>
    <w:rsid w:val="38BE2429"/>
    <w:rsid w:val="38CA3E36"/>
    <w:rsid w:val="39247160"/>
    <w:rsid w:val="39297DD7"/>
    <w:rsid w:val="394A03AF"/>
    <w:rsid w:val="395A27A5"/>
    <w:rsid w:val="39996651"/>
    <w:rsid w:val="399D36E6"/>
    <w:rsid w:val="39A6259B"/>
    <w:rsid w:val="39D76BF8"/>
    <w:rsid w:val="39E66E3B"/>
    <w:rsid w:val="39F8091D"/>
    <w:rsid w:val="39FD3969"/>
    <w:rsid w:val="39FE2F5B"/>
    <w:rsid w:val="3A767216"/>
    <w:rsid w:val="3A9F2D07"/>
    <w:rsid w:val="3AA7481D"/>
    <w:rsid w:val="3ACE1D17"/>
    <w:rsid w:val="3ACF38AA"/>
    <w:rsid w:val="3B0672D5"/>
    <w:rsid w:val="3B3D6F2F"/>
    <w:rsid w:val="3B753C07"/>
    <w:rsid w:val="3B787F67"/>
    <w:rsid w:val="3B7B78B2"/>
    <w:rsid w:val="3B7BAB40"/>
    <w:rsid w:val="3B862684"/>
    <w:rsid w:val="3B974891"/>
    <w:rsid w:val="3BBDC31B"/>
    <w:rsid w:val="3BBFBD68"/>
    <w:rsid w:val="3BCF352E"/>
    <w:rsid w:val="3BEAFC83"/>
    <w:rsid w:val="3BEB75DB"/>
    <w:rsid w:val="3BF75143"/>
    <w:rsid w:val="3BFD07AE"/>
    <w:rsid w:val="3BFE7B61"/>
    <w:rsid w:val="3BFF124A"/>
    <w:rsid w:val="3BFF5F92"/>
    <w:rsid w:val="3BFF6EFF"/>
    <w:rsid w:val="3C5F0542"/>
    <w:rsid w:val="3CB153A7"/>
    <w:rsid w:val="3CD87D60"/>
    <w:rsid w:val="3CEF1407"/>
    <w:rsid w:val="3CEF90A8"/>
    <w:rsid w:val="3CFADEF2"/>
    <w:rsid w:val="3D3021C7"/>
    <w:rsid w:val="3D365219"/>
    <w:rsid w:val="3D3D15F3"/>
    <w:rsid w:val="3D4A64BE"/>
    <w:rsid w:val="3D4A69A7"/>
    <w:rsid w:val="3D6640C8"/>
    <w:rsid w:val="3DA6A5AD"/>
    <w:rsid w:val="3DA7BEFE"/>
    <w:rsid w:val="3DBE11B7"/>
    <w:rsid w:val="3DD2013D"/>
    <w:rsid w:val="3DDF201C"/>
    <w:rsid w:val="3DF02037"/>
    <w:rsid w:val="3DF790C7"/>
    <w:rsid w:val="3DFF6BA9"/>
    <w:rsid w:val="3DFFC757"/>
    <w:rsid w:val="3E201779"/>
    <w:rsid w:val="3E22733A"/>
    <w:rsid w:val="3E467EA9"/>
    <w:rsid w:val="3E4B4A69"/>
    <w:rsid w:val="3E573E64"/>
    <w:rsid w:val="3E5B3DE7"/>
    <w:rsid w:val="3E6F7BD9"/>
    <w:rsid w:val="3E774506"/>
    <w:rsid w:val="3E87D9C9"/>
    <w:rsid w:val="3E8804C1"/>
    <w:rsid w:val="3ECD1D05"/>
    <w:rsid w:val="3ECF4957"/>
    <w:rsid w:val="3EE3195D"/>
    <w:rsid w:val="3EEB5665"/>
    <w:rsid w:val="3EEBC23D"/>
    <w:rsid w:val="3EED6ABF"/>
    <w:rsid w:val="3EEE2115"/>
    <w:rsid w:val="3EEF4DE2"/>
    <w:rsid w:val="3EF799A8"/>
    <w:rsid w:val="3F2DB24E"/>
    <w:rsid w:val="3F2ECCF6"/>
    <w:rsid w:val="3F2F7E0B"/>
    <w:rsid w:val="3F677A5C"/>
    <w:rsid w:val="3F6C179B"/>
    <w:rsid w:val="3F746C97"/>
    <w:rsid w:val="3F7E6306"/>
    <w:rsid w:val="3F7E8CFC"/>
    <w:rsid w:val="3F7FFC06"/>
    <w:rsid w:val="3F846EDA"/>
    <w:rsid w:val="3F9F4B72"/>
    <w:rsid w:val="3FBF10F8"/>
    <w:rsid w:val="3FBFDE82"/>
    <w:rsid w:val="3FCA5371"/>
    <w:rsid w:val="3FCF3219"/>
    <w:rsid w:val="3FD7E43C"/>
    <w:rsid w:val="3FE7D3DC"/>
    <w:rsid w:val="3FEC5BA6"/>
    <w:rsid w:val="3FED4B23"/>
    <w:rsid w:val="3FF787AF"/>
    <w:rsid w:val="3FF9EFEE"/>
    <w:rsid w:val="3FFB9E56"/>
    <w:rsid w:val="3FFD02D1"/>
    <w:rsid w:val="3FFDA316"/>
    <w:rsid w:val="3FFF0DA6"/>
    <w:rsid w:val="3FFFD247"/>
    <w:rsid w:val="400159AA"/>
    <w:rsid w:val="40161AFD"/>
    <w:rsid w:val="40262213"/>
    <w:rsid w:val="404C688B"/>
    <w:rsid w:val="40556C8A"/>
    <w:rsid w:val="40580367"/>
    <w:rsid w:val="405C1652"/>
    <w:rsid w:val="406E36E7"/>
    <w:rsid w:val="407A28F4"/>
    <w:rsid w:val="40D73BB8"/>
    <w:rsid w:val="4111607A"/>
    <w:rsid w:val="41206E52"/>
    <w:rsid w:val="414807D9"/>
    <w:rsid w:val="41DC13D4"/>
    <w:rsid w:val="41E27AF9"/>
    <w:rsid w:val="423441AD"/>
    <w:rsid w:val="42553EE8"/>
    <w:rsid w:val="42555659"/>
    <w:rsid w:val="42642FF3"/>
    <w:rsid w:val="427F44AC"/>
    <w:rsid w:val="42B451C4"/>
    <w:rsid w:val="43561376"/>
    <w:rsid w:val="43805C0B"/>
    <w:rsid w:val="43967F31"/>
    <w:rsid w:val="43AD4526"/>
    <w:rsid w:val="44240E0B"/>
    <w:rsid w:val="442D7B2C"/>
    <w:rsid w:val="442F10A5"/>
    <w:rsid w:val="44316F05"/>
    <w:rsid w:val="443F3C07"/>
    <w:rsid w:val="44937BC0"/>
    <w:rsid w:val="44B6499C"/>
    <w:rsid w:val="44FEA1E3"/>
    <w:rsid w:val="450805F3"/>
    <w:rsid w:val="450B2EEB"/>
    <w:rsid w:val="453C24C7"/>
    <w:rsid w:val="45826E17"/>
    <w:rsid w:val="45D264C6"/>
    <w:rsid w:val="45EA76BB"/>
    <w:rsid w:val="45F45E51"/>
    <w:rsid w:val="464A0752"/>
    <w:rsid w:val="464B19A0"/>
    <w:rsid w:val="467B6BCF"/>
    <w:rsid w:val="469B78E4"/>
    <w:rsid w:val="46C67DD9"/>
    <w:rsid w:val="46F238F7"/>
    <w:rsid w:val="470703F1"/>
    <w:rsid w:val="471C0432"/>
    <w:rsid w:val="47501E34"/>
    <w:rsid w:val="476664FD"/>
    <w:rsid w:val="478C26EF"/>
    <w:rsid w:val="479FBDAA"/>
    <w:rsid w:val="47C760D4"/>
    <w:rsid w:val="47EF2305"/>
    <w:rsid w:val="47EFF57D"/>
    <w:rsid w:val="4838060A"/>
    <w:rsid w:val="48FD385A"/>
    <w:rsid w:val="490B44D5"/>
    <w:rsid w:val="496C2C86"/>
    <w:rsid w:val="49941250"/>
    <w:rsid w:val="49AA19C3"/>
    <w:rsid w:val="49E2577B"/>
    <w:rsid w:val="49E33295"/>
    <w:rsid w:val="4A231CCE"/>
    <w:rsid w:val="4A6F152E"/>
    <w:rsid w:val="4AAC24C1"/>
    <w:rsid w:val="4AB33BAC"/>
    <w:rsid w:val="4ACD6A4D"/>
    <w:rsid w:val="4AF31302"/>
    <w:rsid w:val="4AFF5D60"/>
    <w:rsid w:val="4B245A16"/>
    <w:rsid w:val="4B372FD4"/>
    <w:rsid w:val="4B37BB17"/>
    <w:rsid w:val="4B4256A1"/>
    <w:rsid w:val="4B603035"/>
    <w:rsid w:val="4B65492A"/>
    <w:rsid w:val="4B71239F"/>
    <w:rsid w:val="4B7F055D"/>
    <w:rsid w:val="4B7F38EA"/>
    <w:rsid w:val="4BBD0B4A"/>
    <w:rsid w:val="4BC84FE3"/>
    <w:rsid w:val="4BD579FD"/>
    <w:rsid w:val="4BD75038"/>
    <w:rsid w:val="4BD905AE"/>
    <w:rsid w:val="4BDB6202"/>
    <w:rsid w:val="4BFB610E"/>
    <w:rsid w:val="4BFFC69B"/>
    <w:rsid w:val="4BFFF6B6"/>
    <w:rsid w:val="4D543701"/>
    <w:rsid w:val="4D5EB796"/>
    <w:rsid w:val="4D8125CD"/>
    <w:rsid w:val="4DA100EC"/>
    <w:rsid w:val="4DFB41D2"/>
    <w:rsid w:val="4DFDB6CD"/>
    <w:rsid w:val="4DFF7584"/>
    <w:rsid w:val="4E033689"/>
    <w:rsid w:val="4E0776AF"/>
    <w:rsid w:val="4E0E741B"/>
    <w:rsid w:val="4E2D7CD0"/>
    <w:rsid w:val="4E535E82"/>
    <w:rsid w:val="4E5C081F"/>
    <w:rsid w:val="4E881E17"/>
    <w:rsid w:val="4EAC6020"/>
    <w:rsid w:val="4ED9366C"/>
    <w:rsid w:val="4EDA142E"/>
    <w:rsid w:val="4EDD6804"/>
    <w:rsid w:val="4EF72EB3"/>
    <w:rsid w:val="4EFBBF02"/>
    <w:rsid w:val="4EFE086D"/>
    <w:rsid w:val="4F1278D6"/>
    <w:rsid w:val="4F195165"/>
    <w:rsid w:val="4F5F76EB"/>
    <w:rsid w:val="4F625F1A"/>
    <w:rsid w:val="4F7CB22B"/>
    <w:rsid w:val="4F7FFC2A"/>
    <w:rsid w:val="4F96B74D"/>
    <w:rsid w:val="4FB548CC"/>
    <w:rsid w:val="4FBDBF28"/>
    <w:rsid w:val="4FDCA4EB"/>
    <w:rsid w:val="4FE3A0ED"/>
    <w:rsid w:val="4FE77154"/>
    <w:rsid w:val="4FFE6881"/>
    <w:rsid w:val="4FFF06C0"/>
    <w:rsid w:val="4FFF17AF"/>
    <w:rsid w:val="4FFF6CA7"/>
    <w:rsid w:val="502B6EFE"/>
    <w:rsid w:val="504E2012"/>
    <w:rsid w:val="50625B46"/>
    <w:rsid w:val="50773C41"/>
    <w:rsid w:val="50904CD8"/>
    <w:rsid w:val="50AB24CE"/>
    <w:rsid w:val="50F413DD"/>
    <w:rsid w:val="51096946"/>
    <w:rsid w:val="51BE212A"/>
    <w:rsid w:val="51DF0749"/>
    <w:rsid w:val="51F03D0D"/>
    <w:rsid w:val="51F6213B"/>
    <w:rsid w:val="52057A3C"/>
    <w:rsid w:val="5225608A"/>
    <w:rsid w:val="523061C0"/>
    <w:rsid w:val="52522E68"/>
    <w:rsid w:val="52980782"/>
    <w:rsid w:val="52D67374"/>
    <w:rsid w:val="52FD4006"/>
    <w:rsid w:val="5327451C"/>
    <w:rsid w:val="532E5683"/>
    <w:rsid w:val="5332420A"/>
    <w:rsid w:val="536A7BE8"/>
    <w:rsid w:val="536D0D7A"/>
    <w:rsid w:val="53768DAB"/>
    <w:rsid w:val="5379EF19"/>
    <w:rsid w:val="53B663EB"/>
    <w:rsid w:val="53BFDB5F"/>
    <w:rsid w:val="53C127F5"/>
    <w:rsid w:val="53EFE467"/>
    <w:rsid w:val="53FB7088"/>
    <w:rsid w:val="54104D89"/>
    <w:rsid w:val="54177EC5"/>
    <w:rsid w:val="54241D02"/>
    <w:rsid w:val="54350468"/>
    <w:rsid w:val="547D7601"/>
    <w:rsid w:val="54955C3E"/>
    <w:rsid w:val="550358E2"/>
    <w:rsid w:val="551C5030"/>
    <w:rsid w:val="5579695E"/>
    <w:rsid w:val="5590756D"/>
    <w:rsid w:val="55B464A8"/>
    <w:rsid w:val="55DD9BA0"/>
    <w:rsid w:val="55FBB8E7"/>
    <w:rsid w:val="55FF8AA8"/>
    <w:rsid w:val="563F79E5"/>
    <w:rsid w:val="565F1740"/>
    <w:rsid w:val="567B1181"/>
    <w:rsid w:val="567FAFDD"/>
    <w:rsid w:val="568E7490"/>
    <w:rsid w:val="56A3D54A"/>
    <w:rsid w:val="56BA0FDC"/>
    <w:rsid w:val="56E4E2C1"/>
    <w:rsid w:val="57301B0E"/>
    <w:rsid w:val="573863AA"/>
    <w:rsid w:val="576E2BAF"/>
    <w:rsid w:val="57770CE4"/>
    <w:rsid w:val="577F08F6"/>
    <w:rsid w:val="57963F33"/>
    <w:rsid w:val="57BB8BC0"/>
    <w:rsid w:val="57CBC995"/>
    <w:rsid w:val="57CC4919"/>
    <w:rsid w:val="57CD0ED1"/>
    <w:rsid w:val="57CE0445"/>
    <w:rsid w:val="57DFD716"/>
    <w:rsid w:val="57EF2EDD"/>
    <w:rsid w:val="57F347D8"/>
    <w:rsid w:val="57F75D39"/>
    <w:rsid w:val="57F7F8A8"/>
    <w:rsid w:val="57FB5C6A"/>
    <w:rsid w:val="57FD0BDD"/>
    <w:rsid w:val="57FDD649"/>
    <w:rsid w:val="57FE44CA"/>
    <w:rsid w:val="57FF3356"/>
    <w:rsid w:val="57FF6911"/>
    <w:rsid w:val="58020E8D"/>
    <w:rsid w:val="581E0EA0"/>
    <w:rsid w:val="58294CB2"/>
    <w:rsid w:val="583F75A1"/>
    <w:rsid w:val="586B6A32"/>
    <w:rsid w:val="58823F2F"/>
    <w:rsid w:val="58C44394"/>
    <w:rsid w:val="58E135DE"/>
    <w:rsid w:val="599F904B"/>
    <w:rsid w:val="59E051FD"/>
    <w:rsid w:val="59E909B2"/>
    <w:rsid w:val="59EFA997"/>
    <w:rsid w:val="59F70231"/>
    <w:rsid w:val="59F7BD04"/>
    <w:rsid w:val="5A2F4103"/>
    <w:rsid w:val="5A4E9575"/>
    <w:rsid w:val="5A5527FA"/>
    <w:rsid w:val="5A61108D"/>
    <w:rsid w:val="5B3F926D"/>
    <w:rsid w:val="5B6C0691"/>
    <w:rsid w:val="5B77A734"/>
    <w:rsid w:val="5B8D1DC8"/>
    <w:rsid w:val="5B99F8F7"/>
    <w:rsid w:val="5B9A48C2"/>
    <w:rsid w:val="5B9FA8C9"/>
    <w:rsid w:val="5BCD23EE"/>
    <w:rsid w:val="5BCF1B87"/>
    <w:rsid w:val="5BDDC482"/>
    <w:rsid w:val="5BDE2989"/>
    <w:rsid w:val="5BE508A9"/>
    <w:rsid w:val="5BE5B274"/>
    <w:rsid w:val="5BE6A654"/>
    <w:rsid w:val="5BFF9D1E"/>
    <w:rsid w:val="5C1A3E88"/>
    <w:rsid w:val="5C69772C"/>
    <w:rsid w:val="5C6B34A4"/>
    <w:rsid w:val="5C6B40B4"/>
    <w:rsid w:val="5CA7096F"/>
    <w:rsid w:val="5CFFD875"/>
    <w:rsid w:val="5D376F61"/>
    <w:rsid w:val="5D3C3D86"/>
    <w:rsid w:val="5D586455"/>
    <w:rsid w:val="5D5F28DD"/>
    <w:rsid w:val="5D6F8AFE"/>
    <w:rsid w:val="5D7162C3"/>
    <w:rsid w:val="5D76DEB1"/>
    <w:rsid w:val="5D7BC153"/>
    <w:rsid w:val="5D9F2CDA"/>
    <w:rsid w:val="5DDD9B3F"/>
    <w:rsid w:val="5DDFC819"/>
    <w:rsid w:val="5DEB3068"/>
    <w:rsid w:val="5DEC9556"/>
    <w:rsid w:val="5DFCD408"/>
    <w:rsid w:val="5DFED341"/>
    <w:rsid w:val="5DFF4AA8"/>
    <w:rsid w:val="5DFF5D41"/>
    <w:rsid w:val="5E383CE3"/>
    <w:rsid w:val="5E3A112B"/>
    <w:rsid w:val="5E4FD031"/>
    <w:rsid w:val="5E580568"/>
    <w:rsid w:val="5E69EFC3"/>
    <w:rsid w:val="5E7954C5"/>
    <w:rsid w:val="5E7B0D45"/>
    <w:rsid w:val="5EC977F3"/>
    <w:rsid w:val="5ED98583"/>
    <w:rsid w:val="5EE7D931"/>
    <w:rsid w:val="5EEA431C"/>
    <w:rsid w:val="5EEFB9D1"/>
    <w:rsid w:val="5EF22235"/>
    <w:rsid w:val="5EF71525"/>
    <w:rsid w:val="5EF7A969"/>
    <w:rsid w:val="5EFABA98"/>
    <w:rsid w:val="5EFB1AB3"/>
    <w:rsid w:val="5F0D61FF"/>
    <w:rsid w:val="5F25C3ED"/>
    <w:rsid w:val="5F3B7BF8"/>
    <w:rsid w:val="5F3E404E"/>
    <w:rsid w:val="5F5F632A"/>
    <w:rsid w:val="5F6B587F"/>
    <w:rsid w:val="5F7F1384"/>
    <w:rsid w:val="5F7F6271"/>
    <w:rsid w:val="5F7FD20D"/>
    <w:rsid w:val="5FBD6664"/>
    <w:rsid w:val="5FC24A68"/>
    <w:rsid w:val="5FC7BBC8"/>
    <w:rsid w:val="5FD66500"/>
    <w:rsid w:val="5FD7D515"/>
    <w:rsid w:val="5FD92C11"/>
    <w:rsid w:val="5FDE6DA4"/>
    <w:rsid w:val="5FDF423B"/>
    <w:rsid w:val="5FE715EB"/>
    <w:rsid w:val="5FEF0328"/>
    <w:rsid w:val="5FEFC1FF"/>
    <w:rsid w:val="5FF63D34"/>
    <w:rsid w:val="5FFA197F"/>
    <w:rsid w:val="5FFAA90B"/>
    <w:rsid w:val="5FFB7B5E"/>
    <w:rsid w:val="5FFBE466"/>
    <w:rsid w:val="5FFBFEC8"/>
    <w:rsid w:val="5FFF1CB2"/>
    <w:rsid w:val="5FFF4B19"/>
    <w:rsid w:val="5FFF8B50"/>
    <w:rsid w:val="5FFF8E09"/>
    <w:rsid w:val="5FFFF2B1"/>
    <w:rsid w:val="600E00ED"/>
    <w:rsid w:val="60407B15"/>
    <w:rsid w:val="60DC12ED"/>
    <w:rsid w:val="60DC5176"/>
    <w:rsid w:val="60F71B7F"/>
    <w:rsid w:val="60FA4F03"/>
    <w:rsid w:val="6159055E"/>
    <w:rsid w:val="619F3748"/>
    <w:rsid w:val="61C564E0"/>
    <w:rsid w:val="61D70D0F"/>
    <w:rsid w:val="621A25FF"/>
    <w:rsid w:val="62422353"/>
    <w:rsid w:val="62CB0224"/>
    <w:rsid w:val="62DD4049"/>
    <w:rsid w:val="62E50DCE"/>
    <w:rsid w:val="62F08CAB"/>
    <w:rsid w:val="62F3548C"/>
    <w:rsid w:val="62F724BA"/>
    <w:rsid w:val="62FF3913"/>
    <w:rsid w:val="633B5253"/>
    <w:rsid w:val="63563A57"/>
    <w:rsid w:val="635D2B8F"/>
    <w:rsid w:val="637C4FEA"/>
    <w:rsid w:val="63AF78B3"/>
    <w:rsid w:val="63BF2C7A"/>
    <w:rsid w:val="63D6AEAF"/>
    <w:rsid w:val="63FF174E"/>
    <w:rsid w:val="641066DF"/>
    <w:rsid w:val="64292B34"/>
    <w:rsid w:val="6432722E"/>
    <w:rsid w:val="64FB20A4"/>
    <w:rsid w:val="65165F77"/>
    <w:rsid w:val="652646B7"/>
    <w:rsid w:val="652B8B3C"/>
    <w:rsid w:val="653B4826"/>
    <w:rsid w:val="657F8C39"/>
    <w:rsid w:val="65A64DB3"/>
    <w:rsid w:val="65B1252C"/>
    <w:rsid w:val="65B40F7D"/>
    <w:rsid w:val="65BD5FF9"/>
    <w:rsid w:val="65F7FAD3"/>
    <w:rsid w:val="65FEFB34"/>
    <w:rsid w:val="65FFD85B"/>
    <w:rsid w:val="66012783"/>
    <w:rsid w:val="661F6A8E"/>
    <w:rsid w:val="66227A96"/>
    <w:rsid w:val="663F52CD"/>
    <w:rsid w:val="669E2E31"/>
    <w:rsid w:val="66A979FF"/>
    <w:rsid w:val="66DA17B1"/>
    <w:rsid w:val="66FA5A12"/>
    <w:rsid w:val="67145DB8"/>
    <w:rsid w:val="6769781B"/>
    <w:rsid w:val="676B40F0"/>
    <w:rsid w:val="676F919F"/>
    <w:rsid w:val="6776EDE5"/>
    <w:rsid w:val="677CE7EC"/>
    <w:rsid w:val="677FE385"/>
    <w:rsid w:val="679CBB80"/>
    <w:rsid w:val="679D028A"/>
    <w:rsid w:val="67A90BE7"/>
    <w:rsid w:val="67AF9ACA"/>
    <w:rsid w:val="67BA52E0"/>
    <w:rsid w:val="67BD6B7E"/>
    <w:rsid w:val="67DCA530"/>
    <w:rsid w:val="67EA403D"/>
    <w:rsid w:val="67F4968E"/>
    <w:rsid w:val="67F5F8E3"/>
    <w:rsid w:val="67F7D7B0"/>
    <w:rsid w:val="67FBE78B"/>
    <w:rsid w:val="67FBE9CE"/>
    <w:rsid w:val="680B4215"/>
    <w:rsid w:val="68237191"/>
    <w:rsid w:val="68522BEB"/>
    <w:rsid w:val="6874526D"/>
    <w:rsid w:val="68756075"/>
    <w:rsid w:val="687B6DF6"/>
    <w:rsid w:val="687D1E6A"/>
    <w:rsid w:val="689F0032"/>
    <w:rsid w:val="68F6116F"/>
    <w:rsid w:val="691C0F53"/>
    <w:rsid w:val="694655C5"/>
    <w:rsid w:val="69515E5C"/>
    <w:rsid w:val="696372B1"/>
    <w:rsid w:val="6972A77A"/>
    <w:rsid w:val="697B2204"/>
    <w:rsid w:val="699E4401"/>
    <w:rsid w:val="69BDB42E"/>
    <w:rsid w:val="69BE6378"/>
    <w:rsid w:val="69BF6EB2"/>
    <w:rsid w:val="69CBE240"/>
    <w:rsid w:val="69D35E78"/>
    <w:rsid w:val="69D7BD08"/>
    <w:rsid w:val="69DFFD52"/>
    <w:rsid w:val="69E314F3"/>
    <w:rsid w:val="6A1636FF"/>
    <w:rsid w:val="6A6432E1"/>
    <w:rsid w:val="6A7C8C70"/>
    <w:rsid w:val="6AD73F7A"/>
    <w:rsid w:val="6AE24FE6"/>
    <w:rsid w:val="6AEE13ED"/>
    <w:rsid w:val="6AF361DA"/>
    <w:rsid w:val="6AF428B7"/>
    <w:rsid w:val="6AFF090D"/>
    <w:rsid w:val="6B183069"/>
    <w:rsid w:val="6B6FA189"/>
    <w:rsid w:val="6B855C05"/>
    <w:rsid w:val="6BA052E6"/>
    <w:rsid w:val="6BA25424"/>
    <w:rsid w:val="6BBC6D4D"/>
    <w:rsid w:val="6BD7C738"/>
    <w:rsid w:val="6BDF3A1C"/>
    <w:rsid w:val="6BDF46C9"/>
    <w:rsid w:val="6BE23DE3"/>
    <w:rsid w:val="6BE783D0"/>
    <w:rsid w:val="6BFBA52C"/>
    <w:rsid w:val="6BFFA3C7"/>
    <w:rsid w:val="6C031981"/>
    <w:rsid w:val="6C1F48EA"/>
    <w:rsid w:val="6C520C8E"/>
    <w:rsid w:val="6C5C4A0C"/>
    <w:rsid w:val="6CA7A313"/>
    <w:rsid w:val="6D031B69"/>
    <w:rsid w:val="6D234BF1"/>
    <w:rsid w:val="6D3348B6"/>
    <w:rsid w:val="6D4F48CE"/>
    <w:rsid w:val="6D788499"/>
    <w:rsid w:val="6D7B4D55"/>
    <w:rsid w:val="6D7FC3AB"/>
    <w:rsid w:val="6D9A0DA2"/>
    <w:rsid w:val="6DB058AE"/>
    <w:rsid w:val="6DB77BCC"/>
    <w:rsid w:val="6DB875FB"/>
    <w:rsid w:val="6DC5DF7B"/>
    <w:rsid w:val="6DC6BCE0"/>
    <w:rsid w:val="6DF3366F"/>
    <w:rsid w:val="6DF61A09"/>
    <w:rsid w:val="6DFAD006"/>
    <w:rsid w:val="6DFBDEEA"/>
    <w:rsid w:val="6DFC9539"/>
    <w:rsid w:val="6E386362"/>
    <w:rsid w:val="6E415438"/>
    <w:rsid w:val="6E59211A"/>
    <w:rsid w:val="6E5B5574"/>
    <w:rsid w:val="6E5E3AE5"/>
    <w:rsid w:val="6E7FF984"/>
    <w:rsid w:val="6EAD995F"/>
    <w:rsid w:val="6EB83BFB"/>
    <w:rsid w:val="6EBD65BB"/>
    <w:rsid w:val="6EDB06B0"/>
    <w:rsid w:val="6EE72D97"/>
    <w:rsid w:val="6EFB033C"/>
    <w:rsid w:val="6EFEC448"/>
    <w:rsid w:val="6F0A08FB"/>
    <w:rsid w:val="6F113E47"/>
    <w:rsid w:val="6F287046"/>
    <w:rsid w:val="6F499488"/>
    <w:rsid w:val="6F4F5829"/>
    <w:rsid w:val="6F4F9A77"/>
    <w:rsid w:val="6F57AE03"/>
    <w:rsid w:val="6F5B10C6"/>
    <w:rsid w:val="6F5E6230"/>
    <w:rsid w:val="6F6D01B8"/>
    <w:rsid w:val="6F75208E"/>
    <w:rsid w:val="6F775CE3"/>
    <w:rsid w:val="6F77DE3F"/>
    <w:rsid w:val="6F7BA71B"/>
    <w:rsid w:val="6F7E3133"/>
    <w:rsid w:val="6F7F6905"/>
    <w:rsid w:val="6F7F6ECB"/>
    <w:rsid w:val="6F7FEE4E"/>
    <w:rsid w:val="6F800BBD"/>
    <w:rsid w:val="6F89280C"/>
    <w:rsid w:val="6F96D708"/>
    <w:rsid w:val="6F9FD082"/>
    <w:rsid w:val="6FB6A134"/>
    <w:rsid w:val="6FB76ECF"/>
    <w:rsid w:val="6FB7F5E0"/>
    <w:rsid w:val="6FD90412"/>
    <w:rsid w:val="6FDAEFC8"/>
    <w:rsid w:val="6FDFC1C8"/>
    <w:rsid w:val="6FE68045"/>
    <w:rsid w:val="6FE74DA4"/>
    <w:rsid w:val="6FED2530"/>
    <w:rsid w:val="6FEF6800"/>
    <w:rsid w:val="6FF3716C"/>
    <w:rsid w:val="6FF46638"/>
    <w:rsid w:val="6FFB4E3C"/>
    <w:rsid w:val="6FFB985E"/>
    <w:rsid w:val="6FFD4BEF"/>
    <w:rsid w:val="6FFDA2B5"/>
    <w:rsid w:val="6FFE32A4"/>
    <w:rsid w:val="6FFE83D2"/>
    <w:rsid w:val="6FFF3EFB"/>
    <w:rsid w:val="6FFFB24F"/>
    <w:rsid w:val="6FFFB3DF"/>
    <w:rsid w:val="6FFFCC78"/>
    <w:rsid w:val="70087F92"/>
    <w:rsid w:val="70422316"/>
    <w:rsid w:val="70512255"/>
    <w:rsid w:val="709D12FB"/>
    <w:rsid w:val="70BA16CE"/>
    <w:rsid w:val="70BE4E07"/>
    <w:rsid w:val="70DDA2D1"/>
    <w:rsid w:val="716403A7"/>
    <w:rsid w:val="71740FB5"/>
    <w:rsid w:val="717658EE"/>
    <w:rsid w:val="71765B61"/>
    <w:rsid w:val="7178229D"/>
    <w:rsid w:val="71876A4E"/>
    <w:rsid w:val="71BF7DB6"/>
    <w:rsid w:val="71CA4BB9"/>
    <w:rsid w:val="71DEEAD1"/>
    <w:rsid w:val="71DFB33C"/>
    <w:rsid w:val="71F922F8"/>
    <w:rsid w:val="7218332F"/>
    <w:rsid w:val="72204256"/>
    <w:rsid w:val="72737951"/>
    <w:rsid w:val="727C3AD4"/>
    <w:rsid w:val="727F4BF9"/>
    <w:rsid w:val="729532F8"/>
    <w:rsid w:val="72A05985"/>
    <w:rsid w:val="72AA27F2"/>
    <w:rsid w:val="72E158F4"/>
    <w:rsid w:val="72E4528B"/>
    <w:rsid w:val="72EDA2A1"/>
    <w:rsid w:val="7310504C"/>
    <w:rsid w:val="73172CAC"/>
    <w:rsid w:val="736EEE2F"/>
    <w:rsid w:val="737BE192"/>
    <w:rsid w:val="73A56086"/>
    <w:rsid w:val="73BF1097"/>
    <w:rsid w:val="73BF797E"/>
    <w:rsid w:val="73C83578"/>
    <w:rsid w:val="73DBD814"/>
    <w:rsid w:val="73DF3870"/>
    <w:rsid w:val="73DF5E36"/>
    <w:rsid w:val="73E6C245"/>
    <w:rsid w:val="73FFB3B9"/>
    <w:rsid w:val="73FFF967"/>
    <w:rsid w:val="745F19B0"/>
    <w:rsid w:val="74745D74"/>
    <w:rsid w:val="748C3276"/>
    <w:rsid w:val="74A470FC"/>
    <w:rsid w:val="74DA0085"/>
    <w:rsid w:val="74F5AFB8"/>
    <w:rsid w:val="74FB2132"/>
    <w:rsid w:val="74FF0395"/>
    <w:rsid w:val="7517436B"/>
    <w:rsid w:val="75306BE1"/>
    <w:rsid w:val="754E4900"/>
    <w:rsid w:val="759C6BC3"/>
    <w:rsid w:val="759D527B"/>
    <w:rsid w:val="759F7802"/>
    <w:rsid w:val="75A3303D"/>
    <w:rsid w:val="75A3E82F"/>
    <w:rsid w:val="75AF4FFE"/>
    <w:rsid w:val="75B3AB0E"/>
    <w:rsid w:val="75B857A9"/>
    <w:rsid w:val="75C5557C"/>
    <w:rsid w:val="75DFDA33"/>
    <w:rsid w:val="75DFDE44"/>
    <w:rsid w:val="75EFFB31"/>
    <w:rsid w:val="75F65014"/>
    <w:rsid w:val="75FD5102"/>
    <w:rsid w:val="75FE0308"/>
    <w:rsid w:val="75FFD700"/>
    <w:rsid w:val="76674885"/>
    <w:rsid w:val="766C04D6"/>
    <w:rsid w:val="766DEC2C"/>
    <w:rsid w:val="767BA0D5"/>
    <w:rsid w:val="76F724B3"/>
    <w:rsid w:val="76FAD94B"/>
    <w:rsid w:val="76FB95ED"/>
    <w:rsid w:val="76FD158A"/>
    <w:rsid w:val="770E38E2"/>
    <w:rsid w:val="771D827E"/>
    <w:rsid w:val="773B643B"/>
    <w:rsid w:val="774B75E6"/>
    <w:rsid w:val="7757902C"/>
    <w:rsid w:val="775A3664"/>
    <w:rsid w:val="776EC791"/>
    <w:rsid w:val="7777FE63"/>
    <w:rsid w:val="777B84AF"/>
    <w:rsid w:val="777E5376"/>
    <w:rsid w:val="7799F8FB"/>
    <w:rsid w:val="779EDA18"/>
    <w:rsid w:val="779F6E4B"/>
    <w:rsid w:val="77A74A74"/>
    <w:rsid w:val="77BB0B43"/>
    <w:rsid w:val="77BDB72E"/>
    <w:rsid w:val="77BF5401"/>
    <w:rsid w:val="77BFB2BB"/>
    <w:rsid w:val="77C2071D"/>
    <w:rsid w:val="77C479D3"/>
    <w:rsid w:val="77CEDCE0"/>
    <w:rsid w:val="77D73FAF"/>
    <w:rsid w:val="77DC6BAC"/>
    <w:rsid w:val="77DE8838"/>
    <w:rsid w:val="77DF0657"/>
    <w:rsid w:val="77DFD58A"/>
    <w:rsid w:val="77EB52CE"/>
    <w:rsid w:val="77EBA128"/>
    <w:rsid w:val="77EFE317"/>
    <w:rsid w:val="77F21641"/>
    <w:rsid w:val="77F37C63"/>
    <w:rsid w:val="77F6DE39"/>
    <w:rsid w:val="77F70F6E"/>
    <w:rsid w:val="77F765A4"/>
    <w:rsid w:val="77F77FC8"/>
    <w:rsid w:val="77F96D63"/>
    <w:rsid w:val="77FDF659"/>
    <w:rsid w:val="77FE7B51"/>
    <w:rsid w:val="77FEF36C"/>
    <w:rsid w:val="77FF3715"/>
    <w:rsid w:val="77FF5250"/>
    <w:rsid w:val="77FF9AB6"/>
    <w:rsid w:val="77FFA13F"/>
    <w:rsid w:val="77FFEC9D"/>
    <w:rsid w:val="782D12C2"/>
    <w:rsid w:val="78597FC3"/>
    <w:rsid w:val="785E07E5"/>
    <w:rsid w:val="787FFE5F"/>
    <w:rsid w:val="795E09A2"/>
    <w:rsid w:val="797D616D"/>
    <w:rsid w:val="79A62DAF"/>
    <w:rsid w:val="79D67B59"/>
    <w:rsid w:val="79DB862F"/>
    <w:rsid w:val="79DF121A"/>
    <w:rsid w:val="79E67503"/>
    <w:rsid w:val="79EBC91F"/>
    <w:rsid w:val="79EE32ED"/>
    <w:rsid w:val="79EF028F"/>
    <w:rsid w:val="79EF36A0"/>
    <w:rsid w:val="79F16A2F"/>
    <w:rsid w:val="79F6A1C7"/>
    <w:rsid w:val="7A0D8474"/>
    <w:rsid w:val="7A3E9FC8"/>
    <w:rsid w:val="7A3FD204"/>
    <w:rsid w:val="7A816621"/>
    <w:rsid w:val="7A9506DF"/>
    <w:rsid w:val="7A99FD8A"/>
    <w:rsid w:val="7AB61937"/>
    <w:rsid w:val="7ABF831B"/>
    <w:rsid w:val="7ACD6EA1"/>
    <w:rsid w:val="7AEFAABD"/>
    <w:rsid w:val="7AFB9CC5"/>
    <w:rsid w:val="7B2A7C2F"/>
    <w:rsid w:val="7B376EBD"/>
    <w:rsid w:val="7B3813B3"/>
    <w:rsid w:val="7B3E4E30"/>
    <w:rsid w:val="7B4FBD1E"/>
    <w:rsid w:val="7B500173"/>
    <w:rsid w:val="7B5A221C"/>
    <w:rsid w:val="7B5D73F5"/>
    <w:rsid w:val="7B5FB6D1"/>
    <w:rsid w:val="7B673383"/>
    <w:rsid w:val="7B755CB7"/>
    <w:rsid w:val="7B7FA8C9"/>
    <w:rsid w:val="7B9A3006"/>
    <w:rsid w:val="7B9B9871"/>
    <w:rsid w:val="7B9C6D7F"/>
    <w:rsid w:val="7BA7B217"/>
    <w:rsid w:val="7BAFF2FF"/>
    <w:rsid w:val="7BB39155"/>
    <w:rsid w:val="7BBC8F08"/>
    <w:rsid w:val="7BBEA2FB"/>
    <w:rsid w:val="7BCE3776"/>
    <w:rsid w:val="7BD365F2"/>
    <w:rsid w:val="7BD83369"/>
    <w:rsid w:val="7BDC72AC"/>
    <w:rsid w:val="7BDEFB3B"/>
    <w:rsid w:val="7BDFEA48"/>
    <w:rsid w:val="7BE7DFB1"/>
    <w:rsid w:val="7BE7F169"/>
    <w:rsid w:val="7BEDC000"/>
    <w:rsid w:val="7BEE31C0"/>
    <w:rsid w:val="7BF132B6"/>
    <w:rsid w:val="7BF36C25"/>
    <w:rsid w:val="7BF52126"/>
    <w:rsid w:val="7BF57225"/>
    <w:rsid w:val="7BF85150"/>
    <w:rsid w:val="7BF8AC4D"/>
    <w:rsid w:val="7BFD9063"/>
    <w:rsid w:val="7BFE4461"/>
    <w:rsid w:val="7BFF22FA"/>
    <w:rsid w:val="7BFF262D"/>
    <w:rsid w:val="7BFF8B02"/>
    <w:rsid w:val="7BFF9523"/>
    <w:rsid w:val="7BFF95DF"/>
    <w:rsid w:val="7C281B56"/>
    <w:rsid w:val="7C3B9E43"/>
    <w:rsid w:val="7C5BDD2A"/>
    <w:rsid w:val="7C74481D"/>
    <w:rsid w:val="7C93C7E0"/>
    <w:rsid w:val="7C944EF3"/>
    <w:rsid w:val="7CAC2D59"/>
    <w:rsid w:val="7CB22E91"/>
    <w:rsid w:val="7CBF3C8F"/>
    <w:rsid w:val="7CBFFEA9"/>
    <w:rsid w:val="7CE80CA6"/>
    <w:rsid w:val="7CED202F"/>
    <w:rsid w:val="7CEE3B9F"/>
    <w:rsid w:val="7CFA97BD"/>
    <w:rsid w:val="7CFD8679"/>
    <w:rsid w:val="7CFFDFA6"/>
    <w:rsid w:val="7D0A4866"/>
    <w:rsid w:val="7D2F2042"/>
    <w:rsid w:val="7D40412D"/>
    <w:rsid w:val="7D4C8D1B"/>
    <w:rsid w:val="7D55172E"/>
    <w:rsid w:val="7D66524B"/>
    <w:rsid w:val="7D8447FB"/>
    <w:rsid w:val="7D845D1C"/>
    <w:rsid w:val="7DBDB18F"/>
    <w:rsid w:val="7DBE79B5"/>
    <w:rsid w:val="7DBEEE16"/>
    <w:rsid w:val="7DBF686E"/>
    <w:rsid w:val="7DBF9D08"/>
    <w:rsid w:val="7DD62F81"/>
    <w:rsid w:val="7DDC52BA"/>
    <w:rsid w:val="7DDD617D"/>
    <w:rsid w:val="7DE7822C"/>
    <w:rsid w:val="7DE7E439"/>
    <w:rsid w:val="7DE8C052"/>
    <w:rsid w:val="7DEDB057"/>
    <w:rsid w:val="7DEF3405"/>
    <w:rsid w:val="7DEFC1E3"/>
    <w:rsid w:val="7DF000E7"/>
    <w:rsid w:val="7DF5BB80"/>
    <w:rsid w:val="7DF9193E"/>
    <w:rsid w:val="7DFB1993"/>
    <w:rsid w:val="7DFC63B9"/>
    <w:rsid w:val="7DFC6722"/>
    <w:rsid w:val="7DFD48D3"/>
    <w:rsid w:val="7DFD54EB"/>
    <w:rsid w:val="7DFDA541"/>
    <w:rsid w:val="7DFE7F60"/>
    <w:rsid w:val="7DFEDC58"/>
    <w:rsid w:val="7DFF3D6F"/>
    <w:rsid w:val="7DFF6CF1"/>
    <w:rsid w:val="7DFFB578"/>
    <w:rsid w:val="7E207B5C"/>
    <w:rsid w:val="7E3E1378"/>
    <w:rsid w:val="7E434AC5"/>
    <w:rsid w:val="7E58F132"/>
    <w:rsid w:val="7E73042A"/>
    <w:rsid w:val="7E7F2FD0"/>
    <w:rsid w:val="7E7F902F"/>
    <w:rsid w:val="7E9B3789"/>
    <w:rsid w:val="7E9BF012"/>
    <w:rsid w:val="7E9FE7B1"/>
    <w:rsid w:val="7EA7773C"/>
    <w:rsid w:val="7EB514A0"/>
    <w:rsid w:val="7EBE1BCE"/>
    <w:rsid w:val="7EBFD5B5"/>
    <w:rsid w:val="7EC77E42"/>
    <w:rsid w:val="7ECDBD2B"/>
    <w:rsid w:val="7ECF0DE5"/>
    <w:rsid w:val="7ED7AC00"/>
    <w:rsid w:val="7EDBB1C6"/>
    <w:rsid w:val="7EDFFCB7"/>
    <w:rsid w:val="7EEBD906"/>
    <w:rsid w:val="7EECC60C"/>
    <w:rsid w:val="7EEE5326"/>
    <w:rsid w:val="7EEFC0F2"/>
    <w:rsid w:val="7EF62726"/>
    <w:rsid w:val="7EFC63BA"/>
    <w:rsid w:val="7EFD7726"/>
    <w:rsid w:val="7EFD7A55"/>
    <w:rsid w:val="7EFDCB98"/>
    <w:rsid w:val="7EFDDFC9"/>
    <w:rsid w:val="7EFF0AAF"/>
    <w:rsid w:val="7EFF5C4D"/>
    <w:rsid w:val="7EFFB371"/>
    <w:rsid w:val="7EFFC535"/>
    <w:rsid w:val="7F1E9E27"/>
    <w:rsid w:val="7F1F8D20"/>
    <w:rsid w:val="7F2E41DC"/>
    <w:rsid w:val="7F32FB7A"/>
    <w:rsid w:val="7F335CA0"/>
    <w:rsid w:val="7F37B0E3"/>
    <w:rsid w:val="7F3AF24C"/>
    <w:rsid w:val="7F3CE6C0"/>
    <w:rsid w:val="7F3DF572"/>
    <w:rsid w:val="7F3E1543"/>
    <w:rsid w:val="7F432973"/>
    <w:rsid w:val="7F575125"/>
    <w:rsid w:val="7F57EBC3"/>
    <w:rsid w:val="7F59EE0B"/>
    <w:rsid w:val="7F5B0E10"/>
    <w:rsid w:val="7F5E0C16"/>
    <w:rsid w:val="7F5E67E7"/>
    <w:rsid w:val="7F5F639F"/>
    <w:rsid w:val="7F658FAB"/>
    <w:rsid w:val="7F6BE7AE"/>
    <w:rsid w:val="7F6F038D"/>
    <w:rsid w:val="7F6FF4C6"/>
    <w:rsid w:val="7F77D5BC"/>
    <w:rsid w:val="7F7993B5"/>
    <w:rsid w:val="7F79B35B"/>
    <w:rsid w:val="7F7AF9D8"/>
    <w:rsid w:val="7F7B4894"/>
    <w:rsid w:val="7F7B6D95"/>
    <w:rsid w:val="7F7ECAC4"/>
    <w:rsid w:val="7F7F3F04"/>
    <w:rsid w:val="7F9647D5"/>
    <w:rsid w:val="7FA796DA"/>
    <w:rsid w:val="7FABF62E"/>
    <w:rsid w:val="7FAD587C"/>
    <w:rsid w:val="7FB649D8"/>
    <w:rsid w:val="7FB6F65D"/>
    <w:rsid w:val="7FB7E8F2"/>
    <w:rsid w:val="7FBA4031"/>
    <w:rsid w:val="7FBAD513"/>
    <w:rsid w:val="7FBDC98D"/>
    <w:rsid w:val="7FBE4033"/>
    <w:rsid w:val="7FBF21D5"/>
    <w:rsid w:val="7FBF3A06"/>
    <w:rsid w:val="7FBFCA21"/>
    <w:rsid w:val="7FC050B0"/>
    <w:rsid w:val="7FC55852"/>
    <w:rsid w:val="7FCD7030"/>
    <w:rsid w:val="7FCDB609"/>
    <w:rsid w:val="7FD020C3"/>
    <w:rsid w:val="7FD0349B"/>
    <w:rsid w:val="7FD10837"/>
    <w:rsid w:val="7FDBC361"/>
    <w:rsid w:val="7FDD734A"/>
    <w:rsid w:val="7FDEF8EF"/>
    <w:rsid w:val="7FDF1AA8"/>
    <w:rsid w:val="7FDF4AE8"/>
    <w:rsid w:val="7FDF5A41"/>
    <w:rsid w:val="7FDF634C"/>
    <w:rsid w:val="7FDF7057"/>
    <w:rsid w:val="7FDFA0C7"/>
    <w:rsid w:val="7FDFCCF7"/>
    <w:rsid w:val="7FDFDACB"/>
    <w:rsid w:val="7FE5C7DC"/>
    <w:rsid w:val="7FEB5A1C"/>
    <w:rsid w:val="7FEE2B26"/>
    <w:rsid w:val="7FEEDEAA"/>
    <w:rsid w:val="7FEF0363"/>
    <w:rsid w:val="7FEF3A47"/>
    <w:rsid w:val="7FEFA763"/>
    <w:rsid w:val="7FEFE97A"/>
    <w:rsid w:val="7FF5D2FB"/>
    <w:rsid w:val="7FF70732"/>
    <w:rsid w:val="7FF758F1"/>
    <w:rsid w:val="7FF7AA89"/>
    <w:rsid w:val="7FF88CF9"/>
    <w:rsid w:val="7FF9DC02"/>
    <w:rsid w:val="7FFA1893"/>
    <w:rsid w:val="7FFB2A03"/>
    <w:rsid w:val="7FFB601D"/>
    <w:rsid w:val="7FFB704E"/>
    <w:rsid w:val="7FFB9925"/>
    <w:rsid w:val="7FFC2DEC"/>
    <w:rsid w:val="7FFC31F6"/>
    <w:rsid w:val="7FFD5F2C"/>
    <w:rsid w:val="7FFDC6FA"/>
    <w:rsid w:val="7FFF0FD9"/>
    <w:rsid w:val="7FFF1C31"/>
    <w:rsid w:val="7FFF5E55"/>
    <w:rsid w:val="7FFF6B02"/>
    <w:rsid w:val="7FFF6E7F"/>
    <w:rsid w:val="7FFF786D"/>
    <w:rsid w:val="7FFF804D"/>
    <w:rsid w:val="7FFF86E9"/>
    <w:rsid w:val="7FFFA2A9"/>
    <w:rsid w:val="7FFFACBC"/>
    <w:rsid w:val="7FFFBABE"/>
    <w:rsid w:val="7FFFC17D"/>
    <w:rsid w:val="7FFFC748"/>
    <w:rsid w:val="7FFFC76E"/>
    <w:rsid w:val="7FFFE986"/>
    <w:rsid w:val="7FFFEF5E"/>
    <w:rsid w:val="82D72CA3"/>
    <w:rsid w:val="87B77E0D"/>
    <w:rsid w:val="887DF239"/>
    <w:rsid w:val="8BBB4961"/>
    <w:rsid w:val="8BEF66BF"/>
    <w:rsid w:val="8BF7EDAF"/>
    <w:rsid w:val="8C7E59E4"/>
    <w:rsid w:val="8C9BCF02"/>
    <w:rsid w:val="8CFFE673"/>
    <w:rsid w:val="8DFD8075"/>
    <w:rsid w:val="8F1D773E"/>
    <w:rsid w:val="8FB3D1B4"/>
    <w:rsid w:val="90C7E11E"/>
    <w:rsid w:val="9343FAE0"/>
    <w:rsid w:val="93F5BFD6"/>
    <w:rsid w:val="94EFFD02"/>
    <w:rsid w:val="953BC0EF"/>
    <w:rsid w:val="95BD6B78"/>
    <w:rsid w:val="96DF9C0B"/>
    <w:rsid w:val="973DB6E5"/>
    <w:rsid w:val="973F0AA4"/>
    <w:rsid w:val="9777AB69"/>
    <w:rsid w:val="97A5719B"/>
    <w:rsid w:val="97EF5038"/>
    <w:rsid w:val="98FBBFB3"/>
    <w:rsid w:val="99FF8F24"/>
    <w:rsid w:val="9A1D8C99"/>
    <w:rsid w:val="9AFE6BE9"/>
    <w:rsid w:val="9B7FFC3B"/>
    <w:rsid w:val="9BBFCAA7"/>
    <w:rsid w:val="9BE72190"/>
    <w:rsid w:val="9BF7DC75"/>
    <w:rsid w:val="9CFB20BE"/>
    <w:rsid w:val="9DBD31F0"/>
    <w:rsid w:val="9DFB6F6A"/>
    <w:rsid w:val="9DFF9882"/>
    <w:rsid w:val="9E3E49E6"/>
    <w:rsid w:val="9EABBA9D"/>
    <w:rsid w:val="9EDF1402"/>
    <w:rsid w:val="9EE72D66"/>
    <w:rsid w:val="9F37CEFE"/>
    <w:rsid w:val="9F7BCD97"/>
    <w:rsid w:val="9F7F269B"/>
    <w:rsid w:val="9F975895"/>
    <w:rsid w:val="9FA40505"/>
    <w:rsid w:val="9FA4B942"/>
    <w:rsid w:val="9FEF56B5"/>
    <w:rsid w:val="9FEFC598"/>
    <w:rsid w:val="9FF3C575"/>
    <w:rsid w:val="9FFE9BE0"/>
    <w:rsid w:val="A3D3B059"/>
    <w:rsid w:val="A5B957A7"/>
    <w:rsid w:val="A5ED9EFB"/>
    <w:rsid w:val="A5F1029D"/>
    <w:rsid w:val="A6D85F48"/>
    <w:rsid w:val="A7C3A29B"/>
    <w:rsid w:val="A9562752"/>
    <w:rsid w:val="A997721C"/>
    <w:rsid w:val="A9FFF6D3"/>
    <w:rsid w:val="AA5F06FC"/>
    <w:rsid w:val="AACF79B2"/>
    <w:rsid w:val="AAED8E07"/>
    <w:rsid w:val="AAF69548"/>
    <w:rsid w:val="AB37D6D2"/>
    <w:rsid w:val="AB8F6C18"/>
    <w:rsid w:val="ABB68251"/>
    <w:rsid w:val="ABBF0257"/>
    <w:rsid w:val="ABDD674F"/>
    <w:rsid w:val="ABFB8F5F"/>
    <w:rsid w:val="ACFB9E19"/>
    <w:rsid w:val="AD5A6130"/>
    <w:rsid w:val="ADEFE3FF"/>
    <w:rsid w:val="ADFE9A6D"/>
    <w:rsid w:val="AEDFCECF"/>
    <w:rsid w:val="AEFECE66"/>
    <w:rsid w:val="AF6F9892"/>
    <w:rsid w:val="AF961D77"/>
    <w:rsid w:val="AF9F8A77"/>
    <w:rsid w:val="AFBDE0B5"/>
    <w:rsid w:val="AFFAD133"/>
    <w:rsid w:val="B07F8144"/>
    <w:rsid w:val="B0F7E3DC"/>
    <w:rsid w:val="B13F82AA"/>
    <w:rsid w:val="B1F69520"/>
    <w:rsid w:val="B2FB13C8"/>
    <w:rsid w:val="B39F8375"/>
    <w:rsid w:val="B3BAAAD1"/>
    <w:rsid w:val="B3BFA076"/>
    <w:rsid w:val="B3CFC624"/>
    <w:rsid w:val="B3DD2393"/>
    <w:rsid w:val="B3FD7B67"/>
    <w:rsid w:val="B4DE2781"/>
    <w:rsid w:val="B53FFC66"/>
    <w:rsid w:val="B54F4BC9"/>
    <w:rsid w:val="B5BF2156"/>
    <w:rsid w:val="B5FB38F6"/>
    <w:rsid w:val="B63F3CFB"/>
    <w:rsid w:val="B6DED4CC"/>
    <w:rsid w:val="B76E19A1"/>
    <w:rsid w:val="B77B79C9"/>
    <w:rsid w:val="B77B9913"/>
    <w:rsid w:val="B79EA8CE"/>
    <w:rsid w:val="B7BF0198"/>
    <w:rsid w:val="B7D0F9D3"/>
    <w:rsid w:val="B7E763B7"/>
    <w:rsid w:val="B7F71F92"/>
    <w:rsid w:val="B7FBBACC"/>
    <w:rsid w:val="B7FE1909"/>
    <w:rsid w:val="B7FF1121"/>
    <w:rsid w:val="B8651343"/>
    <w:rsid w:val="B8FFE8B8"/>
    <w:rsid w:val="B9BD3E4A"/>
    <w:rsid w:val="B9FB9737"/>
    <w:rsid w:val="BA3A27CB"/>
    <w:rsid w:val="BADF32DA"/>
    <w:rsid w:val="BAEF6688"/>
    <w:rsid w:val="BB5FA028"/>
    <w:rsid w:val="BB9F0903"/>
    <w:rsid w:val="BB9FD59A"/>
    <w:rsid w:val="BBEBCEDB"/>
    <w:rsid w:val="BBEEE7DE"/>
    <w:rsid w:val="BBFDDE83"/>
    <w:rsid w:val="BCFECAD2"/>
    <w:rsid w:val="BD9F53CC"/>
    <w:rsid w:val="BDBF2BD5"/>
    <w:rsid w:val="BDDFB668"/>
    <w:rsid w:val="BDEE3B4B"/>
    <w:rsid w:val="BDEE5497"/>
    <w:rsid w:val="BDF9279C"/>
    <w:rsid w:val="BE3F3236"/>
    <w:rsid w:val="BE42D346"/>
    <w:rsid w:val="BE751310"/>
    <w:rsid w:val="BE8E8D5C"/>
    <w:rsid w:val="BECF446E"/>
    <w:rsid w:val="BED43703"/>
    <w:rsid w:val="BEEFFD68"/>
    <w:rsid w:val="BEF5C47C"/>
    <w:rsid w:val="BEFB7677"/>
    <w:rsid w:val="BEFC4094"/>
    <w:rsid w:val="BEFD6FA0"/>
    <w:rsid w:val="BEFF0EC9"/>
    <w:rsid w:val="BEFF36A9"/>
    <w:rsid w:val="BEFF7F2E"/>
    <w:rsid w:val="BF1176EC"/>
    <w:rsid w:val="BF5A1653"/>
    <w:rsid w:val="BF5D42E8"/>
    <w:rsid w:val="BF5FB2C1"/>
    <w:rsid w:val="BF76D21E"/>
    <w:rsid w:val="BF7E2AA9"/>
    <w:rsid w:val="BF7F2BB9"/>
    <w:rsid w:val="BF7F3827"/>
    <w:rsid w:val="BF7F91FE"/>
    <w:rsid w:val="BF949BF4"/>
    <w:rsid w:val="BF973706"/>
    <w:rsid w:val="BF9E00E0"/>
    <w:rsid w:val="BFAB927A"/>
    <w:rsid w:val="BFAFB835"/>
    <w:rsid w:val="BFB0BB02"/>
    <w:rsid w:val="BFBC5B79"/>
    <w:rsid w:val="BFBF56D5"/>
    <w:rsid w:val="BFBFA232"/>
    <w:rsid w:val="BFC66EB2"/>
    <w:rsid w:val="BFDBC1D9"/>
    <w:rsid w:val="BFE300D1"/>
    <w:rsid w:val="BFEF816B"/>
    <w:rsid w:val="BFEFA7C9"/>
    <w:rsid w:val="BFF14900"/>
    <w:rsid w:val="BFF9FCC4"/>
    <w:rsid w:val="BFFA4CA8"/>
    <w:rsid w:val="BFFCF884"/>
    <w:rsid w:val="BFFD1B59"/>
    <w:rsid w:val="BFFDCA84"/>
    <w:rsid w:val="BFFF301C"/>
    <w:rsid w:val="BFFF5A69"/>
    <w:rsid w:val="BFFF5B8D"/>
    <w:rsid w:val="BFFFB3A3"/>
    <w:rsid w:val="C3CF1F9E"/>
    <w:rsid w:val="C7BFFB4E"/>
    <w:rsid w:val="C7EC7774"/>
    <w:rsid w:val="C7EF1703"/>
    <w:rsid w:val="C7F915CB"/>
    <w:rsid w:val="C9F949ED"/>
    <w:rsid w:val="CAFFE9D4"/>
    <w:rsid w:val="CB772E8B"/>
    <w:rsid w:val="CBBEAAC2"/>
    <w:rsid w:val="CBFEB9B7"/>
    <w:rsid w:val="CD6EEEAC"/>
    <w:rsid w:val="CDF304A0"/>
    <w:rsid w:val="CE1BD873"/>
    <w:rsid w:val="CEC70CC9"/>
    <w:rsid w:val="CEF79762"/>
    <w:rsid w:val="CEFD39A6"/>
    <w:rsid w:val="CF3500FC"/>
    <w:rsid w:val="CF380784"/>
    <w:rsid w:val="CF5FB1B7"/>
    <w:rsid w:val="CF7FDFB7"/>
    <w:rsid w:val="CFBF7B06"/>
    <w:rsid w:val="CFEDDFDE"/>
    <w:rsid w:val="CFF72564"/>
    <w:rsid w:val="CFF778D7"/>
    <w:rsid w:val="CFFBBA3C"/>
    <w:rsid w:val="CFFC8B0C"/>
    <w:rsid w:val="D345EFAF"/>
    <w:rsid w:val="D3516166"/>
    <w:rsid w:val="D3ED1B33"/>
    <w:rsid w:val="D3EE5CB6"/>
    <w:rsid w:val="D3F89935"/>
    <w:rsid w:val="D3FFCBEA"/>
    <w:rsid w:val="D5B7EC88"/>
    <w:rsid w:val="D5FFA3B1"/>
    <w:rsid w:val="D63EE39E"/>
    <w:rsid w:val="D63FACB8"/>
    <w:rsid w:val="D67611C1"/>
    <w:rsid w:val="D6F3CA52"/>
    <w:rsid w:val="D6FF7B83"/>
    <w:rsid w:val="D6FFFC1F"/>
    <w:rsid w:val="D71F90E5"/>
    <w:rsid w:val="D727795D"/>
    <w:rsid w:val="D74787C5"/>
    <w:rsid w:val="D7757B48"/>
    <w:rsid w:val="D7C3AB85"/>
    <w:rsid w:val="D7E3CD2F"/>
    <w:rsid w:val="D7E524F7"/>
    <w:rsid w:val="D7E9126D"/>
    <w:rsid w:val="D7EF0E64"/>
    <w:rsid w:val="D7F73BA9"/>
    <w:rsid w:val="D7F79631"/>
    <w:rsid w:val="D7F7DE9C"/>
    <w:rsid w:val="D8BF7100"/>
    <w:rsid w:val="D9BDC9AD"/>
    <w:rsid w:val="D9D6E833"/>
    <w:rsid w:val="D9F36055"/>
    <w:rsid w:val="DB3BBEDC"/>
    <w:rsid w:val="DB7CC882"/>
    <w:rsid w:val="DB7FD666"/>
    <w:rsid w:val="DBBEB371"/>
    <w:rsid w:val="DBDF062A"/>
    <w:rsid w:val="DBDF2616"/>
    <w:rsid w:val="DBEA3B24"/>
    <w:rsid w:val="DBEF9524"/>
    <w:rsid w:val="DBF0D2D5"/>
    <w:rsid w:val="DBFEF19A"/>
    <w:rsid w:val="DBFFB36C"/>
    <w:rsid w:val="DC437978"/>
    <w:rsid w:val="DCFBEFE4"/>
    <w:rsid w:val="DCFFD4DB"/>
    <w:rsid w:val="DD53466D"/>
    <w:rsid w:val="DD99BFA8"/>
    <w:rsid w:val="DDAFE819"/>
    <w:rsid w:val="DDB39171"/>
    <w:rsid w:val="DDDBC21C"/>
    <w:rsid w:val="DDDD7E44"/>
    <w:rsid w:val="DDE7FC09"/>
    <w:rsid w:val="DDF840D6"/>
    <w:rsid w:val="DDFF7F84"/>
    <w:rsid w:val="DE334FB3"/>
    <w:rsid w:val="DEAB919F"/>
    <w:rsid w:val="DEAFD7A5"/>
    <w:rsid w:val="DED7CE9C"/>
    <w:rsid w:val="DEDFF86D"/>
    <w:rsid w:val="DEDFFF82"/>
    <w:rsid w:val="DEEF5261"/>
    <w:rsid w:val="DEEF5CA3"/>
    <w:rsid w:val="DEFD8A8F"/>
    <w:rsid w:val="DEFE3468"/>
    <w:rsid w:val="DF3DFF6F"/>
    <w:rsid w:val="DF6F741E"/>
    <w:rsid w:val="DF9BA591"/>
    <w:rsid w:val="DF9F1E2F"/>
    <w:rsid w:val="DFAF2DA1"/>
    <w:rsid w:val="DFBF2B8A"/>
    <w:rsid w:val="DFBFF881"/>
    <w:rsid w:val="DFDB3F03"/>
    <w:rsid w:val="DFDDA7FD"/>
    <w:rsid w:val="DFE98707"/>
    <w:rsid w:val="DFED06AF"/>
    <w:rsid w:val="DFF6D98C"/>
    <w:rsid w:val="DFF7DF46"/>
    <w:rsid w:val="DFFD5D22"/>
    <w:rsid w:val="DFFDB2F7"/>
    <w:rsid w:val="DFFF165F"/>
    <w:rsid w:val="DFFF19EC"/>
    <w:rsid w:val="DFFF4B1D"/>
    <w:rsid w:val="DFFF8135"/>
    <w:rsid w:val="E3295A0F"/>
    <w:rsid w:val="E3BFEC4C"/>
    <w:rsid w:val="E3FAD5C9"/>
    <w:rsid w:val="E4FF9D79"/>
    <w:rsid w:val="E59D2AB3"/>
    <w:rsid w:val="E5CDB404"/>
    <w:rsid w:val="E5EE6A38"/>
    <w:rsid w:val="E5FA2A25"/>
    <w:rsid w:val="E6AF2EE0"/>
    <w:rsid w:val="E6E7DEE5"/>
    <w:rsid w:val="E6EDD6CF"/>
    <w:rsid w:val="E6FFB0C3"/>
    <w:rsid w:val="E6FFEC07"/>
    <w:rsid w:val="E7372092"/>
    <w:rsid w:val="E74FDEAB"/>
    <w:rsid w:val="E75D1CCB"/>
    <w:rsid w:val="E78D039A"/>
    <w:rsid w:val="E7BD3EA4"/>
    <w:rsid w:val="E7CD7670"/>
    <w:rsid w:val="E7DF673D"/>
    <w:rsid w:val="E7EBE0B2"/>
    <w:rsid w:val="E7F67242"/>
    <w:rsid w:val="E7F83F6F"/>
    <w:rsid w:val="E7FF2623"/>
    <w:rsid w:val="E7FFBE50"/>
    <w:rsid w:val="E8BB6CA9"/>
    <w:rsid w:val="E95FB20D"/>
    <w:rsid w:val="E9A951FD"/>
    <w:rsid w:val="E9C6A666"/>
    <w:rsid w:val="E9F6828B"/>
    <w:rsid w:val="EADB3815"/>
    <w:rsid w:val="EAFEC3EB"/>
    <w:rsid w:val="EAFEDD7B"/>
    <w:rsid w:val="EB2F36A2"/>
    <w:rsid w:val="EBBFD395"/>
    <w:rsid w:val="EBBFEEF6"/>
    <w:rsid w:val="EBE3B4FA"/>
    <w:rsid w:val="EBF31797"/>
    <w:rsid w:val="EBFFCD45"/>
    <w:rsid w:val="ED2B369A"/>
    <w:rsid w:val="ED74B9AF"/>
    <w:rsid w:val="EDBD70B2"/>
    <w:rsid w:val="EDE5BD5C"/>
    <w:rsid w:val="EDFEAB5B"/>
    <w:rsid w:val="EDFFC16B"/>
    <w:rsid w:val="EE778AE1"/>
    <w:rsid w:val="EE77C2AD"/>
    <w:rsid w:val="EEBECDD5"/>
    <w:rsid w:val="EEBF8B03"/>
    <w:rsid w:val="EEDF4E17"/>
    <w:rsid w:val="EEEF2F91"/>
    <w:rsid w:val="EEF36719"/>
    <w:rsid w:val="EEF9409F"/>
    <w:rsid w:val="EEFE27A1"/>
    <w:rsid w:val="EEFF4181"/>
    <w:rsid w:val="EEFF9CE5"/>
    <w:rsid w:val="EEFFC253"/>
    <w:rsid w:val="EF32A28D"/>
    <w:rsid w:val="EF49A23F"/>
    <w:rsid w:val="EF577E38"/>
    <w:rsid w:val="EF5E640A"/>
    <w:rsid w:val="EF6FF985"/>
    <w:rsid w:val="EF75B7B7"/>
    <w:rsid w:val="EF7E49A8"/>
    <w:rsid w:val="EFAFE755"/>
    <w:rsid w:val="EFB79D11"/>
    <w:rsid w:val="EFB7DE16"/>
    <w:rsid w:val="EFBF4754"/>
    <w:rsid w:val="EFBFEA6D"/>
    <w:rsid w:val="EFC646EE"/>
    <w:rsid w:val="EFCC372B"/>
    <w:rsid w:val="EFD7F9A1"/>
    <w:rsid w:val="EFDD0292"/>
    <w:rsid w:val="EFE754AE"/>
    <w:rsid w:val="EFED3A97"/>
    <w:rsid w:val="EFEEB2B8"/>
    <w:rsid w:val="EFF75585"/>
    <w:rsid w:val="EFF9F908"/>
    <w:rsid w:val="EFFCB300"/>
    <w:rsid w:val="EFFD4B9B"/>
    <w:rsid w:val="EFFD7D00"/>
    <w:rsid w:val="EFFD7D09"/>
    <w:rsid w:val="EFFD89C9"/>
    <w:rsid w:val="EFFF38B1"/>
    <w:rsid w:val="EFFF4216"/>
    <w:rsid w:val="EFFF4D7B"/>
    <w:rsid w:val="EFFF800F"/>
    <w:rsid w:val="EFFFC800"/>
    <w:rsid w:val="F0EFB717"/>
    <w:rsid w:val="F0FF76FF"/>
    <w:rsid w:val="F1B79874"/>
    <w:rsid w:val="F1BF5B54"/>
    <w:rsid w:val="F1DF96DD"/>
    <w:rsid w:val="F1F1892C"/>
    <w:rsid w:val="F2FE5034"/>
    <w:rsid w:val="F2FF0849"/>
    <w:rsid w:val="F3774CBC"/>
    <w:rsid w:val="F37F91DF"/>
    <w:rsid w:val="F3A7A25E"/>
    <w:rsid w:val="F3BD082D"/>
    <w:rsid w:val="F3BE8EE3"/>
    <w:rsid w:val="F3CC7609"/>
    <w:rsid w:val="F3F74DBA"/>
    <w:rsid w:val="F3FBEBD4"/>
    <w:rsid w:val="F3FDC4E5"/>
    <w:rsid w:val="F3FDE001"/>
    <w:rsid w:val="F3FF35A9"/>
    <w:rsid w:val="F3FFC089"/>
    <w:rsid w:val="F48FEAF5"/>
    <w:rsid w:val="F4B3F0AD"/>
    <w:rsid w:val="F53DD1EA"/>
    <w:rsid w:val="F5AAE5FB"/>
    <w:rsid w:val="F5BF8279"/>
    <w:rsid w:val="F5BFCE9D"/>
    <w:rsid w:val="F5FC46CB"/>
    <w:rsid w:val="F5FDE1C3"/>
    <w:rsid w:val="F5FF9C12"/>
    <w:rsid w:val="F65FDF10"/>
    <w:rsid w:val="F67F03B6"/>
    <w:rsid w:val="F6BBDD22"/>
    <w:rsid w:val="F6BEC520"/>
    <w:rsid w:val="F6BF8C00"/>
    <w:rsid w:val="F6D315BB"/>
    <w:rsid w:val="F6EBC168"/>
    <w:rsid w:val="F6EF6971"/>
    <w:rsid w:val="F6EF934D"/>
    <w:rsid w:val="F6FEA5FE"/>
    <w:rsid w:val="F72F0244"/>
    <w:rsid w:val="F73B7348"/>
    <w:rsid w:val="F73EEA6D"/>
    <w:rsid w:val="F73F7E8E"/>
    <w:rsid w:val="F75C7544"/>
    <w:rsid w:val="F75FF4AA"/>
    <w:rsid w:val="F769BE55"/>
    <w:rsid w:val="F77FBE7F"/>
    <w:rsid w:val="F77FEDC2"/>
    <w:rsid w:val="F78DFFDC"/>
    <w:rsid w:val="F7935234"/>
    <w:rsid w:val="F79FBCBB"/>
    <w:rsid w:val="F7B7584B"/>
    <w:rsid w:val="F7BC708A"/>
    <w:rsid w:val="F7BD8E3B"/>
    <w:rsid w:val="F7BDA93B"/>
    <w:rsid w:val="F7BF1E3C"/>
    <w:rsid w:val="F7CBC7C5"/>
    <w:rsid w:val="F7D5D643"/>
    <w:rsid w:val="F7D6013B"/>
    <w:rsid w:val="F7DBFC82"/>
    <w:rsid w:val="F7E50B14"/>
    <w:rsid w:val="F7E77D85"/>
    <w:rsid w:val="F7EC3BE3"/>
    <w:rsid w:val="F7ED7B4C"/>
    <w:rsid w:val="F7EF270C"/>
    <w:rsid w:val="F7EFD444"/>
    <w:rsid w:val="F7F6A780"/>
    <w:rsid w:val="F7F71EDF"/>
    <w:rsid w:val="F7F732B2"/>
    <w:rsid w:val="F7FEF138"/>
    <w:rsid w:val="F7FF2BD6"/>
    <w:rsid w:val="F7FF4626"/>
    <w:rsid w:val="F7FFB8DE"/>
    <w:rsid w:val="F7FFC0EF"/>
    <w:rsid w:val="F86FF4AE"/>
    <w:rsid w:val="F8FFACAE"/>
    <w:rsid w:val="F97F0FD2"/>
    <w:rsid w:val="F9A7025F"/>
    <w:rsid w:val="F9C9CAE6"/>
    <w:rsid w:val="F9DF1066"/>
    <w:rsid w:val="F9FD5EC3"/>
    <w:rsid w:val="FA7AD187"/>
    <w:rsid w:val="FAB36822"/>
    <w:rsid w:val="FABA288F"/>
    <w:rsid w:val="FADF9017"/>
    <w:rsid w:val="FADFEBB8"/>
    <w:rsid w:val="FAEEAB46"/>
    <w:rsid w:val="FAFF04B3"/>
    <w:rsid w:val="FAFF72C4"/>
    <w:rsid w:val="FB3749E6"/>
    <w:rsid w:val="FB3FF8C5"/>
    <w:rsid w:val="FB5AAB61"/>
    <w:rsid w:val="FB5F02B5"/>
    <w:rsid w:val="FB779A4B"/>
    <w:rsid w:val="FB7EDE0E"/>
    <w:rsid w:val="FB7F549F"/>
    <w:rsid w:val="FBBBFB42"/>
    <w:rsid w:val="FBBE49CF"/>
    <w:rsid w:val="FBBE89C0"/>
    <w:rsid w:val="FBBF2B49"/>
    <w:rsid w:val="FBBF6001"/>
    <w:rsid w:val="FBBF67B1"/>
    <w:rsid w:val="FBC7A0E6"/>
    <w:rsid w:val="FBD93BA4"/>
    <w:rsid w:val="FBDE40A4"/>
    <w:rsid w:val="FBE50046"/>
    <w:rsid w:val="FBEDB042"/>
    <w:rsid w:val="FBEFC4AB"/>
    <w:rsid w:val="FBEFCAC2"/>
    <w:rsid w:val="FBFB566E"/>
    <w:rsid w:val="FBFEF082"/>
    <w:rsid w:val="FBFF3132"/>
    <w:rsid w:val="FBFF36CC"/>
    <w:rsid w:val="FBFF3D56"/>
    <w:rsid w:val="FBFFAF3F"/>
    <w:rsid w:val="FC6CB8B1"/>
    <w:rsid w:val="FC7F6C82"/>
    <w:rsid w:val="FC7FE36F"/>
    <w:rsid w:val="FCEFC71B"/>
    <w:rsid w:val="FCF20A63"/>
    <w:rsid w:val="FCFDF49B"/>
    <w:rsid w:val="FCFF373D"/>
    <w:rsid w:val="FCFF92AA"/>
    <w:rsid w:val="FCFFB95A"/>
    <w:rsid w:val="FD2D5CAB"/>
    <w:rsid w:val="FD35CF60"/>
    <w:rsid w:val="FD3F80D6"/>
    <w:rsid w:val="FD492D56"/>
    <w:rsid w:val="FD777D32"/>
    <w:rsid w:val="FD8023B9"/>
    <w:rsid w:val="FD96F440"/>
    <w:rsid w:val="FD97851A"/>
    <w:rsid w:val="FD9DF9A2"/>
    <w:rsid w:val="FDB1B38C"/>
    <w:rsid w:val="FDB7EED8"/>
    <w:rsid w:val="FDBB0092"/>
    <w:rsid w:val="FDBD1030"/>
    <w:rsid w:val="FDBF237C"/>
    <w:rsid w:val="FDBFEBC8"/>
    <w:rsid w:val="FDC60780"/>
    <w:rsid w:val="FDCBBEB5"/>
    <w:rsid w:val="FDD51439"/>
    <w:rsid w:val="FDDFD9B7"/>
    <w:rsid w:val="FDEAA00C"/>
    <w:rsid w:val="FDEF1EB8"/>
    <w:rsid w:val="FDEF5FE4"/>
    <w:rsid w:val="FDF63DB6"/>
    <w:rsid w:val="FDF735EB"/>
    <w:rsid w:val="FDF7E25B"/>
    <w:rsid w:val="FDF7E6B3"/>
    <w:rsid w:val="FDFBA30D"/>
    <w:rsid w:val="FDFBF095"/>
    <w:rsid w:val="FDFD78F4"/>
    <w:rsid w:val="FDFE11EF"/>
    <w:rsid w:val="FDFEF952"/>
    <w:rsid w:val="FDFFC169"/>
    <w:rsid w:val="FDFFDF34"/>
    <w:rsid w:val="FE2BC155"/>
    <w:rsid w:val="FE3E9D0D"/>
    <w:rsid w:val="FE5EC538"/>
    <w:rsid w:val="FE5FED57"/>
    <w:rsid w:val="FE779F1B"/>
    <w:rsid w:val="FE7E281A"/>
    <w:rsid w:val="FE7E95EF"/>
    <w:rsid w:val="FE7F9262"/>
    <w:rsid w:val="FE957B35"/>
    <w:rsid w:val="FE9B7FB2"/>
    <w:rsid w:val="FE9D16D8"/>
    <w:rsid w:val="FEADF278"/>
    <w:rsid w:val="FECDE4FE"/>
    <w:rsid w:val="FED3DD18"/>
    <w:rsid w:val="FEDD10B3"/>
    <w:rsid w:val="FEDD8080"/>
    <w:rsid w:val="FEDFF4C5"/>
    <w:rsid w:val="FEE5D00B"/>
    <w:rsid w:val="FEF6D705"/>
    <w:rsid w:val="FEF9F0B0"/>
    <w:rsid w:val="FEFBA5FE"/>
    <w:rsid w:val="FEFDE8E2"/>
    <w:rsid w:val="FEFE1315"/>
    <w:rsid w:val="FEFE6A7C"/>
    <w:rsid w:val="FEFEDA1A"/>
    <w:rsid w:val="FEFF168A"/>
    <w:rsid w:val="FEFF3252"/>
    <w:rsid w:val="FF0F451A"/>
    <w:rsid w:val="FF168934"/>
    <w:rsid w:val="FF1B567C"/>
    <w:rsid w:val="FF2F9D11"/>
    <w:rsid w:val="FF3354E6"/>
    <w:rsid w:val="FF3F2DF2"/>
    <w:rsid w:val="FF4F5C7C"/>
    <w:rsid w:val="FF5F83B4"/>
    <w:rsid w:val="FF65BDE4"/>
    <w:rsid w:val="FF65C488"/>
    <w:rsid w:val="FF67097F"/>
    <w:rsid w:val="FF676846"/>
    <w:rsid w:val="FF69ED43"/>
    <w:rsid w:val="FF6B6CA9"/>
    <w:rsid w:val="FF6DC65C"/>
    <w:rsid w:val="FF772757"/>
    <w:rsid w:val="FF774957"/>
    <w:rsid w:val="FF7751A6"/>
    <w:rsid w:val="FF7910A9"/>
    <w:rsid w:val="FF7B03CE"/>
    <w:rsid w:val="FF7B77CC"/>
    <w:rsid w:val="FF7B9567"/>
    <w:rsid w:val="FF7BF33B"/>
    <w:rsid w:val="FF7C9C78"/>
    <w:rsid w:val="FF7D1818"/>
    <w:rsid w:val="FF7DEBD1"/>
    <w:rsid w:val="FF7E5AB4"/>
    <w:rsid w:val="FF7F1885"/>
    <w:rsid w:val="FF7F42F7"/>
    <w:rsid w:val="FF7F78C6"/>
    <w:rsid w:val="FF7F8CFB"/>
    <w:rsid w:val="FF7FBB1A"/>
    <w:rsid w:val="FF7FBCB0"/>
    <w:rsid w:val="FF8F037F"/>
    <w:rsid w:val="FF978726"/>
    <w:rsid w:val="FF9A9D71"/>
    <w:rsid w:val="FF9B7603"/>
    <w:rsid w:val="FF9BBA7E"/>
    <w:rsid w:val="FF9D09F9"/>
    <w:rsid w:val="FF9D2512"/>
    <w:rsid w:val="FFA2EEA5"/>
    <w:rsid w:val="FFA3A34C"/>
    <w:rsid w:val="FFAB4807"/>
    <w:rsid w:val="FFAD419E"/>
    <w:rsid w:val="FFB4D060"/>
    <w:rsid w:val="FFB973D2"/>
    <w:rsid w:val="FFBA8DB5"/>
    <w:rsid w:val="FFBCDBB2"/>
    <w:rsid w:val="FFCBDAF4"/>
    <w:rsid w:val="FFCED67A"/>
    <w:rsid w:val="FFCF23BA"/>
    <w:rsid w:val="FFCF5F15"/>
    <w:rsid w:val="FFD1FDA6"/>
    <w:rsid w:val="FFD35CA7"/>
    <w:rsid w:val="FFD76D18"/>
    <w:rsid w:val="FFDA6CA4"/>
    <w:rsid w:val="FFDA8652"/>
    <w:rsid w:val="FFDB49D5"/>
    <w:rsid w:val="FFDB9B8D"/>
    <w:rsid w:val="FFDD6DFF"/>
    <w:rsid w:val="FFDE376C"/>
    <w:rsid w:val="FFDF1F7F"/>
    <w:rsid w:val="FFDF2090"/>
    <w:rsid w:val="FFDF26C3"/>
    <w:rsid w:val="FFDF4A54"/>
    <w:rsid w:val="FFDF6A12"/>
    <w:rsid w:val="FFDFDA60"/>
    <w:rsid w:val="FFDFF5A8"/>
    <w:rsid w:val="FFE11902"/>
    <w:rsid w:val="FFE6BDAA"/>
    <w:rsid w:val="FFE77553"/>
    <w:rsid w:val="FFE78BB7"/>
    <w:rsid w:val="FFE79201"/>
    <w:rsid w:val="FFEB17E1"/>
    <w:rsid w:val="FFECE5C4"/>
    <w:rsid w:val="FFED9675"/>
    <w:rsid w:val="FFEF49B3"/>
    <w:rsid w:val="FFEFB9ED"/>
    <w:rsid w:val="FFF37B21"/>
    <w:rsid w:val="FFF5EC0A"/>
    <w:rsid w:val="FFF61620"/>
    <w:rsid w:val="FFF6D7DC"/>
    <w:rsid w:val="FFF777B3"/>
    <w:rsid w:val="FFF79626"/>
    <w:rsid w:val="FFF79ABB"/>
    <w:rsid w:val="FFF79FC7"/>
    <w:rsid w:val="FFF7EBB5"/>
    <w:rsid w:val="FFF914EC"/>
    <w:rsid w:val="FFF927AB"/>
    <w:rsid w:val="FFFAF5BA"/>
    <w:rsid w:val="FFFB3F21"/>
    <w:rsid w:val="FFFB5B2F"/>
    <w:rsid w:val="FFFBACC8"/>
    <w:rsid w:val="FFFD7B38"/>
    <w:rsid w:val="FFFDA983"/>
    <w:rsid w:val="FFFE1A80"/>
    <w:rsid w:val="FFFE9DDA"/>
    <w:rsid w:val="FFFEAFC1"/>
    <w:rsid w:val="FFFED33A"/>
    <w:rsid w:val="FFFF105D"/>
    <w:rsid w:val="FFFF4D09"/>
    <w:rsid w:val="FFFF620F"/>
    <w:rsid w:val="FFFF6C38"/>
    <w:rsid w:val="FFFF7520"/>
    <w:rsid w:val="FFFF9D9C"/>
    <w:rsid w:val="FFFFA40F"/>
    <w:rsid w:val="FFFFA779"/>
    <w:rsid w:val="FFFFC1D5"/>
    <w:rsid w:val="FFFFD370"/>
    <w:rsid w:val="FFFFDDCD"/>
    <w:rsid w:val="FFFFFBA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iPriority="99"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7">
    <w:name w:val="heading 1"/>
    <w:basedOn w:val="1"/>
    <w:next w:val="1"/>
    <w:link w:val="49"/>
    <w:qFormat/>
    <w:uiPriority w:val="99"/>
    <w:pPr>
      <w:keepNext/>
      <w:keepLines/>
      <w:spacing w:before="340" w:after="330" w:line="578" w:lineRule="auto"/>
      <w:outlineLvl w:val="0"/>
    </w:pPr>
    <w:rPr>
      <w:b/>
      <w:bCs/>
      <w:kern w:val="44"/>
      <w:sz w:val="44"/>
      <w:szCs w:val="44"/>
    </w:rPr>
  </w:style>
  <w:style w:type="paragraph" w:styleId="8">
    <w:name w:val="heading 2"/>
    <w:basedOn w:val="1"/>
    <w:next w:val="1"/>
    <w:link w:val="5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9">
    <w:name w:val="heading 3"/>
    <w:basedOn w:val="1"/>
    <w:next w:val="1"/>
    <w:link w:val="51"/>
    <w:qFormat/>
    <w:uiPriority w:val="9"/>
    <w:pPr>
      <w:keepNext/>
      <w:keepLines/>
      <w:spacing w:before="260" w:after="260" w:line="416" w:lineRule="auto"/>
      <w:outlineLvl w:val="2"/>
    </w:pPr>
    <w:rPr>
      <w:b/>
      <w:bCs/>
      <w:sz w:val="32"/>
      <w:szCs w:val="32"/>
    </w:rPr>
  </w:style>
  <w:style w:type="paragraph" w:styleId="10">
    <w:name w:val="heading 4"/>
    <w:basedOn w:val="1"/>
    <w:next w:val="1"/>
    <w:link w:val="52"/>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11">
    <w:name w:val="heading 5"/>
    <w:basedOn w:val="1"/>
    <w:next w:val="1"/>
    <w:link w:val="53"/>
    <w:qFormat/>
    <w:uiPriority w:val="0"/>
    <w:pPr>
      <w:keepNext/>
      <w:keepLines/>
      <w:spacing w:before="280" w:after="290" w:line="372" w:lineRule="auto"/>
      <w:outlineLvl w:val="4"/>
    </w:pPr>
    <w:rPr>
      <w:rFonts w:ascii="Times New Roman" w:hAnsi="Times New Roman" w:eastAsia="宋体" w:cs="Times New Roman"/>
      <w:b/>
      <w:sz w:val="28"/>
      <w:szCs w:val="24"/>
    </w:rPr>
  </w:style>
  <w:style w:type="character" w:default="1" w:styleId="39">
    <w:name w:val="Default Paragraph Font"/>
    <w:unhideWhenUsed/>
    <w:qFormat/>
    <w:uiPriority w:val="1"/>
  </w:style>
  <w:style w:type="table" w:default="1" w:styleId="37">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link w:val="46"/>
    <w:qFormat/>
    <w:uiPriority w:val="99"/>
    <w:pPr>
      <w:spacing w:after="120"/>
    </w:pPr>
    <w:rPr>
      <w:rFonts w:ascii="Times New Roman" w:hAnsi="Times New Roman" w:eastAsia="宋体" w:cs="Times New Roman"/>
      <w:szCs w:val="24"/>
    </w:rPr>
  </w:style>
  <w:style w:type="paragraph" w:styleId="4">
    <w:name w:val="Body Text First Indent 2"/>
    <w:basedOn w:val="5"/>
    <w:next w:val="3"/>
    <w:link w:val="48"/>
    <w:unhideWhenUsed/>
    <w:qFormat/>
    <w:uiPriority w:val="0"/>
    <w:pPr>
      <w:spacing w:after="0"/>
      <w:ind w:left="0" w:leftChars="0" w:firstLine="420" w:firstLineChars="200"/>
    </w:pPr>
    <w:rPr>
      <w:rFonts w:ascii="Times New Roman" w:hAnsi="Times New Roman" w:eastAsia="仿宋体" w:cs="Times New Roman"/>
      <w:kern w:val="0"/>
      <w:sz w:val="32"/>
      <w:szCs w:val="32"/>
    </w:rPr>
  </w:style>
  <w:style w:type="paragraph" w:styleId="5">
    <w:name w:val="Body Text Indent"/>
    <w:basedOn w:val="1"/>
    <w:next w:val="6"/>
    <w:link w:val="47"/>
    <w:unhideWhenUsed/>
    <w:qFormat/>
    <w:uiPriority w:val="99"/>
    <w:pPr>
      <w:spacing w:after="120"/>
      <w:ind w:left="420" w:leftChars="200"/>
    </w:pPr>
  </w:style>
  <w:style w:type="paragraph" w:styleId="6">
    <w:name w:val="toc 4"/>
    <w:basedOn w:val="1"/>
    <w:next w:val="1"/>
    <w:unhideWhenUsed/>
    <w:qFormat/>
    <w:uiPriority w:val="39"/>
    <w:pPr>
      <w:ind w:left="1260" w:leftChars="600"/>
    </w:pPr>
  </w:style>
  <w:style w:type="paragraph" w:styleId="12">
    <w:name w:val="toc 7"/>
    <w:basedOn w:val="1"/>
    <w:next w:val="1"/>
    <w:unhideWhenUsed/>
    <w:qFormat/>
    <w:uiPriority w:val="39"/>
    <w:pPr>
      <w:ind w:left="2520" w:leftChars="1200"/>
    </w:pPr>
  </w:style>
  <w:style w:type="paragraph" w:styleId="13">
    <w:name w:val="Normal Indent"/>
    <w:basedOn w:val="1"/>
    <w:qFormat/>
    <w:uiPriority w:val="0"/>
    <w:pPr>
      <w:ind w:firstLine="420"/>
    </w:pPr>
    <w:rPr>
      <w:rFonts w:ascii="Times New Roman" w:hAnsi="Times New Roman" w:eastAsia="宋体" w:cs="Times New Roman"/>
      <w:kern w:val="0"/>
      <w:sz w:val="20"/>
      <w:szCs w:val="20"/>
    </w:rPr>
  </w:style>
  <w:style w:type="paragraph" w:styleId="14">
    <w:name w:val="caption"/>
    <w:basedOn w:val="1"/>
    <w:next w:val="1"/>
    <w:qFormat/>
    <w:uiPriority w:val="99"/>
    <w:rPr>
      <w:rFonts w:ascii="Arial" w:hAnsi="Arial" w:eastAsia="黑体" w:cs="Arial"/>
      <w:sz w:val="20"/>
      <w:szCs w:val="20"/>
    </w:rPr>
  </w:style>
  <w:style w:type="paragraph" w:styleId="15">
    <w:name w:val="Document Map"/>
    <w:basedOn w:val="1"/>
    <w:link w:val="54"/>
    <w:unhideWhenUsed/>
    <w:qFormat/>
    <w:uiPriority w:val="99"/>
    <w:rPr>
      <w:rFonts w:ascii="宋体" w:eastAsia="宋体"/>
      <w:sz w:val="18"/>
      <w:szCs w:val="18"/>
    </w:rPr>
  </w:style>
  <w:style w:type="paragraph" w:styleId="16">
    <w:name w:val="annotation text"/>
    <w:basedOn w:val="1"/>
    <w:link w:val="55"/>
    <w:unhideWhenUsed/>
    <w:qFormat/>
    <w:uiPriority w:val="99"/>
    <w:pPr>
      <w:jc w:val="left"/>
    </w:pPr>
  </w:style>
  <w:style w:type="paragraph" w:styleId="17">
    <w:name w:val="Body Text 3"/>
    <w:basedOn w:val="1"/>
    <w:link w:val="56"/>
    <w:qFormat/>
    <w:uiPriority w:val="0"/>
    <w:pPr>
      <w:spacing w:after="120"/>
    </w:pPr>
    <w:rPr>
      <w:rFonts w:ascii="Times New Roman" w:hAnsi="Times New Roman" w:eastAsia="宋体" w:cs="Times New Roman"/>
      <w:kern w:val="0"/>
      <w:sz w:val="16"/>
      <w:szCs w:val="16"/>
    </w:rPr>
  </w:style>
  <w:style w:type="paragraph" w:styleId="18">
    <w:name w:val="Block Text"/>
    <w:basedOn w:val="1"/>
    <w:unhideWhenUsed/>
    <w:qFormat/>
    <w:uiPriority w:val="0"/>
    <w:pPr>
      <w:adjustRightInd w:val="0"/>
      <w:snapToGrid w:val="0"/>
      <w:spacing w:line="352" w:lineRule="auto"/>
      <w:ind w:left="718" w:leftChars="342" w:right="-82" w:rightChars="-39" w:firstLine="480" w:firstLineChars="200"/>
    </w:pPr>
    <w:rPr>
      <w:rFonts w:ascii="宋体" w:hAnsi="宋体" w:eastAsia="宋体" w:cs="Times New Roman"/>
      <w:sz w:val="24"/>
      <w:szCs w:val="24"/>
    </w:rPr>
  </w:style>
  <w:style w:type="paragraph" w:styleId="19">
    <w:name w:val="toc 5"/>
    <w:basedOn w:val="1"/>
    <w:next w:val="1"/>
    <w:unhideWhenUsed/>
    <w:qFormat/>
    <w:uiPriority w:val="39"/>
    <w:pPr>
      <w:ind w:left="1680" w:leftChars="800"/>
    </w:pPr>
  </w:style>
  <w:style w:type="paragraph" w:styleId="20">
    <w:name w:val="toc 3"/>
    <w:basedOn w:val="1"/>
    <w:next w:val="1"/>
    <w:unhideWhenUsed/>
    <w:qFormat/>
    <w:uiPriority w:val="39"/>
    <w:pPr>
      <w:widowControl/>
      <w:spacing w:after="100" w:line="276" w:lineRule="auto"/>
      <w:ind w:left="440"/>
      <w:jc w:val="left"/>
    </w:pPr>
    <w:rPr>
      <w:kern w:val="0"/>
      <w:sz w:val="22"/>
    </w:rPr>
  </w:style>
  <w:style w:type="paragraph" w:styleId="21">
    <w:name w:val="Plain Text"/>
    <w:basedOn w:val="1"/>
    <w:link w:val="57"/>
    <w:qFormat/>
    <w:uiPriority w:val="99"/>
    <w:rPr>
      <w:rFonts w:ascii="宋体" w:hAnsi="Courier New" w:eastAsia="宋体"/>
      <w:szCs w:val="24"/>
    </w:rPr>
  </w:style>
  <w:style w:type="paragraph" w:styleId="22">
    <w:name w:val="toc 8"/>
    <w:basedOn w:val="1"/>
    <w:next w:val="1"/>
    <w:unhideWhenUsed/>
    <w:qFormat/>
    <w:uiPriority w:val="39"/>
    <w:pPr>
      <w:ind w:left="2940" w:leftChars="1400"/>
    </w:pPr>
  </w:style>
  <w:style w:type="paragraph" w:styleId="23">
    <w:name w:val="Date"/>
    <w:basedOn w:val="1"/>
    <w:next w:val="1"/>
    <w:link w:val="58"/>
    <w:unhideWhenUsed/>
    <w:qFormat/>
    <w:uiPriority w:val="0"/>
    <w:pPr>
      <w:ind w:left="100" w:leftChars="2500"/>
    </w:pPr>
  </w:style>
  <w:style w:type="paragraph" w:styleId="24">
    <w:name w:val="Balloon Text"/>
    <w:basedOn w:val="1"/>
    <w:link w:val="59"/>
    <w:unhideWhenUsed/>
    <w:qFormat/>
    <w:uiPriority w:val="0"/>
    <w:rPr>
      <w:sz w:val="18"/>
      <w:szCs w:val="18"/>
    </w:rPr>
  </w:style>
  <w:style w:type="paragraph" w:styleId="25">
    <w:name w:val="footer"/>
    <w:basedOn w:val="1"/>
    <w:link w:val="60"/>
    <w:unhideWhenUsed/>
    <w:qFormat/>
    <w:uiPriority w:val="99"/>
    <w:pPr>
      <w:tabs>
        <w:tab w:val="center" w:pos="4153"/>
        <w:tab w:val="right" w:pos="8306"/>
      </w:tabs>
      <w:snapToGrid w:val="0"/>
      <w:jc w:val="left"/>
    </w:pPr>
    <w:rPr>
      <w:sz w:val="18"/>
      <w:szCs w:val="18"/>
    </w:rPr>
  </w:style>
  <w:style w:type="paragraph" w:styleId="26">
    <w:name w:val="header"/>
    <w:basedOn w:val="1"/>
    <w:link w:val="61"/>
    <w:unhideWhenUsed/>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unhideWhenUsed/>
    <w:qFormat/>
    <w:uiPriority w:val="39"/>
    <w:pPr>
      <w:widowControl/>
      <w:tabs>
        <w:tab w:val="right" w:leader="dot" w:pos="8273"/>
      </w:tabs>
      <w:spacing w:line="360" w:lineRule="auto"/>
      <w:jc w:val="left"/>
    </w:pPr>
    <w:rPr>
      <w:rFonts w:eastAsia="黑体"/>
      <w:kern w:val="0"/>
      <w:sz w:val="22"/>
    </w:rPr>
  </w:style>
  <w:style w:type="paragraph" w:styleId="28">
    <w:name w:val="index heading"/>
    <w:basedOn w:val="1"/>
    <w:next w:val="29"/>
    <w:qFormat/>
    <w:uiPriority w:val="99"/>
    <w:rPr>
      <w:rFonts w:ascii="Times New Roman" w:hAnsi="Times New Roman" w:eastAsia="宋体" w:cs="Times New Roman"/>
      <w:szCs w:val="20"/>
    </w:rPr>
  </w:style>
  <w:style w:type="paragraph" w:styleId="29">
    <w:name w:val="index 1"/>
    <w:basedOn w:val="1"/>
    <w:next w:val="1"/>
    <w:unhideWhenUsed/>
    <w:qFormat/>
    <w:uiPriority w:val="99"/>
  </w:style>
  <w:style w:type="paragraph" w:styleId="30">
    <w:name w:val="Subtitle"/>
    <w:basedOn w:val="1"/>
    <w:next w:val="1"/>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style>
  <w:style w:type="paragraph" w:styleId="32">
    <w:name w:val="Body Text Indent 3"/>
    <w:basedOn w:val="1"/>
    <w:link w:val="62"/>
    <w:unhideWhenUsed/>
    <w:qFormat/>
    <w:uiPriority w:val="99"/>
    <w:pPr>
      <w:spacing w:after="120"/>
      <w:ind w:left="420" w:leftChars="200"/>
    </w:pPr>
    <w:rPr>
      <w:sz w:val="16"/>
      <w:szCs w:val="16"/>
    </w:rPr>
  </w:style>
  <w:style w:type="paragraph" w:styleId="33">
    <w:name w:val="toc 2"/>
    <w:basedOn w:val="1"/>
    <w:next w:val="1"/>
    <w:unhideWhenUsed/>
    <w:qFormat/>
    <w:uiPriority w:val="39"/>
    <w:pPr>
      <w:widowControl/>
      <w:tabs>
        <w:tab w:val="left" w:pos="709"/>
        <w:tab w:val="right" w:leader="dot" w:pos="8302"/>
      </w:tabs>
      <w:spacing w:after="100" w:line="276" w:lineRule="auto"/>
      <w:ind w:left="220"/>
      <w:jc w:val="left"/>
    </w:pPr>
    <w:rPr>
      <w:kern w:val="0"/>
      <w:sz w:val="22"/>
    </w:rPr>
  </w:style>
  <w:style w:type="paragraph" w:styleId="34">
    <w:name w:val="toc 9"/>
    <w:basedOn w:val="1"/>
    <w:next w:val="1"/>
    <w:unhideWhenUsed/>
    <w:qFormat/>
    <w:uiPriority w:val="39"/>
    <w:pPr>
      <w:ind w:left="3360" w:leftChars="1600"/>
    </w:pPr>
  </w:style>
  <w:style w:type="paragraph" w:styleId="35">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6">
    <w:name w:val="annotation subject"/>
    <w:basedOn w:val="16"/>
    <w:next w:val="16"/>
    <w:link w:val="63"/>
    <w:unhideWhenUsed/>
    <w:qFormat/>
    <w:uiPriority w:val="0"/>
    <w:rPr>
      <w:b/>
      <w:bCs/>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0"/>
    <w:rPr>
      <w:b/>
      <w:bCs/>
    </w:rPr>
  </w:style>
  <w:style w:type="character" w:styleId="41">
    <w:name w:val="page number"/>
    <w:qFormat/>
    <w:uiPriority w:val="0"/>
  </w:style>
  <w:style w:type="character" w:styleId="42">
    <w:name w:val="FollowedHyperlink"/>
    <w:unhideWhenUsed/>
    <w:qFormat/>
    <w:uiPriority w:val="99"/>
    <w:rPr>
      <w:color w:val="800080"/>
      <w:u w:val="single"/>
    </w:rPr>
  </w:style>
  <w:style w:type="character" w:styleId="43">
    <w:name w:val="Emphasis"/>
    <w:qFormat/>
    <w:uiPriority w:val="20"/>
    <w:rPr>
      <w:i/>
      <w:iCs/>
    </w:rPr>
  </w:style>
  <w:style w:type="character" w:styleId="44">
    <w:name w:val="Hyperlink"/>
    <w:qFormat/>
    <w:uiPriority w:val="99"/>
    <w:rPr>
      <w:color w:val="0000FF"/>
      <w:u w:val="single"/>
    </w:rPr>
  </w:style>
  <w:style w:type="character" w:styleId="45">
    <w:name w:val="annotation reference"/>
    <w:unhideWhenUsed/>
    <w:qFormat/>
    <w:uiPriority w:val="0"/>
    <w:rPr>
      <w:sz w:val="21"/>
      <w:szCs w:val="21"/>
    </w:rPr>
  </w:style>
  <w:style w:type="character" w:customStyle="1" w:styleId="46">
    <w:name w:val="正文文本 字符"/>
    <w:link w:val="3"/>
    <w:qFormat/>
    <w:uiPriority w:val="99"/>
    <w:rPr>
      <w:rFonts w:ascii="Times New Roman" w:hAnsi="Times New Roman" w:eastAsia="宋体" w:cs="Times New Roman"/>
      <w:szCs w:val="24"/>
    </w:rPr>
  </w:style>
  <w:style w:type="character" w:customStyle="1" w:styleId="47">
    <w:name w:val="正文文本缩进 字符"/>
    <w:link w:val="5"/>
    <w:semiHidden/>
    <w:qFormat/>
    <w:uiPriority w:val="99"/>
  </w:style>
  <w:style w:type="character" w:customStyle="1" w:styleId="48">
    <w:name w:val="正文文本首行缩进 2 字符"/>
    <w:link w:val="4"/>
    <w:qFormat/>
    <w:uiPriority w:val="0"/>
    <w:rPr>
      <w:rFonts w:ascii="Times New Roman" w:hAnsi="Times New Roman" w:eastAsia="仿宋体" w:cs="Times New Roman"/>
      <w:kern w:val="0"/>
      <w:sz w:val="32"/>
      <w:szCs w:val="32"/>
    </w:rPr>
  </w:style>
  <w:style w:type="character" w:customStyle="1" w:styleId="49">
    <w:name w:val="标题 1 字符"/>
    <w:link w:val="7"/>
    <w:qFormat/>
    <w:uiPriority w:val="99"/>
    <w:rPr>
      <w:b/>
      <w:bCs/>
      <w:kern w:val="44"/>
      <w:sz w:val="44"/>
      <w:szCs w:val="44"/>
    </w:rPr>
  </w:style>
  <w:style w:type="character" w:customStyle="1" w:styleId="50">
    <w:name w:val="标题 2 字符1"/>
    <w:link w:val="8"/>
    <w:qFormat/>
    <w:uiPriority w:val="9"/>
    <w:rPr>
      <w:rFonts w:ascii="Arial" w:hAnsi="Arial"/>
      <w:b/>
      <w:sz w:val="36"/>
    </w:rPr>
  </w:style>
  <w:style w:type="character" w:customStyle="1" w:styleId="51">
    <w:name w:val="标题 3 字符"/>
    <w:link w:val="9"/>
    <w:qFormat/>
    <w:uiPriority w:val="9"/>
    <w:rPr>
      <w:b/>
      <w:bCs/>
      <w:sz w:val="32"/>
      <w:szCs w:val="32"/>
    </w:rPr>
  </w:style>
  <w:style w:type="character" w:customStyle="1" w:styleId="52">
    <w:name w:val="标题 4 字符"/>
    <w:link w:val="10"/>
    <w:semiHidden/>
    <w:qFormat/>
    <w:uiPriority w:val="9"/>
    <w:rPr>
      <w:rFonts w:ascii="Cambria" w:hAnsi="Cambria" w:eastAsia="宋体" w:cs="Times New Roman"/>
      <w:b/>
      <w:bCs/>
      <w:sz w:val="28"/>
      <w:szCs w:val="28"/>
    </w:rPr>
  </w:style>
  <w:style w:type="character" w:customStyle="1" w:styleId="53">
    <w:name w:val="标题 5 字符"/>
    <w:link w:val="11"/>
    <w:qFormat/>
    <w:uiPriority w:val="0"/>
    <w:rPr>
      <w:rFonts w:ascii="Times New Roman" w:hAnsi="Times New Roman" w:eastAsia="宋体" w:cs="Times New Roman"/>
      <w:b/>
      <w:sz w:val="28"/>
      <w:szCs w:val="24"/>
    </w:rPr>
  </w:style>
  <w:style w:type="character" w:customStyle="1" w:styleId="54">
    <w:name w:val="文档结构图 字符"/>
    <w:link w:val="15"/>
    <w:semiHidden/>
    <w:qFormat/>
    <w:uiPriority w:val="99"/>
    <w:rPr>
      <w:rFonts w:ascii="宋体" w:eastAsia="宋体"/>
      <w:sz w:val="18"/>
      <w:szCs w:val="18"/>
    </w:rPr>
  </w:style>
  <w:style w:type="character" w:customStyle="1" w:styleId="55">
    <w:name w:val="批注文字 字符"/>
    <w:link w:val="16"/>
    <w:qFormat/>
    <w:uiPriority w:val="99"/>
  </w:style>
  <w:style w:type="character" w:customStyle="1" w:styleId="56">
    <w:name w:val="正文文本 3 字符"/>
    <w:link w:val="17"/>
    <w:qFormat/>
    <w:uiPriority w:val="0"/>
    <w:rPr>
      <w:rFonts w:ascii="Times New Roman" w:hAnsi="Times New Roman" w:eastAsia="宋体" w:cs="Times New Roman"/>
      <w:kern w:val="0"/>
      <w:sz w:val="16"/>
      <w:szCs w:val="16"/>
    </w:rPr>
  </w:style>
  <w:style w:type="character" w:customStyle="1" w:styleId="57">
    <w:name w:val="纯文本 字符"/>
    <w:link w:val="21"/>
    <w:qFormat/>
    <w:uiPriority w:val="99"/>
    <w:rPr>
      <w:rFonts w:ascii="宋体" w:hAnsi="Courier New" w:eastAsia="宋体"/>
      <w:szCs w:val="24"/>
    </w:rPr>
  </w:style>
  <w:style w:type="character" w:customStyle="1" w:styleId="58">
    <w:name w:val="日期 字符"/>
    <w:link w:val="23"/>
    <w:semiHidden/>
    <w:qFormat/>
    <w:uiPriority w:val="99"/>
  </w:style>
  <w:style w:type="character" w:customStyle="1" w:styleId="59">
    <w:name w:val="批注框文本 字符"/>
    <w:link w:val="24"/>
    <w:qFormat/>
    <w:uiPriority w:val="0"/>
    <w:rPr>
      <w:sz w:val="18"/>
      <w:szCs w:val="18"/>
    </w:rPr>
  </w:style>
  <w:style w:type="character" w:customStyle="1" w:styleId="60">
    <w:name w:val="页脚 字符"/>
    <w:link w:val="25"/>
    <w:qFormat/>
    <w:uiPriority w:val="99"/>
    <w:rPr>
      <w:sz w:val="18"/>
      <w:szCs w:val="18"/>
    </w:rPr>
  </w:style>
  <w:style w:type="character" w:customStyle="1" w:styleId="61">
    <w:name w:val="页眉 字符"/>
    <w:link w:val="26"/>
    <w:qFormat/>
    <w:uiPriority w:val="99"/>
    <w:rPr>
      <w:sz w:val="18"/>
      <w:szCs w:val="18"/>
    </w:rPr>
  </w:style>
  <w:style w:type="character" w:customStyle="1" w:styleId="62">
    <w:name w:val="正文文本缩进 3 字符"/>
    <w:link w:val="32"/>
    <w:qFormat/>
    <w:uiPriority w:val="99"/>
    <w:rPr>
      <w:sz w:val="16"/>
      <w:szCs w:val="16"/>
    </w:rPr>
  </w:style>
  <w:style w:type="character" w:customStyle="1" w:styleId="63">
    <w:name w:val="批注主题 字符"/>
    <w:link w:val="36"/>
    <w:qFormat/>
    <w:uiPriority w:val="0"/>
    <w:rPr>
      <w:b/>
      <w:bCs/>
    </w:rPr>
  </w:style>
  <w:style w:type="paragraph" w:styleId="64">
    <w:name w:val="List Paragraph"/>
    <w:basedOn w:val="1"/>
    <w:link w:val="65"/>
    <w:qFormat/>
    <w:uiPriority w:val="34"/>
    <w:pPr>
      <w:ind w:firstLine="420" w:firstLineChars="200"/>
    </w:pPr>
  </w:style>
  <w:style w:type="character" w:customStyle="1" w:styleId="65">
    <w:name w:val="列表段落 字符"/>
    <w:link w:val="64"/>
    <w:qFormat/>
    <w:uiPriority w:val="34"/>
  </w:style>
  <w:style w:type="character" w:customStyle="1" w:styleId="66">
    <w:name w:val="p141"/>
    <w:qFormat/>
    <w:uiPriority w:val="0"/>
    <w:rPr>
      <w:sz w:val="21"/>
      <w:szCs w:val="21"/>
    </w:rPr>
  </w:style>
  <w:style w:type="paragraph" w:customStyle="1" w:styleId="67">
    <w:name w:val="TOC 标题1"/>
    <w:basedOn w:val="7"/>
    <w:next w:val="1"/>
    <w:unhideWhenUsed/>
    <w:qFormat/>
    <w:uiPriority w:val="39"/>
    <w:pPr>
      <w:widowControl/>
      <w:spacing w:before="480" w:after="0" w:line="276" w:lineRule="auto"/>
      <w:jc w:val="left"/>
      <w:outlineLvl w:val="9"/>
    </w:pPr>
    <w:rPr>
      <w:rFonts w:ascii="Cambria" w:hAnsi="Cambria" w:eastAsia="宋体" w:cs="Times New Roman"/>
      <w:color w:val="366091"/>
      <w:kern w:val="0"/>
      <w:sz w:val="28"/>
      <w:szCs w:val="28"/>
    </w:rPr>
  </w:style>
  <w:style w:type="paragraph" w:customStyle="1" w:styleId="68">
    <w:name w:val="正文缩进2格"/>
    <w:basedOn w:val="1"/>
    <w:link w:val="69"/>
    <w:qFormat/>
    <w:uiPriority w:val="0"/>
    <w:pPr>
      <w:spacing w:line="600" w:lineRule="exact"/>
      <w:ind w:firstLine="639" w:firstLineChars="206"/>
    </w:pPr>
    <w:rPr>
      <w:rFonts w:ascii="仿宋_GB2312" w:hAnsi="宋体" w:eastAsia="仿宋_GB2312" w:cs="Times New Roman"/>
      <w:sz w:val="31"/>
      <w:szCs w:val="28"/>
    </w:rPr>
  </w:style>
  <w:style w:type="character" w:customStyle="1" w:styleId="69">
    <w:name w:val="正文缩进2格 Char"/>
    <w:link w:val="68"/>
    <w:qFormat/>
    <w:uiPriority w:val="0"/>
    <w:rPr>
      <w:rFonts w:ascii="仿宋_GB2312" w:hAnsi="宋体" w:eastAsia="仿宋_GB2312" w:cs="Times New Roman"/>
      <w:sz w:val="31"/>
      <w:szCs w:val="28"/>
    </w:rPr>
  </w:style>
  <w:style w:type="character" w:customStyle="1" w:styleId="70">
    <w:name w:val="标题 2 字符"/>
    <w:qFormat/>
    <w:uiPriority w:val="0"/>
    <w:rPr>
      <w:rFonts w:ascii="Cambria" w:hAnsi="Cambria" w:eastAsia="宋体" w:cs="Times New Roman"/>
      <w:b/>
      <w:bCs/>
      <w:sz w:val="32"/>
      <w:szCs w:val="32"/>
    </w:rPr>
  </w:style>
  <w:style w:type="character" w:customStyle="1" w:styleId="71">
    <w:name w:val="纯文本 Char"/>
    <w:semiHidden/>
    <w:qFormat/>
    <w:uiPriority w:val="99"/>
    <w:rPr>
      <w:rFonts w:ascii="宋体" w:hAnsi="Courier New" w:eastAsia="宋体" w:cs="Courier New"/>
      <w:szCs w:val="21"/>
    </w:rPr>
  </w:style>
  <w:style w:type="character" w:customStyle="1" w:styleId="72">
    <w:name w:val="正文缩进2格 Char Char"/>
    <w:qFormat/>
    <w:uiPriority w:val="0"/>
    <w:rPr>
      <w:rFonts w:ascii="仿宋_GB2312" w:hAnsi="宋体" w:eastAsia="仿宋_GB2312"/>
      <w:kern w:val="2"/>
      <w:sz w:val="31"/>
      <w:szCs w:val="28"/>
      <w:lang w:val="en-US" w:eastAsia="zh-CN" w:bidi="ar-SA"/>
    </w:rPr>
  </w:style>
  <w:style w:type="paragraph" w:customStyle="1" w:styleId="73">
    <w:name w:val="正文缩进4格"/>
    <w:basedOn w:val="68"/>
    <w:qFormat/>
    <w:uiPriority w:val="0"/>
    <w:pPr>
      <w:spacing w:line="340" w:lineRule="exact"/>
      <w:ind w:firstLine="315" w:firstLineChars="0"/>
    </w:pPr>
    <w:rPr>
      <w:rFonts w:ascii="宋体" w:eastAsia="宋体"/>
      <w:sz w:val="24"/>
      <w:szCs w:val="24"/>
    </w:rPr>
  </w:style>
  <w:style w:type="character" w:customStyle="1" w:styleId="74">
    <w:name w:val="正文文本 Char"/>
    <w:semiHidden/>
    <w:qFormat/>
    <w:uiPriority w:val="99"/>
  </w:style>
  <w:style w:type="paragraph" w:customStyle="1" w:styleId="75">
    <w:name w:val="保留正文"/>
    <w:basedOn w:val="3"/>
    <w:qFormat/>
    <w:uiPriority w:val="0"/>
    <w:pPr>
      <w:keepNext/>
      <w:spacing w:after="160"/>
    </w:pPr>
  </w:style>
  <w:style w:type="paragraph" w:customStyle="1" w:styleId="76">
    <w:name w:val="列出段落1"/>
    <w:basedOn w:val="1"/>
    <w:qFormat/>
    <w:uiPriority w:val="0"/>
    <w:pPr>
      <w:ind w:firstLine="420" w:firstLineChars="200"/>
    </w:pPr>
    <w:rPr>
      <w:rFonts w:ascii="Calibri" w:hAnsi="Calibri" w:eastAsia="宋体" w:cs="黑体"/>
    </w:rPr>
  </w:style>
  <w:style w:type="paragraph" w:customStyle="1" w:styleId="77">
    <w:name w:val="修订1"/>
    <w:semiHidden/>
    <w:qFormat/>
    <w:uiPriority w:val="99"/>
    <w:rPr>
      <w:rFonts w:ascii="Calibri" w:hAnsi="Calibri" w:eastAsia="宋体" w:cs="Arial"/>
      <w:kern w:val="2"/>
      <w:sz w:val="21"/>
      <w:szCs w:val="22"/>
      <w:lang w:val="en-US" w:eastAsia="zh-CN" w:bidi="ar-SA"/>
    </w:rPr>
  </w:style>
  <w:style w:type="paragraph" w:customStyle="1" w:styleId="78">
    <w:name w:val="_Style 202"/>
    <w:basedOn w:val="1"/>
    <w:qFormat/>
    <w:uiPriority w:val="0"/>
    <w:pPr>
      <w:tabs>
        <w:tab w:val="left" w:pos="360"/>
      </w:tabs>
    </w:pPr>
    <w:rPr>
      <w:rFonts w:ascii="Times New Roman" w:hAnsi="Times New Roman" w:eastAsia="宋体" w:cs="Times New Roman"/>
      <w:szCs w:val="24"/>
    </w:rPr>
  </w:style>
  <w:style w:type="paragraph" w:customStyle="1" w:styleId="79">
    <w:name w:val="Char1 Char Char Char"/>
    <w:basedOn w:val="1"/>
    <w:qFormat/>
    <w:uiPriority w:val="0"/>
    <w:rPr>
      <w:rFonts w:ascii="黑体" w:hAnsi="Verdana" w:eastAsia="黑体" w:cs="Times New Roman"/>
      <w:kern w:val="0"/>
      <w:sz w:val="32"/>
      <w:szCs w:val="32"/>
      <w:lang w:eastAsia="en-US"/>
    </w:rPr>
  </w:style>
  <w:style w:type="paragraph" w:customStyle="1" w:styleId="80">
    <w:name w:val="1 Char Char Char Char"/>
    <w:basedOn w:val="1"/>
    <w:qFormat/>
    <w:uiPriority w:val="0"/>
    <w:pPr>
      <w:spacing w:after="160" w:line="240" w:lineRule="exact"/>
    </w:pPr>
    <w:rPr>
      <w:rFonts w:ascii="Times New Roman" w:hAnsi="Times New Roman" w:eastAsia="宋体" w:cs="Times New Roman"/>
      <w:szCs w:val="24"/>
    </w:rPr>
  </w:style>
  <w:style w:type="paragraph" w:customStyle="1" w:styleId="81">
    <w:name w:val="样式4"/>
    <w:basedOn w:val="1"/>
    <w:qFormat/>
    <w:uiPriority w:val="0"/>
    <w:pPr>
      <w:tabs>
        <w:tab w:val="left" w:pos="2328"/>
      </w:tabs>
      <w:ind w:left="2328" w:hanging="708"/>
    </w:pPr>
    <w:rPr>
      <w:rFonts w:ascii="Times New Roman" w:hAnsi="Times New Roman" w:eastAsia="宋体" w:cs="Times New Roman"/>
      <w:szCs w:val="24"/>
    </w:rPr>
  </w:style>
  <w:style w:type="paragraph" w:customStyle="1" w:styleId="82">
    <w:name w:val="Char Char Char Char Char Char Char Char Char Char Char Char1 Char Char Char Char"/>
    <w:basedOn w:val="1"/>
    <w:qFormat/>
    <w:uiPriority w:val="0"/>
    <w:pPr>
      <w:widowControl/>
      <w:spacing w:after="160" w:line="240" w:lineRule="exact"/>
      <w:jc w:val="center"/>
    </w:pPr>
    <w:rPr>
      <w:rFonts w:ascii="黑体" w:hAnsi="Verdana" w:eastAsia="黑体" w:cs="Times New Roman"/>
      <w:kern w:val="0"/>
      <w:sz w:val="32"/>
      <w:szCs w:val="32"/>
      <w:lang w:eastAsia="en-US"/>
    </w:rPr>
  </w:style>
  <w:style w:type="character" w:customStyle="1" w:styleId="83">
    <w:name w:val="未处理的提及1"/>
    <w:unhideWhenUsed/>
    <w:qFormat/>
    <w:uiPriority w:val="99"/>
    <w:rPr>
      <w:color w:val="605E5C"/>
      <w:shd w:val="clear" w:color="auto" w:fill="E1DFDD"/>
    </w:rPr>
  </w:style>
  <w:style w:type="character" w:customStyle="1" w:styleId="84">
    <w:name w:val="未处理的提及2"/>
    <w:unhideWhenUsed/>
    <w:qFormat/>
    <w:uiPriority w:val="99"/>
    <w:rPr>
      <w:color w:val="605E5C"/>
      <w:shd w:val="clear" w:color="auto" w:fill="E1DFDD"/>
    </w:rPr>
  </w:style>
  <w:style w:type="paragraph" w:customStyle="1" w:styleId="85">
    <w:name w:val="_Style 3"/>
    <w:next w:val="3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6">
    <w:name w:val="15"/>
    <w:qFormat/>
    <w:uiPriority w:val="0"/>
    <w:rPr>
      <w:rFonts w:hint="eastAsia" w:ascii="微软雅黑" w:hAnsi="微软雅黑" w:eastAsia="微软雅黑"/>
      <w:color w:val="000000"/>
      <w:sz w:val="20"/>
      <w:szCs w:val="20"/>
    </w:rPr>
  </w:style>
  <w:style w:type="character" w:customStyle="1" w:styleId="87">
    <w:name w:val="16"/>
    <w:qFormat/>
    <w:uiPriority w:val="0"/>
    <w:rPr>
      <w:rFonts w:hint="eastAsia" w:ascii="微软雅黑" w:hAnsi="微软雅黑" w:eastAsia="微软雅黑"/>
      <w:color w:val="000000"/>
      <w:sz w:val="20"/>
      <w:szCs w:val="20"/>
    </w:rPr>
  </w:style>
  <w:style w:type="character" w:customStyle="1" w:styleId="88">
    <w:name w:val="font21"/>
    <w:qFormat/>
    <w:uiPriority w:val="0"/>
    <w:rPr>
      <w:rFonts w:ascii="宋体" w:hAnsi="宋体" w:eastAsia="宋体" w:cs="宋体"/>
      <w:color w:val="000000"/>
      <w:sz w:val="20"/>
      <w:szCs w:val="20"/>
      <w:u w:val="none"/>
    </w:rPr>
  </w:style>
  <w:style w:type="character" w:customStyle="1" w:styleId="89">
    <w:name w:val="font31"/>
    <w:qFormat/>
    <w:uiPriority w:val="0"/>
    <w:rPr>
      <w:rFonts w:ascii="宋体" w:hAnsi="宋体" w:eastAsia="宋体" w:cs="宋体"/>
      <w:color w:val="000000"/>
      <w:sz w:val="24"/>
      <w:szCs w:val="24"/>
      <w:u w:val="none"/>
    </w:rPr>
  </w:style>
  <w:style w:type="paragraph" w:customStyle="1" w:styleId="90">
    <w:name w:val="Char"/>
    <w:basedOn w:val="1"/>
    <w:qFormat/>
    <w:uiPriority w:val="99"/>
    <w:pPr>
      <w:widowControl/>
      <w:spacing w:after="160" w:line="240" w:lineRule="exact"/>
      <w:jc w:val="left"/>
    </w:pPr>
    <w:rPr>
      <w:rFonts w:ascii="Verdana" w:hAnsi="Verdana" w:eastAsia="宋体" w:cs="Times New Roman"/>
      <w:kern w:val="0"/>
      <w:szCs w:val="20"/>
      <w:lang w:eastAsia="en-US"/>
    </w:rPr>
  </w:style>
  <w:style w:type="paragraph" w:customStyle="1" w:styleId="91">
    <w:name w:val="题注5"/>
    <w:basedOn w:val="1"/>
    <w:next w:val="14"/>
    <w:qFormat/>
    <w:uiPriority w:val="99"/>
    <w:pPr>
      <w:jc w:val="center"/>
    </w:pPr>
    <w:rPr>
      <w:rFonts w:ascii="Times New Roman" w:hAnsi="Times New Roman" w:eastAsia="宋体" w:cs="Times New Roman"/>
      <w:b/>
      <w:color w:val="000000"/>
      <w:sz w:val="24"/>
      <w:szCs w:val="21"/>
    </w:rPr>
  </w:style>
  <w:style w:type="paragraph" w:customStyle="1" w:styleId="92">
    <w:name w:val="题注4"/>
    <w:basedOn w:val="1"/>
    <w:next w:val="14"/>
    <w:qFormat/>
    <w:uiPriority w:val="99"/>
    <w:pPr>
      <w:ind w:left="-132" w:leftChars="-64" w:right="-105" w:rightChars="-50" w:hanging="2"/>
      <w:jc w:val="center"/>
    </w:pPr>
    <w:rPr>
      <w:rFonts w:ascii="Times New Roman" w:hAnsi="Times New Roman" w:eastAsia="宋体" w:cs="Times New Roman"/>
      <w:b/>
      <w:color w:val="FF0000"/>
      <w:szCs w:val="21"/>
      <w:lang w:val="en-GB"/>
    </w:rPr>
  </w:style>
  <w:style w:type="paragraph" w:customStyle="1" w:styleId="93">
    <w:name w:val="表格文字"/>
    <w:basedOn w:val="1"/>
    <w:qFormat/>
    <w:uiPriority w:val="99"/>
    <w:pPr>
      <w:spacing w:before="25" w:after="25"/>
      <w:jc w:val="left"/>
    </w:pPr>
    <w:rPr>
      <w:rFonts w:ascii="Times New Roman" w:hAnsi="Times New Roman" w:eastAsia="宋体" w:cs="Times New Roman"/>
      <w:bCs/>
      <w:spacing w:val="10"/>
      <w:kern w:val="0"/>
      <w:sz w:val="24"/>
      <w:szCs w:val="20"/>
    </w:rPr>
  </w:style>
  <w:style w:type="paragraph" w:customStyle="1" w:styleId="94">
    <w:name w:val="Default"/>
    <w:unhideWhenUsed/>
    <w:qFormat/>
    <w:uiPriority w:val="0"/>
    <w:pPr>
      <w:widowControl w:val="0"/>
      <w:autoSpaceDE w:val="0"/>
      <w:autoSpaceDN w:val="0"/>
      <w:adjustRightInd w:val="0"/>
    </w:pPr>
    <w:rPr>
      <w:rFonts w:hint="eastAsia" w:ascii="DEZBWU+FZY4JW--GB1-0" w:hAnsi="DEZBWU+FZY4JW--GB1-0" w:eastAsia="DEZBWU+FZY4JW--GB1-0" w:cs="Times New Roman"/>
      <w:color w:val="000000"/>
      <w:sz w:val="24"/>
      <w:lang w:val="en-US" w:eastAsia="zh-CN" w:bidi="ar-SA"/>
    </w:rPr>
  </w:style>
  <w:style w:type="paragraph" w:customStyle="1" w:styleId="95">
    <w:name w:val="p0"/>
    <w:basedOn w:val="1"/>
    <w:qFormat/>
    <w:uiPriority w:val="0"/>
    <w:pPr>
      <w:widowControl/>
    </w:pPr>
    <w:rPr>
      <w:rFonts w:ascii="宋体" w:hAnsi="宋体" w:eastAsia="宋体" w:cs="宋体"/>
      <w:kern w:val="0"/>
      <w:sz w:val="27"/>
      <w:szCs w:val="27"/>
    </w:rPr>
  </w:style>
  <w:style w:type="paragraph" w:customStyle="1" w:styleId="96">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97">
    <w:name w:val="BodyText"/>
    <w:basedOn w:val="1"/>
    <w:qFormat/>
    <w:uiPriority w:val="0"/>
    <w:pPr>
      <w:snapToGrid w:val="0"/>
      <w:spacing w:line="360" w:lineRule="auto"/>
      <w:ind w:right="600"/>
      <w:textAlignment w:val="baseline"/>
    </w:pPr>
    <w:rPr>
      <w:rFonts w:ascii="Times New Roman" w:hAnsi="Times New Roman" w:eastAsia="宋体" w:cs="Times New Roman"/>
      <w:kern w:val="0"/>
      <w:szCs w:val="24"/>
    </w:rPr>
  </w:style>
  <w:style w:type="paragraph" w:customStyle="1" w:styleId="98">
    <w:name w:val="内容样式"/>
    <w:basedOn w:val="1"/>
    <w:qFormat/>
    <w:uiPriority w:val="99"/>
    <w:pPr>
      <w:snapToGrid w:val="0"/>
      <w:spacing w:line="460" w:lineRule="exact"/>
      <w:ind w:firstLine="560" w:firstLineChars="200"/>
      <w:jc w:val="left"/>
    </w:pPr>
    <w:rPr>
      <w:rFonts w:ascii="仿宋_GB2312" w:hAnsi="仿宋_GB2312" w:eastAsia="仿宋_GB2312" w:cs="宋体"/>
      <w:kern w:val="0"/>
      <w:sz w:val="28"/>
      <w:szCs w:val="24"/>
    </w:rPr>
  </w:style>
  <w:style w:type="character" w:customStyle="1" w:styleId="99">
    <w:name w:val="font41"/>
    <w:qFormat/>
    <w:uiPriority w:val="0"/>
    <w:rPr>
      <w:rFonts w:hint="eastAsia" w:ascii="宋体" w:hAnsi="宋体" w:eastAsia="宋体" w:cs="宋体"/>
      <w:color w:val="000000"/>
      <w:sz w:val="20"/>
      <w:szCs w:val="20"/>
      <w:u w:val="none"/>
    </w:rPr>
  </w:style>
  <w:style w:type="character" w:customStyle="1" w:styleId="100">
    <w:name w:val="font111"/>
    <w:qFormat/>
    <w:uiPriority w:val="0"/>
    <w:rPr>
      <w:rFonts w:hint="eastAsia" w:ascii="宋体" w:hAnsi="宋体" w:eastAsia="宋体" w:cs="宋体"/>
      <w:color w:val="FF0000"/>
      <w:sz w:val="24"/>
      <w:szCs w:val="24"/>
      <w:u w:val="none"/>
    </w:rPr>
  </w:style>
  <w:style w:type="paragraph" w:customStyle="1" w:styleId="101">
    <w:name w:val="[基本段落]"/>
    <w:basedOn w:val="1"/>
    <w:qFormat/>
    <w:uiPriority w:val="0"/>
    <w:pPr>
      <w:widowControl/>
      <w:autoSpaceDE w:val="0"/>
      <w:autoSpaceDN w:val="0"/>
      <w:spacing w:line="288" w:lineRule="auto"/>
    </w:pPr>
    <w:rPr>
      <w:rFonts w:ascii="??????_GBK" w:hAnsi="??????_GBK" w:eastAsia="宋体" w:cs="宋体"/>
      <w:color w:val="000000"/>
      <w:kern w:val="0"/>
      <w:sz w:val="24"/>
      <w:szCs w:val="24"/>
    </w:rPr>
  </w:style>
  <w:style w:type="paragraph" w:customStyle="1" w:styleId="102">
    <w:name w:val="msonormal"/>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03">
    <w:name w:val="未处理的提及3"/>
    <w:unhideWhenUsed/>
    <w:qFormat/>
    <w:uiPriority w:val="99"/>
    <w:rPr>
      <w:color w:val="605E5C"/>
      <w:shd w:val="clear" w:color="auto" w:fill="E1DFDD"/>
    </w:rPr>
  </w:style>
  <w:style w:type="character" w:customStyle="1" w:styleId="104">
    <w:name w:val="font112"/>
    <w:qFormat/>
    <w:uiPriority w:val="0"/>
    <w:rPr>
      <w:rFonts w:hint="eastAsia" w:ascii="宋体" w:hAnsi="宋体" w:eastAsia="宋体" w:cs="宋体"/>
      <w:color w:val="000000"/>
      <w:sz w:val="20"/>
      <w:szCs w:val="20"/>
      <w:u w:val="none"/>
      <w:vertAlign w:val="superscript"/>
    </w:rPr>
  </w:style>
  <w:style w:type="paragraph" w:customStyle="1" w:styleId="105">
    <w:name w:val="标书正文1"/>
    <w:basedOn w:val="1"/>
    <w:qFormat/>
    <w:uiPriority w:val="0"/>
    <w:pPr>
      <w:spacing w:line="520" w:lineRule="exact"/>
      <w:ind w:firstLine="640" w:firstLineChars="200"/>
    </w:pPr>
  </w:style>
  <w:style w:type="character" w:customStyle="1" w:styleId="106">
    <w:name w:val="s21"/>
    <w:qFormat/>
    <w:uiPriority w:val="0"/>
    <w:rPr>
      <w:b/>
      <w:color w:val="000000"/>
    </w:rPr>
  </w:style>
  <w:style w:type="character" w:customStyle="1" w:styleId="107">
    <w:name w:val="font101"/>
    <w:qFormat/>
    <w:uiPriority w:val="0"/>
    <w:rPr>
      <w:rFonts w:hint="eastAsia" w:ascii="宋体" w:hAnsi="宋体" w:eastAsia="宋体" w:cs="宋体"/>
      <w:color w:val="000000"/>
      <w:sz w:val="20"/>
      <w:szCs w:val="20"/>
      <w:u w:val="none"/>
    </w:rPr>
  </w:style>
  <w:style w:type="character" w:customStyle="1" w:styleId="108">
    <w:name w:val="font71"/>
    <w:qFormat/>
    <w:uiPriority w:val="0"/>
    <w:rPr>
      <w:rFonts w:hint="eastAsia" w:ascii="宋体" w:hAnsi="宋体" w:eastAsia="宋体" w:cs="宋体"/>
      <w:color w:val="000000"/>
      <w:sz w:val="20"/>
      <w:szCs w:val="20"/>
      <w:u w:val="none"/>
    </w:rPr>
  </w:style>
  <w:style w:type="character" w:customStyle="1" w:styleId="109">
    <w:name w:val="font61"/>
    <w:qFormat/>
    <w:uiPriority w:val="0"/>
    <w:rPr>
      <w:rFonts w:hint="eastAsia" w:ascii="宋体" w:hAnsi="宋体" w:eastAsia="宋体" w:cs="宋体"/>
      <w:color w:val="000000"/>
      <w:sz w:val="22"/>
      <w:szCs w:val="22"/>
      <w:u w:val="none"/>
    </w:rPr>
  </w:style>
  <w:style w:type="character" w:customStyle="1" w:styleId="110">
    <w:name w:val="font11"/>
    <w:qFormat/>
    <w:uiPriority w:val="0"/>
    <w:rPr>
      <w:rFonts w:hint="eastAsia" w:ascii="宋体" w:hAnsi="宋体" w:eastAsia="宋体" w:cs="宋体"/>
      <w:b/>
      <w:bCs/>
      <w:color w:val="000000"/>
      <w:sz w:val="22"/>
      <w:szCs w:val="22"/>
      <w:u w:val="none"/>
    </w:rPr>
  </w:style>
  <w:style w:type="character" w:customStyle="1" w:styleId="111">
    <w:name w:val="font51"/>
    <w:qFormat/>
    <w:uiPriority w:val="0"/>
    <w:rPr>
      <w:rFonts w:hint="eastAsia" w:ascii="宋体" w:hAnsi="宋体" w:eastAsia="宋体" w:cs="宋体"/>
      <w:b/>
      <w:bCs/>
      <w:color w:val="000000"/>
      <w:sz w:val="20"/>
      <w:szCs w:val="20"/>
      <w:u w:val="none"/>
    </w:rPr>
  </w:style>
  <w:style w:type="paragraph" w:customStyle="1" w:styleId="112">
    <w:name w:val="修订2"/>
    <w:unhideWhenUsed/>
    <w:qFormat/>
    <w:uiPriority w:val="99"/>
    <w:rPr>
      <w:rFonts w:ascii="Calibri" w:hAnsi="Calibri" w:eastAsia="宋体" w:cs="Arial"/>
      <w:kern w:val="2"/>
      <w:sz w:val="21"/>
      <w:szCs w:val="22"/>
      <w:lang w:val="en-US" w:eastAsia="zh-CN" w:bidi="ar-SA"/>
    </w:rPr>
  </w:style>
  <w:style w:type="paragraph" w:customStyle="1" w:styleId="113">
    <w:name w:val="修订3"/>
    <w:semiHidden/>
    <w:qFormat/>
    <w:uiPriority w:val="99"/>
    <w:rPr>
      <w:rFonts w:ascii="Calibri" w:hAnsi="Calibri" w:eastAsia="宋体" w:cs="Arial"/>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87</Pages>
  <Words>44648</Words>
  <Characters>47803</Characters>
  <Lines>396</Lines>
  <Paragraphs>111</Paragraphs>
  <TotalTime>0</TotalTime>
  <ScaleCrop>false</ScaleCrop>
  <LinksUpToDate>false</LinksUpToDate>
  <CharactersWithSpaces>52078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2022-10-29T07:14:00Z</dcterms:created>
  <dc:creator>YD-LING</dc:creator>
  <cp:lastModifiedBy>caiwxi</cp:lastModifiedBy>
  <cp:lastPrinted>2024-12-04T05:50:00Z</cp:lastPrinted>
  <dcterms:modified xsi:type="dcterms:W3CDTF">2024-12-04T09:51:39Z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0B93C017C6A444A2AF13067B87A8307D</vt:lpwstr>
  </property>
</Properties>
</file>