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cs="宋体"/>
          <w:b/>
          <w:bCs/>
          <w:sz w:val="52"/>
          <w:szCs w:val="52"/>
        </w:rPr>
      </w:pPr>
    </w:p>
    <w:p>
      <w:pPr>
        <w:spacing w:line="360" w:lineRule="auto"/>
        <w:jc w:val="center"/>
        <w:rPr>
          <w:rFonts w:hint="eastAsia" w:ascii="宋体" w:hAnsi="宋体" w:cs="宋体"/>
          <w:b/>
          <w:bCs/>
          <w:sz w:val="52"/>
          <w:szCs w:val="52"/>
        </w:rPr>
      </w:pPr>
    </w:p>
    <w:p>
      <w:pPr>
        <w:spacing w:line="360" w:lineRule="auto"/>
        <w:jc w:val="center"/>
        <w:rPr>
          <w:rFonts w:hint="eastAsia" w:ascii="宋体" w:hAnsi="宋体" w:cs="宋体"/>
          <w:sz w:val="30"/>
        </w:rPr>
      </w:pPr>
      <w:r>
        <w:rPr>
          <w:rFonts w:hint="eastAsia" w:ascii="宋体" w:hAnsi="宋体" w:cs="宋体"/>
          <w:b/>
          <w:bCs/>
          <w:sz w:val="52"/>
          <w:szCs w:val="52"/>
        </w:rPr>
        <w:t>南方报业传媒集团私有云资源扩容项目</w:t>
      </w:r>
    </w:p>
    <w:p>
      <w:pPr>
        <w:spacing w:line="360" w:lineRule="auto"/>
        <w:rPr>
          <w:rFonts w:hint="eastAsia" w:ascii="宋体" w:hAnsi="宋体" w:cs="宋体"/>
          <w:sz w:val="30"/>
        </w:rPr>
      </w:pPr>
    </w:p>
    <w:p>
      <w:pPr>
        <w:spacing w:line="360" w:lineRule="auto"/>
        <w:rPr>
          <w:rFonts w:hint="eastAsia" w:ascii="宋体" w:hAnsi="宋体" w:cs="宋体"/>
          <w:sz w:val="30"/>
        </w:rPr>
      </w:pPr>
    </w:p>
    <w:p>
      <w:pPr>
        <w:spacing w:line="360" w:lineRule="auto"/>
        <w:jc w:val="center"/>
        <w:rPr>
          <w:rFonts w:hint="eastAsia" w:ascii="宋体" w:hAnsi="宋体" w:cs="宋体"/>
          <w:b/>
          <w:spacing w:val="20"/>
          <w:kern w:val="10"/>
          <w:sz w:val="84"/>
          <w:szCs w:val="84"/>
        </w:rPr>
      </w:pPr>
      <w:r>
        <w:rPr>
          <w:rFonts w:hint="eastAsia" w:ascii="宋体" w:hAnsi="宋体" w:cs="宋体"/>
          <w:b/>
          <w:spacing w:val="20"/>
          <w:kern w:val="10"/>
          <w:sz w:val="84"/>
          <w:szCs w:val="84"/>
        </w:rPr>
        <w:t>招标文件</w:t>
      </w:r>
    </w:p>
    <w:p>
      <w:pPr>
        <w:spacing w:line="360" w:lineRule="auto"/>
        <w:jc w:val="center"/>
        <w:rPr>
          <w:rFonts w:hint="eastAsia" w:ascii="宋体" w:hAnsi="宋体" w:cs="宋体"/>
          <w:sz w:val="36"/>
          <w:szCs w:val="36"/>
        </w:rPr>
      </w:pPr>
      <w:r>
        <w:rPr>
          <w:rFonts w:hint="eastAsia" w:ascii="宋体" w:hAnsi="宋体" w:cs="宋体"/>
          <w:sz w:val="36"/>
          <w:szCs w:val="36"/>
        </w:rPr>
        <w:t>（项目编号：M4400000707527396）</w:t>
      </w:r>
    </w:p>
    <w:p>
      <w:pPr>
        <w:tabs>
          <w:tab w:val="left" w:pos="8118"/>
        </w:tabs>
        <w:spacing w:line="360" w:lineRule="auto"/>
        <w:jc w:val="left"/>
        <w:rPr>
          <w:rFonts w:hint="eastAsia" w:ascii="宋体" w:hAnsi="宋体" w:cs="宋体"/>
          <w:sz w:val="28"/>
          <w:szCs w:val="28"/>
        </w:rPr>
      </w:pPr>
      <w:r>
        <w:rPr>
          <w:rFonts w:hint="eastAsia" w:ascii="宋体" w:hAnsi="宋体" w:cs="宋体"/>
          <w:sz w:val="28"/>
          <w:szCs w:val="28"/>
        </w:rPr>
        <w:tab/>
      </w:r>
    </w:p>
    <w:p>
      <w:pPr>
        <w:spacing w:line="360" w:lineRule="auto"/>
        <w:jc w:val="center"/>
        <w:rPr>
          <w:rFonts w:hint="eastAsia" w:ascii="宋体" w:hAnsi="宋体" w:cs="宋体"/>
          <w:sz w:val="28"/>
          <w:szCs w:val="28"/>
        </w:rPr>
      </w:pPr>
    </w:p>
    <w:p>
      <w:pPr>
        <w:spacing w:line="360" w:lineRule="auto"/>
        <w:jc w:val="center"/>
        <w:rPr>
          <w:rFonts w:hint="eastAsia" w:ascii="宋体" w:hAnsi="宋体" w:cs="宋体"/>
          <w:sz w:val="28"/>
          <w:szCs w:val="28"/>
        </w:rPr>
      </w:pPr>
    </w:p>
    <w:p>
      <w:pPr>
        <w:spacing w:line="360" w:lineRule="auto"/>
        <w:jc w:val="center"/>
        <w:rPr>
          <w:rFonts w:hint="eastAsia" w:ascii="宋体" w:hAnsi="宋体" w:cs="宋体"/>
          <w:sz w:val="28"/>
          <w:szCs w:val="28"/>
        </w:rPr>
      </w:pPr>
    </w:p>
    <w:p>
      <w:pPr>
        <w:snapToGrid w:val="0"/>
        <w:spacing w:line="600" w:lineRule="atLeast"/>
        <w:rPr>
          <w:rFonts w:hint="eastAsia" w:ascii="宋体" w:hAnsi="宋体" w:cs="宋体"/>
          <w:sz w:val="30"/>
        </w:rPr>
      </w:pPr>
    </w:p>
    <w:p>
      <w:pPr>
        <w:snapToGrid w:val="0"/>
        <w:spacing w:line="600" w:lineRule="atLeast"/>
        <w:rPr>
          <w:rFonts w:hint="eastAsia" w:ascii="宋体" w:hAnsi="宋体" w:cs="宋体"/>
          <w:sz w:val="30"/>
        </w:rPr>
      </w:pPr>
    </w:p>
    <w:p>
      <w:pPr>
        <w:snapToGrid w:val="0"/>
        <w:spacing w:line="600" w:lineRule="atLeast"/>
        <w:ind w:firstLine="1200" w:firstLineChars="400"/>
        <w:rPr>
          <w:rFonts w:hint="eastAsia" w:ascii="宋体" w:hAnsi="宋体" w:cs="宋体"/>
          <w:sz w:val="30"/>
        </w:rPr>
      </w:pPr>
    </w:p>
    <w:p>
      <w:pPr>
        <w:snapToGrid w:val="0"/>
        <w:spacing w:line="600" w:lineRule="atLeast"/>
        <w:ind w:firstLine="1200" w:firstLineChars="400"/>
        <w:rPr>
          <w:rFonts w:hint="eastAsia" w:ascii="宋体" w:hAnsi="宋体" w:cs="宋体"/>
          <w:sz w:val="30"/>
        </w:rPr>
      </w:pPr>
    </w:p>
    <w:p>
      <w:pPr>
        <w:snapToGrid w:val="0"/>
        <w:spacing w:line="600" w:lineRule="atLeast"/>
        <w:ind w:firstLine="1200" w:firstLineChars="400"/>
        <w:rPr>
          <w:rFonts w:hint="eastAsia" w:ascii="宋体" w:hAnsi="宋体" w:cs="宋体"/>
          <w:sz w:val="30"/>
        </w:rPr>
      </w:pPr>
    </w:p>
    <w:p>
      <w:pPr>
        <w:snapToGrid w:val="0"/>
        <w:spacing w:line="600" w:lineRule="atLeast"/>
        <w:ind w:firstLine="1200" w:firstLineChars="400"/>
        <w:rPr>
          <w:rFonts w:hint="eastAsia" w:ascii="宋体" w:hAnsi="宋体" w:cs="宋体"/>
          <w:sz w:val="30"/>
          <w:u w:val="single"/>
        </w:rPr>
      </w:pPr>
      <w:r>
        <w:rPr>
          <w:rFonts w:hint="eastAsia" w:ascii="宋体" w:hAnsi="宋体" w:cs="宋体"/>
          <w:sz w:val="30"/>
        </w:rPr>
        <w:t>招   标   人：</w:t>
      </w:r>
      <w:r>
        <w:rPr>
          <w:rFonts w:hint="eastAsia" w:ascii="宋体" w:hAnsi="宋体" w:cs="宋体"/>
          <w:sz w:val="30"/>
          <w:u w:val="single"/>
        </w:rPr>
        <w:t xml:space="preserve">广东南方报业传媒集团有限公司 </w:t>
      </w:r>
    </w:p>
    <w:p>
      <w:pPr>
        <w:snapToGrid w:val="0"/>
        <w:spacing w:line="600" w:lineRule="atLeast"/>
        <w:ind w:firstLine="1200" w:firstLineChars="400"/>
        <w:rPr>
          <w:rFonts w:hint="eastAsia" w:ascii="宋体" w:hAnsi="宋体" w:cs="宋体"/>
          <w:sz w:val="30"/>
        </w:rPr>
      </w:pPr>
      <w:r>
        <w:rPr>
          <w:rFonts w:hint="eastAsia" w:ascii="宋体" w:hAnsi="宋体" w:cs="宋体"/>
          <w:sz w:val="30"/>
        </w:rPr>
        <w:t>招标代理机构：</w:t>
      </w:r>
      <w:r>
        <w:rPr>
          <w:rFonts w:hint="eastAsia" w:ascii="宋体" w:hAnsi="宋体" w:cs="宋体"/>
          <w:sz w:val="30"/>
          <w:u w:val="single"/>
        </w:rPr>
        <w:t>广东省机电设备招标有限公司</w:t>
      </w:r>
    </w:p>
    <w:p>
      <w:pPr>
        <w:spacing w:line="360" w:lineRule="auto"/>
        <w:jc w:val="center"/>
        <w:rPr>
          <w:rFonts w:hint="eastAsia" w:ascii="宋体" w:hAnsi="宋体" w:cs="宋体"/>
          <w:b/>
          <w:sz w:val="28"/>
          <w:szCs w:val="28"/>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sz w:val="30"/>
          <w:szCs w:val="30"/>
        </w:rPr>
        <w:t>2024年12月</w:t>
      </w:r>
    </w:p>
    <w:p>
      <w:pPr>
        <w:spacing w:line="360" w:lineRule="auto"/>
        <w:jc w:val="center"/>
        <w:outlineLvl w:val="0"/>
        <w:rPr>
          <w:rFonts w:hint="eastAsia" w:ascii="宋体" w:hAnsi="宋体" w:cs="宋体"/>
          <w:b/>
          <w:sz w:val="28"/>
          <w:szCs w:val="28"/>
        </w:rPr>
      </w:pPr>
      <w:bookmarkStart w:id="0" w:name="_Toc27156"/>
      <w:r>
        <w:rPr>
          <w:rFonts w:hint="eastAsia" w:ascii="宋体" w:hAnsi="宋体" w:cs="宋体"/>
          <w:b/>
          <w:sz w:val="28"/>
          <w:szCs w:val="28"/>
        </w:rPr>
        <w:t>投标提示</w:t>
      </w:r>
      <w:bookmarkEnd w:id="0"/>
    </w:p>
    <w:p>
      <w:pPr>
        <w:snapToGrid w:val="0"/>
        <w:spacing w:line="360" w:lineRule="auto"/>
        <w:jc w:val="center"/>
        <w:rPr>
          <w:rFonts w:hint="eastAsia" w:ascii="宋体" w:hAnsi="宋体" w:cs="宋体"/>
        </w:rPr>
      </w:pPr>
      <w:r>
        <w:rPr>
          <w:rFonts w:hint="eastAsia" w:ascii="宋体" w:hAnsi="宋体" w:cs="宋体"/>
          <w:b/>
        </w:rPr>
        <w:t>（本提示内容非招标文件的组成部分，仅为投标人制作文件提醒。如有不一致，以招标文件为准）</w:t>
      </w:r>
    </w:p>
    <w:p>
      <w:pPr>
        <w:snapToGrid w:val="0"/>
        <w:spacing w:line="360" w:lineRule="auto"/>
        <w:rPr>
          <w:rFonts w:hint="eastAsia" w:ascii="宋体" w:hAnsi="宋体" w:cs="宋体"/>
        </w:rPr>
      </w:pPr>
      <w:r>
        <w:rPr>
          <w:rFonts w:hint="eastAsia" w:ascii="宋体" w:hAnsi="宋体" w:cs="宋体"/>
        </w:rPr>
        <w:t>1、潜在投标供应商须按招标文件及公告要求登记。</w:t>
      </w:r>
    </w:p>
    <w:p>
      <w:pPr>
        <w:snapToGrid w:val="0"/>
        <w:spacing w:line="360" w:lineRule="auto"/>
        <w:rPr>
          <w:rFonts w:hint="eastAsia" w:ascii="宋体" w:hAnsi="宋体" w:cs="宋体"/>
        </w:rPr>
      </w:pPr>
      <w:r>
        <w:rPr>
          <w:rFonts w:hint="eastAsia" w:ascii="宋体" w:hAnsi="宋体" w:cs="宋体"/>
        </w:rPr>
        <w:t>2、本公司启用网上登记系统进行供应商登记及购买文件。请登录广咨电子招投标交易平台网站（www.gzebid.cn）进行供应商注册登记。</w:t>
      </w:r>
    </w:p>
    <w:p>
      <w:pPr>
        <w:tabs>
          <w:tab w:val="left" w:pos="851"/>
        </w:tabs>
        <w:snapToGrid w:val="0"/>
        <w:spacing w:line="360" w:lineRule="auto"/>
        <w:rPr>
          <w:rFonts w:hint="eastAsia" w:ascii="宋体" w:hAnsi="宋体" w:cs="宋体"/>
        </w:rPr>
      </w:pPr>
      <w:r>
        <w:rPr>
          <w:rFonts w:hint="eastAsia" w:ascii="宋体" w:hAnsi="宋体" w:cs="宋体"/>
        </w:rPr>
        <w:t>3、为避免因迟到而失去投标/报价资格，请供应商</w:t>
      </w:r>
      <w:r>
        <w:rPr>
          <w:rFonts w:hint="eastAsia" w:ascii="宋体" w:hAnsi="宋体" w:cs="宋体"/>
          <w:b/>
          <w:u w:val="single"/>
        </w:rPr>
        <w:t>适当提前到达开标现场</w:t>
      </w:r>
      <w:r>
        <w:rPr>
          <w:rFonts w:hint="eastAsia" w:ascii="宋体" w:hAnsi="宋体" w:cs="宋体"/>
        </w:rPr>
        <w:t>。</w:t>
      </w:r>
    </w:p>
    <w:p>
      <w:pPr>
        <w:tabs>
          <w:tab w:val="left" w:pos="851"/>
        </w:tabs>
        <w:snapToGrid w:val="0"/>
        <w:spacing w:line="360" w:lineRule="auto"/>
        <w:ind w:left="420" w:hanging="420" w:hangingChars="200"/>
        <w:rPr>
          <w:rFonts w:hint="eastAsia" w:ascii="宋体" w:hAnsi="宋体" w:cs="宋体"/>
        </w:rPr>
      </w:pPr>
      <w:r>
        <w:rPr>
          <w:rFonts w:hint="eastAsia" w:ascii="宋体" w:hAnsi="宋体" w:cs="宋体"/>
        </w:rPr>
        <w:t>4、投标/报价文件应按顺序</w:t>
      </w:r>
      <w:r>
        <w:rPr>
          <w:rFonts w:hint="eastAsia" w:ascii="宋体" w:hAnsi="宋体" w:cs="宋体"/>
          <w:b/>
          <w:u w:val="single"/>
        </w:rPr>
        <w:t>编制页码</w:t>
      </w:r>
      <w:r>
        <w:rPr>
          <w:rFonts w:hint="eastAsia" w:ascii="宋体" w:hAnsi="宋体" w:cs="宋体"/>
        </w:rPr>
        <w:t>。</w:t>
      </w:r>
    </w:p>
    <w:p>
      <w:pPr>
        <w:tabs>
          <w:tab w:val="left" w:pos="851"/>
        </w:tabs>
        <w:snapToGrid w:val="0"/>
        <w:spacing w:line="360" w:lineRule="auto"/>
        <w:ind w:left="420" w:hanging="420" w:hangingChars="200"/>
        <w:rPr>
          <w:rFonts w:hint="eastAsia" w:ascii="宋体" w:hAnsi="宋体" w:cs="宋体"/>
        </w:rPr>
      </w:pPr>
      <w:r>
        <w:rPr>
          <w:rFonts w:hint="eastAsia" w:ascii="宋体" w:hAnsi="宋体" w:cs="宋体"/>
        </w:rPr>
        <w:t>5、请仔细检查投标/报价文件是否已按招标文件要求</w:t>
      </w:r>
      <w:r>
        <w:rPr>
          <w:rFonts w:hint="eastAsia" w:ascii="宋体" w:hAnsi="宋体" w:cs="宋体"/>
          <w:b/>
          <w:u w:val="single"/>
        </w:rPr>
        <w:t>盖章、签字（签章）、签署日期</w:t>
      </w:r>
      <w:r>
        <w:rPr>
          <w:rFonts w:hint="eastAsia" w:ascii="宋体" w:hAnsi="宋体" w:cs="宋体"/>
        </w:rPr>
        <w:t>。</w:t>
      </w:r>
    </w:p>
    <w:p>
      <w:pPr>
        <w:tabs>
          <w:tab w:val="left" w:pos="851"/>
        </w:tabs>
        <w:snapToGrid w:val="0"/>
        <w:spacing w:line="360" w:lineRule="auto"/>
        <w:ind w:left="420" w:hanging="420" w:hangingChars="200"/>
        <w:rPr>
          <w:rFonts w:hint="eastAsia" w:ascii="宋体" w:hAnsi="宋体" w:cs="宋体"/>
        </w:rPr>
      </w:pPr>
      <w:r>
        <w:rPr>
          <w:rFonts w:hint="eastAsia" w:ascii="宋体" w:hAnsi="宋体" w:cs="宋体"/>
        </w:rPr>
        <w:t>6、请正确填写《开标/报价一览表》。多子包项目请仔细检查子包号，子包号与子包名称必须对应。</w:t>
      </w:r>
    </w:p>
    <w:p>
      <w:pPr>
        <w:tabs>
          <w:tab w:val="left" w:pos="851"/>
        </w:tabs>
        <w:snapToGrid w:val="0"/>
        <w:spacing w:line="360" w:lineRule="auto"/>
        <w:ind w:left="315" w:hanging="315" w:hangingChars="150"/>
        <w:rPr>
          <w:rFonts w:hint="eastAsia" w:ascii="宋体" w:hAnsi="宋体" w:cs="宋体"/>
        </w:rPr>
      </w:pPr>
      <w:r>
        <w:rPr>
          <w:rFonts w:hint="eastAsia" w:ascii="宋体" w:hAnsi="宋体" w:cs="宋体"/>
        </w:rPr>
        <w:t>7、单独提交的</w:t>
      </w:r>
      <w:r>
        <w:rPr>
          <w:rFonts w:hint="eastAsia" w:ascii="宋体" w:hAnsi="宋体" w:cs="宋体"/>
          <w:b/>
          <w:u w:val="single"/>
        </w:rPr>
        <w:t>信封</w:t>
      </w:r>
      <w:r>
        <w:rPr>
          <w:rFonts w:hint="eastAsia" w:ascii="宋体" w:hAnsi="宋体" w:cs="宋体"/>
        </w:rPr>
        <w:t>内容应包括：</w:t>
      </w:r>
      <w:r>
        <w:rPr>
          <w:rFonts w:hint="eastAsia" w:ascii="宋体" w:hAnsi="宋体" w:cs="宋体"/>
          <w:b/>
          <w:u w:val="single"/>
        </w:rPr>
        <w:t>投标保证金凭证</w:t>
      </w:r>
      <w:r>
        <w:rPr>
          <w:rFonts w:hint="eastAsia" w:ascii="宋体" w:hAnsi="宋体" w:cs="宋体"/>
        </w:rPr>
        <w:t>（提供银行支付凭证</w:t>
      </w:r>
      <w:r>
        <w:rPr>
          <w:rFonts w:hint="eastAsia" w:ascii="宋体" w:hAnsi="宋体" w:cs="宋体"/>
          <w:b/>
          <w:u w:val="single"/>
        </w:rPr>
        <w:t>复印件</w:t>
      </w:r>
      <w:r>
        <w:rPr>
          <w:rFonts w:hint="eastAsia" w:ascii="宋体" w:hAnsi="宋体" w:cs="宋体"/>
        </w:rPr>
        <w:t>）、</w:t>
      </w:r>
      <w:r>
        <w:rPr>
          <w:rFonts w:hint="eastAsia" w:ascii="宋体" w:hAnsi="宋体" w:cs="宋体"/>
          <w:b/>
          <w:u w:val="single"/>
        </w:rPr>
        <w:t>退投标保证金说明函原件</w:t>
      </w:r>
      <w:r>
        <w:rPr>
          <w:rFonts w:hint="eastAsia" w:ascii="宋体" w:hAnsi="宋体" w:cs="宋体"/>
        </w:rPr>
        <w:t>。</w:t>
      </w:r>
    </w:p>
    <w:p>
      <w:pPr>
        <w:tabs>
          <w:tab w:val="left" w:pos="851"/>
        </w:tabs>
        <w:snapToGrid w:val="0"/>
        <w:spacing w:line="360" w:lineRule="auto"/>
        <w:rPr>
          <w:rFonts w:hint="eastAsia" w:ascii="宋体" w:hAnsi="宋体" w:cs="宋体"/>
        </w:rPr>
      </w:pPr>
      <w:r>
        <w:rPr>
          <w:rFonts w:hint="eastAsia" w:ascii="宋体" w:hAnsi="宋体" w:cs="宋体"/>
        </w:rPr>
        <w:t>8、供应商须通过广咨电子招投标交易平台网站（</w:t>
      </w:r>
      <w:r>
        <w:fldChar w:fldCharType="begin"/>
      </w:r>
      <w:r>
        <w:instrText xml:space="preserve">HYPERLINK "http://www.gzebid.cn）获取子账号的方式递交投标/报价保证金及中标/"</w:instrText>
      </w:r>
      <w:r>
        <w:fldChar w:fldCharType="separate"/>
      </w:r>
      <w:r>
        <w:rPr>
          <w:rFonts w:hint="eastAsia" w:ascii="宋体" w:hAnsi="宋体" w:cs="宋体"/>
        </w:rPr>
        <w:t>http://www.gzebid.cn）获取子账号的方式递交投标/报价保证金及中标/</w:t>
      </w:r>
      <w:r>
        <w:rPr>
          <w:rFonts w:ascii="宋体" w:hAnsi="宋体" w:cs="宋体"/>
        </w:rPr>
        <w:fldChar w:fldCharType="end"/>
      </w:r>
      <w:r>
        <w:rPr>
          <w:rFonts w:hint="eastAsia" w:ascii="宋体" w:hAnsi="宋体" w:cs="宋体"/>
        </w:rPr>
        <w:t>成交服务费。</w:t>
      </w:r>
    </w:p>
    <w:p>
      <w:pPr>
        <w:snapToGrid w:val="0"/>
        <w:spacing w:line="360" w:lineRule="auto"/>
        <w:rPr>
          <w:rFonts w:hint="eastAsia" w:ascii="宋体" w:hAnsi="宋体" w:cs="宋体"/>
        </w:rPr>
      </w:pPr>
      <w:r>
        <w:rPr>
          <w:rFonts w:hint="eastAsia" w:ascii="宋体" w:hAnsi="宋体" w:cs="宋体"/>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hint="eastAsia" w:ascii="宋体" w:hAnsi="宋体" w:cs="宋体"/>
        </w:rPr>
      </w:pPr>
      <w:r>
        <w:rPr>
          <w:rFonts w:hint="eastAsia" w:ascii="宋体" w:hAnsi="宋体" w:cs="宋体"/>
        </w:rPr>
        <w:t>10、投标/报价保证金必须于招标文件递交截止时间前到达广东省机电设备招标有限公司的账户。</w:t>
      </w:r>
    </w:p>
    <w:p>
      <w:pPr>
        <w:tabs>
          <w:tab w:val="left" w:pos="851"/>
        </w:tabs>
        <w:snapToGrid w:val="0"/>
        <w:spacing w:line="360" w:lineRule="auto"/>
        <w:rPr>
          <w:rFonts w:hint="eastAsia" w:ascii="宋体" w:hAnsi="宋体" w:cs="宋体"/>
        </w:rPr>
      </w:pPr>
      <w:r>
        <w:rPr>
          <w:rFonts w:hint="eastAsia" w:ascii="宋体" w:hAnsi="宋体" w:cs="宋体"/>
        </w:rPr>
        <w:t>11、未中标供应商的投标保证金退款程序：在</w:t>
      </w:r>
      <w:r>
        <w:rPr>
          <w:rFonts w:hint="eastAsia" w:ascii="宋体" w:hAnsi="宋体" w:cs="宋体"/>
          <w:b/>
          <w:u w:val="single"/>
        </w:rPr>
        <w:t>中标通知书发出后的五个工作日内</w:t>
      </w:r>
      <w:r>
        <w:rPr>
          <w:rFonts w:hint="eastAsia" w:ascii="宋体" w:hAnsi="宋体" w:cs="宋体"/>
        </w:rPr>
        <w:t>按规定程序原额退还。</w:t>
      </w:r>
    </w:p>
    <w:p>
      <w:pPr>
        <w:tabs>
          <w:tab w:val="left" w:pos="851"/>
        </w:tabs>
        <w:snapToGrid w:val="0"/>
        <w:spacing w:line="360" w:lineRule="auto"/>
        <w:rPr>
          <w:rFonts w:hint="eastAsia" w:ascii="宋体" w:hAnsi="宋体" w:cs="宋体"/>
        </w:rPr>
      </w:pPr>
      <w:r>
        <w:rPr>
          <w:rFonts w:hint="eastAsia" w:ascii="宋体" w:hAnsi="宋体" w:cs="宋体"/>
        </w:rPr>
        <w:t>12、中标供应商的投标保证金退款程序：在</w:t>
      </w:r>
      <w:r>
        <w:rPr>
          <w:rFonts w:hint="eastAsia" w:ascii="宋体" w:hAnsi="宋体" w:cs="宋体"/>
          <w:b/>
          <w:u w:val="single"/>
        </w:rPr>
        <w:t>收到</w:t>
      </w:r>
      <w:r>
        <w:rPr>
          <w:rFonts w:hint="eastAsia" w:ascii="宋体" w:hAnsi="宋体" w:cs="宋体"/>
        </w:rPr>
        <w:t>中标供应商提交的</w:t>
      </w:r>
      <w:r>
        <w:rPr>
          <w:rFonts w:hint="eastAsia" w:ascii="宋体" w:hAnsi="宋体" w:cs="宋体"/>
          <w:b/>
          <w:u w:val="single"/>
        </w:rPr>
        <w:t>合同原件或复印件后五个工作日内</w:t>
      </w:r>
      <w:r>
        <w:rPr>
          <w:rFonts w:hint="eastAsia" w:ascii="宋体" w:hAnsi="宋体" w:cs="宋体"/>
        </w:rPr>
        <w:t>原额退还。</w:t>
      </w:r>
    </w:p>
    <w:p>
      <w:pPr>
        <w:tabs>
          <w:tab w:val="left" w:pos="851"/>
        </w:tabs>
        <w:snapToGrid w:val="0"/>
        <w:spacing w:line="360" w:lineRule="auto"/>
        <w:rPr>
          <w:rFonts w:hint="eastAsia" w:ascii="宋体" w:hAnsi="宋体" w:cs="宋体"/>
        </w:rPr>
      </w:pPr>
      <w:r>
        <w:rPr>
          <w:rFonts w:hint="eastAsia" w:ascii="宋体" w:hAnsi="宋体" w:cs="宋体"/>
        </w:rPr>
        <w:t>13、如招标文件有澄清、修改或者延期的，我司会在相关媒体上发布公告，并</w:t>
      </w:r>
      <w:r>
        <w:rPr>
          <w:rFonts w:hint="eastAsia" w:ascii="宋体" w:hAnsi="宋体" w:cs="宋体"/>
          <w:b/>
          <w:u w:val="single"/>
        </w:rPr>
        <w:t>以电子邮件的形式</w:t>
      </w:r>
      <w:r>
        <w:rPr>
          <w:rFonts w:hint="eastAsia" w:ascii="宋体" w:hAnsi="宋体" w:cs="宋体"/>
        </w:rPr>
        <w:t>通知所有登记及购买招标文件的供应商。</w:t>
      </w:r>
    </w:p>
    <w:p>
      <w:pPr>
        <w:tabs>
          <w:tab w:val="left" w:pos="851"/>
        </w:tabs>
        <w:snapToGrid w:val="0"/>
        <w:spacing w:line="360" w:lineRule="auto"/>
        <w:rPr>
          <w:rFonts w:hint="eastAsia" w:ascii="宋体" w:hAnsi="宋体" w:cs="宋体"/>
        </w:rPr>
      </w:pPr>
      <w:r>
        <w:rPr>
          <w:rFonts w:hint="eastAsia" w:ascii="宋体" w:hAnsi="宋体" w:cs="宋体"/>
        </w:rPr>
        <w:t>14、如投标/报价产品属于许可证管理范围内的，须提交相应的许可证复印件。</w:t>
      </w:r>
    </w:p>
    <w:p>
      <w:pPr>
        <w:tabs>
          <w:tab w:val="left" w:pos="851"/>
        </w:tabs>
        <w:snapToGrid w:val="0"/>
        <w:spacing w:line="360" w:lineRule="auto"/>
        <w:rPr>
          <w:rFonts w:hint="eastAsia" w:ascii="宋体" w:hAnsi="宋体" w:cs="宋体"/>
        </w:rPr>
      </w:pPr>
      <w:r>
        <w:rPr>
          <w:rFonts w:hint="eastAsia" w:ascii="宋体" w:hAnsi="宋体" w:cs="宋体"/>
        </w:rPr>
        <w:t>15、如供应商以非独立法人注册的分公司名义代表总公司盖章和签署文件的，须提供总公司的营业执照副本复印件及总公司针对本项目投标/报价的授权书原件。</w:t>
      </w:r>
    </w:p>
    <w:p>
      <w:pPr>
        <w:tabs>
          <w:tab w:val="left" w:pos="851"/>
        </w:tabs>
        <w:snapToGrid w:val="0"/>
        <w:spacing w:line="360" w:lineRule="auto"/>
        <w:rPr>
          <w:rFonts w:hint="eastAsia" w:ascii="宋体" w:hAnsi="宋体" w:cs="宋体"/>
        </w:rPr>
      </w:pPr>
      <w:r>
        <w:rPr>
          <w:rFonts w:hint="eastAsia" w:ascii="宋体" w:hAnsi="宋体" w:cs="宋体"/>
        </w:rPr>
        <w:t>16、以联合体形式投标/报价的，请提交《联合体共同投标协议书》。</w:t>
      </w:r>
    </w:p>
    <w:p>
      <w:pPr>
        <w:tabs>
          <w:tab w:val="left" w:pos="851"/>
        </w:tabs>
        <w:snapToGrid w:val="0"/>
        <w:spacing w:line="360" w:lineRule="auto"/>
        <w:rPr>
          <w:rFonts w:hint="eastAsia" w:ascii="宋体" w:hAnsi="宋体" w:cs="宋体"/>
        </w:rPr>
      </w:pPr>
      <w:r>
        <w:rPr>
          <w:rFonts w:hint="eastAsia" w:ascii="宋体" w:hAnsi="宋体" w:cs="宋体"/>
        </w:rPr>
        <w:t>17、为了提高采购效率，节约社会交易成本与时间，本司希望购买了招标文件而决定不参加本次投标的供应商，在投标/报价文件递交截止时间的3日前，按《投标/报价邀请函》中的联系方式，以书面形式告知招标代理机构。对您的支持与配合，谨此致谢。</w:t>
      </w:r>
    </w:p>
    <w:p>
      <w:pPr>
        <w:tabs>
          <w:tab w:val="left" w:pos="851"/>
        </w:tabs>
        <w:snapToGrid w:val="0"/>
        <w:spacing w:line="360" w:lineRule="auto"/>
        <w:rPr>
          <w:rFonts w:hint="eastAsia" w:ascii="宋体" w:hAnsi="宋体" w:cs="宋体"/>
          <w:szCs w:val="21"/>
        </w:rPr>
      </w:pPr>
      <w:r>
        <w:rPr>
          <w:rFonts w:hint="eastAsia" w:ascii="宋体" w:hAnsi="宋体" w:cs="宋体"/>
        </w:rPr>
        <w:t>18、因场地有限，本公司无法提供停车位，不便之处敬请谅解</w:t>
      </w:r>
      <w:r>
        <w:rPr>
          <w:rFonts w:hint="eastAsia" w:ascii="宋体" w:hAnsi="宋体" w:cs="宋体"/>
          <w:szCs w:val="21"/>
        </w:rPr>
        <w:t>。</w:t>
      </w:r>
    </w:p>
    <w:p>
      <w:pPr>
        <w:tabs>
          <w:tab w:val="left" w:pos="851"/>
        </w:tabs>
        <w:snapToGrid w:val="0"/>
        <w:spacing w:line="360" w:lineRule="auto"/>
        <w:jc w:val="center"/>
        <w:rPr>
          <w:rFonts w:hint="eastAsia" w:ascii="宋体" w:hAnsi="宋体" w:cs="宋体"/>
          <w:b/>
          <w:sz w:val="44"/>
          <w:szCs w:val="32"/>
        </w:rPr>
        <w:sectPr>
          <w:footerReference r:id="rId5" w:type="default"/>
          <w:pgSz w:w="11906" w:h="16838"/>
          <w:pgMar w:top="1134" w:right="1418" w:bottom="1134" w:left="1418" w:header="851" w:footer="992" w:gutter="0"/>
          <w:pgNumType w:start="1"/>
          <w:cols w:space="720" w:num="1"/>
          <w:docGrid w:type="lines" w:linePitch="312" w:charSpace="0"/>
        </w:sectPr>
      </w:pPr>
    </w:p>
    <w:p>
      <w:pPr>
        <w:pStyle w:val="26"/>
        <w:rPr>
          <w:rFonts w:hint="eastAsia" w:hAnsi="宋体" w:cs="宋体"/>
        </w:rPr>
      </w:pPr>
    </w:p>
    <w:p>
      <w:pPr>
        <w:tabs>
          <w:tab w:val="left" w:pos="851"/>
        </w:tabs>
        <w:snapToGrid w:val="0"/>
        <w:spacing w:line="360" w:lineRule="auto"/>
        <w:jc w:val="center"/>
        <w:rPr>
          <w:rFonts w:hint="eastAsia" w:ascii="宋体" w:hAnsi="宋体" w:cs="宋体"/>
          <w:b/>
          <w:sz w:val="44"/>
          <w:szCs w:val="32"/>
        </w:rPr>
      </w:pPr>
      <w:r>
        <w:rPr>
          <w:rFonts w:hint="eastAsia" w:ascii="宋体" w:hAnsi="宋体" w:cs="宋体"/>
          <w:b/>
          <w:sz w:val="44"/>
          <w:szCs w:val="32"/>
        </w:rPr>
        <w:t>目 录</w:t>
      </w:r>
    </w:p>
    <w:p>
      <w:pPr>
        <w:pStyle w:val="253"/>
        <w:tabs>
          <w:tab w:val="right" w:leader="dot" w:pos="9070"/>
        </w:tabs>
        <w:rPr>
          <w:rFonts w:hint="eastAsia" w:ascii="宋体" w:hAnsi="宋体" w:cs="宋体"/>
        </w:rPr>
      </w:pPr>
      <w:r>
        <w:rPr>
          <w:rFonts w:hint="eastAsia" w:ascii="宋体" w:hAnsi="宋体" w:cs="宋体"/>
          <w:sz w:val="30"/>
          <w:szCs w:val="30"/>
        </w:rPr>
        <w:fldChar w:fldCharType="begin"/>
      </w:r>
      <w:r>
        <w:rPr>
          <w:rFonts w:hint="eastAsia" w:ascii="宋体" w:hAnsi="宋体" w:cs="宋体"/>
          <w:sz w:val="30"/>
          <w:szCs w:val="30"/>
        </w:rPr>
        <w:instrText xml:space="preserve">TOC \o "1-1" \h \u </w:instrText>
      </w:r>
      <w:r>
        <w:rPr>
          <w:rFonts w:hint="eastAsia" w:ascii="宋体" w:hAnsi="宋体" w:cs="宋体"/>
          <w:sz w:val="30"/>
          <w:szCs w:val="30"/>
        </w:rPr>
        <w:fldChar w:fldCharType="separate"/>
      </w:r>
    </w:p>
    <w:p>
      <w:pPr>
        <w:pStyle w:val="253"/>
        <w:tabs>
          <w:tab w:val="right" w:leader="dot" w:pos="9070"/>
        </w:tabs>
        <w:spacing w:line="480" w:lineRule="auto"/>
        <w:rPr>
          <w:rFonts w:hint="eastAsia" w:ascii="宋体" w:hAnsi="宋体" w:cs="宋体"/>
          <w:sz w:val="32"/>
          <w:szCs w:val="32"/>
        </w:rPr>
      </w:pPr>
      <w:r>
        <w:fldChar w:fldCharType="begin"/>
      </w:r>
      <w:r>
        <w:instrText xml:space="preserve"> HYPERLINK \l "_Toc12054" </w:instrText>
      </w:r>
      <w:r>
        <w:fldChar w:fldCharType="separate"/>
      </w:r>
      <w:r>
        <w:rPr>
          <w:rFonts w:hint="eastAsia" w:ascii="宋体" w:hAnsi="宋体" w:cs="宋体"/>
          <w:sz w:val="32"/>
          <w:szCs w:val="32"/>
        </w:rPr>
        <w:t>第一章  投标邀请函</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_Toc12054 \h </w:instrText>
      </w:r>
      <w:r>
        <w:rPr>
          <w:rFonts w:hint="eastAsia" w:ascii="宋体" w:hAnsi="宋体" w:cs="宋体"/>
          <w:sz w:val="32"/>
          <w:szCs w:val="32"/>
        </w:rPr>
        <w:fldChar w:fldCharType="separate"/>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fldChar w:fldCharType="end"/>
      </w:r>
    </w:p>
    <w:p>
      <w:pPr>
        <w:pStyle w:val="253"/>
        <w:tabs>
          <w:tab w:val="right" w:leader="dot" w:pos="9070"/>
        </w:tabs>
        <w:spacing w:line="480" w:lineRule="auto"/>
        <w:rPr>
          <w:rFonts w:hint="eastAsia" w:ascii="宋体" w:hAnsi="宋体" w:cs="宋体"/>
          <w:sz w:val="32"/>
          <w:szCs w:val="32"/>
        </w:rPr>
      </w:pPr>
      <w:r>
        <w:fldChar w:fldCharType="begin"/>
      </w:r>
      <w:r>
        <w:instrText xml:space="preserve"> HYPERLINK \l "_Toc9976" </w:instrText>
      </w:r>
      <w:r>
        <w:fldChar w:fldCharType="separate"/>
      </w:r>
      <w:r>
        <w:rPr>
          <w:rFonts w:hint="eastAsia" w:ascii="宋体" w:hAnsi="宋体" w:cs="宋体"/>
          <w:sz w:val="32"/>
          <w:szCs w:val="32"/>
        </w:rPr>
        <w:t>第二章  投标人须知</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_Toc9976 \h </w:instrText>
      </w:r>
      <w:r>
        <w:rPr>
          <w:rFonts w:hint="eastAsia" w:ascii="宋体" w:hAnsi="宋体" w:cs="宋体"/>
          <w:sz w:val="32"/>
          <w:szCs w:val="32"/>
        </w:rPr>
        <w:fldChar w:fldCharType="separate"/>
      </w:r>
      <w:r>
        <w:rPr>
          <w:rFonts w:hint="eastAsia" w:ascii="宋体" w:hAnsi="宋体" w:cs="宋体"/>
          <w:sz w:val="32"/>
          <w:szCs w:val="32"/>
        </w:rPr>
        <w:t>7</w:t>
      </w:r>
      <w:r>
        <w:rPr>
          <w:rFonts w:hint="eastAsia" w:ascii="宋体" w:hAnsi="宋体" w:cs="宋体"/>
          <w:sz w:val="32"/>
          <w:szCs w:val="32"/>
        </w:rPr>
        <w:fldChar w:fldCharType="end"/>
      </w:r>
      <w:r>
        <w:rPr>
          <w:rFonts w:hint="eastAsia" w:ascii="宋体" w:hAnsi="宋体" w:cs="宋体"/>
          <w:sz w:val="32"/>
          <w:szCs w:val="32"/>
        </w:rPr>
        <w:fldChar w:fldCharType="end"/>
      </w:r>
    </w:p>
    <w:p>
      <w:pPr>
        <w:pStyle w:val="253"/>
        <w:tabs>
          <w:tab w:val="right" w:leader="dot" w:pos="9070"/>
        </w:tabs>
        <w:spacing w:line="480" w:lineRule="auto"/>
        <w:rPr>
          <w:rFonts w:hint="eastAsia" w:ascii="宋体" w:hAnsi="宋体" w:cs="宋体"/>
          <w:sz w:val="32"/>
          <w:szCs w:val="32"/>
        </w:rPr>
      </w:pPr>
      <w:r>
        <w:fldChar w:fldCharType="begin"/>
      </w:r>
      <w:r>
        <w:instrText xml:space="preserve"> HYPERLINK \l "_Toc5009" </w:instrText>
      </w:r>
      <w:r>
        <w:fldChar w:fldCharType="separate"/>
      </w:r>
      <w:r>
        <w:rPr>
          <w:rFonts w:hint="eastAsia" w:ascii="宋体" w:hAnsi="宋体" w:cs="宋体"/>
          <w:sz w:val="32"/>
          <w:szCs w:val="32"/>
        </w:rPr>
        <w:t>第三章  用户需求书</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_Toc5009 \h </w:instrText>
      </w:r>
      <w:r>
        <w:rPr>
          <w:rFonts w:hint="eastAsia" w:ascii="宋体" w:hAnsi="宋体" w:cs="宋体"/>
          <w:sz w:val="32"/>
          <w:szCs w:val="32"/>
        </w:rPr>
        <w:fldChar w:fldCharType="separate"/>
      </w:r>
      <w:r>
        <w:rPr>
          <w:rFonts w:hint="eastAsia" w:ascii="宋体" w:hAnsi="宋体" w:cs="宋体"/>
          <w:sz w:val="32"/>
          <w:szCs w:val="32"/>
        </w:rPr>
        <w:t>22</w:t>
      </w:r>
      <w:r>
        <w:rPr>
          <w:rFonts w:hint="eastAsia" w:ascii="宋体" w:hAnsi="宋体" w:cs="宋体"/>
          <w:sz w:val="32"/>
          <w:szCs w:val="32"/>
        </w:rPr>
        <w:fldChar w:fldCharType="end"/>
      </w:r>
      <w:r>
        <w:rPr>
          <w:rFonts w:hint="eastAsia" w:ascii="宋体" w:hAnsi="宋体" w:cs="宋体"/>
          <w:sz w:val="32"/>
          <w:szCs w:val="32"/>
        </w:rPr>
        <w:fldChar w:fldCharType="end"/>
      </w:r>
    </w:p>
    <w:p>
      <w:pPr>
        <w:pStyle w:val="253"/>
        <w:tabs>
          <w:tab w:val="right" w:leader="dot" w:pos="9070"/>
        </w:tabs>
        <w:spacing w:line="480" w:lineRule="auto"/>
        <w:rPr>
          <w:rFonts w:hint="eastAsia" w:ascii="宋体" w:hAnsi="宋体" w:cs="宋体"/>
          <w:sz w:val="32"/>
          <w:szCs w:val="32"/>
        </w:rPr>
      </w:pPr>
      <w:r>
        <w:fldChar w:fldCharType="begin"/>
      </w:r>
      <w:r>
        <w:instrText xml:space="preserve"> HYPERLINK \l "_Toc30591" </w:instrText>
      </w:r>
      <w:r>
        <w:fldChar w:fldCharType="separate"/>
      </w:r>
      <w:r>
        <w:rPr>
          <w:rFonts w:hint="eastAsia" w:ascii="宋体" w:hAnsi="宋体" w:cs="宋体"/>
          <w:bCs/>
          <w:sz w:val="32"/>
          <w:szCs w:val="32"/>
        </w:rPr>
        <w:t>第四章  合同格式（参考）</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_Toc30591 \h </w:instrText>
      </w:r>
      <w:r>
        <w:rPr>
          <w:rFonts w:hint="eastAsia" w:ascii="宋体" w:hAnsi="宋体" w:cs="宋体"/>
          <w:sz w:val="32"/>
          <w:szCs w:val="32"/>
        </w:rPr>
        <w:fldChar w:fldCharType="separate"/>
      </w:r>
      <w:r>
        <w:rPr>
          <w:rFonts w:hint="eastAsia" w:ascii="宋体" w:hAnsi="宋体" w:cs="宋体"/>
          <w:sz w:val="32"/>
          <w:szCs w:val="32"/>
        </w:rPr>
        <w:t>42</w:t>
      </w:r>
      <w:r>
        <w:rPr>
          <w:rFonts w:hint="eastAsia" w:ascii="宋体" w:hAnsi="宋体" w:cs="宋体"/>
          <w:sz w:val="32"/>
          <w:szCs w:val="32"/>
        </w:rPr>
        <w:fldChar w:fldCharType="end"/>
      </w:r>
      <w:r>
        <w:rPr>
          <w:rFonts w:hint="eastAsia" w:ascii="宋体" w:hAnsi="宋体" w:cs="宋体"/>
          <w:sz w:val="32"/>
          <w:szCs w:val="32"/>
        </w:rPr>
        <w:fldChar w:fldCharType="end"/>
      </w:r>
    </w:p>
    <w:p>
      <w:pPr>
        <w:pStyle w:val="253"/>
        <w:tabs>
          <w:tab w:val="right" w:leader="dot" w:pos="9070"/>
        </w:tabs>
        <w:spacing w:line="480" w:lineRule="auto"/>
        <w:rPr>
          <w:rFonts w:hint="eastAsia" w:ascii="宋体" w:hAnsi="宋体" w:cs="宋体"/>
          <w:sz w:val="32"/>
          <w:szCs w:val="32"/>
        </w:rPr>
      </w:pPr>
      <w:r>
        <w:fldChar w:fldCharType="begin"/>
      </w:r>
      <w:r>
        <w:instrText xml:space="preserve"> HYPERLINK \l "_Toc31761" </w:instrText>
      </w:r>
      <w:r>
        <w:fldChar w:fldCharType="separate"/>
      </w:r>
      <w:r>
        <w:rPr>
          <w:rFonts w:hint="eastAsia" w:ascii="宋体" w:hAnsi="宋体" w:cs="宋体"/>
          <w:sz w:val="32"/>
          <w:szCs w:val="32"/>
        </w:rPr>
        <w:t>第五章  投标文件格式</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_Toc31761 \h </w:instrText>
      </w:r>
      <w:r>
        <w:rPr>
          <w:rFonts w:hint="eastAsia" w:ascii="宋体" w:hAnsi="宋体" w:cs="宋体"/>
          <w:sz w:val="32"/>
          <w:szCs w:val="32"/>
        </w:rPr>
        <w:fldChar w:fldCharType="separate"/>
      </w:r>
      <w:r>
        <w:rPr>
          <w:rFonts w:hint="eastAsia" w:ascii="宋体" w:hAnsi="宋体" w:cs="宋体"/>
          <w:sz w:val="32"/>
          <w:szCs w:val="32"/>
        </w:rPr>
        <w:t>51</w:t>
      </w:r>
      <w:r>
        <w:rPr>
          <w:rFonts w:hint="eastAsia" w:ascii="宋体" w:hAnsi="宋体" w:cs="宋体"/>
          <w:sz w:val="32"/>
          <w:szCs w:val="32"/>
        </w:rPr>
        <w:fldChar w:fldCharType="end"/>
      </w:r>
      <w:r>
        <w:rPr>
          <w:rFonts w:hint="eastAsia" w:ascii="宋体" w:hAnsi="宋体" w:cs="宋体"/>
          <w:sz w:val="32"/>
          <w:szCs w:val="32"/>
        </w:rPr>
        <w:fldChar w:fldCharType="end"/>
      </w:r>
    </w:p>
    <w:p>
      <w:pPr>
        <w:pStyle w:val="253"/>
        <w:tabs>
          <w:tab w:val="right" w:leader="dot" w:pos="9070"/>
        </w:tabs>
        <w:spacing w:line="480" w:lineRule="auto"/>
        <w:rPr>
          <w:rFonts w:hint="eastAsia" w:ascii="宋体" w:hAnsi="宋体" w:cs="宋体"/>
        </w:rPr>
      </w:pPr>
      <w:r>
        <w:fldChar w:fldCharType="begin"/>
      </w:r>
      <w:r>
        <w:instrText xml:space="preserve"> HYPERLINK \l "_Toc5715" </w:instrText>
      </w:r>
      <w:r>
        <w:fldChar w:fldCharType="separate"/>
      </w:r>
      <w:r>
        <w:rPr>
          <w:rFonts w:hint="eastAsia" w:ascii="宋体" w:hAnsi="宋体" w:cs="宋体"/>
          <w:sz w:val="32"/>
          <w:szCs w:val="32"/>
        </w:rPr>
        <w:t>第六章  评标办法</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_Toc5715 \h </w:instrText>
      </w:r>
      <w:r>
        <w:rPr>
          <w:rFonts w:hint="eastAsia" w:ascii="宋体" w:hAnsi="宋体" w:cs="宋体"/>
          <w:sz w:val="32"/>
          <w:szCs w:val="32"/>
        </w:rPr>
        <w:fldChar w:fldCharType="separate"/>
      </w:r>
      <w:r>
        <w:rPr>
          <w:rFonts w:hint="eastAsia" w:ascii="宋体" w:hAnsi="宋体" w:cs="宋体"/>
          <w:sz w:val="32"/>
          <w:szCs w:val="32"/>
        </w:rPr>
        <w:t>82</w:t>
      </w:r>
      <w:r>
        <w:rPr>
          <w:rFonts w:hint="eastAsia" w:ascii="宋体" w:hAnsi="宋体" w:cs="宋体"/>
          <w:sz w:val="32"/>
          <w:szCs w:val="32"/>
        </w:rPr>
        <w:fldChar w:fldCharType="end"/>
      </w:r>
      <w:r>
        <w:rPr>
          <w:rFonts w:hint="eastAsia" w:ascii="宋体" w:hAnsi="宋体" w:cs="宋体"/>
          <w:sz w:val="32"/>
          <w:szCs w:val="32"/>
        </w:rPr>
        <w:fldChar w:fldCharType="end"/>
      </w:r>
    </w:p>
    <w:p>
      <w:pPr>
        <w:pStyle w:val="253"/>
        <w:tabs>
          <w:tab w:val="right" w:leader="dot" w:pos="9070"/>
        </w:tabs>
        <w:rPr>
          <w:rFonts w:hint="eastAsia" w:ascii="宋体" w:hAnsi="宋体" w:cs="宋体"/>
        </w:rPr>
      </w:pPr>
    </w:p>
    <w:p>
      <w:pPr>
        <w:rPr>
          <w:rFonts w:hint="eastAsia" w:ascii="宋体" w:hAnsi="宋体" w:cs="宋体"/>
          <w:sz w:val="30"/>
          <w:szCs w:val="30"/>
        </w:rPr>
        <w:sectPr>
          <w:footerReference r:id="rId6" w:type="default"/>
          <w:pgSz w:w="11906" w:h="16838"/>
          <w:pgMar w:top="1134" w:right="1418" w:bottom="1134" w:left="1418" w:header="851" w:footer="992" w:gutter="0"/>
          <w:cols w:space="720" w:num="1"/>
          <w:docGrid w:type="lines" w:linePitch="312" w:charSpace="0"/>
        </w:sectPr>
      </w:pPr>
      <w:r>
        <w:rPr>
          <w:rFonts w:hint="eastAsia" w:ascii="宋体" w:hAnsi="宋体" w:cs="宋体"/>
          <w:szCs w:val="30"/>
        </w:rPr>
        <w:fldChar w:fldCharType="end"/>
      </w:r>
    </w:p>
    <w:p>
      <w:pPr>
        <w:pStyle w:val="26"/>
        <w:rPr>
          <w:rFonts w:hint="eastAsia" w:hAnsi="宋体" w:cs="宋体"/>
        </w:rPr>
      </w:pPr>
    </w:p>
    <w:p>
      <w:pPr>
        <w:spacing w:before="312" w:beforeLines="100" w:after="312" w:afterLines="100"/>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1" w:name="_Toc12054"/>
      <w:r>
        <w:rPr>
          <w:rFonts w:hint="eastAsia" w:ascii="宋体" w:hAnsi="宋体" w:cs="宋体"/>
          <w:b/>
          <w:sz w:val="44"/>
          <w:szCs w:val="44"/>
        </w:rPr>
        <w:t>第一章</w:t>
      </w:r>
      <w:bookmarkStart w:id="2" w:name="_Toc477186208"/>
      <w:r>
        <w:rPr>
          <w:rFonts w:hint="eastAsia" w:ascii="宋体" w:hAnsi="宋体" w:cs="宋体"/>
          <w:b/>
          <w:sz w:val="44"/>
          <w:szCs w:val="44"/>
        </w:rPr>
        <w:t xml:space="preserve">  投标邀请函</w:t>
      </w:r>
      <w:bookmarkEnd w:id="1"/>
      <w:bookmarkEnd w:id="2"/>
    </w:p>
    <w:p>
      <w:pPr>
        <w:tabs>
          <w:tab w:val="left" w:pos="6420"/>
        </w:tabs>
        <w:adjustRightInd w:val="0"/>
        <w:snapToGrid w:val="0"/>
        <w:spacing w:line="360" w:lineRule="auto"/>
        <w:jc w:val="center"/>
        <w:rPr>
          <w:rFonts w:hint="eastAsia"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hint="eastAsia" w:ascii="宋体" w:hAnsi="宋体" w:cs="宋体"/>
          <w:szCs w:val="24"/>
        </w:rPr>
      </w:pPr>
      <w:r>
        <w:rPr>
          <w:rFonts w:hint="eastAsia" w:ascii="宋体" w:hAnsi="宋体" w:cs="宋体"/>
          <w:szCs w:val="24"/>
        </w:rPr>
        <w:t>[项目编号：M4400000707527396]</w:t>
      </w:r>
    </w:p>
    <w:p>
      <w:pPr>
        <w:spacing w:line="360" w:lineRule="auto"/>
        <w:ind w:left="-359" w:leftChars="-171" w:firstLine="464" w:firstLineChars="220"/>
        <w:rPr>
          <w:rFonts w:hint="eastAsia"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rPr>
        <w:t xml:space="preserve">广东南方报业传媒集团有限公司 </w:t>
      </w:r>
      <w:r>
        <w:rPr>
          <w:rFonts w:hint="eastAsia" w:ascii="宋体" w:hAnsi="宋体" w:cs="宋体"/>
          <w:kern w:val="28"/>
        </w:rPr>
        <w:t>（以下称“招标人”）的委托，就</w:t>
      </w:r>
      <w:r>
        <w:rPr>
          <w:rFonts w:hint="eastAsia" w:ascii="宋体" w:hAnsi="宋体" w:cs="宋体"/>
          <w:b/>
          <w:bCs/>
        </w:rPr>
        <w:t>南方报业传媒集团私有云资源扩容项目</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0"/>
        <w:rPr>
          <w:rFonts w:hint="eastAsia" w:ascii="宋体" w:hAnsi="宋体" w:cs="宋体"/>
          <w:b/>
        </w:rPr>
      </w:pPr>
      <w:bookmarkStart w:id="3" w:name="_Toc477186209"/>
      <w:bookmarkStart w:id="4" w:name="_Toc19867"/>
      <w:bookmarkStart w:id="5" w:name="_Toc476177879"/>
      <w:bookmarkStart w:id="6" w:name="_Toc477185848"/>
      <w:bookmarkStart w:id="7" w:name="_Toc476177325"/>
      <w:r>
        <w:rPr>
          <w:rFonts w:hint="eastAsia" w:ascii="宋体" w:hAnsi="宋体" w:cs="宋体"/>
          <w:b/>
        </w:rPr>
        <w:t>一、项目概况</w:t>
      </w:r>
      <w:bookmarkEnd w:id="3"/>
      <w:bookmarkEnd w:id="4"/>
      <w:bookmarkEnd w:id="5"/>
      <w:bookmarkEnd w:id="6"/>
      <w:bookmarkEnd w:id="7"/>
    </w:p>
    <w:p>
      <w:pPr>
        <w:spacing w:line="360" w:lineRule="auto"/>
        <w:rPr>
          <w:rFonts w:hint="eastAsia" w:ascii="宋体" w:hAnsi="宋体" w:cs="宋体"/>
          <w:szCs w:val="21"/>
        </w:rPr>
      </w:pPr>
      <w:r>
        <w:rPr>
          <w:rFonts w:hint="eastAsia" w:ascii="宋体" w:hAnsi="宋体" w:cs="宋体"/>
          <w:szCs w:val="21"/>
        </w:rPr>
        <w:t xml:space="preserve">1.1 </w:t>
      </w:r>
      <w:r>
        <w:rPr>
          <w:rFonts w:hint="eastAsia" w:ascii="宋体" w:hAnsi="宋体" w:cs="宋体"/>
          <w:szCs w:val="24"/>
        </w:rPr>
        <w:t>项目编号：M4400000707527396</w:t>
      </w:r>
    </w:p>
    <w:p>
      <w:pPr>
        <w:spacing w:line="360" w:lineRule="auto"/>
        <w:rPr>
          <w:rFonts w:hint="eastAsia" w:ascii="宋体" w:hAnsi="宋体" w:cs="宋体"/>
          <w:szCs w:val="21"/>
        </w:rPr>
      </w:pPr>
      <w:r>
        <w:rPr>
          <w:rFonts w:hint="eastAsia" w:ascii="宋体" w:hAnsi="宋体" w:cs="宋体"/>
          <w:szCs w:val="21"/>
        </w:rPr>
        <w:t>1.2 项目名称：</w:t>
      </w:r>
      <w:r>
        <w:rPr>
          <w:rFonts w:hint="eastAsia" w:ascii="宋体" w:hAnsi="宋体" w:cs="宋体"/>
          <w:b/>
          <w:szCs w:val="21"/>
        </w:rPr>
        <w:t>南方报业传媒集团私有云资源扩容项目。</w:t>
      </w:r>
    </w:p>
    <w:p>
      <w:pPr>
        <w:tabs>
          <w:tab w:val="left" w:pos="540"/>
        </w:tabs>
        <w:spacing w:line="360" w:lineRule="auto"/>
        <w:outlineLvl w:val="0"/>
        <w:rPr>
          <w:rFonts w:hint="eastAsia" w:ascii="宋体" w:hAnsi="宋体" w:cs="宋体"/>
          <w:szCs w:val="21"/>
        </w:rPr>
      </w:pPr>
      <w:bookmarkStart w:id="8" w:name="_Toc17501"/>
      <w:r>
        <w:rPr>
          <w:rFonts w:hint="eastAsia" w:ascii="宋体" w:hAnsi="宋体" w:cs="宋体"/>
          <w:szCs w:val="21"/>
        </w:rPr>
        <w:t>1.3 项目预算金额（含税）：本项目设置最高限价，最高限价为442万元。</w:t>
      </w:r>
    </w:p>
    <w:p>
      <w:pPr>
        <w:tabs>
          <w:tab w:val="left" w:pos="540"/>
        </w:tabs>
        <w:spacing w:line="360" w:lineRule="auto"/>
        <w:outlineLvl w:val="0"/>
        <w:rPr>
          <w:rFonts w:hint="eastAsia" w:ascii="宋体" w:hAnsi="宋体" w:cs="宋体"/>
          <w:b/>
        </w:rPr>
      </w:pPr>
      <w:r>
        <w:rPr>
          <w:rFonts w:hint="eastAsia" w:ascii="宋体" w:hAnsi="宋体" w:cs="宋体"/>
          <w:b/>
          <w:lang w:val="zh-CN"/>
        </w:rPr>
        <w:t>注：</w:t>
      </w:r>
      <w:r>
        <w:rPr>
          <w:rFonts w:hint="eastAsia" w:ascii="宋体" w:hAnsi="宋体" w:cs="宋体"/>
          <w:b/>
        </w:rPr>
        <w:t>如投标报价超过最高限价，则其投标文件作无效投标处理。</w:t>
      </w:r>
      <w:bookmarkEnd w:id="8"/>
    </w:p>
    <w:p>
      <w:pPr>
        <w:tabs>
          <w:tab w:val="left" w:pos="540"/>
        </w:tabs>
        <w:spacing w:line="360" w:lineRule="auto"/>
        <w:outlineLvl w:val="0"/>
        <w:rPr>
          <w:rFonts w:hint="eastAsia" w:ascii="宋体" w:hAnsi="宋体" w:cs="宋体"/>
          <w:szCs w:val="21"/>
        </w:rPr>
      </w:pPr>
      <w:r>
        <w:rPr>
          <w:rFonts w:hint="eastAsia" w:ascii="宋体" w:hAnsi="宋体" w:cs="宋体"/>
          <w:szCs w:val="21"/>
        </w:rPr>
        <w:t>1.4 本项目招标主体为</w:t>
      </w:r>
      <w:r>
        <w:rPr>
          <w:rFonts w:hint="eastAsia" w:ascii="宋体" w:hAnsi="宋体" w:cs="宋体"/>
          <w:szCs w:val="21"/>
          <w:u w:val="single"/>
        </w:rPr>
        <w:t>广东南方报业传媒集团有限公司</w:t>
      </w:r>
      <w:r>
        <w:rPr>
          <w:rFonts w:hint="eastAsia" w:ascii="宋体" w:hAnsi="宋体" w:cs="宋体"/>
          <w:szCs w:val="21"/>
        </w:rPr>
        <w:t>，合同签订主体为</w:t>
      </w:r>
      <w:r>
        <w:rPr>
          <w:rFonts w:hint="eastAsia" w:ascii="宋体" w:hAnsi="宋体" w:cs="宋体"/>
          <w:szCs w:val="21"/>
          <w:u w:val="single"/>
        </w:rPr>
        <w:t>南方日报社</w:t>
      </w:r>
      <w:r>
        <w:rPr>
          <w:rFonts w:hint="eastAsia" w:ascii="宋体" w:hAnsi="宋体" w:cs="宋体"/>
          <w:szCs w:val="21"/>
        </w:rPr>
        <w:t>，中标人中标后须与合同签订主体签订本项目的合同。</w:t>
      </w:r>
    </w:p>
    <w:p>
      <w:pPr>
        <w:spacing w:line="360" w:lineRule="auto"/>
        <w:jc w:val="left"/>
        <w:rPr>
          <w:rFonts w:hint="eastAsia" w:ascii="宋体" w:hAnsi="宋体" w:cs="宋体"/>
          <w:szCs w:val="21"/>
        </w:rPr>
      </w:pPr>
      <w:r>
        <w:rPr>
          <w:rFonts w:hint="eastAsia" w:ascii="宋体" w:hAnsi="宋体" w:cs="宋体"/>
          <w:szCs w:val="21"/>
        </w:rPr>
        <w:t>1.5 采购数量：1项</w:t>
      </w:r>
    </w:p>
    <w:p>
      <w:pPr>
        <w:spacing w:line="360" w:lineRule="auto"/>
        <w:jc w:val="left"/>
        <w:rPr>
          <w:rFonts w:hint="eastAsia" w:ascii="宋体" w:hAnsi="宋体" w:cs="宋体"/>
          <w:szCs w:val="21"/>
        </w:rPr>
      </w:pPr>
      <w:r>
        <w:rPr>
          <w:rFonts w:hint="eastAsia" w:ascii="宋体" w:hAnsi="宋体" w:cs="宋体"/>
          <w:szCs w:val="21"/>
        </w:rPr>
        <w:t>1.6 项目内容及要求：</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vAlign w:val="center"/>
          </w:tcPr>
          <w:p>
            <w:pPr>
              <w:spacing w:line="360" w:lineRule="auto"/>
              <w:jc w:val="center"/>
              <w:rPr>
                <w:rFonts w:hint="eastAsia" w:ascii="宋体" w:hAnsi="宋体" w:cs="宋体"/>
                <w:szCs w:val="21"/>
              </w:rPr>
            </w:pPr>
            <w:bookmarkStart w:id="9" w:name="_Toc476177880"/>
            <w:bookmarkStart w:id="10" w:name="_Toc477186210"/>
            <w:bookmarkStart w:id="11" w:name="_Toc477185849"/>
            <w:bookmarkStart w:id="12" w:name="_Toc476177326"/>
            <w:r>
              <w:rPr>
                <w:rFonts w:hint="eastAsia" w:ascii="宋体" w:hAnsi="宋体" w:cs="宋体"/>
                <w:szCs w:val="21"/>
              </w:rPr>
              <w:t>序号</w:t>
            </w:r>
          </w:p>
        </w:tc>
        <w:tc>
          <w:tcPr>
            <w:tcW w:w="4974" w:type="dxa"/>
            <w:vAlign w:val="center"/>
          </w:tcPr>
          <w:p>
            <w:pPr>
              <w:spacing w:line="360" w:lineRule="auto"/>
              <w:jc w:val="center"/>
              <w:rPr>
                <w:rFonts w:hint="eastAsia" w:ascii="宋体" w:hAnsi="宋体" w:cs="宋体"/>
                <w:szCs w:val="21"/>
              </w:rPr>
            </w:pPr>
            <w:r>
              <w:rPr>
                <w:rFonts w:hint="eastAsia" w:ascii="宋体" w:hAnsi="宋体" w:cs="宋体"/>
                <w:szCs w:val="21"/>
              </w:rPr>
              <w:t>采购内容/用途</w:t>
            </w:r>
          </w:p>
        </w:tc>
        <w:tc>
          <w:tcPr>
            <w:tcW w:w="3151" w:type="dxa"/>
            <w:vAlign w:val="center"/>
          </w:tcPr>
          <w:p>
            <w:pPr>
              <w:spacing w:line="360" w:lineRule="auto"/>
              <w:jc w:val="center"/>
              <w:rPr>
                <w:rFonts w:hint="eastAsia" w:ascii="宋体" w:hAnsi="宋体" w:cs="宋体"/>
                <w:szCs w:val="21"/>
              </w:rPr>
            </w:pPr>
            <w:r>
              <w:rPr>
                <w:rFonts w:hint="eastAsia" w:ascii="宋体" w:hAnsi="宋体" w:cs="宋体"/>
                <w:szCs w:val="21"/>
              </w:rPr>
              <w:t>详细设备清单及规格说明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vAlign w:val="center"/>
          </w:tcPr>
          <w:p>
            <w:pPr>
              <w:spacing w:line="360" w:lineRule="auto"/>
              <w:jc w:val="center"/>
              <w:rPr>
                <w:rFonts w:hint="eastAsia" w:ascii="宋体" w:hAnsi="宋体" w:cs="宋体"/>
                <w:szCs w:val="21"/>
              </w:rPr>
            </w:pPr>
            <w:r>
              <w:rPr>
                <w:rFonts w:hint="eastAsia" w:ascii="宋体" w:hAnsi="宋体" w:cs="宋体"/>
                <w:szCs w:val="21"/>
              </w:rPr>
              <w:t>1</w:t>
            </w:r>
          </w:p>
        </w:tc>
        <w:tc>
          <w:tcPr>
            <w:tcW w:w="4974" w:type="dxa"/>
            <w:vAlign w:val="center"/>
          </w:tcPr>
          <w:p>
            <w:pPr>
              <w:spacing w:line="360" w:lineRule="auto"/>
              <w:jc w:val="center"/>
              <w:rPr>
                <w:rFonts w:hint="eastAsia" w:ascii="宋体" w:hAnsi="宋体" w:cs="宋体"/>
                <w:szCs w:val="21"/>
              </w:rPr>
            </w:pPr>
            <w:r>
              <w:rPr>
                <w:rFonts w:hint="eastAsia" w:ascii="宋体" w:hAnsi="宋体" w:cs="宋体"/>
                <w:szCs w:val="21"/>
              </w:rPr>
              <w:t>南方报业传媒集团私有云资源扩容项目</w:t>
            </w:r>
          </w:p>
        </w:tc>
        <w:tc>
          <w:tcPr>
            <w:tcW w:w="3151" w:type="dxa"/>
            <w:vAlign w:val="center"/>
          </w:tcPr>
          <w:p>
            <w:pPr>
              <w:spacing w:line="360" w:lineRule="auto"/>
              <w:jc w:val="center"/>
              <w:rPr>
                <w:rFonts w:hint="eastAsia" w:ascii="宋体" w:hAnsi="宋体" w:cs="宋体"/>
                <w:szCs w:val="21"/>
              </w:rPr>
            </w:pPr>
            <w:r>
              <w:rPr>
                <w:rFonts w:hint="eastAsia" w:ascii="宋体" w:hAnsi="宋体" w:cs="宋体"/>
                <w:szCs w:val="21"/>
              </w:rPr>
              <w:t>详见用户需求</w:t>
            </w:r>
          </w:p>
        </w:tc>
      </w:tr>
    </w:tbl>
    <w:p>
      <w:pPr>
        <w:tabs>
          <w:tab w:val="left" w:pos="540"/>
        </w:tabs>
        <w:spacing w:line="360" w:lineRule="auto"/>
        <w:outlineLvl w:val="0"/>
        <w:rPr>
          <w:rFonts w:hint="eastAsia" w:ascii="宋体" w:hAnsi="宋体" w:cs="宋体"/>
          <w:b/>
        </w:rPr>
      </w:pPr>
      <w:bookmarkStart w:id="13"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3"/>
    </w:p>
    <w:p>
      <w:pPr>
        <w:tabs>
          <w:tab w:val="left" w:pos="540"/>
        </w:tabs>
        <w:spacing w:line="360" w:lineRule="auto"/>
        <w:outlineLvl w:val="0"/>
        <w:rPr>
          <w:rFonts w:hint="eastAsia" w:ascii="宋体" w:hAnsi="宋体" w:cs="宋体"/>
          <w:b/>
        </w:rPr>
      </w:pPr>
      <w:bookmarkStart w:id="14" w:name="_Toc9782"/>
      <w:r>
        <w:rPr>
          <w:rFonts w:hint="eastAsia" w:ascii="宋体" w:hAnsi="宋体" w:cs="宋体"/>
          <w:b/>
        </w:rPr>
        <w:t>二、合格投标人资格条件</w:t>
      </w:r>
      <w:bookmarkEnd w:id="9"/>
      <w:bookmarkEnd w:id="10"/>
      <w:bookmarkEnd w:id="11"/>
      <w:bookmarkEnd w:id="12"/>
      <w:bookmarkEnd w:id="14"/>
    </w:p>
    <w:p>
      <w:pPr>
        <w:spacing w:line="360" w:lineRule="auto"/>
        <w:ind w:left="-359" w:leftChars="-171" w:firstLine="462" w:firstLineChars="220"/>
        <w:rPr>
          <w:rFonts w:hint="eastAsia" w:ascii="宋体" w:hAnsi="宋体" w:cs="宋体"/>
          <w:bCs/>
          <w:kern w:val="28"/>
          <w:szCs w:val="22"/>
        </w:rPr>
      </w:pPr>
      <w:bookmarkStart w:id="15" w:name="_Toc476177881"/>
      <w:bookmarkStart w:id="16" w:name="_Toc477186211"/>
      <w:bookmarkStart w:id="17" w:name="_Toc476177327"/>
      <w:bookmarkStart w:id="18" w:name="_Toc477185850"/>
      <w:r>
        <w:rPr>
          <w:rFonts w:hint="eastAsia" w:ascii="宋体" w:hAnsi="宋体" w:cs="宋体"/>
          <w:bCs/>
          <w:kern w:val="28"/>
          <w:szCs w:val="22"/>
        </w:rPr>
        <w:t>2.1投标人必须是在中华人民共和国范围内注册的独立法人或其他组织，持有工商行政管理部门核发的有效的营业执照(若持有“一照一码”版本营业执照，则无需提交组织机构代码证及税务登记证）。</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2.2投标人提供2022年度或2023年度的财务状况报告（若2024年新成立的，提供成立至今的月或季度财务状况报告复印件并加盖公章）或者基本户开户银行出具的资信证明复印件。</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2.3投标人有依法缴纳税收和社会保障资金的良好记录：提供2024年至今任意1个月缴纳税收和社会保障资金的相关材料。如依法免税或不需要缴纳社会保障资金的，提供相应证明材料。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投标人参加采购活动前3年内，在经营活动中没有重大违法记录。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格式自拟，须加盖公章）。</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2.5本项目提供整体设计、规范编制或者项目管理、监理、检测等服务的投标人不得参与本项目投标（格式自拟，须加盖公章）。</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2.6单位负责人为同一人或者存在控股、管理等关联关系的不同投标人，不得参加同一合同项下的采购活动，投标人应提交书面声明（格式自拟，须加盖公章）。</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2.7投标人具备</w:t>
      </w:r>
      <w:r>
        <w:rPr>
          <w:rFonts w:hint="eastAsia" w:ascii="宋体" w:hAnsi="宋体" w:cs="宋体"/>
          <w:bCs/>
          <w:kern w:val="28"/>
          <w:szCs w:val="22"/>
          <w:lang w:val="zh-CN"/>
        </w:rPr>
        <w:t>履行合同所必需的设备和专业技术能力</w:t>
      </w:r>
      <w:r>
        <w:rPr>
          <w:rFonts w:hint="eastAsia" w:ascii="宋体" w:hAnsi="宋体" w:cs="宋体"/>
          <w:bCs/>
          <w:kern w:val="28"/>
          <w:szCs w:val="22"/>
        </w:rPr>
        <w:t>（格式自拟，须加盖公章）。</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2.8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2.9本项目不接受备选方案，不允许违法分包或转包，不接受联合体投标。</w:t>
      </w:r>
    </w:p>
    <w:p>
      <w:pPr>
        <w:tabs>
          <w:tab w:val="left" w:pos="540"/>
        </w:tabs>
        <w:spacing w:line="360" w:lineRule="auto"/>
        <w:outlineLvl w:val="0"/>
        <w:rPr>
          <w:rFonts w:hint="eastAsia" w:ascii="宋体" w:hAnsi="宋体" w:cs="宋体"/>
          <w:b/>
        </w:rPr>
      </w:pPr>
      <w:bookmarkStart w:id="19" w:name="_Toc2035"/>
      <w:r>
        <w:rPr>
          <w:rFonts w:hint="eastAsia" w:ascii="宋体" w:hAnsi="宋体" w:cs="宋体"/>
          <w:b/>
        </w:rPr>
        <w:t>三、获取招标文件的</w:t>
      </w:r>
      <w:bookmarkEnd w:id="15"/>
      <w:bookmarkEnd w:id="16"/>
      <w:bookmarkEnd w:id="17"/>
      <w:bookmarkEnd w:id="18"/>
      <w:r>
        <w:rPr>
          <w:rFonts w:hint="eastAsia" w:ascii="宋体" w:hAnsi="宋体" w:cs="宋体"/>
          <w:b/>
        </w:rPr>
        <w:t>方式</w:t>
      </w:r>
      <w:bookmarkEnd w:id="19"/>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3.1符合资格的投标人应当在</w:t>
      </w:r>
      <w:r>
        <w:rPr>
          <w:rFonts w:hint="eastAsia" w:ascii="宋体" w:hAnsi="宋体" w:cs="宋体"/>
          <w:bCs/>
          <w:color w:val="000000"/>
          <w:kern w:val="28"/>
          <w:szCs w:val="22"/>
        </w:rPr>
        <w:t>2024年12月5日起至2024年12月11日</w:t>
      </w:r>
      <w:r>
        <w:rPr>
          <w:rFonts w:hint="eastAsia" w:ascii="宋体" w:hAnsi="宋体" w:cs="宋体"/>
          <w:bCs/>
          <w:kern w:val="28"/>
          <w:szCs w:val="22"/>
        </w:rPr>
        <w:t>期间（9:00～12:00，14:00～17:30，法定节假日除外）按以下方式登记并获取招标文件。</w:t>
      </w:r>
    </w:p>
    <w:p>
      <w:pPr>
        <w:spacing w:line="360" w:lineRule="auto"/>
        <w:ind w:left="-359" w:leftChars="-171" w:firstLine="462" w:firstLineChars="220"/>
        <w:rPr>
          <w:rFonts w:hint="eastAsia" w:ascii="宋体" w:hAnsi="宋体" w:cs="宋体"/>
          <w:bCs/>
          <w:szCs w:val="21"/>
        </w:rPr>
      </w:pPr>
      <w:r>
        <w:rPr>
          <w:rFonts w:hint="eastAsia" w:ascii="宋体" w:hAnsi="宋体" w:cs="宋体"/>
        </w:rPr>
        <w:t>本项目只接受网上登记，</w:t>
      </w:r>
      <w:r>
        <w:rPr>
          <w:rFonts w:hint="eastAsia" w:ascii="宋体" w:hAnsi="宋体" w:cs="宋体"/>
          <w:bCs/>
          <w:szCs w:val="21"/>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400-150-3001，网站客服(QQ)：3151435402）。具体登记及发售步骤如下：</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步骤一：</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项目网上登记递交申请登记资料：投标人登记时须提交以下申请登记资料一套电子版（加盖公章）上传至广咨电子招投标交易平台网站对应项目登记端口，登记资料要求如下：</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①投标人营业执照；</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②投标登记表（须加盖投标人公章）（见附件）</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步骤二：</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对于已按要求提交登记资料的申请人，请务必在提交了合格的登记申请资料，和接到招标代理机构的审核通知后，才能网上购买招标文件（包括支付招标文件费用）。</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步骤三：</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对于已成功办理购买招标文件的投标人，招标代理机构将按投标人提供的联系方式发出招标文件。</w:t>
      </w:r>
    </w:p>
    <w:p>
      <w:pPr>
        <w:spacing w:line="360" w:lineRule="auto"/>
        <w:ind w:left="-359" w:leftChars="-171" w:firstLine="462" w:firstLineChars="220"/>
        <w:rPr>
          <w:rFonts w:hint="eastAsia" w:ascii="宋体" w:hAnsi="宋体" w:cs="宋体"/>
          <w:bCs/>
          <w:szCs w:val="21"/>
        </w:rPr>
      </w:pPr>
      <w:r>
        <w:rPr>
          <w:rFonts w:hint="eastAsia" w:ascii="宋体" w:hAnsi="宋体" w:cs="宋体"/>
          <w:bCs/>
          <w:szCs w:val="21"/>
        </w:rPr>
        <w:t>3.2招标文件售价人民币300元，售后不退。</w:t>
      </w:r>
    </w:p>
    <w:p>
      <w:pPr>
        <w:spacing w:line="360" w:lineRule="auto"/>
        <w:ind w:left="-359" w:leftChars="-171" w:firstLine="462" w:firstLineChars="220"/>
        <w:rPr>
          <w:rFonts w:hint="eastAsia" w:ascii="宋体" w:hAnsi="宋体" w:cs="宋体"/>
        </w:rPr>
      </w:pPr>
      <w:r>
        <w:rPr>
          <w:rFonts w:hint="eastAsia" w:ascii="宋体" w:hAnsi="宋体" w:cs="宋体"/>
          <w:bCs/>
          <w:szCs w:val="21"/>
        </w:rPr>
        <w:t>3.3发布</w:t>
      </w:r>
      <w:r>
        <w:rPr>
          <w:rFonts w:hint="eastAsia" w:ascii="宋体" w:hAnsi="宋体" w:cs="宋体"/>
        </w:rPr>
        <w:t>公告的媒介：本项目招标公告同时在中国招标投标公共服务平台、广咨电子招投</w:t>
      </w:r>
      <w:r>
        <w:rPr>
          <w:rFonts w:hint="eastAsia" w:ascii="宋体" w:hAnsi="宋体" w:cs="宋体"/>
          <w:bCs/>
          <w:kern w:val="28"/>
          <w:szCs w:val="22"/>
        </w:rPr>
        <w:t>标交易平台</w:t>
      </w:r>
      <w:r>
        <w:rPr>
          <w:rFonts w:hint="eastAsia" w:ascii="宋体" w:hAnsi="宋体" w:cs="宋体"/>
        </w:rPr>
        <w:t>（广东省机电设备招标有限公司网）</w:t>
      </w:r>
      <w:r>
        <w:rPr>
          <w:rFonts w:hint="eastAsia" w:ascii="宋体" w:hAnsi="宋体" w:cs="宋体"/>
          <w:bCs/>
          <w:kern w:val="28"/>
          <w:szCs w:val="22"/>
        </w:rPr>
        <w:t>、</w:t>
      </w:r>
      <w:r>
        <w:rPr>
          <w:rFonts w:hint="eastAsia" w:ascii="宋体" w:hAnsi="宋体" w:cs="宋体"/>
        </w:rPr>
        <w:t>南方网、《南方日报》</w:t>
      </w:r>
      <w:r>
        <w:rPr>
          <w:rFonts w:hint="eastAsia" w:ascii="宋体" w:hAnsi="宋体" w:cs="宋体"/>
          <w:bCs/>
          <w:kern w:val="28"/>
          <w:szCs w:val="22"/>
        </w:rPr>
        <w:t>发布。</w:t>
      </w:r>
    </w:p>
    <w:p>
      <w:pPr>
        <w:tabs>
          <w:tab w:val="left" w:pos="540"/>
        </w:tabs>
        <w:spacing w:line="360" w:lineRule="auto"/>
        <w:outlineLvl w:val="0"/>
        <w:rPr>
          <w:rFonts w:hint="eastAsia" w:ascii="宋体" w:hAnsi="宋体" w:cs="宋体"/>
          <w:b/>
        </w:rPr>
      </w:pPr>
      <w:bookmarkStart w:id="20" w:name="_Toc477185851"/>
      <w:bookmarkStart w:id="21" w:name="_Toc1650"/>
      <w:bookmarkStart w:id="22" w:name="_Toc476177328"/>
      <w:bookmarkStart w:id="23" w:name="_Toc476177882"/>
      <w:bookmarkStart w:id="24" w:name="_Toc477186212"/>
      <w:r>
        <w:rPr>
          <w:rFonts w:hint="eastAsia" w:ascii="宋体" w:hAnsi="宋体" w:cs="宋体"/>
          <w:b/>
        </w:rPr>
        <w:t>四、投标文件的递交时间和递交地点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cs="宋体"/>
          <w:b/>
          <w:bCs/>
          <w:szCs w:val="21"/>
        </w:rPr>
      </w:pPr>
      <w:bookmarkStart w:id="25" w:name="_Toc477186213"/>
      <w:bookmarkStart w:id="26" w:name="_Toc476177883"/>
      <w:bookmarkStart w:id="27" w:name="_Toc476177329"/>
      <w:bookmarkStart w:id="28" w:name="_Toc477185852"/>
      <w:r>
        <w:rPr>
          <w:rFonts w:hint="eastAsia" w:ascii="宋体" w:hAnsi="宋体" w:cs="宋体"/>
          <w:bCs/>
          <w:kern w:val="28"/>
          <w:szCs w:val="22"/>
        </w:rPr>
        <w:t>4.1递交投标文件时间：</w:t>
      </w:r>
      <w:r>
        <w:rPr>
          <w:rFonts w:hint="eastAsia" w:ascii="宋体" w:hAnsi="宋体" w:cs="宋体"/>
          <w:bCs/>
          <w:color w:val="000000"/>
          <w:kern w:val="28"/>
          <w:szCs w:val="22"/>
        </w:rPr>
        <w:t>2024年12月25日</w:t>
      </w:r>
      <w:r>
        <w:rPr>
          <w:rFonts w:hint="eastAsia" w:ascii="宋体" w:hAnsi="宋体" w:cs="宋体"/>
          <w:bCs/>
          <w:kern w:val="28"/>
          <w:szCs w:val="22"/>
          <w:lang w:val="en-US" w:eastAsia="zh-CN"/>
        </w:rPr>
        <w:t>14</w:t>
      </w:r>
      <w:r>
        <w:rPr>
          <w:rFonts w:hint="eastAsia" w:ascii="宋体" w:hAnsi="宋体" w:cs="宋体"/>
          <w:bCs/>
          <w:kern w:val="28"/>
          <w:szCs w:val="22"/>
        </w:rPr>
        <w:t>:00-</w:t>
      </w:r>
      <w:r>
        <w:rPr>
          <w:rFonts w:hint="eastAsia" w:ascii="宋体" w:hAnsi="宋体" w:cs="宋体"/>
          <w:bCs/>
          <w:kern w:val="28"/>
          <w:szCs w:val="22"/>
          <w:lang w:val="en-US" w:eastAsia="zh-CN"/>
        </w:rPr>
        <w:t>14</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4.2递交投标文件地点：广东省机电设备招标有限公司10楼会议室（地址：广州市环市中路316号金鹰大厦10楼）。</w:t>
      </w:r>
    </w:p>
    <w:bookmarkEnd w:id="25"/>
    <w:bookmarkEnd w:id="26"/>
    <w:bookmarkEnd w:id="27"/>
    <w:bookmarkEnd w:id="28"/>
    <w:p>
      <w:pPr>
        <w:tabs>
          <w:tab w:val="left" w:pos="540"/>
        </w:tabs>
        <w:spacing w:line="360" w:lineRule="auto"/>
        <w:outlineLvl w:val="0"/>
        <w:rPr>
          <w:rFonts w:hint="eastAsia" w:ascii="宋体" w:hAnsi="宋体" w:cs="宋体"/>
          <w:b/>
        </w:rPr>
      </w:pPr>
      <w:bookmarkStart w:id="29" w:name="_Toc477185853"/>
      <w:bookmarkStart w:id="30" w:name="_Toc477186214"/>
      <w:bookmarkStart w:id="31" w:name="_Toc476177330"/>
      <w:bookmarkStart w:id="32" w:name="_Toc19972"/>
      <w:bookmarkStart w:id="33" w:name="_Toc476177884"/>
      <w:r>
        <w:rPr>
          <w:rFonts w:hint="eastAsia" w:ascii="宋体" w:hAnsi="宋体" w:cs="宋体"/>
          <w:b/>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cs="宋体"/>
          <w:szCs w:val="21"/>
        </w:rPr>
      </w:pPr>
      <w:r>
        <w:rPr>
          <w:rFonts w:hint="eastAsia" w:ascii="宋体" w:hAnsi="宋体" w:cs="宋体"/>
          <w:szCs w:val="21"/>
        </w:rPr>
        <w:t>5.1投标截止时间和开标时间：</w:t>
      </w:r>
      <w:r>
        <w:rPr>
          <w:rFonts w:hint="eastAsia" w:ascii="宋体" w:hAnsi="宋体" w:cs="宋体"/>
          <w:bCs/>
          <w:kern w:val="28"/>
          <w:szCs w:val="22"/>
        </w:rPr>
        <w:t>2024年12月25日</w:t>
      </w:r>
      <w:r>
        <w:rPr>
          <w:rFonts w:hint="eastAsia" w:ascii="宋体" w:hAnsi="宋体" w:cs="宋体"/>
          <w:szCs w:val="21"/>
          <w:lang w:val="en-US" w:eastAsia="zh-CN"/>
        </w:rPr>
        <w:t>14</w:t>
      </w:r>
      <w:r>
        <w:rPr>
          <w:rFonts w:hint="eastAsia" w:ascii="宋体" w:hAnsi="宋体" w:cs="宋体"/>
          <w:szCs w:val="21"/>
        </w:rPr>
        <w:t>:30（北京时间）</w:t>
      </w:r>
    </w:p>
    <w:p>
      <w:pPr>
        <w:spacing w:line="360" w:lineRule="auto"/>
        <w:ind w:left="-359" w:leftChars="-171" w:firstLine="359" w:firstLineChars="171"/>
        <w:rPr>
          <w:rFonts w:hint="eastAsia" w:ascii="宋体" w:hAnsi="宋体" w:cs="宋体"/>
          <w:bCs/>
          <w:color w:val="0000FF"/>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w:t>
      </w:r>
      <w:r>
        <w:rPr>
          <w:rFonts w:hint="eastAsia" w:ascii="宋体" w:hAnsi="宋体" w:cs="宋体"/>
          <w:bCs/>
          <w:color w:val="0000FF"/>
          <w:kern w:val="28"/>
          <w:szCs w:val="22"/>
        </w:rPr>
        <w:t>。</w:t>
      </w:r>
    </w:p>
    <w:p>
      <w:pPr>
        <w:spacing w:line="360" w:lineRule="auto"/>
        <w:ind w:left="-359" w:leftChars="-171" w:firstLine="359" w:firstLineChars="171"/>
        <w:rPr>
          <w:rFonts w:hint="eastAsia"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rPr>
      </w:pPr>
      <w:bookmarkStart w:id="34" w:name="_Toc476177331"/>
      <w:bookmarkStart w:id="35" w:name="_Toc476177885"/>
      <w:bookmarkStart w:id="36" w:name="_Toc25490"/>
      <w:bookmarkStart w:id="37" w:name="_Toc477186215"/>
      <w:bookmarkStart w:id="38" w:name="_Toc477185854"/>
      <w:r>
        <w:rPr>
          <w:rFonts w:hint="eastAsia" w:ascii="宋体" w:hAnsi="宋体" w:cs="宋体"/>
          <w:b/>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cs="宋体"/>
          <w:szCs w:val="21"/>
        </w:rPr>
      </w:pPr>
      <w:r>
        <w:rPr>
          <w:rFonts w:hint="eastAsia" w:ascii="宋体" w:hAnsi="宋体" w:cs="宋体"/>
          <w:szCs w:val="21"/>
        </w:rPr>
        <w:t>6.1各投标人的资料复印件应加盖单位公章保证所提供资料的真实性，如发现有虚假、隐瞒情况者，招标人将取消其投标资格。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6.2</w:t>
      </w:r>
      <w:r>
        <w:rPr>
          <w:rFonts w:hint="eastAsia" w:ascii="宋体" w:hAnsi="宋体" w:cs="宋体"/>
          <w:bCs/>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6.3招标代理机构和招标人将不负责投标人准备投标文件和递交投标文件所发生的任何成本或费用。</w:t>
      </w:r>
    </w:p>
    <w:p>
      <w:pPr>
        <w:tabs>
          <w:tab w:val="left" w:pos="540"/>
        </w:tabs>
        <w:spacing w:line="360" w:lineRule="auto"/>
        <w:outlineLvl w:val="0"/>
        <w:rPr>
          <w:rFonts w:hint="eastAsia" w:ascii="宋体" w:hAnsi="宋体" w:cs="宋体"/>
          <w:b/>
        </w:rPr>
      </w:pPr>
      <w:bookmarkStart w:id="39" w:name="_Toc32203"/>
      <w:bookmarkStart w:id="40" w:name="_Toc476177886"/>
      <w:bookmarkStart w:id="41" w:name="_Toc477185855"/>
      <w:bookmarkStart w:id="42" w:name="_Toc476177332"/>
      <w:bookmarkStart w:id="43" w:name="_Toc477186216"/>
      <w:r>
        <w:rPr>
          <w:rFonts w:hint="eastAsia" w:ascii="宋体" w:hAnsi="宋体" w:cs="宋体"/>
          <w:b/>
        </w:rPr>
        <w:t>七、招标代理机构所在地和</w:t>
      </w:r>
      <w:bookmarkEnd w:id="39"/>
      <w:bookmarkEnd w:id="40"/>
      <w:bookmarkEnd w:id="41"/>
      <w:bookmarkEnd w:id="42"/>
      <w:bookmarkEnd w:id="43"/>
      <w:r>
        <w:rPr>
          <w:rFonts w:hint="eastAsia" w:ascii="宋体" w:hAnsi="宋体" w:cs="宋体"/>
          <w:b/>
        </w:rPr>
        <w:t>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7.1招标人联系方式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 xml:space="preserve">招 标 人：广东南方报业传媒集团有限公司 </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地    址：广东省广州市越秀区广州大道中289号</w:t>
      </w:r>
    </w:p>
    <w:p>
      <w:pPr>
        <w:spacing w:line="360" w:lineRule="auto"/>
        <w:ind w:left="-359" w:leftChars="-171" w:firstLine="359" w:firstLineChars="171"/>
        <w:rPr>
          <w:rFonts w:hint="eastAsia" w:ascii="宋体" w:hAnsi="宋体" w:cs="宋体"/>
        </w:rPr>
      </w:pPr>
      <w:r>
        <w:rPr>
          <w:rFonts w:hint="eastAsia" w:ascii="宋体" w:hAnsi="宋体" w:cs="宋体"/>
          <w:szCs w:val="21"/>
        </w:rPr>
        <w:t>联 系 人：蔡小姐</w:t>
      </w:r>
    </w:p>
    <w:p>
      <w:pPr>
        <w:spacing w:line="360" w:lineRule="auto"/>
        <w:ind w:left="-359" w:leftChars="-171" w:firstLine="359" w:firstLineChars="171"/>
        <w:rPr>
          <w:rFonts w:hint="eastAsia" w:ascii="宋体" w:hAnsi="宋体" w:cs="宋体"/>
        </w:rPr>
      </w:pPr>
      <w:r>
        <w:rPr>
          <w:rFonts w:hint="eastAsia" w:ascii="宋体" w:hAnsi="宋体" w:cs="宋体"/>
        </w:rPr>
        <w:t>电  话：</w:t>
      </w:r>
      <w:r>
        <w:rPr>
          <w:rFonts w:hint="eastAsia" w:ascii="宋体" w:hAnsi="宋体" w:cs="宋体"/>
          <w:szCs w:val="21"/>
        </w:rPr>
        <w:t>020-83002023</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7.2招标代理机构联系方式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联系人：刘先生、胡小姐、王小姐</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电  话：020-83544332、83541795</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传  真：020-83565537</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电子邮件：gdjdsbzbcg@163.com</w:t>
      </w:r>
    </w:p>
    <w:p>
      <w:pPr>
        <w:wordWrap w:val="0"/>
        <w:spacing w:line="360" w:lineRule="auto"/>
        <w:ind w:firstLine="420" w:firstLineChars="200"/>
        <w:jc w:val="right"/>
        <w:rPr>
          <w:rFonts w:hint="eastAsia" w:ascii="宋体" w:hAnsi="宋体" w:cs="宋体"/>
        </w:rPr>
      </w:pPr>
      <w:r>
        <w:rPr>
          <w:rFonts w:hint="eastAsia" w:ascii="宋体" w:hAnsi="宋体" w:cs="宋体"/>
        </w:rPr>
        <w:t xml:space="preserve">  招标人：</w:t>
      </w:r>
      <w:r>
        <w:rPr>
          <w:rFonts w:hint="eastAsia" w:ascii="宋体" w:hAnsi="宋体" w:cs="宋体"/>
          <w:bCs/>
        </w:rPr>
        <w:t xml:space="preserve">广东南方报业传媒集团有限公司 </w:t>
      </w:r>
    </w:p>
    <w:p>
      <w:pPr>
        <w:spacing w:line="360" w:lineRule="auto"/>
        <w:jc w:val="right"/>
        <w:rPr>
          <w:rFonts w:hint="eastAsia"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hint="eastAsia" w:ascii="宋体" w:hAnsi="宋体" w:cs="宋体"/>
          <w:color w:val="000000"/>
        </w:rPr>
        <w:sectPr>
          <w:footerReference r:id="rId7"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color w:val="000000"/>
        </w:rPr>
        <w:t>2024年12月4日</w:t>
      </w:r>
    </w:p>
    <w:p>
      <w:pPr>
        <w:spacing w:line="360" w:lineRule="auto"/>
        <w:ind w:left="337" w:hanging="337" w:hangingChars="140"/>
        <w:rPr>
          <w:rFonts w:hint="eastAsia" w:ascii="宋体" w:hAnsi="宋体" w:cs="宋体"/>
          <w:b/>
          <w:bCs/>
          <w:sz w:val="24"/>
          <w:szCs w:val="24"/>
        </w:rPr>
      </w:pPr>
      <w:r>
        <w:rPr>
          <w:rFonts w:hint="eastAsia" w:ascii="宋体" w:hAnsi="宋体" w:cs="宋体"/>
          <w:b/>
          <w:bCs/>
          <w:sz w:val="24"/>
          <w:szCs w:val="24"/>
        </w:rPr>
        <w:t xml:space="preserve">附件：                     </w:t>
      </w:r>
    </w:p>
    <w:p>
      <w:pPr>
        <w:spacing w:line="360" w:lineRule="auto"/>
        <w:ind w:left="337" w:hanging="337" w:hangingChars="140"/>
        <w:jc w:val="center"/>
        <w:outlineLvl w:val="0"/>
        <w:rPr>
          <w:rFonts w:hint="eastAsia" w:ascii="宋体" w:hAnsi="宋体" w:cs="宋体"/>
          <w:b/>
          <w:bCs/>
          <w:sz w:val="24"/>
          <w:szCs w:val="24"/>
        </w:rPr>
      </w:pPr>
      <w:bookmarkStart w:id="44" w:name="_Toc32613"/>
      <w:r>
        <w:rPr>
          <w:rFonts w:hint="eastAsia" w:ascii="宋体" w:hAnsi="宋体" w:cs="宋体"/>
          <w:b/>
          <w:bCs/>
          <w:kern w:val="0"/>
          <w:sz w:val="24"/>
          <w:szCs w:val="24"/>
        </w:rPr>
        <w:t>投标登记表</w:t>
      </w:r>
      <w:bookmarkEnd w:id="44"/>
    </w:p>
    <w:tbl>
      <w:tblPr>
        <w:tblStyle w:val="53"/>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0"/>
        <w:gridCol w:w="1733"/>
        <w:gridCol w:w="2190"/>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2090" w:type="dxa"/>
            <w:vAlign w:val="center"/>
          </w:tcPr>
          <w:p>
            <w:pPr>
              <w:spacing w:line="360" w:lineRule="auto"/>
              <w:jc w:val="center"/>
              <w:rPr>
                <w:rFonts w:hint="eastAsia" w:ascii="宋体" w:hAnsi="宋体" w:cs="宋体"/>
                <w:bCs/>
                <w:szCs w:val="21"/>
              </w:rPr>
            </w:pPr>
            <w:r>
              <w:rPr>
                <w:rFonts w:hint="eastAsia" w:ascii="宋体" w:hAnsi="宋体" w:cs="宋体"/>
                <w:szCs w:val="21"/>
              </w:rPr>
              <w:t>项目编号</w:t>
            </w:r>
          </w:p>
        </w:tc>
        <w:tc>
          <w:tcPr>
            <w:tcW w:w="7111" w:type="dxa"/>
            <w:gridSpan w:val="3"/>
            <w:vAlign w:val="center"/>
          </w:tcPr>
          <w:p>
            <w:pPr>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2090" w:type="dxa"/>
            <w:vAlign w:val="center"/>
          </w:tcPr>
          <w:p>
            <w:pPr>
              <w:spacing w:line="360" w:lineRule="auto"/>
              <w:jc w:val="center"/>
              <w:rPr>
                <w:rFonts w:hint="eastAsia" w:ascii="宋体" w:hAnsi="宋体" w:cs="宋体"/>
                <w:bCs/>
                <w:szCs w:val="21"/>
              </w:rPr>
            </w:pPr>
            <w:r>
              <w:rPr>
                <w:rFonts w:hint="eastAsia" w:ascii="宋体" w:hAnsi="宋体" w:cs="宋体"/>
                <w:szCs w:val="21"/>
              </w:rPr>
              <w:t>项目名称</w:t>
            </w:r>
          </w:p>
        </w:tc>
        <w:tc>
          <w:tcPr>
            <w:tcW w:w="7111" w:type="dxa"/>
            <w:gridSpan w:val="3"/>
            <w:vAlign w:val="center"/>
          </w:tcPr>
          <w:p>
            <w:pPr>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090" w:type="dxa"/>
            <w:vAlign w:val="center"/>
          </w:tcPr>
          <w:p>
            <w:pPr>
              <w:spacing w:line="360" w:lineRule="auto"/>
              <w:jc w:val="center"/>
              <w:rPr>
                <w:rFonts w:hint="eastAsia" w:ascii="宋体" w:hAnsi="宋体" w:cs="宋体"/>
                <w:bCs/>
                <w:szCs w:val="21"/>
              </w:rPr>
            </w:pPr>
            <w:r>
              <w:rPr>
                <w:rFonts w:hint="eastAsia" w:ascii="宋体" w:hAnsi="宋体" w:cs="宋体"/>
                <w:szCs w:val="21"/>
              </w:rPr>
              <w:t>购买招标文件单位名称</w:t>
            </w:r>
          </w:p>
        </w:tc>
        <w:tc>
          <w:tcPr>
            <w:tcW w:w="7111" w:type="dxa"/>
            <w:gridSpan w:val="3"/>
            <w:vAlign w:val="center"/>
          </w:tcPr>
          <w:p>
            <w:pPr>
              <w:spacing w:line="360" w:lineRule="auto"/>
              <w:rPr>
                <w:rFonts w:hint="eastAsia"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2090" w:type="dxa"/>
            <w:vAlign w:val="center"/>
          </w:tcPr>
          <w:p>
            <w:pPr>
              <w:spacing w:line="360" w:lineRule="auto"/>
              <w:jc w:val="center"/>
              <w:rPr>
                <w:rFonts w:hint="eastAsia" w:ascii="宋体" w:hAnsi="宋体" w:cs="宋体"/>
                <w:bCs/>
                <w:szCs w:val="21"/>
              </w:rPr>
            </w:pPr>
            <w:r>
              <w:rPr>
                <w:rFonts w:hint="eastAsia" w:ascii="宋体" w:hAnsi="宋体" w:cs="宋体"/>
                <w:szCs w:val="21"/>
              </w:rPr>
              <w:t>单位地址</w:t>
            </w:r>
          </w:p>
        </w:tc>
        <w:tc>
          <w:tcPr>
            <w:tcW w:w="7111" w:type="dxa"/>
            <w:gridSpan w:val="3"/>
            <w:vAlign w:val="center"/>
          </w:tcPr>
          <w:p>
            <w:pPr>
              <w:spacing w:line="360" w:lineRule="auto"/>
              <w:rPr>
                <w:rFonts w:hint="eastAsia"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2090" w:type="dxa"/>
            <w:vAlign w:val="center"/>
          </w:tcPr>
          <w:p>
            <w:pPr>
              <w:spacing w:line="360" w:lineRule="auto"/>
              <w:jc w:val="center"/>
              <w:rPr>
                <w:rFonts w:hint="eastAsia" w:ascii="宋体" w:hAnsi="宋体" w:cs="宋体"/>
                <w:szCs w:val="21"/>
              </w:rPr>
            </w:pPr>
            <w:r>
              <w:rPr>
                <w:rFonts w:hint="eastAsia" w:ascii="宋体" w:hAnsi="宋体" w:cs="宋体"/>
                <w:szCs w:val="21"/>
              </w:rPr>
              <w:t>统一社会信用代码</w:t>
            </w:r>
          </w:p>
        </w:tc>
        <w:tc>
          <w:tcPr>
            <w:tcW w:w="7111" w:type="dxa"/>
            <w:gridSpan w:val="3"/>
            <w:vAlign w:val="center"/>
          </w:tcPr>
          <w:p>
            <w:pPr>
              <w:spacing w:line="360" w:lineRule="auto"/>
              <w:rPr>
                <w:rFonts w:hint="eastAsia"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201" w:type="dxa"/>
            <w:gridSpan w:val="4"/>
            <w:vAlign w:val="center"/>
          </w:tcPr>
          <w:p>
            <w:pPr>
              <w:spacing w:line="360" w:lineRule="auto"/>
              <w:jc w:val="center"/>
              <w:rPr>
                <w:rFonts w:hint="eastAsia" w:ascii="宋体" w:hAnsi="宋体" w:cs="宋体"/>
                <w:b/>
                <w:bCs/>
                <w:szCs w:val="21"/>
              </w:rPr>
            </w:pPr>
            <w:r>
              <w:rPr>
                <w:rFonts w:hint="eastAsia" w:ascii="宋体" w:hAnsi="宋体" w:cs="宋体"/>
                <w:b/>
                <w:szCs w:val="21"/>
              </w:rPr>
              <w:t>购买招标文件代表信息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jc w:val="center"/>
        </w:trPr>
        <w:tc>
          <w:tcPr>
            <w:tcW w:w="2090" w:type="dxa"/>
            <w:vAlign w:val="center"/>
          </w:tcPr>
          <w:p>
            <w:pPr>
              <w:spacing w:line="360" w:lineRule="auto"/>
              <w:jc w:val="center"/>
              <w:rPr>
                <w:rFonts w:hint="eastAsia" w:ascii="宋体" w:hAnsi="宋体" w:cs="宋体"/>
                <w:bCs/>
                <w:szCs w:val="21"/>
              </w:rPr>
            </w:pPr>
            <w:r>
              <w:rPr>
                <w:rFonts w:hint="eastAsia" w:ascii="宋体" w:hAnsi="宋体" w:cs="宋体"/>
                <w:szCs w:val="21"/>
              </w:rPr>
              <w:t>姓名</w:t>
            </w:r>
          </w:p>
        </w:tc>
        <w:tc>
          <w:tcPr>
            <w:tcW w:w="1733" w:type="dxa"/>
            <w:vAlign w:val="center"/>
          </w:tcPr>
          <w:p>
            <w:pPr>
              <w:spacing w:line="360" w:lineRule="auto"/>
              <w:jc w:val="center"/>
              <w:rPr>
                <w:rFonts w:hint="eastAsia" w:ascii="宋体" w:hAnsi="宋体" w:cs="宋体"/>
                <w:bCs/>
                <w:szCs w:val="21"/>
              </w:rPr>
            </w:pPr>
          </w:p>
        </w:tc>
        <w:tc>
          <w:tcPr>
            <w:tcW w:w="2190" w:type="dxa"/>
            <w:vAlign w:val="center"/>
          </w:tcPr>
          <w:p>
            <w:pPr>
              <w:spacing w:line="360" w:lineRule="auto"/>
              <w:jc w:val="center"/>
              <w:rPr>
                <w:rFonts w:hint="eastAsia" w:ascii="宋体" w:hAnsi="宋体" w:cs="宋体"/>
                <w:szCs w:val="21"/>
              </w:rPr>
            </w:pPr>
            <w:r>
              <w:rPr>
                <w:rFonts w:hint="eastAsia" w:ascii="宋体" w:hAnsi="宋体" w:cs="宋体"/>
                <w:szCs w:val="21"/>
              </w:rPr>
              <w:t>办公电话</w:t>
            </w:r>
          </w:p>
        </w:tc>
        <w:tc>
          <w:tcPr>
            <w:tcW w:w="3188" w:type="dxa"/>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90" w:type="dxa"/>
            <w:vAlign w:val="center"/>
          </w:tcPr>
          <w:p>
            <w:pPr>
              <w:spacing w:line="360" w:lineRule="auto"/>
              <w:jc w:val="center"/>
              <w:rPr>
                <w:rFonts w:hint="eastAsia" w:ascii="宋体" w:hAnsi="宋体" w:cs="宋体"/>
                <w:bCs/>
                <w:szCs w:val="21"/>
              </w:rPr>
            </w:pPr>
            <w:r>
              <w:rPr>
                <w:rFonts w:hint="eastAsia" w:ascii="宋体" w:hAnsi="宋体" w:cs="宋体"/>
                <w:bCs/>
                <w:szCs w:val="21"/>
              </w:rPr>
              <w:t>手机</w:t>
            </w:r>
          </w:p>
        </w:tc>
        <w:tc>
          <w:tcPr>
            <w:tcW w:w="1733" w:type="dxa"/>
            <w:vAlign w:val="center"/>
          </w:tcPr>
          <w:p>
            <w:pPr>
              <w:spacing w:line="360" w:lineRule="auto"/>
              <w:jc w:val="center"/>
              <w:rPr>
                <w:rFonts w:hint="eastAsia" w:ascii="宋体" w:hAnsi="宋体" w:cs="宋体"/>
                <w:bCs/>
                <w:szCs w:val="21"/>
              </w:rPr>
            </w:pPr>
          </w:p>
        </w:tc>
        <w:tc>
          <w:tcPr>
            <w:tcW w:w="2190" w:type="dxa"/>
            <w:vAlign w:val="center"/>
          </w:tcPr>
          <w:p>
            <w:pPr>
              <w:spacing w:line="360" w:lineRule="auto"/>
              <w:jc w:val="center"/>
              <w:rPr>
                <w:rFonts w:hint="eastAsia" w:ascii="宋体" w:hAnsi="宋体" w:cs="宋体"/>
                <w:bCs/>
                <w:szCs w:val="21"/>
              </w:rPr>
            </w:pPr>
            <w:r>
              <w:rPr>
                <w:rFonts w:hint="eastAsia" w:ascii="宋体" w:hAnsi="宋体" w:cs="宋体"/>
                <w:bCs/>
                <w:szCs w:val="21"/>
              </w:rPr>
              <w:t>电子邮箱（QQ邮箱）</w:t>
            </w:r>
          </w:p>
        </w:tc>
        <w:tc>
          <w:tcPr>
            <w:tcW w:w="3188" w:type="dxa"/>
            <w:vAlign w:val="center"/>
          </w:tcPr>
          <w:p>
            <w:pPr>
              <w:spacing w:line="360" w:lineRule="auto"/>
              <w:jc w:val="center"/>
              <w:rPr>
                <w:rFonts w:hint="eastAsia" w:ascii="宋体" w:hAnsi="宋体" w:cs="宋体"/>
                <w:bCs/>
                <w:szCs w:val="21"/>
              </w:rPr>
            </w:pPr>
          </w:p>
        </w:tc>
      </w:tr>
    </w:tbl>
    <w:p>
      <w:pPr>
        <w:spacing w:line="360" w:lineRule="auto"/>
        <w:rPr>
          <w:rFonts w:hint="eastAsia" w:ascii="宋体" w:hAnsi="宋体" w:cs="宋体"/>
          <w:sz w:val="24"/>
        </w:rPr>
      </w:pPr>
      <w:r>
        <w:rPr>
          <w:rFonts w:hint="eastAsia" w:ascii="宋体" w:hAnsi="宋体" w:cs="宋体"/>
          <w:b/>
          <w:bCs/>
          <w:sz w:val="24"/>
        </w:rPr>
        <w:br w:type="page"/>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snapToGrid w:val="0"/>
        <w:spacing w:line="360" w:lineRule="auto"/>
        <w:jc w:val="center"/>
        <w:rPr>
          <w:rFonts w:hint="eastAsia" w:ascii="宋体" w:hAnsi="宋体" w:cs="宋体"/>
          <w:b/>
          <w:sz w:val="44"/>
        </w:rPr>
      </w:pPr>
    </w:p>
    <w:p>
      <w:pPr>
        <w:snapToGrid w:val="0"/>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45" w:name="_Toc9976"/>
      <w:r>
        <w:rPr>
          <w:rFonts w:hint="eastAsia" w:ascii="宋体" w:hAnsi="宋体" w:cs="宋体"/>
          <w:b/>
          <w:sz w:val="44"/>
          <w:szCs w:val="44"/>
        </w:rPr>
        <w:t>第二章</w:t>
      </w:r>
      <w:bookmarkStart w:id="46" w:name="_Toc477186217"/>
      <w:r>
        <w:rPr>
          <w:rFonts w:hint="eastAsia" w:ascii="宋体" w:hAnsi="宋体" w:cs="宋体"/>
          <w:b/>
          <w:sz w:val="44"/>
          <w:szCs w:val="44"/>
        </w:rPr>
        <w:t xml:space="preserve">  投标人须知</w:t>
      </w:r>
      <w:bookmarkEnd w:id="45"/>
      <w:bookmarkEnd w:id="46"/>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jc w:val="cente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投标人须知前附表</w:t>
      </w:r>
    </w:p>
    <w:tbl>
      <w:tblPr>
        <w:tblStyle w:val="5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vAlign w:val="center"/>
          </w:tcPr>
          <w:p>
            <w:pPr>
              <w:pStyle w:val="41"/>
              <w:ind w:left="1265" w:right="42" w:rightChars="20" w:hanging="1265"/>
              <w:jc w:val="center"/>
              <w:rPr>
                <w:rFonts w:hint="eastAsia" w:hAnsi="宋体" w:cs="宋体"/>
                <w:b/>
                <w:bCs/>
              </w:rPr>
            </w:pPr>
            <w:bookmarkStart w:id="47" w:name="_Toc476177333"/>
            <w:bookmarkStart w:id="48" w:name="_Toc476177888"/>
            <w:bookmarkStart w:id="49" w:name="_Toc30250"/>
            <w:bookmarkStart w:id="50" w:name="_Toc119753876"/>
            <w:r>
              <w:rPr>
                <w:rFonts w:hint="eastAsia" w:hAnsi="宋体" w:cs="宋体"/>
                <w:b/>
                <w:bCs/>
              </w:rPr>
              <w:t>项号</w:t>
            </w:r>
          </w:p>
        </w:tc>
        <w:tc>
          <w:tcPr>
            <w:tcW w:w="8443" w:type="dxa"/>
            <w:vAlign w:val="center"/>
          </w:tcPr>
          <w:p>
            <w:pPr>
              <w:pStyle w:val="41"/>
              <w:ind w:left="252" w:leftChars="120" w:firstLine="2509" w:firstLineChars="1190"/>
              <w:rPr>
                <w:rFonts w:hint="eastAsia" w:hAnsi="宋体" w:cs="宋体"/>
                <w:b/>
                <w:bCs/>
              </w:rPr>
            </w:pPr>
            <w:r>
              <w:rPr>
                <w:rFonts w:hint="eastAsia" w:hAnsi="宋体" w:cs="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vAlign w:val="center"/>
          </w:tcPr>
          <w:p>
            <w:pPr>
              <w:pStyle w:val="41"/>
              <w:ind w:left="-2394" w:leftChars="-1140" w:right="-107" w:rightChars="-51" w:firstLine="2284" w:firstLineChars="1088"/>
              <w:jc w:val="center"/>
              <w:rPr>
                <w:rFonts w:hint="eastAsia" w:hAnsi="宋体" w:cs="宋体"/>
              </w:rPr>
            </w:pPr>
            <w:r>
              <w:rPr>
                <w:rFonts w:hint="eastAsia" w:hAnsi="宋体" w:cs="宋体"/>
              </w:rPr>
              <w:t>1</w:t>
            </w:r>
          </w:p>
        </w:tc>
        <w:tc>
          <w:tcPr>
            <w:tcW w:w="8443" w:type="dxa"/>
          </w:tcPr>
          <w:p>
            <w:pPr>
              <w:pStyle w:val="41"/>
              <w:ind w:left="1" w:firstLine="0"/>
              <w:rPr>
                <w:rFonts w:hint="eastAsia" w:hAnsi="宋体" w:cs="宋体"/>
                <w:b/>
              </w:rPr>
            </w:pPr>
            <w:r>
              <w:rPr>
                <w:rFonts w:hint="eastAsia" w:hAnsi="宋体" w:cs="宋体"/>
                <w:b/>
              </w:rPr>
              <w:t>项目名称：南方报业传媒集团私有云资源扩容项目</w:t>
            </w:r>
          </w:p>
          <w:p>
            <w:pPr>
              <w:pStyle w:val="41"/>
              <w:ind w:left="1265" w:hanging="1265"/>
              <w:rPr>
                <w:rFonts w:hint="eastAsia" w:hAnsi="宋体" w:cs="宋体"/>
              </w:rPr>
            </w:pPr>
            <w:r>
              <w:rPr>
                <w:rFonts w:hint="eastAsia" w:hAnsi="宋体" w:cs="宋体"/>
                <w:b/>
                <w:bCs/>
              </w:rPr>
              <w:t>招标人名称：</w:t>
            </w:r>
            <w:r>
              <w:rPr>
                <w:rFonts w:hint="eastAsia" w:hAnsi="宋体" w:cs="宋体"/>
                <w:b/>
              </w:rPr>
              <w:t xml:space="preserve">广东南方报业传媒集团有限公司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2</w:t>
            </w:r>
          </w:p>
        </w:tc>
        <w:tc>
          <w:tcPr>
            <w:tcW w:w="8443" w:type="dxa"/>
            <w:vAlign w:val="center"/>
          </w:tcPr>
          <w:p>
            <w:pPr>
              <w:pStyle w:val="41"/>
              <w:ind w:left="1103" w:hanging="1103" w:hangingChars="523"/>
              <w:rPr>
                <w:rFonts w:hint="eastAsia" w:hAnsi="宋体" w:cs="宋体"/>
                <w:b/>
                <w:u w:val="single"/>
              </w:rPr>
            </w:pPr>
            <w:r>
              <w:rPr>
                <w:rFonts w:hint="eastAsia" w:hAnsi="宋体" w:cs="宋体"/>
                <w:b/>
                <w:bCs/>
              </w:rPr>
              <w:t>资金来源：</w:t>
            </w:r>
            <w:r>
              <w:rPr>
                <w:rFonts w:hint="eastAsia" w:hAnsi="宋体" w:cs="宋体"/>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3</w:t>
            </w:r>
          </w:p>
        </w:tc>
        <w:tc>
          <w:tcPr>
            <w:tcW w:w="8443" w:type="dxa"/>
            <w:vAlign w:val="center"/>
          </w:tcPr>
          <w:p>
            <w:pPr>
              <w:pStyle w:val="41"/>
              <w:ind w:left="1265" w:hanging="1265"/>
              <w:rPr>
                <w:rFonts w:hint="eastAsia" w:hAnsi="宋体" w:cs="宋体"/>
              </w:rPr>
            </w:pPr>
            <w:r>
              <w:rPr>
                <w:rFonts w:hint="eastAsia" w:hAnsi="宋体" w:cs="宋体"/>
                <w:b/>
                <w:bCs/>
              </w:rPr>
              <w:t>招标方式：</w:t>
            </w:r>
            <w:r>
              <w:rPr>
                <w:rFonts w:hint="eastAsia" w:hAnsi="宋体" w:cs="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4</w:t>
            </w:r>
          </w:p>
        </w:tc>
        <w:tc>
          <w:tcPr>
            <w:tcW w:w="8443" w:type="dxa"/>
            <w:vAlign w:val="center"/>
          </w:tcPr>
          <w:p>
            <w:pPr>
              <w:pStyle w:val="41"/>
              <w:ind w:left="1" w:firstLine="0"/>
              <w:jc w:val="left"/>
              <w:rPr>
                <w:rFonts w:hint="eastAsia" w:hAnsi="宋体" w:cs="宋体"/>
                <w:b/>
                <w:bCs/>
              </w:rPr>
            </w:pPr>
            <w:r>
              <w:rPr>
                <w:rFonts w:hint="eastAsia" w:hAnsi="宋体" w:cs="宋体"/>
                <w:b/>
              </w:rPr>
              <w:t>招标信息发布：</w:t>
            </w:r>
            <w:r>
              <w:rPr>
                <w:rFonts w:hint="eastAsia" w:hAnsi="宋体" w:cs="宋体"/>
                <w:bCs/>
              </w:rPr>
              <w:t>中</w:t>
            </w:r>
            <w:r>
              <w:rPr>
                <w:rFonts w:hint="eastAsia" w:hAnsi="宋体" w:cs="宋体"/>
              </w:rPr>
              <w:t>国招标投标公共服务平台、广咨电子招投标交易平台网站（广东省机电设备招标有限公司网）、南方网、《南方日报》。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5</w:t>
            </w:r>
          </w:p>
        </w:tc>
        <w:tc>
          <w:tcPr>
            <w:tcW w:w="8443" w:type="dxa"/>
            <w:vAlign w:val="center"/>
          </w:tcPr>
          <w:p>
            <w:pPr>
              <w:pStyle w:val="41"/>
              <w:ind w:left="1265" w:hanging="1265"/>
              <w:rPr>
                <w:rFonts w:hint="eastAsia" w:hAnsi="宋体" w:cs="宋体"/>
              </w:rPr>
            </w:pPr>
            <w:r>
              <w:rPr>
                <w:rFonts w:hint="eastAsia" w:hAnsi="宋体" w:cs="宋体"/>
                <w:b/>
                <w:bCs/>
              </w:rPr>
              <w:t>招标范围：</w:t>
            </w:r>
            <w:r>
              <w:rPr>
                <w:rFonts w:hint="eastAsia" w:hAnsi="宋体" w:cs="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6</w:t>
            </w:r>
          </w:p>
        </w:tc>
        <w:tc>
          <w:tcPr>
            <w:tcW w:w="8443" w:type="dxa"/>
            <w:vAlign w:val="center"/>
          </w:tcPr>
          <w:p>
            <w:pPr>
              <w:pStyle w:val="41"/>
              <w:ind w:left="1" w:firstLine="0"/>
              <w:jc w:val="left"/>
              <w:rPr>
                <w:rFonts w:hint="eastAsia" w:hAnsi="宋体" w:cs="宋体"/>
              </w:rPr>
            </w:pPr>
            <w:r>
              <w:rPr>
                <w:rFonts w:hint="eastAsia" w:hAnsi="宋体" w:cs="宋体"/>
                <w:b/>
                <w:bCs/>
              </w:rPr>
              <w:t>投标文件份数：</w:t>
            </w:r>
            <w:r>
              <w:rPr>
                <w:rFonts w:hint="eastAsia" w:hAnsi="宋体" w:cs="宋体"/>
              </w:rPr>
              <w:t>中文正本1份；中文副本6份；投标文件电子文档1份（usb闪存盘）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7</w:t>
            </w:r>
          </w:p>
        </w:tc>
        <w:tc>
          <w:tcPr>
            <w:tcW w:w="8443" w:type="dxa"/>
            <w:vAlign w:val="center"/>
          </w:tcPr>
          <w:p>
            <w:pPr>
              <w:pStyle w:val="41"/>
              <w:ind w:left="1265" w:hanging="1265"/>
              <w:rPr>
                <w:rFonts w:hint="eastAsia" w:hAnsi="宋体" w:cs="宋体"/>
              </w:rPr>
            </w:pPr>
            <w:r>
              <w:rPr>
                <w:rFonts w:hint="eastAsia" w:hAnsi="宋体" w:cs="宋体"/>
                <w:b/>
                <w:bCs/>
              </w:rPr>
              <w:t>投标有效期：</w:t>
            </w:r>
            <w:r>
              <w:rPr>
                <w:rFonts w:hint="eastAsia" w:hAnsi="宋体" w:cs="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8</w:t>
            </w:r>
          </w:p>
        </w:tc>
        <w:tc>
          <w:tcPr>
            <w:tcW w:w="8443" w:type="dxa"/>
          </w:tcPr>
          <w:p>
            <w:pPr>
              <w:pStyle w:val="41"/>
              <w:spacing w:before="120" w:after="120"/>
              <w:ind w:left="1" w:firstLine="0"/>
              <w:rPr>
                <w:rFonts w:hint="eastAsia" w:hAnsi="宋体" w:cs="宋体"/>
                <w:b/>
                <w:bCs/>
              </w:rPr>
            </w:pPr>
            <w:r>
              <w:rPr>
                <w:rFonts w:hint="eastAsia" w:hAnsi="宋体" w:cs="宋体"/>
                <w:b/>
                <w:bCs/>
              </w:rPr>
              <w:t>投标保证金：</w:t>
            </w:r>
          </w:p>
          <w:p>
            <w:pPr>
              <w:pStyle w:val="41"/>
              <w:spacing w:before="120" w:after="120"/>
              <w:ind w:left="1" w:firstLine="0"/>
              <w:rPr>
                <w:rFonts w:hint="eastAsia" w:hAnsi="宋体" w:cs="宋体"/>
                <w:b/>
                <w:bCs/>
              </w:rPr>
            </w:pPr>
            <w:r>
              <w:rPr>
                <w:rFonts w:hint="eastAsia" w:hAnsi="宋体" w:cs="宋体"/>
                <w:b/>
                <w:bCs/>
              </w:rPr>
              <w:t>1、投标保证金金额：</w:t>
            </w:r>
          </w:p>
          <w:p>
            <w:pPr>
              <w:pStyle w:val="41"/>
              <w:spacing w:before="120" w:after="120"/>
              <w:ind w:left="1" w:firstLine="0"/>
              <w:rPr>
                <w:rFonts w:hint="eastAsia" w:hAnsi="宋体" w:cs="宋体"/>
                <w:b/>
                <w:bCs/>
              </w:rPr>
            </w:pPr>
            <w:r>
              <w:rPr>
                <w:rFonts w:hint="eastAsia" w:hAnsi="宋体" w:cs="宋体"/>
                <w:b/>
                <w:bCs/>
              </w:rPr>
              <w:t>投标人必须提交￥</w:t>
            </w:r>
            <w:r>
              <w:rPr>
                <w:rFonts w:hint="eastAsia" w:hAnsi="宋体" w:cs="宋体"/>
                <w:b/>
                <w:bCs/>
                <w:u w:val="single"/>
              </w:rPr>
              <w:t>50000.00</w:t>
            </w:r>
            <w:r>
              <w:rPr>
                <w:rFonts w:hint="eastAsia" w:hAnsi="宋体" w:cs="宋体"/>
                <w:b/>
                <w:bCs/>
              </w:rPr>
              <w:t>元(大写：人民币伍万元整)的投标保证金</w:t>
            </w:r>
          </w:p>
          <w:p>
            <w:pPr>
              <w:pStyle w:val="41"/>
              <w:spacing w:before="120" w:after="120" w:line="240" w:lineRule="auto"/>
              <w:ind w:left="1" w:firstLine="0"/>
              <w:rPr>
                <w:rFonts w:hint="eastAsia" w:hAnsi="宋体" w:cs="宋体"/>
              </w:rPr>
            </w:pPr>
            <w:r>
              <w:rPr>
                <w:rFonts w:hint="eastAsia" w:hAnsi="宋体" w:cs="宋体"/>
                <w:b/>
                <w:bCs/>
              </w:rPr>
              <w:t>2、投标保证金缴纳方式：</w:t>
            </w:r>
            <w:r>
              <w:rPr>
                <w:rFonts w:hint="eastAsia" w:hAnsi="宋体" w:cs="宋体"/>
              </w:rPr>
              <w:t>（1）按银行子账号信息汇款/转账方式缴纳；或（2）电子保函线上缴纳方式：</w:t>
            </w:r>
          </w:p>
          <w:p>
            <w:pPr>
              <w:pStyle w:val="41"/>
              <w:ind w:firstLine="0"/>
              <w:rPr>
                <w:rFonts w:hint="eastAsia" w:hAnsi="宋体" w:cs="宋体"/>
                <w:b/>
                <w:bCs/>
              </w:rPr>
            </w:pPr>
            <w:r>
              <w:rPr>
                <w:rFonts w:hint="eastAsia" w:hAnsi="宋体" w:cs="宋体"/>
                <w:b/>
                <w:bCs/>
              </w:rPr>
              <w:t>（1）银行子账号信息汇款/转账缴纳方式：</w:t>
            </w:r>
          </w:p>
          <w:p>
            <w:pPr>
              <w:pStyle w:val="41"/>
              <w:ind w:firstLine="0"/>
              <w:rPr>
                <w:rFonts w:hint="eastAsia" w:hAnsi="宋体" w:cs="宋体"/>
              </w:rPr>
            </w:pPr>
            <w:r>
              <w:rPr>
                <w:rFonts w:hint="eastAsia" w:hAnsi="宋体" w:cs="宋体"/>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41"/>
              <w:ind w:firstLine="0"/>
              <w:rPr>
                <w:rFonts w:hint="eastAsia" w:hAnsi="宋体" w:cs="宋体"/>
              </w:rPr>
            </w:pPr>
            <w:r>
              <w:rPr>
                <w:rFonts w:hint="eastAsia" w:hAnsi="宋体" w:cs="宋体"/>
              </w:rPr>
              <w:t>②投标保证金应从投标人的基本户中支付，并以资金到达该子账号的时间为准，如从其他账户、或未缴纳到指定的子账号，视为无效投标保证金。</w:t>
            </w:r>
          </w:p>
          <w:p>
            <w:pPr>
              <w:pStyle w:val="41"/>
              <w:ind w:firstLine="0"/>
              <w:rPr>
                <w:rFonts w:hint="eastAsia" w:hAnsi="宋体" w:cs="宋体"/>
              </w:rPr>
            </w:pPr>
            <w:r>
              <w:rPr>
                <w:rFonts w:hint="eastAsia" w:hAnsi="宋体" w:cs="宋体"/>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供应商自行承担责任。</w:t>
            </w:r>
          </w:p>
          <w:p>
            <w:pPr>
              <w:pStyle w:val="41"/>
              <w:ind w:firstLine="0"/>
              <w:rPr>
                <w:rFonts w:hint="eastAsia" w:hAnsi="宋体" w:cs="宋体"/>
                <w:b/>
                <w:bCs/>
              </w:rPr>
            </w:pPr>
            <w:r>
              <w:rPr>
                <w:rFonts w:hint="eastAsia" w:hAnsi="宋体" w:cs="宋体"/>
                <w:b/>
                <w:bCs/>
              </w:rPr>
              <w:t>（2）电子保函线上缴纳方式：</w:t>
            </w:r>
          </w:p>
          <w:p>
            <w:pPr>
              <w:pStyle w:val="41"/>
              <w:ind w:firstLine="0"/>
              <w:rPr>
                <w:rFonts w:hint="eastAsia" w:hAnsi="宋体" w:cs="宋体"/>
              </w:rPr>
            </w:pPr>
            <w:r>
              <w:rPr>
                <w:rFonts w:hint="eastAsia" w:hAnsi="宋体" w:cs="宋体"/>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41"/>
              <w:ind w:firstLine="0"/>
              <w:rPr>
                <w:rFonts w:hint="eastAsia" w:hAnsi="宋体" w:cs="宋体"/>
              </w:rPr>
            </w:pPr>
            <w:r>
              <w:rPr>
                <w:rFonts w:hint="eastAsia" w:hAnsi="宋体" w:cs="宋体"/>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41"/>
              <w:ind w:firstLineChars="200"/>
              <w:rPr>
                <w:rFonts w:hint="eastAsia" w:hAnsi="宋体" w:cs="宋体"/>
              </w:rPr>
            </w:pPr>
            <w:r>
              <w:rPr>
                <w:rFonts w:hint="eastAsia" w:hAnsi="宋体" w:cs="宋体"/>
              </w:rPr>
              <w:t>具体操作可访问广咨电子招投标交易平台：平台服务》办事指引》电子保函方式缴纳保证金。</w:t>
            </w:r>
          </w:p>
          <w:p>
            <w:pPr>
              <w:pStyle w:val="41"/>
              <w:ind w:firstLine="0"/>
              <w:rPr>
                <w:rFonts w:hint="eastAsia" w:hAnsi="宋体" w:cs="宋体"/>
              </w:rPr>
            </w:pPr>
            <w:r>
              <w:rPr>
                <w:rFonts w:hint="eastAsia" w:hAnsi="宋体" w:cs="宋体"/>
              </w:rPr>
              <w:t>（投标保证金缴纳指南具体见：广咨电子招投标交易平台网站（www.gzebid.cn）首页&gt;平台服务&gt;办事指南&gt;广咨电子招投标交易平台网上缴纳投标保证金说明，咨询热线电话：400-150-3001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9</w:t>
            </w:r>
          </w:p>
        </w:tc>
        <w:tc>
          <w:tcPr>
            <w:tcW w:w="8443" w:type="dxa"/>
          </w:tcPr>
          <w:p>
            <w:pPr>
              <w:pStyle w:val="41"/>
              <w:ind w:left="1265" w:hanging="1265"/>
              <w:rPr>
                <w:rFonts w:hint="eastAsia" w:hAnsi="宋体" w:cs="宋体"/>
              </w:rPr>
            </w:pPr>
            <w:r>
              <w:rPr>
                <w:rFonts w:hint="eastAsia" w:hAnsi="宋体" w:cs="宋体"/>
              </w:rPr>
              <w:t>投标截止时间：</w:t>
            </w:r>
            <w:r>
              <w:rPr>
                <w:rFonts w:hint="eastAsia" w:hAnsi="宋体" w:cs="宋体"/>
                <w:u w:val="single"/>
              </w:rPr>
              <w:t>详见投标邀请函</w:t>
            </w:r>
          </w:p>
          <w:p>
            <w:pPr>
              <w:pStyle w:val="41"/>
              <w:ind w:firstLine="0"/>
              <w:rPr>
                <w:rFonts w:hint="eastAsia" w:hAnsi="宋体" w:cs="宋体"/>
              </w:rPr>
            </w:pPr>
            <w:r>
              <w:rPr>
                <w:rFonts w:hint="eastAsia" w:hAnsi="宋体" w:cs="宋体"/>
              </w:rPr>
              <w:t>投标文件递交地址：</w:t>
            </w:r>
            <w:r>
              <w:rPr>
                <w:rFonts w:hint="eastAsia" w:hAnsi="宋体" w:cs="宋体"/>
                <w:u w:val="single"/>
              </w:rPr>
              <w:t>详见投标邀请函</w:t>
            </w:r>
            <w:r>
              <w:rPr>
                <w:rFonts w:hint="eastAsia"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10</w:t>
            </w:r>
          </w:p>
        </w:tc>
        <w:tc>
          <w:tcPr>
            <w:tcW w:w="8443" w:type="dxa"/>
          </w:tcPr>
          <w:p>
            <w:pPr>
              <w:pStyle w:val="41"/>
              <w:ind w:left="1265" w:hanging="1265"/>
              <w:rPr>
                <w:rFonts w:hint="eastAsia" w:hAnsi="宋体" w:cs="宋体"/>
              </w:rPr>
            </w:pPr>
            <w:r>
              <w:rPr>
                <w:rFonts w:hint="eastAsia" w:hAnsi="宋体" w:cs="宋体"/>
              </w:rPr>
              <w:t>开标时间：</w:t>
            </w:r>
            <w:r>
              <w:rPr>
                <w:rFonts w:hint="eastAsia" w:hAnsi="宋体" w:cs="宋体"/>
                <w:u w:val="single"/>
              </w:rPr>
              <w:t>详见投标邀请函</w:t>
            </w:r>
          </w:p>
          <w:p>
            <w:pPr>
              <w:pStyle w:val="41"/>
              <w:ind w:left="1265" w:hanging="1265"/>
              <w:rPr>
                <w:rFonts w:hint="eastAsia" w:hAnsi="宋体" w:cs="宋体"/>
              </w:rPr>
            </w:pPr>
            <w:r>
              <w:rPr>
                <w:rFonts w:hint="eastAsia" w:hAnsi="宋体" w:cs="宋体"/>
              </w:rPr>
              <w:t>地址：</w:t>
            </w:r>
            <w:r>
              <w:rPr>
                <w:rFonts w:hint="eastAsia" w:hAnsi="宋体" w:cs="宋体"/>
                <w:u w:val="single"/>
              </w:rPr>
              <w:t>详见投标邀请函</w:t>
            </w:r>
            <w:r>
              <w:rPr>
                <w:rFonts w:hint="eastAsia"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11</w:t>
            </w:r>
          </w:p>
        </w:tc>
        <w:tc>
          <w:tcPr>
            <w:tcW w:w="8443" w:type="dxa"/>
          </w:tcPr>
          <w:p>
            <w:pPr>
              <w:pStyle w:val="20"/>
              <w:rPr>
                <w:rFonts w:hint="eastAsia" w:ascii="宋体" w:hAnsi="宋体" w:cs="宋体"/>
              </w:rPr>
            </w:pPr>
            <w:r>
              <w:rPr>
                <w:rFonts w:hint="eastAsia" w:ascii="宋体" w:hAnsi="宋体" w:cs="宋体"/>
              </w:rPr>
              <w:t xml:space="preserve">招 标 人：广东南方报业传媒集团有限公司 </w:t>
            </w:r>
          </w:p>
          <w:p>
            <w:pPr>
              <w:pStyle w:val="20"/>
              <w:rPr>
                <w:rFonts w:hint="eastAsia" w:ascii="宋体" w:hAnsi="宋体" w:cs="宋体"/>
              </w:rPr>
            </w:pPr>
            <w:r>
              <w:rPr>
                <w:rFonts w:hint="eastAsia" w:ascii="宋体" w:hAnsi="宋体" w:cs="宋体"/>
              </w:rPr>
              <w:t>地    址：广东省广州市越秀区广州大道中289号</w:t>
            </w:r>
          </w:p>
          <w:p>
            <w:pPr>
              <w:pStyle w:val="20"/>
              <w:rPr>
                <w:rFonts w:hint="eastAsia" w:ascii="宋体" w:hAnsi="宋体" w:cs="宋体"/>
              </w:rPr>
            </w:pPr>
            <w:r>
              <w:rPr>
                <w:rFonts w:hint="eastAsia" w:ascii="宋体" w:hAnsi="宋体" w:cs="宋体"/>
              </w:rPr>
              <w:t>联 系 人：蔡小姐</w:t>
            </w:r>
          </w:p>
          <w:p>
            <w:pPr>
              <w:pStyle w:val="20"/>
              <w:rPr>
                <w:rFonts w:hint="eastAsia" w:ascii="宋体" w:hAnsi="宋体" w:cs="宋体"/>
              </w:rPr>
            </w:pPr>
            <w:r>
              <w:rPr>
                <w:rFonts w:hint="eastAsia" w:ascii="宋体" w:hAnsi="宋体" w:cs="宋体"/>
              </w:rPr>
              <w:t>电  话：</w:t>
            </w:r>
            <w:r>
              <w:rPr>
                <w:rFonts w:hint="eastAsia" w:hAnsi="宋体" w:cs="宋体"/>
              </w:rPr>
              <w:t>020-83002023（工作时间</w:t>
            </w:r>
            <w:r>
              <w:rPr>
                <w:rFonts w:hAnsi="宋体" w:cs="宋体"/>
              </w:rPr>
              <w:t>上午9:00-12:00；下午2:30-5:</w:t>
            </w:r>
            <w:r>
              <w:rPr>
                <w:rFonts w:hint="eastAsia" w:hAnsi="宋体" w:cs="宋体"/>
              </w:rPr>
              <w:t>3</w:t>
            </w:r>
            <w:r>
              <w:rPr>
                <w:rFonts w:hAnsi="宋体" w:cs="宋体"/>
              </w:rPr>
              <w:t>0</w:t>
            </w:r>
            <w:r>
              <w:rPr>
                <w:rFonts w:hint="eastAsia"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vAlign w:val="center"/>
          </w:tcPr>
          <w:p>
            <w:pPr>
              <w:pStyle w:val="41"/>
              <w:ind w:left="-466" w:leftChars="-222" w:right="42" w:rightChars="20" w:firstLine="464" w:firstLineChars="221"/>
              <w:jc w:val="center"/>
              <w:rPr>
                <w:rFonts w:hint="eastAsia" w:hAnsi="宋体" w:cs="宋体"/>
              </w:rPr>
            </w:pPr>
            <w:r>
              <w:rPr>
                <w:rFonts w:hint="eastAsia" w:hAnsi="宋体" w:cs="宋体"/>
              </w:rPr>
              <w:t>12</w:t>
            </w:r>
          </w:p>
        </w:tc>
        <w:tc>
          <w:tcPr>
            <w:tcW w:w="8443" w:type="dxa"/>
          </w:tcPr>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联系人：刘先生、胡小姐、王小姐</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电  话：020-83544332、83541795</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传  真：020-83565537</w:t>
            </w:r>
          </w:p>
          <w:p>
            <w:pPr>
              <w:spacing w:line="360" w:lineRule="auto"/>
              <w:ind w:left="-359" w:leftChars="-171" w:firstLine="359" w:firstLineChars="171"/>
              <w:rPr>
                <w:rFonts w:hint="eastAsia" w:ascii="宋体" w:hAnsi="宋体" w:cs="宋体"/>
              </w:rPr>
            </w:pPr>
            <w:r>
              <w:rPr>
                <w:rFonts w:hint="eastAsia" w:ascii="宋体" w:hAnsi="宋体" w:cs="宋体"/>
                <w:szCs w:val="21"/>
              </w:rPr>
              <w:t>电子邮件：gdjdsbzbcg@163.com</w:t>
            </w:r>
          </w:p>
        </w:tc>
      </w:tr>
    </w:tbl>
    <w:p>
      <w:pPr>
        <w:rPr>
          <w:rFonts w:hint="eastAsia" w:ascii="宋体" w:hAnsi="宋体" w:cs="宋体"/>
          <w:sz w:val="24"/>
          <w:szCs w:val="24"/>
        </w:rPr>
      </w:pPr>
    </w:p>
    <w:p>
      <w:pPr>
        <w:rPr>
          <w:rFonts w:hint="eastAsia" w:ascii="宋体" w:hAnsi="宋体" w:cs="宋体"/>
          <w:sz w:val="24"/>
          <w:szCs w:val="24"/>
        </w:rPr>
      </w:pPr>
      <w:r>
        <w:rPr>
          <w:rFonts w:hint="eastAsia" w:ascii="宋体" w:hAnsi="宋体" w:cs="宋体"/>
          <w:sz w:val="24"/>
          <w:szCs w:val="24"/>
        </w:rPr>
        <w:br w:type="page"/>
      </w:r>
    </w:p>
    <w:bookmarkEnd w:id="47"/>
    <w:bookmarkEnd w:id="48"/>
    <w:bookmarkEnd w:id="49"/>
    <w:bookmarkEnd w:id="50"/>
    <w:p>
      <w:pPr>
        <w:pStyle w:val="3"/>
        <w:numPr>
          <w:ilvl w:val="0"/>
          <w:numId w:val="0"/>
        </w:numPr>
        <w:ind w:left="422"/>
        <w:jc w:val="center"/>
        <w:rPr>
          <w:rFonts w:hint="eastAsia" w:hAnsi="宋体" w:cs="宋体"/>
          <w:b w:val="0"/>
          <w:bCs/>
        </w:rPr>
      </w:pPr>
      <w:bookmarkStart w:id="51" w:name="_Toc513818901"/>
      <w:r>
        <w:rPr>
          <w:rFonts w:hint="eastAsia" w:hAnsi="宋体" w:cs="宋体"/>
        </w:rPr>
        <w:t>一、总则</w:t>
      </w:r>
      <w:bookmarkEnd w:id="51"/>
    </w:p>
    <w:p>
      <w:pPr>
        <w:spacing w:line="360" w:lineRule="auto"/>
        <w:rPr>
          <w:rFonts w:hint="eastAsia" w:ascii="宋体" w:hAnsi="宋体" w:cs="宋体"/>
          <w:b/>
          <w:bCs/>
        </w:rPr>
      </w:pPr>
      <w:r>
        <w:rPr>
          <w:rFonts w:hint="eastAsia" w:ascii="宋体" w:hAnsi="宋体" w:cs="宋体"/>
          <w:b/>
          <w:bCs/>
        </w:rPr>
        <w:t>1、项目说明</w:t>
      </w:r>
    </w:p>
    <w:p>
      <w:pPr>
        <w:spacing w:line="360" w:lineRule="auto"/>
        <w:rPr>
          <w:rFonts w:hint="eastAsia" w:ascii="宋体" w:hAnsi="宋体" w:cs="宋体"/>
        </w:rPr>
      </w:pPr>
      <w:r>
        <w:rPr>
          <w:rFonts w:hint="eastAsia" w:ascii="宋体" w:hAnsi="宋体" w:cs="宋体"/>
        </w:rPr>
        <w:t>1.1项目说明</w:t>
      </w:r>
    </w:p>
    <w:p>
      <w:pPr>
        <w:spacing w:line="360" w:lineRule="auto"/>
        <w:ind w:firstLine="420" w:firstLineChars="200"/>
        <w:rPr>
          <w:rFonts w:hint="eastAsia" w:ascii="宋体" w:hAnsi="宋体" w:cs="宋体"/>
          <w:bCs/>
        </w:rPr>
      </w:pPr>
      <w:r>
        <w:rPr>
          <w:rFonts w:hint="eastAsia" w:ascii="宋体" w:hAnsi="宋体" w:cs="宋体"/>
          <w:bCs/>
        </w:rPr>
        <w:t>广东省机电设备招标有限公司（以下简称“招标代理机构”）受广东南方报业传媒集团有限公司 委托（以下简称“招标人”），就“</w:t>
      </w:r>
      <w:r>
        <w:rPr>
          <w:rFonts w:hint="eastAsia" w:ascii="宋体" w:hAnsi="宋体" w:cs="宋体"/>
          <w:b/>
          <w:bCs/>
        </w:rPr>
        <w:t>南方报业传媒集团私有云资源扩容项目</w:t>
      </w:r>
      <w:r>
        <w:rPr>
          <w:rFonts w:hint="eastAsia" w:ascii="宋体" w:hAnsi="宋体" w:cs="宋体"/>
        </w:rPr>
        <w:t>”</w:t>
      </w:r>
      <w:r>
        <w:rPr>
          <w:rFonts w:hint="eastAsia" w:ascii="宋体" w:hAnsi="宋体" w:cs="宋体"/>
          <w:bCs/>
        </w:rPr>
        <w:t>进行国内公开招标。</w:t>
      </w:r>
    </w:p>
    <w:p>
      <w:pPr>
        <w:spacing w:line="360" w:lineRule="auto"/>
        <w:rPr>
          <w:rFonts w:hint="eastAsia" w:ascii="宋体" w:hAnsi="宋体" w:cs="宋体"/>
        </w:rPr>
      </w:pPr>
      <w:bookmarkStart w:id="52" w:name="_Toc409173103"/>
      <w:bookmarkStart w:id="53" w:name="_Toc409173217"/>
      <w:r>
        <w:rPr>
          <w:rFonts w:hint="eastAsia" w:ascii="宋体" w:hAnsi="宋体" w:cs="宋体"/>
        </w:rPr>
        <w:t>1.2资金来源</w:t>
      </w:r>
      <w:bookmarkEnd w:id="52"/>
      <w:bookmarkEnd w:id="53"/>
    </w:p>
    <w:p>
      <w:pPr>
        <w:spacing w:line="360" w:lineRule="auto"/>
        <w:ind w:firstLine="420" w:firstLineChars="200"/>
        <w:rPr>
          <w:rFonts w:hint="eastAsia" w:ascii="宋体" w:hAnsi="宋体" w:cs="宋体"/>
          <w:bCs/>
        </w:rPr>
      </w:pPr>
      <w:r>
        <w:rPr>
          <w:rFonts w:hint="eastAsia" w:ascii="宋体" w:hAnsi="宋体" w:cs="宋体"/>
          <w:bCs/>
        </w:rPr>
        <w:t>自筹资金</w:t>
      </w:r>
    </w:p>
    <w:p>
      <w:pPr>
        <w:spacing w:line="360" w:lineRule="auto"/>
        <w:rPr>
          <w:rFonts w:hint="eastAsia" w:ascii="宋体" w:hAnsi="宋体" w:cs="宋体"/>
        </w:rPr>
      </w:pPr>
      <w:r>
        <w:rPr>
          <w:rFonts w:hint="eastAsia" w:ascii="宋体" w:hAnsi="宋体" w:cs="宋体"/>
        </w:rPr>
        <w:t>1.3招标方式</w:t>
      </w:r>
    </w:p>
    <w:p>
      <w:pPr>
        <w:spacing w:line="360" w:lineRule="auto"/>
        <w:ind w:firstLine="420" w:firstLineChars="200"/>
        <w:rPr>
          <w:rFonts w:hint="eastAsia" w:ascii="宋体" w:hAnsi="宋体" w:cs="宋体"/>
        </w:rPr>
      </w:pPr>
      <w:r>
        <w:rPr>
          <w:rFonts w:hint="eastAsia" w:ascii="宋体" w:hAnsi="宋体" w:cs="宋体"/>
        </w:rPr>
        <w:t>公开招标方式</w:t>
      </w:r>
    </w:p>
    <w:p>
      <w:pPr>
        <w:spacing w:line="360" w:lineRule="auto"/>
        <w:jc w:val="left"/>
        <w:rPr>
          <w:rFonts w:hint="eastAsia" w:ascii="宋体" w:hAnsi="宋体" w:cs="宋体"/>
        </w:rPr>
      </w:pPr>
      <w:r>
        <w:rPr>
          <w:rFonts w:hint="eastAsia" w:ascii="宋体" w:hAnsi="宋体" w:cs="宋体"/>
        </w:rPr>
        <w:t>1.4招标项目</w:t>
      </w:r>
    </w:p>
    <w:p>
      <w:pPr>
        <w:spacing w:line="360" w:lineRule="auto"/>
        <w:ind w:firstLine="422" w:firstLineChars="200"/>
        <w:rPr>
          <w:rFonts w:hint="eastAsia" w:ascii="宋体" w:hAnsi="宋体" w:cs="宋体"/>
          <w:b/>
          <w:u w:val="single"/>
        </w:rPr>
      </w:pPr>
      <w:r>
        <w:rPr>
          <w:rFonts w:hint="eastAsia" w:ascii="宋体" w:hAnsi="宋体" w:cs="宋体"/>
          <w:b/>
          <w:u w:val="single"/>
        </w:rPr>
        <w:t>南方报业传媒集团私有云资源扩容项目（下称“本项目”）</w:t>
      </w:r>
    </w:p>
    <w:p>
      <w:pPr>
        <w:tabs>
          <w:tab w:val="left" w:pos="720"/>
        </w:tabs>
        <w:spacing w:line="360" w:lineRule="auto"/>
        <w:ind w:firstLine="210" w:firstLineChars="100"/>
        <w:rPr>
          <w:rFonts w:hint="eastAsia"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rPr>
          <w:rFonts w:hint="eastAsia"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hint="eastAsia"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rPr>
      </w:pPr>
      <w:r>
        <w:rPr>
          <w:rFonts w:hint="eastAsia" w:ascii="宋体" w:hAnsi="宋体" w:cs="宋体"/>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rPr>
        <w:t>投标人须承担的设计、货物运输、安装、调试、技术协助、校准、质保期内的保修、培训以及其它伴随服务。</w:t>
      </w:r>
    </w:p>
    <w:p>
      <w:pPr>
        <w:spacing w:line="360" w:lineRule="auto"/>
        <w:ind w:left="420" w:hanging="420" w:hangingChars="200"/>
        <w:rPr>
          <w:rFonts w:hint="eastAsia" w:ascii="宋体" w:hAnsi="宋体" w:cs="宋体"/>
        </w:rPr>
      </w:pPr>
      <w:r>
        <w:rPr>
          <w:rFonts w:hint="eastAsia" w:ascii="宋体" w:hAnsi="宋体" w:cs="宋体"/>
        </w:rPr>
        <w:t>2.3业主/招标人/甲方/使用单位/采购人/用户：均指广东南方报业传媒集团有限公司 ；招标代理机构：</w:t>
      </w:r>
      <w:r>
        <w:rPr>
          <w:rFonts w:hint="eastAsia" w:ascii="宋体" w:hAnsi="宋体" w:cs="宋体"/>
          <w:szCs w:val="21"/>
        </w:rPr>
        <w:t>广东省机电设备招标有限公司。</w:t>
      </w:r>
    </w:p>
    <w:p>
      <w:pPr>
        <w:spacing w:line="360" w:lineRule="auto"/>
        <w:ind w:left="420" w:hanging="420" w:hangingChars="200"/>
        <w:rPr>
          <w:rFonts w:hint="eastAsia" w:ascii="宋体" w:hAnsi="宋体" w:cs="宋体"/>
        </w:rPr>
      </w:pPr>
      <w:r>
        <w:rPr>
          <w:rFonts w:hint="eastAsia" w:ascii="宋体" w:hAnsi="宋体" w:cs="宋体"/>
        </w:rPr>
        <w:t>2.4 投标人/投标供应商：指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hint="eastAsia" w:ascii="宋体" w:hAnsi="宋体" w:cs="宋体"/>
        </w:rPr>
      </w:pPr>
      <w:r>
        <w:rPr>
          <w:rFonts w:hint="eastAsia" w:ascii="宋体" w:hAnsi="宋体" w:cs="宋体"/>
        </w:rPr>
        <w:t>2.5评标委员会：评标委员会是依法组织的专门负责本次招标及评标工作的临时性机构。</w:t>
      </w:r>
    </w:p>
    <w:p>
      <w:pPr>
        <w:spacing w:line="360" w:lineRule="auto"/>
        <w:ind w:left="420" w:hanging="420" w:hangingChars="200"/>
        <w:rPr>
          <w:rFonts w:hint="eastAsia" w:ascii="宋体" w:hAnsi="宋体" w:cs="宋体"/>
        </w:rPr>
      </w:pPr>
      <w:r>
        <w:rPr>
          <w:rFonts w:hint="eastAsia" w:ascii="宋体" w:hAnsi="宋体" w:cs="宋体"/>
        </w:rPr>
        <w:t>2.6日期：是指公历日。</w:t>
      </w:r>
    </w:p>
    <w:p>
      <w:pPr>
        <w:spacing w:line="360" w:lineRule="auto"/>
        <w:ind w:left="420" w:hanging="420" w:hangingChars="200"/>
        <w:rPr>
          <w:rFonts w:hint="eastAsia" w:ascii="宋体" w:hAnsi="宋体" w:cs="宋体"/>
        </w:rPr>
      </w:pPr>
      <w:r>
        <w:rPr>
          <w:rFonts w:hint="eastAsia" w:ascii="宋体" w:hAnsi="宋体" w:cs="宋体"/>
        </w:rPr>
        <w:t>2.7合同：指本次招标所产生的合同或合约文件。</w:t>
      </w:r>
    </w:p>
    <w:p>
      <w:pPr>
        <w:spacing w:line="360" w:lineRule="auto"/>
        <w:ind w:left="420" w:hanging="420" w:hangingChars="200"/>
        <w:rPr>
          <w:rFonts w:hint="eastAsia" w:ascii="宋体" w:hAnsi="宋体" w:cs="宋体"/>
        </w:rPr>
      </w:pPr>
      <w:r>
        <w:rPr>
          <w:rFonts w:hint="eastAsia" w:ascii="宋体" w:hAnsi="宋体" w:cs="宋体"/>
        </w:rPr>
        <w:t>2.8招标文件中的标题或标名仅起引导作用，而不应视为对招标文件内容的理解和解释。</w:t>
      </w:r>
    </w:p>
    <w:p>
      <w:pPr>
        <w:spacing w:line="360" w:lineRule="auto"/>
        <w:ind w:left="359" w:hanging="359" w:hangingChars="171"/>
        <w:rPr>
          <w:rFonts w:hint="eastAsia" w:ascii="宋体" w:hAnsi="宋体" w:cs="宋体"/>
        </w:rPr>
      </w:pPr>
      <w:r>
        <w:rPr>
          <w:rFonts w:hint="eastAsia" w:ascii="宋体" w:hAnsi="宋体" w:cs="宋体"/>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rPr>
      </w:pPr>
      <w:r>
        <w:rPr>
          <w:rFonts w:hint="eastAsia" w:ascii="宋体" w:hAnsi="宋体" w:cs="宋体"/>
        </w:rPr>
        <w:t>2.10招标文件中所规定的“书面形式”，是指任何手写的、打印的或印刷的通讯，包括电报和传真发送。</w:t>
      </w:r>
    </w:p>
    <w:p>
      <w:pPr>
        <w:spacing w:line="360" w:lineRule="auto"/>
        <w:ind w:left="422" w:hanging="422" w:hangingChars="200"/>
        <w:rPr>
          <w:rFonts w:hint="eastAsia" w:ascii="宋体" w:hAnsi="宋体" w:cs="宋体"/>
          <w:b/>
        </w:rPr>
      </w:pPr>
      <w:r>
        <w:rPr>
          <w:rFonts w:hint="eastAsia" w:ascii="宋体" w:hAnsi="宋体" w:cs="宋体"/>
          <w:b/>
        </w:rPr>
        <w:t>3、合格的投标人</w:t>
      </w:r>
    </w:p>
    <w:p>
      <w:pPr>
        <w:spacing w:line="360" w:lineRule="auto"/>
        <w:ind w:left="420" w:hanging="420" w:hangingChars="200"/>
        <w:rPr>
          <w:rFonts w:hint="eastAsia" w:ascii="宋体" w:hAnsi="宋体" w:cs="宋体"/>
        </w:rPr>
      </w:pPr>
      <w:r>
        <w:rPr>
          <w:rFonts w:hint="eastAsia" w:ascii="宋体" w:hAnsi="宋体" w:cs="宋体"/>
        </w:rPr>
        <w:t>3.1与本项目招标公告（或投标人须知前附表）中投标供应商资格要求一致。</w:t>
      </w:r>
    </w:p>
    <w:p>
      <w:pPr>
        <w:spacing w:line="360" w:lineRule="auto"/>
        <w:rPr>
          <w:rFonts w:hint="eastAsia" w:ascii="宋体" w:hAnsi="宋体" w:cs="宋体"/>
          <w:b/>
          <w:bCs/>
        </w:rPr>
      </w:pPr>
      <w:r>
        <w:rPr>
          <w:rFonts w:hint="eastAsia" w:ascii="宋体" w:hAnsi="宋体" w:cs="宋体"/>
          <w:b/>
          <w:bCs/>
        </w:rPr>
        <w:t>4、纪律与保密事项</w:t>
      </w:r>
    </w:p>
    <w:p>
      <w:pPr>
        <w:spacing w:line="360" w:lineRule="auto"/>
        <w:ind w:left="359" w:hanging="359" w:hangingChars="171"/>
        <w:rPr>
          <w:rFonts w:hint="eastAsia"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rPr>
      </w:pPr>
      <w:r>
        <w:rPr>
          <w:rFonts w:hint="eastAsia" w:ascii="宋体" w:hAnsi="宋体" w:cs="宋体"/>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cs="宋体"/>
        </w:rPr>
      </w:pPr>
      <w:r>
        <w:rPr>
          <w:rFonts w:hint="eastAsia" w:ascii="宋体" w:hAnsi="宋体" w:cs="宋体"/>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hint="eastAsia"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rPr>
      </w:pPr>
      <w:r>
        <w:rPr>
          <w:rFonts w:hint="eastAsia" w:ascii="宋体" w:hAnsi="宋体" w:cs="宋体"/>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cs="宋体"/>
        </w:rPr>
      </w:pPr>
      <w:r>
        <w:rPr>
          <w:rFonts w:hint="eastAsia" w:ascii="宋体" w:hAnsi="宋体" w:cs="宋体"/>
        </w:rPr>
        <w:t>5、投标人须知</w:t>
      </w:r>
    </w:p>
    <w:p>
      <w:pPr>
        <w:spacing w:line="360" w:lineRule="auto"/>
        <w:ind w:left="359" w:hanging="359" w:hangingChars="171"/>
        <w:rPr>
          <w:rFonts w:hint="eastAsia"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rPr>
      </w:pPr>
      <w:r>
        <w:rPr>
          <w:rFonts w:hint="eastAsia" w:ascii="宋体" w:hAnsi="宋体" w:cs="宋体"/>
        </w:rPr>
        <w:t>5.2 投标人应保证所提供给业主的资料和数据是真实的。</w:t>
      </w:r>
    </w:p>
    <w:p>
      <w:pPr>
        <w:spacing w:line="360" w:lineRule="auto"/>
        <w:ind w:left="359" w:hanging="359" w:hangingChars="171"/>
        <w:rPr>
          <w:rFonts w:hint="eastAsia" w:ascii="宋体" w:hAnsi="宋体" w:cs="宋体"/>
        </w:rPr>
      </w:pPr>
      <w:r>
        <w:rPr>
          <w:rFonts w:hint="eastAsia" w:ascii="宋体" w:hAnsi="宋体" w:cs="宋体"/>
        </w:rPr>
        <w:t>6、投标费用</w:t>
      </w:r>
    </w:p>
    <w:p>
      <w:pPr>
        <w:spacing w:line="360" w:lineRule="auto"/>
        <w:ind w:left="359" w:hanging="359" w:hangingChars="171"/>
        <w:rPr>
          <w:rFonts w:hint="eastAsia" w:ascii="宋体" w:hAnsi="宋体" w:cs="宋体"/>
        </w:rPr>
      </w:pPr>
      <w:r>
        <w:rPr>
          <w:rFonts w:hint="eastAsia" w:ascii="宋体" w:hAnsi="宋体" w:cs="宋体"/>
        </w:rPr>
        <w:t>6.1投标人应承担获取招标文件及所有与编写和提交投标文件有关的费用，不论投标的结果如何，业主在任何情况下均无义务和责任承担这些费用。</w:t>
      </w:r>
    </w:p>
    <w:p>
      <w:pPr>
        <w:pStyle w:val="3"/>
        <w:numPr>
          <w:ilvl w:val="0"/>
          <w:numId w:val="0"/>
        </w:numPr>
        <w:ind w:left="422"/>
        <w:jc w:val="center"/>
        <w:rPr>
          <w:rFonts w:hint="eastAsia" w:hAnsi="宋体" w:cs="宋体"/>
          <w:b w:val="0"/>
          <w:bCs/>
        </w:rPr>
      </w:pPr>
      <w:bookmarkStart w:id="54" w:name="_Toc409173218"/>
      <w:bookmarkStart w:id="55" w:name="_Toc409173104"/>
      <w:bookmarkStart w:id="56" w:name="_Toc513818902"/>
      <w:r>
        <w:rPr>
          <w:rFonts w:hint="eastAsia" w:hAnsi="宋体" w:cs="宋体"/>
        </w:rPr>
        <w:t>二、招标文件</w:t>
      </w:r>
      <w:bookmarkEnd w:id="54"/>
      <w:bookmarkEnd w:id="55"/>
      <w:bookmarkEnd w:id="56"/>
    </w:p>
    <w:p>
      <w:pPr>
        <w:spacing w:line="360" w:lineRule="auto"/>
        <w:ind w:left="542" w:hanging="542" w:hangingChars="257"/>
        <w:rPr>
          <w:rFonts w:hint="eastAsia" w:ascii="宋体" w:hAnsi="宋体" w:cs="宋体"/>
          <w:b/>
          <w:bCs/>
        </w:rPr>
      </w:pPr>
      <w:r>
        <w:rPr>
          <w:rFonts w:hint="eastAsia" w:ascii="宋体" w:hAnsi="宋体" w:cs="宋体"/>
          <w:b/>
          <w:bCs/>
        </w:rPr>
        <w:t>7、招标文件的构成</w:t>
      </w:r>
    </w:p>
    <w:p>
      <w:pPr>
        <w:spacing w:line="360" w:lineRule="auto"/>
        <w:ind w:left="540" w:hanging="539" w:hangingChars="257"/>
        <w:rPr>
          <w:rFonts w:hint="eastAsia"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hint="eastAsia" w:ascii="宋体" w:hAnsi="宋体" w:cs="宋体"/>
          <w:szCs w:val="22"/>
        </w:rPr>
      </w:pPr>
      <w:r>
        <w:rPr>
          <w:rFonts w:hint="eastAsia" w:ascii="宋体" w:hAnsi="宋体" w:cs="宋体"/>
          <w:szCs w:val="22"/>
        </w:rPr>
        <w:t>第一章  投标邀请函</w:t>
      </w:r>
    </w:p>
    <w:p>
      <w:pPr>
        <w:spacing w:line="360" w:lineRule="auto"/>
        <w:ind w:left="359" w:hanging="359" w:hangingChars="171"/>
        <w:rPr>
          <w:rFonts w:hint="eastAsia" w:ascii="宋体" w:hAnsi="宋体" w:cs="宋体"/>
          <w:szCs w:val="22"/>
        </w:rPr>
      </w:pPr>
      <w:r>
        <w:rPr>
          <w:rFonts w:hint="eastAsia" w:ascii="宋体" w:hAnsi="宋体" w:cs="宋体"/>
          <w:szCs w:val="22"/>
        </w:rPr>
        <w:t>第二章  投标人须知</w:t>
      </w:r>
    </w:p>
    <w:p>
      <w:pPr>
        <w:spacing w:line="360" w:lineRule="auto"/>
        <w:ind w:left="359" w:hanging="359" w:hangingChars="171"/>
        <w:rPr>
          <w:rFonts w:hint="eastAsia" w:ascii="宋体" w:hAnsi="宋体" w:cs="宋体"/>
          <w:szCs w:val="22"/>
        </w:rPr>
      </w:pPr>
      <w:r>
        <w:rPr>
          <w:rFonts w:hint="eastAsia" w:ascii="宋体" w:hAnsi="宋体" w:cs="宋体"/>
          <w:szCs w:val="22"/>
        </w:rPr>
        <w:t>第三章  用户需求书</w:t>
      </w:r>
    </w:p>
    <w:p>
      <w:pPr>
        <w:spacing w:line="360" w:lineRule="auto"/>
        <w:ind w:left="359" w:hanging="359" w:hangingChars="171"/>
        <w:rPr>
          <w:rFonts w:hint="eastAsia" w:ascii="宋体" w:hAnsi="宋体" w:cs="宋体"/>
          <w:szCs w:val="22"/>
        </w:rPr>
      </w:pPr>
      <w:r>
        <w:rPr>
          <w:rFonts w:hint="eastAsia" w:ascii="宋体" w:hAnsi="宋体" w:cs="宋体"/>
          <w:szCs w:val="22"/>
        </w:rPr>
        <w:t>第四章  合同格式</w:t>
      </w:r>
    </w:p>
    <w:p>
      <w:pPr>
        <w:spacing w:line="360" w:lineRule="auto"/>
        <w:ind w:left="359" w:hanging="359" w:hangingChars="171"/>
        <w:rPr>
          <w:rFonts w:hint="eastAsia"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hint="eastAsia" w:ascii="宋体" w:hAnsi="宋体" w:cs="宋体"/>
          <w:szCs w:val="22"/>
        </w:rPr>
      </w:pPr>
      <w:r>
        <w:rPr>
          <w:rFonts w:hint="eastAsia" w:ascii="宋体" w:hAnsi="宋体" w:cs="宋体"/>
          <w:szCs w:val="22"/>
        </w:rPr>
        <w:t>第六章  评标办法</w:t>
      </w:r>
    </w:p>
    <w:p>
      <w:pPr>
        <w:spacing w:line="360" w:lineRule="auto"/>
        <w:ind w:left="359" w:hanging="359" w:hangingChars="171"/>
        <w:rPr>
          <w:rFonts w:hint="eastAsia"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rPr>
      </w:pPr>
      <w:r>
        <w:rPr>
          <w:rFonts w:hint="eastAsia" w:ascii="宋体" w:hAnsi="宋体" w:cs="宋体"/>
          <w:b/>
          <w:bCs/>
        </w:rPr>
        <w:t>8、招标文件的澄清</w:t>
      </w:r>
    </w:p>
    <w:p>
      <w:pPr>
        <w:spacing w:line="360" w:lineRule="auto"/>
        <w:ind w:left="420" w:hanging="420" w:hangingChars="200"/>
        <w:rPr>
          <w:rFonts w:hint="eastAsia"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cs="宋体"/>
        </w:rPr>
      </w:pPr>
      <w:r>
        <w:rPr>
          <w:rFonts w:hint="eastAsia" w:ascii="宋体" w:hAnsi="宋体" w:cs="宋体"/>
        </w:rPr>
        <w:t>8.2对于投标供应商澄清要求的回复，招标代理机构均将以书面形式或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9、招标文件的修改</w:t>
      </w:r>
    </w:p>
    <w:p>
      <w:pPr>
        <w:spacing w:line="360" w:lineRule="auto"/>
        <w:ind w:left="420" w:hanging="420" w:hangingChars="200"/>
        <w:rPr>
          <w:rFonts w:hint="eastAsia"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的任何时候，无论出于何种原因，业主或招标代理机构可主动地或在解答投标人提出的需澄清的问题时向投标人发修改文件对招标文件进行修改。</w:t>
      </w:r>
    </w:p>
    <w:p>
      <w:pPr>
        <w:pStyle w:val="29"/>
        <w:spacing w:line="360" w:lineRule="auto"/>
        <w:ind w:left="359" w:leftChars="0" w:hanging="359" w:hangingChars="171"/>
        <w:rPr>
          <w:rFonts w:hint="eastAsia"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rPr>
      </w:pPr>
      <w:r>
        <w:rPr>
          <w:rFonts w:hint="eastAsia" w:ascii="宋体" w:hAnsi="宋体" w:cs="宋体"/>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10、招标语言及计量</w:t>
      </w:r>
    </w:p>
    <w:p>
      <w:pPr>
        <w:spacing w:line="360" w:lineRule="auto"/>
        <w:rPr>
          <w:rFonts w:hint="eastAsia" w:ascii="宋体" w:hAnsi="宋体" w:cs="宋体"/>
        </w:rPr>
      </w:pPr>
      <w:r>
        <w:rPr>
          <w:rFonts w:hint="eastAsia" w:ascii="宋体" w:hAnsi="宋体" w:cs="宋体"/>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rPr>
      </w:pPr>
      <w:r>
        <w:rPr>
          <w:rFonts w:hint="eastAsia" w:ascii="宋体" w:hAnsi="宋体" w:cs="宋体"/>
        </w:rPr>
        <w:t>10.2招标文件中的所有计量单位和规格说明都使用国家法定计量单位表示。</w:t>
      </w:r>
    </w:p>
    <w:p>
      <w:pPr>
        <w:pStyle w:val="3"/>
        <w:numPr>
          <w:ilvl w:val="0"/>
          <w:numId w:val="0"/>
        </w:numPr>
        <w:ind w:left="422"/>
        <w:jc w:val="center"/>
        <w:rPr>
          <w:rFonts w:hint="eastAsia" w:hAnsi="宋体" w:cs="宋体"/>
          <w:b w:val="0"/>
          <w:bCs/>
        </w:rPr>
      </w:pPr>
      <w:bookmarkStart w:id="57" w:name="_Toc409173105"/>
      <w:bookmarkStart w:id="58" w:name="_Toc409173219"/>
      <w:bookmarkStart w:id="59" w:name="_Toc513818903"/>
      <w:r>
        <w:rPr>
          <w:rFonts w:hint="eastAsia" w:hAnsi="宋体" w:cs="宋体"/>
        </w:rPr>
        <w:t>三、投标文件的编制</w:t>
      </w:r>
      <w:bookmarkEnd w:id="57"/>
      <w:bookmarkEnd w:id="58"/>
      <w:bookmarkEnd w:id="59"/>
    </w:p>
    <w:p>
      <w:pPr>
        <w:tabs>
          <w:tab w:val="left" w:pos="540"/>
        </w:tabs>
        <w:spacing w:line="360" w:lineRule="auto"/>
        <w:rPr>
          <w:rFonts w:hint="eastAsia" w:ascii="宋体" w:hAnsi="宋体" w:cs="宋体"/>
          <w:b/>
          <w:bCs/>
        </w:rPr>
      </w:pPr>
      <w:r>
        <w:rPr>
          <w:rFonts w:hint="eastAsia" w:ascii="宋体" w:hAnsi="宋体" w:cs="宋体"/>
          <w:b/>
          <w:bCs/>
        </w:rPr>
        <w:t>11、特别说明</w:t>
      </w:r>
    </w:p>
    <w:p>
      <w:pPr>
        <w:spacing w:line="360" w:lineRule="auto"/>
        <w:ind w:left="464" w:hanging="464" w:hangingChars="221"/>
        <w:rPr>
          <w:rFonts w:hint="eastAsia" w:ascii="宋体" w:hAnsi="宋体" w:cs="宋体"/>
        </w:rPr>
      </w:pPr>
      <w:r>
        <w:rPr>
          <w:rFonts w:hint="eastAsia" w:ascii="宋体" w:hAnsi="宋体" w:cs="宋体"/>
        </w:rPr>
        <w:t>11.1本招标文件服务指标要求中，重要的、关键的服务指标要求或性能要求（用户需求书中的打“★”号的条目），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rPr>
      </w:pPr>
      <w:r>
        <w:rPr>
          <w:rFonts w:hint="eastAsia" w:ascii="宋体" w:hAnsi="宋体" w:cs="宋体"/>
        </w:rPr>
        <w:t>11.3 投标人对本投标文件的每一项要求所给予的响应必须是唯一的，否则将视为不响应。</w:t>
      </w:r>
    </w:p>
    <w:p>
      <w:pPr>
        <w:spacing w:line="360" w:lineRule="auto"/>
        <w:rPr>
          <w:rFonts w:hint="eastAsia" w:ascii="宋体" w:hAnsi="宋体" w:cs="宋体"/>
          <w:b/>
          <w:bCs/>
        </w:rPr>
      </w:pPr>
      <w:r>
        <w:rPr>
          <w:rFonts w:hint="eastAsia" w:ascii="宋体" w:hAnsi="宋体" w:cs="宋体"/>
          <w:b/>
          <w:bCs/>
        </w:rPr>
        <w:t>12、投标语言及计量</w:t>
      </w:r>
    </w:p>
    <w:p>
      <w:pPr>
        <w:spacing w:line="360" w:lineRule="auto"/>
        <w:ind w:left="464" w:hanging="464" w:hangingChars="221"/>
        <w:rPr>
          <w:rFonts w:hint="eastAsia" w:ascii="宋体" w:hAnsi="宋体" w:cs="宋体"/>
        </w:rPr>
      </w:pPr>
      <w:r>
        <w:rPr>
          <w:rFonts w:hint="eastAsia" w:ascii="宋体" w:hAnsi="宋体" w:cs="宋体"/>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rPr>
      </w:pPr>
      <w:r>
        <w:rPr>
          <w:rFonts w:hint="eastAsia" w:ascii="宋体" w:hAnsi="宋体" w:cs="宋体"/>
        </w:rPr>
        <w:t>12.2在投标文件及所有投标人与业主往来文件中所有计量单位和规格说明均须用国家法定计量单位表示。</w:t>
      </w:r>
    </w:p>
    <w:p>
      <w:pPr>
        <w:spacing w:line="360" w:lineRule="auto"/>
        <w:rPr>
          <w:rFonts w:hint="eastAsia" w:ascii="宋体" w:hAnsi="宋体" w:cs="宋体"/>
          <w:b/>
          <w:bCs/>
        </w:rPr>
      </w:pPr>
      <w:r>
        <w:rPr>
          <w:rFonts w:hint="eastAsia" w:ascii="宋体" w:hAnsi="宋体" w:cs="宋体"/>
          <w:b/>
          <w:bCs/>
        </w:rPr>
        <w:t>13、投标文件的构成</w:t>
      </w:r>
    </w:p>
    <w:p>
      <w:pPr>
        <w:spacing w:line="360" w:lineRule="auto"/>
        <w:rPr>
          <w:rFonts w:hint="eastAsia" w:ascii="宋体" w:hAnsi="宋体" w:cs="宋体"/>
        </w:rPr>
      </w:pPr>
      <w:r>
        <w:rPr>
          <w:rFonts w:hint="eastAsia" w:ascii="宋体" w:hAnsi="宋体" w:cs="宋体"/>
        </w:rPr>
        <w:t>13.1投标人编写的投标文件应包括下列部分：</w:t>
      </w:r>
    </w:p>
    <w:p>
      <w:pPr>
        <w:spacing w:line="360" w:lineRule="auto"/>
        <w:ind w:firstLine="540"/>
        <w:rPr>
          <w:rFonts w:hint="eastAsia" w:ascii="宋体" w:hAnsi="宋体" w:cs="宋体"/>
        </w:rPr>
      </w:pPr>
      <w:r>
        <w:rPr>
          <w:rFonts w:hint="eastAsia" w:ascii="宋体" w:hAnsi="宋体" w:cs="宋体"/>
        </w:rPr>
        <w:t>（1）按投标人须知规定填写投标函、投标报价表。</w:t>
      </w:r>
    </w:p>
    <w:p>
      <w:pPr>
        <w:spacing w:line="360" w:lineRule="auto"/>
        <w:ind w:firstLine="540"/>
        <w:rPr>
          <w:rFonts w:hint="eastAsia"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hint="eastAsia" w:ascii="宋体" w:hAnsi="宋体" w:cs="宋体"/>
        </w:rPr>
      </w:pPr>
      <w:r>
        <w:rPr>
          <w:rFonts w:hint="eastAsia" w:ascii="宋体" w:hAnsi="宋体" w:cs="宋体"/>
        </w:rPr>
        <w:t>（3）按招标文件的规定出具的证明文件，证明投标人提供的设备符合招标文件的规定。</w:t>
      </w:r>
    </w:p>
    <w:p>
      <w:pPr>
        <w:spacing w:line="360" w:lineRule="auto"/>
        <w:ind w:firstLine="540"/>
        <w:rPr>
          <w:rFonts w:hint="eastAsia" w:ascii="宋体" w:hAnsi="宋体" w:cs="宋体"/>
        </w:rPr>
      </w:pPr>
      <w:r>
        <w:rPr>
          <w:rFonts w:hint="eastAsia" w:ascii="宋体" w:hAnsi="宋体" w:cs="宋体"/>
        </w:rPr>
        <w:t>（4）按投标人须知规定提交的投标保证金。</w:t>
      </w:r>
    </w:p>
    <w:p>
      <w:pPr>
        <w:spacing w:line="360" w:lineRule="auto"/>
        <w:ind w:firstLine="540"/>
        <w:rPr>
          <w:rFonts w:hint="eastAsia" w:ascii="宋体" w:hAnsi="宋体" w:cs="宋体"/>
        </w:rPr>
      </w:pPr>
      <w:r>
        <w:rPr>
          <w:rFonts w:hint="eastAsia" w:ascii="宋体" w:hAnsi="宋体" w:cs="宋体"/>
        </w:rPr>
        <w:t>（5）对招标文件第三章做出书面响应，包括但不限于技术规范、技术参数、技术文件及图纸等内容。</w:t>
      </w:r>
    </w:p>
    <w:p>
      <w:pPr>
        <w:spacing w:line="360" w:lineRule="auto"/>
        <w:ind w:firstLine="540"/>
        <w:rPr>
          <w:rFonts w:hint="eastAsia" w:ascii="宋体" w:hAnsi="宋体" w:cs="宋体"/>
        </w:rPr>
      </w:pPr>
      <w:r>
        <w:rPr>
          <w:rFonts w:hint="eastAsia" w:ascii="宋体" w:hAnsi="宋体" w:cs="宋体"/>
        </w:rPr>
        <w:t>（6）投标人应参照招标文件第五章的内容格式提供全面的响应的文件。</w:t>
      </w:r>
    </w:p>
    <w:p>
      <w:pPr>
        <w:spacing w:line="360" w:lineRule="auto"/>
        <w:rPr>
          <w:rFonts w:hint="eastAsia" w:ascii="宋体" w:hAnsi="宋体" w:cs="宋体"/>
        </w:rPr>
      </w:pPr>
      <w:r>
        <w:rPr>
          <w:rFonts w:hint="eastAsia" w:ascii="宋体" w:hAnsi="宋体" w:cs="宋体"/>
          <w:b/>
          <w:bCs/>
        </w:rPr>
        <w:t>14、投标文件的要求</w:t>
      </w:r>
    </w:p>
    <w:p>
      <w:pPr>
        <w:spacing w:line="360" w:lineRule="auto"/>
        <w:rPr>
          <w:rFonts w:hint="eastAsia"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hint="eastAsia"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hint="eastAsia"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rPr>
          <w:rFonts w:hint="eastAsia" w:ascii="宋体" w:hAnsi="宋体" w:cs="宋体"/>
          <w:b/>
          <w:bCs/>
        </w:rPr>
      </w:pPr>
      <w:r>
        <w:rPr>
          <w:rFonts w:hint="eastAsia" w:ascii="宋体" w:hAnsi="宋体" w:cs="宋体"/>
          <w:b/>
          <w:bCs/>
        </w:rPr>
        <w:t>15、投标报价</w:t>
      </w:r>
    </w:p>
    <w:p>
      <w:pPr>
        <w:spacing w:line="360" w:lineRule="auto"/>
        <w:ind w:left="464" w:hanging="464" w:hangingChars="221"/>
        <w:rPr>
          <w:rFonts w:hint="eastAsia" w:ascii="宋体" w:hAnsi="宋体" w:cs="宋体"/>
        </w:rPr>
      </w:pPr>
      <w:r>
        <w:rPr>
          <w:rFonts w:hint="eastAsia" w:ascii="宋体" w:hAnsi="宋体" w:cs="宋体"/>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cs="宋体"/>
        </w:rPr>
      </w:pPr>
      <w:r>
        <w:rPr>
          <w:rFonts w:hint="eastAsia" w:ascii="宋体" w:hAnsi="宋体" w:cs="宋体"/>
        </w:rPr>
        <w:t xml:space="preserve">15.2 </w:t>
      </w:r>
      <w:r>
        <w:rPr>
          <w:rFonts w:hint="eastAsia" w:ascii="宋体" w:hAnsi="宋体" w:cs="宋体"/>
          <w:b/>
        </w:rPr>
        <w:t>投标人提供的货物和服务应报</w:t>
      </w:r>
      <w:r>
        <w:rPr>
          <w:rFonts w:hint="eastAsia" w:ascii="宋体" w:hAnsi="宋体" w:cs="宋体"/>
          <w:b/>
          <w:u w:val="single"/>
        </w:rPr>
        <w:t>交招标方指定地点/仓</w:t>
      </w:r>
      <w:r>
        <w:rPr>
          <w:rFonts w:hint="eastAsia" w:ascii="宋体" w:hAnsi="宋体" w:cs="宋体"/>
          <w:b/>
        </w:rPr>
        <w:t>库（包括安装至指定位置），</w:t>
      </w:r>
      <w:r>
        <w:rPr>
          <w:rFonts w:hint="eastAsia" w:ascii="宋体" w:hAnsi="宋体" w:cs="宋体"/>
          <w:u w:val="single"/>
        </w:rPr>
        <w:t>投标人必须按招标文件中“用户需求书”等规定的报价方案报价，否则视为非实质响应性投标。</w:t>
      </w:r>
    </w:p>
    <w:p>
      <w:pPr>
        <w:tabs>
          <w:tab w:val="left" w:pos="840"/>
        </w:tabs>
        <w:spacing w:line="360" w:lineRule="auto"/>
        <w:ind w:left="525" w:hanging="525" w:hangingChars="250"/>
        <w:rPr>
          <w:rFonts w:hint="eastAsia" w:ascii="宋体" w:hAnsi="宋体" w:cs="宋体"/>
          <w:szCs w:val="22"/>
        </w:rPr>
      </w:pPr>
      <w:r>
        <w:rPr>
          <w:rFonts w:hint="eastAsia" w:ascii="宋体" w:hAnsi="宋体" w:cs="宋体"/>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szCs w:val="22"/>
        </w:rPr>
        <w:t>保险、安装、调试、培训等费用。税金、运输、保险、安装、调试、培训等不单独列项报价。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16.1投标人提供的货物和服务须用人民币报价；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hint="eastAsia"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hint="eastAsia" w:ascii="宋体" w:hAnsi="宋体" w:cs="宋体"/>
        </w:rPr>
      </w:pPr>
      <w:r>
        <w:rPr>
          <w:rFonts w:hint="eastAsia" w:ascii="宋体" w:hAnsi="宋体" w:cs="宋体"/>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投标人已具备履行合同所需的人力、财力、物力和服务能力；（如需）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投标人应具有</w:t>
      </w:r>
      <w:r>
        <w:rPr>
          <w:rFonts w:hint="eastAsia" w:ascii="宋体" w:hAnsi="宋体" w:cs="宋体"/>
          <w:szCs w:val="21"/>
        </w:rPr>
        <w:t>本招标采购的设备</w:t>
      </w:r>
      <w:r>
        <w:rPr>
          <w:rFonts w:hint="eastAsia" w:ascii="宋体" w:hAnsi="宋体" w:cs="宋体"/>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cs="宋体"/>
        </w:rPr>
      </w:pPr>
      <w:r>
        <w:rPr>
          <w:rFonts w:hint="eastAsia" w:ascii="宋体" w:hAnsi="宋体" w:cs="宋体"/>
        </w:rPr>
        <w:t>有关确立投标人法律地位和专业服务能力的原始文件副本复印件（如营业执照等资格证书）。（如需）</w:t>
      </w:r>
    </w:p>
    <w:p>
      <w:pPr>
        <w:spacing w:line="360" w:lineRule="auto"/>
        <w:rPr>
          <w:rFonts w:hint="eastAsia" w:ascii="宋体" w:hAnsi="宋体" w:cs="宋体"/>
          <w:b/>
          <w:bCs/>
        </w:rPr>
      </w:pPr>
      <w:r>
        <w:rPr>
          <w:rFonts w:hint="eastAsia" w:ascii="宋体" w:hAnsi="宋体" w:cs="宋体"/>
          <w:b/>
          <w:bCs/>
        </w:rPr>
        <w:t>18、证明</w:t>
      </w:r>
      <w:r>
        <w:rPr>
          <w:rFonts w:hint="eastAsia" w:ascii="宋体" w:hAnsi="宋体" w:cs="宋体"/>
          <w:b/>
        </w:rPr>
        <w:t>设备</w:t>
      </w:r>
      <w:r>
        <w:rPr>
          <w:rFonts w:hint="eastAsia" w:ascii="宋体" w:hAnsi="宋体" w:cs="宋体"/>
          <w:b/>
          <w:bCs/>
        </w:rPr>
        <w:t>的合格性和符合招标文件规定的文件</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货物的型号、规格；（如需）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货物主要服务指标和性能的详细说明；（如需）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cs="宋体"/>
        </w:rPr>
      </w:pPr>
      <w:r>
        <w:rPr>
          <w:rFonts w:hint="eastAsia" w:ascii="宋体" w:hAnsi="宋体" w:cs="宋体"/>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cs="宋体"/>
          <w:b/>
          <w:bCs/>
        </w:rPr>
      </w:pPr>
      <w:r>
        <w:rPr>
          <w:rFonts w:hint="eastAsia" w:ascii="宋体" w:hAnsi="宋体" w:cs="宋体"/>
          <w:b/>
          <w:bCs/>
        </w:rPr>
        <w:t>19、投标保证金</w:t>
      </w:r>
    </w:p>
    <w:p>
      <w:pPr>
        <w:spacing w:line="360" w:lineRule="auto"/>
        <w:ind w:left="540" w:hanging="539" w:hangingChars="257"/>
        <w:rPr>
          <w:rFonts w:hint="eastAsia" w:ascii="宋体" w:hAnsi="宋体" w:cs="宋体"/>
        </w:rPr>
      </w:pPr>
      <w:r>
        <w:rPr>
          <w:rFonts w:hint="eastAsia" w:ascii="宋体" w:hAnsi="宋体" w:cs="宋体"/>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rPr>
      </w:pPr>
      <w:r>
        <w:rPr>
          <w:rFonts w:hint="eastAsia" w:ascii="宋体" w:hAnsi="宋体" w:cs="宋体"/>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cs="宋体"/>
        </w:rPr>
      </w:pPr>
      <w:r>
        <w:rPr>
          <w:rFonts w:hint="eastAsia" w:ascii="宋体" w:hAnsi="宋体" w:cs="宋体"/>
          <w:bCs/>
        </w:rPr>
        <w:t>19.3投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hint="eastAsia" w:ascii="宋体" w:hAnsi="宋体" w:cs="宋体"/>
        </w:rPr>
      </w:pPr>
      <w:r>
        <w:rPr>
          <w:rFonts w:hint="eastAsia" w:ascii="宋体" w:hAnsi="宋体" w:cs="宋体"/>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rPr>
      </w:pPr>
      <w:r>
        <w:rPr>
          <w:rFonts w:hint="eastAsia" w:ascii="宋体" w:hAnsi="宋体" w:cs="宋体"/>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rPr>
      </w:pPr>
      <w:r>
        <w:rPr>
          <w:rFonts w:hint="eastAsia" w:ascii="宋体" w:hAnsi="宋体" w:cs="宋体"/>
        </w:rPr>
        <w:t>19.5未中标的投标人的保证金，将按投标人须知发出中标结果通知之日起5个工作日内由收款人原额退还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rPr>
          <w:rFonts w:hint="eastAsia" w:ascii="宋体" w:hAnsi="宋体" w:cs="宋体"/>
        </w:rPr>
      </w:pPr>
      <w:r>
        <w:rPr>
          <w:rFonts w:hint="eastAsia" w:ascii="宋体" w:hAnsi="宋体" w:cs="宋体"/>
        </w:rPr>
        <w:t>19.6乙方的投标保证金的退还必须同时满足以下要求：</w:t>
      </w:r>
    </w:p>
    <w:p>
      <w:pPr>
        <w:spacing w:line="360" w:lineRule="auto"/>
        <w:ind w:left="720"/>
        <w:rPr>
          <w:rFonts w:hint="eastAsia" w:ascii="宋体" w:hAnsi="宋体" w:cs="宋体"/>
          <w:szCs w:val="22"/>
        </w:rPr>
      </w:pPr>
      <w:r>
        <w:rPr>
          <w:rFonts w:hint="eastAsia" w:ascii="宋体" w:hAnsi="宋体" w:cs="宋体"/>
        </w:rPr>
        <w:t>（1）</w:t>
      </w:r>
      <w:r>
        <w:rPr>
          <w:rFonts w:hint="eastAsia" w:ascii="宋体" w:hAnsi="宋体" w:cs="宋体"/>
          <w:szCs w:val="22"/>
        </w:rPr>
        <w:t>乙方按投标人须知规定签订合同；</w:t>
      </w:r>
    </w:p>
    <w:p>
      <w:pPr>
        <w:spacing w:line="360" w:lineRule="auto"/>
        <w:ind w:left="720"/>
        <w:rPr>
          <w:rFonts w:hint="eastAsia" w:ascii="宋体" w:hAnsi="宋体" w:cs="宋体"/>
        </w:rPr>
      </w:pPr>
      <w:r>
        <w:rPr>
          <w:rFonts w:hint="eastAsia" w:ascii="宋体" w:hAnsi="宋体" w:cs="宋体"/>
        </w:rPr>
        <w:t>（2）</w:t>
      </w:r>
      <w:r>
        <w:rPr>
          <w:rFonts w:hint="eastAsia" w:ascii="宋体" w:hAnsi="宋体" w:cs="宋体"/>
          <w:szCs w:val="22"/>
        </w:rPr>
        <w:t>乙方按投标人须知规定支付招标代理服务费。如果乙方拒绝支付规定的招标代理服务费，业主有</w:t>
      </w:r>
      <w:r>
        <w:rPr>
          <w:rFonts w:hint="eastAsia" w:ascii="宋体" w:hAnsi="宋体" w:cs="宋体"/>
        </w:rPr>
        <w:t>权在投标人所交的投标保证金中扣除相应费用。</w:t>
      </w:r>
    </w:p>
    <w:p>
      <w:pPr>
        <w:spacing w:line="360" w:lineRule="auto"/>
        <w:rPr>
          <w:rFonts w:hint="eastAsia" w:ascii="宋体" w:hAnsi="宋体" w:cs="宋体"/>
        </w:rPr>
      </w:pPr>
      <w:r>
        <w:rPr>
          <w:rFonts w:hint="eastAsia" w:ascii="宋体" w:hAnsi="宋体" w:cs="宋体"/>
        </w:rPr>
        <w:t>19.7下列任何一种情况发生时，投标保证金将被没收：</w:t>
      </w:r>
    </w:p>
    <w:p>
      <w:pPr>
        <w:spacing w:line="360" w:lineRule="auto"/>
        <w:ind w:left="720"/>
        <w:rPr>
          <w:rFonts w:hint="eastAsia"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hint="eastAsia" w:ascii="宋体" w:hAnsi="宋体" w:cs="宋体"/>
          <w:szCs w:val="22"/>
        </w:rPr>
      </w:pPr>
      <w:r>
        <w:rPr>
          <w:rFonts w:hint="eastAsia" w:ascii="宋体" w:hAnsi="宋体" w:cs="宋体"/>
          <w:szCs w:val="22"/>
        </w:rPr>
        <w:t>（2）乙方在规定期限内未能根据投标人须知规定签订合同；或未能根据投标人须知规定接受对错误的修正；</w:t>
      </w:r>
    </w:p>
    <w:p>
      <w:pPr>
        <w:spacing w:line="360" w:lineRule="auto"/>
        <w:ind w:left="720"/>
        <w:rPr>
          <w:rFonts w:hint="eastAsia"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rPr>
          <w:rFonts w:hint="eastAsia" w:ascii="宋体" w:hAnsi="宋体" w:cs="宋体"/>
          <w:b/>
          <w:bCs/>
        </w:rPr>
      </w:pPr>
      <w:r>
        <w:rPr>
          <w:rFonts w:hint="eastAsia" w:ascii="宋体" w:hAnsi="宋体" w:cs="宋体"/>
          <w:b/>
          <w:bCs/>
        </w:rPr>
        <w:t>20、知识产权</w:t>
      </w:r>
    </w:p>
    <w:p>
      <w:pPr>
        <w:spacing w:line="360" w:lineRule="auto"/>
        <w:ind w:left="540" w:hanging="539" w:hangingChars="257"/>
        <w:rPr>
          <w:rFonts w:hint="eastAsia" w:ascii="宋体" w:hAnsi="宋体" w:cs="宋体"/>
        </w:rPr>
      </w:pPr>
      <w:r>
        <w:rPr>
          <w:rFonts w:hint="eastAsia" w:ascii="宋体" w:hAnsi="宋体" w:cs="宋体"/>
        </w:rPr>
        <w:t>20.1</w:t>
      </w:r>
      <w:r>
        <w:rPr>
          <w:rFonts w:hint="eastAsia" w:ascii="宋体" w:hAnsi="宋体" w:cs="宋体"/>
        </w:rPr>
        <w:tab/>
      </w:r>
      <w:r>
        <w:rPr>
          <w:rFonts w:hint="eastAsia" w:ascii="宋体" w:hAnsi="宋体" w:cs="宋体"/>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cs="宋体"/>
        </w:rPr>
      </w:pPr>
      <w:r>
        <w:rPr>
          <w:rFonts w:hint="eastAsia" w:ascii="宋体" w:hAnsi="宋体" w:cs="宋体"/>
        </w:rPr>
        <w:t>20.2投标价应包括所有应付的对专利权、版权或其他知识产权而需要向其他方支付的版税、使用费等费用。</w:t>
      </w:r>
    </w:p>
    <w:p>
      <w:pPr>
        <w:spacing w:line="360" w:lineRule="auto"/>
        <w:rPr>
          <w:rFonts w:hint="eastAsia" w:ascii="宋体" w:hAnsi="宋体" w:cs="宋体"/>
          <w:b/>
          <w:bCs/>
        </w:rPr>
      </w:pPr>
      <w:r>
        <w:rPr>
          <w:rFonts w:hint="eastAsia" w:ascii="宋体" w:hAnsi="宋体" w:cs="宋体"/>
          <w:b/>
          <w:bCs/>
        </w:rPr>
        <w:t>21、投标有效期</w:t>
      </w:r>
    </w:p>
    <w:p>
      <w:pPr>
        <w:spacing w:line="360" w:lineRule="auto"/>
        <w:ind w:left="630" w:hanging="630" w:hangingChars="300"/>
        <w:rPr>
          <w:rFonts w:hint="eastAsia" w:ascii="宋体" w:hAnsi="宋体" w:cs="宋体"/>
        </w:rPr>
      </w:pPr>
      <w:r>
        <w:rPr>
          <w:rFonts w:hint="eastAsia" w:ascii="宋体" w:hAnsi="宋体" w:cs="宋体"/>
        </w:rPr>
        <w:t>21.1投标文件应根据投标人须知的规定保持有效，比规定期限短的将视为非响应投标而予以拒绝。</w:t>
      </w:r>
    </w:p>
    <w:p>
      <w:pPr>
        <w:spacing w:line="360" w:lineRule="auto"/>
        <w:ind w:left="424" w:hanging="424" w:hangingChars="202"/>
        <w:rPr>
          <w:rFonts w:hint="eastAsia" w:ascii="宋体" w:hAnsi="宋体" w:cs="宋体"/>
        </w:rPr>
      </w:pPr>
      <w:r>
        <w:rPr>
          <w:rFonts w:hint="eastAsia" w:ascii="宋体" w:hAnsi="宋体" w:cs="宋体"/>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rPr>
      </w:pPr>
      <w:r>
        <w:rPr>
          <w:rFonts w:hint="eastAsia" w:ascii="宋体" w:hAnsi="宋体" w:cs="宋体"/>
          <w:b/>
          <w:bCs/>
        </w:rPr>
        <w:t>22、投标文件的样式和签署</w:t>
      </w:r>
    </w:p>
    <w:p>
      <w:pPr>
        <w:spacing w:line="360" w:lineRule="auto"/>
        <w:ind w:left="357" w:leftChars="8" w:hanging="340" w:hangingChars="162"/>
        <w:rPr>
          <w:rFonts w:hint="eastAsia" w:ascii="宋体" w:hAnsi="宋体" w:cs="宋体"/>
        </w:rPr>
      </w:pPr>
      <w:bookmarkStart w:id="60" w:name="_Toc409173220"/>
      <w:bookmarkStart w:id="61" w:name="_Toc409173106"/>
      <w:r>
        <w:rPr>
          <w:rFonts w:hint="eastAsia" w:ascii="宋体" w:hAnsi="宋体" w:cs="宋体"/>
        </w:rPr>
        <w:t>22.1投标文件应按第五章要求</w:t>
      </w:r>
      <w:bookmarkEnd w:id="60"/>
      <w:bookmarkEnd w:id="61"/>
      <w:r>
        <w:rPr>
          <w:rFonts w:hint="eastAsia" w:ascii="宋体" w:hAnsi="宋体" w:cs="宋体"/>
        </w:rPr>
        <w:t>编制。</w:t>
      </w:r>
    </w:p>
    <w:p>
      <w:pPr>
        <w:spacing w:line="360" w:lineRule="auto"/>
        <w:ind w:left="462" w:leftChars="8" w:hanging="445" w:hangingChars="212"/>
        <w:rPr>
          <w:rFonts w:hint="eastAsia" w:ascii="宋体" w:hAnsi="宋体" w:cs="宋体"/>
        </w:rPr>
      </w:pPr>
      <w:r>
        <w:rPr>
          <w:rFonts w:hint="eastAsia" w:ascii="宋体" w:hAnsi="宋体" w:cs="宋体"/>
        </w:rPr>
        <w:t>22.2投标人应准备投标文件1份(正本)，6份(副本)， 1份（投标文件电子文档）。每份投标文件清楚标明“正本”或“副本”，如果“正本”与“副本”或“电子文档”不符，以“正本”为准。</w:t>
      </w:r>
    </w:p>
    <w:p>
      <w:pPr>
        <w:spacing w:line="360" w:lineRule="auto"/>
        <w:ind w:left="437" w:leftChars="208"/>
        <w:rPr>
          <w:rFonts w:hint="eastAsia" w:ascii="宋体" w:hAnsi="宋体" w:cs="宋体"/>
          <w:b/>
          <w:bCs/>
        </w:rPr>
      </w:pPr>
      <w:r>
        <w:rPr>
          <w:rFonts w:hint="eastAsia" w:ascii="宋体" w:hAnsi="宋体" w:cs="宋体"/>
          <w:b/>
          <w:bCs/>
        </w:rPr>
        <w:t>电子文件的内容</w:t>
      </w:r>
      <w:r>
        <w:rPr>
          <w:rFonts w:hint="eastAsia" w:ascii="宋体" w:hAnsi="宋体" w:cs="宋体"/>
          <w:b/>
          <w:bCs/>
          <w:szCs w:val="21"/>
        </w:rPr>
        <w:t>为投标文件可</w:t>
      </w:r>
      <w:r>
        <w:rPr>
          <w:rFonts w:hint="eastAsia" w:ascii="宋体" w:hAnsi="宋体" w:cs="宋体"/>
          <w:b/>
          <w:bCs/>
          <w:szCs w:val="21"/>
          <w:lang w:val="zh-CN"/>
        </w:rPr>
        <w:t>编辑电子版，</w:t>
      </w:r>
      <w:r>
        <w:rPr>
          <w:rFonts w:hint="eastAsia" w:ascii="宋体" w:hAnsi="宋体" w:cs="宋体"/>
          <w:b/>
          <w:bCs/>
          <w:szCs w:val="21"/>
        </w:rPr>
        <w:t>详细报价表（用excel制作，保存为.xls格式）及正本盖章签字PDF扫描件</w:t>
      </w:r>
      <w:r>
        <w:rPr>
          <w:rFonts w:hint="eastAsia" w:ascii="宋体" w:hAnsi="宋体" w:cs="宋体"/>
          <w:b/>
          <w:bCs/>
        </w:rPr>
        <w:t>保存至usb闪存盘介质。</w:t>
      </w:r>
    </w:p>
    <w:p>
      <w:pPr>
        <w:spacing w:line="360" w:lineRule="auto"/>
        <w:rPr>
          <w:rFonts w:hint="eastAsia" w:ascii="宋体" w:hAnsi="宋体" w:cs="宋体"/>
        </w:rPr>
      </w:pPr>
      <w:r>
        <w:rPr>
          <w:rFonts w:hint="eastAsia" w:ascii="宋体" w:hAnsi="宋体" w:cs="宋体"/>
        </w:rPr>
        <w:t>22.3投标人文件“正本”是属于投标人自己制作的，均需用不褪色墨水书写或打印。</w:t>
      </w:r>
    </w:p>
    <w:p>
      <w:pPr>
        <w:spacing w:line="360" w:lineRule="auto"/>
        <w:ind w:left="462" w:hanging="462" w:hangingChars="220"/>
        <w:rPr>
          <w:rFonts w:hint="eastAsia" w:ascii="宋体" w:hAnsi="宋体" w:cs="宋体"/>
        </w:rPr>
      </w:pPr>
      <w:r>
        <w:rPr>
          <w:rFonts w:hint="eastAsia" w:ascii="宋体" w:hAnsi="宋体" w:cs="宋体"/>
        </w:rPr>
        <w:t>22.4投标文件的任何行间插字、涂改和增删，必须由投标文件的签字人用姓氏或首字母在旁边签字并加盖修改章或法人公章才有效。</w:t>
      </w:r>
    </w:p>
    <w:p>
      <w:pPr>
        <w:spacing w:line="360" w:lineRule="auto"/>
        <w:rPr>
          <w:rFonts w:hint="eastAsia" w:ascii="宋体" w:hAnsi="宋体" w:cs="宋体"/>
        </w:rPr>
      </w:pPr>
      <w:r>
        <w:rPr>
          <w:rFonts w:hint="eastAsia" w:ascii="宋体" w:hAnsi="宋体" w:cs="宋体"/>
        </w:rPr>
        <w:t>22.5投标文件（副本），所有资料都有可以用投标文件的（正本）复印而成。</w:t>
      </w:r>
    </w:p>
    <w:p>
      <w:pPr>
        <w:spacing w:line="360" w:lineRule="auto"/>
        <w:rPr>
          <w:rFonts w:hint="eastAsia" w:ascii="宋体" w:hAnsi="宋体" w:cs="宋体"/>
        </w:rPr>
      </w:pPr>
      <w:r>
        <w:rPr>
          <w:rFonts w:hint="eastAsia" w:ascii="宋体" w:hAnsi="宋体" w:cs="宋体"/>
        </w:rPr>
        <w:t>22.6投标文件的正本及所有副本的封面均须由投标人加盖公章。</w:t>
      </w:r>
    </w:p>
    <w:p>
      <w:pPr>
        <w:spacing w:line="360" w:lineRule="auto"/>
        <w:rPr>
          <w:rFonts w:hint="eastAsia" w:ascii="宋体" w:hAnsi="宋体" w:cs="宋体"/>
        </w:rPr>
      </w:pPr>
      <w:r>
        <w:rPr>
          <w:rFonts w:hint="eastAsia" w:ascii="宋体" w:hAnsi="宋体" w:cs="宋体"/>
        </w:rPr>
        <w:t>22.7投标人须为其投标文件的正本及所有副本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rPr>
          <w:rFonts w:hint="eastAsia" w:ascii="宋体" w:hAnsi="宋体" w:cs="宋体"/>
        </w:rPr>
      </w:pPr>
      <w:r>
        <w:rPr>
          <w:rFonts w:hint="eastAsia" w:ascii="宋体" w:hAnsi="宋体" w:cs="宋体"/>
        </w:rPr>
        <w:t>22.8电报、电话、电传、传真的投标文件将被拒绝。</w:t>
      </w:r>
    </w:p>
    <w:p>
      <w:pPr>
        <w:spacing w:line="360" w:lineRule="auto"/>
        <w:rPr>
          <w:rFonts w:hint="eastAsia" w:ascii="宋体" w:hAnsi="宋体" w:cs="宋体"/>
        </w:rPr>
      </w:pPr>
      <w:r>
        <w:rPr>
          <w:rFonts w:hint="eastAsia" w:ascii="宋体" w:hAnsi="宋体" w:cs="宋体"/>
        </w:rPr>
        <w:t>22.9投标人应出具所投标设备的说明书及技术介绍。</w:t>
      </w:r>
    </w:p>
    <w:p>
      <w:pPr>
        <w:pStyle w:val="3"/>
        <w:numPr>
          <w:ilvl w:val="0"/>
          <w:numId w:val="0"/>
        </w:numPr>
        <w:jc w:val="center"/>
        <w:rPr>
          <w:rFonts w:hint="eastAsia" w:hAnsi="宋体" w:cs="宋体"/>
        </w:rPr>
      </w:pPr>
      <w:bookmarkStart w:id="62" w:name="_Toc513818904"/>
      <w:bookmarkStart w:id="63" w:name="_Toc409173221"/>
      <w:bookmarkStart w:id="64" w:name="_Toc409173107"/>
      <w:r>
        <w:rPr>
          <w:rFonts w:hint="eastAsia" w:hAnsi="宋体" w:cs="宋体"/>
        </w:rPr>
        <w:t>四、投标文件的递交</w:t>
      </w:r>
      <w:bookmarkEnd w:id="62"/>
      <w:bookmarkEnd w:id="63"/>
      <w:bookmarkEnd w:id="64"/>
    </w:p>
    <w:p>
      <w:pPr>
        <w:spacing w:line="360" w:lineRule="auto"/>
        <w:rPr>
          <w:rFonts w:hint="eastAsia" w:ascii="宋体" w:hAnsi="宋体" w:cs="宋体"/>
          <w:b/>
          <w:bCs/>
        </w:rPr>
      </w:pPr>
      <w:r>
        <w:rPr>
          <w:rFonts w:hint="eastAsia" w:ascii="宋体" w:hAnsi="宋体" w:cs="宋体"/>
          <w:b/>
          <w:bCs/>
        </w:rPr>
        <w:t>23、投标文件的密封和标记</w:t>
      </w:r>
    </w:p>
    <w:p>
      <w:pPr>
        <w:tabs>
          <w:tab w:val="left" w:pos="360"/>
          <w:tab w:val="left" w:pos="540"/>
          <w:tab w:val="left" w:pos="900"/>
          <w:tab w:val="left" w:pos="1680"/>
        </w:tabs>
        <w:spacing w:line="360" w:lineRule="auto"/>
        <w:rPr>
          <w:rFonts w:hint="eastAsia" w:ascii="宋体" w:hAnsi="宋体" w:cs="宋体"/>
        </w:rPr>
      </w:pPr>
      <w:r>
        <w:rPr>
          <w:rFonts w:hint="eastAsia" w:ascii="宋体" w:hAnsi="宋体" w:cs="宋体"/>
        </w:rPr>
        <w:t xml:space="preserve">23.1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hint="eastAsia" w:ascii="宋体" w:hAnsi="宋体" w:cs="宋体"/>
        </w:rPr>
      </w:pPr>
      <w:bookmarkStart w:id="65" w:name="_Toc409173108"/>
      <w:bookmarkStart w:id="66" w:name="_Toc409173222"/>
      <w:r>
        <w:rPr>
          <w:rFonts w:hint="eastAsia" w:ascii="宋体" w:hAnsi="宋体" w:cs="宋体"/>
        </w:rPr>
        <w:t>23.2</w:t>
      </w:r>
      <w:bookmarkEnd w:id="65"/>
      <w:bookmarkEnd w:id="66"/>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rPr>
      </w:pPr>
      <w:r>
        <w:rPr>
          <w:rFonts w:hint="eastAsia" w:ascii="宋体" w:hAnsi="宋体" w:cs="宋体"/>
        </w:rPr>
        <w:t>23.3信封或外包装封套上应当注明项目名称、投标人名称。如果未按要求标记，招标人和招标代理机构对误投或提前启封概不负责。</w:t>
      </w:r>
    </w:p>
    <w:p>
      <w:pPr>
        <w:spacing w:line="360" w:lineRule="auto"/>
        <w:rPr>
          <w:rFonts w:hint="eastAsia" w:ascii="宋体" w:hAnsi="宋体" w:cs="宋体"/>
        </w:rPr>
      </w:pPr>
      <w:r>
        <w:rPr>
          <w:rFonts w:hint="eastAsia" w:ascii="宋体" w:hAnsi="宋体" w:cs="宋体"/>
        </w:rPr>
        <w:t>23.4招标代理机构对不可抗力事件造成的投标文件的损坏、丢失不承担任何责任。</w:t>
      </w:r>
    </w:p>
    <w:p>
      <w:pPr>
        <w:spacing w:line="360" w:lineRule="auto"/>
        <w:rPr>
          <w:rFonts w:hint="eastAsia" w:ascii="宋体" w:hAnsi="宋体" w:cs="宋体"/>
          <w:b/>
          <w:bCs/>
        </w:rPr>
      </w:pPr>
      <w:r>
        <w:rPr>
          <w:rFonts w:hint="eastAsia" w:ascii="宋体" w:hAnsi="宋体" w:cs="宋体"/>
          <w:b/>
          <w:bCs/>
        </w:rPr>
        <w:t>24、投标截止日期</w:t>
      </w:r>
    </w:p>
    <w:p>
      <w:pPr>
        <w:spacing w:line="360" w:lineRule="auto"/>
        <w:ind w:left="359" w:hanging="359" w:hangingChars="171"/>
        <w:rPr>
          <w:rFonts w:hint="eastAsia" w:ascii="宋体" w:hAnsi="宋体" w:cs="宋体"/>
        </w:rPr>
      </w:pPr>
      <w:r>
        <w:rPr>
          <w:rFonts w:hint="eastAsia" w:ascii="宋体" w:hAnsi="宋体" w:cs="宋体"/>
        </w:rPr>
        <w:t>24.1所有投标文件应在投标截止时间前送达投标、开标地点，并交予招标代理机构工作人员，任何迟于这个时间的投标将被拒绝。</w:t>
      </w:r>
    </w:p>
    <w:p>
      <w:pPr>
        <w:spacing w:line="360" w:lineRule="auto"/>
        <w:rPr>
          <w:rFonts w:hint="eastAsia" w:ascii="宋体" w:hAnsi="宋体" w:cs="宋体"/>
          <w:b/>
          <w:bCs/>
        </w:rPr>
      </w:pPr>
      <w:r>
        <w:rPr>
          <w:rFonts w:hint="eastAsia" w:ascii="宋体" w:hAnsi="宋体" w:cs="宋体"/>
          <w:b/>
          <w:bCs/>
        </w:rPr>
        <w:t>25、迟交的投标文件</w:t>
      </w:r>
    </w:p>
    <w:p>
      <w:pPr>
        <w:spacing w:line="360" w:lineRule="auto"/>
        <w:rPr>
          <w:rFonts w:hint="eastAsia" w:ascii="宋体" w:hAnsi="宋体" w:cs="宋体"/>
        </w:rPr>
      </w:pPr>
      <w:r>
        <w:rPr>
          <w:rFonts w:hint="eastAsia" w:ascii="宋体" w:hAnsi="宋体" w:cs="宋体"/>
        </w:rPr>
        <w:t>25.1按照投标人须知规定，招标代理机构将拒绝并原封退回在规定的投标截止时间后收到的任何投标证明文件。</w:t>
      </w:r>
    </w:p>
    <w:p>
      <w:pPr>
        <w:spacing w:line="360" w:lineRule="auto"/>
        <w:rPr>
          <w:rFonts w:hint="eastAsia" w:ascii="宋体" w:hAnsi="宋体" w:cs="宋体"/>
          <w:b/>
          <w:bCs/>
        </w:rPr>
      </w:pPr>
      <w:r>
        <w:rPr>
          <w:rFonts w:hint="eastAsia" w:ascii="宋体" w:hAnsi="宋体" w:cs="宋体"/>
          <w:b/>
          <w:bCs/>
        </w:rPr>
        <w:t>26、投标文件的修改与撤回</w:t>
      </w:r>
    </w:p>
    <w:p>
      <w:pPr>
        <w:spacing w:line="360" w:lineRule="auto"/>
        <w:ind w:left="359" w:hanging="359" w:hangingChars="171"/>
        <w:rPr>
          <w:rFonts w:hint="eastAsia" w:ascii="宋体" w:hAnsi="宋体" w:cs="宋体"/>
        </w:rPr>
      </w:pPr>
      <w:r>
        <w:rPr>
          <w:rFonts w:hint="eastAsia" w:ascii="宋体" w:hAnsi="宋体" w:cs="宋体"/>
        </w:rPr>
        <w:t>26.1投标人在递交投标文件后，在投标截止时间前投标人可以修改其投标，但必须以书面形式（密封同投标文件）送达招标人，并在信袋上注明“投标修改”和“开标前不得开封”字样。投标截止时间不得修改其投标。</w:t>
      </w:r>
    </w:p>
    <w:p>
      <w:pPr>
        <w:spacing w:line="360" w:lineRule="auto"/>
        <w:ind w:left="360" w:hanging="360"/>
        <w:rPr>
          <w:rFonts w:hint="eastAsia" w:ascii="宋体" w:hAnsi="宋体" w:cs="宋体"/>
          <w:b/>
          <w:bCs/>
          <w:sz w:val="32"/>
        </w:rPr>
      </w:pPr>
      <w:r>
        <w:rPr>
          <w:rFonts w:hint="eastAsia" w:ascii="宋体" w:hAnsi="宋体" w:cs="宋体"/>
        </w:rPr>
        <w:t>26.2 投标人可以在投标截止时间前撤回其投标。</w:t>
      </w:r>
    </w:p>
    <w:p>
      <w:pPr>
        <w:pStyle w:val="3"/>
        <w:numPr>
          <w:ilvl w:val="0"/>
          <w:numId w:val="0"/>
        </w:numPr>
        <w:ind w:left="422"/>
        <w:jc w:val="center"/>
        <w:rPr>
          <w:rFonts w:hint="eastAsia" w:hAnsi="宋体" w:cs="宋体"/>
          <w:b w:val="0"/>
          <w:bCs/>
          <w:sz w:val="32"/>
        </w:rPr>
      </w:pPr>
      <w:bookmarkStart w:id="67" w:name="_Toc409173109"/>
      <w:bookmarkStart w:id="68" w:name="_Toc513818905"/>
      <w:bookmarkStart w:id="69" w:name="_Toc409173223"/>
      <w:r>
        <w:rPr>
          <w:rFonts w:hint="eastAsia" w:hAnsi="宋体" w:cs="宋体"/>
          <w:szCs w:val="30"/>
        </w:rPr>
        <w:t>五、开标与评标</w:t>
      </w:r>
      <w:bookmarkEnd w:id="67"/>
      <w:bookmarkEnd w:id="68"/>
      <w:bookmarkEnd w:id="69"/>
    </w:p>
    <w:p>
      <w:pPr>
        <w:spacing w:line="360" w:lineRule="auto"/>
        <w:rPr>
          <w:rFonts w:hint="eastAsia" w:ascii="宋体" w:hAnsi="宋体" w:cs="宋体"/>
          <w:b/>
          <w:bCs/>
        </w:rPr>
      </w:pPr>
      <w:r>
        <w:rPr>
          <w:rFonts w:hint="eastAsia" w:ascii="宋体" w:hAnsi="宋体" w:cs="宋体"/>
          <w:b/>
          <w:bCs/>
        </w:rPr>
        <w:t>27、开标</w:t>
      </w:r>
    </w:p>
    <w:p>
      <w:pPr>
        <w:spacing w:line="360" w:lineRule="auto"/>
        <w:ind w:left="359" w:hanging="359" w:hangingChars="171"/>
        <w:rPr>
          <w:rFonts w:hint="eastAsia" w:ascii="宋体" w:hAnsi="宋体" w:cs="宋体"/>
        </w:rPr>
      </w:pPr>
      <w:r>
        <w:rPr>
          <w:rFonts w:hint="eastAsia" w:ascii="宋体" w:hAnsi="宋体" w:cs="宋体"/>
        </w:rPr>
        <w:t>27.1本次招标采用一次开标形式，开标时，由招标人和投标人代表共同检查投标文件的密封情况。经确认无误后，由招标代理机构工作人员当众拆封开启投标文件并宣读投标报价函正本与副本内容不一致时以投标文件正本内容为准。投标人的投标文件中的相关价格变更或者其他说明，都应在招标文件要求的投标报价表总表中明确，否则，评标时不予认可。</w:t>
      </w:r>
    </w:p>
    <w:p>
      <w:pPr>
        <w:spacing w:line="360" w:lineRule="auto"/>
        <w:rPr>
          <w:rFonts w:hint="eastAsia" w:ascii="宋体" w:hAnsi="宋体" w:cs="宋体"/>
        </w:rPr>
      </w:pPr>
      <w:r>
        <w:rPr>
          <w:rFonts w:hint="eastAsia" w:ascii="宋体" w:hAnsi="宋体" w:cs="宋体"/>
        </w:rPr>
        <w:t>27.2开标时间采用北京时间计时（以国家授时中心标准时间为准）。</w:t>
      </w:r>
    </w:p>
    <w:p>
      <w:pPr>
        <w:spacing w:line="360" w:lineRule="auto"/>
        <w:rPr>
          <w:rFonts w:hint="eastAsia" w:ascii="宋体" w:hAnsi="宋体" w:cs="宋体"/>
        </w:rPr>
      </w:pPr>
      <w:r>
        <w:rPr>
          <w:rFonts w:hint="eastAsia" w:ascii="宋体" w:hAnsi="宋体" w:cs="宋体"/>
        </w:rPr>
        <w:t>27.3开标地点：详见投标人须知前附表规定。</w:t>
      </w:r>
    </w:p>
    <w:p>
      <w:pPr>
        <w:spacing w:line="360" w:lineRule="auto"/>
        <w:ind w:left="359" w:hanging="359" w:hangingChars="171"/>
        <w:rPr>
          <w:rFonts w:hint="eastAsia" w:ascii="宋体" w:hAnsi="宋体" w:cs="宋体"/>
        </w:rPr>
      </w:pPr>
      <w:r>
        <w:rPr>
          <w:rFonts w:hint="eastAsia" w:ascii="宋体" w:hAnsi="宋体" w:cs="宋体"/>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rPr>
      </w:pPr>
      <w:r>
        <w:rPr>
          <w:rFonts w:hint="eastAsia" w:ascii="宋体" w:hAnsi="宋体" w:cs="宋体"/>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rPr>
      </w:pPr>
      <w:r>
        <w:rPr>
          <w:rFonts w:hint="eastAsia" w:ascii="宋体" w:hAnsi="宋体" w:cs="宋体"/>
        </w:rPr>
        <w:t>27.6迟到或撤回的投标文件将被原封退回给投标人。</w:t>
      </w:r>
    </w:p>
    <w:p>
      <w:pPr>
        <w:spacing w:line="360" w:lineRule="auto"/>
        <w:rPr>
          <w:rFonts w:hint="eastAsia" w:ascii="宋体" w:hAnsi="宋体" w:cs="宋体"/>
        </w:rPr>
      </w:pPr>
      <w:r>
        <w:rPr>
          <w:rFonts w:hint="eastAsia" w:ascii="宋体" w:hAnsi="宋体" w:cs="宋体"/>
        </w:rPr>
        <w:t>27.7招标代理机构将做开标记录，开标记录包括在开标时宣读的全部内容，并由投标人签字确认，存档备查。</w:t>
      </w:r>
    </w:p>
    <w:p>
      <w:pPr>
        <w:spacing w:line="360" w:lineRule="auto"/>
        <w:rPr>
          <w:rFonts w:hint="eastAsia" w:ascii="宋体" w:hAnsi="宋体" w:cs="宋体"/>
          <w:b/>
          <w:bCs/>
        </w:rPr>
      </w:pPr>
      <w:r>
        <w:rPr>
          <w:rFonts w:hint="eastAsia" w:ascii="宋体" w:hAnsi="宋体" w:cs="宋体"/>
          <w:b/>
          <w:bCs/>
        </w:rPr>
        <w:t>28、评标委员会</w:t>
      </w:r>
    </w:p>
    <w:p>
      <w:pPr>
        <w:spacing w:line="360" w:lineRule="auto"/>
        <w:ind w:left="420" w:hanging="420" w:hangingChars="200"/>
        <w:rPr>
          <w:rFonts w:hint="eastAsia" w:ascii="宋体" w:hAnsi="宋体" w:cs="宋体"/>
        </w:rPr>
      </w:pPr>
      <w:r>
        <w:rPr>
          <w:rFonts w:hint="eastAsia" w:ascii="宋体" w:hAnsi="宋体" w:cs="宋体"/>
        </w:rPr>
        <w:t>28.1本次招标，招标人参照相关法律法规组成评标委员会。</w:t>
      </w:r>
    </w:p>
    <w:p>
      <w:pPr>
        <w:spacing w:line="360" w:lineRule="auto"/>
        <w:ind w:left="420" w:hanging="420" w:hangingChars="200"/>
        <w:rPr>
          <w:rFonts w:hint="eastAsia" w:ascii="宋体" w:hAnsi="宋体" w:cs="宋体"/>
        </w:rPr>
      </w:pPr>
      <w:r>
        <w:rPr>
          <w:rFonts w:hint="eastAsia" w:ascii="宋体" w:hAnsi="宋体" w:cs="宋体"/>
        </w:rPr>
        <w:t>28.2 评标委员会</w:t>
      </w:r>
    </w:p>
    <w:p>
      <w:pPr>
        <w:spacing w:line="360" w:lineRule="auto"/>
        <w:ind w:left="359" w:hanging="359" w:hangingChars="171"/>
        <w:rPr>
          <w:rFonts w:hint="eastAsia" w:ascii="宋体" w:hAnsi="宋体" w:cs="宋体"/>
        </w:rPr>
      </w:pPr>
      <w:r>
        <w:rPr>
          <w:rFonts w:hint="eastAsia" w:ascii="宋体" w:hAnsi="宋体" w:cs="宋体"/>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rPr>
      </w:pPr>
      <w:r>
        <w:rPr>
          <w:rFonts w:hint="eastAsia" w:ascii="宋体" w:hAnsi="宋体" w:cs="宋体"/>
          <w:b/>
          <w:bCs/>
        </w:rPr>
        <w:t>29、评标原则和评标方法</w:t>
      </w:r>
    </w:p>
    <w:p>
      <w:pPr>
        <w:spacing w:line="360" w:lineRule="auto"/>
        <w:ind w:left="359" w:hanging="359" w:hangingChars="171"/>
        <w:rPr>
          <w:rFonts w:hint="eastAsia" w:ascii="宋体" w:hAnsi="宋体" w:cs="宋体"/>
        </w:rPr>
      </w:pPr>
      <w:r>
        <w:rPr>
          <w:rFonts w:hint="eastAsia" w:ascii="宋体" w:hAnsi="宋体" w:cs="宋体"/>
        </w:rPr>
        <w:t>29.1评标遵循公平、公正、科学、择优的原则。评标委员会将按照规定只对通过初步评审的招标文件进行详细评审。</w:t>
      </w:r>
    </w:p>
    <w:p>
      <w:pPr>
        <w:spacing w:line="360" w:lineRule="auto"/>
        <w:rPr>
          <w:rFonts w:hint="eastAsia" w:ascii="宋体" w:hAnsi="宋体" w:cs="宋体"/>
        </w:rPr>
      </w:pPr>
      <w:r>
        <w:rPr>
          <w:rFonts w:hint="eastAsia" w:ascii="宋体" w:hAnsi="宋体" w:cs="宋体"/>
        </w:rPr>
        <w:t>29.2评标方法：本次招标的评标方法采用综合评分法。</w:t>
      </w:r>
    </w:p>
    <w:p>
      <w:pPr>
        <w:spacing w:line="360" w:lineRule="auto"/>
        <w:rPr>
          <w:rFonts w:hint="eastAsia" w:ascii="宋体" w:hAnsi="宋体" w:cs="宋体"/>
        </w:rPr>
      </w:pPr>
      <w:r>
        <w:rPr>
          <w:rFonts w:hint="eastAsia" w:ascii="宋体" w:hAnsi="宋体" w:cs="宋体"/>
        </w:rPr>
        <w:t>29.3评标规则与步骤：详见第六章；</w:t>
      </w:r>
    </w:p>
    <w:p>
      <w:pPr>
        <w:spacing w:line="360" w:lineRule="auto"/>
        <w:rPr>
          <w:rFonts w:hint="eastAsia" w:ascii="宋体" w:hAnsi="宋体" w:cs="宋体"/>
          <w:b/>
          <w:bCs/>
        </w:rPr>
      </w:pPr>
      <w:r>
        <w:rPr>
          <w:rFonts w:hint="eastAsia" w:ascii="宋体" w:hAnsi="宋体" w:cs="宋体"/>
          <w:b/>
          <w:bCs/>
        </w:rPr>
        <w:t>30、投标文件的修正和澄清</w:t>
      </w:r>
    </w:p>
    <w:p>
      <w:pPr>
        <w:spacing w:line="360" w:lineRule="auto"/>
        <w:ind w:left="359" w:hanging="359" w:hangingChars="171"/>
        <w:rPr>
          <w:rFonts w:hint="eastAsia" w:ascii="宋体" w:hAnsi="宋体" w:cs="宋体"/>
        </w:rPr>
      </w:pPr>
      <w:r>
        <w:rPr>
          <w:rFonts w:hint="eastAsia" w:ascii="宋体" w:hAnsi="宋体" w:cs="宋体"/>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rPr>
      </w:pPr>
      <w:r>
        <w:rPr>
          <w:rFonts w:hint="eastAsia" w:ascii="宋体" w:hAnsi="宋体" w:cs="宋体"/>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rPr>
      </w:pPr>
      <w:r>
        <w:rPr>
          <w:rFonts w:hint="eastAsia" w:ascii="宋体" w:hAnsi="宋体" w:cs="宋体"/>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乙方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cs="宋体"/>
        </w:rPr>
      </w:pPr>
      <w:r>
        <w:rPr>
          <w:rFonts w:hint="eastAsia" w:ascii="宋体" w:hAnsi="宋体" w:cs="宋体"/>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rPr>
      </w:pPr>
      <w:r>
        <w:rPr>
          <w:rFonts w:hint="eastAsia" w:ascii="宋体" w:hAnsi="宋体" w:cs="宋体"/>
          <w:b/>
        </w:rPr>
        <w:t>31、</w:t>
      </w:r>
      <w:r>
        <w:rPr>
          <w:rFonts w:hint="eastAsia" w:ascii="宋体" w:hAnsi="宋体" w:cs="宋体"/>
          <w:b/>
          <w:bCs/>
        </w:rPr>
        <w:t>拒绝任何或所有投标的权力</w:t>
      </w:r>
    </w:p>
    <w:p>
      <w:pPr>
        <w:spacing w:line="360" w:lineRule="auto"/>
        <w:rPr>
          <w:rFonts w:hint="eastAsia" w:ascii="宋体" w:hAnsi="宋体" w:cs="宋体"/>
        </w:rPr>
      </w:pPr>
      <w:r>
        <w:rPr>
          <w:rFonts w:hint="eastAsia" w:ascii="宋体" w:hAnsi="宋体" w:cs="宋体"/>
        </w:rPr>
        <w:t>31.1评标委员会经评审，认为所有投标都不符合招标文件实质性要求的，可以否决所有投标。</w:t>
      </w:r>
    </w:p>
    <w:p>
      <w:pPr>
        <w:spacing w:line="360" w:lineRule="auto"/>
        <w:rPr>
          <w:rFonts w:hint="eastAsia" w:ascii="宋体" w:hAnsi="宋体" w:cs="宋体"/>
        </w:rPr>
      </w:pPr>
      <w:r>
        <w:rPr>
          <w:rFonts w:hint="eastAsia" w:ascii="宋体" w:hAnsi="宋体" w:cs="宋体"/>
        </w:rPr>
        <w:t>31.2当有效投标人少于3名时，可以拒绝所有投标并重新组织招标。</w:t>
      </w:r>
    </w:p>
    <w:p>
      <w:pPr>
        <w:spacing w:line="360" w:lineRule="auto"/>
        <w:ind w:left="359" w:hanging="359" w:hangingChars="171"/>
        <w:rPr>
          <w:rFonts w:hint="eastAsia" w:ascii="宋体" w:hAnsi="宋体" w:cs="宋体"/>
        </w:rPr>
      </w:pPr>
      <w:r>
        <w:rPr>
          <w:rFonts w:hint="eastAsia" w:ascii="宋体" w:hAnsi="宋体" w:cs="宋体"/>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3"/>
        <w:numPr>
          <w:ilvl w:val="0"/>
          <w:numId w:val="0"/>
        </w:numPr>
        <w:ind w:left="422"/>
        <w:jc w:val="center"/>
        <w:rPr>
          <w:rFonts w:hint="eastAsia" w:hAnsi="宋体" w:cs="宋体"/>
          <w:sz w:val="32"/>
        </w:rPr>
      </w:pPr>
      <w:bookmarkStart w:id="70" w:name="_Toc513818906"/>
      <w:r>
        <w:rPr>
          <w:rFonts w:hint="eastAsia" w:hAnsi="宋体" w:cs="宋体"/>
          <w:szCs w:val="30"/>
        </w:rPr>
        <w:t>六、授予合同</w:t>
      </w:r>
      <w:bookmarkEnd w:id="70"/>
    </w:p>
    <w:p>
      <w:pPr>
        <w:spacing w:line="360" w:lineRule="auto"/>
        <w:rPr>
          <w:rFonts w:hint="eastAsia" w:ascii="宋体" w:hAnsi="宋体" w:cs="宋体"/>
          <w:b/>
          <w:bCs/>
        </w:rPr>
      </w:pPr>
      <w:r>
        <w:rPr>
          <w:rFonts w:hint="eastAsia" w:ascii="宋体" w:hAnsi="宋体" w:cs="宋体"/>
          <w:b/>
          <w:bCs/>
        </w:rPr>
        <w:t>32、中标人的确定</w:t>
      </w:r>
    </w:p>
    <w:p>
      <w:pPr>
        <w:spacing w:line="360" w:lineRule="auto"/>
        <w:rPr>
          <w:rFonts w:hint="eastAsia" w:ascii="宋体" w:hAnsi="宋体" w:cs="宋体"/>
        </w:rPr>
      </w:pPr>
      <w:r>
        <w:rPr>
          <w:rFonts w:hint="eastAsia" w:ascii="宋体" w:hAnsi="宋体" w:cs="宋体"/>
        </w:rPr>
        <w:t>32.1根据评标结果，招标人将按照招标文件的约定确定中标人。</w:t>
      </w:r>
    </w:p>
    <w:p>
      <w:pPr>
        <w:spacing w:line="360" w:lineRule="auto"/>
        <w:rPr>
          <w:rFonts w:hint="eastAsia" w:ascii="宋体" w:hAnsi="宋体" w:cs="宋体"/>
        </w:rPr>
      </w:pPr>
      <w:r>
        <w:rPr>
          <w:rFonts w:hint="eastAsia" w:ascii="宋体" w:hAnsi="宋体" w:cs="宋体"/>
        </w:rPr>
        <w:t>32.2评标委员会无义务将合同授予投标报价最低的投标人。</w:t>
      </w:r>
    </w:p>
    <w:p>
      <w:pPr>
        <w:spacing w:line="360" w:lineRule="auto"/>
        <w:rPr>
          <w:rFonts w:hint="eastAsia" w:ascii="宋体" w:hAnsi="宋体" w:cs="宋体"/>
          <w:b/>
          <w:bCs/>
        </w:rPr>
      </w:pPr>
      <w:r>
        <w:rPr>
          <w:rFonts w:hint="eastAsia" w:ascii="宋体" w:hAnsi="宋体" w:cs="宋体"/>
          <w:b/>
          <w:bCs/>
        </w:rPr>
        <w:t>33、中标结果公示</w:t>
      </w:r>
    </w:p>
    <w:p>
      <w:pPr>
        <w:spacing w:line="360" w:lineRule="auto"/>
        <w:rPr>
          <w:rFonts w:hint="eastAsia" w:ascii="宋体" w:hAnsi="宋体" w:cs="宋体"/>
          <w:b/>
        </w:rPr>
      </w:pPr>
      <w:r>
        <w:rPr>
          <w:rFonts w:hint="eastAsia" w:ascii="宋体" w:hAnsi="宋体" w:cs="宋体"/>
          <w:b/>
        </w:rPr>
        <w:t>33.1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hint="eastAsia" w:ascii="宋体" w:hAnsi="宋体" w:cs="宋体"/>
        </w:rPr>
      </w:pPr>
      <w:r>
        <w:rPr>
          <w:rFonts w:hint="eastAsia" w:ascii="宋体" w:hAnsi="宋体" w:cs="宋体"/>
        </w:rPr>
        <w:t>33.2在投标有效期满之前，广东省机电设备招标有限公司将在指定网址公告中标结果，并将招标结果通知业主。</w:t>
      </w:r>
    </w:p>
    <w:p>
      <w:pPr>
        <w:spacing w:line="360" w:lineRule="auto"/>
        <w:rPr>
          <w:rFonts w:hint="eastAsia" w:ascii="宋体" w:hAnsi="宋体" w:cs="宋体"/>
          <w:b/>
          <w:bCs/>
        </w:rPr>
      </w:pPr>
      <w:r>
        <w:rPr>
          <w:rFonts w:hint="eastAsia" w:ascii="宋体" w:hAnsi="宋体" w:cs="宋体"/>
          <w:b/>
          <w:bCs/>
        </w:rPr>
        <w:t>34、合同授予</w:t>
      </w:r>
    </w:p>
    <w:p>
      <w:pPr>
        <w:spacing w:line="360" w:lineRule="auto"/>
        <w:rPr>
          <w:rFonts w:hint="eastAsia" w:ascii="宋体" w:hAnsi="宋体" w:cs="宋体"/>
        </w:rPr>
      </w:pPr>
      <w:r>
        <w:rPr>
          <w:rFonts w:hint="eastAsia" w:ascii="宋体" w:hAnsi="宋体" w:cs="宋体"/>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rPr>
      </w:pPr>
      <w:r>
        <w:rPr>
          <w:rFonts w:hint="eastAsia" w:ascii="宋体" w:hAnsi="宋体" w:cs="宋体"/>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rPr>
      </w:pPr>
      <w:r>
        <w:rPr>
          <w:rFonts w:hint="eastAsia" w:ascii="宋体" w:hAnsi="宋体" w:cs="宋体"/>
          <w:b/>
          <w:bCs/>
        </w:rPr>
        <w:t>35、中标通知书及中标结果通知书</w:t>
      </w:r>
    </w:p>
    <w:p>
      <w:pPr>
        <w:spacing w:line="360" w:lineRule="auto"/>
        <w:ind w:left="359" w:hanging="359" w:hangingChars="171"/>
        <w:rPr>
          <w:rFonts w:hint="eastAsia" w:ascii="宋体" w:hAnsi="宋体" w:cs="宋体"/>
          <w:szCs w:val="22"/>
        </w:rPr>
      </w:pPr>
      <w:r>
        <w:rPr>
          <w:rFonts w:hint="eastAsia" w:ascii="宋体" w:hAnsi="宋体" w:cs="宋体"/>
        </w:rPr>
        <w:t>3</w:t>
      </w:r>
      <w:r>
        <w:rPr>
          <w:rFonts w:hint="eastAsia" w:ascii="宋体" w:hAnsi="宋体" w:cs="宋体"/>
          <w:szCs w:val="22"/>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szCs w:val="22"/>
        </w:rPr>
      </w:pPr>
      <w:r>
        <w:rPr>
          <w:rFonts w:hint="eastAsia" w:ascii="宋体" w:hAnsi="宋体" w:cs="宋体"/>
          <w:szCs w:val="22"/>
        </w:rPr>
        <w:t>35.2 《中标通知书》将是合同的一个组成部分。</w:t>
      </w:r>
    </w:p>
    <w:p>
      <w:pPr>
        <w:spacing w:line="360" w:lineRule="auto"/>
        <w:ind w:left="359" w:hanging="359" w:hangingChars="171"/>
        <w:rPr>
          <w:rFonts w:hint="eastAsia" w:ascii="宋体" w:hAnsi="宋体" w:cs="宋体"/>
        </w:rPr>
      </w:pPr>
      <w:r>
        <w:rPr>
          <w:rFonts w:hint="eastAsia" w:ascii="宋体" w:hAnsi="宋体" w:cs="宋体"/>
          <w:szCs w:val="22"/>
        </w:rPr>
        <w:t>35.3广东省机电设备招标有限公司发出《中标通知书》时，向所有未中标人公告中标结果，对不中标的投标人不另行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rPr>
          <w:rFonts w:hint="eastAsia" w:ascii="宋体" w:hAnsi="宋体" w:cs="宋体"/>
          <w:b/>
          <w:bCs/>
        </w:rPr>
      </w:pPr>
      <w:r>
        <w:rPr>
          <w:rFonts w:hint="eastAsia" w:ascii="宋体" w:hAnsi="宋体" w:cs="宋体"/>
          <w:b/>
          <w:bCs/>
        </w:rPr>
        <w:t>36、签订合同</w:t>
      </w:r>
    </w:p>
    <w:p>
      <w:pPr>
        <w:spacing w:line="360" w:lineRule="auto"/>
        <w:ind w:left="359" w:hanging="359" w:hangingChars="171"/>
        <w:rPr>
          <w:rFonts w:hint="eastAsia" w:ascii="宋体" w:hAnsi="宋体" w:cs="宋体"/>
        </w:rPr>
      </w:pPr>
      <w:r>
        <w:rPr>
          <w:rFonts w:hint="eastAsia" w:ascii="宋体" w:hAnsi="宋体" w:cs="宋体"/>
        </w:rPr>
        <w:t>36.1中标人应自《中标通知书》发出之日起三十日内，应按照《中标通知书》指定的时间、地点，派遣其授权代表前往与甲方签署合同。</w:t>
      </w:r>
    </w:p>
    <w:p>
      <w:pPr>
        <w:spacing w:line="360" w:lineRule="auto"/>
        <w:rPr>
          <w:rFonts w:hint="eastAsia" w:ascii="宋体" w:hAnsi="宋体" w:cs="宋体"/>
        </w:rPr>
      </w:pPr>
      <w:r>
        <w:rPr>
          <w:rFonts w:hint="eastAsia" w:ascii="宋体" w:hAnsi="宋体" w:cs="宋体"/>
        </w:rPr>
        <w:t>36.2合同的组成基于但不限于以下部分：</w:t>
      </w:r>
    </w:p>
    <w:p>
      <w:pPr>
        <w:spacing w:line="360" w:lineRule="auto"/>
        <w:ind w:firstLine="525" w:firstLineChars="250"/>
        <w:rPr>
          <w:rFonts w:hint="eastAsia" w:ascii="宋体" w:hAnsi="宋体" w:cs="宋体"/>
        </w:rPr>
      </w:pPr>
      <w:r>
        <w:rPr>
          <w:rFonts w:hint="eastAsia" w:ascii="宋体" w:hAnsi="宋体" w:cs="宋体"/>
        </w:rPr>
        <w:t>（1）《合同条款》；</w:t>
      </w:r>
    </w:p>
    <w:p>
      <w:pPr>
        <w:spacing w:line="360" w:lineRule="auto"/>
        <w:ind w:firstLine="525" w:firstLineChars="250"/>
        <w:rPr>
          <w:rFonts w:hint="eastAsia" w:ascii="宋体" w:hAnsi="宋体" w:cs="宋体"/>
        </w:rPr>
      </w:pPr>
      <w:r>
        <w:rPr>
          <w:rFonts w:hint="eastAsia" w:ascii="宋体" w:hAnsi="宋体" w:cs="宋体"/>
        </w:rPr>
        <w:t>（2）招标文件及澄清、补充、修改文件；</w:t>
      </w:r>
    </w:p>
    <w:p>
      <w:pPr>
        <w:spacing w:line="360" w:lineRule="auto"/>
        <w:ind w:firstLine="525" w:firstLineChars="250"/>
        <w:rPr>
          <w:rFonts w:hint="eastAsia" w:ascii="宋体" w:hAnsi="宋体" w:cs="宋体"/>
        </w:rPr>
      </w:pPr>
      <w:r>
        <w:rPr>
          <w:rFonts w:hint="eastAsia" w:ascii="宋体" w:hAnsi="宋体" w:cs="宋体"/>
        </w:rPr>
        <w:t>（3）中标人的投标文件及澄清、补充、修改文件；</w:t>
      </w:r>
    </w:p>
    <w:p>
      <w:pPr>
        <w:spacing w:line="360" w:lineRule="auto"/>
        <w:ind w:firstLine="525" w:firstLineChars="250"/>
        <w:rPr>
          <w:rFonts w:hint="eastAsia" w:ascii="宋体" w:hAnsi="宋体" w:cs="宋体"/>
        </w:rPr>
      </w:pPr>
      <w:r>
        <w:rPr>
          <w:rFonts w:hint="eastAsia" w:ascii="宋体" w:hAnsi="宋体" w:cs="宋体"/>
        </w:rPr>
        <w:t>（4）相关资料；</w:t>
      </w:r>
    </w:p>
    <w:p>
      <w:pPr>
        <w:spacing w:line="360" w:lineRule="auto"/>
        <w:ind w:firstLine="525" w:firstLineChars="250"/>
        <w:rPr>
          <w:rFonts w:hint="eastAsia" w:ascii="宋体" w:hAnsi="宋体" w:cs="宋体"/>
        </w:rPr>
      </w:pPr>
      <w:r>
        <w:rPr>
          <w:rFonts w:hint="eastAsia" w:ascii="宋体" w:hAnsi="宋体" w:cs="宋体"/>
        </w:rPr>
        <w:t>（5）《中标通知书》。</w:t>
      </w:r>
    </w:p>
    <w:p>
      <w:pPr>
        <w:spacing w:line="360" w:lineRule="auto"/>
        <w:rPr>
          <w:rFonts w:hint="eastAsia" w:ascii="宋体" w:hAnsi="宋体" w:cs="宋体"/>
        </w:rPr>
      </w:pPr>
      <w:r>
        <w:rPr>
          <w:rFonts w:hint="eastAsia" w:ascii="宋体" w:hAnsi="宋体" w:cs="宋体"/>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rPr>
      </w:pPr>
      <w:r>
        <w:rPr>
          <w:rFonts w:hint="eastAsia" w:ascii="宋体" w:hAnsi="宋体" w:cs="宋体"/>
        </w:rPr>
        <w:t>36.4不接受中标人授权其分公司或者分支机构签订合同。</w:t>
      </w:r>
    </w:p>
    <w:p>
      <w:pPr>
        <w:spacing w:line="360" w:lineRule="auto"/>
        <w:rPr>
          <w:rFonts w:hint="eastAsia" w:ascii="宋体" w:hAnsi="宋体" w:cs="宋体"/>
          <w:b/>
          <w:bCs/>
        </w:rPr>
      </w:pPr>
      <w:r>
        <w:rPr>
          <w:rFonts w:hint="eastAsia" w:ascii="宋体" w:hAnsi="宋体" w:cs="宋体"/>
          <w:b/>
          <w:bCs/>
        </w:rPr>
        <w:t>37、招标代理服务费</w:t>
      </w:r>
    </w:p>
    <w:p>
      <w:pPr>
        <w:spacing w:line="360" w:lineRule="auto"/>
        <w:rPr>
          <w:rFonts w:hint="eastAsia" w:ascii="宋体" w:hAnsi="宋体" w:cs="宋体"/>
          <w:b/>
          <w:bCs/>
        </w:rPr>
      </w:pPr>
      <w:r>
        <w:rPr>
          <w:rFonts w:hint="eastAsia" w:ascii="宋体" w:hAnsi="宋体" w:cs="宋体"/>
          <w:b/>
          <w:bCs/>
        </w:rPr>
        <w:t>37.1.中标人应按中标通知书要求与招标人签订合同。</w:t>
      </w:r>
    </w:p>
    <w:p>
      <w:pPr>
        <w:spacing w:line="360" w:lineRule="auto"/>
        <w:rPr>
          <w:rFonts w:hint="eastAsia" w:ascii="宋体" w:hAnsi="宋体" w:cs="宋体"/>
          <w:b/>
          <w:bCs/>
        </w:rPr>
      </w:pPr>
      <w:r>
        <w:rPr>
          <w:rFonts w:hint="eastAsia" w:ascii="宋体" w:hAnsi="宋体" w:cs="宋体"/>
          <w:b/>
          <w:bCs/>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1" w:name="_Hlt263413520"/>
      <w:bookmarkEnd w:id="71"/>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作为采购代理服务费的计算基数进行计算招标代理服务费并</w:t>
      </w:r>
      <w:r>
        <w:rPr>
          <w:rFonts w:hint="eastAsia" w:ascii="宋体" w:hAnsi="宋体" w:cs="宋体"/>
          <w:b/>
          <w:bCs/>
          <w:u w:val="single"/>
        </w:rPr>
        <w:t>下浮50%</w:t>
      </w:r>
      <w:r>
        <w:rPr>
          <w:rFonts w:hint="eastAsia" w:ascii="宋体" w:hAnsi="宋体" w:cs="宋体"/>
          <w:b/>
          <w:bCs/>
        </w:rPr>
        <w:t>向招标代理机构缴纳。</w:t>
      </w:r>
    </w:p>
    <w:tbl>
      <w:tblPr>
        <w:tblStyle w:val="53"/>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78"/>
        <w:gridCol w:w="2032"/>
        <w:gridCol w:w="2154"/>
        <w:gridCol w:w="215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1364" w:type="pct"/>
          </w:tcPr>
          <w:p>
            <w:pPr>
              <w:snapToGrid w:val="0"/>
              <w:ind w:firstLine="1155" w:firstLineChars="550"/>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column">
                        <wp:posOffset>-32385</wp:posOffset>
                      </wp:positionH>
                      <wp:positionV relativeFrom="paragraph">
                        <wp:posOffset>29210</wp:posOffset>
                      </wp:positionV>
                      <wp:extent cx="1690370" cy="356235"/>
                      <wp:effectExtent l="0" t="0" r="0" b="0"/>
                      <wp:wrapNone/>
                      <wp:docPr id="98807253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690370" cy="356235"/>
                              </a:xfrm>
                              <a:prstGeom prst="straightConnector1">
                                <a:avLst/>
                              </a:prstGeom>
                              <a:noFill/>
                              <a:ln w="9525" cmpd="sng">
                                <a:solidFill>
                                  <a:srgbClr val="000000"/>
                                </a:solidFill>
                                <a:round/>
                              </a:ln>
                              <a:effectLst/>
                            </wps:spPr>
                            <wps:bodyPr/>
                          </wps:wsp>
                        </a:graphicData>
                      </a:graphic>
                    </wp:anchor>
                  </w:drawing>
                </mc:Choice>
                <mc:Fallback>
                  <w:pict>
                    <v:shape id="直接连接符 2" o:spid="_x0000_s1026" o:spt="32" type="#_x0000_t32" style="position:absolute;left:0pt;margin-left:-2.55pt;margin-top:2.3pt;height:28.05pt;width:133.1pt;z-index:251661312;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WWC0XVAAAABwEAAA8AAAAAAAAAAQAgAAAAIgAAAGRycy9k&#10;b3ducmV2LnhtbFBLAQIUABQAAAAIAIdO4kDrDq5qBQIAAN4DAAAOAAAAAAAAAAEAIAAAACQBAABk&#10;cnMvZTJvRG9jLnhtbFBLBQYAAAAABgAGAFkBAACbBQ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hint="eastAsia" w:ascii="宋体" w:hAnsi="宋体" w:cs="宋体"/>
                <w:szCs w:val="21"/>
              </w:rPr>
            </w:pPr>
            <w:r>
              <w:rPr>
                <w:rFonts w:hint="eastAsia" w:ascii="宋体" w:hAnsi="宋体" w:cs="宋体"/>
                <w:bCs/>
                <w:szCs w:val="21"/>
              </w:rPr>
              <w:t>中标金额</w:t>
            </w:r>
          </w:p>
        </w:tc>
        <w:tc>
          <w:tcPr>
            <w:tcW w:w="1165" w:type="pct"/>
            <w:vAlign w:val="center"/>
          </w:tcPr>
          <w:p>
            <w:pPr>
              <w:snapToGrid w:val="0"/>
              <w:jc w:val="center"/>
              <w:rPr>
                <w:rFonts w:hint="eastAsia" w:ascii="宋体" w:hAnsi="宋体" w:cs="宋体"/>
                <w:szCs w:val="21"/>
              </w:rPr>
            </w:pPr>
            <w:r>
              <w:rPr>
                <w:rFonts w:hint="eastAsia" w:ascii="宋体" w:hAnsi="宋体" w:cs="宋体"/>
                <w:bCs/>
                <w:szCs w:val="21"/>
              </w:rPr>
              <w:t>货物招标</w:t>
            </w:r>
          </w:p>
        </w:tc>
        <w:tc>
          <w:tcPr>
            <w:tcW w:w="1235" w:type="pct"/>
            <w:vAlign w:val="center"/>
          </w:tcPr>
          <w:p>
            <w:pPr>
              <w:snapToGrid w:val="0"/>
              <w:jc w:val="center"/>
              <w:rPr>
                <w:rFonts w:hint="eastAsia" w:ascii="宋体" w:hAnsi="宋体" w:cs="宋体"/>
                <w:szCs w:val="21"/>
              </w:rPr>
            </w:pPr>
            <w:r>
              <w:rPr>
                <w:rFonts w:hint="eastAsia" w:ascii="宋体" w:hAnsi="宋体" w:cs="宋体"/>
                <w:bCs/>
                <w:szCs w:val="21"/>
              </w:rPr>
              <w:t>服务招标</w:t>
            </w:r>
          </w:p>
        </w:tc>
        <w:tc>
          <w:tcPr>
            <w:tcW w:w="1235" w:type="pct"/>
            <w:vAlign w:val="center"/>
          </w:tcPr>
          <w:p>
            <w:pPr>
              <w:snapToGrid w:val="0"/>
              <w:jc w:val="center"/>
              <w:rPr>
                <w:rFonts w:hint="eastAsia" w:ascii="宋体" w:hAnsi="宋体" w:cs="宋体"/>
                <w:bCs/>
                <w:szCs w:val="21"/>
              </w:rPr>
            </w:pPr>
            <w:r>
              <w:rPr>
                <w:rFonts w:hint="eastAsia" w:ascii="宋体" w:hAnsi="宋体" w:cs="宋体"/>
                <w:bCs/>
                <w:szCs w:val="21"/>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vAlign w:val="center"/>
          </w:tcPr>
          <w:p>
            <w:pPr>
              <w:jc w:val="center"/>
              <w:rPr>
                <w:rFonts w:hint="eastAsia" w:ascii="宋体" w:hAnsi="宋体" w:cs="宋体"/>
                <w:bCs/>
                <w:szCs w:val="21"/>
              </w:rPr>
            </w:pPr>
            <w:r>
              <w:rPr>
                <w:rFonts w:hint="eastAsia" w:ascii="宋体" w:hAnsi="宋体" w:cs="宋体"/>
                <w:szCs w:val="21"/>
              </w:rPr>
              <w:t>100万元以下</w:t>
            </w:r>
          </w:p>
        </w:tc>
        <w:tc>
          <w:tcPr>
            <w:tcW w:w="1165" w:type="pct"/>
            <w:vAlign w:val="center"/>
          </w:tcPr>
          <w:p>
            <w:pPr>
              <w:jc w:val="center"/>
              <w:rPr>
                <w:rFonts w:hint="eastAsia" w:ascii="宋体" w:hAnsi="宋体" w:cs="宋体"/>
                <w:szCs w:val="21"/>
              </w:rPr>
            </w:pPr>
            <w:r>
              <w:rPr>
                <w:rFonts w:hint="eastAsia" w:ascii="宋体" w:hAnsi="宋体" w:cs="宋体"/>
                <w:szCs w:val="21"/>
              </w:rPr>
              <w:t>1.5%</w:t>
            </w:r>
          </w:p>
        </w:tc>
        <w:tc>
          <w:tcPr>
            <w:tcW w:w="1235" w:type="pct"/>
            <w:vAlign w:val="center"/>
          </w:tcPr>
          <w:p>
            <w:pPr>
              <w:ind w:firstLine="210" w:firstLineChars="100"/>
              <w:jc w:val="center"/>
              <w:rPr>
                <w:rFonts w:hint="eastAsia" w:ascii="宋体" w:hAnsi="宋体" w:cs="宋体"/>
                <w:szCs w:val="21"/>
              </w:rPr>
            </w:pPr>
            <w:r>
              <w:rPr>
                <w:rFonts w:hint="eastAsia" w:ascii="宋体" w:hAnsi="宋体" w:cs="宋体"/>
                <w:szCs w:val="21"/>
              </w:rPr>
              <w:t>1.5%</w:t>
            </w:r>
          </w:p>
        </w:tc>
        <w:tc>
          <w:tcPr>
            <w:tcW w:w="2154" w:type="dxa"/>
          </w:tcPr>
          <w:p>
            <w:pPr>
              <w:ind w:firstLine="210" w:firstLineChars="100"/>
              <w:jc w:val="center"/>
              <w:rPr>
                <w:rFonts w:hint="eastAsia" w:ascii="宋体" w:hAnsi="宋体" w:cs="宋体"/>
                <w:szCs w:val="21"/>
              </w:rPr>
            </w:pPr>
            <w:r>
              <w:rPr>
                <w:rFonts w:hint="eastAsia" w:ascii="宋体" w:hAnsi="宋体" w:cs="宋体"/>
                <w:szCs w:val="21"/>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vAlign w:val="center"/>
          </w:tcPr>
          <w:p>
            <w:pPr>
              <w:jc w:val="center"/>
              <w:rPr>
                <w:rFonts w:hint="eastAsia" w:ascii="宋体" w:hAnsi="宋体" w:cs="宋体"/>
                <w:szCs w:val="21"/>
              </w:rPr>
            </w:pPr>
            <w:r>
              <w:rPr>
                <w:rFonts w:hint="eastAsia" w:ascii="宋体" w:hAnsi="宋体" w:cs="宋体"/>
                <w:szCs w:val="21"/>
              </w:rPr>
              <w:t>100～500万元</w:t>
            </w:r>
          </w:p>
        </w:tc>
        <w:tc>
          <w:tcPr>
            <w:tcW w:w="1165" w:type="pct"/>
            <w:vAlign w:val="center"/>
          </w:tcPr>
          <w:p>
            <w:pPr>
              <w:jc w:val="center"/>
              <w:rPr>
                <w:rFonts w:hint="eastAsia" w:ascii="宋体" w:hAnsi="宋体" w:cs="宋体"/>
                <w:szCs w:val="21"/>
              </w:rPr>
            </w:pPr>
            <w:r>
              <w:rPr>
                <w:rFonts w:hint="eastAsia" w:ascii="宋体" w:hAnsi="宋体" w:cs="宋体"/>
                <w:szCs w:val="21"/>
              </w:rPr>
              <w:t>1.1%</w:t>
            </w:r>
          </w:p>
        </w:tc>
        <w:tc>
          <w:tcPr>
            <w:tcW w:w="1235" w:type="pct"/>
            <w:vAlign w:val="center"/>
          </w:tcPr>
          <w:p>
            <w:pPr>
              <w:ind w:firstLine="210" w:firstLineChars="100"/>
              <w:jc w:val="center"/>
              <w:rPr>
                <w:rFonts w:hint="eastAsia" w:ascii="宋体" w:hAnsi="宋体" w:cs="宋体"/>
                <w:szCs w:val="21"/>
              </w:rPr>
            </w:pPr>
            <w:r>
              <w:rPr>
                <w:rFonts w:hint="eastAsia" w:ascii="宋体" w:hAnsi="宋体" w:cs="宋体"/>
                <w:szCs w:val="21"/>
              </w:rPr>
              <w:t>0.8%</w:t>
            </w:r>
          </w:p>
        </w:tc>
        <w:tc>
          <w:tcPr>
            <w:tcW w:w="2154" w:type="dxa"/>
          </w:tcPr>
          <w:p>
            <w:pPr>
              <w:ind w:firstLine="210" w:firstLineChars="100"/>
              <w:jc w:val="center"/>
              <w:rPr>
                <w:rFonts w:hint="eastAsia" w:ascii="宋体" w:hAnsi="宋体" w:cs="宋体"/>
                <w:szCs w:val="21"/>
              </w:rPr>
            </w:pPr>
            <w:r>
              <w:rPr>
                <w:rFonts w:hint="eastAsia" w:ascii="宋体" w:hAnsi="宋体" w:cs="宋体"/>
                <w:szCs w:val="21"/>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vAlign w:val="center"/>
          </w:tcPr>
          <w:p>
            <w:pPr>
              <w:jc w:val="center"/>
              <w:rPr>
                <w:rFonts w:hint="eastAsia" w:ascii="宋体" w:hAnsi="宋体" w:cs="宋体"/>
                <w:szCs w:val="21"/>
              </w:rPr>
            </w:pPr>
            <w:r>
              <w:rPr>
                <w:rFonts w:hint="eastAsia" w:ascii="宋体" w:hAnsi="宋体" w:cs="宋体"/>
                <w:szCs w:val="21"/>
              </w:rPr>
              <w:t>500～1000万元</w:t>
            </w:r>
          </w:p>
        </w:tc>
        <w:tc>
          <w:tcPr>
            <w:tcW w:w="1165" w:type="pct"/>
            <w:vAlign w:val="center"/>
          </w:tcPr>
          <w:p>
            <w:pPr>
              <w:jc w:val="center"/>
              <w:rPr>
                <w:rFonts w:hint="eastAsia" w:ascii="宋体" w:hAnsi="宋体" w:cs="宋体"/>
                <w:szCs w:val="21"/>
              </w:rPr>
            </w:pPr>
            <w:r>
              <w:rPr>
                <w:rFonts w:hint="eastAsia" w:ascii="宋体" w:hAnsi="宋体" w:cs="宋体"/>
                <w:szCs w:val="21"/>
              </w:rPr>
              <w:t>0.8%</w:t>
            </w:r>
          </w:p>
        </w:tc>
        <w:tc>
          <w:tcPr>
            <w:tcW w:w="1235" w:type="pct"/>
            <w:vAlign w:val="center"/>
          </w:tcPr>
          <w:p>
            <w:pPr>
              <w:ind w:firstLine="210" w:firstLineChars="100"/>
              <w:jc w:val="center"/>
              <w:rPr>
                <w:rFonts w:hint="eastAsia" w:ascii="宋体" w:hAnsi="宋体" w:cs="宋体"/>
                <w:szCs w:val="21"/>
              </w:rPr>
            </w:pPr>
            <w:r>
              <w:rPr>
                <w:rFonts w:hint="eastAsia" w:ascii="宋体" w:hAnsi="宋体" w:cs="宋体"/>
                <w:szCs w:val="21"/>
              </w:rPr>
              <w:t>0.45%</w:t>
            </w:r>
          </w:p>
        </w:tc>
        <w:tc>
          <w:tcPr>
            <w:tcW w:w="2154" w:type="dxa"/>
          </w:tcPr>
          <w:p>
            <w:pPr>
              <w:ind w:firstLine="210" w:firstLineChars="100"/>
              <w:jc w:val="center"/>
              <w:rPr>
                <w:rFonts w:hint="eastAsia" w:ascii="宋体" w:hAnsi="宋体" w:cs="宋体"/>
                <w:szCs w:val="21"/>
              </w:rPr>
            </w:pPr>
            <w:r>
              <w:rPr>
                <w:rFonts w:hint="eastAsia" w:ascii="宋体" w:hAnsi="宋体" w:cs="宋体"/>
                <w:szCs w:val="21"/>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1364" w:type="pct"/>
            <w:vAlign w:val="center"/>
          </w:tcPr>
          <w:p>
            <w:pPr>
              <w:jc w:val="center"/>
              <w:rPr>
                <w:rFonts w:hint="eastAsia" w:ascii="宋体" w:hAnsi="宋体" w:cs="宋体"/>
                <w:szCs w:val="21"/>
              </w:rPr>
            </w:pPr>
            <w:r>
              <w:rPr>
                <w:rFonts w:hint="eastAsia" w:ascii="宋体" w:hAnsi="宋体" w:cs="宋体"/>
                <w:szCs w:val="21"/>
              </w:rPr>
              <w:t>1000～5000万元</w:t>
            </w:r>
          </w:p>
        </w:tc>
        <w:tc>
          <w:tcPr>
            <w:tcW w:w="1165" w:type="pct"/>
            <w:vAlign w:val="center"/>
          </w:tcPr>
          <w:p>
            <w:pPr>
              <w:jc w:val="center"/>
              <w:rPr>
                <w:rFonts w:hint="eastAsia" w:ascii="宋体" w:hAnsi="宋体" w:cs="宋体"/>
                <w:szCs w:val="21"/>
              </w:rPr>
            </w:pPr>
            <w:r>
              <w:rPr>
                <w:rFonts w:hint="eastAsia" w:ascii="宋体" w:hAnsi="宋体" w:cs="宋体"/>
                <w:szCs w:val="21"/>
              </w:rPr>
              <w:t>0.5%</w:t>
            </w:r>
          </w:p>
        </w:tc>
        <w:tc>
          <w:tcPr>
            <w:tcW w:w="1235" w:type="pct"/>
            <w:vAlign w:val="center"/>
          </w:tcPr>
          <w:p>
            <w:pPr>
              <w:ind w:firstLine="210" w:firstLineChars="100"/>
              <w:jc w:val="center"/>
              <w:rPr>
                <w:rFonts w:hint="eastAsia" w:ascii="宋体" w:hAnsi="宋体" w:cs="宋体"/>
                <w:szCs w:val="21"/>
              </w:rPr>
            </w:pPr>
            <w:r>
              <w:rPr>
                <w:rFonts w:hint="eastAsia" w:ascii="宋体" w:hAnsi="宋体" w:cs="宋体"/>
                <w:szCs w:val="21"/>
              </w:rPr>
              <w:t>0.25%</w:t>
            </w:r>
          </w:p>
        </w:tc>
        <w:tc>
          <w:tcPr>
            <w:tcW w:w="2154" w:type="dxa"/>
          </w:tcPr>
          <w:p>
            <w:pPr>
              <w:ind w:firstLine="210" w:firstLineChars="100"/>
              <w:jc w:val="center"/>
              <w:rPr>
                <w:rFonts w:hint="eastAsia" w:ascii="宋体" w:hAnsi="宋体" w:cs="宋体"/>
                <w:szCs w:val="21"/>
              </w:rPr>
            </w:pPr>
            <w:r>
              <w:rPr>
                <w:rFonts w:hint="eastAsia" w:ascii="宋体" w:hAnsi="宋体" w:cs="宋体"/>
                <w:szCs w:val="21"/>
              </w:rPr>
              <w:t>0.35%</w:t>
            </w:r>
          </w:p>
        </w:tc>
      </w:tr>
    </w:tbl>
    <w:p>
      <w:pPr>
        <w:spacing w:line="360" w:lineRule="auto"/>
        <w:ind w:left="439" w:hanging="439" w:hangingChars="208"/>
        <w:rPr>
          <w:rFonts w:hint="eastAsia" w:ascii="宋体" w:hAnsi="宋体" w:cs="宋体"/>
          <w:b/>
          <w:bCs/>
        </w:rPr>
      </w:pPr>
      <w:r>
        <w:rPr>
          <w:rFonts w:hint="eastAsia" w:ascii="宋体" w:hAnsi="宋体" w:cs="宋体"/>
          <w:b/>
          <w:bCs/>
        </w:rPr>
        <w:t>37.3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cs="宋体"/>
          <w:b/>
          <w:kern w:val="0"/>
          <w:szCs w:val="21"/>
        </w:rPr>
      </w:pPr>
      <w:r>
        <w:rPr>
          <w:rFonts w:hint="eastAsia" w:ascii="宋体" w:hAnsi="宋体" w:cs="宋体"/>
          <w:b/>
          <w:kern w:val="0"/>
          <w:szCs w:val="21"/>
        </w:rPr>
        <w:t>38、监督与检查</w:t>
      </w:r>
    </w:p>
    <w:p>
      <w:pPr>
        <w:spacing w:line="360" w:lineRule="auto"/>
        <w:ind w:left="359" w:hanging="359" w:hangingChars="171"/>
        <w:rPr>
          <w:rFonts w:hint="eastAsia" w:ascii="宋体" w:hAnsi="宋体" w:cs="宋体"/>
        </w:rPr>
      </w:pPr>
      <w:r>
        <w:rPr>
          <w:rFonts w:hint="eastAsia" w:ascii="宋体" w:hAnsi="宋体" w:cs="宋体"/>
        </w:rPr>
        <w:t>38.1</w:t>
      </w:r>
      <w:r>
        <w:rPr>
          <w:rFonts w:hint="eastAsia" w:ascii="宋体" w:hAnsi="宋体" w:cs="宋体"/>
          <w:kern w:val="0"/>
          <w:szCs w:val="21"/>
        </w:rPr>
        <w:t>投标人有下列情形之一，则中标、成交无效，投标保证金不予退还，取消投标人一年至三年内参加</w:t>
      </w:r>
      <w:r>
        <w:rPr>
          <w:rFonts w:hint="eastAsia" w:ascii="宋体" w:hAnsi="宋体" w:cs="宋体"/>
          <w:u w:val="single"/>
        </w:rPr>
        <w:t xml:space="preserve">广东南方报业传媒集团有限公司 </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5.其它违法、违纪或违规的行为。</w:t>
      </w:r>
    </w:p>
    <w:p>
      <w:pPr>
        <w:spacing w:line="360" w:lineRule="auto"/>
        <w:rPr>
          <w:rFonts w:hint="eastAsia" w:ascii="宋体" w:hAnsi="宋体" w:cs="宋体"/>
          <w:b/>
          <w:bCs/>
        </w:rPr>
      </w:pPr>
      <w:r>
        <w:rPr>
          <w:rFonts w:hint="eastAsia" w:ascii="宋体" w:hAnsi="宋体" w:cs="宋体"/>
          <w:b/>
          <w:bCs/>
        </w:rPr>
        <w:t>39、招标文件的解释权</w:t>
      </w:r>
    </w:p>
    <w:p>
      <w:pPr>
        <w:spacing w:line="360" w:lineRule="auto"/>
        <w:ind w:left="359" w:hanging="359" w:hangingChars="171"/>
        <w:rPr>
          <w:rFonts w:hint="eastAsia" w:ascii="宋体" w:hAnsi="宋体" w:cs="宋体"/>
        </w:rPr>
      </w:pPr>
      <w:r>
        <w:rPr>
          <w:rFonts w:hint="eastAsia" w:ascii="宋体" w:hAnsi="宋体" w:cs="宋体"/>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hint="eastAsia" w:ascii="宋体" w:hAnsi="宋体" w:cs="宋体"/>
        </w:rPr>
      </w:pPr>
      <w:r>
        <w:rPr>
          <w:rFonts w:hint="eastAsia" w:ascii="宋体" w:hAnsi="宋体" w:cs="宋体"/>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hint="eastAsia" w:ascii="宋体" w:hAnsi="宋体" w:cs="宋体"/>
        </w:rPr>
      </w:pPr>
      <w:r>
        <w:rPr>
          <w:rFonts w:hint="eastAsia" w:ascii="宋体" w:hAnsi="宋体" w:cs="宋体"/>
        </w:rPr>
        <w:t>(6) 异议事项属于有关法律、法规和规章规定处于保密阶段的事项，异议的当事人应当提供信息来源或有效证据。</w:t>
      </w:r>
    </w:p>
    <w:p>
      <w:pPr>
        <w:pStyle w:val="293"/>
        <w:widowControl/>
        <w:tabs>
          <w:tab w:val="left" w:pos="0"/>
        </w:tabs>
        <w:spacing w:line="360" w:lineRule="auto"/>
        <w:ind w:left="360"/>
        <w:jc w:val="left"/>
        <w:rPr>
          <w:rFonts w:hint="eastAsia" w:hAnsi="宋体" w:cs="宋体"/>
        </w:rPr>
      </w:pPr>
    </w:p>
    <w:p>
      <w:pPr>
        <w:rPr>
          <w:rFonts w:hint="eastAsia" w:ascii="宋体" w:hAnsi="宋体" w:cs="宋体"/>
          <w:sz w:val="24"/>
          <w:szCs w:val="24"/>
        </w:rPr>
      </w:pPr>
      <w:r>
        <w:rPr>
          <w:rFonts w:hint="eastAsia" w:ascii="宋体" w:hAnsi="宋体" w:cs="宋体"/>
          <w:sz w:val="24"/>
          <w:szCs w:val="24"/>
        </w:rPr>
        <w:br w:type="page"/>
      </w: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numPr>
          <w:ilvl w:val="0"/>
          <w:numId w:val="6"/>
        </w:numPr>
        <w:jc w:val="center"/>
        <w:outlineLvl w:val="0"/>
        <w:rPr>
          <w:rFonts w:hint="eastAsia" w:ascii="宋体" w:hAnsi="宋体" w:cs="宋体"/>
          <w:b/>
          <w:sz w:val="44"/>
          <w:szCs w:val="44"/>
        </w:rPr>
      </w:pPr>
      <w:bookmarkStart w:id="72" w:name="_Toc477186261"/>
      <w:bookmarkStart w:id="73" w:name="_Toc5009"/>
      <w:r>
        <w:rPr>
          <w:rFonts w:hint="eastAsia" w:ascii="宋体" w:hAnsi="宋体" w:cs="宋体"/>
          <w:b/>
          <w:sz w:val="44"/>
          <w:szCs w:val="44"/>
        </w:rPr>
        <w:t xml:space="preserve"> </w:t>
      </w:r>
      <w:bookmarkEnd w:id="72"/>
      <w:r>
        <w:rPr>
          <w:rFonts w:hint="eastAsia" w:ascii="宋体" w:hAnsi="宋体" w:cs="宋体"/>
          <w:b/>
          <w:sz w:val="44"/>
          <w:szCs w:val="44"/>
        </w:rPr>
        <w:t>用户需求书</w:t>
      </w:r>
      <w:bookmarkEnd w:id="73"/>
    </w:p>
    <w:p>
      <w:pPr>
        <w:pStyle w:val="14"/>
        <w:ind w:left="0" w:leftChars="0"/>
        <w:rPr>
          <w:rFonts w:hint="eastAsia" w:ascii="宋体" w:hAnsi="宋体" w:cs="宋体"/>
        </w:rPr>
      </w:pPr>
    </w:p>
    <w:p>
      <w:pPr>
        <w:rPr>
          <w:rFonts w:hint="eastAsia" w:ascii="宋体" w:hAnsi="宋体" w:cs="宋体"/>
        </w:rPr>
      </w:pPr>
    </w:p>
    <w:p>
      <w:pPr>
        <w:pStyle w:val="14"/>
        <w:rPr>
          <w:rFonts w:hint="eastAsia" w:ascii="宋体" w:hAnsi="宋体" w:cs="宋体"/>
        </w:rPr>
      </w:pPr>
    </w:p>
    <w:p>
      <w:pPr>
        <w:spacing w:line="360" w:lineRule="auto"/>
        <w:rPr>
          <w:rFonts w:hint="eastAsia" w:ascii="宋体" w:hAnsi="宋体" w:cs="宋体"/>
          <w:szCs w:val="21"/>
        </w:rPr>
      </w:pPr>
      <w:bookmarkStart w:id="74" w:name="_Toc474757211"/>
      <w:bookmarkStart w:id="75" w:name="_Toc475448858"/>
      <w:r>
        <w:rPr>
          <w:rFonts w:hint="eastAsia" w:ascii="宋体" w:hAnsi="宋体" w:cs="宋体"/>
          <w:szCs w:val="21"/>
        </w:rPr>
        <w:t>1.打“★”号条款为实质性条款，若有任何一条负偏离或不满足则导致投标（响应）无效。</w:t>
      </w:r>
    </w:p>
    <w:p>
      <w:pPr>
        <w:spacing w:line="360" w:lineRule="auto"/>
        <w:jc w:val="left"/>
        <w:rPr>
          <w:rFonts w:hint="eastAsia" w:ascii="宋体" w:hAnsi="宋体" w:cs="宋体"/>
          <w:b/>
          <w:bCs/>
          <w:szCs w:val="21"/>
        </w:rPr>
      </w:pPr>
      <w:r>
        <w:rPr>
          <w:rFonts w:hint="eastAsia" w:ascii="宋体" w:hAnsi="宋体" w:cs="宋体"/>
          <w:szCs w:val="21"/>
        </w:rPr>
        <w:t>2.打“▲”号条款为重要技术参数（如有），若有部分“▲”条款未响应或不满足，将根据评审要求影响其得分，但不作为无效投标（响应）条款。</w:t>
      </w:r>
      <w:r>
        <w:rPr>
          <w:rFonts w:hint="eastAsia" w:ascii="宋体" w:hAnsi="宋体" w:cs="宋体"/>
          <w:sz w:val="24"/>
          <w:szCs w:val="24"/>
        </w:rPr>
        <w:br w:type="page"/>
      </w:r>
      <w:r>
        <w:rPr>
          <w:rFonts w:hint="eastAsia" w:ascii="宋体" w:hAnsi="宋体" w:cs="宋体"/>
          <w:b/>
          <w:bCs/>
          <w:szCs w:val="21"/>
        </w:rPr>
        <w:t>一、项目名称、地点、完成时间及承包方式</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1.项目名称：南方报业传媒集团私有云资源扩容项目。</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2.项目地点：广州大道中289号大院。</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3.招标单位：</w:t>
      </w:r>
      <w:r>
        <w:rPr>
          <w:rFonts w:ascii="宋体" w:hAnsi="宋体" w:cs="宋体"/>
          <w:szCs w:val="21"/>
        </w:rPr>
        <w:t>广东南方报业传媒集团有限公司</w:t>
      </w:r>
      <w:r>
        <w:rPr>
          <w:rFonts w:hint="eastAsia" w:ascii="宋体" w:hAnsi="宋体" w:cs="宋体"/>
          <w:szCs w:val="21"/>
        </w:rPr>
        <w:t xml:space="preserve"> </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4.本项目招标主体为</w:t>
      </w:r>
      <w:r>
        <w:rPr>
          <w:rFonts w:ascii="宋体" w:hAnsi="宋体" w:cs="宋体"/>
          <w:szCs w:val="21"/>
        </w:rPr>
        <w:t>广东南方报业传媒集团有限公司</w:t>
      </w:r>
      <w:r>
        <w:rPr>
          <w:rFonts w:hint="eastAsia" w:ascii="宋体" w:hAnsi="宋体" w:cs="宋体"/>
          <w:szCs w:val="21"/>
        </w:rPr>
        <w:t>，合同签订主体为南方日报社，中标人中标后须与合同签订主体签订本项目的合同。</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5.项目完成时间：从招标人合同签订后15个工作日内完成相关设备的交付工作，40个工作日内完成备份迁移、设备及软件的安装调试工作并验收合格。</w:t>
      </w:r>
    </w:p>
    <w:p>
      <w:pPr>
        <w:shd w:val="clear" w:color="auto" w:fill="FFFFFF"/>
        <w:tabs>
          <w:tab w:val="left" w:pos="2908"/>
        </w:tabs>
        <w:spacing w:line="360" w:lineRule="auto"/>
        <w:ind w:firstLine="371" w:firstLineChars="177"/>
        <w:jc w:val="left"/>
        <w:rPr>
          <w:rFonts w:hint="eastAsia" w:ascii="宋体" w:hAnsi="宋体" w:cs="宋体"/>
          <w:b/>
          <w:bCs/>
          <w:szCs w:val="21"/>
        </w:rPr>
      </w:pPr>
      <w:r>
        <w:rPr>
          <w:rFonts w:hint="eastAsia" w:ascii="宋体" w:hAnsi="宋体" w:cs="宋体"/>
          <w:szCs w:val="21"/>
        </w:rPr>
        <w:t>6.本项目采用总价包干的形式，投标人根据招标人提供的需求内容进行投标报价，以汇总价格作为总包价格。投标人所填写的总包价格在合同实施期间不因任何客观条件变化而变动，投标人在计算报价时应考虑其风险系数。总包价格包括投标人中标后为完成合同范围及时间的全部需支付的一切费用（和拟获得的利润，并考虑应承担的一切风险。如报价中漏报、少报的费用，视为此项费用已隐含在报价中，中标后不得再向招标人收取任何费用。项目实施期间，如原材料、人工等市场价格发生变化的，货物的价格不得进行调整。</w:t>
      </w:r>
    </w:p>
    <w:p>
      <w:pPr>
        <w:shd w:val="clear" w:color="auto" w:fill="FFFFFF"/>
        <w:tabs>
          <w:tab w:val="left" w:pos="2908"/>
        </w:tabs>
        <w:spacing w:line="360" w:lineRule="auto"/>
        <w:jc w:val="left"/>
        <w:rPr>
          <w:rFonts w:hint="eastAsia" w:ascii="宋体" w:hAnsi="宋体" w:cs="宋体"/>
          <w:szCs w:val="21"/>
          <w:highlight w:val="yellow"/>
        </w:rPr>
      </w:pPr>
      <w:r>
        <w:rPr>
          <w:rFonts w:hint="eastAsia" w:ascii="宋体" w:hAnsi="宋体" w:cs="宋体"/>
          <w:b/>
          <w:bCs/>
          <w:szCs w:val="21"/>
        </w:rPr>
        <w:t>二、项目主要概况</w:t>
      </w:r>
    </w:p>
    <w:p>
      <w:pPr>
        <w:widowControl/>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（1）更新集团总部硬件设备，升级现有云平台，打造异地数据备份能力；</w:t>
      </w:r>
    </w:p>
    <w:p>
      <w:pPr>
        <w:widowControl/>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（2）新建国产化和容器云平台，构建统一基础国产化和云原生环境；</w:t>
      </w:r>
    </w:p>
    <w:p>
      <w:pPr>
        <w:widowControl/>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（3）加固安全措施，实现安全域划分，云内业务安全隔离；</w:t>
      </w:r>
    </w:p>
    <w:p>
      <w:pPr>
        <w:widowControl/>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（4）配合机房改造，完成服务器搬迁、项目实施和服务保障工作；</w:t>
      </w:r>
    </w:p>
    <w:p>
      <w:pPr>
        <w:widowControl/>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（5）提高云资源部署与管理的方便性，异构并存，实现一云多芯协同能力，实现计算存储融合。</w:t>
      </w:r>
    </w:p>
    <w:p>
      <w:pPr>
        <w:shd w:val="clear" w:color="auto" w:fill="FFFFFF"/>
        <w:tabs>
          <w:tab w:val="left" w:pos="2908"/>
        </w:tabs>
        <w:spacing w:line="360" w:lineRule="auto"/>
        <w:jc w:val="left"/>
        <w:rPr>
          <w:rFonts w:hint="eastAsia" w:ascii="宋体" w:hAnsi="宋体" w:cs="宋体"/>
          <w:b/>
          <w:bCs/>
          <w:szCs w:val="21"/>
        </w:rPr>
      </w:pPr>
      <w:r>
        <w:rPr>
          <w:rFonts w:hint="eastAsia" w:ascii="宋体" w:hAnsi="宋体" w:cs="宋体"/>
          <w:b/>
          <w:bCs/>
          <w:szCs w:val="21"/>
        </w:rPr>
        <w:t>三、主要设备清单</w:t>
      </w:r>
    </w:p>
    <w:tbl>
      <w:tblPr>
        <w:tblStyle w:val="5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4500"/>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801" w:type="pct"/>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序号</w:t>
            </w:r>
          </w:p>
        </w:tc>
        <w:tc>
          <w:tcPr>
            <w:tcW w:w="2580" w:type="pct"/>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设备类型</w:t>
            </w:r>
          </w:p>
        </w:tc>
        <w:tc>
          <w:tcPr>
            <w:tcW w:w="1618" w:type="pct"/>
            <w:noWrap/>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1</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云资源服务器1</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2</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云资源服务器2</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3</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云资源服务器3</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12（台）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4</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云资源服务器4</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5</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交换机1</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6</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交换机2</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7</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块存储服务器</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8</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备份存储服务器</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01"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9</w:t>
            </w:r>
          </w:p>
        </w:tc>
        <w:tc>
          <w:tcPr>
            <w:tcW w:w="2580"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高性能存储服务器</w:t>
            </w:r>
          </w:p>
        </w:tc>
        <w:tc>
          <w:tcPr>
            <w:tcW w:w="1618" w:type="pct"/>
            <w:noWrap/>
            <w:vAlign w:val="center"/>
          </w:tcPr>
          <w:p>
            <w:pPr>
              <w:spacing w:line="360" w:lineRule="auto"/>
              <w:jc w:val="center"/>
              <w:rPr>
                <w:rFonts w:hint="eastAsia" w:ascii="宋体" w:hAnsi="宋体" w:cs="宋体"/>
                <w:kern w:val="0"/>
                <w:szCs w:val="21"/>
              </w:rPr>
            </w:pPr>
            <w:r>
              <w:rPr>
                <w:rFonts w:hint="eastAsia" w:ascii="宋体" w:hAnsi="宋体" w:cs="宋体"/>
                <w:kern w:val="0"/>
                <w:szCs w:val="21"/>
              </w:rPr>
              <w:t>3（台）</w:t>
            </w:r>
          </w:p>
        </w:tc>
      </w:tr>
    </w:tbl>
    <w:p>
      <w:pPr>
        <w:widowControl/>
        <w:shd w:val="clear" w:color="auto" w:fill="FFFFFF"/>
        <w:tabs>
          <w:tab w:val="left" w:pos="2908"/>
        </w:tabs>
        <w:spacing w:line="360" w:lineRule="auto"/>
        <w:ind w:firstLine="371" w:firstLineChars="177"/>
        <w:jc w:val="left"/>
        <w:rPr>
          <w:rFonts w:hint="eastAsia" w:ascii="宋体" w:hAnsi="宋体" w:cs="宋体"/>
          <w:szCs w:val="21"/>
        </w:rPr>
      </w:pPr>
    </w:p>
    <w:p>
      <w:pPr>
        <w:widowControl/>
        <w:shd w:val="clear" w:color="auto" w:fill="FFFFFF"/>
        <w:tabs>
          <w:tab w:val="left" w:pos="2908"/>
        </w:tabs>
        <w:spacing w:line="360" w:lineRule="auto"/>
        <w:jc w:val="left"/>
        <w:rPr>
          <w:rFonts w:hint="eastAsia" w:ascii="宋体" w:hAnsi="宋体" w:cs="宋体"/>
          <w:szCs w:val="21"/>
        </w:rPr>
      </w:pPr>
      <w:r>
        <w:rPr>
          <w:rFonts w:hint="eastAsia" w:ascii="宋体" w:hAnsi="宋体" w:cs="宋体"/>
          <w:b/>
          <w:bCs/>
          <w:szCs w:val="21"/>
        </w:rPr>
        <w:t>四、设备详细技术参数</w:t>
      </w:r>
      <w:r>
        <w:rPr>
          <w:rFonts w:hint="eastAsia" w:ascii="宋体" w:hAnsi="宋体" w:cs="宋体"/>
          <w:szCs w:val="21"/>
        </w:rPr>
        <w:t>：</w:t>
      </w:r>
    </w:p>
    <w:p>
      <w:pPr>
        <w:widowControl/>
        <w:shd w:val="clear" w:color="auto" w:fill="FFFFFF"/>
        <w:tabs>
          <w:tab w:val="left" w:pos="2908"/>
        </w:tabs>
        <w:spacing w:line="360" w:lineRule="auto"/>
        <w:jc w:val="left"/>
        <w:rPr>
          <w:rFonts w:hint="eastAsia" w:ascii="宋体" w:hAnsi="宋体" w:cs="宋体"/>
          <w:szCs w:val="21"/>
        </w:rPr>
      </w:pPr>
      <w:r>
        <w:rPr>
          <w:rFonts w:hint="eastAsia" w:ascii="宋体" w:hAnsi="宋体" w:cs="宋体"/>
          <w:b/>
          <w:bCs/>
          <w:szCs w:val="21"/>
        </w:rPr>
        <w:t>IT设备配置</w:t>
      </w:r>
    </w:p>
    <w:p>
      <w:pPr>
        <w:widowControl/>
        <w:shd w:val="clear" w:color="auto" w:fill="FFFFFF"/>
        <w:tabs>
          <w:tab w:val="left" w:pos="2908"/>
        </w:tabs>
        <w:spacing w:line="360" w:lineRule="auto"/>
        <w:jc w:val="left"/>
        <w:rPr>
          <w:rFonts w:hint="eastAsia" w:ascii="宋体" w:hAnsi="宋体" w:cs="宋体"/>
          <w:szCs w:val="21"/>
        </w:rPr>
      </w:pPr>
      <w:r>
        <w:rPr>
          <w:rFonts w:hint="eastAsia" w:ascii="宋体" w:hAnsi="宋体" w:cs="宋体"/>
          <w:b/>
          <w:sz w:val="22"/>
          <w:szCs w:val="22"/>
        </w:rPr>
        <w:t>（1）云资源服务器1（4台）</w:t>
      </w:r>
    </w:p>
    <w:tbl>
      <w:tblPr>
        <w:tblStyle w:val="5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457"/>
        <w:gridCol w:w="6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noWrap/>
            <w:vAlign w:val="center"/>
          </w:tcPr>
          <w:p>
            <w:pPr>
              <w:jc w:val="center"/>
              <w:rPr>
                <w:rFonts w:hint="eastAsia" w:ascii="宋体" w:hAnsi="宋体" w:cs="宋体"/>
                <w:b/>
                <w:bCs/>
                <w:kern w:val="0"/>
                <w:szCs w:val="21"/>
              </w:rPr>
            </w:pPr>
            <w:r>
              <w:rPr>
                <w:rFonts w:hint="eastAsia" w:ascii="宋体" w:hAnsi="宋体" w:cs="宋体"/>
                <w:b/>
                <w:bCs/>
                <w:kern w:val="0"/>
                <w:szCs w:val="21"/>
              </w:rPr>
              <w:t>类别</w:t>
            </w:r>
          </w:p>
        </w:tc>
        <w:tc>
          <w:tcPr>
            <w:tcW w:w="835" w:type="pct"/>
            <w:vAlign w:val="center"/>
          </w:tcPr>
          <w:p>
            <w:pPr>
              <w:jc w:val="center"/>
              <w:rPr>
                <w:rFonts w:hint="eastAsia" w:ascii="宋体" w:hAnsi="宋体" w:cs="宋体"/>
                <w:b/>
                <w:bCs/>
                <w:kern w:val="0"/>
                <w:szCs w:val="21"/>
              </w:rPr>
            </w:pPr>
            <w:r>
              <w:rPr>
                <w:rFonts w:hint="eastAsia" w:ascii="宋体" w:hAnsi="宋体" w:cs="宋体"/>
                <w:b/>
                <w:bCs/>
                <w:kern w:val="0"/>
                <w:szCs w:val="21"/>
              </w:rPr>
              <w:t>设备指标项</w:t>
            </w:r>
          </w:p>
        </w:tc>
        <w:tc>
          <w:tcPr>
            <w:tcW w:w="3528" w:type="pct"/>
            <w:vAlign w:val="center"/>
          </w:tcPr>
          <w:p>
            <w:pPr>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noWrap/>
            <w:vAlign w:val="center"/>
          </w:tcPr>
          <w:p>
            <w:pPr>
              <w:jc w:val="center"/>
              <w:rPr>
                <w:rFonts w:hint="eastAsia" w:ascii="宋体" w:hAnsi="宋体" w:cs="宋体"/>
                <w:kern w:val="0"/>
                <w:szCs w:val="21"/>
              </w:rPr>
            </w:pPr>
            <w:r>
              <w:rPr>
                <w:rFonts w:hint="eastAsia" w:ascii="宋体" w:hAnsi="宋体" w:cs="宋体"/>
                <w:kern w:val="0"/>
                <w:szCs w:val="21"/>
              </w:rPr>
              <w:t>品牌</w:t>
            </w:r>
          </w:p>
        </w:tc>
        <w:tc>
          <w:tcPr>
            <w:tcW w:w="4363" w:type="pct"/>
            <w:gridSpan w:val="2"/>
            <w:vAlign w:val="center"/>
          </w:tcPr>
          <w:p>
            <w:pPr>
              <w:jc w:val="left"/>
              <w:rPr>
                <w:rFonts w:hint="eastAsia" w:ascii="宋体" w:hAnsi="宋体" w:cs="宋体"/>
                <w:kern w:val="0"/>
                <w:szCs w:val="21"/>
              </w:rPr>
            </w:pPr>
            <w:r>
              <w:rPr>
                <w:rFonts w:hint="eastAsia" w:ascii="宋体" w:hAnsi="宋体" w:cs="宋体"/>
                <w:kern w:val="0"/>
                <w:szCs w:val="21"/>
              </w:rPr>
              <w:t>本项目要求国产非OEM产品投标；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noWrap/>
            <w:vAlign w:val="center"/>
          </w:tcPr>
          <w:p>
            <w:pPr>
              <w:jc w:val="center"/>
              <w:rPr>
                <w:rFonts w:hint="eastAsia" w:ascii="宋体" w:hAnsi="宋体" w:cs="宋体"/>
                <w:kern w:val="0"/>
                <w:szCs w:val="21"/>
              </w:rPr>
            </w:pPr>
            <w:r>
              <w:rPr>
                <w:rFonts w:hint="eastAsia" w:ascii="宋体" w:hAnsi="宋体" w:cs="宋体"/>
                <w:kern w:val="0"/>
                <w:szCs w:val="21"/>
              </w:rPr>
              <w:t>外观结构</w:t>
            </w:r>
          </w:p>
        </w:tc>
        <w:tc>
          <w:tcPr>
            <w:tcW w:w="835" w:type="pct"/>
            <w:vAlign w:val="center"/>
          </w:tcPr>
          <w:p>
            <w:pPr>
              <w:jc w:val="center"/>
              <w:rPr>
                <w:rFonts w:hint="eastAsia" w:ascii="宋体" w:hAnsi="宋体" w:cs="宋体"/>
                <w:b/>
                <w:bCs/>
                <w:kern w:val="0"/>
                <w:szCs w:val="21"/>
              </w:rPr>
            </w:pPr>
            <w:r>
              <w:rPr>
                <w:rFonts w:hint="eastAsia" w:ascii="宋体" w:hAnsi="宋体" w:cs="宋体"/>
                <w:kern w:val="0"/>
                <w:szCs w:val="21"/>
              </w:rPr>
              <w:t>类型</w:t>
            </w:r>
          </w:p>
        </w:tc>
        <w:tc>
          <w:tcPr>
            <w:tcW w:w="3528" w:type="pct"/>
            <w:vAlign w:val="center"/>
          </w:tcPr>
          <w:p>
            <w:pPr>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restart"/>
            <w:noWrap/>
            <w:vAlign w:val="center"/>
          </w:tcPr>
          <w:p>
            <w:pPr>
              <w:jc w:val="center"/>
              <w:rPr>
                <w:rFonts w:hint="eastAsia" w:ascii="宋体" w:hAnsi="宋体" w:cs="宋体"/>
                <w:kern w:val="0"/>
                <w:szCs w:val="21"/>
              </w:rPr>
            </w:pPr>
            <w:r>
              <w:rPr>
                <w:rFonts w:hint="eastAsia" w:ascii="宋体" w:hAnsi="宋体" w:cs="宋体"/>
                <w:kern w:val="0"/>
                <w:szCs w:val="21"/>
              </w:rPr>
              <w:t>处理器</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3528" w:type="pct"/>
            <w:vAlign w:val="center"/>
          </w:tcPr>
          <w:p>
            <w:pPr>
              <w:rPr>
                <w:rFonts w:hint="eastAsia" w:ascii="宋体" w:hAnsi="宋体" w:cs="宋体"/>
                <w:kern w:val="0"/>
                <w:szCs w:val="21"/>
              </w:rPr>
            </w:pPr>
            <w:r>
              <w:rPr>
                <w:rFonts w:hint="eastAsia" w:ascii="宋体" w:hAnsi="宋体" w:cs="宋体"/>
                <w:kern w:val="0"/>
                <w:szCs w:val="21"/>
              </w:rPr>
              <w:t>不低于英特尔®至强®可扩展系列，≥2颗处理器，支持铂金、金牌、银牌、铜牌全系列级别，单颗多达64个核心，最大功率385W；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3528" w:type="pct"/>
            <w:vAlign w:val="center"/>
          </w:tcPr>
          <w:p>
            <w:pPr>
              <w:rPr>
                <w:rFonts w:hint="eastAsia" w:ascii="宋体" w:hAnsi="宋体" w:cs="宋体"/>
                <w:kern w:val="0"/>
                <w:szCs w:val="21"/>
              </w:rPr>
            </w:pPr>
            <w:r>
              <w:rPr>
                <w:rFonts w:hint="eastAsia" w:ascii="宋体" w:hAnsi="宋体" w:cs="宋体"/>
                <w:kern w:val="0"/>
                <w:szCs w:val="21"/>
              </w:rPr>
              <w:t>CPU个数≥2颗，CPU型号为英特尔至强金牌6</w:t>
            </w:r>
            <w:r>
              <w:rPr>
                <w:rFonts w:ascii="宋体" w:hAnsi="宋体" w:cs="宋体"/>
                <w:kern w:val="0"/>
                <w:szCs w:val="21"/>
              </w:rPr>
              <w:t>5</w:t>
            </w:r>
            <w:r>
              <w:rPr>
                <w:rFonts w:hint="eastAsia" w:ascii="宋体" w:hAnsi="宋体" w:cs="宋体"/>
                <w:kern w:val="0"/>
                <w:szCs w:val="21"/>
              </w:rPr>
              <w:t>30或更高级别，每颗CPU≥32核，2.1GHz；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6" w:type="pct"/>
            <w:vMerge w:val="restart"/>
            <w:vAlign w:val="center"/>
          </w:tcPr>
          <w:p>
            <w:pPr>
              <w:jc w:val="center"/>
              <w:rPr>
                <w:rFonts w:hint="eastAsia" w:ascii="宋体" w:hAnsi="宋体" w:cs="宋体"/>
                <w:kern w:val="0"/>
                <w:szCs w:val="21"/>
              </w:rPr>
            </w:pPr>
            <w:r>
              <w:rPr>
                <w:rFonts w:hint="eastAsia" w:ascii="宋体" w:hAnsi="宋体" w:cs="宋体"/>
                <w:kern w:val="0"/>
                <w:szCs w:val="21"/>
              </w:rPr>
              <w:t>内存</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3528" w:type="pct"/>
            <w:vAlign w:val="center"/>
          </w:tcPr>
          <w:p>
            <w:pPr>
              <w:rPr>
                <w:rFonts w:hint="eastAsia" w:ascii="宋体" w:hAnsi="宋体" w:cs="宋体"/>
                <w:kern w:val="0"/>
                <w:szCs w:val="21"/>
              </w:rPr>
            </w:pPr>
            <w:r>
              <w:rPr>
                <w:rFonts w:hint="eastAsia" w:ascii="宋体" w:hAnsi="宋体" w:cs="宋体"/>
                <w:kern w:val="0"/>
                <w:szCs w:val="21"/>
              </w:rPr>
              <w:t>支持多达32个DDR5内存槽位，速率最高支持5600MT/s，支持RDIMM或LRDIMM，双路处理器最大容量8TB；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3528" w:type="pct"/>
            <w:vAlign w:val="center"/>
          </w:tcPr>
          <w:p>
            <w:pPr>
              <w:rPr>
                <w:rFonts w:hint="eastAsia" w:ascii="宋体" w:hAnsi="宋体" w:cs="宋体"/>
                <w:kern w:val="0"/>
                <w:szCs w:val="21"/>
              </w:rPr>
            </w:pPr>
            <w:r>
              <w:rPr>
                <w:rFonts w:hint="eastAsia" w:ascii="宋体" w:hAnsi="宋体" w:cs="宋体"/>
                <w:kern w:val="0"/>
                <w:szCs w:val="21"/>
              </w:rPr>
              <w:t>≥12×</w:t>
            </w:r>
            <w:r>
              <w:rPr>
                <w:rFonts w:ascii="宋体" w:hAnsi="宋体" w:cs="宋体"/>
                <w:kern w:val="0"/>
                <w:szCs w:val="21"/>
              </w:rPr>
              <w:t>64</w:t>
            </w:r>
            <w:r>
              <w:rPr>
                <w:rFonts w:hint="eastAsia" w:ascii="宋体" w:hAnsi="宋体" w:cs="宋体"/>
                <w:kern w:val="0"/>
                <w:szCs w:val="21"/>
              </w:rPr>
              <w:t>GB DDR5，频率5600MT/s，单条容量</w:t>
            </w:r>
            <w:r>
              <w:rPr>
                <w:rFonts w:ascii="宋体" w:hAnsi="宋体" w:cs="宋体"/>
                <w:kern w:val="0"/>
                <w:szCs w:val="21"/>
              </w:rPr>
              <w:t>64</w:t>
            </w:r>
            <w:r>
              <w:rPr>
                <w:rFonts w:hint="eastAsia" w:ascii="宋体" w:hAnsi="宋体" w:cs="宋体"/>
                <w:kern w:val="0"/>
                <w:szCs w:val="21"/>
              </w:rPr>
              <w:t>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restart"/>
            <w:vAlign w:val="center"/>
          </w:tcPr>
          <w:p>
            <w:pPr>
              <w:jc w:val="center"/>
              <w:rPr>
                <w:rFonts w:hint="eastAsia" w:ascii="宋体" w:hAnsi="宋体" w:cs="宋体"/>
                <w:kern w:val="0"/>
                <w:szCs w:val="21"/>
              </w:rPr>
            </w:pPr>
            <w:r>
              <w:rPr>
                <w:rFonts w:hint="eastAsia" w:ascii="宋体" w:hAnsi="宋体" w:cs="宋体"/>
                <w:kern w:val="0"/>
                <w:szCs w:val="21"/>
              </w:rPr>
              <w:t>硬盘</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3528" w:type="pct"/>
            <w:vAlign w:val="center"/>
          </w:tcPr>
          <w:p>
            <w:pPr>
              <w:rPr>
                <w:rFonts w:hint="eastAsia" w:ascii="宋体" w:hAnsi="宋体" w:cs="宋体"/>
                <w:kern w:val="0"/>
                <w:szCs w:val="21"/>
              </w:rPr>
            </w:pPr>
            <w:r>
              <w:rPr>
                <w:rFonts w:hint="eastAsia" w:ascii="宋体" w:hAnsi="宋体" w:cs="宋体"/>
                <w:kern w:val="0"/>
                <w:szCs w:val="21"/>
              </w:rPr>
              <w:t>≥12个3.5英寸SAS/SATA/SSD硬盘槽位，支持操作系统安装；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3528" w:type="pct"/>
            <w:vAlign w:val="center"/>
          </w:tcPr>
          <w:p>
            <w:pPr>
              <w:rPr>
                <w:rFonts w:hint="eastAsia" w:ascii="宋体" w:hAnsi="宋体" w:cs="宋体"/>
                <w:kern w:val="0"/>
                <w:szCs w:val="21"/>
              </w:rPr>
            </w:pPr>
            <w:r>
              <w:rPr>
                <w:rFonts w:hint="eastAsia" w:ascii="宋体" w:hAnsi="宋体" w:cs="宋体"/>
                <w:kern w:val="0"/>
                <w:szCs w:val="21"/>
              </w:rPr>
              <w:t>硬盘：配置不少于2块480GB 6G SATA 3.5in SSD通用硬盘；</w:t>
            </w:r>
            <w:r>
              <w:rPr>
                <w:rFonts w:ascii="宋体" w:hAnsi="宋体" w:cs="宋体"/>
                <w:szCs w:val="21"/>
              </w:rPr>
              <w:t>1</w:t>
            </w:r>
            <w:r>
              <w:rPr>
                <w:rFonts w:hint="eastAsia" w:ascii="宋体" w:hAnsi="宋体" w:cs="宋体"/>
                <w:szCs w:val="21"/>
              </w:rPr>
              <w:t>块</w:t>
            </w:r>
            <w:r>
              <w:rPr>
                <w:rFonts w:ascii="宋体" w:hAnsi="宋体" w:cs="宋体"/>
                <w:szCs w:val="21"/>
              </w:rPr>
              <w:t>1.6TB PCIe*Gen4X4 NVMe 3.5in SSD</w:t>
            </w:r>
            <w:r>
              <w:rPr>
                <w:rFonts w:hint="eastAsia" w:ascii="宋体" w:hAnsi="宋体" w:cs="宋体"/>
                <w:szCs w:val="21"/>
              </w:rPr>
              <w:t>通用硬盘；3块8TB 6G SATA 7.2K 3.5in</w:t>
            </w:r>
            <w:r>
              <w:rPr>
                <w:rFonts w:ascii="宋体" w:hAnsi="宋体" w:cs="宋体"/>
                <w:szCs w:val="21"/>
              </w:rPr>
              <w:t xml:space="preserve"> </w:t>
            </w:r>
            <w:r>
              <w:rPr>
                <w:rFonts w:hint="eastAsia" w:ascii="宋体" w:hAnsi="宋体" w:cs="宋体"/>
                <w:szCs w:val="21"/>
              </w:rPr>
              <w:t>HDD通用硬盘；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restart"/>
            <w:vAlign w:val="center"/>
          </w:tcPr>
          <w:p>
            <w:pPr>
              <w:jc w:val="center"/>
              <w:rPr>
                <w:rFonts w:hint="eastAsia" w:ascii="宋体" w:hAnsi="宋体" w:cs="宋体"/>
                <w:kern w:val="0"/>
                <w:szCs w:val="21"/>
              </w:rPr>
            </w:pPr>
            <w:r>
              <w:rPr>
                <w:rFonts w:hint="eastAsia" w:ascii="宋体" w:hAnsi="宋体" w:cs="宋体"/>
                <w:kern w:val="0"/>
                <w:szCs w:val="21"/>
              </w:rPr>
              <w:t>阵列控制器</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Raid支持</w:t>
            </w:r>
          </w:p>
        </w:tc>
        <w:tc>
          <w:tcPr>
            <w:tcW w:w="3528" w:type="pct"/>
            <w:vAlign w:val="center"/>
          </w:tcPr>
          <w:p>
            <w:pPr>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可靠性</w:t>
            </w:r>
          </w:p>
        </w:tc>
        <w:tc>
          <w:tcPr>
            <w:tcW w:w="3528" w:type="pct"/>
            <w:vAlign w:val="center"/>
          </w:tcPr>
          <w:p>
            <w:pPr>
              <w:rPr>
                <w:rFonts w:hint="eastAsia" w:ascii="宋体" w:hAnsi="宋体" w:cs="宋体"/>
                <w:kern w:val="0"/>
                <w:szCs w:val="21"/>
              </w:rPr>
            </w:pPr>
            <w:r>
              <w:rPr>
                <w:rFonts w:hint="eastAsia" w:ascii="宋体" w:hAnsi="宋体" w:cs="宋体"/>
                <w:kern w:val="0"/>
                <w:szCs w:val="21"/>
              </w:rPr>
              <w:t>支持掉电保护功能；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b/>
                <w:bCs/>
                <w:kern w:val="0"/>
                <w:szCs w:val="21"/>
              </w:rPr>
            </w:pPr>
            <w:r>
              <w:rPr>
                <w:rFonts w:hint="eastAsia" w:ascii="宋体" w:hAnsi="宋体" w:cs="宋体"/>
                <w:kern w:val="0"/>
                <w:szCs w:val="21"/>
              </w:rPr>
              <w:t>Raid缓存</w:t>
            </w:r>
          </w:p>
        </w:tc>
        <w:tc>
          <w:tcPr>
            <w:tcW w:w="3528" w:type="pct"/>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Align w:val="center"/>
          </w:tcPr>
          <w:p>
            <w:pPr>
              <w:jc w:val="center"/>
              <w:rPr>
                <w:rFonts w:hint="eastAsia" w:ascii="宋体" w:hAnsi="宋体" w:cs="宋体"/>
                <w:kern w:val="0"/>
                <w:szCs w:val="21"/>
              </w:rPr>
            </w:pPr>
            <w:r>
              <w:rPr>
                <w:rFonts w:hint="eastAsia" w:ascii="宋体" w:hAnsi="宋体" w:cs="宋体"/>
                <w:kern w:val="0"/>
                <w:szCs w:val="21"/>
              </w:rPr>
              <w:t>PCI-E</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扩展能力</w:t>
            </w:r>
          </w:p>
        </w:tc>
        <w:tc>
          <w:tcPr>
            <w:tcW w:w="3528" w:type="pct"/>
            <w:vAlign w:val="center"/>
          </w:tcPr>
          <w:p>
            <w:pPr>
              <w:rPr>
                <w:rFonts w:hint="eastAsia" w:ascii="宋体" w:hAnsi="宋体" w:cs="宋体"/>
                <w:kern w:val="0"/>
                <w:szCs w:val="21"/>
              </w:rPr>
            </w:pPr>
            <w:r>
              <w:rPr>
                <w:rFonts w:hint="eastAsia" w:ascii="宋体" w:hAnsi="宋体" w:cs="宋体"/>
                <w:kern w:val="0"/>
                <w:szCs w:val="21"/>
              </w:rPr>
              <w:t>PCI-E I/O插槽总数：≥1</w:t>
            </w:r>
            <w:r>
              <w:rPr>
                <w:rFonts w:ascii="宋体" w:hAnsi="宋体" w:cs="宋体"/>
                <w:kern w:val="0"/>
                <w:szCs w:val="21"/>
              </w:rPr>
              <w:t>3</w:t>
            </w:r>
            <w:r>
              <w:rPr>
                <w:rFonts w:hint="eastAsia" w:ascii="宋体" w:hAnsi="宋体" w:cs="宋体"/>
                <w:kern w:val="0"/>
                <w:szCs w:val="21"/>
              </w:rPr>
              <w:t>个，提供所投设备商官网截图证明及链接；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restart"/>
            <w:vAlign w:val="center"/>
          </w:tcPr>
          <w:p>
            <w:pPr>
              <w:jc w:val="center"/>
              <w:rPr>
                <w:rFonts w:hint="eastAsia" w:ascii="宋体" w:hAnsi="宋体" w:cs="宋体"/>
                <w:kern w:val="0"/>
                <w:szCs w:val="21"/>
              </w:rPr>
            </w:pPr>
            <w:r>
              <w:rPr>
                <w:rFonts w:hint="eastAsia" w:ascii="宋体" w:hAnsi="宋体" w:cs="宋体"/>
                <w:kern w:val="0"/>
                <w:szCs w:val="21"/>
              </w:rPr>
              <w:t>网卡</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3528" w:type="pct"/>
            <w:vAlign w:val="center"/>
          </w:tcPr>
          <w:p>
            <w:pPr>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Merge w:val="restar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3528" w:type="pct"/>
            <w:vAlign w:val="center"/>
          </w:tcPr>
          <w:p>
            <w:pPr>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Merge w:val="continue"/>
            <w:vAlign w:val="center"/>
          </w:tcPr>
          <w:p>
            <w:pPr>
              <w:jc w:val="center"/>
              <w:rPr>
                <w:rFonts w:hint="eastAsia" w:ascii="宋体" w:hAnsi="宋体" w:cs="宋体"/>
                <w:kern w:val="0"/>
                <w:szCs w:val="21"/>
              </w:rPr>
            </w:pPr>
          </w:p>
        </w:tc>
        <w:tc>
          <w:tcPr>
            <w:tcW w:w="3528" w:type="pct"/>
            <w:vAlign w:val="center"/>
          </w:tcPr>
          <w:p>
            <w:pPr>
              <w:rPr>
                <w:rFonts w:hint="eastAsia" w:ascii="宋体" w:hAnsi="宋体" w:cs="宋体"/>
                <w:kern w:val="0"/>
                <w:szCs w:val="21"/>
              </w:rPr>
            </w:pPr>
            <w:r>
              <w:rPr>
                <w:rFonts w:hint="eastAsia" w:ascii="宋体" w:hAnsi="宋体" w:cs="宋体"/>
                <w:kern w:val="0"/>
                <w:szCs w:val="21"/>
              </w:rPr>
              <w:t>≥4 个10Gb光口，含4个多模模块；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Align w:val="center"/>
          </w:tcPr>
          <w:p>
            <w:pPr>
              <w:jc w:val="center"/>
              <w:rPr>
                <w:rFonts w:hint="eastAsia" w:ascii="宋体" w:hAnsi="宋体" w:cs="宋体"/>
                <w:kern w:val="0"/>
                <w:szCs w:val="21"/>
              </w:rPr>
            </w:pPr>
            <w:r>
              <w:rPr>
                <w:rFonts w:hint="eastAsia" w:ascii="宋体" w:hAnsi="宋体" w:cs="宋体"/>
                <w:szCs w:val="21"/>
              </w:rPr>
              <w:t>GPU卡</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3528" w:type="pct"/>
            <w:vAlign w:val="center"/>
          </w:tcPr>
          <w:p>
            <w:pPr>
              <w:adjustRightInd w:val="0"/>
              <w:snapToGrid w:val="0"/>
              <w:rPr>
                <w:rFonts w:hint="eastAsia" w:ascii="宋体" w:hAnsi="宋体" w:cs="宋体"/>
                <w:kern w:val="0"/>
                <w:szCs w:val="21"/>
              </w:rPr>
            </w:pPr>
            <w:r>
              <w:rPr>
                <w:rFonts w:hint="eastAsia" w:ascii="宋体" w:hAnsi="宋体" w:cs="宋体"/>
                <w:kern w:val="0"/>
                <w:szCs w:val="21"/>
              </w:rPr>
              <w:t>支持</w:t>
            </w:r>
            <w:r>
              <w:rPr>
                <w:rFonts w:hint="eastAsia" w:ascii="宋体" w:hAnsi="宋体" w:cs="宋体"/>
                <w:szCs w:val="21"/>
                <w:shd w:val="clear" w:color="auto" w:fill="FFFFFF"/>
              </w:rPr>
              <w:t>双宽GPU卡或单宽GPU卡</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noWrap/>
            <w:vAlign w:val="center"/>
          </w:tcPr>
          <w:p>
            <w:pPr>
              <w:jc w:val="center"/>
              <w:rPr>
                <w:rFonts w:hint="eastAsia" w:ascii="宋体" w:hAnsi="宋体" w:cs="宋体"/>
                <w:kern w:val="0"/>
                <w:szCs w:val="21"/>
              </w:rPr>
            </w:pPr>
            <w:r>
              <w:rPr>
                <w:rFonts w:hint="eastAsia" w:ascii="宋体" w:hAnsi="宋体" w:cs="宋体"/>
                <w:kern w:val="0"/>
                <w:szCs w:val="21"/>
              </w:rPr>
              <w:t>USB接口</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个数</w:t>
            </w:r>
          </w:p>
        </w:tc>
        <w:tc>
          <w:tcPr>
            <w:tcW w:w="3528" w:type="pct"/>
            <w:vAlign w:val="center"/>
          </w:tcPr>
          <w:p>
            <w:pPr>
              <w:rPr>
                <w:rFonts w:hint="eastAsia" w:ascii="宋体" w:hAnsi="宋体" w:cs="宋体"/>
                <w:kern w:val="0"/>
                <w:szCs w:val="21"/>
              </w:rPr>
            </w:pPr>
            <w:r>
              <w:rPr>
                <w:rFonts w:hint="eastAsia" w:ascii="宋体" w:hAnsi="宋体" w:cs="宋体"/>
                <w:kern w:val="0"/>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restart"/>
            <w:vAlign w:val="center"/>
          </w:tcPr>
          <w:p>
            <w:pPr>
              <w:jc w:val="center"/>
              <w:rPr>
                <w:rFonts w:hint="eastAsia" w:ascii="宋体" w:hAnsi="宋体" w:cs="宋体"/>
                <w:kern w:val="0"/>
                <w:szCs w:val="21"/>
              </w:rPr>
            </w:pPr>
            <w:r>
              <w:rPr>
                <w:rFonts w:hint="eastAsia" w:ascii="宋体" w:hAnsi="宋体" w:cs="宋体"/>
                <w:kern w:val="0"/>
                <w:szCs w:val="21"/>
              </w:rPr>
              <w:t>电源</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3528" w:type="pct"/>
            <w:vAlign w:val="center"/>
          </w:tcPr>
          <w:p>
            <w:pPr>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widowControl/>
              <w:jc w:val="center"/>
              <w:rPr>
                <w:rFonts w:hint="eastAsia" w:ascii="宋体" w:hAnsi="宋体" w:cs="宋体"/>
                <w:kern w:val="0"/>
                <w:szCs w:val="21"/>
              </w:rPr>
            </w:pPr>
            <w:r>
              <w:rPr>
                <w:rFonts w:hint="eastAsia" w:ascii="宋体" w:hAnsi="宋体" w:cs="宋体"/>
                <w:kern w:val="0"/>
                <w:szCs w:val="21"/>
              </w:rPr>
              <w:t>节能</w:t>
            </w:r>
          </w:p>
        </w:tc>
        <w:tc>
          <w:tcPr>
            <w:tcW w:w="3528" w:type="pct"/>
            <w:vAlign w:val="center"/>
          </w:tcPr>
          <w:p>
            <w:pPr>
              <w:widowControl/>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3528" w:type="pct"/>
            <w:vAlign w:val="center"/>
          </w:tcPr>
          <w:p>
            <w:pPr>
              <w:rPr>
                <w:rFonts w:hint="eastAsia" w:ascii="宋体" w:hAnsi="宋体" w:cs="宋体"/>
                <w:kern w:val="0"/>
                <w:szCs w:val="21"/>
              </w:rPr>
            </w:pPr>
            <w:r>
              <w:rPr>
                <w:rFonts w:hint="eastAsia" w:ascii="宋体" w:hAnsi="宋体" w:cs="宋体"/>
                <w:kern w:val="0"/>
                <w:szCs w:val="21"/>
              </w:rPr>
              <w:t>≥2个冗余热插拔电源，≥2个冗余热拔插散热风扇；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36" w:type="pct"/>
            <w:vMerge w:val="restart"/>
            <w:vAlign w:val="center"/>
          </w:tcPr>
          <w:p>
            <w:pPr>
              <w:jc w:val="center"/>
              <w:rPr>
                <w:rFonts w:hint="eastAsia" w:ascii="宋体" w:hAnsi="宋体" w:cs="宋体"/>
                <w:kern w:val="0"/>
                <w:szCs w:val="21"/>
              </w:rPr>
            </w:pPr>
            <w:r>
              <w:rPr>
                <w:rFonts w:hint="eastAsia" w:ascii="宋体" w:hAnsi="宋体" w:cs="宋体"/>
                <w:kern w:val="0"/>
                <w:szCs w:val="21"/>
              </w:rPr>
              <w:t>管理功能</w:t>
            </w:r>
          </w:p>
        </w:tc>
        <w:tc>
          <w:tcPr>
            <w:tcW w:w="835" w:type="pct"/>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带外升级</w:t>
            </w:r>
          </w:p>
        </w:tc>
        <w:tc>
          <w:tcPr>
            <w:tcW w:w="3528" w:type="pct"/>
            <w:vAlign w:val="center"/>
          </w:tcPr>
          <w:p>
            <w:pPr>
              <w:rPr>
                <w:rFonts w:hint="eastAsia" w:ascii="宋体" w:hAnsi="宋体" w:cs="宋体"/>
                <w:kern w:val="0"/>
                <w:szCs w:val="21"/>
              </w:rPr>
            </w:pPr>
            <w:r>
              <w:rPr>
                <w:rFonts w:hint="eastAsia" w:ascii="宋体" w:hAnsi="宋体" w:cs="宋体"/>
                <w:kern w:val="0"/>
                <w:szCs w:val="21"/>
              </w:rPr>
              <w:t>不依赖OS，在BMC不重启的情况下，可带外升级BMC版本，可动态叠加新业务并解决BMC故障；（需提供第三方检测机构检测报告证明）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安全面板</w:t>
            </w:r>
          </w:p>
        </w:tc>
        <w:tc>
          <w:tcPr>
            <w:tcW w:w="3528" w:type="pct"/>
            <w:vAlign w:val="center"/>
          </w:tcPr>
          <w:p>
            <w:pPr>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36" w:type="pct"/>
            <w:vMerge w:val="continue"/>
            <w:vAlign w:val="center"/>
          </w:tcPr>
          <w:p/>
        </w:tc>
        <w:tc>
          <w:tcPr>
            <w:tcW w:w="835" w:type="pct"/>
            <w:vAlign w:val="center"/>
          </w:tcPr>
          <w:p>
            <w:r>
              <w:rPr>
                <w:rFonts w:hint="eastAsia"/>
              </w:rPr>
              <w:t>内存智能修复</w:t>
            </w:r>
          </w:p>
        </w:tc>
        <w:tc>
          <w:tcPr>
            <w:tcW w:w="3528" w:type="pct"/>
            <w:vAlign w:val="center"/>
          </w:tcPr>
          <w:p>
            <w:r>
              <w:rPr>
                <w:rFonts w:hint="eastAsia" w:ascii="宋体" w:hAnsi="宋体" w:cs="宋体"/>
                <w:kern w:val="0"/>
                <w:szCs w:val="21"/>
              </w:rPr>
              <w:t>可支持内存智能修复、内存故障预测隔离功能，提前识别内存CE错误并针对风险区域实施隔离操作，降低宕机率；（需提供第三方检测机构检测报告证明）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图形化展示部件温度</w:t>
            </w:r>
          </w:p>
        </w:tc>
        <w:tc>
          <w:tcPr>
            <w:tcW w:w="3528" w:type="pct"/>
            <w:vAlign w:val="center"/>
          </w:tcPr>
          <w:p>
            <w:pPr>
              <w:rPr>
                <w:rFonts w:hint="eastAsia" w:ascii="宋体" w:hAnsi="宋体" w:cs="宋体"/>
                <w:kern w:val="0"/>
                <w:szCs w:val="21"/>
              </w:rPr>
            </w:pPr>
            <w:r>
              <w:rPr>
                <w:rFonts w:hint="eastAsia" w:ascii="宋体" w:hAnsi="宋体" w:cs="宋体"/>
                <w:kern w:val="0"/>
                <w:szCs w:val="21"/>
              </w:rPr>
              <w:t>服务器支持智能温度监控，具备支持以图形化形式展示各组件温度传感器的分布图，可直观体现服务器整体温感状态；（需提供第三方检测机构检测报告证明）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日志下载</w:t>
            </w:r>
          </w:p>
        </w:tc>
        <w:tc>
          <w:tcPr>
            <w:tcW w:w="3528" w:type="pct"/>
            <w:vAlign w:val="center"/>
          </w:tcPr>
          <w:p>
            <w:pPr>
              <w:rPr>
                <w:rFonts w:hint="eastAsia" w:ascii="宋体" w:hAnsi="宋体" w:cs="宋体"/>
                <w:kern w:val="0"/>
                <w:szCs w:val="21"/>
              </w:rPr>
            </w:pPr>
            <w:r>
              <w:rPr>
                <w:rFonts w:hint="eastAsia" w:ascii="宋体" w:hAnsi="宋体" w:cs="宋体"/>
                <w:kern w:val="0"/>
                <w:szCs w:val="21"/>
              </w:rPr>
              <w:t>支持通过服务U盘下载服务器设备故障诊断日志；（需提供第三方检测机构检测报告证明）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6" w:type="pct"/>
            <w:vAlign w:val="center"/>
          </w:tcPr>
          <w:p>
            <w:pPr>
              <w:jc w:val="center"/>
              <w:rPr>
                <w:rFonts w:hint="eastAsia" w:ascii="宋体" w:hAnsi="宋体" w:cs="宋体"/>
                <w:kern w:val="0"/>
                <w:szCs w:val="21"/>
              </w:rPr>
            </w:pPr>
            <w:r>
              <w:rPr>
                <w:rFonts w:hint="eastAsia" w:ascii="宋体" w:hAnsi="宋体" w:cs="宋体"/>
                <w:kern w:val="0"/>
                <w:szCs w:val="21"/>
              </w:rPr>
              <w:t>稳定性</w:t>
            </w:r>
          </w:p>
        </w:tc>
        <w:tc>
          <w:tcPr>
            <w:tcW w:w="835" w:type="pct"/>
            <w:vAlign w:val="center"/>
          </w:tcPr>
          <w:p>
            <w:pPr>
              <w:widowControl/>
              <w:jc w:val="center"/>
              <w:rPr>
                <w:rFonts w:hint="eastAsia" w:ascii="宋体" w:hAnsi="宋体" w:cs="宋体"/>
                <w:kern w:val="0"/>
                <w:szCs w:val="21"/>
              </w:rPr>
            </w:pPr>
            <w:r>
              <w:rPr>
                <w:rFonts w:hint="eastAsia" w:ascii="宋体" w:hAnsi="宋体" w:cs="宋体"/>
                <w:kern w:val="0"/>
                <w:szCs w:val="21"/>
              </w:rPr>
              <w:t>运行温度</w:t>
            </w:r>
          </w:p>
        </w:tc>
        <w:tc>
          <w:tcPr>
            <w:tcW w:w="3528" w:type="pct"/>
            <w:vAlign w:val="center"/>
          </w:tcPr>
          <w:p>
            <w:pPr>
              <w:widowControl/>
              <w:jc w:val="left"/>
              <w:rPr>
                <w:rFonts w:hint="eastAsia" w:ascii="宋体" w:hAnsi="宋体" w:cs="宋体"/>
                <w:kern w:val="0"/>
                <w:szCs w:val="21"/>
              </w:rPr>
            </w:pPr>
            <w:r>
              <w:rPr>
                <w:rFonts w:hint="eastAsia" w:ascii="宋体" w:hAnsi="宋体" w:cs="宋体"/>
                <w:kern w:val="0"/>
                <w:szCs w:val="21"/>
              </w:rPr>
              <w:t>工作环境温度支持5~50°C；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36" w:type="pct"/>
            <w:noWrap/>
            <w:vAlign w:val="center"/>
          </w:tcPr>
          <w:p>
            <w:pPr>
              <w:jc w:val="center"/>
              <w:rPr>
                <w:rFonts w:hint="eastAsia" w:ascii="宋体" w:hAnsi="宋体" w:cs="宋体"/>
                <w:kern w:val="0"/>
                <w:szCs w:val="21"/>
              </w:rPr>
            </w:pPr>
            <w:r>
              <w:rPr>
                <w:rFonts w:hint="eastAsia" w:ascii="宋体" w:hAnsi="宋体" w:cs="宋体"/>
                <w:kern w:val="0"/>
                <w:szCs w:val="21"/>
              </w:rPr>
              <w:t>资质认证</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市场份额</w:t>
            </w:r>
          </w:p>
        </w:tc>
        <w:tc>
          <w:tcPr>
            <w:tcW w:w="3528" w:type="pct"/>
            <w:vAlign w:val="center"/>
          </w:tcPr>
          <w:p>
            <w:pPr>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636" w:type="pct"/>
            <w:vMerge w:val="restart"/>
            <w:noWrap/>
            <w:vAlign w:val="center"/>
          </w:tcPr>
          <w:p>
            <w:pPr>
              <w:jc w:val="center"/>
              <w:rPr>
                <w:rFonts w:hint="eastAsia" w:ascii="宋体" w:hAnsi="宋体" w:cs="宋体"/>
                <w:kern w:val="0"/>
                <w:szCs w:val="21"/>
              </w:rPr>
            </w:pPr>
            <w:r>
              <w:rPr>
                <w:rFonts w:hint="eastAsia" w:ascii="宋体" w:hAnsi="宋体" w:cs="宋体"/>
                <w:kern w:val="0"/>
                <w:szCs w:val="21"/>
              </w:rPr>
              <w:t>服务</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维保服务</w:t>
            </w:r>
          </w:p>
        </w:tc>
        <w:tc>
          <w:tcPr>
            <w:tcW w:w="3528" w:type="pct"/>
            <w:vAlign w:val="center"/>
          </w:tcPr>
          <w:p>
            <w:pPr>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36" w:type="pct"/>
            <w:vMerge w:val="continue"/>
            <w:noWrap/>
            <w:vAlign w:val="center"/>
          </w:tcPr>
          <w:p>
            <w:pPr>
              <w:jc w:val="center"/>
              <w:rPr>
                <w:rFonts w:hint="eastAsia" w:ascii="宋体" w:hAnsi="宋体" w:cs="宋体"/>
                <w:kern w:val="0"/>
                <w:szCs w:val="21"/>
              </w:rPr>
            </w:pPr>
          </w:p>
        </w:tc>
        <w:tc>
          <w:tcPr>
            <w:tcW w:w="835" w:type="pct"/>
            <w:vAlign w:val="center"/>
          </w:tcPr>
          <w:p>
            <w:pPr>
              <w:widowControl/>
              <w:jc w:val="center"/>
              <w:rPr>
                <w:rFonts w:hint="eastAsia" w:ascii="宋体" w:hAnsi="宋体" w:cs="宋体"/>
                <w:kern w:val="0"/>
                <w:szCs w:val="21"/>
              </w:rPr>
            </w:pPr>
            <w:r>
              <w:rPr>
                <w:rFonts w:hint="eastAsia" w:ascii="宋体" w:hAnsi="宋体" w:cs="宋体"/>
                <w:kern w:val="0"/>
                <w:szCs w:val="21"/>
              </w:rPr>
              <w:t>增值服务</w:t>
            </w:r>
          </w:p>
        </w:tc>
        <w:tc>
          <w:tcPr>
            <w:tcW w:w="3528" w:type="pct"/>
            <w:vAlign w:val="center"/>
          </w:tcPr>
          <w:p>
            <w:pPr>
              <w:widowControl/>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6" w:type="pct"/>
            <w:vMerge w:val="restart"/>
            <w:noWrap/>
            <w:vAlign w:val="center"/>
          </w:tcPr>
          <w:p>
            <w:pPr>
              <w:jc w:val="center"/>
              <w:rPr>
                <w:rFonts w:hint="eastAsia" w:ascii="宋体" w:hAnsi="宋体" w:cs="宋体"/>
                <w:kern w:val="0"/>
                <w:szCs w:val="21"/>
              </w:rPr>
            </w:pPr>
            <w:r>
              <w:rPr>
                <w:rFonts w:hint="eastAsia" w:ascii="宋体" w:hAnsi="宋体" w:cs="宋体"/>
                <w:kern w:val="0"/>
                <w:szCs w:val="21"/>
              </w:rPr>
              <w:t>其它</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包装</w:t>
            </w:r>
          </w:p>
        </w:tc>
        <w:tc>
          <w:tcPr>
            <w:tcW w:w="3528" w:type="pct"/>
            <w:vAlign w:val="center"/>
          </w:tcPr>
          <w:p>
            <w:pPr>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运输</w:t>
            </w:r>
          </w:p>
        </w:tc>
        <w:tc>
          <w:tcPr>
            <w:tcW w:w="3528" w:type="pct"/>
            <w:vAlign w:val="center"/>
          </w:tcPr>
          <w:p>
            <w:pPr>
              <w:rPr>
                <w:rFonts w:hint="eastAsia" w:ascii="宋体" w:hAnsi="宋体" w:cs="宋体"/>
                <w:kern w:val="0"/>
                <w:szCs w:val="21"/>
              </w:rPr>
            </w:pPr>
            <w:r>
              <w:rPr>
                <w:rFonts w:hint="eastAsia" w:ascii="宋体" w:hAnsi="宋体" w:cs="宋体"/>
                <w:kern w:val="0"/>
                <w:szCs w:val="21"/>
              </w:rPr>
              <w:t>直接发货至最终用户(最终用户制定部署点，不仅限于一个地点)；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6" w:type="pct"/>
            <w:vMerge w:val="continue"/>
            <w:vAlign w:val="center"/>
          </w:tcPr>
          <w:p>
            <w:pPr>
              <w:jc w:val="center"/>
              <w:rPr>
                <w:rFonts w:hint="eastAsia" w:ascii="宋体" w:hAnsi="宋体" w:cs="宋体"/>
                <w:kern w:val="0"/>
                <w:szCs w:val="21"/>
              </w:rPr>
            </w:pP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导轨</w:t>
            </w:r>
          </w:p>
        </w:tc>
        <w:tc>
          <w:tcPr>
            <w:tcW w:w="3528" w:type="pct"/>
            <w:vAlign w:val="center"/>
          </w:tcPr>
          <w:p>
            <w:pPr>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636" w:type="pct"/>
            <w:vAlign w:val="center"/>
          </w:tcPr>
          <w:p>
            <w:pPr>
              <w:jc w:val="center"/>
              <w:rPr>
                <w:rFonts w:hint="eastAsia" w:ascii="宋体" w:hAnsi="宋体" w:cs="宋体"/>
                <w:kern w:val="0"/>
                <w:szCs w:val="21"/>
              </w:rPr>
            </w:pPr>
            <w:r>
              <w:rPr>
                <w:rFonts w:hint="eastAsia" w:ascii="宋体" w:hAnsi="宋体" w:cs="宋体"/>
                <w:kern w:val="0"/>
                <w:szCs w:val="21"/>
              </w:rPr>
              <w:t>授权</w:t>
            </w:r>
          </w:p>
        </w:tc>
        <w:tc>
          <w:tcPr>
            <w:tcW w:w="835" w:type="pct"/>
            <w:vAlign w:val="center"/>
          </w:tcPr>
          <w:p>
            <w:pPr>
              <w:jc w:val="center"/>
              <w:rPr>
                <w:rFonts w:hint="eastAsia" w:ascii="宋体" w:hAnsi="宋体" w:cs="宋体"/>
                <w:kern w:val="0"/>
                <w:szCs w:val="21"/>
              </w:rPr>
            </w:pPr>
            <w:r>
              <w:rPr>
                <w:rFonts w:hint="eastAsia" w:ascii="宋体" w:hAnsi="宋体" w:cs="宋体"/>
                <w:kern w:val="0"/>
                <w:szCs w:val="21"/>
              </w:rPr>
              <w:t>授权要求</w:t>
            </w:r>
          </w:p>
        </w:tc>
        <w:tc>
          <w:tcPr>
            <w:tcW w:w="3528" w:type="pct"/>
            <w:vAlign w:val="center"/>
          </w:tcPr>
          <w:p>
            <w:pPr>
              <w:rPr>
                <w:rFonts w:hint="eastAsia" w:ascii="宋体" w:hAnsi="宋体" w:cs="宋体"/>
                <w:kern w:val="0"/>
                <w:szCs w:val="21"/>
              </w:rPr>
            </w:pPr>
            <w:r>
              <w:rPr>
                <w:rFonts w:hint="eastAsia"/>
                <w:kern w:val="0"/>
              </w:rPr>
              <w:t>投标人需提供拟投设备原厂商针对本项目的授权函及三年售后</w:t>
            </w:r>
            <w:r>
              <w:rPr>
                <w:kern w:val="0"/>
              </w:rPr>
              <w:t>服务</w:t>
            </w:r>
            <w:r>
              <w:rPr>
                <w:rFonts w:hint="eastAsia"/>
                <w:kern w:val="0"/>
              </w:rPr>
              <w:t>承诺函；</w:t>
            </w:r>
          </w:p>
        </w:tc>
      </w:tr>
    </w:tbl>
    <w:p>
      <w:pPr>
        <w:shd w:val="clear" w:color="auto" w:fill="FFFFFF"/>
        <w:tabs>
          <w:tab w:val="left" w:pos="2908"/>
        </w:tabs>
        <w:spacing w:line="360" w:lineRule="auto"/>
        <w:ind w:firstLine="371" w:firstLineChars="177"/>
        <w:jc w:val="left"/>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szCs w:val="21"/>
        </w:rPr>
      </w:pPr>
      <w:r>
        <w:rPr>
          <w:rFonts w:hint="eastAsia" w:ascii="宋体" w:hAnsi="宋体" w:cs="宋体"/>
          <w:b/>
          <w:sz w:val="22"/>
          <w:szCs w:val="22"/>
        </w:rPr>
        <w:t>（2）云资源服务器2（3台）</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1455"/>
        <w:gridCol w:w="6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b/>
                <w:bCs/>
                <w:kern w:val="0"/>
                <w:szCs w:val="21"/>
              </w:rPr>
            </w:pPr>
            <w:r>
              <w:rPr>
                <w:rFonts w:hint="eastAsia" w:ascii="宋体" w:hAnsi="宋体" w:cs="宋体"/>
                <w:b/>
                <w:bCs/>
                <w:kern w:val="0"/>
                <w:szCs w:val="21"/>
              </w:rPr>
              <w:t>类别</w:t>
            </w:r>
          </w:p>
        </w:tc>
        <w:tc>
          <w:tcPr>
            <w:tcW w:w="1455" w:type="dxa"/>
            <w:vAlign w:val="center"/>
          </w:tcPr>
          <w:p>
            <w:pPr>
              <w:jc w:val="center"/>
              <w:rPr>
                <w:rFonts w:hint="eastAsia" w:ascii="宋体" w:hAnsi="宋体" w:cs="宋体"/>
                <w:b/>
                <w:bCs/>
                <w:kern w:val="0"/>
                <w:szCs w:val="21"/>
              </w:rPr>
            </w:pPr>
            <w:r>
              <w:rPr>
                <w:rFonts w:hint="eastAsia" w:ascii="宋体" w:hAnsi="宋体" w:cs="宋体"/>
                <w:b/>
                <w:bCs/>
                <w:kern w:val="0"/>
                <w:szCs w:val="21"/>
              </w:rPr>
              <w:t>设备指标项</w:t>
            </w:r>
          </w:p>
        </w:tc>
        <w:tc>
          <w:tcPr>
            <w:tcW w:w="6154" w:type="dxa"/>
            <w:vAlign w:val="center"/>
          </w:tcPr>
          <w:p>
            <w:pPr>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品牌</w:t>
            </w:r>
          </w:p>
        </w:tc>
        <w:tc>
          <w:tcPr>
            <w:tcW w:w="0" w:type="auto"/>
            <w:gridSpan w:val="2"/>
            <w:vAlign w:val="center"/>
          </w:tcPr>
          <w:p>
            <w:pPr>
              <w:jc w:val="left"/>
              <w:rPr>
                <w:rFonts w:hint="eastAsia" w:ascii="宋体" w:hAnsi="宋体" w:cs="宋体"/>
                <w:kern w:val="0"/>
                <w:szCs w:val="21"/>
              </w:rPr>
            </w:pPr>
            <w:r>
              <w:rPr>
                <w:rFonts w:hint="eastAsia" w:ascii="宋体" w:hAnsi="宋体" w:cs="宋体"/>
                <w:kern w:val="0"/>
                <w:szCs w:val="21"/>
              </w:rPr>
              <w:t>本项目要求国产非OEM产品投标；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外观结构</w:t>
            </w:r>
          </w:p>
        </w:tc>
        <w:tc>
          <w:tcPr>
            <w:tcW w:w="1455" w:type="dxa"/>
            <w:vAlign w:val="center"/>
          </w:tcPr>
          <w:p>
            <w:pPr>
              <w:jc w:val="center"/>
              <w:rPr>
                <w:rFonts w:hint="eastAsia" w:ascii="宋体" w:hAnsi="宋体" w:cs="宋体"/>
                <w:b/>
                <w:bCs/>
                <w:kern w:val="0"/>
                <w:szCs w:val="21"/>
              </w:rPr>
            </w:pPr>
            <w:r>
              <w:rPr>
                <w:rFonts w:hint="eastAsia" w:ascii="宋体" w:hAnsi="宋体" w:cs="宋体"/>
                <w:kern w:val="0"/>
                <w:szCs w:val="21"/>
              </w:rPr>
              <w:t>类型</w:t>
            </w:r>
          </w:p>
        </w:tc>
        <w:tc>
          <w:tcPr>
            <w:tcW w:w="6154" w:type="dxa"/>
            <w:vAlign w:val="center"/>
          </w:tcPr>
          <w:p>
            <w:pPr>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处理器</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154" w:type="dxa"/>
            <w:vAlign w:val="center"/>
          </w:tcPr>
          <w:p>
            <w:pPr>
              <w:rPr>
                <w:rFonts w:hint="eastAsia" w:ascii="宋体" w:hAnsi="宋体" w:cs="宋体"/>
                <w:kern w:val="0"/>
                <w:szCs w:val="21"/>
              </w:rPr>
            </w:pPr>
            <w:r>
              <w:rPr>
                <w:rFonts w:hint="eastAsia" w:ascii="宋体" w:hAnsi="宋体" w:cs="宋体"/>
                <w:kern w:val="0"/>
                <w:szCs w:val="21"/>
              </w:rPr>
              <w:t>不低于英特尔®至强®可扩展系列，≥2颗处理器，支持铂金、金牌、银牌、铜牌全系列级别，单颗多达64个核心，最大功率385W；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154" w:type="dxa"/>
            <w:vAlign w:val="center"/>
          </w:tcPr>
          <w:p>
            <w:pPr>
              <w:rPr>
                <w:rFonts w:hint="eastAsia" w:ascii="宋体" w:hAnsi="宋体" w:cs="宋体"/>
                <w:kern w:val="0"/>
                <w:szCs w:val="21"/>
              </w:rPr>
            </w:pPr>
            <w:r>
              <w:rPr>
                <w:rFonts w:hint="eastAsia" w:ascii="宋体" w:hAnsi="宋体" w:cs="宋体"/>
                <w:kern w:val="0"/>
                <w:szCs w:val="21"/>
              </w:rPr>
              <w:t>CPU个数≥2颗，CPU型号为英特尔至强金牌6</w:t>
            </w:r>
            <w:r>
              <w:rPr>
                <w:rFonts w:ascii="宋体" w:hAnsi="宋体" w:cs="宋体"/>
                <w:kern w:val="0"/>
                <w:szCs w:val="21"/>
              </w:rPr>
              <w:t>5</w:t>
            </w:r>
            <w:r>
              <w:rPr>
                <w:rFonts w:hint="eastAsia" w:ascii="宋体" w:hAnsi="宋体" w:cs="宋体"/>
                <w:kern w:val="0"/>
                <w:szCs w:val="21"/>
              </w:rPr>
              <w:t>30或更高级别，每颗CPU≥32核，2.1GHz；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内存</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154" w:type="dxa"/>
            <w:vAlign w:val="center"/>
          </w:tcPr>
          <w:p>
            <w:pPr>
              <w:rPr>
                <w:rFonts w:hint="eastAsia" w:ascii="宋体" w:hAnsi="宋体" w:cs="宋体"/>
                <w:kern w:val="0"/>
                <w:szCs w:val="21"/>
              </w:rPr>
            </w:pPr>
            <w:r>
              <w:rPr>
                <w:rFonts w:hint="eastAsia" w:ascii="宋体" w:hAnsi="宋体" w:cs="宋体"/>
                <w:kern w:val="0"/>
                <w:szCs w:val="21"/>
              </w:rPr>
              <w:t>支持多达32个DDR5内存槽位，速率最高支持5600MT/s，支持RDIMM或LRDIMM，双路处理器最大容量8TB；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154" w:type="dxa"/>
            <w:vAlign w:val="center"/>
          </w:tcPr>
          <w:p>
            <w:pPr>
              <w:rPr>
                <w:rFonts w:hint="eastAsia" w:ascii="宋体" w:hAnsi="宋体" w:cs="宋体"/>
                <w:kern w:val="0"/>
                <w:szCs w:val="21"/>
              </w:rPr>
            </w:pPr>
            <w:r>
              <w:rPr>
                <w:rFonts w:hint="eastAsia" w:ascii="宋体" w:hAnsi="宋体" w:cs="宋体"/>
                <w:kern w:val="0"/>
                <w:szCs w:val="21"/>
              </w:rPr>
              <w:t>≥8×</w:t>
            </w:r>
            <w:r>
              <w:rPr>
                <w:rFonts w:ascii="宋体" w:hAnsi="宋体" w:cs="宋体"/>
                <w:kern w:val="0"/>
                <w:szCs w:val="21"/>
              </w:rPr>
              <w:t>64</w:t>
            </w:r>
            <w:r>
              <w:rPr>
                <w:rFonts w:hint="eastAsia" w:ascii="宋体" w:hAnsi="宋体" w:cs="宋体"/>
                <w:kern w:val="0"/>
                <w:szCs w:val="21"/>
              </w:rPr>
              <w:t>GB DDR5，频率5600MT/s，单条容量</w:t>
            </w:r>
            <w:r>
              <w:rPr>
                <w:rFonts w:ascii="宋体" w:hAnsi="宋体" w:cs="宋体"/>
                <w:kern w:val="0"/>
                <w:szCs w:val="21"/>
              </w:rPr>
              <w:t>64</w:t>
            </w:r>
            <w:r>
              <w:rPr>
                <w:rFonts w:hint="eastAsia" w:ascii="宋体" w:hAnsi="宋体" w:cs="宋体"/>
                <w:kern w:val="0"/>
                <w:szCs w:val="21"/>
              </w:rPr>
              <w:t>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硬盘</w:t>
            </w:r>
          </w:p>
        </w:tc>
        <w:tc>
          <w:tcPr>
            <w:tcW w:w="1455" w:type="dxa"/>
            <w:vAlign w:val="center"/>
          </w:tcPr>
          <w:p>
            <w:pPr>
              <w:rPr>
                <w:rFonts w:hint="eastAsia" w:ascii="宋体" w:hAnsi="宋体" w:cs="宋体"/>
                <w:kern w:val="0"/>
                <w:szCs w:val="21"/>
              </w:rPr>
            </w:pPr>
            <w:r>
              <w:rPr>
                <w:rFonts w:hint="eastAsia" w:ascii="宋体" w:hAnsi="宋体" w:cs="宋体"/>
                <w:kern w:val="0"/>
                <w:szCs w:val="21"/>
              </w:rPr>
              <w:t>支持能力</w:t>
            </w:r>
          </w:p>
        </w:tc>
        <w:tc>
          <w:tcPr>
            <w:tcW w:w="6154" w:type="dxa"/>
            <w:vAlign w:val="center"/>
          </w:tcPr>
          <w:p>
            <w:pPr>
              <w:rPr>
                <w:rFonts w:hint="eastAsia" w:ascii="宋体" w:hAnsi="宋体" w:cs="宋体"/>
                <w:kern w:val="0"/>
                <w:szCs w:val="21"/>
              </w:rPr>
            </w:pPr>
            <w:r>
              <w:rPr>
                <w:rFonts w:hint="eastAsia" w:ascii="宋体" w:hAnsi="宋体" w:cs="宋体"/>
                <w:kern w:val="0"/>
                <w:szCs w:val="21"/>
              </w:rPr>
              <w:t>≥12个3.5英寸SAS/SATA/SSD硬盘槽位，支持操作系统安装；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154" w:type="dxa"/>
            <w:vAlign w:val="center"/>
          </w:tcPr>
          <w:p>
            <w:pPr>
              <w:rPr>
                <w:rFonts w:hint="eastAsia" w:ascii="宋体" w:hAnsi="宋体" w:cs="宋体"/>
                <w:kern w:val="0"/>
                <w:szCs w:val="21"/>
              </w:rPr>
            </w:pPr>
            <w:r>
              <w:rPr>
                <w:rFonts w:hint="eastAsia" w:ascii="宋体" w:hAnsi="宋体" w:cs="宋体"/>
                <w:kern w:val="0"/>
                <w:szCs w:val="21"/>
              </w:rPr>
              <w:t>硬盘：配置不少于2块480GB 6G SATA 3.5in SSD通用硬盘；</w:t>
            </w:r>
            <w:r>
              <w:rPr>
                <w:rFonts w:ascii="宋体" w:hAnsi="宋体" w:cs="宋体"/>
                <w:szCs w:val="21"/>
              </w:rPr>
              <w:t>1</w:t>
            </w:r>
            <w:r>
              <w:rPr>
                <w:rFonts w:hint="eastAsia" w:ascii="宋体" w:hAnsi="宋体" w:cs="宋体"/>
                <w:szCs w:val="21"/>
              </w:rPr>
              <w:t>块</w:t>
            </w:r>
            <w:r>
              <w:rPr>
                <w:rFonts w:ascii="宋体" w:hAnsi="宋体" w:cs="宋体"/>
                <w:szCs w:val="21"/>
              </w:rPr>
              <w:t>1.6TB PCIe*Gen4X4 NVMe 3.5in SSD</w:t>
            </w:r>
            <w:r>
              <w:rPr>
                <w:rFonts w:hint="eastAsia" w:ascii="宋体" w:hAnsi="宋体" w:cs="宋体"/>
                <w:szCs w:val="21"/>
              </w:rPr>
              <w:t>通用硬盘；3块8TB 6G SATA 7.2K 3.5in</w:t>
            </w:r>
            <w:r>
              <w:rPr>
                <w:rFonts w:ascii="宋体" w:hAnsi="宋体" w:cs="宋体"/>
                <w:szCs w:val="21"/>
              </w:rPr>
              <w:t xml:space="preserve"> </w:t>
            </w:r>
            <w:r>
              <w:rPr>
                <w:rFonts w:hint="eastAsia" w:ascii="宋体" w:hAnsi="宋体" w:cs="宋体"/>
                <w:szCs w:val="21"/>
              </w:rPr>
              <w:t>HDD通用硬盘；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阵列控制器</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Raid支持</w:t>
            </w:r>
          </w:p>
        </w:tc>
        <w:tc>
          <w:tcPr>
            <w:tcW w:w="6154" w:type="dxa"/>
            <w:vAlign w:val="center"/>
          </w:tcPr>
          <w:p>
            <w:pPr>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可靠性</w:t>
            </w:r>
          </w:p>
        </w:tc>
        <w:tc>
          <w:tcPr>
            <w:tcW w:w="6154" w:type="dxa"/>
            <w:vAlign w:val="center"/>
          </w:tcPr>
          <w:p>
            <w:pPr>
              <w:rPr>
                <w:rFonts w:hint="eastAsia" w:ascii="宋体" w:hAnsi="宋体" w:cs="宋体"/>
                <w:kern w:val="0"/>
                <w:szCs w:val="21"/>
              </w:rPr>
            </w:pPr>
            <w:r>
              <w:rPr>
                <w:rFonts w:hint="eastAsia" w:ascii="宋体" w:hAnsi="宋体" w:cs="宋体"/>
                <w:kern w:val="0"/>
                <w:szCs w:val="21"/>
              </w:rPr>
              <w:t>支持掉电保护功能；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b/>
                <w:bCs/>
                <w:kern w:val="0"/>
                <w:szCs w:val="21"/>
              </w:rPr>
            </w:pPr>
            <w:r>
              <w:rPr>
                <w:rFonts w:hint="eastAsia" w:ascii="宋体" w:hAnsi="宋体" w:cs="宋体"/>
                <w:kern w:val="0"/>
                <w:szCs w:val="21"/>
              </w:rPr>
              <w:t>Raid缓存</w:t>
            </w:r>
          </w:p>
        </w:tc>
        <w:tc>
          <w:tcPr>
            <w:tcW w:w="6154"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PCI-E</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扩展能力</w:t>
            </w:r>
          </w:p>
        </w:tc>
        <w:tc>
          <w:tcPr>
            <w:tcW w:w="6154" w:type="dxa"/>
            <w:vAlign w:val="center"/>
          </w:tcPr>
          <w:p>
            <w:pPr>
              <w:rPr>
                <w:rFonts w:hint="eastAsia" w:ascii="宋体" w:hAnsi="宋体" w:cs="宋体"/>
                <w:kern w:val="0"/>
                <w:szCs w:val="21"/>
              </w:rPr>
            </w:pPr>
            <w:r>
              <w:rPr>
                <w:rFonts w:hint="eastAsia" w:ascii="宋体" w:hAnsi="宋体" w:cs="宋体"/>
                <w:kern w:val="0"/>
                <w:szCs w:val="21"/>
              </w:rPr>
              <w:t>PCI-E I/O插槽总数：≥1</w:t>
            </w:r>
            <w:r>
              <w:rPr>
                <w:rFonts w:ascii="宋体" w:hAnsi="宋体" w:cs="宋体"/>
                <w:kern w:val="0"/>
                <w:szCs w:val="21"/>
              </w:rPr>
              <w:t>3</w:t>
            </w:r>
            <w:r>
              <w:rPr>
                <w:rFonts w:hint="eastAsia" w:ascii="宋体" w:hAnsi="宋体" w:cs="宋体"/>
                <w:kern w:val="0"/>
                <w:szCs w:val="21"/>
              </w:rPr>
              <w:t>个，提供所投设备商官网截图证明及链接；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网卡</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154" w:type="dxa"/>
            <w:vAlign w:val="center"/>
          </w:tcPr>
          <w:p>
            <w:pPr>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Merge w:val="restar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154" w:type="dxa"/>
            <w:vAlign w:val="center"/>
          </w:tcPr>
          <w:p>
            <w:pPr>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Merge w:val="continue"/>
            <w:vAlign w:val="center"/>
          </w:tcPr>
          <w:p>
            <w:pPr>
              <w:jc w:val="center"/>
              <w:rPr>
                <w:rFonts w:hint="eastAsia" w:ascii="宋体" w:hAnsi="宋体" w:cs="宋体"/>
                <w:kern w:val="0"/>
                <w:szCs w:val="21"/>
              </w:rPr>
            </w:pPr>
          </w:p>
        </w:tc>
        <w:tc>
          <w:tcPr>
            <w:tcW w:w="6154" w:type="dxa"/>
            <w:vAlign w:val="center"/>
          </w:tcPr>
          <w:p>
            <w:pPr>
              <w:rPr>
                <w:rFonts w:hint="eastAsia" w:ascii="宋体" w:hAnsi="宋体" w:cs="宋体"/>
                <w:kern w:val="0"/>
                <w:szCs w:val="21"/>
              </w:rPr>
            </w:pPr>
            <w:r>
              <w:rPr>
                <w:rFonts w:hint="eastAsia" w:ascii="宋体" w:hAnsi="宋体" w:cs="宋体"/>
                <w:kern w:val="0"/>
                <w:szCs w:val="21"/>
              </w:rPr>
              <w:t>≥4 个10Gb光口，含4个多模模块；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szCs w:val="21"/>
              </w:rPr>
              <w:t>GPU卡</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154" w:type="dxa"/>
            <w:vAlign w:val="center"/>
          </w:tcPr>
          <w:p>
            <w:pPr>
              <w:adjustRightInd w:val="0"/>
              <w:snapToGrid w:val="0"/>
              <w:rPr>
                <w:rFonts w:hint="eastAsia" w:ascii="宋体" w:hAnsi="宋体" w:cs="宋体"/>
                <w:kern w:val="0"/>
                <w:szCs w:val="21"/>
              </w:rPr>
            </w:pPr>
            <w:r>
              <w:rPr>
                <w:rFonts w:hint="eastAsia" w:ascii="宋体" w:hAnsi="宋体" w:cs="宋体"/>
                <w:kern w:val="0"/>
                <w:szCs w:val="21"/>
              </w:rPr>
              <w:t>支持</w:t>
            </w:r>
            <w:r>
              <w:rPr>
                <w:rFonts w:hint="eastAsia" w:ascii="宋体" w:hAnsi="宋体" w:cs="宋体"/>
                <w:szCs w:val="21"/>
                <w:shd w:val="clear" w:color="auto" w:fill="FFFFFF"/>
              </w:rPr>
              <w:t>双宽GPU卡或单宽GPU卡</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USB接口</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个数</w:t>
            </w:r>
          </w:p>
        </w:tc>
        <w:tc>
          <w:tcPr>
            <w:tcW w:w="6154" w:type="dxa"/>
            <w:vAlign w:val="center"/>
          </w:tcPr>
          <w:p>
            <w:pPr>
              <w:rPr>
                <w:rFonts w:hint="eastAsia" w:ascii="宋体" w:hAnsi="宋体" w:cs="宋体"/>
                <w:kern w:val="0"/>
                <w:szCs w:val="21"/>
              </w:rPr>
            </w:pPr>
            <w:r>
              <w:rPr>
                <w:rFonts w:hint="eastAsia" w:ascii="宋体" w:hAnsi="宋体" w:cs="宋体"/>
                <w:kern w:val="0"/>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电源</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154" w:type="dxa"/>
            <w:vAlign w:val="center"/>
          </w:tcPr>
          <w:p>
            <w:pPr>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widowControl/>
              <w:jc w:val="center"/>
              <w:rPr>
                <w:rFonts w:hint="eastAsia" w:ascii="宋体" w:hAnsi="宋体" w:cs="宋体"/>
                <w:kern w:val="0"/>
                <w:szCs w:val="21"/>
              </w:rPr>
            </w:pPr>
            <w:r>
              <w:rPr>
                <w:rFonts w:hint="eastAsia" w:ascii="宋体" w:hAnsi="宋体" w:cs="宋体"/>
                <w:kern w:val="0"/>
                <w:szCs w:val="21"/>
              </w:rPr>
              <w:t>节能</w:t>
            </w:r>
          </w:p>
        </w:tc>
        <w:tc>
          <w:tcPr>
            <w:tcW w:w="6154" w:type="dxa"/>
            <w:vAlign w:val="center"/>
          </w:tcPr>
          <w:p>
            <w:pPr>
              <w:widowControl/>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154" w:type="dxa"/>
            <w:vAlign w:val="center"/>
          </w:tcPr>
          <w:p>
            <w:pPr>
              <w:rPr>
                <w:rFonts w:hint="eastAsia" w:ascii="宋体" w:hAnsi="宋体" w:cs="宋体"/>
                <w:kern w:val="0"/>
                <w:szCs w:val="21"/>
              </w:rPr>
            </w:pPr>
            <w:r>
              <w:rPr>
                <w:rFonts w:hint="eastAsia" w:ascii="宋体" w:hAnsi="宋体" w:cs="宋体"/>
                <w:kern w:val="0"/>
                <w:szCs w:val="21"/>
              </w:rPr>
              <w:t>≥2个冗余热插拔电源，≥2个冗余热拔插散热风扇；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管理功能</w:t>
            </w:r>
          </w:p>
        </w:tc>
        <w:tc>
          <w:tcPr>
            <w:tcW w:w="1455"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带外升级</w:t>
            </w:r>
          </w:p>
        </w:tc>
        <w:tc>
          <w:tcPr>
            <w:tcW w:w="6154" w:type="dxa"/>
            <w:vAlign w:val="center"/>
          </w:tcPr>
          <w:p>
            <w:pPr>
              <w:rPr>
                <w:rFonts w:hint="eastAsia" w:ascii="宋体" w:hAnsi="宋体" w:cs="宋体"/>
                <w:kern w:val="0"/>
                <w:szCs w:val="21"/>
              </w:rPr>
            </w:pPr>
            <w:r>
              <w:rPr>
                <w:rFonts w:hint="eastAsia" w:ascii="宋体" w:hAnsi="宋体" w:cs="宋体"/>
                <w:kern w:val="0"/>
                <w:szCs w:val="21"/>
              </w:rPr>
              <w:t>不依赖OS，在BMC不重启的情况下，可带外升级BMC版本，可动态叠加新业务并解决BMC故障；（需提供第三方检测机构检测报告证明）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安全面板</w:t>
            </w:r>
          </w:p>
        </w:tc>
        <w:tc>
          <w:tcPr>
            <w:tcW w:w="6154" w:type="dxa"/>
            <w:vAlign w:val="center"/>
          </w:tcPr>
          <w:p>
            <w:pPr>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tc>
        <w:tc>
          <w:tcPr>
            <w:tcW w:w="1455" w:type="dxa"/>
            <w:vAlign w:val="center"/>
          </w:tcPr>
          <w:p>
            <w:r>
              <w:rPr>
                <w:rFonts w:hint="eastAsia"/>
              </w:rPr>
              <w:t>内存智能修复</w:t>
            </w:r>
          </w:p>
        </w:tc>
        <w:tc>
          <w:tcPr>
            <w:tcW w:w="6154" w:type="dxa"/>
            <w:vAlign w:val="center"/>
          </w:tcPr>
          <w:p>
            <w:r>
              <w:rPr>
                <w:rFonts w:hint="eastAsia" w:ascii="宋体" w:hAnsi="宋体" w:cs="宋体"/>
                <w:kern w:val="0"/>
                <w:szCs w:val="21"/>
              </w:rPr>
              <w:t>可支持内存智能修复、内存故障预测隔离功能，提前识别内存CE错误并针对风险区域实施隔离操作，降低宕机率；（需提供第三方检测机构检测报告证明）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图形化展示部件温度</w:t>
            </w:r>
          </w:p>
        </w:tc>
        <w:tc>
          <w:tcPr>
            <w:tcW w:w="6154" w:type="dxa"/>
            <w:vAlign w:val="center"/>
          </w:tcPr>
          <w:p>
            <w:pPr>
              <w:rPr>
                <w:rFonts w:hint="eastAsia" w:ascii="宋体" w:hAnsi="宋体" w:cs="宋体"/>
                <w:kern w:val="0"/>
                <w:szCs w:val="21"/>
              </w:rPr>
            </w:pPr>
            <w:r>
              <w:rPr>
                <w:rFonts w:hint="eastAsia" w:ascii="宋体" w:hAnsi="宋体" w:cs="宋体"/>
                <w:kern w:val="0"/>
                <w:szCs w:val="21"/>
              </w:rPr>
              <w:t>服务器支持智能温度监控，具备支持以图形化形式展示各组件温度传感器的分布图，可直观体现服务器整体温感状态；（需提供第三方检测机构检测报告证明）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日志下载</w:t>
            </w:r>
          </w:p>
        </w:tc>
        <w:tc>
          <w:tcPr>
            <w:tcW w:w="6154" w:type="dxa"/>
            <w:vAlign w:val="center"/>
          </w:tcPr>
          <w:p>
            <w:pPr>
              <w:rPr>
                <w:rFonts w:hint="eastAsia" w:ascii="宋体" w:hAnsi="宋体" w:cs="宋体"/>
                <w:kern w:val="0"/>
                <w:szCs w:val="21"/>
              </w:rPr>
            </w:pPr>
            <w:r>
              <w:rPr>
                <w:rFonts w:hint="eastAsia" w:ascii="宋体" w:hAnsi="宋体" w:cs="宋体"/>
                <w:kern w:val="0"/>
                <w:szCs w:val="21"/>
              </w:rPr>
              <w:t>支持通过服务U盘下载服务器设备故障诊断日志；（需提供第三方检测机构检测报告证明）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稳定性</w:t>
            </w:r>
          </w:p>
        </w:tc>
        <w:tc>
          <w:tcPr>
            <w:tcW w:w="1455" w:type="dxa"/>
            <w:vAlign w:val="center"/>
          </w:tcPr>
          <w:p>
            <w:pPr>
              <w:widowControl/>
              <w:jc w:val="center"/>
              <w:rPr>
                <w:rFonts w:hint="eastAsia" w:ascii="宋体" w:hAnsi="宋体" w:cs="宋体"/>
                <w:kern w:val="0"/>
                <w:szCs w:val="21"/>
              </w:rPr>
            </w:pPr>
            <w:r>
              <w:rPr>
                <w:rFonts w:hint="eastAsia" w:ascii="宋体" w:hAnsi="宋体" w:cs="宋体"/>
                <w:kern w:val="0"/>
                <w:szCs w:val="21"/>
              </w:rPr>
              <w:t>运行温度</w:t>
            </w:r>
          </w:p>
        </w:tc>
        <w:tc>
          <w:tcPr>
            <w:tcW w:w="6154" w:type="dxa"/>
            <w:vAlign w:val="center"/>
          </w:tcPr>
          <w:p>
            <w:pPr>
              <w:widowControl/>
              <w:jc w:val="left"/>
              <w:rPr>
                <w:rFonts w:hint="eastAsia" w:ascii="宋体" w:hAnsi="宋体" w:cs="宋体"/>
                <w:kern w:val="0"/>
                <w:szCs w:val="21"/>
              </w:rPr>
            </w:pPr>
            <w:r>
              <w:rPr>
                <w:rFonts w:hint="eastAsia" w:ascii="宋体" w:hAnsi="宋体" w:cs="宋体"/>
                <w:kern w:val="0"/>
                <w:szCs w:val="21"/>
              </w:rPr>
              <w:t>工作环境温度支持5~50°C；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资质认证</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市场份额</w:t>
            </w:r>
          </w:p>
        </w:tc>
        <w:tc>
          <w:tcPr>
            <w:tcW w:w="6154" w:type="dxa"/>
            <w:vAlign w:val="center"/>
          </w:tcPr>
          <w:p>
            <w:pPr>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服务器市场厂商品牌知名度高，并提供第三方证明报告；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服务</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维保服务</w:t>
            </w:r>
          </w:p>
        </w:tc>
        <w:tc>
          <w:tcPr>
            <w:tcW w:w="6154" w:type="dxa"/>
            <w:vAlign w:val="center"/>
          </w:tcPr>
          <w:p>
            <w:pPr>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0" w:type="auto"/>
            <w:vMerge w:val="continue"/>
            <w:noWrap/>
            <w:vAlign w:val="center"/>
          </w:tcPr>
          <w:p>
            <w:pPr>
              <w:jc w:val="center"/>
              <w:rPr>
                <w:rFonts w:hint="eastAsia" w:ascii="宋体" w:hAnsi="宋体" w:cs="宋体"/>
                <w:kern w:val="0"/>
                <w:szCs w:val="21"/>
              </w:rPr>
            </w:pPr>
          </w:p>
        </w:tc>
        <w:tc>
          <w:tcPr>
            <w:tcW w:w="1455" w:type="dxa"/>
            <w:vAlign w:val="center"/>
          </w:tcPr>
          <w:p>
            <w:pPr>
              <w:widowControl/>
              <w:jc w:val="center"/>
              <w:rPr>
                <w:rFonts w:hint="eastAsia" w:ascii="宋体" w:hAnsi="宋体" w:cs="宋体"/>
                <w:kern w:val="0"/>
                <w:szCs w:val="21"/>
              </w:rPr>
            </w:pPr>
            <w:r>
              <w:rPr>
                <w:rFonts w:hint="eastAsia" w:ascii="宋体" w:hAnsi="宋体" w:cs="宋体"/>
                <w:kern w:val="0"/>
                <w:szCs w:val="21"/>
              </w:rPr>
              <w:t>增值服务</w:t>
            </w:r>
          </w:p>
        </w:tc>
        <w:tc>
          <w:tcPr>
            <w:tcW w:w="6154" w:type="dxa"/>
            <w:vAlign w:val="center"/>
          </w:tcPr>
          <w:p>
            <w:pPr>
              <w:widowControl/>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其它</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包装</w:t>
            </w:r>
          </w:p>
        </w:tc>
        <w:tc>
          <w:tcPr>
            <w:tcW w:w="6154" w:type="dxa"/>
            <w:vAlign w:val="center"/>
          </w:tcPr>
          <w:p>
            <w:pPr>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运输</w:t>
            </w:r>
          </w:p>
        </w:tc>
        <w:tc>
          <w:tcPr>
            <w:tcW w:w="6154" w:type="dxa"/>
            <w:vAlign w:val="center"/>
          </w:tcPr>
          <w:p>
            <w:pPr>
              <w:rPr>
                <w:rFonts w:hint="eastAsia" w:ascii="宋体" w:hAnsi="宋体" w:cs="宋体"/>
                <w:kern w:val="0"/>
                <w:szCs w:val="21"/>
              </w:rPr>
            </w:pPr>
            <w:r>
              <w:rPr>
                <w:rFonts w:hint="eastAsia" w:ascii="宋体" w:hAnsi="宋体" w:cs="宋体"/>
                <w:kern w:val="0"/>
                <w:szCs w:val="21"/>
              </w:rPr>
              <w:t>直接发货至最终用户(最终用户制定部署点，不仅限于一个地点)；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导轨</w:t>
            </w:r>
          </w:p>
        </w:tc>
        <w:tc>
          <w:tcPr>
            <w:tcW w:w="6154" w:type="dxa"/>
            <w:vAlign w:val="center"/>
          </w:tcPr>
          <w:p>
            <w:pPr>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授权</w:t>
            </w:r>
          </w:p>
        </w:tc>
        <w:tc>
          <w:tcPr>
            <w:tcW w:w="1455" w:type="dxa"/>
            <w:vAlign w:val="center"/>
          </w:tcPr>
          <w:p>
            <w:pPr>
              <w:jc w:val="center"/>
              <w:rPr>
                <w:rFonts w:hint="eastAsia" w:ascii="宋体" w:hAnsi="宋体" w:cs="宋体"/>
                <w:kern w:val="0"/>
                <w:szCs w:val="21"/>
              </w:rPr>
            </w:pPr>
            <w:r>
              <w:rPr>
                <w:rFonts w:hint="eastAsia" w:ascii="宋体" w:hAnsi="宋体" w:cs="宋体"/>
                <w:kern w:val="0"/>
                <w:szCs w:val="21"/>
              </w:rPr>
              <w:t>授权要求</w:t>
            </w:r>
          </w:p>
        </w:tc>
        <w:tc>
          <w:tcPr>
            <w:tcW w:w="6154" w:type="dxa"/>
            <w:vAlign w:val="center"/>
          </w:tcPr>
          <w:p>
            <w:pPr>
              <w:rPr>
                <w:rFonts w:hint="eastAsia" w:ascii="宋体" w:hAnsi="宋体" w:cs="宋体"/>
                <w:kern w:val="0"/>
                <w:szCs w:val="21"/>
              </w:rPr>
            </w:pPr>
            <w:r>
              <w:rPr>
                <w:rFonts w:hint="eastAsia"/>
                <w:kern w:val="0"/>
              </w:rPr>
              <w:t>投标人需提供拟投设备原厂商针对本项目的授权函及三年售后</w:t>
            </w:r>
            <w:r>
              <w:rPr>
                <w:kern w:val="0"/>
              </w:rPr>
              <w:t>服务</w:t>
            </w:r>
            <w:r>
              <w:rPr>
                <w:rFonts w:hint="eastAsia"/>
                <w:kern w:val="0"/>
              </w:rPr>
              <w:t>承诺函</w:t>
            </w:r>
            <w:r>
              <w:rPr>
                <w:rFonts w:hint="eastAsia"/>
              </w:rPr>
              <w:t>；</w:t>
            </w:r>
          </w:p>
        </w:tc>
      </w:tr>
    </w:tbl>
    <w:p>
      <w:pPr>
        <w:pStyle w:val="4"/>
        <w:rPr>
          <w:rFonts w:hint="eastAsia" w:ascii="宋体" w:hAnsi="宋体" w:cs="宋体"/>
          <w:szCs w:val="21"/>
        </w:rPr>
      </w:pPr>
    </w:p>
    <w:p>
      <w:pPr>
        <w:pStyle w:val="4"/>
        <w:ind w:firstLine="442"/>
        <w:rPr>
          <w:rFonts w:hint="eastAsia" w:ascii="宋体" w:hAnsi="宋体" w:cs="宋体"/>
          <w:szCs w:val="21"/>
        </w:rPr>
      </w:pPr>
      <w:r>
        <w:rPr>
          <w:rFonts w:hint="eastAsia" w:ascii="宋体" w:hAnsi="宋体" w:cs="宋体"/>
          <w:b/>
          <w:sz w:val="22"/>
          <w:szCs w:val="22"/>
        </w:rPr>
        <w:t>（3）云资源服务器3（12台）</w:t>
      </w:r>
    </w:p>
    <w:p>
      <w:pPr>
        <w:pStyle w:val="4"/>
        <w:rPr>
          <w:rFonts w:hint="eastAsia" w:ascii="宋体" w:hAnsi="宋体" w:cs="宋体"/>
          <w:szCs w:val="21"/>
        </w:rPr>
      </w:pP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1443"/>
        <w:gridCol w:w="6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b/>
                <w:bCs/>
                <w:kern w:val="0"/>
                <w:szCs w:val="21"/>
              </w:rPr>
            </w:pPr>
            <w:r>
              <w:rPr>
                <w:rFonts w:hint="eastAsia" w:ascii="宋体" w:hAnsi="宋体" w:cs="宋体"/>
                <w:b/>
                <w:bCs/>
                <w:kern w:val="0"/>
                <w:szCs w:val="21"/>
              </w:rPr>
              <w:t>类别</w:t>
            </w:r>
          </w:p>
        </w:tc>
        <w:tc>
          <w:tcPr>
            <w:tcW w:w="1443" w:type="dxa"/>
            <w:vAlign w:val="center"/>
          </w:tcPr>
          <w:p>
            <w:pPr>
              <w:jc w:val="center"/>
              <w:rPr>
                <w:rFonts w:hint="eastAsia" w:ascii="宋体" w:hAnsi="宋体" w:cs="宋体"/>
                <w:b/>
                <w:bCs/>
                <w:kern w:val="0"/>
                <w:szCs w:val="21"/>
              </w:rPr>
            </w:pPr>
            <w:r>
              <w:rPr>
                <w:rFonts w:hint="eastAsia" w:ascii="宋体" w:hAnsi="宋体" w:cs="宋体"/>
                <w:b/>
                <w:bCs/>
                <w:kern w:val="0"/>
                <w:szCs w:val="21"/>
              </w:rPr>
              <w:t>设备指标项</w:t>
            </w:r>
          </w:p>
        </w:tc>
        <w:tc>
          <w:tcPr>
            <w:tcW w:w="6166" w:type="dxa"/>
            <w:vAlign w:val="center"/>
          </w:tcPr>
          <w:p>
            <w:pPr>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品牌</w:t>
            </w:r>
          </w:p>
        </w:tc>
        <w:tc>
          <w:tcPr>
            <w:tcW w:w="0" w:type="auto"/>
            <w:gridSpan w:val="2"/>
            <w:vAlign w:val="center"/>
          </w:tcPr>
          <w:p>
            <w:pPr>
              <w:jc w:val="left"/>
              <w:rPr>
                <w:rFonts w:hint="eastAsia" w:ascii="宋体" w:hAnsi="宋体" w:cs="宋体"/>
                <w:kern w:val="0"/>
                <w:szCs w:val="21"/>
              </w:rPr>
            </w:pPr>
            <w:r>
              <w:rPr>
                <w:rFonts w:hint="eastAsia" w:ascii="宋体" w:hAnsi="宋体" w:cs="宋体"/>
                <w:kern w:val="0"/>
                <w:szCs w:val="21"/>
              </w:rPr>
              <w:t>本项目要求国产非OEM产品投标；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外观结构</w:t>
            </w:r>
          </w:p>
        </w:tc>
        <w:tc>
          <w:tcPr>
            <w:tcW w:w="1443" w:type="dxa"/>
            <w:vAlign w:val="center"/>
          </w:tcPr>
          <w:p>
            <w:pPr>
              <w:jc w:val="center"/>
              <w:rPr>
                <w:rFonts w:hint="eastAsia" w:ascii="宋体" w:hAnsi="宋体" w:cs="宋体"/>
                <w:b/>
                <w:bCs/>
                <w:kern w:val="0"/>
                <w:szCs w:val="21"/>
              </w:rPr>
            </w:pPr>
            <w:r>
              <w:rPr>
                <w:rFonts w:hint="eastAsia" w:ascii="宋体" w:hAnsi="宋体" w:cs="宋体"/>
                <w:kern w:val="0"/>
                <w:szCs w:val="21"/>
              </w:rPr>
              <w:t>类型</w:t>
            </w:r>
          </w:p>
        </w:tc>
        <w:tc>
          <w:tcPr>
            <w:tcW w:w="6166" w:type="dxa"/>
            <w:vAlign w:val="center"/>
          </w:tcPr>
          <w:p>
            <w:pPr>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处理器</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166" w:type="dxa"/>
            <w:vAlign w:val="center"/>
          </w:tcPr>
          <w:p>
            <w:pPr>
              <w:rPr>
                <w:rFonts w:hint="eastAsia" w:ascii="宋体" w:hAnsi="宋体" w:cs="宋体"/>
                <w:kern w:val="0"/>
                <w:szCs w:val="21"/>
              </w:rPr>
            </w:pPr>
            <w:r>
              <w:rPr>
                <w:rFonts w:hint="eastAsia" w:ascii="宋体" w:hAnsi="宋体" w:cs="宋体"/>
                <w:kern w:val="0"/>
                <w:szCs w:val="21"/>
              </w:rPr>
              <w:t>不低于英特尔®至强®可扩展系列，≥2颗处理器，支持铂金、金牌、银牌、铜牌全系列级别，单颗多达64个核心，最大功率385W；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166" w:type="dxa"/>
            <w:vAlign w:val="center"/>
          </w:tcPr>
          <w:p>
            <w:pPr>
              <w:rPr>
                <w:rFonts w:hint="eastAsia" w:ascii="宋体" w:hAnsi="宋体" w:cs="宋体"/>
                <w:kern w:val="0"/>
                <w:szCs w:val="21"/>
              </w:rPr>
            </w:pPr>
            <w:r>
              <w:rPr>
                <w:rFonts w:hint="eastAsia" w:ascii="宋体" w:hAnsi="宋体" w:cs="宋体"/>
                <w:kern w:val="0"/>
                <w:szCs w:val="21"/>
              </w:rPr>
              <w:t>CPU个数≥2颗，CPU型号为英特尔至强金牌6</w:t>
            </w:r>
            <w:r>
              <w:rPr>
                <w:rFonts w:ascii="宋体" w:hAnsi="宋体" w:cs="宋体"/>
                <w:kern w:val="0"/>
                <w:szCs w:val="21"/>
              </w:rPr>
              <w:t>5</w:t>
            </w:r>
            <w:r>
              <w:rPr>
                <w:rFonts w:hint="eastAsia" w:ascii="宋体" w:hAnsi="宋体" w:cs="宋体"/>
                <w:kern w:val="0"/>
                <w:szCs w:val="21"/>
              </w:rPr>
              <w:t>30或更高级别，每颗CPU≥32核，2.1GHz；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内存</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166" w:type="dxa"/>
            <w:vAlign w:val="center"/>
          </w:tcPr>
          <w:p>
            <w:pPr>
              <w:rPr>
                <w:rFonts w:hint="eastAsia" w:ascii="宋体" w:hAnsi="宋体" w:cs="宋体"/>
                <w:kern w:val="0"/>
                <w:szCs w:val="21"/>
              </w:rPr>
            </w:pPr>
            <w:r>
              <w:rPr>
                <w:rFonts w:hint="eastAsia" w:ascii="宋体" w:hAnsi="宋体" w:cs="宋体"/>
                <w:kern w:val="0"/>
                <w:szCs w:val="21"/>
              </w:rPr>
              <w:t>支持多达32个DDR5内存槽位，速率最高支持5600MT/s，支持RDIMM或LRDIMM，双路处理器最大容量8TB；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166" w:type="dxa"/>
            <w:vAlign w:val="center"/>
          </w:tcPr>
          <w:p>
            <w:pPr>
              <w:rPr>
                <w:rFonts w:hint="eastAsia" w:ascii="宋体" w:hAnsi="宋体" w:cs="宋体"/>
                <w:kern w:val="0"/>
                <w:szCs w:val="21"/>
              </w:rPr>
            </w:pPr>
            <w:r>
              <w:rPr>
                <w:rFonts w:hint="eastAsia" w:ascii="宋体" w:hAnsi="宋体" w:cs="宋体"/>
                <w:kern w:val="0"/>
                <w:szCs w:val="21"/>
              </w:rPr>
              <w:t>≥12×</w:t>
            </w:r>
            <w:r>
              <w:rPr>
                <w:rFonts w:ascii="宋体" w:hAnsi="宋体" w:cs="宋体"/>
                <w:kern w:val="0"/>
                <w:szCs w:val="21"/>
              </w:rPr>
              <w:t>64</w:t>
            </w:r>
            <w:r>
              <w:rPr>
                <w:rFonts w:hint="eastAsia" w:ascii="宋体" w:hAnsi="宋体" w:cs="宋体"/>
                <w:kern w:val="0"/>
                <w:szCs w:val="21"/>
              </w:rPr>
              <w:t>GB DDR5，频率5600MT/s，单条容量</w:t>
            </w:r>
            <w:r>
              <w:rPr>
                <w:rFonts w:ascii="宋体" w:hAnsi="宋体" w:cs="宋体"/>
                <w:kern w:val="0"/>
                <w:szCs w:val="21"/>
              </w:rPr>
              <w:t>64</w:t>
            </w:r>
            <w:r>
              <w:rPr>
                <w:rFonts w:hint="eastAsia" w:ascii="宋体" w:hAnsi="宋体" w:cs="宋体"/>
                <w:kern w:val="0"/>
                <w:szCs w:val="21"/>
              </w:rPr>
              <w:t>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硬盘</w:t>
            </w:r>
          </w:p>
        </w:tc>
        <w:tc>
          <w:tcPr>
            <w:tcW w:w="1443" w:type="dxa"/>
            <w:vAlign w:val="center"/>
          </w:tcPr>
          <w:p>
            <w:pPr>
              <w:rPr>
                <w:rFonts w:hint="eastAsia" w:ascii="宋体" w:hAnsi="宋体" w:cs="宋体"/>
                <w:kern w:val="0"/>
                <w:szCs w:val="21"/>
              </w:rPr>
            </w:pPr>
            <w:r>
              <w:rPr>
                <w:rFonts w:hint="eastAsia" w:ascii="宋体" w:hAnsi="宋体" w:cs="宋体"/>
                <w:kern w:val="0"/>
                <w:szCs w:val="21"/>
              </w:rPr>
              <w:t>支持能力</w:t>
            </w:r>
          </w:p>
        </w:tc>
        <w:tc>
          <w:tcPr>
            <w:tcW w:w="6166" w:type="dxa"/>
            <w:vAlign w:val="center"/>
          </w:tcPr>
          <w:p>
            <w:pPr>
              <w:rPr>
                <w:rFonts w:hint="eastAsia" w:ascii="宋体" w:hAnsi="宋体" w:cs="宋体"/>
                <w:kern w:val="0"/>
                <w:szCs w:val="21"/>
              </w:rPr>
            </w:pPr>
            <w:r>
              <w:rPr>
                <w:rFonts w:hint="eastAsia" w:ascii="宋体" w:hAnsi="宋体" w:cs="宋体"/>
                <w:kern w:val="0"/>
                <w:szCs w:val="21"/>
              </w:rPr>
              <w:t>≥12个3.5英寸SAS/SATA/SSD硬盘槽位，支持操作系统安装；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166" w:type="dxa"/>
            <w:vAlign w:val="center"/>
          </w:tcPr>
          <w:p>
            <w:pPr>
              <w:rPr>
                <w:rFonts w:hint="eastAsia" w:ascii="宋体" w:hAnsi="宋体" w:cs="宋体"/>
                <w:kern w:val="0"/>
                <w:szCs w:val="21"/>
              </w:rPr>
            </w:pPr>
            <w:r>
              <w:rPr>
                <w:rFonts w:hint="eastAsia" w:ascii="宋体" w:hAnsi="宋体" w:cs="宋体"/>
                <w:kern w:val="0"/>
                <w:szCs w:val="21"/>
              </w:rPr>
              <w:t xml:space="preserve">硬盘：配置不少于2块480GB 6G SATA </w:t>
            </w:r>
            <w:r>
              <w:rPr>
                <w:rFonts w:ascii="宋体" w:hAnsi="宋体" w:cs="宋体"/>
                <w:kern w:val="0"/>
                <w:szCs w:val="21"/>
              </w:rPr>
              <w:t>3</w:t>
            </w:r>
            <w:r>
              <w:rPr>
                <w:rFonts w:hint="eastAsia" w:ascii="宋体" w:hAnsi="宋体" w:cs="宋体"/>
                <w:kern w:val="0"/>
                <w:szCs w:val="21"/>
              </w:rPr>
              <w:t>.5in SSD通用硬盘</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阵列控制器</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Raid支持</w:t>
            </w:r>
          </w:p>
        </w:tc>
        <w:tc>
          <w:tcPr>
            <w:tcW w:w="6166" w:type="dxa"/>
            <w:vAlign w:val="center"/>
          </w:tcPr>
          <w:p>
            <w:pPr>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可靠性</w:t>
            </w:r>
          </w:p>
        </w:tc>
        <w:tc>
          <w:tcPr>
            <w:tcW w:w="6166" w:type="dxa"/>
            <w:vAlign w:val="center"/>
          </w:tcPr>
          <w:p>
            <w:pPr>
              <w:rPr>
                <w:rFonts w:hint="eastAsia" w:ascii="宋体" w:hAnsi="宋体" w:cs="宋体"/>
                <w:kern w:val="0"/>
                <w:szCs w:val="21"/>
              </w:rPr>
            </w:pPr>
            <w:r>
              <w:rPr>
                <w:rFonts w:hint="eastAsia" w:ascii="宋体" w:hAnsi="宋体" w:cs="宋体"/>
                <w:kern w:val="0"/>
                <w:szCs w:val="21"/>
              </w:rPr>
              <w:t>支持掉电保护功能；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b/>
                <w:bCs/>
                <w:kern w:val="0"/>
                <w:szCs w:val="21"/>
              </w:rPr>
            </w:pPr>
            <w:r>
              <w:rPr>
                <w:rFonts w:hint="eastAsia" w:ascii="宋体" w:hAnsi="宋体" w:cs="宋体"/>
                <w:kern w:val="0"/>
                <w:szCs w:val="21"/>
              </w:rPr>
              <w:t>HBA卡</w:t>
            </w:r>
          </w:p>
        </w:tc>
        <w:tc>
          <w:tcPr>
            <w:tcW w:w="6166" w:type="dxa"/>
            <w:vAlign w:val="center"/>
          </w:tcPr>
          <w:p>
            <w:pPr>
              <w:rPr>
                <w:rFonts w:hint="eastAsia" w:ascii="宋体" w:hAnsi="宋体" w:cs="宋体"/>
                <w:kern w:val="0"/>
                <w:szCs w:val="21"/>
              </w:rPr>
            </w:pPr>
            <w:r>
              <w:rPr>
                <w:rFonts w:hint="eastAsia" w:ascii="宋体" w:hAnsi="宋体" w:cs="宋体"/>
                <w:kern w:val="0"/>
                <w:szCs w:val="21"/>
              </w:rPr>
              <w:t>≥2端口16GB FC HBA卡（含模块）.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Raid缓存</w:t>
            </w:r>
          </w:p>
        </w:tc>
        <w:tc>
          <w:tcPr>
            <w:tcW w:w="6166"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PCI-E</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扩展能力</w:t>
            </w:r>
          </w:p>
        </w:tc>
        <w:tc>
          <w:tcPr>
            <w:tcW w:w="6166" w:type="dxa"/>
            <w:vAlign w:val="center"/>
          </w:tcPr>
          <w:p>
            <w:pPr>
              <w:rPr>
                <w:rFonts w:hint="eastAsia" w:ascii="宋体" w:hAnsi="宋体" w:cs="宋体"/>
                <w:kern w:val="0"/>
                <w:szCs w:val="21"/>
              </w:rPr>
            </w:pPr>
            <w:r>
              <w:rPr>
                <w:rFonts w:hint="eastAsia" w:ascii="宋体" w:hAnsi="宋体" w:cs="宋体"/>
                <w:kern w:val="0"/>
                <w:szCs w:val="21"/>
              </w:rPr>
              <w:t>PCI-E I/O插槽总数：≥1</w:t>
            </w:r>
            <w:r>
              <w:rPr>
                <w:rFonts w:ascii="宋体" w:hAnsi="宋体" w:cs="宋体"/>
                <w:kern w:val="0"/>
                <w:szCs w:val="21"/>
              </w:rPr>
              <w:t>3</w:t>
            </w:r>
            <w:r>
              <w:rPr>
                <w:rFonts w:hint="eastAsia" w:ascii="宋体" w:hAnsi="宋体" w:cs="宋体"/>
                <w:kern w:val="0"/>
                <w:szCs w:val="21"/>
              </w:rPr>
              <w:t>个，提供所投设备商官网截图证明及链接；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网卡</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166" w:type="dxa"/>
            <w:vAlign w:val="center"/>
          </w:tcPr>
          <w:p>
            <w:pPr>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Merge w:val="restar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166" w:type="dxa"/>
            <w:vAlign w:val="center"/>
          </w:tcPr>
          <w:p>
            <w:pPr>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Merge w:val="continue"/>
            <w:vAlign w:val="center"/>
          </w:tcPr>
          <w:p>
            <w:pPr>
              <w:jc w:val="center"/>
              <w:rPr>
                <w:rFonts w:hint="eastAsia" w:ascii="宋体" w:hAnsi="宋体" w:cs="宋体"/>
                <w:kern w:val="0"/>
                <w:szCs w:val="21"/>
              </w:rPr>
            </w:pPr>
          </w:p>
        </w:tc>
        <w:tc>
          <w:tcPr>
            <w:tcW w:w="6166" w:type="dxa"/>
            <w:vAlign w:val="center"/>
          </w:tcPr>
          <w:p>
            <w:pPr>
              <w:rPr>
                <w:rFonts w:hint="eastAsia" w:ascii="宋体" w:hAnsi="宋体" w:cs="宋体"/>
                <w:kern w:val="0"/>
                <w:szCs w:val="21"/>
              </w:rPr>
            </w:pPr>
            <w:r>
              <w:rPr>
                <w:rFonts w:hint="eastAsia" w:ascii="宋体" w:hAnsi="宋体" w:cs="宋体"/>
                <w:kern w:val="0"/>
                <w:szCs w:val="21"/>
              </w:rPr>
              <w:t>≥4 个10Gb光口，含4个多模模块；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szCs w:val="21"/>
              </w:rPr>
              <w:t>GPU卡</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166" w:type="dxa"/>
            <w:vAlign w:val="center"/>
          </w:tcPr>
          <w:p>
            <w:pPr>
              <w:adjustRightInd w:val="0"/>
              <w:snapToGrid w:val="0"/>
              <w:rPr>
                <w:rFonts w:hint="eastAsia" w:ascii="宋体" w:hAnsi="宋体" w:cs="宋体"/>
                <w:kern w:val="0"/>
                <w:szCs w:val="21"/>
              </w:rPr>
            </w:pPr>
            <w:r>
              <w:rPr>
                <w:rFonts w:hint="eastAsia" w:ascii="宋体" w:hAnsi="宋体" w:cs="宋体"/>
                <w:kern w:val="0"/>
                <w:szCs w:val="21"/>
              </w:rPr>
              <w:t>支持</w:t>
            </w:r>
            <w:r>
              <w:rPr>
                <w:rFonts w:hint="eastAsia" w:ascii="宋体" w:hAnsi="宋体" w:cs="宋体"/>
                <w:szCs w:val="21"/>
                <w:shd w:val="clear" w:color="auto" w:fill="FFFFFF"/>
              </w:rPr>
              <w:t>双宽GPU卡或单宽GPU卡</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USB接口</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个数</w:t>
            </w:r>
          </w:p>
        </w:tc>
        <w:tc>
          <w:tcPr>
            <w:tcW w:w="6166" w:type="dxa"/>
            <w:vAlign w:val="center"/>
          </w:tcPr>
          <w:p>
            <w:pPr>
              <w:rPr>
                <w:rFonts w:hint="eastAsia" w:ascii="宋体" w:hAnsi="宋体" w:cs="宋体"/>
                <w:kern w:val="0"/>
                <w:szCs w:val="21"/>
              </w:rPr>
            </w:pPr>
            <w:r>
              <w:rPr>
                <w:rFonts w:hint="eastAsia" w:ascii="宋体" w:hAnsi="宋体" w:cs="宋体"/>
                <w:kern w:val="0"/>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电源</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166" w:type="dxa"/>
            <w:vAlign w:val="center"/>
          </w:tcPr>
          <w:p>
            <w:pPr>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widowControl/>
              <w:jc w:val="center"/>
              <w:rPr>
                <w:rFonts w:hint="eastAsia" w:ascii="宋体" w:hAnsi="宋体" w:cs="宋体"/>
                <w:kern w:val="0"/>
                <w:szCs w:val="21"/>
              </w:rPr>
            </w:pPr>
            <w:r>
              <w:rPr>
                <w:rFonts w:hint="eastAsia" w:ascii="宋体" w:hAnsi="宋体" w:cs="宋体"/>
                <w:kern w:val="0"/>
                <w:szCs w:val="21"/>
              </w:rPr>
              <w:t>节能</w:t>
            </w:r>
          </w:p>
        </w:tc>
        <w:tc>
          <w:tcPr>
            <w:tcW w:w="6166" w:type="dxa"/>
            <w:vAlign w:val="center"/>
          </w:tcPr>
          <w:p>
            <w:pPr>
              <w:widowControl/>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166" w:type="dxa"/>
            <w:vAlign w:val="center"/>
          </w:tcPr>
          <w:p>
            <w:pPr>
              <w:rPr>
                <w:rFonts w:hint="eastAsia" w:ascii="宋体" w:hAnsi="宋体" w:cs="宋体"/>
                <w:kern w:val="0"/>
                <w:szCs w:val="21"/>
              </w:rPr>
            </w:pPr>
            <w:r>
              <w:rPr>
                <w:rFonts w:hint="eastAsia" w:ascii="宋体" w:hAnsi="宋体" w:cs="宋体"/>
                <w:kern w:val="0"/>
                <w:szCs w:val="21"/>
              </w:rPr>
              <w:t>≥2个冗余热插拔电源，≥2个冗余热拔插散热风扇；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管理功能</w:t>
            </w:r>
          </w:p>
        </w:tc>
        <w:tc>
          <w:tcPr>
            <w:tcW w:w="1443"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带外升级</w:t>
            </w:r>
          </w:p>
        </w:tc>
        <w:tc>
          <w:tcPr>
            <w:tcW w:w="6166" w:type="dxa"/>
            <w:vAlign w:val="center"/>
          </w:tcPr>
          <w:p>
            <w:pPr>
              <w:rPr>
                <w:rFonts w:hint="eastAsia" w:ascii="宋体" w:hAnsi="宋体" w:cs="宋体"/>
                <w:kern w:val="0"/>
                <w:szCs w:val="21"/>
              </w:rPr>
            </w:pPr>
            <w:r>
              <w:rPr>
                <w:rFonts w:hint="eastAsia" w:ascii="宋体" w:hAnsi="宋体" w:cs="宋体"/>
                <w:kern w:val="0"/>
                <w:szCs w:val="21"/>
              </w:rPr>
              <w:t>不依赖OS，在BMC不重启的情况下，可带外升级BMC版本，可动态叠加新业务并解决BMC故障；（需提供第三方检测机构检测报告证明）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安全面板</w:t>
            </w:r>
          </w:p>
        </w:tc>
        <w:tc>
          <w:tcPr>
            <w:tcW w:w="6166" w:type="dxa"/>
            <w:vAlign w:val="center"/>
          </w:tcPr>
          <w:p>
            <w:pPr>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tc>
        <w:tc>
          <w:tcPr>
            <w:tcW w:w="1443" w:type="dxa"/>
            <w:vAlign w:val="center"/>
          </w:tcPr>
          <w:p>
            <w:r>
              <w:rPr>
                <w:rFonts w:hint="eastAsia"/>
              </w:rPr>
              <w:t>内存智能修复</w:t>
            </w:r>
          </w:p>
        </w:tc>
        <w:tc>
          <w:tcPr>
            <w:tcW w:w="6166" w:type="dxa"/>
            <w:vAlign w:val="center"/>
          </w:tcPr>
          <w:p>
            <w:r>
              <w:rPr>
                <w:rFonts w:hint="eastAsia" w:ascii="宋体" w:hAnsi="宋体" w:cs="宋体"/>
                <w:kern w:val="0"/>
                <w:szCs w:val="21"/>
              </w:rPr>
              <w:t>可支持内存智能修复、内存故障预测隔离功能，提前识别内存CE错误并针对风险区域实施隔离操作，降低宕机率；（需提供第三方检测机构检测报告证明）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图形化展示部件温度</w:t>
            </w:r>
          </w:p>
        </w:tc>
        <w:tc>
          <w:tcPr>
            <w:tcW w:w="6166" w:type="dxa"/>
            <w:vAlign w:val="center"/>
          </w:tcPr>
          <w:p>
            <w:pPr>
              <w:rPr>
                <w:rFonts w:hint="eastAsia" w:ascii="宋体" w:hAnsi="宋体" w:cs="宋体"/>
                <w:kern w:val="0"/>
                <w:szCs w:val="21"/>
              </w:rPr>
            </w:pPr>
            <w:r>
              <w:rPr>
                <w:rFonts w:hint="eastAsia" w:ascii="宋体" w:hAnsi="宋体" w:cs="宋体"/>
                <w:kern w:val="0"/>
                <w:szCs w:val="21"/>
              </w:rPr>
              <w:t>服务器支持智能温度监控，具备支持以图形化形式展示各组件温度传感器的分布图，可直观体现服务器整体温感状态；（需提供第三方检测机构检测报告证明）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日志下载</w:t>
            </w:r>
          </w:p>
        </w:tc>
        <w:tc>
          <w:tcPr>
            <w:tcW w:w="6166" w:type="dxa"/>
            <w:vAlign w:val="center"/>
          </w:tcPr>
          <w:p>
            <w:pPr>
              <w:rPr>
                <w:rFonts w:hint="eastAsia" w:ascii="宋体" w:hAnsi="宋体" w:cs="宋体"/>
                <w:kern w:val="0"/>
                <w:szCs w:val="21"/>
              </w:rPr>
            </w:pPr>
            <w:r>
              <w:rPr>
                <w:rFonts w:hint="eastAsia" w:ascii="宋体" w:hAnsi="宋体" w:cs="宋体"/>
                <w:kern w:val="0"/>
                <w:szCs w:val="21"/>
              </w:rPr>
              <w:t>支持通过服务U盘下载服务器设备故障诊断日志；（需提供第三方检测机构检测报告证明）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稳定性</w:t>
            </w:r>
          </w:p>
        </w:tc>
        <w:tc>
          <w:tcPr>
            <w:tcW w:w="1443" w:type="dxa"/>
            <w:vAlign w:val="center"/>
          </w:tcPr>
          <w:p>
            <w:pPr>
              <w:widowControl/>
              <w:jc w:val="center"/>
              <w:rPr>
                <w:rFonts w:hint="eastAsia" w:ascii="宋体" w:hAnsi="宋体" w:cs="宋体"/>
                <w:kern w:val="0"/>
                <w:szCs w:val="21"/>
              </w:rPr>
            </w:pPr>
            <w:r>
              <w:rPr>
                <w:rFonts w:hint="eastAsia" w:ascii="宋体" w:hAnsi="宋体" w:cs="宋体"/>
                <w:kern w:val="0"/>
                <w:szCs w:val="21"/>
              </w:rPr>
              <w:t>运行温度</w:t>
            </w:r>
          </w:p>
        </w:tc>
        <w:tc>
          <w:tcPr>
            <w:tcW w:w="6166" w:type="dxa"/>
            <w:vAlign w:val="center"/>
          </w:tcPr>
          <w:p>
            <w:pPr>
              <w:widowControl/>
              <w:jc w:val="left"/>
              <w:rPr>
                <w:rFonts w:hint="eastAsia" w:ascii="宋体" w:hAnsi="宋体" w:cs="宋体"/>
                <w:kern w:val="0"/>
                <w:szCs w:val="21"/>
              </w:rPr>
            </w:pPr>
            <w:r>
              <w:rPr>
                <w:rFonts w:hint="eastAsia" w:ascii="宋体" w:hAnsi="宋体" w:cs="宋体"/>
                <w:kern w:val="0"/>
                <w:szCs w:val="21"/>
              </w:rPr>
              <w:t>工作环境温度支持5~50°C；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资质认证</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市场份额</w:t>
            </w:r>
          </w:p>
        </w:tc>
        <w:tc>
          <w:tcPr>
            <w:tcW w:w="6166" w:type="dxa"/>
            <w:vAlign w:val="center"/>
          </w:tcPr>
          <w:p>
            <w:pPr>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服务器市场厂商品牌知名度高，并提供第三方证明报告；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服务</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维保服务</w:t>
            </w:r>
          </w:p>
        </w:tc>
        <w:tc>
          <w:tcPr>
            <w:tcW w:w="6166" w:type="dxa"/>
            <w:vAlign w:val="center"/>
          </w:tcPr>
          <w:p>
            <w:pPr>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0" w:type="auto"/>
            <w:vMerge w:val="continue"/>
            <w:noWrap/>
            <w:vAlign w:val="center"/>
          </w:tcPr>
          <w:p>
            <w:pPr>
              <w:jc w:val="center"/>
              <w:rPr>
                <w:rFonts w:hint="eastAsia" w:ascii="宋体" w:hAnsi="宋体" w:cs="宋体"/>
                <w:kern w:val="0"/>
                <w:szCs w:val="21"/>
              </w:rPr>
            </w:pPr>
          </w:p>
        </w:tc>
        <w:tc>
          <w:tcPr>
            <w:tcW w:w="1443" w:type="dxa"/>
            <w:vAlign w:val="center"/>
          </w:tcPr>
          <w:p>
            <w:pPr>
              <w:widowControl/>
              <w:jc w:val="center"/>
              <w:rPr>
                <w:rFonts w:hint="eastAsia" w:ascii="宋体" w:hAnsi="宋体" w:cs="宋体"/>
                <w:kern w:val="0"/>
                <w:szCs w:val="21"/>
              </w:rPr>
            </w:pPr>
            <w:r>
              <w:rPr>
                <w:rFonts w:hint="eastAsia" w:ascii="宋体" w:hAnsi="宋体" w:cs="宋体"/>
                <w:kern w:val="0"/>
                <w:szCs w:val="21"/>
              </w:rPr>
              <w:t>增值服务</w:t>
            </w:r>
          </w:p>
        </w:tc>
        <w:tc>
          <w:tcPr>
            <w:tcW w:w="6166" w:type="dxa"/>
            <w:vAlign w:val="center"/>
          </w:tcPr>
          <w:p>
            <w:pPr>
              <w:widowControl/>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其它</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包装</w:t>
            </w:r>
          </w:p>
        </w:tc>
        <w:tc>
          <w:tcPr>
            <w:tcW w:w="6166" w:type="dxa"/>
            <w:vAlign w:val="center"/>
          </w:tcPr>
          <w:p>
            <w:pPr>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运输</w:t>
            </w:r>
          </w:p>
        </w:tc>
        <w:tc>
          <w:tcPr>
            <w:tcW w:w="6166" w:type="dxa"/>
            <w:vAlign w:val="center"/>
          </w:tcPr>
          <w:p>
            <w:pPr>
              <w:rPr>
                <w:rFonts w:hint="eastAsia" w:ascii="宋体" w:hAnsi="宋体" w:cs="宋体"/>
                <w:kern w:val="0"/>
                <w:szCs w:val="21"/>
              </w:rPr>
            </w:pPr>
            <w:r>
              <w:rPr>
                <w:rFonts w:hint="eastAsia" w:ascii="宋体" w:hAnsi="宋体" w:cs="宋体"/>
                <w:kern w:val="0"/>
                <w:szCs w:val="21"/>
              </w:rPr>
              <w:t>直接发货至最终用户(最终用户制定部署点，不仅限于一个地点)；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导轨</w:t>
            </w:r>
          </w:p>
        </w:tc>
        <w:tc>
          <w:tcPr>
            <w:tcW w:w="6166" w:type="dxa"/>
            <w:vAlign w:val="center"/>
          </w:tcPr>
          <w:p>
            <w:pPr>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授权</w:t>
            </w:r>
          </w:p>
        </w:tc>
        <w:tc>
          <w:tcPr>
            <w:tcW w:w="1443" w:type="dxa"/>
            <w:vAlign w:val="center"/>
          </w:tcPr>
          <w:p>
            <w:pPr>
              <w:jc w:val="center"/>
              <w:rPr>
                <w:rFonts w:hint="eastAsia" w:ascii="宋体" w:hAnsi="宋体" w:cs="宋体"/>
                <w:kern w:val="0"/>
                <w:szCs w:val="21"/>
              </w:rPr>
            </w:pPr>
            <w:r>
              <w:rPr>
                <w:rFonts w:hint="eastAsia" w:ascii="宋体" w:hAnsi="宋体" w:cs="宋体"/>
                <w:kern w:val="0"/>
                <w:szCs w:val="21"/>
              </w:rPr>
              <w:t>授权要求</w:t>
            </w:r>
          </w:p>
        </w:tc>
        <w:tc>
          <w:tcPr>
            <w:tcW w:w="6166" w:type="dxa"/>
            <w:vAlign w:val="center"/>
          </w:tcPr>
          <w:p>
            <w:pPr>
              <w:rPr>
                <w:rFonts w:hint="eastAsia" w:ascii="宋体" w:hAnsi="宋体" w:cs="宋体"/>
                <w:kern w:val="0"/>
                <w:szCs w:val="21"/>
              </w:rPr>
            </w:pPr>
            <w:r>
              <w:rPr>
                <w:rFonts w:hint="eastAsia"/>
                <w:kern w:val="0"/>
              </w:rPr>
              <w:t>投标人需提供拟投设备原厂商针对本项目的授权函及三年售后</w:t>
            </w:r>
            <w:r>
              <w:rPr>
                <w:kern w:val="0"/>
              </w:rPr>
              <w:t>服务</w:t>
            </w:r>
            <w:r>
              <w:rPr>
                <w:rFonts w:hint="eastAsia"/>
                <w:kern w:val="0"/>
              </w:rPr>
              <w:t>承诺函；</w:t>
            </w:r>
          </w:p>
        </w:tc>
      </w:tr>
    </w:tbl>
    <w:p>
      <w:pPr>
        <w:pStyle w:val="4"/>
        <w:rPr>
          <w:rFonts w:hint="eastAsia" w:ascii="宋体" w:hAnsi="宋体" w:cs="宋体"/>
          <w:szCs w:val="21"/>
        </w:rPr>
      </w:pPr>
    </w:p>
    <w:p>
      <w:pPr>
        <w:pStyle w:val="4"/>
        <w:rPr>
          <w:rFonts w:hint="eastAsia" w:ascii="宋体" w:hAnsi="宋体" w:cs="宋体"/>
          <w:szCs w:val="21"/>
        </w:rPr>
      </w:pPr>
    </w:p>
    <w:p>
      <w:pPr>
        <w:shd w:val="clear" w:color="auto" w:fill="FFFFFF"/>
        <w:tabs>
          <w:tab w:val="left" w:pos="2908"/>
        </w:tabs>
        <w:spacing w:line="360" w:lineRule="auto"/>
        <w:ind w:firstLine="391" w:firstLineChars="177"/>
        <w:jc w:val="left"/>
        <w:rPr>
          <w:rFonts w:hint="eastAsia" w:ascii="宋体" w:hAnsi="宋体" w:cs="宋体"/>
          <w:b/>
          <w:sz w:val="22"/>
          <w:szCs w:val="22"/>
        </w:rPr>
      </w:pPr>
      <w:r>
        <w:rPr>
          <w:rFonts w:hint="eastAsia" w:ascii="宋体" w:hAnsi="宋体" w:cs="宋体"/>
          <w:b/>
          <w:sz w:val="22"/>
          <w:szCs w:val="22"/>
        </w:rPr>
        <w:t>（4）云资源服务器4（3台）</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1427"/>
        <w:gridCol w:w="6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spacing w:after="120"/>
              <w:jc w:val="center"/>
              <w:rPr>
                <w:rFonts w:hint="eastAsia" w:ascii="宋体" w:hAnsi="宋体" w:cs="宋体"/>
                <w:b/>
                <w:bCs/>
                <w:kern w:val="0"/>
                <w:szCs w:val="21"/>
              </w:rPr>
            </w:pPr>
            <w:r>
              <w:rPr>
                <w:rFonts w:hint="eastAsia" w:ascii="宋体" w:hAnsi="宋体" w:cs="宋体"/>
                <w:b/>
                <w:bCs/>
                <w:kern w:val="0"/>
                <w:szCs w:val="21"/>
              </w:rPr>
              <w:t>类别</w:t>
            </w:r>
          </w:p>
        </w:tc>
        <w:tc>
          <w:tcPr>
            <w:tcW w:w="1427" w:type="dxa"/>
            <w:vAlign w:val="center"/>
          </w:tcPr>
          <w:p>
            <w:pPr>
              <w:spacing w:after="120"/>
              <w:jc w:val="center"/>
              <w:rPr>
                <w:rFonts w:hint="eastAsia" w:ascii="宋体" w:hAnsi="宋体" w:cs="宋体"/>
                <w:b/>
                <w:bCs/>
                <w:kern w:val="0"/>
                <w:szCs w:val="21"/>
              </w:rPr>
            </w:pPr>
            <w:r>
              <w:rPr>
                <w:rFonts w:hint="eastAsia" w:ascii="宋体" w:hAnsi="宋体" w:cs="宋体"/>
                <w:b/>
                <w:bCs/>
                <w:kern w:val="0"/>
                <w:szCs w:val="21"/>
              </w:rPr>
              <w:t>设备指标项</w:t>
            </w:r>
          </w:p>
        </w:tc>
        <w:tc>
          <w:tcPr>
            <w:tcW w:w="6179" w:type="dxa"/>
            <w:vAlign w:val="center"/>
          </w:tcPr>
          <w:p>
            <w:pPr>
              <w:spacing w:after="120"/>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spacing w:after="120"/>
              <w:jc w:val="center"/>
              <w:rPr>
                <w:rFonts w:hint="eastAsia" w:ascii="宋体" w:hAnsi="宋体" w:cs="宋体"/>
                <w:kern w:val="0"/>
                <w:szCs w:val="21"/>
              </w:rPr>
            </w:pPr>
            <w:r>
              <w:rPr>
                <w:rFonts w:hint="eastAsia" w:ascii="宋体" w:hAnsi="宋体" w:cs="宋体"/>
                <w:kern w:val="0"/>
                <w:szCs w:val="21"/>
              </w:rPr>
              <w:t>品牌</w:t>
            </w:r>
          </w:p>
        </w:tc>
        <w:tc>
          <w:tcPr>
            <w:tcW w:w="0" w:type="auto"/>
            <w:gridSpan w:val="2"/>
            <w:vAlign w:val="center"/>
          </w:tcPr>
          <w:p>
            <w:pPr>
              <w:spacing w:after="120"/>
              <w:jc w:val="left"/>
              <w:rPr>
                <w:rFonts w:hint="eastAsia" w:ascii="宋体" w:hAnsi="宋体" w:cs="宋体"/>
                <w:kern w:val="0"/>
                <w:szCs w:val="21"/>
              </w:rPr>
            </w:pPr>
            <w:r>
              <w:rPr>
                <w:rFonts w:hint="eastAsia" w:ascii="宋体" w:hAnsi="宋体" w:cs="宋体"/>
                <w:kern w:val="0"/>
                <w:szCs w:val="21"/>
              </w:rPr>
              <w:t>本项目要求国产非OEM产品响应；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0" w:type="auto"/>
            <w:noWrap/>
            <w:vAlign w:val="center"/>
          </w:tcPr>
          <w:p>
            <w:pPr>
              <w:spacing w:after="120"/>
              <w:jc w:val="center"/>
              <w:rPr>
                <w:rFonts w:hint="eastAsia" w:ascii="宋体" w:hAnsi="宋体" w:cs="宋体"/>
                <w:kern w:val="0"/>
                <w:szCs w:val="21"/>
              </w:rPr>
            </w:pPr>
            <w:r>
              <w:rPr>
                <w:rFonts w:hint="eastAsia" w:ascii="宋体" w:hAnsi="宋体" w:cs="宋体"/>
                <w:kern w:val="0"/>
                <w:szCs w:val="21"/>
              </w:rPr>
              <w:t>外观结构</w:t>
            </w:r>
          </w:p>
        </w:tc>
        <w:tc>
          <w:tcPr>
            <w:tcW w:w="1427" w:type="dxa"/>
            <w:vAlign w:val="center"/>
          </w:tcPr>
          <w:p>
            <w:pPr>
              <w:spacing w:after="120"/>
              <w:jc w:val="center"/>
              <w:rPr>
                <w:rFonts w:hint="eastAsia" w:ascii="宋体" w:hAnsi="宋体" w:cs="宋体"/>
                <w:b/>
                <w:bCs/>
                <w:kern w:val="0"/>
                <w:szCs w:val="21"/>
              </w:rPr>
            </w:pPr>
            <w:r>
              <w:rPr>
                <w:rFonts w:hint="eastAsia" w:ascii="宋体" w:hAnsi="宋体" w:cs="宋体"/>
                <w:kern w:val="0"/>
                <w:szCs w:val="21"/>
              </w:rPr>
              <w:t>类型</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spacing w:after="120"/>
              <w:jc w:val="center"/>
              <w:rPr>
                <w:rFonts w:hint="eastAsia" w:ascii="宋体" w:hAnsi="宋体" w:cs="宋体"/>
                <w:kern w:val="0"/>
                <w:szCs w:val="21"/>
              </w:rPr>
            </w:pPr>
            <w:r>
              <w:rPr>
                <w:rFonts w:hint="eastAsia" w:ascii="宋体" w:hAnsi="宋体" w:cs="宋体"/>
                <w:kern w:val="0"/>
                <w:szCs w:val="21"/>
              </w:rPr>
              <w:t>处理器</w:t>
            </w:r>
          </w:p>
        </w:tc>
        <w:tc>
          <w:tcPr>
            <w:tcW w:w="1427" w:type="dxa"/>
            <w:vAlign w:val="center"/>
          </w:tcPr>
          <w:p>
            <w:pPr>
              <w:spacing w:after="120"/>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实际配置</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CPU个数≥</w:t>
            </w:r>
            <w:r>
              <w:rPr>
                <w:rFonts w:ascii="宋体" w:hAnsi="宋体" w:cs="宋体"/>
                <w:kern w:val="0"/>
                <w:szCs w:val="21"/>
              </w:rPr>
              <w:t>2</w:t>
            </w:r>
            <w:r>
              <w:rPr>
                <w:rFonts w:hint="eastAsia" w:ascii="宋体" w:hAnsi="宋体" w:cs="宋体"/>
                <w:kern w:val="0"/>
                <w:szCs w:val="21"/>
              </w:rPr>
              <w:t>颗，CPU型号为鲲鹏</w:t>
            </w:r>
            <w:r>
              <w:rPr>
                <w:rFonts w:ascii="宋体" w:hAnsi="宋体" w:cs="宋体"/>
                <w:kern w:val="0"/>
                <w:szCs w:val="21"/>
              </w:rPr>
              <w:t>920</w:t>
            </w:r>
            <w:r>
              <w:rPr>
                <w:rFonts w:hint="eastAsia" w:ascii="宋体" w:hAnsi="宋体" w:cs="宋体"/>
                <w:kern w:val="0"/>
                <w:szCs w:val="21"/>
              </w:rPr>
              <w:t>或更高，每颗CPU≥</w:t>
            </w:r>
            <w:r>
              <w:rPr>
                <w:rFonts w:ascii="宋体" w:hAnsi="宋体" w:cs="宋体"/>
                <w:kern w:val="0"/>
                <w:szCs w:val="21"/>
              </w:rPr>
              <w:t>64</w:t>
            </w:r>
            <w:r>
              <w:rPr>
                <w:rFonts w:hint="eastAsia" w:ascii="宋体" w:hAnsi="宋体" w:cs="宋体"/>
                <w:kern w:val="0"/>
                <w:szCs w:val="21"/>
              </w:rPr>
              <w:t>核，</w:t>
            </w:r>
            <w:r>
              <w:rPr>
                <w:rFonts w:ascii="宋体" w:hAnsi="宋体" w:cs="宋体"/>
                <w:kern w:val="0"/>
                <w:szCs w:val="21"/>
              </w:rPr>
              <w:t>2</w:t>
            </w:r>
            <w:r>
              <w:rPr>
                <w:rFonts w:hint="eastAsia" w:ascii="宋体" w:hAnsi="宋体" w:cs="宋体"/>
                <w:kern w:val="0"/>
                <w:szCs w:val="21"/>
              </w:rPr>
              <w:t>.</w:t>
            </w:r>
            <w:r>
              <w:rPr>
                <w:rFonts w:ascii="宋体" w:hAnsi="宋体" w:cs="宋体"/>
                <w:kern w:val="0"/>
                <w:szCs w:val="21"/>
              </w:rPr>
              <w:t>6GHz</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0" w:type="auto"/>
            <w:vMerge w:val="restart"/>
            <w:vAlign w:val="center"/>
          </w:tcPr>
          <w:p>
            <w:pPr>
              <w:spacing w:after="120"/>
              <w:jc w:val="center"/>
              <w:rPr>
                <w:rFonts w:hint="eastAsia" w:ascii="宋体" w:hAnsi="宋体" w:cs="宋体"/>
                <w:kern w:val="0"/>
                <w:szCs w:val="21"/>
              </w:rPr>
            </w:pPr>
            <w:r>
              <w:rPr>
                <w:rFonts w:hint="eastAsia" w:ascii="宋体" w:hAnsi="宋体" w:cs="宋体"/>
                <w:kern w:val="0"/>
                <w:szCs w:val="21"/>
              </w:rPr>
              <w:t>内存</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支持能力</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支持多达32个DDR4内存，速率最高支持</w:t>
            </w:r>
            <w:r>
              <w:rPr>
                <w:rFonts w:ascii="宋体" w:hAnsi="宋体" w:cs="宋体"/>
                <w:kern w:val="0"/>
                <w:szCs w:val="21"/>
              </w:rPr>
              <w:t>3200</w:t>
            </w:r>
            <w:r>
              <w:rPr>
                <w:rFonts w:hint="eastAsia" w:ascii="宋体" w:hAnsi="宋体" w:cs="宋体"/>
                <w:kern w:val="0"/>
                <w:szCs w:val="21"/>
              </w:rPr>
              <w:t>MT/s，支持RDIMM或LRDIMM，最大容量</w:t>
            </w:r>
            <w:r>
              <w:rPr>
                <w:rFonts w:ascii="宋体" w:hAnsi="宋体" w:cs="宋体"/>
                <w:kern w:val="0"/>
                <w:szCs w:val="21"/>
              </w:rPr>
              <w:t>2</w:t>
            </w:r>
            <w:r>
              <w:rPr>
                <w:rFonts w:hint="eastAsia" w:ascii="宋体" w:hAnsi="宋体" w:cs="宋体"/>
                <w:kern w:val="0"/>
                <w:szCs w:val="21"/>
              </w:rPr>
              <w:t>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实际配置</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配置内存≥</w:t>
            </w:r>
            <w:r>
              <w:rPr>
                <w:rFonts w:ascii="宋体" w:hAnsi="宋体" w:cs="宋体"/>
                <w:kern w:val="0"/>
                <w:szCs w:val="21"/>
              </w:rPr>
              <w:t>12</w:t>
            </w:r>
            <w:r>
              <w:rPr>
                <w:rFonts w:hint="eastAsia" w:ascii="宋体" w:hAnsi="宋体" w:cs="宋体"/>
                <w:kern w:val="0"/>
                <w:szCs w:val="21"/>
              </w:rPr>
              <w:t>×</w:t>
            </w:r>
            <w:r>
              <w:rPr>
                <w:rFonts w:ascii="宋体" w:hAnsi="宋体" w:cs="宋体"/>
                <w:kern w:val="0"/>
                <w:szCs w:val="21"/>
              </w:rPr>
              <w:t>64GB DDR4</w:t>
            </w:r>
            <w:r>
              <w:rPr>
                <w:rFonts w:hint="eastAsia" w:ascii="宋体" w:hAnsi="宋体" w:cs="宋体"/>
                <w:kern w:val="0"/>
                <w:szCs w:val="21"/>
              </w:rPr>
              <w:t>，3200Mhz，单条6</w:t>
            </w:r>
            <w:r>
              <w:rPr>
                <w:rFonts w:ascii="宋体" w:hAnsi="宋体" w:cs="宋体"/>
                <w:kern w:val="0"/>
                <w:szCs w:val="21"/>
              </w:rPr>
              <w:t>4GB</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vMerge w:val="restart"/>
            <w:vAlign w:val="center"/>
          </w:tcPr>
          <w:p>
            <w:pPr>
              <w:spacing w:after="120"/>
              <w:jc w:val="center"/>
              <w:rPr>
                <w:rFonts w:hint="eastAsia" w:ascii="宋体" w:hAnsi="宋体" w:cs="宋体"/>
                <w:kern w:val="0"/>
                <w:szCs w:val="21"/>
              </w:rPr>
            </w:pPr>
            <w:r>
              <w:rPr>
                <w:rFonts w:hint="eastAsia" w:ascii="宋体" w:hAnsi="宋体" w:cs="宋体"/>
                <w:kern w:val="0"/>
                <w:szCs w:val="21"/>
              </w:rPr>
              <w:t>硬盘</w:t>
            </w:r>
          </w:p>
        </w:tc>
        <w:tc>
          <w:tcPr>
            <w:tcW w:w="1427" w:type="dxa"/>
            <w:vAlign w:val="center"/>
          </w:tcPr>
          <w:p>
            <w:pPr>
              <w:spacing w:after="120"/>
              <w:jc w:val="center"/>
              <w:rPr>
                <w:rFonts w:hint="eastAsia" w:ascii="宋体" w:hAnsi="宋体"/>
                <w:kern w:val="0"/>
              </w:rPr>
            </w:pPr>
            <w:r>
              <w:rPr>
                <w:rFonts w:hint="eastAsia" w:ascii="宋体" w:hAnsi="宋体"/>
                <w:kern w:val="0"/>
              </w:rPr>
              <w:t>支持</w:t>
            </w:r>
            <w:r>
              <w:rPr>
                <w:rFonts w:hint="eastAsia" w:ascii="宋体" w:hAnsi="宋体" w:cs="宋体"/>
                <w:kern w:val="0"/>
                <w:szCs w:val="21"/>
              </w:rPr>
              <w:t>能力</w:t>
            </w:r>
          </w:p>
        </w:tc>
        <w:tc>
          <w:tcPr>
            <w:tcW w:w="6179" w:type="dxa"/>
            <w:vAlign w:val="center"/>
          </w:tcPr>
          <w:p>
            <w:pPr>
              <w:spacing w:after="120"/>
              <w:rPr>
                <w:rFonts w:hint="eastAsia" w:ascii="宋体" w:hAnsi="宋体"/>
                <w:kern w:val="0"/>
              </w:rPr>
            </w:pPr>
            <w:r>
              <w:rPr>
                <w:rFonts w:hint="eastAsia" w:ascii="宋体" w:hAnsi="宋体" w:cs="宋体"/>
                <w:kern w:val="0"/>
                <w:szCs w:val="21"/>
              </w:rPr>
              <w:t>≥</w:t>
            </w:r>
            <w:r>
              <w:rPr>
                <w:rFonts w:ascii="宋体" w:hAnsi="宋体" w:cs="宋体"/>
                <w:kern w:val="0"/>
                <w:szCs w:val="21"/>
              </w:rPr>
              <w:t>12</w:t>
            </w:r>
            <w:r>
              <w:rPr>
                <w:rFonts w:hint="eastAsia" w:ascii="宋体" w:hAnsi="宋体" w:cs="宋体"/>
                <w:kern w:val="0"/>
                <w:szCs w:val="21"/>
              </w:rPr>
              <w:t>个</w:t>
            </w:r>
            <w:r>
              <w:rPr>
                <w:rFonts w:ascii="宋体" w:hAnsi="宋体" w:cs="宋体"/>
                <w:kern w:val="0"/>
                <w:szCs w:val="21"/>
              </w:rPr>
              <w:t>3.5</w:t>
            </w:r>
            <w:r>
              <w:rPr>
                <w:rFonts w:hint="eastAsia" w:ascii="宋体" w:hAnsi="宋体" w:cs="宋体"/>
                <w:kern w:val="0"/>
                <w:szCs w:val="21"/>
              </w:rPr>
              <w:t>英寸</w:t>
            </w:r>
            <w:r>
              <w:rPr>
                <w:rFonts w:ascii="宋体" w:hAnsi="宋体" w:cs="宋体"/>
                <w:kern w:val="0"/>
                <w:szCs w:val="21"/>
              </w:rPr>
              <w:t>SAS/SATA/</w:t>
            </w:r>
            <w:r>
              <w:rPr>
                <w:rFonts w:hint="eastAsia" w:ascii="宋体" w:hAnsi="宋体" w:cs="宋体"/>
                <w:kern w:val="0"/>
                <w:szCs w:val="21"/>
              </w:rPr>
              <w:t>SSD硬盘槽位，≥</w:t>
            </w:r>
            <w:r>
              <w:rPr>
                <w:rFonts w:ascii="宋体" w:hAnsi="宋体" w:cs="宋体"/>
                <w:kern w:val="0"/>
                <w:szCs w:val="21"/>
              </w:rPr>
              <w:t>4</w:t>
            </w:r>
            <w:r>
              <w:rPr>
                <w:rFonts w:hint="eastAsia" w:ascii="宋体" w:hAnsi="宋体" w:cs="宋体"/>
                <w:kern w:val="0"/>
                <w:szCs w:val="21"/>
              </w:rPr>
              <w:t>个</w:t>
            </w:r>
            <w:r>
              <w:rPr>
                <w:rFonts w:ascii="宋体" w:hAnsi="宋体" w:cs="宋体"/>
                <w:kern w:val="0"/>
                <w:szCs w:val="21"/>
              </w:rPr>
              <w:t>2.5</w:t>
            </w:r>
            <w:r>
              <w:rPr>
                <w:rFonts w:hint="eastAsia" w:ascii="宋体" w:hAnsi="宋体" w:cs="宋体"/>
                <w:kern w:val="0"/>
                <w:szCs w:val="21"/>
              </w:rPr>
              <w:t>英寸</w:t>
            </w:r>
            <w:r>
              <w:rPr>
                <w:rFonts w:ascii="宋体" w:hAnsi="宋体" w:cs="宋体"/>
                <w:kern w:val="0"/>
                <w:szCs w:val="21"/>
              </w:rPr>
              <w:t>SAS/SATA/</w:t>
            </w:r>
            <w:r>
              <w:rPr>
                <w:rFonts w:hint="eastAsia" w:ascii="宋体" w:hAnsi="宋体" w:cs="宋体"/>
                <w:kern w:val="0"/>
                <w:szCs w:val="21"/>
              </w:rPr>
              <w:t>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kern w:val="0"/>
              </w:rPr>
            </w:pPr>
            <w:r>
              <w:rPr>
                <w:rFonts w:hint="eastAsia" w:ascii="宋体" w:hAnsi="宋体" w:cs="宋体"/>
                <w:kern w:val="0"/>
                <w:szCs w:val="21"/>
              </w:rPr>
              <w:t>实际配置</w:t>
            </w:r>
          </w:p>
        </w:tc>
        <w:tc>
          <w:tcPr>
            <w:tcW w:w="6179" w:type="dxa"/>
            <w:vAlign w:val="center"/>
          </w:tcPr>
          <w:p>
            <w:pPr>
              <w:spacing w:after="120"/>
              <w:rPr>
                <w:rFonts w:hint="eastAsia" w:ascii="宋体" w:hAnsi="宋体" w:cs="宋体"/>
                <w:kern w:val="0"/>
                <w:szCs w:val="21"/>
              </w:rPr>
            </w:pPr>
            <w:r>
              <w:rPr>
                <w:rFonts w:hint="eastAsia" w:ascii="宋体" w:hAnsi="宋体" w:cs="宋体"/>
                <w:szCs w:val="21"/>
              </w:rPr>
              <w:t>硬盘：配置不少于2块</w:t>
            </w:r>
            <w:r>
              <w:rPr>
                <w:rFonts w:ascii="宋体" w:hAnsi="宋体" w:cs="宋体"/>
                <w:szCs w:val="21"/>
              </w:rPr>
              <w:t>96</w:t>
            </w:r>
            <w:r>
              <w:rPr>
                <w:rFonts w:hint="eastAsia" w:ascii="宋体" w:hAnsi="宋体" w:cs="宋体"/>
                <w:szCs w:val="21"/>
              </w:rPr>
              <w:t xml:space="preserve">0GB 6G SATA </w:t>
            </w:r>
            <w:r>
              <w:rPr>
                <w:rFonts w:ascii="宋体" w:hAnsi="宋体" w:cs="宋体"/>
                <w:szCs w:val="21"/>
              </w:rPr>
              <w:t>3</w:t>
            </w:r>
            <w:r>
              <w:rPr>
                <w:rFonts w:hint="eastAsia" w:ascii="宋体" w:hAnsi="宋体" w:cs="宋体"/>
                <w:szCs w:val="21"/>
              </w:rPr>
              <w:t>.5in SSD通用硬盘；</w:t>
            </w:r>
            <w:r>
              <w:rPr>
                <w:rFonts w:ascii="宋体" w:hAnsi="宋体" w:cs="宋体"/>
                <w:szCs w:val="21"/>
              </w:rPr>
              <w:t>1</w:t>
            </w:r>
            <w:r>
              <w:rPr>
                <w:rFonts w:hint="eastAsia" w:ascii="宋体" w:hAnsi="宋体" w:cs="宋体"/>
                <w:szCs w:val="21"/>
              </w:rPr>
              <w:t>块1.</w:t>
            </w:r>
            <w:r>
              <w:rPr>
                <w:rFonts w:ascii="宋体" w:hAnsi="宋体" w:cs="宋体"/>
                <w:szCs w:val="21"/>
              </w:rPr>
              <w:t>92</w:t>
            </w:r>
            <w:r>
              <w:rPr>
                <w:rFonts w:hint="eastAsia" w:ascii="宋体" w:hAnsi="宋体" w:cs="宋体"/>
                <w:szCs w:val="21"/>
              </w:rPr>
              <w:t xml:space="preserve">TB NVMe </w:t>
            </w:r>
            <w:r>
              <w:rPr>
                <w:rFonts w:ascii="宋体" w:hAnsi="宋体" w:cs="宋体"/>
                <w:szCs w:val="21"/>
              </w:rPr>
              <w:t>2.5in</w:t>
            </w:r>
            <w:r>
              <w:rPr>
                <w:rFonts w:hint="eastAsia" w:ascii="宋体" w:hAnsi="宋体" w:cs="宋体"/>
                <w:szCs w:val="21"/>
              </w:rPr>
              <w:t xml:space="preserve"> SSD通用硬盘；</w:t>
            </w:r>
            <w:r>
              <w:rPr>
                <w:rFonts w:ascii="宋体" w:hAnsi="宋体" w:cs="宋体"/>
                <w:szCs w:val="21"/>
              </w:rPr>
              <w:t>5</w:t>
            </w:r>
            <w:r>
              <w:rPr>
                <w:rFonts w:hint="eastAsia" w:ascii="宋体" w:hAnsi="宋体" w:cs="宋体"/>
                <w:szCs w:val="21"/>
              </w:rPr>
              <w:t>块</w:t>
            </w:r>
            <w:r>
              <w:rPr>
                <w:rFonts w:ascii="宋体" w:hAnsi="宋体" w:cs="宋体"/>
                <w:szCs w:val="21"/>
              </w:rPr>
              <w:t>8TB</w:t>
            </w:r>
            <w:r>
              <w:rPr>
                <w:rFonts w:hint="eastAsia" w:ascii="宋体" w:hAnsi="宋体" w:cs="宋体"/>
                <w:szCs w:val="21"/>
              </w:rPr>
              <w:t xml:space="preserve"> 6G SATA 7.2K </w:t>
            </w:r>
            <w:r>
              <w:rPr>
                <w:rFonts w:ascii="宋体" w:hAnsi="宋体" w:cs="宋体"/>
                <w:szCs w:val="21"/>
              </w:rPr>
              <w:t>3.5in</w:t>
            </w:r>
            <w:r>
              <w:rPr>
                <w:rFonts w:hint="eastAsia" w:ascii="宋体" w:hAnsi="宋体" w:cs="宋体"/>
                <w:szCs w:val="21"/>
              </w:rPr>
              <w:t xml:space="preserve"> HDD通用硬盘；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restart"/>
            <w:vAlign w:val="center"/>
          </w:tcPr>
          <w:p>
            <w:pPr>
              <w:spacing w:after="120"/>
              <w:jc w:val="center"/>
              <w:rPr>
                <w:rFonts w:hint="eastAsia" w:ascii="宋体" w:hAnsi="宋体" w:cs="宋体"/>
                <w:kern w:val="0"/>
                <w:szCs w:val="21"/>
              </w:rPr>
            </w:pPr>
            <w:r>
              <w:rPr>
                <w:rFonts w:hint="eastAsia" w:ascii="宋体" w:hAnsi="宋体" w:cs="宋体"/>
                <w:kern w:val="0"/>
                <w:szCs w:val="21"/>
              </w:rPr>
              <w:t>阵列控制器</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Raid支持</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可靠性</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配置掉电保护功能；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cs="宋体"/>
                <w:b/>
                <w:bCs/>
                <w:kern w:val="0"/>
                <w:szCs w:val="21"/>
              </w:rPr>
            </w:pPr>
            <w:r>
              <w:rPr>
                <w:rFonts w:hint="eastAsia" w:ascii="宋体" w:hAnsi="宋体" w:cs="宋体"/>
                <w:kern w:val="0"/>
                <w:szCs w:val="21"/>
              </w:rPr>
              <w:t>Raid缓存</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spacing w:after="120"/>
              <w:jc w:val="center"/>
              <w:rPr>
                <w:rFonts w:hint="eastAsia" w:ascii="宋体" w:hAnsi="宋体" w:cs="宋体"/>
                <w:kern w:val="0"/>
                <w:szCs w:val="21"/>
              </w:rPr>
            </w:pPr>
            <w:r>
              <w:rPr>
                <w:rFonts w:hint="eastAsia" w:ascii="宋体" w:hAnsi="宋体" w:cs="宋体"/>
                <w:kern w:val="0"/>
                <w:szCs w:val="21"/>
              </w:rPr>
              <w:t>PCI-E</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扩展能力</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PCIE4.0速率插槽≥</w:t>
            </w:r>
            <w:r>
              <w:rPr>
                <w:rFonts w:ascii="宋体" w:hAnsi="宋体" w:cs="宋体"/>
                <w:kern w:val="0"/>
                <w:szCs w:val="21"/>
              </w:rPr>
              <w:t>8</w:t>
            </w:r>
            <w:r>
              <w:rPr>
                <w:rFonts w:hint="eastAsia" w:ascii="宋体" w:hAnsi="宋体" w:cs="宋体"/>
                <w:kern w:val="0"/>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spacing w:after="120"/>
              <w:jc w:val="center"/>
              <w:rPr>
                <w:rFonts w:hint="eastAsia" w:ascii="宋体" w:hAnsi="宋体" w:cs="宋体"/>
                <w:kern w:val="0"/>
                <w:szCs w:val="21"/>
              </w:rPr>
            </w:pPr>
            <w:r>
              <w:rPr>
                <w:rFonts w:hint="eastAsia" w:ascii="宋体" w:hAnsi="宋体" w:cs="宋体"/>
                <w:kern w:val="0"/>
                <w:szCs w:val="21"/>
              </w:rPr>
              <w:t>网卡</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类型</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Merge w:val="restart"/>
            <w:vAlign w:val="center"/>
          </w:tcPr>
          <w:p>
            <w:pPr>
              <w:spacing w:after="120"/>
              <w:jc w:val="center"/>
              <w:rPr>
                <w:rFonts w:hint="eastAsia" w:ascii="宋体" w:hAnsi="宋体" w:cs="宋体"/>
                <w:kern w:val="0"/>
                <w:szCs w:val="21"/>
              </w:rPr>
            </w:pPr>
            <w:r>
              <w:rPr>
                <w:rFonts w:hint="eastAsia" w:ascii="宋体" w:hAnsi="宋体" w:cs="宋体"/>
                <w:kern w:val="0"/>
                <w:szCs w:val="21"/>
              </w:rPr>
              <w:t>实际配置</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Merge w:val="continue"/>
            <w:vAlign w:val="center"/>
          </w:tcPr>
          <w:p>
            <w:pPr>
              <w:spacing w:after="120"/>
              <w:jc w:val="center"/>
              <w:rPr>
                <w:rFonts w:hint="eastAsia" w:ascii="宋体" w:hAnsi="宋体" w:cs="宋体"/>
                <w:kern w:val="0"/>
                <w:szCs w:val="21"/>
              </w:rPr>
            </w:pP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 xml:space="preserve"> </w:t>
            </w:r>
            <w:r>
              <w:rPr>
                <w:rFonts w:hint="eastAsia" w:ascii="宋体" w:hAnsi="宋体" w:cs="宋体"/>
                <w:kern w:val="0"/>
                <w:szCs w:val="21"/>
              </w:rPr>
              <w:t>个10Gb光口，含</w:t>
            </w:r>
            <w:r>
              <w:rPr>
                <w:rFonts w:ascii="宋体" w:hAnsi="宋体" w:cs="宋体"/>
                <w:kern w:val="0"/>
                <w:szCs w:val="21"/>
              </w:rPr>
              <w:t>4</w:t>
            </w:r>
            <w:r>
              <w:rPr>
                <w:rFonts w:hint="eastAsia" w:ascii="宋体" w:hAnsi="宋体" w:cs="宋体"/>
                <w:kern w:val="0"/>
                <w:szCs w:val="21"/>
              </w:rPr>
              <w:t>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spacing w:after="120"/>
              <w:jc w:val="center"/>
              <w:rPr>
                <w:rFonts w:hint="eastAsia" w:ascii="宋体" w:hAnsi="宋体" w:cs="宋体"/>
                <w:kern w:val="0"/>
                <w:szCs w:val="21"/>
              </w:rPr>
            </w:pPr>
            <w:r>
              <w:rPr>
                <w:rFonts w:hint="eastAsia" w:ascii="宋体" w:hAnsi="宋体" w:cs="仿宋"/>
                <w:szCs w:val="21"/>
              </w:rPr>
              <w:t>GPU卡</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类型</w:t>
            </w:r>
          </w:p>
        </w:tc>
        <w:tc>
          <w:tcPr>
            <w:tcW w:w="6179" w:type="dxa"/>
            <w:vAlign w:val="center"/>
          </w:tcPr>
          <w:p>
            <w:pPr>
              <w:adjustRightInd w:val="0"/>
              <w:snapToGrid w:val="0"/>
              <w:rPr>
                <w:rFonts w:hint="eastAsia" w:ascii="宋体" w:hAnsi="宋体" w:cs="宋体"/>
                <w:kern w:val="0"/>
                <w:szCs w:val="21"/>
              </w:rPr>
            </w:pPr>
            <w:r>
              <w:rPr>
                <w:rFonts w:hint="eastAsia" w:ascii="宋体" w:hAnsi="宋体" w:cs="宋体"/>
                <w:kern w:val="0"/>
                <w:szCs w:val="21"/>
              </w:rPr>
              <w:t>支持单宽GPU卡；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noWrap/>
            <w:vAlign w:val="center"/>
          </w:tcPr>
          <w:p>
            <w:pPr>
              <w:spacing w:after="120"/>
              <w:jc w:val="center"/>
              <w:rPr>
                <w:rFonts w:hint="eastAsia" w:ascii="宋体" w:hAnsi="宋体" w:cs="宋体"/>
                <w:kern w:val="0"/>
                <w:szCs w:val="21"/>
              </w:rPr>
            </w:pPr>
            <w:r>
              <w:rPr>
                <w:rFonts w:hint="eastAsia" w:ascii="宋体" w:hAnsi="宋体" w:cs="宋体"/>
                <w:kern w:val="0"/>
                <w:szCs w:val="21"/>
              </w:rPr>
              <w:t>USB接口</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个数</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spacing w:after="120"/>
              <w:jc w:val="center"/>
              <w:rPr>
                <w:rFonts w:hint="eastAsia" w:ascii="宋体" w:hAnsi="宋体" w:cs="宋体"/>
                <w:kern w:val="0"/>
                <w:szCs w:val="21"/>
              </w:rPr>
            </w:pPr>
            <w:r>
              <w:rPr>
                <w:rFonts w:hint="eastAsia" w:ascii="宋体" w:hAnsi="宋体" w:cs="宋体"/>
                <w:kern w:val="0"/>
                <w:szCs w:val="21"/>
              </w:rPr>
              <w:t>电源</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类型</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widowControl/>
              <w:spacing w:after="120"/>
              <w:jc w:val="center"/>
              <w:rPr>
                <w:rFonts w:hint="eastAsia" w:ascii="宋体" w:hAnsi="宋体" w:cs="宋体"/>
                <w:kern w:val="0"/>
                <w:szCs w:val="21"/>
              </w:rPr>
            </w:pPr>
            <w:r>
              <w:rPr>
                <w:rFonts w:hint="eastAsia" w:ascii="宋体" w:hAnsi="宋体" w:cs="宋体"/>
                <w:kern w:val="0"/>
                <w:szCs w:val="21"/>
              </w:rPr>
              <w:t>节能</w:t>
            </w:r>
          </w:p>
        </w:tc>
        <w:tc>
          <w:tcPr>
            <w:tcW w:w="6179" w:type="dxa"/>
            <w:vAlign w:val="center"/>
          </w:tcPr>
          <w:p>
            <w:pPr>
              <w:widowControl/>
              <w:spacing w:after="120"/>
              <w:jc w:val="left"/>
              <w:rPr>
                <w:rFonts w:hint="eastAsia" w:ascii="宋体" w:hAnsi="宋体" w:cs="宋体"/>
                <w:kern w:val="0"/>
                <w:szCs w:val="21"/>
              </w:rPr>
            </w:pPr>
            <w:r>
              <w:rPr>
                <w:rFonts w:hint="eastAsia" w:ascii="宋体" w:hAnsi="宋体" w:cs="宋体"/>
                <w:kern w:val="0"/>
                <w:szCs w:val="21"/>
              </w:rPr>
              <w:t>通过中国节能产品（</w:t>
            </w:r>
            <w:r>
              <w:rPr>
                <w:rFonts w:ascii="宋体" w:hAnsi="宋体" w:cs="宋体"/>
                <w:kern w:val="0"/>
                <w:szCs w:val="21"/>
              </w:rPr>
              <w:t>CQC</w:t>
            </w:r>
            <w:r>
              <w:rPr>
                <w:rFonts w:hint="eastAsia" w:ascii="宋体" w:hAnsi="宋体" w:cs="宋体"/>
                <w:kern w:val="0"/>
                <w:szCs w:val="21"/>
              </w:rPr>
              <w:t>）认证提供证书复印件；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实际配置</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≥2个冗余热插拔电源，≥</w:t>
            </w:r>
            <w:r>
              <w:rPr>
                <w:rFonts w:ascii="宋体" w:hAnsi="宋体" w:cs="宋体"/>
                <w:kern w:val="0"/>
                <w:szCs w:val="21"/>
              </w:rPr>
              <w:t>4</w:t>
            </w:r>
            <w:r>
              <w:rPr>
                <w:rFonts w:hint="eastAsia" w:ascii="宋体" w:hAnsi="宋体" w:cs="宋体"/>
                <w:kern w:val="0"/>
                <w:szCs w:val="21"/>
              </w:rPr>
              <w:t>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spacing w:after="120"/>
              <w:jc w:val="center"/>
              <w:rPr>
                <w:rFonts w:hint="eastAsia" w:ascii="宋体" w:hAnsi="宋体" w:cs="宋体"/>
                <w:kern w:val="0"/>
                <w:szCs w:val="21"/>
              </w:rPr>
            </w:pPr>
            <w:r>
              <w:rPr>
                <w:rFonts w:hint="eastAsia" w:ascii="宋体" w:hAnsi="宋体" w:cs="宋体"/>
                <w:kern w:val="0"/>
                <w:szCs w:val="21"/>
              </w:rPr>
              <w:t>稳定性</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运行温度</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工作环境温度支持5~40°C；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noWrap/>
            <w:vAlign w:val="center"/>
          </w:tcPr>
          <w:p>
            <w:pPr>
              <w:spacing w:after="120"/>
              <w:jc w:val="center"/>
              <w:rPr>
                <w:rFonts w:hint="eastAsia" w:ascii="宋体" w:hAnsi="宋体" w:cs="宋体"/>
                <w:kern w:val="0"/>
                <w:szCs w:val="21"/>
              </w:rPr>
            </w:pPr>
            <w:r>
              <w:rPr>
                <w:rFonts w:hint="eastAsia" w:ascii="宋体" w:hAnsi="宋体" w:cs="宋体"/>
                <w:kern w:val="0"/>
                <w:szCs w:val="21"/>
              </w:rPr>
              <w:t>资质认证</w:t>
            </w:r>
          </w:p>
        </w:tc>
        <w:tc>
          <w:tcPr>
            <w:tcW w:w="1427" w:type="dxa"/>
            <w:vAlign w:val="center"/>
          </w:tcPr>
          <w:p>
            <w:pPr>
              <w:spacing w:after="120"/>
              <w:jc w:val="center"/>
              <w:rPr>
                <w:rFonts w:hint="eastAsia" w:ascii="宋体" w:hAnsi="宋体" w:cs="宋体"/>
                <w:sz w:val="22"/>
              </w:rPr>
            </w:pPr>
            <w:r>
              <w:rPr>
                <w:rFonts w:hint="eastAsia" w:ascii="宋体" w:hAnsi="宋体" w:cs="宋体"/>
                <w:kern w:val="0"/>
                <w:szCs w:val="21"/>
              </w:rPr>
              <w:t>市场份额</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年中国机架式服务器市场厂商品牌知名度高，提供第三方证明报告；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noWrap/>
            <w:vAlign w:val="center"/>
          </w:tcPr>
          <w:p>
            <w:pPr>
              <w:spacing w:after="120"/>
              <w:jc w:val="center"/>
              <w:rPr>
                <w:rFonts w:hint="eastAsia" w:ascii="宋体" w:hAnsi="宋体" w:cs="宋体"/>
                <w:kern w:val="0"/>
                <w:szCs w:val="21"/>
              </w:rPr>
            </w:pPr>
            <w:r>
              <w:rPr>
                <w:rFonts w:hint="eastAsia" w:ascii="宋体" w:hAnsi="宋体" w:cs="宋体"/>
                <w:kern w:val="0"/>
                <w:szCs w:val="21"/>
              </w:rPr>
              <w:t>服务</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维保服务</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0" w:type="auto"/>
            <w:vMerge w:val="continue"/>
            <w:noWrap/>
            <w:vAlign w:val="center"/>
          </w:tcPr>
          <w:p>
            <w:pPr>
              <w:spacing w:after="120"/>
              <w:jc w:val="center"/>
              <w:rPr>
                <w:rFonts w:hint="eastAsia" w:ascii="宋体" w:hAnsi="宋体" w:cs="宋体"/>
                <w:kern w:val="0"/>
                <w:szCs w:val="21"/>
              </w:rPr>
            </w:pPr>
          </w:p>
        </w:tc>
        <w:tc>
          <w:tcPr>
            <w:tcW w:w="1427" w:type="dxa"/>
            <w:vAlign w:val="center"/>
          </w:tcPr>
          <w:p>
            <w:pPr>
              <w:widowControl/>
              <w:spacing w:after="120"/>
              <w:jc w:val="center"/>
              <w:rPr>
                <w:rFonts w:hint="eastAsia" w:ascii="宋体" w:hAnsi="宋体" w:cs="宋体"/>
                <w:kern w:val="0"/>
                <w:szCs w:val="21"/>
              </w:rPr>
            </w:pPr>
            <w:r>
              <w:rPr>
                <w:rFonts w:hint="eastAsia" w:ascii="宋体" w:hAnsi="宋体" w:cs="宋体"/>
                <w:kern w:val="0"/>
                <w:szCs w:val="21"/>
              </w:rPr>
              <w:t>增值服务</w:t>
            </w:r>
          </w:p>
        </w:tc>
        <w:tc>
          <w:tcPr>
            <w:tcW w:w="6179" w:type="dxa"/>
            <w:vAlign w:val="center"/>
          </w:tcPr>
          <w:p>
            <w:pPr>
              <w:widowControl/>
              <w:spacing w:after="120"/>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0" w:type="auto"/>
            <w:vMerge w:val="restart"/>
            <w:noWrap/>
            <w:vAlign w:val="center"/>
          </w:tcPr>
          <w:p>
            <w:pPr>
              <w:spacing w:after="120"/>
              <w:jc w:val="center"/>
              <w:rPr>
                <w:rFonts w:hint="eastAsia" w:ascii="宋体" w:hAnsi="宋体" w:cs="宋体"/>
                <w:kern w:val="0"/>
                <w:szCs w:val="21"/>
              </w:rPr>
            </w:pPr>
            <w:r>
              <w:rPr>
                <w:rFonts w:hint="eastAsia" w:ascii="宋体" w:hAnsi="宋体" w:cs="宋体"/>
                <w:kern w:val="0"/>
                <w:szCs w:val="21"/>
              </w:rPr>
              <w:t>其它</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包装</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运输</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直接发货至最终用户指定地点；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120"/>
              <w:jc w:val="center"/>
              <w:rPr>
                <w:rFonts w:hint="eastAsia" w:ascii="宋体" w:hAnsi="宋体" w:cs="宋体"/>
                <w:kern w:val="0"/>
                <w:szCs w:val="21"/>
              </w:rPr>
            </w:pP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导轨</w:t>
            </w:r>
          </w:p>
        </w:tc>
        <w:tc>
          <w:tcPr>
            <w:tcW w:w="6179" w:type="dxa"/>
            <w:vAlign w:val="center"/>
          </w:tcPr>
          <w:p>
            <w:pPr>
              <w:spacing w:after="120"/>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Align w:val="center"/>
          </w:tcPr>
          <w:p>
            <w:pPr>
              <w:spacing w:after="120"/>
              <w:jc w:val="center"/>
              <w:rPr>
                <w:rFonts w:hint="eastAsia" w:ascii="宋体" w:hAnsi="宋体" w:cs="宋体"/>
                <w:kern w:val="0"/>
                <w:szCs w:val="21"/>
              </w:rPr>
            </w:pPr>
            <w:r>
              <w:rPr>
                <w:rFonts w:hint="eastAsia" w:ascii="宋体" w:hAnsi="宋体" w:cs="宋体"/>
                <w:kern w:val="0"/>
                <w:szCs w:val="21"/>
              </w:rPr>
              <w:t>授权</w:t>
            </w:r>
          </w:p>
        </w:tc>
        <w:tc>
          <w:tcPr>
            <w:tcW w:w="1427" w:type="dxa"/>
            <w:vAlign w:val="center"/>
          </w:tcPr>
          <w:p>
            <w:pPr>
              <w:spacing w:after="120"/>
              <w:jc w:val="center"/>
              <w:rPr>
                <w:rFonts w:hint="eastAsia" w:ascii="宋体" w:hAnsi="宋体" w:cs="宋体"/>
                <w:kern w:val="0"/>
                <w:szCs w:val="21"/>
              </w:rPr>
            </w:pPr>
            <w:r>
              <w:rPr>
                <w:rFonts w:hint="eastAsia" w:ascii="宋体" w:hAnsi="宋体" w:cs="宋体"/>
                <w:kern w:val="0"/>
                <w:szCs w:val="21"/>
              </w:rPr>
              <w:t>授权要求</w:t>
            </w:r>
          </w:p>
        </w:tc>
        <w:tc>
          <w:tcPr>
            <w:tcW w:w="6179" w:type="dxa"/>
            <w:vAlign w:val="center"/>
          </w:tcPr>
          <w:p>
            <w:pPr>
              <w:spacing w:after="120"/>
              <w:rPr>
                <w:rFonts w:hint="eastAsia" w:ascii="宋体" w:hAnsi="宋体" w:cs="宋体"/>
                <w:kern w:val="0"/>
                <w:szCs w:val="21"/>
              </w:rPr>
            </w:pPr>
            <w:r>
              <w:rPr>
                <w:rFonts w:hint="eastAsia"/>
                <w:kern w:val="0"/>
              </w:rPr>
              <w:t>投标人需提供拟投设备原厂商针对本项目的授权函及三年售后</w:t>
            </w:r>
            <w:r>
              <w:rPr>
                <w:kern w:val="0"/>
              </w:rPr>
              <w:t>服务</w:t>
            </w:r>
            <w:r>
              <w:rPr>
                <w:rFonts w:hint="eastAsia"/>
                <w:kern w:val="0"/>
              </w:rPr>
              <w:t>承诺函；</w:t>
            </w:r>
          </w:p>
        </w:tc>
      </w:tr>
    </w:tbl>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r>
        <w:rPr>
          <w:rFonts w:hint="eastAsia" w:ascii="宋体" w:hAnsi="宋体" w:cs="宋体"/>
          <w:b/>
          <w:sz w:val="22"/>
          <w:szCs w:val="22"/>
        </w:rPr>
        <w:t>（5）交换机1（10台）</w:t>
      </w:r>
    </w:p>
    <w:tbl>
      <w:tblPr>
        <w:tblStyle w:val="53"/>
        <w:tblW w:w="4998" w:type="pct"/>
        <w:jc w:val="center"/>
        <w:tblLayout w:type="autofit"/>
        <w:tblCellMar>
          <w:top w:w="0" w:type="dxa"/>
          <w:left w:w="108" w:type="dxa"/>
          <w:bottom w:w="0" w:type="dxa"/>
          <w:right w:w="108" w:type="dxa"/>
        </w:tblCellMar>
      </w:tblPr>
      <w:tblGrid>
        <w:gridCol w:w="1390"/>
        <w:gridCol w:w="7328"/>
      </w:tblGrid>
      <w:tr>
        <w:tblPrEx>
          <w:tblCellMar>
            <w:top w:w="0" w:type="dxa"/>
            <w:left w:w="108" w:type="dxa"/>
            <w:bottom w:w="0" w:type="dxa"/>
            <w:right w:w="108" w:type="dxa"/>
          </w:tblCellMar>
        </w:tblPrEx>
        <w:trPr>
          <w:trHeight w:val="280" w:hRule="atLeast"/>
          <w:jc w:val="center"/>
        </w:trPr>
        <w:tc>
          <w:tcPr>
            <w:tcW w:w="797" w:type="pct"/>
            <w:tcBorders>
              <w:top w:val="single" w:color="auto" w:sz="4" w:space="0"/>
              <w:left w:val="single" w:color="auto" w:sz="4" w:space="0"/>
              <w:bottom w:val="single" w:color="auto" w:sz="4" w:space="0"/>
              <w:right w:val="single" w:color="auto" w:sz="4" w:space="0"/>
            </w:tcBorders>
            <w:vAlign w:val="center"/>
          </w:tcPr>
          <w:p>
            <w:pPr>
              <w:widowControl/>
              <w:rPr>
                <w:rFonts w:cs="宋体"/>
                <w:b/>
                <w:bCs/>
                <w:kern w:val="0"/>
                <w:szCs w:val="21"/>
              </w:rPr>
            </w:pPr>
            <w:r>
              <w:rPr>
                <w:rFonts w:hint="eastAsia" w:cs="宋体"/>
                <w:b/>
                <w:bCs/>
                <w:kern w:val="0"/>
                <w:szCs w:val="21"/>
              </w:rPr>
              <w:t>类别</w:t>
            </w:r>
          </w:p>
        </w:tc>
        <w:tc>
          <w:tcPr>
            <w:tcW w:w="4202" w:type="pct"/>
            <w:tcBorders>
              <w:top w:val="single" w:color="auto" w:sz="4" w:space="0"/>
              <w:left w:val="nil"/>
              <w:bottom w:val="single" w:color="auto" w:sz="4" w:space="0"/>
              <w:right w:val="single" w:color="auto" w:sz="4" w:space="0"/>
            </w:tcBorders>
            <w:vAlign w:val="center"/>
          </w:tcPr>
          <w:p>
            <w:pPr>
              <w:widowControl/>
              <w:jc w:val="left"/>
              <w:rPr>
                <w:rFonts w:cs="宋体"/>
                <w:b/>
                <w:bCs/>
                <w:kern w:val="0"/>
                <w:szCs w:val="21"/>
              </w:rPr>
            </w:pPr>
            <w:r>
              <w:rPr>
                <w:rFonts w:hint="eastAsia" w:cs="宋体"/>
                <w:b/>
                <w:bCs/>
                <w:kern w:val="0"/>
                <w:szCs w:val="21"/>
              </w:rPr>
              <w:t>设备技术参数及性能（配置）要求</w:t>
            </w:r>
          </w:p>
        </w:tc>
      </w:tr>
      <w:tr>
        <w:tblPrEx>
          <w:tblCellMar>
            <w:top w:w="0" w:type="dxa"/>
            <w:left w:w="108" w:type="dxa"/>
            <w:bottom w:w="0" w:type="dxa"/>
            <w:right w:w="108" w:type="dxa"/>
          </w:tblCellMar>
        </w:tblPrEx>
        <w:trPr>
          <w:trHeight w:val="2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交换容量</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ascii="宋体" w:hAnsi="宋体" w:cs="宋体"/>
                <w:sz w:val="22"/>
              </w:rPr>
              <w:t>★</w:t>
            </w:r>
            <w:r>
              <w:rPr>
                <w:rFonts w:hint="eastAsia" w:cs="宋体"/>
                <w:kern w:val="0"/>
                <w:szCs w:val="21"/>
              </w:rPr>
              <w:t>交换容量≥2.56Tbps，转发性能≥</w:t>
            </w:r>
            <w:r>
              <w:rPr>
                <w:rFonts w:cs="宋体"/>
                <w:kern w:val="0"/>
                <w:szCs w:val="21"/>
              </w:rPr>
              <w:t>720</w:t>
            </w:r>
            <w:r>
              <w:rPr>
                <w:rFonts w:hint="eastAsia" w:cs="宋体"/>
                <w:kern w:val="0"/>
                <w:szCs w:val="21"/>
              </w:rPr>
              <w:t>Mpps，以官网所列最低参数为准；</w:t>
            </w:r>
          </w:p>
        </w:tc>
      </w:tr>
      <w:tr>
        <w:tblPrEx>
          <w:tblCellMar>
            <w:top w:w="0" w:type="dxa"/>
            <w:left w:w="108" w:type="dxa"/>
            <w:bottom w:w="0" w:type="dxa"/>
            <w:right w:w="108" w:type="dxa"/>
          </w:tblCellMar>
        </w:tblPrEx>
        <w:trPr>
          <w:trHeight w:val="280" w:hRule="atLeast"/>
          <w:jc w:val="center"/>
        </w:trPr>
        <w:tc>
          <w:tcPr>
            <w:tcW w:w="797" w:type="pct"/>
            <w:vMerge w:val="restar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硬件规格</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配置双电源，双风扇模块，支持前后、后前风道；</w:t>
            </w:r>
          </w:p>
        </w:tc>
      </w:tr>
      <w:tr>
        <w:trPr>
          <w:trHeight w:val="280" w:hRule="atLeast"/>
          <w:jc w:val="center"/>
        </w:trPr>
        <w:tc>
          <w:tcPr>
            <w:tcW w:w="797" w:type="pct"/>
            <w:vMerge w:val="continue"/>
            <w:tcBorders>
              <w:top w:val="nil"/>
              <w:left w:val="single" w:color="auto" w:sz="4" w:space="0"/>
              <w:bottom w:val="single" w:color="auto" w:sz="4" w:space="0"/>
              <w:right w:val="single" w:color="auto" w:sz="4" w:space="0"/>
            </w:tcBorders>
            <w:vAlign w:val="center"/>
          </w:tcPr>
          <w:p>
            <w:pPr>
              <w:widowControl/>
              <w:ind w:firstLine="360"/>
              <w:jc w:val="left"/>
              <w:rPr>
                <w:rFonts w:cs="宋体"/>
                <w:kern w:val="0"/>
                <w:szCs w:val="21"/>
              </w:rPr>
            </w:pP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bookmarkStart w:id="76" w:name="_Hlk181353047"/>
            <w:r>
              <w:rPr>
                <w:rFonts w:hint="eastAsia" w:cs="宋体"/>
                <w:kern w:val="0"/>
                <w:szCs w:val="21"/>
              </w:rPr>
              <w:t>提供的电源模块功率不超过500W,提供官网截图并加盖原厂公章</w:t>
            </w:r>
            <w:bookmarkEnd w:id="76"/>
            <w:r>
              <w:rPr>
                <w:rFonts w:hint="eastAsia" w:cs="宋体"/>
                <w:kern w:val="0"/>
                <w:szCs w:val="21"/>
              </w:rPr>
              <w:t>；</w:t>
            </w:r>
          </w:p>
        </w:tc>
      </w:tr>
      <w:tr>
        <w:tblPrEx>
          <w:tblCellMar>
            <w:top w:w="0" w:type="dxa"/>
            <w:left w:w="108" w:type="dxa"/>
            <w:bottom w:w="0" w:type="dxa"/>
            <w:right w:w="108" w:type="dxa"/>
          </w:tblCellMar>
        </w:tblPrEx>
        <w:trPr>
          <w:trHeight w:val="480" w:hRule="atLeast"/>
          <w:jc w:val="center"/>
        </w:trPr>
        <w:tc>
          <w:tcPr>
            <w:tcW w:w="797" w:type="pct"/>
            <w:vMerge w:val="continue"/>
            <w:tcBorders>
              <w:top w:val="nil"/>
              <w:left w:val="single" w:color="auto" w:sz="4" w:space="0"/>
              <w:bottom w:val="single" w:color="auto" w:sz="4" w:space="0"/>
              <w:right w:val="single" w:color="auto" w:sz="4" w:space="0"/>
            </w:tcBorders>
            <w:vAlign w:val="center"/>
          </w:tcPr>
          <w:p>
            <w:pPr>
              <w:widowControl/>
              <w:ind w:firstLine="360"/>
              <w:jc w:val="left"/>
              <w:rPr>
                <w:rFonts w:cs="宋体"/>
                <w:kern w:val="0"/>
                <w:szCs w:val="21"/>
              </w:rPr>
            </w:pP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bookmarkStart w:id="77" w:name="_Hlk181353140"/>
            <w:r>
              <w:rPr>
                <w:rFonts w:hint="eastAsia" w:cs="宋体"/>
                <w:kern w:val="0"/>
                <w:szCs w:val="21"/>
              </w:rPr>
              <w:t>▲支持≥2个扩展插槽，可扩展业务线卡和多功能插卡,提供官网截图并加盖原厂公章</w:t>
            </w:r>
            <w:bookmarkEnd w:id="77"/>
            <w:r>
              <w:rPr>
                <w:rFonts w:hint="eastAsia" w:cs="宋体"/>
                <w:kern w:val="0"/>
                <w:szCs w:val="21"/>
              </w:rPr>
              <w:t>；</w:t>
            </w:r>
          </w:p>
        </w:tc>
      </w:tr>
      <w:tr>
        <w:trPr>
          <w:trHeight w:val="87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软件规格</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整机最大路由地址表≥64K，整机最大ARP地址表≥64K，整机最大MAC地址表≥128K；</w:t>
            </w:r>
          </w:p>
        </w:tc>
      </w:tr>
      <w:tr>
        <w:tblPrEx>
          <w:tblCellMar>
            <w:top w:w="0" w:type="dxa"/>
            <w:left w:w="108" w:type="dxa"/>
            <w:bottom w:w="0" w:type="dxa"/>
            <w:right w:w="108" w:type="dxa"/>
          </w:tblCellMar>
        </w:tblPrEx>
        <w:trPr>
          <w:trHeight w:val="2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端口配置要求</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实配10 GE 光接口≥24个，40 GE光接口≥2个，扩展插槽≥</w:t>
            </w:r>
            <w:r>
              <w:rPr>
                <w:rFonts w:cs="宋体"/>
                <w:kern w:val="0"/>
                <w:szCs w:val="21"/>
              </w:rPr>
              <w:t>2</w:t>
            </w:r>
            <w:r>
              <w:rPr>
                <w:rFonts w:hint="eastAsia" w:cs="宋体"/>
                <w:kern w:val="0"/>
                <w:szCs w:val="21"/>
              </w:rPr>
              <w:t>个，配置≥</w:t>
            </w:r>
            <w:r>
              <w:rPr>
                <w:rFonts w:cs="宋体"/>
                <w:kern w:val="0"/>
                <w:szCs w:val="21"/>
              </w:rPr>
              <w:t>1</w:t>
            </w:r>
            <w:r>
              <w:rPr>
                <w:rFonts w:hint="eastAsia" w:cs="宋体"/>
                <w:kern w:val="0"/>
                <w:szCs w:val="21"/>
              </w:rPr>
              <w:t>块2端口</w:t>
            </w:r>
            <w:r>
              <w:rPr>
                <w:rFonts w:cs="宋体"/>
                <w:kern w:val="0"/>
                <w:szCs w:val="21"/>
              </w:rPr>
              <w:t xml:space="preserve">40G QSFP+ </w:t>
            </w:r>
            <w:r>
              <w:rPr>
                <w:rFonts w:hint="eastAsia" w:cs="宋体"/>
                <w:kern w:val="0"/>
                <w:szCs w:val="21"/>
              </w:rPr>
              <w:t>接口板，≥24个万兆多模光模块，≥</w:t>
            </w:r>
            <w:r>
              <w:rPr>
                <w:rFonts w:cs="宋体"/>
                <w:kern w:val="0"/>
                <w:szCs w:val="21"/>
              </w:rPr>
              <w:t>2</w:t>
            </w:r>
            <w:r>
              <w:rPr>
                <w:rFonts w:hint="eastAsia" w:cs="宋体"/>
                <w:kern w:val="0"/>
                <w:szCs w:val="21"/>
              </w:rPr>
              <w:t>个4</w:t>
            </w:r>
            <w:r>
              <w:rPr>
                <w:rFonts w:cs="宋体"/>
                <w:kern w:val="0"/>
                <w:szCs w:val="21"/>
              </w:rPr>
              <w:t>0G BIDI</w:t>
            </w:r>
            <w:r>
              <w:rPr>
                <w:rFonts w:hint="eastAsia" w:cs="宋体"/>
                <w:kern w:val="0"/>
                <w:szCs w:val="21"/>
              </w:rPr>
              <w:t>多模光模块，≥1根40G QSFP+ 3m堆叠线缆；</w:t>
            </w:r>
          </w:p>
        </w:tc>
      </w:tr>
      <w:tr>
        <w:tblPrEx>
          <w:tblCellMar>
            <w:top w:w="0" w:type="dxa"/>
            <w:left w:w="108" w:type="dxa"/>
            <w:bottom w:w="0" w:type="dxa"/>
            <w:right w:w="108" w:type="dxa"/>
          </w:tblCellMar>
        </w:tblPrEx>
        <w:trPr>
          <w:trHeight w:val="2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绿色制造名单</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bookmarkStart w:id="78" w:name="_Hlk181354221"/>
            <w:r>
              <w:rPr>
                <w:rFonts w:hint="eastAsia" w:cs="宋体"/>
                <w:kern w:val="0"/>
                <w:szCs w:val="21"/>
              </w:rPr>
              <w:t>入选工信部绿色制造名单，提供证明文件</w:t>
            </w:r>
            <w:bookmarkEnd w:id="78"/>
            <w:r>
              <w:rPr>
                <w:rFonts w:hint="eastAsia" w:cs="宋体"/>
                <w:kern w:val="0"/>
                <w:szCs w:val="21"/>
              </w:rPr>
              <w:t>；</w:t>
            </w:r>
          </w:p>
        </w:tc>
      </w:tr>
      <w:tr>
        <w:tblPrEx>
          <w:tblCellMar>
            <w:top w:w="0" w:type="dxa"/>
            <w:left w:w="108" w:type="dxa"/>
            <w:bottom w:w="0" w:type="dxa"/>
            <w:right w:w="108" w:type="dxa"/>
          </w:tblCellMar>
        </w:tblPrEx>
        <w:trPr>
          <w:trHeight w:val="2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三层功能</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支持IPv4</w:t>
            </w:r>
            <w:r>
              <w:rPr>
                <w:rFonts w:cs="宋体"/>
                <w:kern w:val="0"/>
                <w:szCs w:val="21"/>
              </w:rPr>
              <w:t>/IPv6</w:t>
            </w:r>
            <w:r>
              <w:rPr>
                <w:rFonts w:hint="eastAsia" w:cs="宋体"/>
                <w:kern w:val="0"/>
                <w:szCs w:val="21"/>
              </w:rPr>
              <w:t>静态路由、RIP、OSPF、ISIS、BGP；</w:t>
            </w:r>
          </w:p>
        </w:tc>
      </w:tr>
      <w:tr>
        <w:tblPrEx>
          <w:tblCellMar>
            <w:top w:w="0" w:type="dxa"/>
            <w:left w:w="108" w:type="dxa"/>
            <w:bottom w:w="0" w:type="dxa"/>
            <w:right w:w="108" w:type="dxa"/>
          </w:tblCellMar>
        </w:tblPrEx>
        <w:trPr>
          <w:trHeight w:val="4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防火墙插卡</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bookmarkStart w:id="79" w:name="_Hlk181354260"/>
            <w:r>
              <w:rPr>
                <w:rFonts w:hint="eastAsia" w:cs="宋体"/>
                <w:kern w:val="0"/>
                <w:szCs w:val="21"/>
              </w:rPr>
              <w:t>支持防火墙插卡，防火墙插卡集成多种安全模块，保障网络信息安全，提供权威机构第三方测试报告</w:t>
            </w:r>
            <w:bookmarkEnd w:id="79"/>
            <w:r>
              <w:rPr>
                <w:rFonts w:hint="eastAsia" w:cs="宋体"/>
                <w:kern w:val="0"/>
                <w:szCs w:val="21"/>
              </w:rPr>
              <w:t>；</w:t>
            </w:r>
          </w:p>
        </w:tc>
      </w:tr>
      <w:tr>
        <w:trPr>
          <w:trHeight w:val="2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维保</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提供</w:t>
            </w:r>
            <w:r>
              <w:rPr>
                <w:rFonts w:cs="宋体"/>
                <w:kern w:val="0"/>
                <w:szCs w:val="21"/>
              </w:rPr>
              <w:t>3</w:t>
            </w:r>
            <w:r>
              <w:rPr>
                <w:rFonts w:hint="eastAsia" w:cs="宋体"/>
                <w:kern w:val="0"/>
                <w:szCs w:val="21"/>
              </w:rPr>
              <w:t>年</w:t>
            </w:r>
            <w:r>
              <w:rPr>
                <w:rFonts w:cs="宋体"/>
                <w:kern w:val="0"/>
                <w:szCs w:val="21"/>
              </w:rPr>
              <w:t>7x24</w:t>
            </w:r>
            <w:r>
              <w:rPr>
                <w:rFonts w:hint="eastAsia" w:cs="宋体"/>
                <w:kern w:val="0"/>
                <w:szCs w:val="21"/>
              </w:rPr>
              <w:t>级别原厂维保,</w:t>
            </w:r>
            <w:r>
              <w:rPr>
                <w:rFonts w:hint="eastAsia" w:ascii="宋体" w:hAnsi="宋体" w:cs="宋体"/>
                <w:kern w:val="0"/>
                <w:szCs w:val="21"/>
              </w:rPr>
              <w:t>供应商需提供拟投原设备厂商针对本项目的授权函及售后服务承诺函；</w:t>
            </w:r>
          </w:p>
        </w:tc>
      </w:tr>
      <w:tr>
        <w:tblPrEx>
          <w:tblCellMar>
            <w:top w:w="0" w:type="dxa"/>
            <w:left w:w="108" w:type="dxa"/>
            <w:bottom w:w="0" w:type="dxa"/>
            <w:right w:w="108" w:type="dxa"/>
          </w:tblCellMar>
        </w:tblPrEx>
        <w:trPr>
          <w:trHeight w:val="280" w:hRule="atLeast"/>
          <w:jc w:val="center"/>
        </w:trPr>
        <w:tc>
          <w:tcPr>
            <w:tcW w:w="797"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资质</w:t>
            </w:r>
          </w:p>
        </w:tc>
        <w:tc>
          <w:tcPr>
            <w:tcW w:w="4202" w:type="pct"/>
            <w:tcBorders>
              <w:top w:val="nil"/>
              <w:left w:val="nil"/>
              <w:bottom w:val="single" w:color="auto" w:sz="4" w:space="0"/>
              <w:right w:val="single" w:color="auto" w:sz="4" w:space="0"/>
            </w:tcBorders>
            <w:vAlign w:val="center"/>
          </w:tcPr>
          <w:p>
            <w:pPr>
              <w:widowControl/>
              <w:jc w:val="left"/>
              <w:rPr>
                <w:rFonts w:cs="宋体"/>
                <w:kern w:val="0"/>
                <w:szCs w:val="21"/>
              </w:rPr>
            </w:pPr>
            <w:bookmarkStart w:id="80" w:name="_Hlk181354384"/>
            <w:r>
              <w:rPr>
                <w:rFonts w:hint="eastAsia" w:cs="宋体"/>
                <w:kern w:val="0"/>
                <w:szCs w:val="21"/>
              </w:rPr>
              <w:t>提供工信部入网证</w:t>
            </w:r>
            <w:bookmarkEnd w:id="80"/>
            <w:r>
              <w:rPr>
                <w:rFonts w:hint="eastAsia" w:cs="宋体"/>
                <w:kern w:val="0"/>
                <w:szCs w:val="21"/>
              </w:rPr>
              <w:t>；</w:t>
            </w:r>
          </w:p>
        </w:tc>
      </w:tr>
    </w:tbl>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r>
        <w:rPr>
          <w:rFonts w:hint="eastAsia" w:ascii="宋体" w:hAnsi="宋体" w:cs="宋体"/>
          <w:b/>
          <w:sz w:val="22"/>
          <w:szCs w:val="22"/>
        </w:rPr>
        <w:t>（6）交换机2（2台）</w:t>
      </w:r>
    </w:p>
    <w:tbl>
      <w:tblPr>
        <w:tblStyle w:val="53"/>
        <w:tblW w:w="4998" w:type="pct"/>
        <w:jc w:val="center"/>
        <w:tblLayout w:type="autofit"/>
        <w:tblCellMar>
          <w:top w:w="0" w:type="dxa"/>
          <w:left w:w="108" w:type="dxa"/>
          <w:bottom w:w="0" w:type="dxa"/>
          <w:right w:w="108" w:type="dxa"/>
        </w:tblCellMar>
      </w:tblPr>
      <w:tblGrid>
        <w:gridCol w:w="1378"/>
        <w:gridCol w:w="7340"/>
      </w:tblGrid>
      <w:tr>
        <w:tblPrEx>
          <w:tblCellMar>
            <w:top w:w="0" w:type="dxa"/>
            <w:left w:w="108" w:type="dxa"/>
            <w:bottom w:w="0" w:type="dxa"/>
            <w:right w:w="108" w:type="dxa"/>
          </w:tblCellMar>
        </w:tblPrEx>
        <w:trPr>
          <w:trHeight w:val="280" w:hRule="atLeast"/>
          <w:jc w:val="center"/>
        </w:trPr>
        <w:tc>
          <w:tcPr>
            <w:tcW w:w="790" w:type="pct"/>
            <w:tcBorders>
              <w:top w:val="single" w:color="auto" w:sz="4" w:space="0"/>
              <w:left w:val="single" w:color="auto" w:sz="4" w:space="0"/>
              <w:bottom w:val="single" w:color="auto" w:sz="4" w:space="0"/>
              <w:right w:val="single" w:color="auto" w:sz="4" w:space="0"/>
            </w:tcBorders>
            <w:vAlign w:val="center"/>
          </w:tcPr>
          <w:p>
            <w:pPr>
              <w:widowControl/>
              <w:rPr>
                <w:rFonts w:cs="宋体"/>
                <w:b/>
                <w:bCs/>
                <w:kern w:val="0"/>
                <w:szCs w:val="21"/>
              </w:rPr>
            </w:pPr>
            <w:r>
              <w:rPr>
                <w:rFonts w:hint="eastAsia" w:cs="宋体"/>
                <w:b/>
                <w:bCs/>
                <w:kern w:val="0"/>
                <w:szCs w:val="21"/>
              </w:rPr>
              <w:t>类别</w:t>
            </w:r>
          </w:p>
        </w:tc>
        <w:tc>
          <w:tcPr>
            <w:tcW w:w="4209" w:type="pct"/>
            <w:tcBorders>
              <w:top w:val="single" w:color="auto" w:sz="4" w:space="0"/>
              <w:left w:val="nil"/>
              <w:bottom w:val="single" w:color="auto" w:sz="4" w:space="0"/>
              <w:right w:val="single" w:color="auto" w:sz="4" w:space="0"/>
            </w:tcBorders>
            <w:vAlign w:val="center"/>
          </w:tcPr>
          <w:p>
            <w:pPr>
              <w:widowControl/>
              <w:jc w:val="left"/>
              <w:rPr>
                <w:rFonts w:cs="宋体"/>
                <w:b/>
                <w:bCs/>
                <w:kern w:val="0"/>
                <w:szCs w:val="21"/>
              </w:rPr>
            </w:pPr>
            <w:r>
              <w:rPr>
                <w:rFonts w:hint="eastAsia" w:cs="宋体"/>
                <w:b/>
                <w:bCs/>
                <w:kern w:val="0"/>
                <w:szCs w:val="21"/>
              </w:rPr>
              <w:t>设备技术参数及性能（配置）要求</w:t>
            </w:r>
          </w:p>
        </w:tc>
      </w:tr>
      <w:tr>
        <w:tblPrEx>
          <w:tblCellMar>
            <w:top w:w="0" w:type="dxa"/>
            <w:left w:w="108" w:type="dxa"/>
            <w:bottom w:w="0" w:type="dxa"/>
            <w:right w:w="108" w:type="dxa"/>
          </w:tblCellMar>
        </w:tblPrEx>
        <w:trPr>
          <w:trHeight w:val="2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交换容量</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ascii="宋体" w:hAnsi="宋体" w:cs="宋体"/>
                <w:sz w:val="22"/>
              </w:rPr>
              <w:t>★</w:t>
            </w:r>
            <w:r>
              <w:rPr>
                <w:rFonts w:hint="eastAsia" w:cs="宋体"/>
                <w:kern w:val="0"/>
                <w:szCs w:val="21"/>
              </w:rPr>
              <w:t>交换容量≥2.56Tbps，转发性能≥</w:t>
            </w:r>
            <w:r>
              <w:rPr>
                <w:rFonts w:cs="宋体"/>
                <w:kern w:val="0"/>
                <w:szCs w:val="21"/>
              </w:rPr>
              <w:t>720</w:t>
            </w:r>
            <w:r>
              <w:rPr>
                <w:rFonts w:hint="eastAsia" w:cs="宋体"/>
                <w:kern w:val="0"/>
                <w:szCs w:val="21"/>
              </w:rPr>
              <w:t>Mpps，以官网所列最低参数为准，提供官网截图证明；</w:t>
            </w:r>
          </w:p>
        </w:tc>
      </w:tr>
      <w:tr>
        <w:tblPrEx>
          <w:tblCellMar>
            <w:top w:w="0" w:type="dxa"/>
            <w:left w:w="108" w:type="dxa"/>
            <w:bottom w:w="0" w:type="dxa"/>
            <w:right w:w="108" w:type="dxa"/>
          </w:tblCellMar>
        </w:tblPrEx>
        <w:trPr>
          <w:trHeight w:val="280" w:hRule="atLeast"/>
          <w:jc w:val="center"/>
        </w:trPr>
        <w:tc>
          <w:tcPr>
            <w:tcW w:w="790" w:type="pct"/>
            <w:vMerge w:val="restar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硬件规格</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配置双电源，双风扇模块，支持前后、后前风道；</w:t>
            </w:r>
          </w:p>
        </w:tc>
      </w:tr>
      <w:tr>
        <w:tblPrEx>
          <w:tblCellMar>
            <w:top w:w="0" w:type="dxa"/>
            <w:left w:w="108" w:type="dxa"/>
            <w:bottom w:w="0" w:type="dxa"/>
            <w:right w:w="108" w:type="dxa"/>
          </w:tblCellMar>
        </w:tblPrEx>
        <w:trPr>
          <w:trHeight w:val="280" w:hRule="atLeast"/>
          <w:jc w:val="center"/>
        </w:trPr>
        <w:tc>
          <w:tcPr>
            <w:tcW w:w="790" w:type="pct"/>
            <w:vMerge w:val="continue"/>
            <w:tcBorders>
              <w:top w:val="nil"/>
              <w:left w:val="single" w:color="auto" w:sz="4" w:space="0"/>
              <w:bottom w:val="single" w:color="auto" w:sz="4" w:space="0"/>
              <w:right w:val="single" w:color="auto" w:sz="4" w:space="0"/>
            </w:tcBorders>
            <w:vAlign w:val="center"/>
          </w:tcPr>
          <w:p>
            <w:pPr>
              <w:widowControl/>
              <w:ind w:firstLine="360"/>
              <w:jc w:val="left"/>
              <w:rPr>
                <w:rFonts w:cs="宋体"/>
                <w:kern w:val="0"/>
                <w:szCs w:val="21"/>
              </w:rPr>
            </w:pP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提供的电源模块功率不超过500W,提供官网截图并加盖原厂公章；</w:t>
            </w:r>
          </w:p>
        </w:tc>
      </w:tr>
      <w:tr>
        <w:tblPrEx>
          <w:tblCellMar>
            <w:top w:w="0" w:type="dxa"/>
            <w:left w:w="108" w:type="dxa"/>
            <w:bottom w:w="0" w:type="dxa"/>
            <w:right w:w="108" w:type="dxa"/>
          </w:tblCellMar>
        </w:tblPrEx>
        <w:trPr>
          <w:trHeight w:val="480" w:hRule="atLeast"/>
          <w:jc w:val="center"/>
        </w:trPr>
        <w:tc>
          <w:tcPr>
            <w:tcW w:w="790" w:type="pct"/>
            <w:vMerge w:val="continue"/>
            <w:tcBorders>
              <w:top w:val="nil"/>
              <w:left w:val="single" w:color="auto" w:sz="4" w:space="0"/>
              <w:bottom w:val="single" w:color="auto" w:sz="4" w:space="0"/>
              <w:right w:val="single" w:color="auto" w:sz="4" w:space="0"/>
            </w:tcBorders>
            <w:vAlign w:val="center"/>
          </w:tcPr>
          <w:p>
            <w:pPr>
              <w:widowControl/>
              <w:ind w:firstLine="360"/>
              <w:jc w:val="left"/>
              <w:rPr>
                <w:rFonts w:cs="宋体"/>
                <w:kern w:val="0"/>
                <w:szCs w:val="21"/>
              </w:rPr>
            </w:pP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▲支持≥2个扩展插槽，可扩展业务线卡和多功能插卡,提供官网截图；</w:t>
            </w:r>
          </w:p>
        </w:tc>
      </w:tr>
      <w:tr>
        <w:tblPrEx>
          <w:tblCellMar>
            <w:top w:w="0" w:type="dxa"/>
            <w:left w:w="108" w:type="dxa"/>
            <w:bottom w:w="0" w:type="dxa"/>
            <w:right w:w="108" w:type="dxa"/>
          </w:tblCellMar>
        </w:tblPrEx>
        <w:trPr>
          <w:trHeight w:val="87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软件规格</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整机最大路由地址表≥64K，整机最大ARP地址表≥64K，整机最大MAC地址表≥128K；</w:t>
            </w:r>
          </w:p>
        </w:tc>
      </w:tr>
      <w:tr>
        <w:tblPrEx>
          <w:tblCellMar>
            <w:top w:w="0" w:type="dxa"/>
            <w:left w:w="108" w:type="dxa"/>
            <w:bottom w:w="0" w:type="dxa"/>
            <w:right w:w="108" w:type="dxa"/>
          </w:tblCellMar>
        </w:tblPrEx>
        <w:trPr>
          <w:trHeight w:val="2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端口配置要求</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实配10 GE 光接口≥24个，40 GE光接口≥2个，扩展插槽≥</w:t>
            </w:r>
            <w:r>
              <w:rPr>
                <w:rFonts w:cs="宋体"/>
                <w:kern w:val="0"/>
                <w:szCs w:val="21"/>
              </w:rPr>
              <w:t>2</w:t>
            </w:r>
            <w:r>
              <w:rPr>
                <w:rFonts w:hint="eastAsia" w:cs="宋体"/>
                <w:kern w:val="0"/>
                <w:szCs w:val="21"/>
              </w:rPr>
              <w:t>个，配置≥</w:t>
            </w:r>
            <w:r>
              <w:rPr>
                <w:rFonts w:cs="宋体"/>
                <w:kern w:val="0"/>
                <w:szCs w:val="21"/>
              </w:rPr>
              <w:t>1</w:t>
            </w:r>
            <w:r>
              <w:rPr>
                <w:rFonts w:hint="eastAsia" w:cs="宋体"/>
                <w:kern w:val="0"/>
                <w:szCs w:val="21"/>
              </w:rPr>
              <w:t>块2端口</w:t>
            </w:r>
            <w:r>
              <w:rPr>
                <w:rFonts w:cs="宋体"/>
                <w:kern w:val="0"/>
                <w:szCs w:val="21"/>
              </w:rPr>
              <w:t xml:space="preserve">40G QSFP+ </w:t>
            </w:r>
            <w:r>
              <w:rPr>
                <w:rFonts w:hint="eastAsia" w:cs="宋体"/>
                <w:kern w:val="0"/>
                <w:szCs w:val="21"/>
              </w:rPr>
              <w:t>接口板，≥24个万兆多模光模块，≥</w:t>
            </w:r>
            <w:r>
              <w:rPr>
                <w:rFonts w:cs="宋体"/>
                <w:kern w:val="0"/>
                <w:szCs w:val="21"/>
              </w:rPr>
              <w:t>3</w:t>
            </w:r>
            <w:r>
              <w:rPr>
                <w:rFonts w:hint="eastAsia" w:cs="宋体"/>
                <w:kern w:val="0"/>
                <w:szCs w:val="21"/>
              </w:rPr>
              <w:t>个4</w:t>
            </w:r>
            <w:r>
              <w:rPr>
                <w:rFonts w:cs="宋体"/>
                <w:kern w:val="0"/>
                <w:szCs w:val="21"/>
              </w:rPr>
              <w:t>0G BIDI</w:t>
            </w:r>
            <w:r>
              <w:rPr>
                <w:rFonts w:hint="eastAsia" w:cs="宋体"/>
                <w:kern w:val="0"/>
                <w:szCs w:val="21"/>
              </w:rPr>
              <w:t>多模光模块，≥1根40G QSFP+ 3m堆叠线缆；</w:t>
            </w:r>
          </w:p>
        </w:tc>
      </w:tr>
      <w:tr>
        <w:tblPrEx>
          <w:tblCellMar>
            <w:top w:w="0" w:type="dxa"/>
            <w:left w:w="108" w:type="dxa"/>
            <w:bottom w:w="0" w:type="dxa"/>
            <w:right w:w="108" w:type="dxa"/>
          </w:tblCellMar>
        </w:tblPrEx>
        <w:trPr>
          <w:trHeight w:val="2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绿色制造名单</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入选工信部绿色制造名单，提供证明文件；</w:t>
            </w:r>
          </w:p>
        </w:tc>
      </w:tr>
      <w:tr>
        <w:tblPrEx>
          <w:tblCellMar>
            <w:top w:w="0" w:type="dxa"/>
            <w:left w:w="108" w:type="dxa"/>
            <w:bottom w:w="0" w:type="dxa"/>
            <w:right w:w="108" w:type="dxa"/>
          </w:tblCellMar>
        </w:tblPrEx>
        <w:trPr>
          <w:trHeight w:val="2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三层功能</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支持IPv4</w:t>
            </w:r>
            <w:r>
              <w:rPr>
                <w:rFonts w:cs="宋体"/>
                <w:kern w:val="0"/>
                <w:szCs w:val="21"/>
              </w:rPr>
              <w:t>/IPv6</w:t>
            </w:r>
            <w:r>
              <w:rPr>
                <w:rFonts w:hint="eastAsia" w:cs="宋体"/>
                <w:kern w:val="0"/>
                <w:szCs w:val="21"/>
              </w:rPr>
              <w:t>静态路由、RIP、OSPF、ISIS、BGP；</w:t>
            </w:r>
          </w:p>
        </w:tc>
      </w:tr>
      <w:tr>
        <w:tblPrEx>
          <w:tblCellMar>
            <w:top w:w="0" w:type="dxa"/>
            <w:left w:w="108" w:type="dxa"/>
            <w:bottom w:w="0" w:type="dxa"/>
            <w:right w:w="108" w:type="dxa"/>
          </w:tblCellMar>
        </w:tblPrEx>
        <w:trPr>
          <w:trHeight w:val="4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防火墙插卡</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支持防火墙插卡，防火墙插卡集成多种安全模块，保障网络信息安全，提供权威机构第三方测试报告；</w:t>
            </w:r>
          </w:p>
        </w:tc>
      </w:tr>
      <w:tr>
        <w:tblPrEx>
          <w:tblCellMar>
            <w:top w:w="0" w:type="dxa"/>
            <w:left w:w="108" w:type="dxa"/>
            <w:bottom w:w="0" w:type="dxa"/>
            <w:right w:w="108" w:type="dxa"/>
          </w:tblCellMar>
        </w:tblPrEx>
        <w:trPr>
          <w:trHeight w:val="2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维保</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提供</w:t>
            </w:r>
            <w:r>
              <w:rPr>
                <w:rFonts w:cs="宋体"/>
                <w:kern w:val="0"/>
                <w:szCs w:val="21"/>
              </w:rPr>
              <w:t>3</w:t>
            </w:r>
            <w:r>
              <w:rPr>
                <w:rFonts w:hint="eastAsia" w:cs="宋体"/>
                <w:kern w:val="0"/>
                <w:szCs w:val="21"/>
              </w:rPr>
              <w:t>年</w:t>
            </w:r>
            <w:r>
              <w:rPr>
                <w:rFonts w:cs="宋体"/>
                <w:kern w:val="0"/>
                <w:szCs w:val="21"/>
              </w:rPr>
              <w:t>7x24</w:t>
            </w:r>
            <w:r>
              <w:rPr>
                <w:rFonts w:hint="eastAsia" w:cs="宋体"/>
                <w:kern w:val="0"/>
                <w:szCs w:val="21"/>
              </w:rPr>
              <w:t>级别原厂维保,</w:t>
            </w:r>
            <w:r>
              <w:rPr>
                <w:rFonts w:hint="eastAsia" w:ascii="宋体" w:hAnsi="宋体" w:cs="宋体"/>
                <w:kern w:val="0"/>
                <w:szCs w:val="21"/>
              </w:rPr>
              <w:t>供应商需提供拟投设备原厂商针对本项目的授权函及售后服务承诺函；</w:t>
            </w:r>
          </w:p>
        </w:tc>
      </w:tr>
      <w:tr>
        <w:tblPrEx>
          <w:tblCellMar>
            <w:top w:w="0" w:type="dxa"/>
            <w:left w:w="108" w:type="dxa"/>
            <w:bottom w:w="0" w:type="dxa"/>
            <w:right w:w="108" w:type="dxa"/>
          </w:tblCellMar>
        </w:tblPrEx>
        <w:trPr>
          <w:trHeight w:val="280" w:hRule="atLeast"/>
          <w:jc w:val="center"/>
        </w:trPr>
        <w:tc>
          <w:tcPr>
            <w:tcW w:w="790" w:type="pct"/>
            <w:tcBorders>
              <w:top w:val="nil"/>
              <w:left w:val="single" w:color="auto" w:sz="4" w:space="0"/>
              <w:bottom w:val="single" w:color="auto" w:sz="4" w:space="0"/>
              <w:right w:val="single" w:color="auto" w:sz="4" w:space="0"/>
            </w:tcBorders>
            <w:vAlign w:val="center"/>
          </w:tcPr>
          <w:p>
            <w:pPr>
              <w:widowControl/>
              <w:rPr>
                <w:rFonts w:cs="宋体"/>
                <w:kern w:val="0"/>
                <w:szCs w:val="21"/>
              </w:rPr>
            </w:pPr>
            <w:r>
              <w:rPr>
                <w:rFonts w:hint="eastAsia" w:cs="宋体"/>
                <w:kern w:val="0"/>
                <w:szCs w:val="21"/>
              </w:rPr>
              <w:t>资质</w:t>
            </w:r>
          </w:p>
        </w:tc>
        <w:tc>
          <w:tcPr>
            <w:tcW w:w="4209" w:type="pct"/>
            <w:tcBorders>
              <w:top w:val="nil"/>
              <w:left w:val="nil"/>
              <w:bottom w:val="single" w:color="auto" w:sz="4" w:space="0"/>
              <w:right w:val="single" w:color="auto" w:sz="4" w:space="0"/>
            </w:tcBorders>
            <w:vAlign w:val="center"/>
          </w:tcPr>
          <w:p>
            <w:pPr>
              <w:widowControl/>
              <w:jc w:val="left"/>
              <w:rPr>
                <w:rFonts w:cs="宋体"/>
                <w:kern w:val="0"/>
                <w:szCs w:val="21"/>
              </w:rPr>
            </w:pPr>
            <w:r>
              <w:rPr>
                <w:rFonts w:hint="eastAsia" w:cs="宋体"/>
                <w:kern w:val="0"/>
                <w:szCs w:val="21"/>
              </w:rPr>
              <w:t>提供工信部入网证；</w:t>
            </w:r>
          </w:p>
        </w:tc>
      </w:tr>
    </w:tbl>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r>
        <w:rPr>
          <w:rFonts w:hint="eastAsia" w:ascii="宋体" w:hAnsi="宋体" w:cs="宋体"/>
          <w:b/>
          <w:sz w:val="22"/>
          <w:szCs w:val="22"/>
        </w:rPr>
        <w:t>（7）块存储服务器（4台）</w:t>
      </w:r>
    </w:p>
    <w:p>
      <w:pPr>
        <w:pStyle w:val="4"/>
        <w:ind w:firstLine="442"/>
        <w:rPr>
          <w:rFonts w:hint="eastAsia" w:ascii="宋体" w:hAnsi="宋体" w:cs="宋体"/>
          <w:b/>
          <w:sz w:val="22"/>
          <w:szCs w:val="22"/>
        </w:rPr>
      </w:pP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1343"/>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b/>
                <w:bCs/>
                <w:kern w:val="0"/>
                <w:szCs w:val="21"/>
              </w:rPr>
            </w:pPr>
            <w:r>
              <w:rPr>
                <w:rFonts w:hint="eastAsia" w:ascii="宋体" w:hAnsi="宋体" w:cs="宋体"/>
                <w:b/>
                <w:bCs/>
                <w:kern w:val="0"/>
                <w:szCs w:val="21"/>
              </w:rPr>
              <w:t>类别</w:t>
            </w:r>
          </w:p>
        </w:tc>
        <w:tc>
          <w:tcPr>
            <w:tcW w:w="1343" w:type="dxa"/>
            <w:vAlign w:val="center"/>
          </w:tcPr>
          <w:p>
            <w:pPr>
              <w:jc w:val="center"/>
              <w:rPr>
                <w:rFonts w:hint="eastAsia" w:ascii="宋体" w:hAnsi="宋体" w:cs="宋体"/>
                <w:b/>
                <w:bCs/>
                <w:kern w:val="0"/>
                <w:szCs w:val="21"/>
              </w:rPr>
            </w:pPr>
            <w:r>
              <w:rPr>
                <w:rFonts w:hint="eastAsia" w:ascii="宋体" w:hAnsi="宋体" w:cs="宋体"/>
                <w:b/>
                <w:bCs/>
                <w:kern w:val="0"/>
                <w:szCs w:val="21"/>
              </w:rPr>
              <w:t>设备指标项</w:t>
            </w:r>
          </w:p>
        </w:tc>
        <w:tc>
          <w:tcPr>
            <w:tcW w:w="6266" w:type="dxa"/>
            <w:vAlign w:val="center"/>
          </w:tcPr>
          <w:p>
            <w:pPr>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品牌</w:t>
            </w:r>
          </w:p>
        </w:tc>
        <w:tc>
          <w:tcPr>
            <w:tcW w:w="0" w:type="auto"/>
            <w:gridSpan w:val="2"/>
            <w:vAlign w:val="center"/>
          </w:tcPr>
          <w:p>
            <w:pPr>
              <w:jc w:val="left"/>
              <w:rPr>
                <w:rFonts w:hint="eastAsia" w:ascii="宋体" w:hAnsi="宋体" w:cs="宋体"/>
                <w:kern w:val="0"/>
                <w:szCs w:val="21"/>
              </w:rPr>
            </w:pPr>
            <w:r>
              <w:rPr>
                <w:rFonts w:hint="eastAsia" w:ascii="宋体" w:hAnsi="宋体" w:cs="宋体"/>
                <w:kern w:val="0"/>
                <w:szCs w:val="21"/>
              </w:rPr>
              <w:t>本项目要求国产非OEM产品投标；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外观结构</w:t>
            </w:r>
          </w:p>
        </w:tc>
        <w:tc>
          <w:tcPr>
            <w:tcW w:w="1343" w:type="dxa"/>
            <w:vAlign w:val="center"/>
          </w:tcPr>
          <w:p>
            <w:pPr>
              <w:jc w:val="center"/>
              <w:rPr>
                <w:rFonts w:hint="eastAsia" w:ascii="宋体" w:hAnsi="宋体" w:cs="宋体"/>
                <w:b/>
                <w:bCs/>
                <w:kern w:val="0"/>
                <w:szCs w:val="21"/>
              </w:rPr>
            </w:pPr>
            <w:r>
              <w:rPr>
                <w:rFonts w:hint="eastAsia" w:ascii="宋体" w:hAnsi="宋体" w:cs="宋体"/>
                <w:kern w:val="0"/>
                <w:szCs w:val="21"/>
              </w:rPr>
              <w:t>类型</w:t>
            </w:r>
          </w:p>
        </w:tc>
        <w:tc>
          <w:tcPr>
            <w:tcW w:w="6266" w:type="dxa"/>
            <w:vAlign w:val="center"/>
          </w:tcPr>
          <w:p>
            <w:pPr>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处理器</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266" w:type="dxa"/>
            <w:vAlign w:val="center"/>
          </w:tcPr>
          <w:p>
            <w:pPr>
              <w:rPr>
                <w:rFonts w:hint="eastAsia" w:ascii="宋体" w:hAnsi="宋体" w:cs="宋体"/>
                <w:kern w:val="0"/>
                <w:szCs w:val="21"/>
              </w:rPr>
            </w:pPr>
            <w:r>
              <w:rPr>
                <w:rFonts w:hint="eastAsia" w:ascii="宋体" w:hAnsi="宋体" w:cs="宋体"/>
                <w:kern w:val="0"/>
                <w:szCs w:val="21"/>
              </w:rPr>
              <w:t>不低于英特尔®至强®可扩展系列，≥2颗处理器，支持铂金、金牌、银牌、铜牌全系列级别，单颗多达64个核心，最大功率385W；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CPU个数≥2颗，CPU型号为英特尔至强金牌</w:t>
            </w:r>
            <w:r>
              <w:rPr>
                <w:rFonts w:ascii="宋体" w:hAnsi="宋体" w:cs="宋体"/>
                <w:kern w:val="0"/>
                <w:szCs w:val="21"/>
              </w:rPr>
              <w:t>4516Y+</w:t>
            </w:r>
            <w:r>
              <w:rPr>
                <w:rFonts w:hint="eastAsia" w:ascii="宋体" w:hAnsi="宋体" w:cs="宋体"/>
                <w:kern w:val="0"/>
                <w:szCs w:val="21"/>
              </w:rPr>
              <w:t>或更高级别，每颗CPU≥</w:t>
            </w:r>
            <w:r>
              <w:rPr>
                <w:rFonts w:ascii="宋体" w:hAnsi="宋体" w:cs="宋体"/>
                <w:kern w:val="0"/>
                <w:szCs w:val="21"/>
              </w:rPr>
              <w:t>24</w:t>
            </w:r>
            <w:r>
              <w:rPr>
                <w:rFonts w:hint="eastAsia" w:ascii="宋体" w:hAnsi="宋体" w:cs="宋体"/>
                <w:kern w:val="0"/>
                <w:szCs w:val="21"/>
              </w:rPr>
              <w:t>核，2</w:t>
            </w:r>
            <w:r>
              <w:rPr>
                <w:rFonts w:ascii="宋体" w:hAnsi="宋体" w:cs="宋体"/>
                <w:kern w:val="0"/>
                <w:szCs w:val="21"/>
              </w:rPr>
              <w:t>.2</w:t>
            </w:r>
            <w:r>
              <w:rPr>
                <w:rFonts w:hint="eastAsia" w:ascii="宋体" w:hAnsi="宋体" w:cs="宋体"/>
                <w:kern w:val="0"/>
                <w:szCs w:val="21"/>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内存</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266" w:type="dxa"/>
            <w:vAlign w:val="center"/>
          </w:tcPr>
          <w:p>
            <w:pPr>
              <w:rPr>
                <w:rFonts w:hint="eastAsia" w:ascii="宋体" w:hAnsi="宋体" w:cs="宋体"/>
                <w:kern w:val="0"/>
                <w:szCs w:val="21"/>
              </w:rPr>
            </w:pPr>
            <w:r>
              <w:rPr>
                <w:rFonts w:hint="eastAsia" w:ascii="宋体" w:hAnsi="宋体" w:cs="宋体"/>
                <w:kern w:val="0"/>
                <w:szCs w:val="21"/>
              </w:rPr>
              <w:t>支持多达32个DDR5内存槽位，速率最高支持5600MT/s，支持RDIMM或</w:t>
            </w:r>
            <w:r>
              <w:rPr>
                <w:rFonts w:ascii="宋体" w:hAnsi="宋体" w:cs="宋体"/>
                <w:kern w:val="0"/>
                <w:szCs w:val="21"/>
              </w:rPr>
              <w:t>LRDIMM</w:t>
            </w:r>
            <w:r>
              <w:rPr>
                <w:rFonts w:hint="eastAsia" w:ascii="宋体" w:hAnsi="宋体" w:cs="宋体"/>
                <w:kern w:val="0"/>
                <w:szCs w:val="21"/>
              </w:rPr>
              <w:t>，双路处理器最大容量8TB；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w:t>
            </w:r>
            <w:r>
              <w:rPr>
                <w:rFonts w:ascii="宋体" w:hAnsi="宋体" w:cs="宋体"/>
                <w:kern w:val="0"/>
                <w:szCs w:val="21"/>
              </w:rPr>
              <w:t>32</w:t>
            </w:r>
            <w:r>
              <w:rPr>
                <w:rFonts w:hint="eastAsia" w:ascii="宋体" w:hAnsi="宋体" w:cs="宋体"/>
                <w:kern w:val="0"/>
                <w:szCs w:val="21"/>
              </w:rPr>
              <w:t>GB DDR5，频率5600MT/s，单条容量</w:t>
            </w:r>
            <w:r>
              <w:rPr>
                <w:rFonts w:ascii="宋体" w:hAnsi="宋体" w:cs="宋体"/>
                <w:kern w:val="0"/>
                <w:szCs w:val="21"/>
              </w:rPr>
              <w:t>32</w:t>
            </w:r>
            <w:r>
              <w:rPr>
                <w:rFonts w:hint="eastAsia" w:ascii="宋体" w:hAnsi="宋体" w:cs="宋体"/>
                <w:kern w:val="0"/>
                <w:szCs w:val="21"/>
              </w:rPr>
              <w:t>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硬盘</w:t>
            </w:r>
          </w:p>
        </w:tc>
        <w:tc>
          <w:tcPr>
            <w:tcW w:w="1343" w:type="dxa"/>
            <w:vAlign w:val="center"/>
          </w:tcPr>
          <w:p>
            <w:pPr>
              <w:rPr>
                <w:rFonts w:hint="eastAsia" w:ascii="宋体" w:hAnsi="宋体" w:cs="宋体"/>
                <w:kern w:val="0"/>
                <w:szCs w:val="21"/>
              </w:rPr>
            </w:pPr>
            <w:r>
              <w:rPr>
                <w:rFonts w:hint="eastAsia" w:ascii="宋体" w:hAnsi="宋体" w:cs="宋体"/>
                <w:kern w:val="0"/>
                <w:szCs w:val="21"/>
              </w:rPr>
              <w:t>支持能力</w:t>
            </w:r>
          </w:p>
        </w:tc>
        <w:tc>
          <w:tcPr>
            <w:tcW w:w="6266" w:type="dxa"/>
            <w:vAlign w:val="center"/>
          </w:tcPr>
          <w:p>
            <w:pPr>
              <w:rPr>
                <w:rFonts w:hint="eastAsia" w:ascii="宋体" w:hAnsi="宋体" w:cs="宋体"/>
                <w:kern w:val="0"/>
                <w:szCs w:val="21"/>
              </w:rPr>
            </w:pPr>
            <w:r>
              <w:rPr>
                <w:rFonts w:hint="eastAsia" w:ascii="宋体" w:hAnsi="宋体" w:cs="宋体"/>
                <w:kern w:val="0"/>
                <w:szCs w:val="21"/>
              </w:rPr>
              <w:t>≥12个3.5英寸SAS/SATA/SSD硬盘槽位，支持操作系统安装；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硬盘：配置不少于2块480GB 6G SATA 3.5in SSD通用硬盘；</w:t>
            </w:r>
            <w:r>
              <w:rPr>
                <w:rFonts w:ascii="宋体" w:hAnsi="宋体" w:cs="宋体"/>
                <w:szCs w:val="21"/>
              </w:rPr>
              <w:t>2</w:t>
            </w:r>
            <w:r>
              <w:rPr>
                <w:rFonts w:hint="eastAsia" w:ascii="宋体" w:hAnsi="宋体" w:cs="宋体"/>
                <w:szCs w:val="21"/>
              </w:rPr>
              <w:t>块</w:t>
            </w:r>
            <w:r>
              <w:rPr>
                <w:rFonts w:ascii="宋体" w:hAnsi="宋体" w:cs="宋体"/>
                <w:szCs w:val="21"/>
              </w:rPr>
              <w:t>3.2TB PCIe*Gen4X4 NVMe 3.5in SSD</w:t>
            </w:r>
            <w:r>
              <w:rPr>
                <w:rFonts w:hint="eastAsia" w:ascii="宋体" w:hAnsi="宋体" w:cs="宋体"/>
                <w:szCs w:val="21"/>
              </w:rPr>
              <w:t>通用硬盘；</w:t>
            </w:r>
            <w:r>
              <w:rPr>
                <w:rFonts w:ascii="宋体" w:hAnsi="宋体" w:cs="宋体"/>
                <w:szCs w:val="21"/>
              </w:rPr>
              <w:t>10</w:t>
            </w:r>
            <w:r>
              <w:rPr>
                <w:rFonts w:hint="eastAsia" w:ascii="宋体" w:hAnsi="宋体" w:cs="宋体"/>
                <w:szCs w:val="21"/>
              </w:rPr>
              <w:t>块8TB 6G SATA 7.2K 3.5in</w:t>
            </w:r>
            <w:r>
              <w:rPr>
                <w:rFonts w:ascii="宋体" w:hAnsi="宋体" w:cs="宋体"/>
                <w:szCs w:val="21"/>
              </w:rPr>
              <w:t xml:space="preserve"> </w:t>
            </w:r>
            <w:r>
              <w:rPr>
                <w:rFonts w:hint="eastAsia" w:ascii="宋体" w:hAnsi="宋体" w:cs="宋体"/>
                <w:szCs w:val="21"/>
              </w:rPr>
              <w:t>HDD通用硬盘；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阵列控制器</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Raid支持</w:t>
            </w:r>
          </w:p>
        </w:tc>
        <w:tc>
          <w:tcPr>
            <w:tcW w:w="6266" w:type="dxa"/>
            <w:vAlign w:val="center"/>
          </w:tcPr>
          <w:p>
            <w:pPr>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可靠性</w:t>
            </w:r>
          </w:p>
        </w:tc>
        <w:tc>
          <w:tcPr>
            <w:tcW w:w="6266" w:type="dxa"/>
            <w:vAlign w:val="center"/>
          </w:tcPr>
          <w:p>
            <w:pPr>
              <w:rPr>
                <w:rFonts w:hint="eastAsia" w:ascii="宋体" w:hAnsi="宋体" w:cs="宋体"/>
                <w:kern w:val="0"/>
                <w:szCs w:val="21"/>
              </w:rPr>
            </w:pPr>
            <w:r>
              <w:rPr>
                <w:rFonts w:hint="eastAsia" w:ascii="宋体" w:hAnsi="宋体" w:cs="宋体"/>
                <w:kern w:val="0"/>
                <w:szCs w:val="21"/>
              </w:rPr>
              <w:t>支持掉电保护功能；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b/>
                <w:bCs/>
                <w:kern w:val="0"/>
                <w:szCs w:val="21"/>
              </w:rPr>
            </w:pPr>
            <w:r>
              <w:rPr>
                <w:rFonts w:hint="eastAsia" w:ascii="宋体" w:hAnsi="宋体" w:cs="宋体"/>
                <w:kern w:val="0"/>
                <w:szCs w:val="21"/>
              </w:rPr>
              <w:t>Raid缓存</w:t>
            </w:r>
          </w:p>
        </w:tc>
        <w:tc>
          <w:tcPr>
            <w:tcW w:w="6266"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PCI-E</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扩展能力</w:t>
            </w:r>
          </w:p>
        </w:tc>
        <w:tc>
          <w:tcPr>
            <w:tcW w:w="6266" w:type="dxa"/>
            <w:vAlign w:val="center"/>
          </w:tcPr>
          <w:p>
            <w:pPr>
              <w:rPr>
                <w:rFonts w:hint="eastAsia" w:ascii="宋体" w:hAnsi="宋体" w:cs="宋体"/>
                <w:kern w:val="0"/>
                <w:szCs w:val="21"/>
              </w:rPr>
            </w:pPr>
            <w:r>
              <w:rPr>
                <w:rFonts w:hint="eastAsia" w:ascii="宋体" w:hAnsi="宋体" w:cs="宋体"/>
                <w:kern w:val="0"/>
                <w:szCs w:val="21"/>
              </w:rPr>
              <w:t>PCI-E I/O插槽总数：≥1</w:t>
            </w:r>
            <w:r>
              <w:rPr>
                <w:rFonts w:ascii="宋体" w:hAnsi="宋体" w:cs="宋体"/>
                <w:kern w:val="0"/>
                <w:szCs w:val="21"/>
              </w:rPr>
              <w:t>3</w:t>
            </w:r>
            <w:r>
              <w:rPr>
                <w:rFonts w:hint="eastAsia" w:ascii="宋体" w:hAnsi="宋体" w:cs="宋体"/>
                <w:kern w:val="0"/>
                <w:szCs w:val="21"/>
              </w:rPr>
              <w:t>个，提供所投设备商官网截图证明及链接；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网卡</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66" w:type="dxa"/>
            <w:vAlign w:val="center"/>
          </w:tcPr>
          <w:p>
            <w:pPr>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Merge w:val="restar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Merge w:val="continue"/>
            <w:vAlign w:val="center"/>
          </w:tcPr>
          <w:p>
            <w:pPr>
              <w:jc w:val="center"/>
              <w:rPr>
                <w:rFonts w:hint="eastAsia" w:ascii="宋体" w:hAnsi="宋体" w:cs="宋体"/>
                <w:kern w:val="0"/>
                <w:szCs w:val="21"/>
              </w:rPr>
            </w:pPr>
          </w:p>
        </w:tc>
        <w:tc>
          <w:tcPr>
            <w:tcW w:w="6266" w:type="dxa"/>
            <w:vAlign w:val="center"/>
          </w:tcPr>
          <w:p>
            <w:pPr>
              <w:rPr>
                <w:rFonts w:hint="eastAsia" w:ascii="宋体" w:hAnsi="宋体" w:cs="宋体"/>
                <w:kern w:val="0"/>
                <w:szCs w:val="21"/>
              </w:rPr>
            </w:pPr>
            <w:r>
              <w:rPr>
                <w:rFonts w:hint="eastAsia" w:ascii="宋体" w:hAnsi="宋体" w:cs="宋体"/>
                <w:kern w:val="0"/>
                <w:szCs w:val="21"/>
              </w:rPr>
              <w:t>≥4 个10Gb光口，含4个多模模块；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szCs w:val="21"/>
              </w:rPr>
              <w:t>GPU卡</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66" w:type="dxa"/>
            <w:vAlign w:val="center"/>
          </w:tcPr>
          <w:p>
            <w:pPr>
              <w:adjustRightInd w:val="0"/>
              <w:snapToGrid w:val="0"/>
              <w:rPr>
                <w:rFonts w:hint="eastAsia" w:ascii="宋体" w:hAnsi="宋体" w:cs="宋体"/>
                <w:kern w:val="0"/>
                <w:szCs w:val="21"/>
              </w:rPr>
            </w:pPr>
            <w:r>
              <w:rPr>
                <w:rFonts w:hint="eastAsia" w:ascii="宋体" w:hAnsi="宋体" w:cs="宋体"/>
                <w:kern w:val="0"/>
                <w:szCs w:val="21"/>
              </w:rPr>
              <w:t>支持</w:t>
            </w:r>
            <w:r>
              <w:rPr>
                <w:rFonts w:hint="eastAsia" w:ascii="宋体" w:hAnsi="宋体" w:cs="宋体"/>
                <w:szCs w:val="21"/>
                <w:shd w:val="clear" w:color="auto" w:fill="FFFFFF"/>
              </w:rPr>
              <w:t>双宽GPU卡或单宽GPU卡</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USB接口</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个数</w:t>
            </w:r>
          </w:p>
        </w:tc>
        <w:tc>
          <w:tcPr>
            <w:tcW w:w="6266" w:type="dxa"/>
            <w:vAlign w:val="center"/>
          </w:tcPr>
          <w:p>
            <w:pPr>
              <w:rPr>
                <w:rFonts w:hint="eastAsia" w:ascii="宋体" w:hAnsi="宋体" w:cs="宋体"/>
                <w:kern w:val="0"/>
                <w:szCs w:val="21"/>
              </w:rPr>
            </w:pPr>
            <w:r>
              <w:rPr>
                <w:rFonts w:hint="eastAsia" w:ascii="宋体" w:hAnsi="宋体" w:cs="宋体"/>
                <w:kern w:val="0"/>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电源</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66" w:type="dxa"/>
            <w:vAlign w:val="center"/>
          </w:tcPr>
          <w:p>
            <w:pPr>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widowControl/>
              <w:jc w:val="center"/>
              <w:rPr>
                <w:rFonts w:hint="eastAsia" w:ascii="宋体" w:hAnsi="宋体" w:cs="宋体"/>
                <w:kern w:val="0"/>
                <w:szCs w:val="21"/>
              </w:rPr>
            </w:pPr>
            <w:r>
              <w:rPr>
                <w:rFonts w:hint="eastAsia" w:ascii="宋体" w:hAnsi="宋体" w:cs="宋体"/>
                <w:kern w:val="0"/>
                <w:szCs w:val="21"/>
              </w:rPr>
              <w:t>节能</w:t>
            </w:r>
          </w:p>
        </w:tc>
        <w:tc>
          <w:tcPr>
            <w:tcW w:w="6266" w:type="dxa"/>
            <w:vAlign w:val="center"/>
          </w:tcPr>
          <w:p>
            <w:pPr>
              <w:widowControl/>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≥2个冗余热插拔电源，≥2个冗余热拔插散热风扇；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管理功能</w:t>
            </w:r>
          </w:p>
        </w:tc>
        <w:tc>
          <w:tcPr>
            <w:tcW w:w="1343"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带外升级</w:t>
            </w:r>
          </w:p>
        </w:tc>
        <w:tc>
          <w:tcPr>
            <w:tcW w:w="6266" w:type="dxa"/>
            <w:vAlign w:val="center"/>
          </w:tcPr>
          <w:p>
            <w:pPr>
              <w:rPr>
                <w:rFonts w:hint="eastAsia" w:ascii="宋体" w:hAnsi="宋体" w:cs="宋体"/>
                <w:kern w:val="0"/>
                <w:szCs w:val="21"/>
              </w:rPr>
            </w:pPr>
            <w:r>
              <w:rPr>
                <w:rFonts w:hint="eastAsia" w:ascii="宋体" w:hAnsi="宋体" w:cs="宋体"/>
                <w:kern w:val="0"/>
                <w:szCs w:val="21"/>
              </w:rPr>
              <w:t>不依赖OS，在BMC不重启的情况下，可带外升级BMC版本，可动态叠加新业务并解决BMC故障；（需提供第三方检测机构检测报告证明）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安全面板</w:t>
            </w:r>
          </w:p>
        </w:tc>
        <w:tc>
          <w:tcPr>
            <w:tcW w:w="6266" w:type="dxa"/>
            <w:vAlign w:val="center"/>
          </w:tcPr>
          <w:p>
            <w:pPr>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tc>
        <w:tc>
          <w:tcPr>
            <w:tcW w:w="1343" w:type="dxa"/>
            <w:vAlign w:val="center"/>
          </w:tcPr>
          <w:p>
            <w:r>
              <w:rPr>
                <w:rFonts w:hint="eastAsia"/>
              </w:rPr>
              <w:t>内存智能修复</w:t>
            </w:r>
          </w:p>
        </w:tc>
        <w:tc>
          <w:tcPr>
            <w:tcW w:w="6266" w:type="dxa"/>
            <w:vAlign w:val="center"/>
          </w:tcPr>
          <w:p>
            <w:r>
              <w:rPr>
                <w:rFonts w:hint="eastAsia" w:ascii="宋体" w:hAnsi="宋体" w:cs="宋体"/>
                <w:kern w:val="0"/>
                <w:szCs w:val="21"/>
              </w:rPr>
              <w:t>可支持内存智能修复、内存故障预测隔离功能，提前识别内存CE错误并针对风险区域实施隔离操作，降低宕机率；（需提供第三方检测机构检测报告证明）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图形化展示部件温度</w:t>
            </w:r>
          </w:p>
        </w:tc>
        <w:tc>
          <w:tcPr>
            <w:tcW w:w="6266" w:type="dxa"/>
            <w:vAlign w:val="center"/>
          </w:tcPr>
          <w:p>
            <w:pPr>
              <w:rPr>
                <w:rFonts w:hint="eastAsia" w:ascii="宋体" w:hAnsi="宋体" w:cs="宋体"/>
                <w:kern w:val="0"/>
                <w:szCs w:val="21"/>
              </w:rPr>
            </w:pPr>
            <w:r>
              <w:rPr>
                <w:rFonts w:hint="eastAsia" w:ascii="宋体" w:hAnsi="宋体" w:cs="宋体"/>
                <w:kern w:val="0"/>
                <w:szCs w:val="21"/>
              </w:rPr>
              <w:t>服务器支持智能温度监控，具备支持以图形化形式展示各组件温度传感器的分布图，可直观体现服务器整体温感状态；（需提供第三方检测机构检测报告证明）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日志下载</w:t>
            </w:r>
          </w:p>
        </w:tc>
        <w:tc>
          <w:tcPr>
            <w:tcW w:w="6266" w:type="dxa"/>
            <w:vAlign w:val="center"/>
          </w:tcPr>
          <w:p>
            <w:pPr>
              <w:rPr>
                <w:rFonts w:hint="eastAsia" w:ascii="宋体" w:hAnsi="宋体" w:cs="宋体"/>
                <w:kern w:val="0"/>
                <w:szCs w:val="21"/>
              </w:rPr>
            </w:pPr>
            <w:r>
              <w:rPr>
                <w:rFonts w:hint="eastAsia" w:ascii="宋体" w:hAnsi="宋体" w:cs="宋体"/>
                <w:kern w:val="0"/>
                <w:szCs w:val="21"/>
              </w:rPr>
              <w:t>支持通过服务U盘下载服务器设备故障诊断日志；（需提供第三方检测机构检测报告证明）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稳定性</w:t>
            </w:r>
          </w:p>
        </w:tc>
        <w:tc>
          <w:tcPr>
            <w:tcW w:w="1343" w:type="dxa"/>
            <w:vAlign w:val="center"/>
          </w:tcPr>
          <w:p>
            <w:pPr>
              <w:widowControl/>
              <w:jc w:val="center"/>
              <w:rPr>
                <w:rFonts w:hint="eastAsia" w:ascii="宋体" w:hAnsi="宋体" w:cs="宋体"/>
                <w:kern w:val="0"/>
                <w:szCs w:val="21"/>
              </w:rPr>
            </w:pPr>
            <w:r>
              <w:rPr>
                <w:rFonts w:hint="eastAsia" w:ascii="宋体" w:hAnsi="宋体" w:cs="宋体"/>
                <w:kern w:val="0"/>
                <w:szCs w:val="21"/>
              </w:rPr>
              <w:t>运行温度</w:t>
            </w:r>
          </w:p>
        </w:tc>
        <w:tc>
          <w:tcPr>
            <w:tcW w:w="6266" w:type="dxa"/>
            <w:vAlign w:val="center"/>
          </w:tcPr>
          <w:p>
            <w:pPr>
              <w:widowControl/>
              <w:jc w:val="left"/>
              <w:rPr>
                <w:rFonts w:hint="eastAsia" w:ascii="宋体" w:hAnsi="宋体" w:cs="宋体"/>
                <w:kern w:val="0"/>
                <w:szCs w:val="21"/>
              </w:rPr>
            </w:pPr>
            <w:r>
              <w:rPr>
                <w:rFonts w:hint="eastAsia" w:ascii="宋体" w:hAnsi="宋体" w:cs="宋体"/>
                <w:kern w:val="0"/>
                <w:szCs w:val="21"/>
              </w:rPr>
              <w:t>工作环境温度支持5~50°C；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资质认证</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市场份额</w:t>
            </w:r>
          </w:p>
        </w:tc>
        <w:tc>
          <w:tcPr>
            <w:tcW w:w="6266" w:type="dxa"/>
            <w:vAlign w:val="center"/>
          </w:tcPr>
          <w:p>
            <w:pPr>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服务器市场厂商品牌知名度高，并提供第三方证明报告；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服务</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维保服务</w:t>
            </w:r>
          </w:p>
        </w:tc>
        <w:tc>
          <w:tcPr>
            <w:tcW w:w="6266" w:type="dxa"/>
            <w:vAlign w:val="center"/>
          </w:tcPr>
          <w:p>
            <w:pPr>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0" w:type="auto"/>
            <w:vMerge w:val="continue"/>
            <w:noWrap/>
            <w:vAlign w:val="center"/>
          </w:tcPr>
          <w:p>
            <w:pPr>
              <w:jc w:val="center"/>
              <w:rPr>
                <w:rFonts w:hint="eastAsia" w:ascii="宋体" w:hAnsi="宋体" w:cs="宋体"/>
                <w:kern w:val="0"/>
                <w:szCs w:val="21"/>
              </w:rPr>
            </w:pPr>
          </w:p>
        </w:tc>
        <w:tc>
          <w:tcPr>
            <w:tcW w:w="1343" w:type="dxa"/>
            <w:vAlign w:val="center"/>
          </w:tcPr>
          <w:p>
            <w:pPr>
              <w:widowControl/>
              <w:jc w:val="center"/>
              <w:rPr>
                <w:rFonts w:hint="eastAsia" w:ascii="宋体" w:hAnsi="宋体" w:cs="宋体"/>
                <w:kern w:val="0"/>
                <w:szCs w:val="21"/>
              </w:rPr>
            </w:pPr>
            <w:r>
              <w:rPr>
                <w:rFonts w:hint="eastAsia" w:ascii="宋体" w:hAnsi="宋体" w:cs="宋体"/>
                <w:kern w:val="0"/>
                <w:szCs w:val="21"/>
              </w:rPr>
              <w:t>增值服务</w:t>
            </w:r>
          </w:p>
        </w:tc>
        <w:tc>
          <w:tcPr>
            <w:tcW w:w="6266" w:type="dxa"/>
            <w:vAlign w:val="center"/>
          </w:tcPr>
          <w:p>
            <w:pPr>
              <w:widowControl/>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其它</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包装</w:t>
            </w:r>
          </w:p>
        </w:tc>
        <w:tc>
          <w:tcPr>
            <w:tcW w:w="6266" w:type="dxa"/>
            <w:vAlign w:val="center"/>
          </w:tcPr>
          <w:p>
            <w:pPr>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运输</w:t>
            </w:r>
          </w:p>
        </w:tc>
        <w:tc>
          <w:tcPr>
            <w:tcW w:w="6266" w:type="dxa"/>
            <w:vAlign w:val="center"/>
          </w:tcPr>
          <w:p>
            <w:pPr>
              <w:rPr>
                <w:rFonts w:hint="eastAsia" w:ascii="宋体" w:hAnsi="宋体" w:cs="宋体"/>
                <w:kern w:val="0"/>
                <w:szCs w:val="21"/>
              </w:rPr>
            </w:pPr>
            <w:r>
              <w:rPr>
                <w:rFonts w:hint="eastAsia" w:ascii="宋体" w:hAnsi="宋体" w:cs="宋体"/>
                <w:kern w:val="0"/>
                <w:szCs w:val="21"/>
              </w:rPr>
              <w:t>直接发货至最终用户(最终用户制定部署点，不仅限于一个地点)；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导轨</w:t>
            </w:r>
          </w:p>
        </w:tc>
        <w:tc>
          <w:tcPr>
            <w:tcW w:w="6266" w:type="dxa"/>
            <w:vAlign w:val="center"/>
          </w:tcPr>
          <w:p>
            <w:pPr>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授权</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授权要求</w:t>
            </w:r>
          </w:p>
        </w:tc>
        <w:tc>
          <w:tcPr>
            <w:tcW w:w="6266" w:type="dxa"/>
            <w:vAlign w:val="center"/>
          </w:tcPr>
          <w:p>
            <w:pPr>
              <w:rPr>
                <w:rFonts w:hint="eastAsia" w:ascii="宋体" w:hAnsi="宋体" w:cs="宋体"/>
                <w:kern w:val="0"/>
                <w:szCs w:val="21"/>
              </w:rPr>
            </w:pPr>
            <w:r>
              <w:rPr>
                <w:rFonts w:hint="eastAsia"/>
                <w:kern w:val="0"/>
              </w:rPr>
              <w:t>投标人需提供</w:t>
            </w:r>
            <w:r>
              <w:rPr>
                <w:rFonts w:hint="eastAsia" w:ascii="宋体" w:hAnsi="宋体" w:cs="宋体"/>
                <w:kern w:val="0"/>
                <w:szCs w:val="21"/>
              </w:rPr>
              <w:t>拟投设备原厂商</w:t>
            </w:r>
            <w:r>
              <w:rPr>
                <w:rFonts w:hint="eastAsia"/>
                <w:kern w:val="0"/>
              </w:rPr>
              <w:t>针对本项目的授权函及三年售后</w:t>
            </w:r>
            <w:r>
              <w:rPr>
                <w:kern w:val="0"/>
              </w:rPr>
              <w:t>服务</w:t>
            </w:r>
            <w:r>
              <w:rPr>
                <w:rFonts w:hint="eastAsia"/>
                <w:kern w:val="0"/>
              </w:rPr>
              <w:t>承诺函</w:t>
            </w:r>
            <w:r>
              <w:rPr>
                <w:rFonts w:hint="eastAsia" w:ascii="宋体" w:hAnsi="宋体" w:cs="宋体"/>
                <w:kern w:val="0"/>
                <w:szCs w:val="21"/>
              </w:rPr>
              <w:t>；</w:t>
            </w:r>
          </w:p>
        </w:tc>
      </w:tr>
    </w:tbl>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r>
        <w:rPr>
          <w:rFonts w:hint="eastAsia" w:ascii="宋体" w:hAnsi="宋体" w:cs="宋体"/>
          <w:b/>
          <w:sz w:val="22"/>
          <w:szCs w:val="22"/>
        </w:rPr>
        <w:t>（8）备份存储服务器（3台）</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354"/>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b/>
                <w:bCs/>
                <w:kern w:val="0"/>
                <w:szCs w:val="21"/>
              </w:rPr>
            </w:pPr>
            <w:r>
              <w:rPr>
                <w:rFonts w:hint="eastAsia" w:ascii="宋体" w:hAnsi="宋体" w:cs="宋体"/>
                <w:b/>
                <w:bCs/>
                <w:kern w:val="0"/>
                <w:szCs w:val="21"/>
              </w:rPr>
              <w:t>类别</w:t>
            </w:r>
          </w:p>
        </w:tc>
        <w:tc>
          <w:tcPr>
            <w:tcW w:w="1354" w:type="dxa"/>
            <w:vAlign w:val="center"/>
          </w:tcPr>
          <w:p>
            <w:pPr>
              <w:jc w:val="center"/>
              <w:rPr>
                <w:rFonts w:hint="eastAsia" w:ascii="宋体" w:hAnsi="宋体" w:cs="宋体"/>
                <w:b/>
                <w:bCs/>
                <w:kern w:val="0"/>
                <w:szCs w:val="21"/>
              </w:rPr>
            </w:pPr>
            <w:r>
              <w:rPr>
                <w:rFonts w:hint="eastAsia" w:ascii="宋体" w:hAnsi="宋体" w:cs="宋体"/>
                <w:b/>
                <w:bCs/>
                <w:kern w:val="0"/>
                <w:szCs w:val="21"/>
              </w:rPr>
              <w:t>设备指标项</w:t>
            </w:r>
          </w:p>
        </w:tc>
        <w:tc>
          <w:tcPr>
            <w:tcW w:w="6254" w:type="dxa"/>
            <w:vAlign w:val="center"/>
          </w:tcPr>
          <w:p>
            <w:pPr>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品牌</w:t>
            </w:r>
          </w:p>
        </w:tc>
        <w:tc>
          <w:tcPr>
            <w:tcW w:w="0" w:type="auto"/>
            <w:gridSpan w:val="2"/>
            <w:vAlign w:val="center"/>
          </w:tcPr>
          <w:p>
            <w:pPr>
              <w:jc w:val="left"/>
              <w:rPr>
                <w:rFonts w:hint="eastAsia" w:ascii="宋体" w:hAnsi="宋体" w:cs="宋体"/>
                <w:kern w:val="0"/>
                <w:szCs w:val="21"/>
              </w:rPr>
            </w:pPr>
            <w:r>
              <w:rPr>
                <w:rFonts w:hint="eastAsia" w:ascii="宋体" w:hAnsi="宋体" w:cs="宋体"/>
                <w:kern w:val="0"/>
                <w:szCs w:val="21"/>
              </w:rPr>
              <w:t>本项目要求国产非OEM产品投标；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外观结构</w:t>
            </w:r>
          </w:p>
        </w:tc>
        <w:tc>
          <w:tcPr>
            <w:tcW w:w="1354" w:type="dxa"/>
            <w:vAlign w:val="center"/>
          </w:tcPr>
          <w:p>
            <w:pPr>
              <w:jc w:val="center"/>
              <w:rPr>
                <w:rFonts w:hint="eastAsia" w:ascii="宋体" w:hAnsi="宋体" w:cs="宋体"/>
                <w:b/>
                <w:bCs/>
                <w:kern w:val="0"/>
                <w:szCs w:val="21"/>
              </w:rPr>
            </w:pPr>
            <w:r>
              <w:rPr>
                <w:rFonts w:hint="eastAsia" w:ascii="宋体" w:hAnsi="宋体" w:cs="宋体"/>
                <w:kern w:val="0"/>
                <w:szCs w:val="21"/>
              </w:rPr>
              <w:t>类型</w:t>
            </w:r>
          </w:p>
        </w:tc>
        <w:tc>
          <w:tcPr>
            <w:tcW w:w="6254" w:type="dxa"/>
            <w:vAlign w:val="center"/>
          </w:tcPr>
          <w:p>
            <w:pPr>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U</w:t>
            </w: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处理器</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254" w:type="dxa"/>
            <w:vAlign w:val="center"/>
          </w:tcPr>
          <w:p>
            <w:pPr>
              <w:rPr>
                <w:rFonts w:hint="eastAsia" w:ascii="宋体" w:hAnsi="宋体" w:cs="宋体"/>
                <w:kern w:val="0"/>
                <w:szCs w:val="21"/>
              </w:rPr>
            </w:pPr>
            <w:r>
              <w:rPr>
                <w:rFonts w:hint="eastAsia" w:ascii="宋体" w:hAnsi="宋体" w:cs="宋体"/>
                <w:kern w:val="0"/>
                <w:szCs w:val="21"/>
              </w:rPr>
              <w:t>不低于英特尔®至强®可扩展系列，≥2颗处理器，支持铂金、金牌、银牌、铜牌全系列级别，单颗多达64个核心，最大功率385W；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254" w:type="dxa"/>
            <w:vAlign w:val="center"/>
          </w:tcPr>
          <w:p>
            <w:pPr>
              <w:rPr>
                <w:rFonts w:hint="eastAsia" w:ascii="宋体" w:hAnsi="宋体" w:cs="宋体"/>
                <w:kern w:val="0"/>
                <w:szCs w:val="21"/>
              </w:rPr>
            </w:pPr>
            <w:r>
              <w:rPr>
                <w:rFonts w:hint="eastAsia" w:ascii="宋体" w:hAnsi="宋体" w:cs="宋体"/>
                <w:kern w:val="0"/>
                <w:szCs w:val="21"/>
              </w:rPr>
              <w:t>CPU个数≥2颗，CPU型号为英特尔至强金牌</w:t>
            </w:r>
            <w:r>
              <w:rPr>
                <w:rFonts w:ascii="宋体" w:hAnsi="宋体" w:cs="宋体"/>
                <w:kern w:val="0"/>
                <w:szCs w:val="21"/>
              </w:rPr>
              <w:t>4516Y+</w:t>
            </w:r>
            <w:r>
              <w:rPr>
                <w:rFonts w:hint="eastAsia" w:ascii="宋体" w:hAnsi="宋体" w:cs="宋体"/>
                <w:kern w:val="0"/>
                <w:szCs w:val="21"/>
              </w:rPr>
              <w:t>或更高级别，每颗CPU≥</w:t>
            </w:r>
            <w:r>
              <w:rPr>
                <w:rFonts w:ascii="宋体" w:hAnsi="宋体" w:cs="宋体"/>
                <w:kern w:val="0"/>
                <w:szCs w:val="21"/>
              </w:rPr>
              <w:t>24</w:t>
            </w:r>
            <w:r>
              <w:rPr>
                <w:rFonts w:hint="eastAsia" w:ascii="宋体" w:hAnsi="宋体" w:cs="宋体"/>
                <w:kern w:val="0"/>
                <w:szCs w:val="21"/>
              </w:rPr>
              <w:t>核，2</w:t>
            </w:r>
            <w:r>
              <w:rPr>
                <w:rFonts w:ascii="宋体" w:hAnsi="宋体" w:cs="宋体"/>
                <w:kern w:val="0"/>
                <w:szCs w:val="21"/>
              </w:rPr>
              <w:t>.2</w:t>
            </w:r>
            <w:r>
              <w:rPr>
                <w:rFonts w:hint="eastAsia" w:ascii="宋体" w:hAnsi="宋体" w:cs="宋体"/>
                <w:kern w:val="0"/>
                <w:szCs w:val="21"/>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内存</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254" w:type="dxa"/>
            <w:vAlign w:val="center"/>
          </w:tcPr>
          <w:p>
            <w:pPr>
              <w:rPr>
                <w:rFonts w:hint="eastAsia" w:ascii="宋体" w:hAnsi="宋体" w:cs="宋体"/>
                <w:kern w:val="0"/>
                <w:szCs w:val="21"/>
              </w:rPr>
            </w:pPr>
            <w:r>
              <w:rPr>
                <w:rFonts w:hint="eastAsia" w:ascii="宋体" w:hAnsi="宋体" w:cs="宋体"/>
                <w:kern w:val="0"/>
                <w:szCs w:val="21"/>
              </w:rPr>
              <w:t>支持多达32个DDR5内存槽位，速率最高支持5600MT/s，支持RDIMM或</w:t>
            </w:r>
            <w:r>
              <w:rPr>
                <w:rFonts w:ascii="宋体" w:hAnsi="宋体" w:cs="宋体"/>
                <w:kern w:val="0"/>
                <w:szCs w:val="21"/>
              </w:rPr>
              <w:t>LRDIMM</w:t>
            </w:r>
            <w:r>
              <w:rPr>
                <w:rFonts w:hint="eastAsia" w:ascii="宋体" w:hAnsi="宋体" w:cs="宋体"/>
                <w:kern w:val="0"/>
                <w:szCs w:val="21"/>
              </w:rPr>
              <w:t>，双路处理器最大容量8TB；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254"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w:t>
            </w:r>
            <w:r>
              <w:rPr>
                <w:rFonts w:ascii="宋体" w:hAnsi="宋体" w:cs="宋体"/>
                <w:kern w:val="0"/>
                <w:szCs w:val="21"/>
              </w:rPr>
              <w:t>32</w:t>
            </w:r>
            <w:r>
              <w:rPr>
                <w:rFonts w:hint="eastAsia" w:ascii="宋体" w:hAnsi="宋体" w:cs="宋体"/>
                <w:kern w:val="0"/>
                <w:szCs w:val="21"/>
              </w:rPr>
              <w:t>GB DDR5，频率5600MT/s，单条容量</w:t>
            </w:r>
            <w:r>
              <w:rPr>
                <w:rFonts w:ascii="宋体" w:hAnsi="宋体" w:cs="宋体"/>
                <w:kern w:val="0"/>
                <w:szCs w:val="21"/>
              </w:rPr>
              <w:t>32</w:t>
            </w:r>
            <w:r>
              <w:rPr>
                <w:rFonts w:hint="eastAsia" w:ascii="宋体" w:hAnsi="宋体" w:cs="宋体"/>
                <w:kern w:val="0"/>
                <w:szCs w:val="21"/>
              </w:rPr>
              <w:t>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硬盘</w:t>
            </w:r>
          </w:p>
        </w:tc>
        <w:tc>
          <w:tcPr>
            <w:tcW w:w="1354" w:type="dxa"/>
            <w:vAlign w:val="center"/>
          </w:tcPr>
          <w:p>
            <w:pPr>
              <w:rPr>
                <w:rFonts w:hint="eastAsia" w:ascii="宋体" w:hAnsi="宋体" w:cs="宋体"/>
                <w:kern w:val="0"/>
                <w:szCs w:val="21"/>
              </w:rPr>
            </w:pPr>
            <w:r>
              <w:rPr>
                <w:rFonts w:hint="eastAsia" w:ascii="宋体" w:hAnsi="宋体" w:cs="宋体"/>
                <w:kern w:val="0"/>
                <w:szCs w:val="21"/>
              </w:rPr>
              <w:t>支持能力</w:t>
            </w:r>
          </w:p>
        </w:tc>
        <w:tc>
          <w:tcPr>
            <w:tcW w:w="6254" w:type="dxa"/>
            <w:vAlign w:val="center"/>
          </w:tcPr>
          <w:p>
            <w:pPr>
              <w:rPr>
                <w:rFonts w:hint="eastAsia" w:ascii="宋体" w:hAnsi="宋体" w:cs="宋体"/>
                <w:kern w:val="0"/>
                <w:szCs w:val="21"/>
              </w:rPr>
            </w:pPr>
            <w:r>
              <w:rPr>
                <w:rFonts w:hint="eastAsia" w:ascii="宋体" w:hAnsi="宋体" w:cs="宋体"/>
                <w:kern w:val="0"/>
                <w:szCs w:val="21"/>
              </w:rPr>
              <w:t>配置≥24个3.5寸热插拔硬盘槽位；可扩展至≥44个3.5寸硬盘槽位，同时可扩展4个2.5寸硬盘槽位，支持≥10个NVMe固态盘，且全部硬盘可支持热插拔维护；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54" w:type="dxa"/>
            <w:vAlign w:val="center"/>
          </w:tcPr>
          <w:p>
            <w:pPr>
              <w:rPr>
                <w:rFonts w:hint="eastAsia" w:ascii="宋体" w:hAnsi="宋体" w:cs="宋体"/>
                <w:kern w:val="0"/>
                <w:szCs w:val="21"/>
              </w:rPr>
            </w:pPr>
            <w:r>
              <w:rPr>
                <w:rFonts w:hint="eastAsia" w:ascii="宋体" w:hAnsi="宋体" w:cs="宋体"/>
                <w:kern w:val="0"/>
                <w:szCs w:val="21"/>
              </w:rPr>
              <w:t>硬盘：配置不少于2块480GB 6G SATA 3.5in SSD通用硬盘；</w:t>
            </w:r>
            <w:r>
              <w:rPr>
                <w:rFonts w:ascii="宋体" w:hAnsi="宋体" w:cs="宋体"/>
                <w:szCs w:val="21"/>
              </w:rPr>
              <w:t>3</w:t>
            </w:r>
            <w:r>
              <w:rPr>
                <w:rFonts w:hint="eastAsia" w:ascii="宋体" w:hAnsi="宋体" w:cs="宋体"/>
                <w:szCs w:val="21"/>
              </w:rPr>
              <w:t>块3</w:t>
            </w:r>
            <w:r>
              <w:rPr>
                <w:rFonts w:ascii="宋体" w:hAnsi="宋体" w:cs="宋体"/>
                <w:szCs w:val="21"/>
              </w:rPr>
              <w:t>.2TB PCIe*Gen4X4 NVMe 3.5in SSD</w:t>
            </w:r>
            <w:r>
              <w:rPr>
                <w:rFonts w:hint="eastAsia" w:ascii="宋体" w:hAnsi="宋体" w:cs="宋体"/>
                <w:szCs w:val="21"/>
              </w:rPr>
              <w:t>通用硬盘；</w:t>
            </w:r>
            <w:r>
              <w:rPr>
                <w:rFonts w:ascii="宋体" w:hAnsi="宋体" w:cs="宋体"/>
                <w:szCs w:val="21"/>
              </w:rPr>
              <w:t>15</w:t>
            </w:r>
            <w:r>
              <w:rPr>
                <w:rFonts w:hint="eastAsia" w:ascii="宋体" w:hAnsi="宋体" w:cs="宋体"/>
                <w:szCs w:val="21"/>
              </w:rPr>
              <w:t>块</w:t>
            </w:r>
            <w:r>
              <w:rPr>
                <w:rFonts w:ascii="宋体" w:hAnsi="宋体" w:cs="宋体"/>
                <w:szCs w:val="21"/>
              </w:rPr>
              <w:t>16</w:t>
            </w:r>
            <w:r>
              <w:rPr>
                <w:rFonts w:hint="eastAsia" w:ascii="宋体" w:hAnsi="宋体" w:cs="宋体"/>
                <w:szCs w:val="21"/>
              </w:rPr>
              <w:t>TB 6G SATA 7.2K 3.5in</w:t>
            </w:r>
            <w:r>
              <w:rPr>
                <w:rFonts w:ascii="宋体" w:hAnsi="宋体" w:cs="宋体"/>
                <w:szCs w:val="21"/>
              </w:rPr>
              <w:t xml:space="preserve"> </w:t>
            </w:r>
            <w:r>
              <w:rPr>
                <w:rFonts w:hint="eastAsia" w:ascii="宋体" w:hAnsi="宋体" w:cs="宋体"/>
                <w:szCs w:val="21"/>
              </w:rPr>
              <w:t>HDD通用硬盘；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阵列控制器</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Raid支持</w:t>
            </w:r>
          </w:p>
        </w:tc>
        <w:tc>
          <w:tcPr>
            <w:tcW w:w="6254" w:type="dxa"/>
            <w:vAlign w:val="center"/>
          </w:tcPr>
          <w:p>
            <w:pPr>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可靠性</w:t>
            </w:r>
          </w:p>
        </w:tc>
        <w:tc>
          <w:tcPr>
            <w:tcW w:w="6254" w:type="dxa"/>
            <w:vAlign w:val="center"/>
          </w:tcPr>
          <w:p>
            <w:pPr>
              <w:rPr>
                <w:rFonts w:hint="eastAsia" w:ascii="宋体" w:hAnsi="宋体" w:cs="宋体"/>
                <w:kern w:val="0"/>
                <w:szCs w:val="21"/>
              </w:rPr>
            </w:pPr>
            <w:r>
              <w:rPr>
                <w:rFonts w:hint="eastAsia" w:ascii="宋体" w:hAnsi="宋体" w:cs="宋体"/>
                <w:kern w:val="0"/>
                <w:szCs w:val="21"/>
              </w:rPr>
              <w:t>支持掉电保护功能；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b/>
                <w:bCs/>
                <w:kern w:val="0"/>
                <w:szCs w:val="21"/>
              </w:rPr>
            </w:pPr>
            <w:r>
              <w:rPr>
                <w:rFonts w:hint="eastAsia" w:ascii="宋体" w:hAnsi="宋体" w:cs="宋体"/>
                <w:kern w:val="0"/>
                <w:szCs w:val="21"/>
              </w:rPr>
              <w:t>Raid缓存</w:t>
            </w:r>
          </w:p>
        </w:tc>
        <w:tc>
          <w:tcPr>
            <w:tcW w:w="6254"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PCI-E</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扩展能力</w:t>
            </w:r>
          </w:p>
        </w:tc>
        <w:tc>
          <w:tcPr>
            <w:tcW w:w="6254" w:type="dxa"/>
            <w:vAlign w:val="center"/>
          </w:tcPr>
          <w:p>
            <w:pPr>
              <w:rPr>
                <w:rFonts w:hint="eastAsia" w:ascii="宋体" w:hAnsi="宋体" w:cs="宋体"/>
                <w:kern w:val="0"/>
                <w:szCs w:val="21"/>
              </w:rPr>
            </w:pPr>
            <w:r>
              <w:rPr>
                <w:rFonts w:hint="eastAsia" w:ascii="宋体" w:hAnsi="宋体" w:cs="宋体"/>
                <w:kern w:val="0"/>
                <w:szCs w:val="21"/>
              </w:rPr>
              <w:t>PCI-E I/O插槽总数：≥13个，提供所投设备商官网截图证明及链接；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网卡</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54" w:type="dxa"/>
            <w:vAlign w:val="center"/>
          </w:tcPr>
          <w:p>
            <w:pPr>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Merge w:val="restar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54" w:type="dxa"/>
            <w:vAlign w:val="center"/>
          </w:tcPr>
          <w:p>
            <w:pPr>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Merge w:val="continue"/>
            <w:vAlign w:val="center"/>
          </w:tcPr>
          <w:p>
            <w:pPr>
              <w:jc w:val="center"/>
              <w:rPr>
                <w:rFonts w:hint="eastAsia" w:ascii="宋体" w:hAnsi="宋体" w:cs="宋体"/>
                <w:kern w:val="0"/>
                <w:szCs w:val="21"/>
              </w:rPr>
            </w:pPr>
          </w:p>
        </w:tc>
        <w:tc>
          <w:tcPr>
            <w:tcW w:w="6254" w:type="dxa"/>
            <w:vAlign w:val="center"/>
          </w:tcPr>
          <w:p>
            <w:pPr>
              <w:rPr>
                <w:rFonts w:hint="eastAsia" w:ascii="宋体" w:hAnsi="宋体" w:cs="宋体"/>
                <w:kern w:val="0"/>
                <w:szCs w:val="21"/>
              </w:rPr>
            </w:pPr>
            <w:r>
              <w:rPr>
                <w:rFonts w:hint="eastAsia" w:ascii="宋体" w:hAnsi="宋体" w:cs="宋体"/>
                <w:kern w:val="0"/>
                <w:szCs w:val="21"/>
              </w:rPr>
              <w:t>≥4 个10Gb光口，含4个多模模块；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szCs w:val="21"/>
              </w:rPr>
              <w:t>GPU卡</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54" w:type="dxa"/>
            <w:vAlign w:val="center"/>
          </w:tcPr>
          <w:p>
            <w:pPr>
              <w:adjustRightInd w:val="0"/>
              <w:snapToGrid w:val="0"/>
              <w:rPr>
                <w:rFonts w:hint="eastAsia" w:ascii="宋体" w:hAnsi="宋体" w:cs="宋体"/>
                <w:kern w:val="0"/>
                <w:szCs w:val="21"/>
              </w:rPr>
            </w:pPr>
            <w:r>
              <w:rPr>
                <w:rFonts w:hint="eastAsia" w:ascii="宋体" w:hAnsi="宋体" w:cs="宋体"/>
                <w:kern w:val="0"/>
                <w:szCs w:val="21"/>
              </w:rPr>
              <w:t>支持</w:t>
            </w:r>
            <w:r>
              <w:rPr>
                <w:rFonts w:hint="eastAsia" w:ascii="宋体" w:hAnsi="宋体" w:cs="宋体"/>
                <w:szCs w:val="21"/>
                <w:shd w:val="clear" w:color="auto" w:fill="FFFFFF"/>
              </w:rPr>
              <w:t>双宽GPU卡或单宽GPU卡</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USB接口</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个数</w:t>
            </w:r>
          </w:p>
        </w:tc>
        <w:tc>
          <w:tcPr>
            <w:tcW w:w="6254" w:type="dxa"/>
            <w:vAlign w:val="center"/>
          </w:tcPr>
          <w:p>
            <w:pPr>
              <w:rPr>
                <w:rFonts w:hint="eastAsia" w:ascii="宋体" w:hAnsi="宋体" w:cs="宋体"/>
                <w:kern w:val="0"/>
                <w:szCs w:val="21"/>
              </w:rPr>
            </w:pPr>
            <w:r>
              <w:rPr>
                <w:rFonts w:hint="eastAsia" w:ascii="宋体" w:hAnsi="宋体" w:cs="宋体"/>
                <w:kern w:val="0"/>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电源</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54" w:type="dxa"/>
            <w:vAlign w:val="center"/>
          </w:tcPr>
          <w:p>
            <w:pPr>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widowControl/>
              <w:jc w:val="center"/>
              <w:rPr>
                <w:rFonts w:hint="eastAsia" w:ascii="宋体" w:hAnsi="宋体" w:cs="宋体"/>
                <w:kern w:val="0"/>
                <w:szCs w:val="21"/>
              </w:rPr>
            </w:pPr>
            <w:r>
              <w:rPr>
                <w:rFonts w:hint="eastAsia" w:ascii="宋体" w:hAnsi="宋体" w:cs="宋体"/>
                <w:kern w:val="0"/>
                <w:szCs w:val="21"/>
              </w:rPr>
              <w:t>节能</w:t>
            </w:r>
          </w:p>
        </w:tc>
        <w:tc>
          <w:tcPr>
            <w:tcW w:w="6254" w:type="dxa"/>
            <w:vAlign w:val="center"/>
          </w:tcPr>
          <w:p>
            <w:pPr>
              <w:widowControl/>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54" w:type="dxa"/>
            <w:vAlign w:val="center"/>
          </w:tcPr>
          <w:p>
            <w:pPr>
              <w:rPr>
                <w:rFonts w:hint="eastAsia" w:ascii="宋体" w:hAnsi="宋体" w:cs="宋体"/>
                <w:kern w:val="0"/>
                <w:szCs w:val="21"/>
              </w:rPr>
            </w:pPr>
            <w:r>
              <w:rPr>
                <w:rFonts w:hint="eastAsia" w:ascii="宋体" w:hAnsi="宋体" w:cs="宋体"/>
                <w:kern w:val="0"/>
                <w:szCs w:val="21"/>
              </w:rPr>
              <w:t>≥2个冗余热插拔电源，≥2个冗余热拔插散热风扇；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管理功能</w:t>
            </w:r>
          </w:p>
        </w:tc>
        <w:tc>
          <w:tcPr>
            <w:tcW w:w="1354"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带外升级</w:t>
            </w:r>
          </w:p>
        </w:tc>
        <w:tc>
          <w:tcPr>
            <w:tcW w:w="6254" w:type="dxa"/>
            <w:vAlign w:val="center"/>
          </w:tcPr>
          <w:p>
            <w:pPr>
              <w:rPr>
                <w:rFonts w:hint="eastAsia" w:ascii="宋体" w:hAnsi="宋体" w:cs="宋体"/>
                <w:kern w:val="0"/>
                <w:szCs w:val="21"/>
              </w:rPr>
            </w:pPr>
            <w:r>
              <w:rPr>
                <w:rFonts w:hint="eastAsia" w:ascii="宋体" w:hAnsi="宋体" w:cs="宋体"/>
                <w:kern w:val="0"/>
                <w:szCs w:val="21"/>
              </w:rPr>
              <w:t>不依赖OS，在BMC不重启的情况下，可带外升级BMC版本，可动态叠加新业务并解决BMC故障；（需提供第三方检测机构检测报告证明）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安全面板</w:t>
            </w:r>
          </w:p>
        </w:tc>
        <w:tc>
          <w:tcPr>
            <w:tcW w:w="6254" w:type="dxa"/>
            <w:vAlign w:val="center"/>
          </w:tcPr>
          <w:p>
            <w:pPr>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tc>
        <w:tc>
          <w:tcPr>
            <w:tcW w:w="1354" w:type="dxa"/>
            <w:vAlign w:val="center"/>
          </w:tcPr>
          <w:p>
            <w:r>
              <w:rPr>
                <w:rFonts w:hint="eastAsia"/>
              </w:rPr>
              <w:t>内存智能修复</w:t>
            </w:r>
          </w:p>
        </w:tc>
        <w:tc>
          <w:tcPr>
            <w:tcW w:w="6254" w:type="dxa"/>
            <w:vAlign w:val="center"/>
          </w:tcPr>
          <w:p>
            <w:r>
              <w:rPr>
                <w:rFonts w:hint="eastAsia" w:ascii="宋体" w:hAnsi="宋体" w:cs="宋体"/>
                <w:kern w:val="0"/>
                <w:szCs w:val="21"/>
              </w:rPr>
              <w:t>可支持内存智能修复、内存故障预测隔离功能，提前识别内存CE错误并针对风险区域实施隔离操作，降低宕机率；（需提供第三方检测机构检测报告证明）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图形化展示部件温度</w:t>
            </w:r>
          </w:p>
        </w:tc>
        <w:tc>
          <w:tcPr>
            <w:tcW w:w="6254" w:type="dxa"/>
            <w:vAlign w:val="center"/>
          </w:tcPr>
          <w:p>
            <w:pPr>
              <w:rPr>
                <w:rFonts w:hint="eastAsia" w:ascii="宋体" w:hAnsi="宋体" w:cs="宋体"/>
                <w:kern w:val="0"/>
                <w:szCs w:val="21"/>
              </w:rPr>
            </w:pPr>
            <w:r>
              <w:rPr>
                <w:rFonts w:hint="eastAsia" w:ascii="宋体" w:hAnsi="宋体" w:cs="宋体"/>
                <w:kern w:val="0"/>
                <w:szCs w:val="21"/>
              </w:rPr>
              <w:t>服务器支持智能温度监控，具备支持以图形化形式展示各组件温度传感器的分布图，可直观体现服务器整体温感状态；（需提供第三方检测机构检测报告证明）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日志下载</w:t>
            </w:r>
          </w:p>
        </w:tc>
        <w:tc>
          <w:tcPr>
            <w:tcW w:w="6254" w:type="dxa"/>
            <w:vAlign w:val="center"/>
          </w:tcPr>
          <w:p>
            <w:pPr>
              <w:rPr>
                <w:rFonts w:hint="eastAsia" w:ascii="宋体" w:hAnsi="宋体" w:cs="宋体"/>
                <w:kern w:val="0"/>
                <w:szCs w:val="21"/>
              </w:rPr>
            </w:pPr>
            <w:r>
              <w:rPr>
                <w:rFonts w:hint="eastAsia" w:ascii="宋体" w:hAnsi="宋体" w:cs="宋体"/>
                <w:kern w:val="0"/>
                <w:szCs w:val="21"/>
              </w:rPr>
              <w:t>支持通过服务U盘下载服务器设备故障诊断日志；（需提供第三方检测机构检测报告证明）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稳定性</w:t>
            </w:r>
          </w:p>
        </w:tc>
        <w:tc>
          <w:tcPr>
            <w:tcW w:w="1354" w:type="dxa"/>
            <w:vAlign w:val="center"/>
          </w:tcPr>
          <w:p>
            <w:pPr>
              <w:widowControl/>
              <w:jc w:val="center"/>
              <w:rPr>
                <w:rFonts w:hint="eastAsia" w:ascii="宋体" w:hAnsi="宋体" w:cs="宋体"/>
                <w:kern w:val="0"/>
                <w:szCs w:val="21"/>
              </w:rPr>
            </w:pPr>
            <w:r>
              <w:rPr>
                <w:rFonts w:hint="eastAsia" w:ascii="宋体" w:hAnsi="宋体" w:cs="宋体"/>
                <w:kern w:val="0"/>
                <w:szCs w:val="21"/>
              </w:rPr>
              <w:t>运行温度</w:t>
            </w:r>
          </w:p>
        </w:tc>
        <w:tc>
          <w:tcPr>
            <w:tcW w:w="6254" w:type="dxa"/>
            <w:vAlign w:val="center"/>
          </w:tcPr>
          <w:p>
            <w:pPr>
              <w:widowControl/>
              <w:jc w:val="left"/>
              <w:rPr>
                <w:rFonts w:hint="eastAsia" w:ascii="宋体" w:hAnsi="宋体" w:cs="宋体"/>
                <w:kern w:val="0"/>
                <w:szCs w:val="21"/>
              </w:rPr>
            </w:pPr>
            <w:r>
              <w:rPr>
                <w:rFonts w:hint="eastAsia" w:ascii="宋体" w:hAnsi="宋体" w:cs="宋体"/>
                <w:kern w:val="0"/>
                <w:szCs w:val="21"/>
              </w:rPr>
              <w:t>工作环境温度支持5~50°C；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资质认证</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市场份额</w:t>
            </w:r>
          </w:p>
        </w:tc>
        <w:tc>
          <w:tcPr>
            <w:tcW w:w="6254" w:type="dxa"/>
            <w:vAlign w:val="center"/>
          </w:tcPr>
          <w:p>
            <w:pPr>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服务器市场厂商品牌知名度高，并提供第三方证明报告；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服务</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维保服务</w:t>
            </w:r>
          </w:p>
        </w:tc>
        <w:tc>
          <w:tcPr>
            <w:tcW w:w="6254" w:type="dxa"/>
            <w:vAlign w:val="center"/>
          </w:tcPr>
          <w:p>
            <w:pPr>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0" w:type="auto"/>
            <w:vMerge w:val="continue"/>
            <w:noWrap/>
            <w:vAlign w:val="center"/>
          </w:tcPr>
          <w:p>
            <w:pPr>
              <w:jc w:val="center"/>
              <w:rPr>
                <w:rFonts w:hint="eastAsia" w:ascii="宋体" w:hAnsi="宋体" w:cs="宋体"/>
                <w:kern w:val="0"/>
                <w:szCs w:val="21"/>
              </w:rPr>
            </w:pPr>
          </w:p>
        </w:tc>
        <w:tc>
          <w:tcPr>
            <w:tcW w:w="1354" w:type="dxa"/>
            <w:vAlign w:val="center"/>
          </w:tcPr>
          <w:p>
            <w:pPr>
              <w:widowControl/>
              <w:jc w:val="center"/>
              <w:rPr>
                <w:rFonts w:hint="eastAsia" w:ascii="宋体" w:hAnsi="宋体" w:cs="宋体"/>
                <w:kern w:val="0"/>
                <w:szCs w:val="21"/>
              </w:rPr>
            </w:pPr>
            <w:r>
              <w:rPr>
                <w:rFonts w:hint="eastAsia" w:ascii="宋体" w:hAnsi="宋体" w:cs="宋体"/>
                <w:kern w:val="0"/>
                <w:szCs w:val="21"/>
              </w:rPr>
              <w:t>增值服务</w:t>
            </w:r>
          </w:p>
        </w:tc>
        <w:tc>
          <w:tcPr>
            <w:tcW w:w="6254" w:type="dxa"/>
            <w:vAlign w:val="center"/>
          </w:tcPr>
          <w:p>
            <w:pPr>
              <w:widowControl/>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其它</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包装</w:t>
            </w:r>
          </w:p>
        </w:tc>
        <w:tc>
          <w:tcPr>
            <w:tcW w:w="6254" w:type="dxa"/>
            <w:vAlign w:val="center"/>
          </w:tcPr>
          <w:p>
            <w:pPr>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运输</w:t>
            </w:r>
          </w:p>
        </w:tc>
        <w:tc>
          <w:tcPr>
            <w:tcW w:w="6254" w:type="dxa"/>
            <w:vAlign w:val="center"/>
          </w:tcPr>
          <w:p>
            <w:pPr>
              <w:rPr>
                <w:rFonts w:hint="eastAsia" w:ascii="宋体" w:hAnsi="宋体" w:cs="宋体"/>
                <w:kern w:val="0"/>
                <w:szCs w:val="21"/>
              </w:rPr>
            </w:pPr>
            <w:r>
              <w:rPr>
                <w:rFonts w:hint="eastAsia" w:ascii="宋体" w:hAnsi="宋体" w:cs="宋体"/>
                <w:kern w:val="0"/>
                <w:szCs w:val="21"/>
              </w:rPr>
              <w:t>直接发货至最终用户(最终用户制定部署点，不仅限于一个地点)；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导轨</w:t>
            </w:r>
          </w:p>
        </w:tc>
        <w:tc>
          <w:tcPr>
            <w:tcW w:w="6254" w:type="dxa"/>
            <w:vAlign w:val="center"/>
          </w:tcPr>
          <w:p>
            <w:pPr>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授权</w:t>
            </w:r>
          </w:p>
        </w:tc>
        <w:tc>
          <w:tcPr>
            <w:tcW w:w="1354" w:type="dxa"/>
            <w:vAlign w:val="center"/>
          </w:tcPr>
          <w:p>
            <w:pPr>
              <w:jc w:val="center"/>
              <w:rPr>
                <w:rFonts w:hint="eastAsia" w:ascii="宋体" w:hAnsi="宋体" w:cs="宋体"/>
                <w:kern w:val="0"/>
                <w:szCs w:val="21"/>
              </w:rPr>
            </w:pPr>
            <w:r>
              <w:rPr>
                <w:rFonts w:hint="eastAsia" w:ascii="宋体" w:hAnsi="宋体" w:cs="宋体"/>
                <w:kern w:val="0"/>
                <w:szCs w:val="21"/>
              </w:rPr>
              <w:t>授权要求</w:t>
            </w:r>
          </w:p>
        </w:tc>
        <w:tc>
          <w:tcPr>
            <w:tcW w:w="6254" w:type="dxa"/>
            <w:vAlign w:val="center"/>
          </w:tcPr>
          <w:p>
            <w:pPr>
              <w:rPr>
                <w:rFonts w:hint="eastAsia" w:ascii="宋体" w:hAnsi="宋体" w:cs="宋体"/>
                <w:kern w:val="0"/>
                <w:szCs w:val="21"/>
              </w:rPr>
            </w:pPr>
            <w:r>
              <w:rPr>
                <w:rFonts w:hint="eastAsia"/>
                <w:kern w:val="0"/>
              </w:rPr>
              <w:t>投标人需提供</w:t>
            </w:r>
            <w:r>
              <w:rPr>
                <w:rFonts w:hint="eastAsia" w:ascii="宋体" w:hAnsi="宋体" w:cs="宋体"/>
                <w:kern w:val="0"/>
                <w:szCs w:val="21"/>
              </w:rPr>
              <w:t>拟投设备原厂商</w:t>
            </w:r>
            <w:r>
              <w:rPr>
                <w:rFonts w:hint="eastAsia"/>
                <w:kern w:val="0"/>
              </w:rPr>
              <w:t>针对本项目的授权函及三年售后</w:t>
            </w:r>
            <w:r>
              <w:rPr>
                <w:kern w:val="0"/>
              </w:rPr>
              <w:t>服务</w:t>
            </w:r>
            <w:r>
              <w:rPr>
                <w:rFonts w:hint="eastAsia"/>
                <w:kern w:val="0"/>
              </w:rPr>
              <w:t>承诺函</w:t>
            </w:r>
            <w:r>
              <w:rPr>
                <w:rFonts w:hint="eastAsia" w:ascii="宋体" w:hAnsi="宋体" w:cs="宋体"/>
                <w:kern w:val="0"/>
                <w:szCs w:val="21"/>
              </w:rPr>
              <w:t>；</w:t>
            </w:r>
          </w:p>
        </w:tc>
      </w:tr>
    </w:tbl>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p>
    <w:p>
      <w:pPr>
        <w:pStyle w:val="4"/>
        <w:ind w:firstLine="442"/>
        <w:rPr>
          <w:rFonts w:hint="eastAsia" w:ascii="宋体" w:hAnsi="宋体" w:cs="宋体"/>
          <w:b/>
          <w:sz w:val="22"/>
          <w:szCs w:val="22"/>
        </w:rPr>
      </w:pPr>
      <w:r>
        <w:rPr>
          <w:rFonts w:hint="eastAsia" w:ascii="宋体" w:hAnsi="宋体" w:cs="宋体"/>
          <w:b/>
          <w:sz w:val="22"/>
          <w:szCs w:val="22"/>
        </w:rPr>
        <w:t>（9）高性能存储服务器（3台）</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1343"/>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b/>
                <w:bCs/>
                <w:kern w:val="0"/>
                <w:szCs w:val="21"/>
              </w:rPr>
            </w:pPr>
            <w:r>
              <w:rPr>
                <w:rFonts w:hint="eastAsia" w:ascii="宋体" w:hAnsi="宋体" w:cs="宋体"/>
                <w:b/>
                <w:bCs/>
                <w:kern w:val="0"/>
                <w:szCs w:val="21"/>
              </w:rPr>
              <w:t>类别</w:t>
            </w:r>
          </w:p>
        </w:tc>
        <w:tc>
          <w:tcPr>
            <w:tcW w:w="1343" w:type="dxa"/>
            <w:vAlign w:val="center"/>
          </w:tcPr>
          <w:p>
            <w:pPr>
              <w:jc w:val="center"/>
              <w:rPr>
                <w:rFonts w:hint="eastAsia" w:ascii="宋体" w:hAnsi="宋体" w:cs="宋体"/>
                <w:b/>
                <w:bCs/>
                <w:kern w:val="0"/>
                <w:szCs w:val="21"/>
              </w:rPr>
            </w:pPr>
            <w:r>
              <w:rPr>
                <w:rFonts w:hint="eastAsia" w:ascii="宋体" w:hAnsi="宋体" w:cs="宋体"/>
                <w:b/>
                <w:bCs/>
                <w:kern w:val="0"/>
                <w:szCs w:val="21"/>
              </w:rPr>
              <w:t>设备指标项</w:t>
            </w:r>
          </w:p>
        </w:tc>
        <w:tc>
          <w:tcPr>
            <w:tcW w:w="6266" w:type="dxa"/>
            <w:vAlign w:val="center"/>
          </w:tcPr>
          <w:p>
            <w:pPr>
              <w:rPr>
                <w:rFonts w:hint="eastAsia" w:ascii="宋体" w:hAnsi="宋体" w:cs="宋体"/>
                <w:b/>
                <w:bCs/>
                <w:kern w:val="0"/>
                <w:szCs w:val="21"/>
              </w:rPr>
            </w:pPr>
            <w:r>
              <w:rPr>
                <w:rFonts w:hint="eastAsia" w:ascii="宋体" w:hAnsi="宋体" w:cs="宋体"/>
                <w:b/>
                <w:bCs/>
                <w:kern w:val="0"/>
                <w:szCs w:val="21"/>
              </w:rPr>
              <w:t>设备技术参数及性能（配置）要求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品牌</w:t>
            </w:r>
          </w:p>
        </w:tc>
        <w:tc>
          <w:tcPr>
            <w:tcW w:w="0" w:type="auto"/>
            <w:gridSpan w:val="2"/>
            <w:vAlign w:val="center"/>
          </w:tcPr>
          <w:p>
            <w:pPr>
              <w:jc w:val="left"/>
              <w:rPr>
                <w:rFonts w:hint="eastAsia" w:ascii="宋体" w:hAnsi="宋体" w:cs="宋体"/>
                <w:kern w:val="0"/>
                <w:szCs w:val="21"/>
              </w:rPr>
            </w:pPr>
            <w:r>
              <w:rPr>
                <w:rFonts w:hint="eastAsia" w:ascii="宋体" w:hAnsi="宋体" w:cs="宋体"/>
                <w:kern w:val="0"/>
                <w:szCs w:val="21"/>
              </w:rPr>
              <w:t>本项目要求国产非OEM产品投标；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外观结构</w:t>
            </w:r>
          </w:p>
        </w:tc>
        <w:tc>
          <w:tcPr>
            <w:tcW w:w="1343" w:type="dxa"/>
            <w:vAlign w:val="center"/>
          </w:tcPr>
          <w:p>
            <w:pPr>
              <w:jc w:val="center"/>
              <w:rPr>
                <w:rFonts w:hint="eastAsia" w:ascii="宋体" w:hAnsi="宋体" w:cs="宋体"/>
                <w:b/>
                <w:bCs/>
                <w:kern w:val="0"/>
                <w:szCs w:val="21"/>
              </w:rPr>
            </w:pPr>
            <w:r>
              <w:rPr>
                <w:rFonts w:hint="eastAsia" w:ascii="宋体" w:hAnsi="宋体" w:cs="宋体"/>
                <w:kern w:val="0"/>
                <w:szCs w:val="21"/>
              </w:rPr>
              <w:t>类型</w:t>
            </w:r>
          </w:p>
        </w:tc>
        <w:tc>
          <w:tcPr>
            <w:tcW w:w="6266" w:type="dxa"/>
            <w:vAlign w:val="center"/>
          </w:tcPr>
          <w:p>
            <w:pPr>
              <w:rPr>
                <w:rFonts w:hint="eastAsia" w:ascii="宋体" w:hAnsi="宋体" w:cs="宋体"/>
                <w:kern w:val="0"/>
                <w:szCs w:val="21"/>
              </w:rPr>
            </w:pPr>
            <w:r>
              <w:rPr>
                <w:rFonts w:hint="eastAsia" w:ascii="宋体" w:hAnsi="宋体" w:cs="宋体"/>
                <w:kern w:val="0"/>
                <w:szCs w:val="21"/>
              </w:rPr>
              <w:t>机架式，非刀片服务器；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处理器</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266" w:type="dxa"/>
            <w:vAlign w:val="center"/>
          </w:tcPr>
          <w:p>
            <w:pPr>
              <w:rPr>
                <w:rFonts w:hint="eastAsia" w:ascii="宋体" w:hAnsi="宋体" w:cs="宋体"/>
                <w:kern w:val="0"/>
                <w:szCs w:val="21"/>
              </w:rPr>
            </w:pPr>
            <w:r>
              <w:rPr>
                <w:rFonts w:hint="eastAsia" w:ascii="宋体" w:hAnsi="宋体" w:cs="宋体"/>
                <w:kern w:val="0"/>
                <w:szCs w:val="21"/>
              </w:rPr>
              <w:t>不低于英特尔®至强®可扩展系列，≥2颗处理器，支持铂金、金牌、银牌、铜牌全系列级别，单颗多达64个核心，最大功率385W；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CPU个数≥2颗，CPU型号为英特尔至强金牌</w:t>
            </w:r>
            <w:r>
              <w:rPr>
                <w:rFonts w:ascii="宋体" w:hAnsi="宋体" w:cs="宋体"/>
                <w:kern w:val="0"/>
                <w:szCs w:val="21"/>
              </w:rPr>
              <w:t>4516Y+</w:t>
            </w:r>
            <w:r>
              <w:rPr>
                <w:rFonts w:hint="eastAsia" w:ascii="宋体" w:hAnsi="宋体" w:cs="宋体"/>
                <w:kern w:val="0"/>
                <w:szCs w:val="21"/>
              </w:rPr>
              <w:t>或更高级别，每颗CPU≥</w:t>
            </w:r>
            <w:r>
              <w:rPr>
                <w:rFonts w:ascii="宋体" w:hAnsi="宋体" w:cs="宋体"/>
                <w:kern w:val="0"/>
                <w:szCs w:val="21"/>
              </w:rPr>
              <w:t>24</w:t>
            </w:r>
            <w:r>
              <w:rPr>
                <w:rFonts w:hint="eastAsia" w:ascii="宋体" w:hAnsi="宋体" w:cs="宋体"/>
                <w:kern w:val="0"/>
                <w:szCs w:val="21"/>
              </w:rPr>
              <w:t>核，2</w:t>
            </w:r>
            <w:r>
              <w:rPr>
                <w:rFonts w:ascii="宋体" w:hAnsi="宋体" w:cs="宋体"/>
                <w:kern w:val="0"/>
                <w:szCs w:val="21"/>
              </w:rPr>
              <w:t>.2</w:t>
            </w:r>
            <w:r>
              <w:rPr>
                <w:rFonts w:hint="eastAsia" w:ascii="宋体" w:hAnsi="宋体" w:cs="宋体"/>
                <w:kern w:val="0"/>
                <w:szCs w:val="21"/>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内存</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支持能力</w:t>
            </w:r>
          </w:p>
        </w:tc>
        <w:tc>
          <w:tcPr>
            <w:tcW w:w="6266" w:type="dxa"/>
            <w:vAlign w:val="center"/>
          </w:tcPr>
          <w:p>
            <w:pPr>
              <w:rPr>
                <w:rFonts w:hint="eastAsia" w:ascii="宋体" w:hAnsi="宋体" w:cs="宋体"/>
                <w:kern w:val="0"/>
                <w:szCs w:val="21"/>
              </w:rPr>
            </w:pPr>
            <w:r>
              <w:rPr>
                <w:rFonts w:hint="eastAsia" w:ascii="宋体" w:hAnsi="宋体" w:cs="宋体"/>
                <w:kern w:val="0"/>
                <w:szCs w:val="21"/>
              </w:rPr>
              <w:t>支持多达32个DDR5内存槽位，速率最高支持5600MT/s，支持RDIMM或</w:t>
            </w:r>
            <w:r>
              <w:rPr>
                <w:rFonts w:ascii="宋体" w:hAnsi="宋体" w:cs="宋体"/>
                <w:kern w:val="0"/>
                <w:szCs w:val="21"/>
              </w:rPr>
              <w:t>LRDIMM</w:t>
            </w:r>
            <w:r>
              <w:rPr>
                <w:rFonts w:hint="eastAsia" w:ascii="宋体" w:hAnsi="宋体" w:cs="宋体"/>
                <w:kern w:val="0"/>
                <w:szCs w:val="21"/>
              </w:rPr>
              <w:t>，双路处理器最大容量8TB；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b/>
                <w:bCs/>
                <w:kern w:val="0"/>
                <w:szCs w:val="21"/>
              </w:rPr>
              <w:t>★</w:t>
            </w: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w:t>
            </w:r>
            <w:r>
              <w:rPr>
                <w:rFonts w:ascii="宋体" w:hAnsi="宋体" w:cs="宋体"/>
                <w:kern w:val="0"/>
                <w:szCs w:val="21"/>
              </w:rPr>
              <w:t>32</w:t>
            </w:r>
            <w:r>
              <w:rPr>
                <w:rFonts w:hint="eastAsia" w:ascii="宋体" w:hAnsi="宋体" w:cs="宋体"/>
                <w:kern w:val="0"/>
                <w:szCs w:val="21"/>
              </w:rPr>
              <w:t>GB DDR5，频率5600MT/s，单条容量</w:t>
            </w:r>
            <w:r>
              <w:rPr>
                <w:rFonts w:ascii="宋体" w:hAnsi="宋体" w:cs="宋体"/>
                <w:kern w:val="0"/>
                <w:szCs w:val="21"/>
              </w:rPr>
              <w:t>32</w:t>
            </w:r>
            <w:r>
              <w:rPr>
                <w:rFonts w:hint="eastAsia" w:ascii="宋体" w:hAnsi="宋体" w:cs="宋体"/>
                <w:kern w:val="0"/>
                <w:szCs w:val="21"/>
              </w:rPr>
              <w:t>GB；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硬盘</w:t>
            </w:r>
          </w:p>
        </w:tc>
        <w:tc>
          <w:tcPr>
            <w:tcW w:w="1343" w:type="dxa"/>
            <w:vAlign w:val="center"/>
          </w:tcPr>
          <w:p>
            <w:pPr>
              <w:rPr>
                <w:rFonts w:hint="eastAsia" w:ascii="宋体" w:hAnsi="宋体" w:cs="宋体"/>
                <w:kern w:val="0"/>
                <w:szCs w:val="21"/>
              </w:rPr>
            </w:pPr>
            <w:r>
              <w:rPr>
                <w:rFonts w:hint="eastAsia" w:ascii="宋体" w:hAnsi="宋体" w:cs="宋体"/>
                <w:kern w:val="0"/>
                <w:szCs w:val="21"/>
              </w:rPr>
              <w:t>支持能力</w:t>
            </w:r>
          </w:p>
        </w:tc>
        <w:tc>
          <w:tcPr>
            <w:tcW w:w="6266" w:type="dxa"/>
            <w:vAlign w:val="center"/>
          </w:tcPr>
          <w:p>
            <w:pPr>
              <w:rPr>
                <w:rFonts w:hint="eastAsia" w:ascii="宋体" w:hAnsi="宋体" w:cs="宋体"/>
                <w:kern w:val="0"/>
                <w:szCs w:val="21"/>
              </w:rPr>
            </w:pPr>
            <w:r>
              <w:rPr>
                <w:rFonts w:hint="eastAsia" w:ascii="宋体" w:hAnsi="宋体" w:cs="宋体"/>
                <w:kern w:val="0"/>
                <w:szCs w:val="21"/>
              </w:rPr>
              <w:t>≥12个3.5英寸SAS/SATA/SSD硬盘槽位，支持操作系统安装；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 xml:space="preserve">硬盘：配置不少于2块480GB 6G SATA </w:t>
            </w:r>
            <w:r>
              <w:rPr>
                <w:rFonts w:ascii="宋体" w:hAnsi="宋体" w:cs="宋体"/>
                <w:kern w:val="0"/>
                <w:szCs w:val="21"/>
              </w:rPr>
              <w:t>3</w:t>
            </w:r>
            <w:r>
              <w:rPr>
                <w:rFonts w:hint="eastAsia" w:ascii="宋体" w:hAnsi="宋体" w:cs="宋体"/>
                <w:kern w:val="0"/>
                <w:szCs w:val="21"/>
              </w:rPr>
              <w:t>.5in SSD通用硬盘；</w:t>
            </w:r>
            <w:r>
              <w:rPr>
                <w:rFonts w:ascii="宋体" w:hAnsi="宋体" w:cs="宋体"/>
                <w:szCs w:val="21"/>
              </w:rPr>
              <w:t>6</w:t>
            </w:r>
            <w:r>
              <w:rPr>
                <w:rFonts w:hint="eastAsia" w:ascii="宋体" w:hAnsi="宋体" w:cs="宋体"/>
                <w:szCs w:val="21"/>
              </w:rPr>
              <w:t>块</w:t>
            </w:r>
            <w:r>
              <w:rPr>
                <w:rFonts w:ascii="宋体" w:hAnsi="宋体" w:cs="宋体"/>
                <w:szCs w:val="21"/>
              </w:rPr>
              <w:t>3.84TB PCIe*Gen4X4 NVMe 3.5in SSD</w:t>
            </w:r>
            <w:r>
              <w:rPr>
                <w:rFonts w:hint="eastAsia" w:ascii="宋体" w:hAnsi="宋体" w:cs="宋体"/>
                <w:szCs w:val="21"/>
              </w:rPr>
              <w:t>通用硬盘；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阵列控制器</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Raid支持</w:t>
            </w:r>
          </w:p>
        </w:tc>
        <w:tc>
          <w:tcPr>
            <w:tcW w:w="6266" w:type="dxa"/>
            <w:vAlign w:val="center"/>
          </w:tcPr>
          <w:p>
            <w:pPr>
              <w:rPr>
                <w:rFonts w:hint="eastAsia" w:ascii="宋体" w:hAnsi="宋体" w:cs="宋体"/>
                <w:kern w:val="0"/>
                <w:szCs w:val="21"/>
              </w:rPr>
            </w:pPr>
            <w:r>
              <w:rPr>
                <w:rFonts w:hint="eastAsia" w:ascii="宋体" w:hAnsi="宋体" w:cs="宋体"/>
                <w:kern w:val="0"/>
                <w:szCs w:val="21"/>
              </w:rPr>
              <w:t>支持Raid0，1，10，5；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可靠性</w:t>
            </w:r>
          </w:p>
        </w:tc>
        <w:tc>
          <w:tcPr>
            <w:tcW w:w="6266" w:type="dxa"/>
            <w:vAlign w:val="center"/>
          </w:tcPr>
          <w:p>
            <w:pPr>
              <w:rPr>
                <w:rFonts w:hint="eastAsia" w:ascii="宋体" w:hAnsi="宋体" w:cs="宋体"/>
                <w:kern w:val="0"/>
                <w:szCs w:val="21"/>
              </w:rPr>
            </w:pPr>
            <w:r>
              <w:rPr>
                <w:rFonts w:hint="eastAsia" w:ascii="宋体" w:hAnsi="宋体" w:cs="宋体"/>
                <w:kern w:val="0"/>
                <w:szCs w:val="21"/>
              </w:rPr>
              <w:t>支持掉电保护功能；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b/>
                <w:bCs/>
                <w:kern w:val="0"/>
                <w:szCs w:val="21"/>
              </w:rPr>
            </w:pPr>
            <w:r>
              <w:rPr>
                <w:rFonts w:hint="eastAsia" w:ascii="宋体" w:hAnsi="宋体" w:cs="宋体"/>
                <w:kern w:val="0"/>
                <w:szCs w:val="21"/>
              </w:rPr>
              <w:t>Raid缓存</w:t>
            </w:r>
          </w:p>
        </w:tc>
        <w:tc>
          <w:tcPr>
            <w:tcW w:w="6266" w:type="dxa"/>
            <w:vAlign w:val="center"/>
          </w:tcPr>
          <w:p>
            <w:pPr>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GB缓存；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PCI-E</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扩展能力</w:t>
            </w:r>
          </w:p>
        </w:tc>
        <w:tc>
          <w:tcPr>
            <w:tcW w:w="6266" w:type="dxa"/>
            <w:vAlign w:val="center"/>
          </w:tcPr>
          <w:p>
            <w:pPr>
              <w:rPr>
                <w:rFonts w:hint="eastAsia" w:ascii="宋体" w:hAnsi="宋体" w:cs="宋体"/>
                <w:kern w:val="0"/>
                <w:szCs w:val="21"/>
              </w:rPr>
            </w:pPr>
            <w:r>
              <w:rPr>
                <w:rFonts w:hint="eastAsia" w:ascii="宋体" w:hAnsi="宋体" w:cs="宋体"/>
                <w:kern w:val="0"/>
                <w:szCs w:val="21"/>
              </w:rPr>
              <w:t>PCI-E I/O插槽总数：≥1</w:t>
            </w:r>
            <w:r>
              <w:rPr>
                <w:rFonts w:ascii="宋体" w:hAnsi="宋体" w:cs="宋体"/>
                <w:kern w:val="0"/>
                <w:szCs w:val="21"/>
              </w:rPr>
              <w:t>3</w:t>
            </w:r>
            <w:r>
              <w:rPr>
                <w:rFonts w:hint="eastAsia" w:ascii="宋体" w:hAnsi="宋体" w:cs="宋体"/>
                <w:kern w:val="0"/>
                <w:szCs w:val="21"/>
              </w:rPr>
              <w:t>个，提供所投设备商官网截图证明及链接；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网卡</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66" w:type="dxa"/>
            <w:vAlign w:val="center"/>
          </w:tcPr>
          <w:p>
            <w:pPr>
              <w:rPr>
                <w:rFonts w:hint="eastAsia" w:ascii="宋体" w:hAnsi="宋体" w:cs="宋体"/>
                <w:kern w:val="0"/>
                <w:szCs w:val="21"/>
              </w:rPr>
            </w:pPr>
            <w:r>
              <w:rPr>
                <w:rFonts w:hint="eastAsia" w:ascii="宋体" w:hAnsi="宋体" w:cs="宋体"/>
                <w:kern w:val="0"/>
                <w:szCs w:val="21"/>
              </w:rPr>
              <w:t>支持1Gb电口及10Gb光口；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Merge w:val="restart"/>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≥4个1Gb电口；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Merge w:val="continue"/>
            <w:vAlign w:val="center"/>
          </w:tcPr>
          <w:p>
            <w:pPr>
              <w:jc w:val="center"/>
              <w:rPr>
                <w:rFonts w:hint="eastAsia" w:ascii="宋体" w:hAnsi="宋体" w:cs="宋体"/>
                <w:kern w:val="0"/>
                <w:szCs w:val="21"/>
              </w:rPr>
            </w:pPr>
          </w:p>
        </w:tc>
        <w:tc>
          <w:tcPr>
            <w:tcW w:w="6266" w:type="dxa"/>
            <w:vAlign w:val="center"/>
          </w:tcPr>
          <w:p>
            <w:pPr>
              <w:rPr>
                <w:rFonts w:hint="eastAsia" w:ascii="宋体" w:hAnsi="宋体" w:cs="宋体"/>
                <w:kern w:val="0"/>
                <w:szCs w:val="21"/>
              </w:rPr>
            </w:pPr>
            <w:r>
              <w:rPr>
                <w:rFonts w:hint="eastAsia" w:ascii="宋体" w:hAnsi="宋体" w:cs="宋体"/>
                <w:kern w:val="0"/>
                <w:szCs w:val="21"/>
              </w:rPr>
              <w:t>≥4 个10Gb光口，含4个多模模块；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szCs w:val="21"/>
              </w:rPr>
              <w:t>GPU卡</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66" w:type="dxa"/>
            <w:vAlign w:val="center"/>
          </w:tcPr>
          <w:p>
            <w:pPr>
              <w:adjustRightInd w:val="0"/>
              <w:snapToGrid w:val="0"/>
              <w:rPr>
                <w:rFonts w:hint="eastAsia" w:ascii="宋体" w:hAnsi="宋体" w:cs="宋体"/>
                <w:kern w:val="0"/>
                <w:szCs w:val="21"/>
              </w:rPr>
            </w:pPr>
            <w:r>
              <w:rPr>
                <w:rFonts w:hint="eastAsia" w:ascii="宋体" w:hAnsi="宋体" w:cs="宋体"/>
                <w:kern w:val="0"/>
                <w:szCs w:val="21"/>
              </w:rPr>
              <w:t>支持</w:t>
            </w:r>
            <w:r>
              <w:rPr>
                <w:rFonts w:hint="eastAsia" w:ascii="宋体" w:hAnsi="宋体" w:cs="宋体"/>
                <w:szCs w:val="21"/>
                <w:shd w:val="clear" w:color="auto" w:fill="FFFFFF"/>
              </w:rPr>
              <w:t>双宽GPU卡或单宽GPU卡</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USB接口</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个数</w:t>
            </w:r>
          </w:p>
        </w:tc>
        <w:tc>
          <w:tcPr>
            <w:tcW w:w="6266" w:type="dxa"/>
            <w:vAlign w:val="center"/>
          </w:tcPr>
          <w:p>
            <w:pPr>
              <w:rPr>
                <w:rFonts w:hint="eastAsia" w:ascii="宋体" w:hAnsi="宋体" w:cs="宋体"/>
                <w:kern w:val="0"/>
                <w:szCs w:val="21"/>
              </w:rPr>
            </w:pPr>
            <w:r>
              <w:rPr>
                <w:rFonts w:hint="eastAsia" w:ascii="宋体" w:hAnsi="宋体" w:cs="宋体"/>
                <w:kern w:val="0"/>
                <w:szCs w:val="21"/>
              </w:rPr>
              <w:t>≥4个；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电源</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类型</w:t>
            </w:r>
          </w:p>
        </w:tc>
        <w:tc>
          <w:tcPr>
            <w:tcW w:w="6266" w:type="dxa"/>
            <w:vAlign w:val="center"/>
          </w:tcPr>
          <w:p>
            <w:pPr>
              <w:rPr>
                <w:rFonts w:hint="eastAsia" w:ascii="宋体" w:hAnsi="宋体" w:cs="宋体"/>
                <w:kern w:val="0"/>
                <w:szCs w:val="21"/>
              </w:rPr>
            </w:pPr>
            <w:r>
              <w:rPr>
                <w:rFonts w:hint="eastAsia" w:ascii="宋体" w:hAnsi="宋体" w:cs="宋体"/>
                <w:kern w:val="0"/>
                <w:szCs w:val="21"/>
              </w:rPr>
              <w:t>高效冗余热插拔电源；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widowControl/>
              <w:jc w:val="center"/>
              <w:rPr>
                <w:rFonts w:hint="eastAsia" w:ascii="宋体" w:hAnsi="宋体" w:cs="宋体"/>
                <w:kern w:val="0"/>
                <w:szCs w:val="21"/>
              </w:rPr>
            </w:pPr>
            <w:r>
              <w:rPr>
                <w:rFonts w:hint="eastAsia" w:ascii="宋体" w:hAnsi="宋体" w:cs="宋体"/>
                <w:kern w:val="0"/>
                <w:szCs w:val="21"/>
              </w:rPr>
              <w:t>节能</w:t>
            </w:r>
          </w:p>
        </w:tc>
        <w:tc>
          <w:tcPr>
            <w:tcW w:w="6266" w:type="dxa"/>
            <w:vAlign w:val="center"/>
          </w:tcPr>
          <w:p>
            <w:pPr>
              <w:widowControl/>
              <w:jc w:val="left"/>
              <w:rPr>
                <w:rFonts w:hint="eastAsia" w:ascii="宋体" w:hAnsi="宋体" w:cs="宋体"/>
                <w:kern w:val="0"/>
                <w:szCs w:val="21"/>
              </w:rPr>
            </w:pPr>
            <w:r>
              <w:rPr>
                <w:rFonts w:hint="eastAsia" w:ascii="宋体" w:hAnsi="宋体" w:cs="宋体"/>
                <w:kern w:val="0"/>
                <w:szCs w:val="21"/>
              </w:rPr>
              <w:t>通过中国节能产品（CQC）认证提供证书复印件；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实际配置</w:t>
            </w:r>
          </w:p>
        </w:tc>
        <w:tc>
          <w:tcPr>
            <w:tcW w:w="6266" w:type="dxa"/>
            <w:vAlign w:val="center"/>
          </w:tcPr>
          <w:p>
            <w:pPr>
              <w:rPr>
                <w:rFonts w:hint="eastAsia" w:ascii="宋体" w:hAnsi="宋体" w:cs="宋体"/>
                <w:kern w:val="0"/>
                <w:szCs w:val="21"/>
              </w:rPr>
            </w:pPr>
            <w:r>
              <w:rPr>
                <w:rFonts w:hint="eastAsia" w:ascii="宋体" w:hAnsi="宋体" w:cs="宋体"/>
                <w:kern w:val="0"/>
                <w:szCs w:val="21"/>
              </w:rPr>
              <w:t>≥2个冗余热插拔电源，≥2个冗余热拔插散热风扇；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vAlign w:val="center"/>
          </w:tcPr>
          <w:p>
            <w:pPr>
              <w:jc w:val="center"/>
              <w:rPr>
                <w:rFonts w:hint="eastAsia" w:ascii="宋体" w:hAnsi="宋体" w:cs="宋体"/>
                <w:kern w:val="0"/>
                <w:szCs w:val="21"/>
              </w:rPr>
            </w:pPr>
            <w:r>
              <w:rPr>
                <w:rFonts w:hint="eastAsia" w:ascii="宋体" w:hAnsi="宋体" w:cs="宋体"/>
                <w:kern w:val="0"/>
                <w:szCs w:val="21"/>
              </w:rPr>
              <w:t>管理功能</w:t>
            </w:r>
          </w:p>
        </w:tc>
        <w:tc>
          <w:tcPr>
            <w:tcW w:w="1343"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带外升级</w:t>
            </w:r>
          </w:p>
        </w:tc>
        <w:tc>
          <w:tcPr>
            <w:tcW w:w="6266" w:type="dxa"/>
            <w:vAlign w:val="center"/>
          </w:tcPr>
          <w:p>
            <w:pPr>
              <w:rPr>
                <w:rFonts w:hint="eastAsia" w:ascii="宋体" w:hAnsi="宋体" w:cs="宋体"/>
                <w:kern w:val="0"/>
                <w:szCs w:val="21"/>
              </w:rPr>
            </w:pPr>
            <w:r>
              <w:rPr>
                <w:rFonts w:hint="eastAsia" w:ascii="宋体" w:hAnsi="宋体" w:cs="宋体"/>
                <w:kern w:val="0"/>
                <w:szCs w:val="21"/>
              </w:rPr>
              <w:t>不依赖OS，在BMC不重启的情况下，可带外升级BMC版本，可动态叠加新业务并解决BMC故障；（需提供第三方检测机构检测报告证明）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安全面板</w:t>
            </w:r>
          </w:p>
        </w:tc>
        <w:tc>
          <w:tcPr>
            <w:tcW w:w="6266" w:type="dxa"/>
            <w:vAlign w:val="center"/>
          </w:tcPr>
          <w:p>
            <w:pPr>
              <w:rPr>
                <w:rFonts w:hint="eastAsia" w:ascii="宋体" w:hAnsi="宋体" w:cs="宋体"/>
                <w:kern w:val="0"/>
                <w:szCs w:val="21"/>
              </w:rPr>
            </w:pPr>
            <w:r>
              <w:rPr>
                <w:rFonts w:hint="eastAsia" w:ascii="宋体" w:hAnsi="宋体" w:cs="宋体"/>
                <w:kern w:val="0"/>
                <w:szCs w:val="21"/>
              </w:rPr>
              <w:t>支持配置氛围灯与服务器监控或功率负载等状态联动；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tc>
        <w:tc>
          <w:tcPr>
            <w:tcW w:w="1343" w:type="dxa"/>
            <w:vAlign w:val="center"/>
          </w:tcPr>
          <w:p>
            <w:r>
              <w:rPr>
                <w:rFonts w:hint="eastAsia"/>
              </w:rPr>
              <w:t>内存智能修复</w:t>
            </w:r>
          </w:p>
        </w:tc>
        <w:tc>
          <w:tcPr>
            <w:tcW w:w="6266" w:type="dxa"/>
            <w:vAlign w:val="center"/>
          </w:tcPr>
          <w:p>
            <w:r>
              <w:rPr>
                <w:rFonts w:hint="eastAsia" w:ascii="宋体" w:hAnsi="宋体" w:cs="宋体"/>
                <w:kern w:val="0"/>
                <w:szCs w:val="21"/>
              </w:rPr>
              <w:t>可支持内存智能修复、内存故障预测隔离功能，提前识别内存CE错误并针对风险区域实施隔离操作，降低宕机率；（需提供第三方检测机构检测报告证明）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sz w:val="22"/>
              </w:rPr>
              <w:t>▲</w:t>
            </w:r>
            <w:r>
              <w:rPr>
                <w:rFonts w:hint="eastAsia" w:ascii="宋体" w:hAnsi="宋体" w:cs="宋体"/>
                <w:kern w:val="0"/>
                <w:szCs w:val="21"/>
              </w:rPr>
              <w:t>图形化展示部件温度</w:t>
            </w:r>
          </w:p>
        </w:tc>
        <w:tc>
          <w:tcPr>
            <w:tcW w:w="6266" w:type="dxa"/>
            <w:vAlign w:val="center"/>
          </w:tcPr>
          <w:p>
            <w:pPr>
              <w:rPr>
                <w:rFonts w:hint="eastAsia" w:ascii="宋体" w:hAnsi="宋体" w:cs="宋体"/>
                <w:kern w:val="0"/>
                <w:szCs w:val="21"/>
              </w:rPr>
            </w:pPr>
            <w:r>
              <w:rPr>
                <w:rFonts w:hint="eastAsia" w:ascii="宋体" w:hAnsi="宋体" w:cs="宋体"/>
                <w:kern w:val="0"/>
                <w:szCs w:val="21"/>
              </w:rPr>
              <w:t>服务器支持智能温度监控，具备支持以图形化形式展示各组件温度传感器的分布图，可直观体现服务器整体温感状态；（需提供第三方检测机构检测报告证明）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日志下载</w:t>
            </w:r>
          </w:p>
        </w:tc>
        <w:tc>
          <w:tcPr>
            <w:tcW w:w="6266" w:type="dxa"/>
            <w:vAlign w:val="center"/>
          </w:tcPr>
          <w:p>
            <w:pPr>
              <w:rPr>
                <w:rFonts w:hint="eastAsia" w:ascii="宋体" w:hAnsi="宋体" w:cs="宋体"/>
                <w:kern w:val="0"/>
                <w:szCs w:val="21"/>
              </w:rPr>
            </w:pPr>
            <w:r>
              <w:rPr>
                <w:rFonts w:hint="eastAsia" w:ascii="宋体" w:hAnsi="宋体" w:cs="宋体"/>
                <w:kern w:val="0"/>
                <w:szCs w:val="21"/>
              </w:rPr>
              <w:t>支持通过服务U盘下载服务器设备故障诊断日志；（需提供第三方检测机构检测报告证明）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稳定性</w:t>
            </w:r>
          </w:p>
        </w:tc>
        <w:tc>
          <w:tcPr>
            <w:tcW w:w="1343" w:type="dxa"/>
            <w:vAlign w:val="center"/>
          </w:tcPr>
          <w:p>
            <w:pPr>
              <w:widowControl/>
              <w:jc w:val="center"/>
              <w:rPr>
                <w:rFonts w:hint="eastAsia" w:ascii="宋体" w:hAnsi="宋体" w:cs="宋体"/>
                <w:kern w:val="0"/>
                <w:szCs w:val="21"/>
              </w:rPr>
            </w:pPr>
            <w:r>
              <w:rPr>
                <w:rFonts w:hint="eastAsia" w:ascii="宋体" w:hAnsi="宋体" w:cs="宋体"/>
                <w:kern w:val="0"/>
                <w:szCs w:val="21"/>
              </w:rPr>
              <w:t>运行温度</w:t>
            </w:r>
          </w:p>
        </w:tc>
        <w:tc>
          <w:tcPr>
            <w:tcW w:w="6266" w:type="dxa"/>
            <w:vAlign w:val="center"/>
          </w:tcPr>
          <w:p>
            <w:pPr>
              <w:widowControl/>
              <w:jc w:val="left"/>
              <w:rPr>
                <w:rFonts w:hint="eastAsia" w:ascii="宋体" w:hAnsi="宋体" w:cs="宋体"/>
                <w:kern w:val="0"/>
                <w:szCs w:val="21"/>
              </w:rPr>
            </w:pPr>
            <w:r>
              <w:rPr>
                <w:rFonts w:hint="eastAsia" w:ascii="宋体" w:hAnsi="宋体" w:cs="宋体"/>
                <w:kern w:val="0"/>
                <w:szCs w:val="21"/>
              </w:rPr>
              <w:t>工作环境温度支持5~50°C；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noWrap/>
            <w:vAlign w:val="center"/>
          </w:tcPr>
          <w:p>
            <w:pPr>
              <w:jc w:val="center"/>
              <w:rPr>
                <w:rFonts w:hint="eastAsia" w:ascii="宋体" w:hAnsi="宋体" w:cs="宋体"/>
                <w:kern w:val="0"/>
                <w:szCs w:val="21"/>
              </w:rPr>
            </w:pPr>
            <w:r>
              <w:rPr>
                <w:rFonts w:hint="eastAsia" w:ascii="宋体" w:hAnsi="宋体" w:cs="宋体"/>
                <w:kern w:val="0"/>
                <w:szCs w:val="21"/>
              </w:rPr>
              <w:t>资质认证</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市场份额</w:t>
            </w:r>
          </w:p>
        </w:tc>
        <w:tc>
          <w:tcPr>
            <w:tcW w:w="6266" w:type="dxa"/>
            <w:vAlign w:val="center"/>
          </w:tcPr>
          <w:p>
            <w:pPr>
              <w:rPr>
                <w:rFonts w:hint="eastAsia" w:ascii="宋体" w:hAnsi="宋体" w:cs="宋体"/>
                <w:kern w:val="0"/>
                <w:szCs w:val="21"/>
              </w:rPr>
            </w:pPr>
            <w:r>
              <w:rPr>
                <w:rFonts w:hint="eastAsia" w:ascii="宋体" w:hAnsi="宋体" w:cs="宋体"/>
                <w:kern w:val="0"/>
                <w:szCs w:val="21"/>
              </w:rPr>
              <w:t>响应产品须是国内主流厂商产品，所投厂商</w:t>
            </w:r>
            <w:r>
              <w:rPr>
                <w:rFonts w:ascii="宋体" w:hAnsi="宋体" w:cs="宋体"/>
                <w:kern w:val="0"/>
                <w:szCs w:val="21"/>
              </w:rPr>
              <w:t>2022</w:t>
            </w:r>
            <w:r>
              <w:rPr>
                <w:rFonts w:hint="eastAsia" w:ascii="宋体" w:hAnsi="宋体" w:cs="宋体"/>
                <w:kern w:val="0"/>
                <w:szCs w:val="21"/>
              </w:rPr>
              <w:t>年或</w:t>
            </w:r>
            <w:r>
              <w:rPr>
                <w:rFonts w:ascii="宋体" w:hAnsi="宋体" w:cs="宋体"/>
                <w:kern w:val="0"/>
                <w:szCs w:val="21"/>
              </w:rPr>
              <w:t>2023</w:t>
            </w:r>
            <w:r>
              <w:rPr>
                <w:rFonts w:hint="eastAsia" w:ascii="宋体" w:hAnsi="宋体" w:cs="宋体"/>
                <w:kern w:val="0"/>
                <w:szCs w:val="21"/>
              </w:rPr>
              <w:t>年中国</w:t>
            </w:r>
            <w:r>
              <w:rPr>
                <w:rFonts w:ascii="宋体" w:hAnsi="宋体" w:cs="宋体"/>
                <w:kern w:val="0"/>
                <w:szCs w:val="21"/>
              </w:rPr>
              <w:t>X86</w:t>
            </w:r>
            <w:r>
              <w:rPr>
                <w:rFonts w:hint="eastAsia" w:ascii="宋体" w:hAnsi="宋体" w:cs="宋体"/>
                <w:kern w:val="0"/>
                <w:szCs w:val="21"/>
              </w:rPr>
              <w:t>服务器市场厂商品牌知名度高，并提供第三方证明报告；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服务</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维保服务</w:t>
            </w:r>
          </w:p>
        </w:tc>
        <w:tc>
          <w:tcPr>
            <w:tcW w:w="6266" w:type="dxa"/>
            <w:vAlign w:val="center"/>
          </w:tcPr>
          <w:p>
            <w:pPr>
              <w:rPr>
                <w:rFonts w:hint="eastAsia" w:ascii="宋体" w:hAnsi="宋体" w:cs="宋体"/>
                <w:kern w:val="0"/>
                <w:szCs w:val="21"/>
              </w:rPr>
            </w:pPr>
            <w:r>
              <w:rPr>
                <w:rFonts w:hint="eastAsia" w:ascii="宋体" w:hAnsi="宋体" w:cs="宋体"/>
                <w:kern w:val="0"/>
                <w:szCs w:val="21"/>
              </w:rPr>
              <w:t>提供原厂商3年5X9现场和备件服务；免费提供上门技术支持（包括但不限于人工、配件、交通等），5X9电话技术支持；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0" w:type="auto"/>
            <w:vMerge w:val="continue"/>
            <w:noWrap/>
            <w:vAlign w:val="center"/>
          </w:tcPr>
          <w:p>
            <w:pPr>
              <w:jc w:val="center"/>
              <w:rPr>
                <w:rFonts w:hint="eastAsia" w:ascii="宋体" w:hAnsi="宋体" w:cs="宋体"/>
                <w:kern w:val="0"/>
                <w:szCs w:val="21"/>
              </w:rPr>
            </w:pPr>
          </w:p>
        </w:tc>
        <w:tc>
          <w:tcPr>
            <w:tcW w:w="1343" w:type="dxa"/>
            <w:vAlign w:val="center"/>
          </w:tcPr>
          <w:p>
            <w:pPr>
              <w:widowControl/>
              <w:jc w:val="center"/>
              <w:rPr>
                <w:rFonts w:hint="eastAsia" w:ascii="宋体" w:hAnsi="宋体" w:cs="宋体"/>
                <w:kern w:val="0"/>
                <w:szCs w:val="21"/>
              </w:rPr>
            </w:pPr>
            <w:r>
              <w:rPr>
                <w:rFonts w:hint="eastAsia" w:ascii="宋体" w:hAnsi="宋体" w:cs="宋体"/>
                <w:kern w:val="0"/>
                <w:szCs w:val="21"/>
              </w:rPr>
              <w:t>增值服务</w:t>
            </w:r>
          </w:p>
        </w:tc>
        <w:tc>
          <w:tcPr>
            <w:tcW w:w="6266" w:type="dxa"/>
            <w:vAlign w:val="center"/>
          </w:tcPr>
          <w:p>
            <w:pPr>
              <w:widowControl/>
              <w:jc w:val="left"/>
              <w:rPr>
                <w:rFonts w:hint="eastAsia" w:ascii="宋体" w:hAnsi="宋体" w:cs="宋体"/>
                <w:kern w:val="0"/>
                <w:szCs w:val="21"/>
              </w:rPr>
            </w:pPr>
            <w:r>
              <w:rPr>
                <w:rFonts w:hint="eastAsia" w:ascii="宋体" w:hAnsi="宋体" w:cs="宋体"/>
                <w:kern w:val="0"/>
                <w:szCs w:val="21"/>
              </w:rPr>
              <w:t>提供专属技术客户经理跟踪整个服务事件以及紧急派遣，专属技术客户经理提供与电话支持同步的现场故障诊断，提供专属技术客户经理的24×7专属电话，非800或400电话；包含硬盘免返还服务（内容版权保护）；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noWrap/>
            <w:vAlign w:val="center"/>
          </w:tcPr>
          <w:p>
            <w:pPr>
              <w:jc w:val="center"/>
              <w:rPr>
                <w:rFonts w:hint="eastAsia" w:ascii="宋体" w:hAnsi="宋体" w:cs="宋体"/>
                <w:kern w:val="0"/>
                <w:szCs w:val="21"/>
              </w:rPr>
            </w:pPr>
            <w:r>
              <w:rPr>
                <w:rFonts w:hint="eastAsia" w:ascii="宋体" w:hAnsi="宋体" w:cs="宋体"/>
                <w:kern w:val="0"/>
                <w:szCs w:val="21"/>
              </w:rPr>
              <w:t>其它</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包装</w:t>
            </w:r>
          </w:p>
        </w:tc>
        <w:tc>
          <w:tcPr>
            <w:tcW w:w="6266" w:type="dxa"/>
            <w:vAlign w:val="center"/>
          </w:tcPr>
          <w:p>
            <w:pPr>
              <w:rPr>
                <w:rFonts w:hint="eastAsia" w:ascii="宋体" w:hAnsi="宋体" w:cs="宋体"/>
                <w:kern w:val="0"/>
                <w:szCs w:val="21"/>
              </w:rPr>
            </w:pPr>
            <w:r>
              <w:rPr>
                <w:rFonts w:hint="eastAsia" w:ascii="宋体" w:hAnsi="宋体" w:cs="宋体"/>
                <w:kern w:val="0"/>
                <w:szCs w:val="21"/>
              </w:rPr>
              <w:t>所有配置须在原厂预装出厂，保证完整包装不开封，包装箱上注明采购用户名称，机箱上提供资产清单，出厂配置标签，MAC地址标签；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运输</w:t>
            </w:r>
          </w:p>
        </w:tc>
        <w:tc>
          <w:tcPr>
            <w:tcW w:w="6266" w:type="dxa"/>
            <w:vAlign w:val="center"/>
          </w:tcPr>
          <w:p>
            <w:pPr>
              <w:rPr>
                <w:rFonts w:hint="eastAsia" w:ascii="宋体" w:hAnsi="宋体" w:cs="宋体"/>
                <w:kern w:val="0"/>
                <w:szCs w:val="21"/>
              </w:rPr>
            </w:pPr>
            <w:r>
              <w:rPr>
                <w:rFonts w:hint="eastAsia" w:ascii="宋体" w:hAnsi="宋体" w:cs="宋体"/>
                <w:kern w:val="0"/>
                <w:szCs w:val="21"/>
              </w:rPr>
              <w:t>直接发货至最终用户(最终用户制定部署点，不仅限于一个地点)；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vAlign w:val="center"/>
          </w:tcPr>
          <w:p>
            <w:pPr>
              <w:jc w:val="center"/>
              <w:rPr>
                <w:rFonts w:hint="eastAsia" w:ascii="宋体" w:hAnsi="宋体" w:cs="宋体"/>
                <w:kern w:val="0"/>
                <w:szCs w:val="21"/>
              </w:rPr>
            </w:pP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导轨</w:t>
            </w:r>
          </w:p>
        </w:tc>
        <w:tc>
          <w:tcPr>
            <w:tcW w:w="6266" w:type="dxa"/>
            <w:vAlign w:val="center"/>
          </w:tcPr>
          <w:p>
            <w:pPr>
              <w:rPr>
                <w:rFonts w:hint="eastAsia" w:ascii="宋体" w:hAnsi="宋体" w:cs="宋体"/>
                <w:kern w:val="0"/>
                <w:szCs w:val="21"/>
              </w:rPr>
            </w:pPr>
            <w:r>
              <w:rPr>
                <w:rFonts w:hint="eastAsia" w:ascii="宋体" w:hAnsi="宋体" w:cs="宋体"/>
                <w:kern w:val="0"/>
                <w:szCs w:val="21"/>
              </w:rPr>
              <w:t>需要配置导轨套件；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0" w:type="auto"/>
            <w:vAlign w:val="center"/>
          </w:tcPr>
          <w:p>
            <w:pPr>
              <w:jc w:val="center"/>
              <w:rPr>
                <w:rFonts w:hint="eastAsia" w:ascii="宋体" w:hAnsi="宋体" w:cs="宋体"/>
                <w:kern w:val="0"/>
                <w:szCs w:val="21"/>
              </w:rPr>
            </w:pPr>
            <w:r>
              <w:rPr>
                <w:rFonts w:hint="eastAsia" w:ascii="宋体" w:hAnsi="宋体" w:cs="宋体"/>
                <w:kern w:val="0"/>
                <w:szCs w:val="21"/>
              </w:rPr>
              <w:t>授权</w:t>
            </w:r>
          </w:p>
        </w:tc>
        <w:tc>
          <w:tcPr>
            <w:tcW w:w="1343" w:type="dxa"/>
            <w:vAlign w:val="center"/>
          </w:tcPr>
          <w:p>
            <w:pPr>
              <w:jc w:val="center"/>
              <w:rPr>
                <w:rFonts w:hint="eastAsia" w:ascii="宋体" w:hAnsi="宋体" w:cs="宋体"/>
                <w:kern w:val="0"/>
                <w:szCs w:val="21"/>
              </w:rPr>
            </w:pPr>
            <w:r>
              <w:rPr>
                <w:rFonts w:hint="eastAsia" w:ascii="宋体" w:hAnsi="宋体" w:cs="宋体"/>
                <w:kern w:val="0"/>
                <w:szCs w:val="21"/>
              </w:rPr>
              <w:t>授权要求</w:t>
            </w:r>
          </w:p>
        </w:tc>
        <w:tc>
          <w:tcPr>
            <w:tcW w:w="6266" w:type="dxa"/>
            <w:vAlign w:val="center"/>
          </w:tcPr>
          <w:p>
            <w:pPr>
              <w:rPr>
                <w:rFonts w:hint="eastAsia" w:ascii="宋体" w:hAnsi="宋体" w:cs="宋体"/>
                <w:kern w:val="0"/>
                <w:szCs w:val="21"/>
              </w:rPr>
            </w:pPr>
            <w:r>
              <w:rPr>
                <w:rFonts w:hint="eastAsia"/>
                <w:kern w:val="0"/>
              </w:rPr>
              <w:t>投标人需提供</w:t>
            </w:r>
            <w:r>
              <w:rPr>
                <w:rFonts w:hint="eastAsia" w:ascii="宋体" w:hAnsi="宋体" w:cs="宋体"/>
                <w:kern w:val="0"/>
                <w:szCs w:val="21"/>
              </w:rPr>
              <w:t>拟投设备原厂商</w:t>
            </w:r>
            <w:r>
              <w:rPr>
                <w:rFonts w:hint="eastAsia"/>
                <w:kern w:val="0"/>
              </w:rPr>
              <w:t>针对本项目的授权函及三年售后</w:t>
            </w:r>
            <w:r>
              <w:rPr>
                <w:kern w:val="0"/>
              </w:rPr>
              <w:t>服务</w:t>
            </w:r>
            <w:r>
              <w:rPr>
                <w:rFonts w:hint="eastAsia"/>
                <w:kern w:val="0"/>
              </w:rPr>
              <w:t>承诺函</w:t>
            </w:r>
            <w:r>
              <w:rPr>
                <w:rFonts w:hint="eastAsia" w:ascii="宋体" w:hAnsi="宋体" w:cs="宋体"/>
                <w:kern w:val="0"/>
                <w:szCs w:val="21"/>
              </w:rPr>
              <w:t>；</w:t>
            </w:r>
          </w:p>
        </w:tc>
      </w:tr>
    </w:tbl>
    <w:p>
      <w:pPr>
        <w:pStyle w:val="4"/>
        <w:ind w:firstLine="442"/>
        <w:rPr>
          <w:rFonts w:hint="eastAsia" w:ascii="宋体" w:hAnsi="宋体" w:cs="宋体"/>
          <w:b/>
          <w:sz w:val="22"/>
          <w:szCs w:val="22"/>
        </w:rPr>
      </w:pPr>
    </w:p>
    <w:p>
      <w:pPr>
        <w:shd w:val="clear" w:color="auto" w:fill="FFFFFF"/>
        <w:tabs>
          <w:tab w:val="left" w:pos="2908"/>
        </w:tabs>
        <w:spacing w:line="360" w:lineRule="auto"/>
        <w:ind w:firstLine="371" w:firstLineChars="177"/>
        <w:jc w:val="left"/>
        <w:rPr>
          <w:rFonts w:hint="eastAsia" w:ascii="宋体" w:hAnsi="宋体" w:cs="宋体"/>
          <w:szCs w:val="21"/>
        </w:rPr>
      </w:pPr>
    </w:p>
    <w:p>
      <w:pPr>
        <w:pStyle w:val="4"/>
        <w:ind w:firstLine="0" w:firstLineChars="0"/>
        <w:rPr>
          <w:rFonts w:hint="eastAsia" w:ascii="宋体" w:hAnsi="宋体" w:cs="宋体"/>
          <w:szCs w:val="21"/>
        </w:rPr>
      </w:pPr>
      <w:r>
        <w:rPr>
          <w:rFonts w:hint="eastAsia" w:ascii="宋体" w:hAnsi="宋体" w:cs="宋体"/>
          <w:b/>
          <w:bCs/>
          <w:szCs w:val="21"/>
        </w:rPr>
        <w:t>五、云操作系统和备份软件</w:t>
      </w:r>
    </w:p>
    <w:p>
      <w:pPr>
        <w:pStyle w:val="4"/>
        <w:ind w:firstLine="0" w:firstLineChars="0"/>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szCs w:val="21"/>
        </w:rPr>
      </w:pPr>
      <w:r>
        <w:rPr>
          <w:rFonts w:hint="eastAsia" w:ascii="宋体" w:hAnsi="宋体" w:cs="宋体"/>
          <w:szCs w:val="21"/>
        </w:rPr>
        <w:t>1、系统备份和同步服务</w:t>
      </w:r>
    </w:p>
    <w:tbl>
      <w:tblPr>
        <w:tblStyle w:val="53"/>
        <w:tblW w:w="0" w:type="auto"/>
        <w:tblInd w:w="-9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1099"/>
        <w:gridCol w:w="75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15" w:hRule="atLeast"/>
        </w:trPr>
        <w:tc>
          <w:tcPr>
            <w:tcW w:w="0" w:type="auto"/>
            <w:gridSpan w:val="2"/>
            <w:vAlign w:val="center"/>
          </w:tcPr>
          <w:p>
            <w:pPr>
              <w:rPr>
                <w:b/>
              </w:rPr>
            </w:pPr>
            <w:r>
              <w:rPr>
                <w:rFonts w:hint="eastAsia"/>
                <w:b/>
              </w:rPr>
              <w:t>备份同步软件（含不低于35TB容灾一体机、跨域备份同步和容量授权）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15" w:hRule="atLeast"/>
        </w:trPr>
        <w:tc>
          <w:tcPr>
            <w:tcW w:w="1099" w:type="dxa"/>
            <w:vAlign w:val="center"/>
          </w:tcPr>
          <w:p>
            <w:pPr>
              <w:jc w:val="center"/>
            </w:pPr>
            <w:r>
              <w:rPr>
                <w:b/>
              </w:rPr>
              <w:t>指标项</w:t>
            </w:r>
          </w:p>
        </w:tc>
        <w:tc>
          <w:tcPr>
            <w:tcW w:w="7524" w:type="dxa"/>
            <w:vAlign w:val="center"/>
          </w:tcPr>
          <w:p>
            <w:pPr>
              <w:jc w:val="center"/>
            </w:pPr>
            <w:r>
              <w:rPr>
                <w:rFonts w:hint="eastAsia" w:ascii="宋体" w:hAnsi="宋体" w:cs="宋体"/>
                <w:b/>
                <w:bCs/>
                <w:kern w:val="0"/>
                <w:szCs w:val="21"/>
              </w:rPr>
              <w:t>技术参数及性能（配置）要求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241" w:hRule="atLeast"/>
        </w:trPr>
        <w:tc>
          <w:tcPr>
            <w:tcW w:w="1099" w:type="dxa"/>
            <w:vMerge w:val="restart"/>
            <w:vAlign w:val="center"/>
          </w:tcPr>
          <w:p>
            <w:pPr>
              <w:jc w:val="center"/>
            </w:pPr>
            <w:r>
              <w:t>基本</w:t>
            </w:r>
          </w:p>
          <w:p>
            <w:pPr>
              <w:jc w:val="center"/>
            </w:pPr>
            <w:r>
              <w:t>要求</w:t>
            </w:r>
          </w:p>
        </w:tc>
        <w:tc>
          <w:tcPr>
            <w:tcW w:w="7524" w:type="dxa"/>
            <w:vAlign w:val="center"/>
          </w:tcPr>
          <w:p>
            <w:r>
              <w:t>软件需提供国家版权局颁发的《计算机软件著作权登记证书》复印件证明</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315" w:hRule="atLeast"/>
        </w:trPr>
        <w:tc>
          <w:tcPr>
            <w:tcW w:w="1099" w:type="dxa"/>
            <w:vMerge w:val="continue"/>
            <w:vAlign w:val="center"/>
          </w:tcPr>
          <w:p/>
        </w:tc>
        <w:tc>
          <w:tcPr>
            <w:tcW w:w="7524" w:type="dxa"/>
            <w:vAlign w:val="center"/>
          </w:tcPr>
          <w:p>
            <w:r>
              <w:rPr>
                <w:rFonts w:hint="eastAsia" w:ascii="宋体" w:hAnsi="宋体" w:cs="宋体"/>
                <w:kern w:val="0"/>
                <w:sz w:val="22"/>
              </w:rPr>
              <w:t>▲</w:t>
            </w:r>
            <w:r>
              <w:t>投标产品原厂通过并获得颁发《CMMI-3级研发体系认证证书》</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90" w:hRule="atLeast"/>
        </w:trPr>
        <w:tc>
          <w:tcPr>
            <w:tcW w:w="1099" w:type="dxa"/>
            <w:vMerge w:val="continue"/>
            <w:vAlign w:val="center"/>
          </w:tcPr>
          <w:p/>
        </w:tc>
        <w:tc>
          <w:tcPr>
            <w:tcW w:w="7524" w:type="dxa"/>
            <w:vAlign w:val="center"/>
          </w:tcPr>
          <w:p>
            <w:r>
              <w:t>投标产品原厂通过并获得颁发GB/T22080-2016/ ISO/IEC27001《信息安全管理体系认证证书》</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0" w:hRule="atLeast"/>
        </w:trPr>
        <w:tc>
          <w:tcPr>
            <w:tcW w:w="1099" w:type="dxa"/>
            <w:vMerge w:val="continue"/>
            <w:vAlign w:val="center"/>
          </w:tcPr>
          <w:p/>
        </w:tc>
        <w:tc>
          <w:tcPr>
            <w:tcW w:w="7524" w:type="dxa"/>
            <w:vAlign w:val="center"/>
          </w:tcPr>
          <w:p>
            <w:r>
              <w:rPr>
                <w:rFonts w:hint="eastAsia"/>
              </w:rPr>
              <w:t>投标产品能与现网国产备份系统对接，实现UI界面化统一管理，数据互通；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Align w:val="center"/>
          </w:tcPr>
          <w:p>
            <w:pPr>
              <w:jc w:val="center"/>
            </w:pPr>
            <w:r>
              <w:rPr>
                <w:rFonts w:hint="eastAsia"/>
              </w:rPr>
              <w:t>容灾一体机规格</w:t>
            </w:r>
          </w:p>
        </w:tc>
        <w:tc>
          <w:tcPr>
            <w:tcW w:w="7524" w:type="dxa"/>
            <w:vAlign w:val="center"/>
          </w:tcPr>
          <w:p>
            <w:r>
              <w:rPr>
                <w:rFonts w:hint="eastAsia" w:ascii="宋体" w:hAnsi="宋体" w:cs="宋体"/>
                <w:color w:val="000000"/>
                <w:sz w:val="22"/>
              </w:rPr>
              <w:t>★</w:t>
            </w:r>
            <w:r>
              <w:t>2U高度，有效裸容量</w:t>
            </w:r>
            <w:r>
              <w:rPr>
                <w:rFonts w:hint="eastAsia"/>
              </w:rPr>
              <w:t>不低于35</w:t>
            </w:r>
            <w:r>
              <w:t>TB</w:t>
            </w:r>
            <w:r>
              <w:rPr>
                <w:rFonts w:hint="eastAsia"/>
              </w:rPr>
              <w:t>，含容量授权，不限制备份客户端数量，支持重复数据删除，支持跨域远程复制；</w:t>
            </w:r>
          </w:p>
          <w:p>
            <w:r>
              <w:t>硬件实配</w:t>
            </w:r>
            <w:r>
              <w:rPr>
                <w:rFonts w:hint="eastAsia"/>
              </w:rPr>
              <w:t>不低于</w:t>
            </w:r>
            <w:r>
              <w:t>：24core_x86, 128GB内存，2*960GB_SSD，12*4TB_HDD_7.2K，2*10GE，2</w:t>
            </w:r>
            <w:r>
              <w:rPr>
                <w:rFonts w:hint="eastAsia"/>
              </w:rPr>
              <w:t>*</w:t>
            </w:r>
            <w:r>
              <w:t>1GE，冗余电源</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Merge w:val="restart"/>
            <w:vAlign w:val="center"/>
          </w:tcPr>
          <w:p>
            <w:pPr>
              <w:jc w:val="center"/>
            </w:pPr>
            <w:r>
              <w:t>架构</w:t>
            </w:r>
          </w:p>
          <w:p>
            <w:pPr>
              <w:jc w:val="center"/>
            </w:pPr>
            <w:r>
              <w:t>要求</w:t>
            </w:r>
          </w:p>
        </w:tc>
        <w:tc>
          <w:tcPr>
            <w:tcW w:w="7524" w:type="dxa"/>
            <w:vAlign w:val="center"/>
          </w:tcPr>
          <w:p>
            <w:r>
              <w:t>投标产品面向企业客户需求构建，提供B/S的WEB前端，具备全GUI图形化操作界面，符合HTTPs安全标准</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Merge w:val="continue"/>
            <w:vAlign w:val="center"/>
          </w:tcPr>
          <w:p/>
        </w:tc>
        <w:tc>
          <w:tcPr>
            <w:tcW w:w="7524" w:type="dxa"/>
            <w:vAlign w:val="center"/>
          </w:tcPr>
          <w:p>
            <w:r>
              <w:t>投标产品采取统一内核的现代化架构，原生支持原格式备份和备份集备份两种备份能力，支持在统一的备份业务流程融合实现</w:t>
            </w:r>
            <w:r>
              <w:rPr>
                <w:rFonts w:hint="eastAsia"/>
              </w:rPr>
              <w:t>，</w:t>
            </w:r>
            <w:r>
              <w:t>无需割裂为不同的业务菜单模块和不同的备份流程</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1099" w:type="dxa"/>
            <w:vMerge w:val="continue"/>
            <w:vAlign w:val="center"/>
          </w:tcPr>
          <w:p/>
        </w:tc>
        <w:tc>
          <w:tcPr>
            <w:tcW w:w="7524" w:type="dxa"/>
            <w:vAlign w:val="center"/>
          </w:tcPr>
          <w:p>
            <w:r>
              <w:t>投标产品支持备份集+原格式双引擎备份架构，大量覆盖各类数据源CDM的能力特性，需要支持超过1</w:t>
            </w:r>
            <w:r>
              <w:rPr>
                <w:rFonts w:hint="eastAsia"/>
              </w:rPr>
              <w:t>5</w:t>
            </w:r>
            <w:r>
              <w:t>种数据库的原格式（CDM）备份能力，提供产品功能截图与相关证明材料</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0" w:hRule="atLeast"/>
        </w:trPr>
        <w:tc>
          <w:tcPr>
            <w:tcW w:w="1099" w:type="dxa"/>
            <w:vMerge w:val="continue"/>
            <w:vAlign w:val="center"/>
          </w:tcPr>
          <w:p/>
        </w:tc>
        <w:tc>
          <w:tcPr>
            <w:tcW w:w="7524" w:type="dxa"/>
            <w:vAlign w:val="center"/>
          </w:tcPr>
          <w:p>
            <w:r>
              <w:t>投标产品支持跨地域、跨架构部署，支持多备份域的统一运维管理、统一门户、及SSO单点登录</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89" w:hRule="atLeast"/>
        </w:trPr>
        <w:tc>
          <w:tcPr>
            <w:tcW w:w="1099" w:type="dxa"/>
            <w:vMerge w:val="continue"/>
            <w:vAlign w:val="center"/>
          </w:tcPr>
          <w:p/>
        </w:tc>
        <w:tc>
          <w:tcPr>
            <w:tcW w:w="7524" w:type="dxa"/>
            <w:vAlign w:val="center"/>
          </w:tcPr>
          <w:p>
            <w:r>
              <w:t>支持压缩、重删、加密功能，支持源端重删或目标端重删，且设置后可根据需要再次修改；支持开启压缩、加密后进行数据重删，减少存储空间占用；支持设置加密算法等功能；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533" w:hRule="atLeast"/>
        </w:trPr>
        <w:tc>
          <w:tcPr>
            <w:tcW w:w="1099" w:type="dxa"/>
            <w:vMerge w:val="continue"/>
            <w:vAlign w:val="center"/>
          </w:tcPr>
          <w:p/>
        </w:tc>
        <w:tc>
          <w:tcPr>
            <w:tcW w:w="7524" w:type="dxa"/>
            <w:vAlign w:val="center"/>
          </w:tcPr>
          <w:p>
            <w:r>
              <w:t>支持备份数据跨地域复制，实现异地容灾；备份集与原格式备份数据均支持备份域复制以及跨备份域复制</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60" w:hRule="atLeast"/>
        </w:trPr>
        <w:tc>
          <w:tcPr>
            <w:tcW w:w="1099" w:type="dxa"/>
            <w:vMerge w:val="continue"/>
            <w:vAlign w:val="center"/>
          </w:tcPr>
          <w:p/>
        </w:tc>
        <w:tc>
          <w:tcPr>
            <w:tcW w:w="7524" w:type="dxa"/>
            <w:vAlign w:val="center"/>
          </w:tcPr>
          <w:p>
            <w:r>
              <w:t>投标产品遵循ITSS组织PSCA副本数据管理规范</w:t>
            </w:r>
            <w:r>
              <w:rPr>
                <w:rFonts w:hint="eastAsia"/>
              </w:rPr>
              <w:t>，</w:t>
            </w:r>
            <w:r>
              <w:t>支持按业务类型组织管理原格式</w:t>
            </w:r>
            <w:r>
              <w:rPr>
                <w:rFonts w:hint="eastAsia"/>
              </w:rPr>
              <w:t>/</w:t>
            </w:r>
            <w:r>
              <w:t>备份集</w:t>
            </w:r>
            <w:r>
              <w:rPr>
                <w:rFonts w:hint="eastAsia"/>
              </w:rPr>
              <w:t>/</w:t>
            </w:r>
            <w:r>
              <w:t>备份归档的数据存储管理，支持跨越异构存储资源进行数据复制流动</w:t>
            </w:r>
            <w:r>
              <w:rPr>
                <w:rFonts w:hint="eastAsia"/>
              </w:rPr>
              <w:t>与转换，</w:t>
            </w:r>
            <w:r>
              <w:t>提供产品功能截图与相关证明材料</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15" w:hRule="atLeast"/>
        </w:trPr>
        <w:tc>
          <w:tcPr>
            <w:tcW w:w="1099" w:type="dxa"/>
            <w:vMerge w:val="restart"/>
            <w:vAlign w:val="center"/>
          </w:tcPr>
          <w:p>
            <w:pPr>
              <w:jc w:val="center"/>
            </w:pPr>
            <w:r>
              <w:rPr>
                <w:rFonts w:hint="eastAsia"/>
              </w:rPr>
              <w:t>数据源能力</w:t>
            </w:r>
          </w:p>
        </w:tc>
        <w:tc>
          <w:tcPr>
            <w:tcW w:w="7524" w:type="dxa"/>
            <w:vAlign w:val="center"/>
          </w:tcPr>
          <w:p>
            <w:r>
              <w:t>支持主流操作系统主机，包括且不限于IBM AIX、HP-UX、Solaris、Oracle Linux、Redhat、CentOS、SUSE、Ubuntu、Windows Server、</w:t>
            </w:r>
            <w:r>
              <w:rPr>
                <w:rFonts w:hint="eastAsia"/>
              </w:rPr>
              <w:t>OpenEuler、</w:t>
            </w:r>
            <w:r>
              <w:t>麒麟、统信</w:t>
            </w:r>
            <w:r>
              <w:rPr>
                <w:rFonts w:hint="eastAsia"/>
              </w:rPr>
              <w:t>、阿里龙蜥</w:t>
            </w:r>
            <w:r>
              <w:t>等操作系统</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Merge w:val="continue"/>
            <w:vAlign w:val="center"/>
          </w:tcPr>
          <w:p/>
        </w:tc>
        <w:tc>
          <w:tcPr>
            <w:tcW w:w="7524" w:type="dxa"/>
            <w:vAlign w:val="center"/>
          </w:tcPr>
          <w:p>
            <w:r>
              <w:t>支持主流虚拟化平台的无代理备份与恢复，备份作业</w:t>
            </w:r>
            <w:r>
              <w:rPr>
                <w:rFonts w:hint="eastAsia"/>
              </w:rPr>
              <w:t>可</w:t>
            </w:r>
            <w:r>
              <w:t>对接虚拟化集群管理平台API，不在目标虚拟机上安装任何主机代理；包含且不限于VMware、XenServer、华为HCS、华三H3C CAS、云轴ZStack、青云QingCloud、云宏CNware、品高云BingoCloud、超聚变FusionONE HCI、SmartX CloudTower、Nutanix等虚拟化或超融合系统</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Merge w:val="continue"/>
            <w:vAlign w:val="center"/>
          </w:tcPr>
          <w:p/>
        </w:tc>
        <w:tc>
          <w:tcPr>
            <w:tcW w:w="7524" w:type="dxa"/>
            <w:vAlign w:val="center"/>
          </w:tcPr>
          <w:p>
            <w:r>
              <w:t>支持非结构化文件数据源的备份与恢复，包括且不限于Linux主机的卷文件/目录文件系统，Windows/AIX/HP-UX主机的目录文件系统，大数据HDFS分布式文件系统，NAS/S3存储文件等</w:t>
            </w:r>
            <w:r>
              <w:rPr>
                <w:rFonts w:hint="eastAsia"/>
              </w:rPr>
              <w:t>；增量备份支持快速扫描的增/删/覆盖特性与精确扫描的内容修改特性；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Merge w:val="continue"/>
            <w:vAlign w:val="center"/>
          </w:tcPr>
          <w:p/>
        </w:tc>
        <w:tc>
          <w:tcPr>
            <w:tcW w:w="7524" w:type="dxa"/>
            <w:vAlign w:val="center"/>
          </w:tcPr>
          <w:p>
            <w:r>
              <w:t>支持主流数据库系统的备份恢复以及备份归档，包括且不限于Oracle、MySQL、IBM DB2、SQL Server、PostgreSQL、华为GaussDB、中兴GoldenDB、OceanBase、TiDB、腾讯TDSQL/TBASE、电信TeleDB/TelePG、云和恩墨MogDB、达梦DM、VastBase、南大通用Gbase8s、人大金仓KingbaseES等；备份作业必须对接数据库应用原生接口以获得严格的应用一致性，数据备份不采取在生产系统主机上挂载iSCSI或NFS实体存储卷的方式，不采取持续IO传输的CDP方式，以确保生产系统稳定</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30" w:hRule="atLeast"/>
        </w:trPr>
        <w:tc>
          <w:tcPr>
            <w:tcW w:w="1099" w:type="dxa"/>
            <w:vMerge w:val="continue"/>
            <w:vAlign w:val="center"/>
          </w:tcPr>
          <w:p/>
        </w:tc>
        <w:tc>
          <w:tcPr>
            <w:tcW w:w="7524" w:type="dxa"/>
            <w:vAlign w:val="center"/>
          </w:tcPr>
          <w:p>
            <w:r>
              <w:t>★支持以下数据库系统的CDM原格式备份与即时恢复，包括且不限于Oracle、MySQL、DB2-AIX/Linux、PostgreSQL、SQL Server、GaussDB、SQLServer、TiDB、GoldenDB、TeleDB、TelePG、VastBase、云和恩墨MogDB、达梦DM、GBase8s、KingbaseES；备份作业必须对接数据库应用原生接口以获得严格的应用一致性，备份数据不采取持续IO传输的CDP方式，以确保生产系统稳定，提供产品功能截图与相关证明材料</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11" w:hRule="atLeast"/>
        </w:trPr>
        <w:tc>
          <w:tcPr>
            <w:tcW w:w="1099" w:type="dxa"/>
            <w:vMerge w:val="continue"/>
            <w:vAlign w:val="center"/>
          </w:tcPr>
          <w:p/>
        </w:tc>
        <w:tc>
          <w:tcPr>
            <w:tcW w:w="7524" w:type="dxa"/>
            <w:vAlign w:val="center"/>
          </w:tcPr>
          <w:p>
            <w:r>
              <w:t>提供即时恢复功能，能够直接将备份设备的磁盘挂载给恢复机用于验证或应急；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93" w:hRule="atLeast"/>
        </w:trPr>
        <w:tc>
          <w:tcPr>
            <w:tcW w:w="1099" w:type="dxa"/>
            <w:vMerge w:val="continue"/>
            <w:vAlign w:val="center"/>
          </w:tcPr>
          <w:p/>
        </w:tc>
        <w:tc>
          <w:tcPr>
            <w:tcW w:w="7524" w:type="dxa"/>
            <w:vAlign w:val="center"/>
          </w:tcPr>
          <w:p>
            <w:r>
              <w:t>在VMware环境下，</w:t>
            </w:r>
            <w:r>
              <w:rPr>
                <w:rFonts w:hint="eastAsia"/>
              </w:rPr>
              <w:t>必须</w:t>
            </w:r>
            <w:r>
              <w:t>通过VMware VADP备份接口进行备份</w:t>
            </w:r>
            <w:r>
              <w:rPr>
                <w:rFonts w:hint="eastAsia"/>
              </w:rPr>
              <w:t>，无需安装备份代理，支持全量/增量/永久增量备份；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280" w:hRule="atLeast"/>
        </w:trPr>
        <w:tc>
          <w:tcPr>
            <w:tcW w:w="1099" w:type="dxa"/>
            <w:vMerge w:val="continue"/>
            <w:vAlign w:val="center"/>
          </w:tcPr>
          <w:p/>
        </w:tc>
        <w:tc>
          <w:tcPr>
            <w:tcW w:w="7524" w:type="dxa"/>
            <w:vAlign w:val="center"/>
          </w:tcPr>
          <w:p>
            <w:r>
              <w:t>支持连接vCenter备份，也支持连接独立的ESXi服务器备份</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9" w:hRule="atLeast"/>
        </w:trPr>
        <w:tc>
          <w:tcPr>
            <w:tcW w:w="1099" w:type="dxa"/>
            <w:vMerge w:val="continue"/>
            <w:vAlign w:val="center"/>
          </w:tcPr>
          <w:p/>
        </w:tc>
        <w:tc>
          <w:tcPr>
            <w:tcW w:w="7524" w:type="dxa"/>
            <w:vAlign w:val="center"/>
          </w:tcPr>
          <w:p>
            <w:r>
              <w:rPr>
                <w:rFonts w:hint="eastAsia"/>
              </w:rPr>
              <w:t>支持VMware</w:t>
            </w:r>
            <w:r>
              <w:t>即时恢复功能，能够直接从备份设备的磁盘池中启动被备份的虚拟机用于验证或应急，而无需真实恢复</w:t>
            </w:r>
            <w:r>
              <w:rPr>
                <w:rFonts w:hint="eastAsia"/>
              </w:rPr>
              <w:t>数据；</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73" w:hRule="atLeast"/>
        </w:trPr>
        <w:tc>
          <w:tcPr>
            <w:tcW w:w="1099" w:type="dxa"/>
            <w:vMerge w:val="continue"/>
            <w:vAlign w:val="center"/>
          </w:tcPr>
          <w:p/>
        </w:tc>
        <w:tc>
          <w:tcPr>
            <w:tcW w:w="7524" w:type="dxa"/>
            <w:vAlign w:val="center"/>
          </w:tcPr>
          <w:p>
            <w:r>
              <w:t>支持VMware细粒度恢复，支持整机恢复、卷级恢复、细粒度恢复</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74" w:hRule="atLeast"/>
        </w:trPr>
        <w:tc>
          <w:tcPr>
            <w:tcW w:w="1099" w:type="dxa"/>
            <w:vMerge w:val="continue"/>
            <w:vAlign w:val="center"/>
          </w:tcPr>
          <w:p/>
        </w:tc>
        <w:tc>
          <w:tcPr>
            <w:tcW w:w="7524" w:type="dxa"/>
            <w:vAlign w:val="center"/>
          </w:tcPr>
          <w:p>
            <w:r>
              <w:t>新增加的虚拟机，可以自动添加到备份策略中，无需人工干预；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68" w:hRule="atLeast"/>
        </w:trPr>
        <w:tc>
          <w:tcPr>
            <w:tcW w:w="1099" w:type="dxa"/>
            <w:vMerge w:val="continue"/>
            <w:vAlign w:val="center"/>
          </w:tcPr>
          <w:p/>
        </w:tc>
        <w:tc>
          <w:tcPr>
            <w:tcW w:w="7524" w:type="dxa"/>
            <w:vAlign w:val="center"/>
          </w:tcPr>
          <w:p>
            <w:r>
              <w:t>整机和卷级恢复支持磁盘置备，支持厚置备延迟置零、厚置备快速置零、精简置备，默认自动进行磁盘格式转换</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03" w:hRule="atLeast"/>
        </w:trPr>
        <w:tc>
          <w:tcPr>
            <w:tcW w:w="1099" w:type="dxa"/>
            <w:vMerge w:val="continue"/>
            <w:vAlign w:val="center"/>
          </w:tcPr>
          <w:p/>
        </w:tc>
        <w:tc>
          <w:tcPr>
            <w:tcW w:w="7524" w:type="dxa"/>
            <w:vAlign w:val="center"/>
          </w:tcPr>
          <w:p>
            <w:r>
              <w:t>整机恢复额外支持高级参数，包括内存大小、CPU核心数、加载网卡、恢复原虚拟机MAC、启动虚拟机等；</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8" w:hRule="atLeast"/>
        </w:trPr>
        <w:tc>
          <w:tcPr>
            <w:tcW w:w="1099" w:type="dxa"/>
            <w:vMerge w:val="continue"/>
            <w:vAlign w:val="center"/>
          </w:tcPr>
          <w:p/>
        </w:tc>
        <w:tc>
          <w:tcPr>
            <w:tcW w:w="7524" w:type="dxa"/>
            <w:vAlign w:val="center"/>
          </w:tcPr>
          <w:p>
            <w:r>
              <w:t>原格式备份副本支持即时恢复，即时恢复网络协议支持NFS和iSCSI</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627" w:hRule="atLeast"/>
        </w:trPr>
        <w:tc>
          <w:tcPr>
            <w:tcW w:w="1099" w:type="dxa"/>
            <w:vMerge w:val="continue"/>
            <w:vAlign w:val="center"/>
          </w:tcPr>
          <w:p/>
        </w:tc>
        <w:tc>
          <w:tcPr>
            <w:tcW w:w="7524" w:type="dxa"/>
            <w:vAlign w:val="center"/>
          </w:tcPr>
          <w:p>
            <w:r>
              <w:t>所有备份格式均支持策略级或整池级的复制与远程复制，目标端存储池类型(快照池或容量池)需保持不变，容量池所用存储资源可以不同</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03" w:hRule="atLeast"/>
        </w:trPr>
        <w:tc>
          <w:tcPr>
            <w:tcW w:w="1099" w:type="dxa"/>
            <w:vMerge w:val="continue"/>
            <w:vAlign w:val="center"/>
          </w:tcPr>
          <w:p/>
        </w:tc>
        <w:tc>
          <w:tcPr>
            <w:tcW w:w="7524" w:type="dxa"/>
            <w:vAlign w:val="center"/>
          </w:tcPr>
          <w:p>
            <w:r>
              <w:t>一个虚拟机进行备份时支持多个虚拟磁盘并发备份，支持设置并发数；包括原格式和备份集备份</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0" w:hRule="atLeast"/>
        </w:trPr>
        <w:tc>
          <w:tcPr>
            <w:tcW w:w="1099" w:type="dxa"/>
            <w:vMerge w:val="continue"/>
            <w:vAlign w:val="center"/>
          </w:tcPr>
          <w:p/>
        </w:tc>
        <w:tc>
          <w:tcPr>
            <w:tcW w:w="7524" w:type="dxa"/>
            <w:vAlign w:val="center"/>
          </w:tcPr>
          <w:p>
            <w:pPr>
              <w:rPr>
                <w:rFonts w:hint="eastAsia" w:ascii="阿里巴巴普惠体 3.0 55 Regular" w:hAnsi="阿里巴巴普惠体 3.0 55 Regular" w:cs="阿里巴巴普惠体 3.0 55 Regular"/>
                <w:szCs w:val="22"/>
              </w:rPr>
            </w:pPr>
            <w:r>
              <w:t>在即时恢复时支持设置是否保留源虚拟机的MAC地址</w:t>
            </w:r>
            <w:r>
              <w:rPr>
                <w:rFonts w:hint="eastAsia"/>
              </w:rPr>
              <w:t>，</w:t>
            </w:r>
            <w:r>
              <w:t>是否启动虚拟机，是否加载网卡</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81" w:hRule="atLeast"/>
        </w:trPr>
        <w:tc>
          <w:tcPr>
            <w:tcW w:w="1099" w:type="dxa"/>
            <w:vMerge w:val="continue"/>
            <w:vAlign w:val="center"/>
          </w:tcPr>
          <w:p/>
        </w:tc>
        <w:tc>
          <w:tcPr>
            <w:tcW w:w="7524" w:type="dxa"/>
            <w:vAlign w:val="center"/>
          </w:tcPr>
          <w:p>
            <w:r>
              <w:rPr>
                <w:rFonts w:hint="eastAsia"/>
              </w:rPr>
              <w:t>支持</w:t>
            </w:r>
            <w:r>
              <w:t>通过备份策略页面绑定数据对象，支持按客户端划分绑定策略，支持按tag划分、按数据存储划分、按通配符划分绑定策略</w:t>
            </w:r>
            <w:r>
              <w:rPr>
                <w:rFonts w:hint="eastAsia"/>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81" w:hRule="atLeast"/>
        </w:trPr>
        <w:tc>
          <w:tcPr>
            <w:tcW w:w="1099" w:type="dxa"/>
            <w:vAlign w:val="center"/>
          </w:tcPr>
          <w:p>
            <w:pPr>
              <w:widowControl/>
              <w:jc w:val="center"/>
            </w:pPr>
            <w:r>
              <w:rPr>
                <w:rFonts w:hint="eastAsia" w:ascii="宋体" w:hAnsi="宋体" w:cs="宋体"/>
                <w:kern w:val="0"/>
                <w:szCs w:val="21"/>
              </w:rPr>
              <w:t>授权要求</w:t>
            </w:r>
          </w:p>
        </w:tc>
        <w:tc>
          <w:tcPr>
            <w:tcW w:w="7524" w:type="dxa"/>
            <w:vAlign w:val="center"/>
          </w:tcPr>
          <w:p>
            <w:pPr>
              <w:widowControl/>
              <w:jc w:val="left"/>
            </w:pPr>
            <w:r>
              <w:rPr>
                <w:rFonts w:hint="eastAsia" w:ascii="宋体" w:hAnsi="宋体" w:cs="宋体"/>
                <w:kern w:val="0"/>
                <w:szCs w:val="21"/>
              </w:rPr>
              <w:t>需提供拟投设备原厂商针对本项目的授权函及售后服务承诺函。</w:t>
            </w:r>
          </w:p>
        </w:tc>
      </w:tr>
    </w:tbl>
    <w:p>
      <w:pPr>
        <w:shd w:val="clear" w:color="auto" w:fill="FFFFFF"/>
        <w:tabs>
          <w:tab w:val="left" w:pos="2908"/>
        </w:tabs>
        <w:spacing w:line="360" w:lineRule="auto"/>
        <w:jc w:val="left"/>
        <w:rPr>
          <w:rFonts w:hint="eastAsia" w:ascii="宋体" w:hAnsi="宋体" w:cs="宋体"/>
          <w:szCs w:val="21"/>
        </w:rPr>
      </w:pPr>
    </w:p>
    <w:p>
      <w:pPr>
        <w:pStyle w:val="4"/>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szCs w:val="21"/>
        </w:rPr>
      </w:pPr>
      <w:r>
        <w:rPr>
          <w:rFonts w:hint="eastAsia" w:ascii="宋体" w:hAnsi="宋体" w:cs="宋体"/>
          <w:szCs w:val="21"/>
        </w:rPr>
        <w:t>2、云操作系统和容器云服务</w:t>
      </w:r>
    </w:p>
    <w:tbl>
      <w:tblPr>
        <w:tblStyle w:val="53"/>
        <w:tblW w:w="5000"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092"/>
        <w:gridCol w:w="7629"/>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5000" w:type="pct"/>
            <w:gridSpan w:val="2"/>
            <w:tcBorders>
              <w:bottom w:val="single" w:color="auto" w:sz="4" w:space="0"/>
            </w:tcBorders>
            <w:shd w:val="clear" w:color="000000" w:fill="auto"/>
            <w:vAlign w:val="center"/>
          </w:tcPr>
          <w:p>
            <w:pPr>
              <w:widowControl/>
              <w:jc w:val="left"/>
              <w:rPr>
                <w:rFonts w:hint="eastAsia" w:ascii="宋体" w:hAnsi="宋体" w:cs="宋体"/>
                <w:b/>
                <w:bCs/>
                <w:kern w:val="0"/>
                <w:szCs w:val="21"/>
              </w:rPr>
            </w:pPr>
            <w:r>
              <w:rPr>
                <w:rFonts w:hint="eastAsia" w:ascii="宋体" w:hAnsi="宋体" w:cs="宋体"/>
                <w:b/>
                <w:bCs/>
                <w:kern w:val="0"/>
                <w:szCs w:val="21"/>
              </w:rPr>
              <w:t>云操作系统数量要求：44个CPU云平台软件授权，1套高性能存储管理软件授权，3套国产操作系统授权，包括原厂现场部署实施，一年的原厂免费上门维保服务，维保期内免费升级到最新版本；所投产品交付时须包含本需求表内可满足的产品功能项的所有正式使用授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tcBorders>
              <w:top w:val="single" w:color="auto" w:sz="4" w:space="0"/>
              <w:bottom w:val="single" w:color="auto" w:sz="4" w:space="0"/>
              <w:right w:val="single" w:color="auto" w:sz="4" w:space="0"/>
            </w:tcBorders>
            <w:shd w:val="clear" w:color="000000" w:fill="auto"/>
            <w:vAlign w:val="center"/>
          </w:tcPr>
          <w:p>
            <w:pPr>
              <w:widowControl/>
              <w:jc w:val="center"/>
              <w:rPr>
                <w:rFonts w:hint="eastAsia" w:ascii="宋体" w:hAnsi="宋体" w:cs="宋体"/>
                <w:b/>
                <w:bCs/>
                <w:kern w:val="0"/>
                <w:szCs w:val="21"/>
              </w:rPr>
            </w:pPr>
            <w:r>
              <w:rPr>
                <w:rFonts w:hint="eastAsia" w:ascii="宋体" w:hAnsi="宋体" w:cs="宋体"/>
                <w:b/>
                <w:bCs/>
                <w:kern w:val="0"/>
                <w:szCs w:val="21"/>
              </w:rPr>
              <w:t>类别</w:t>
            </w:r>
          </w:p>
        </w:tc>
        <w:tc>
          <w:tcPr>
            <w:tcW w:w="4373" w:type="pct"/>
            <w:tcBorders>
              <w:top w:val="single" w:color="auto" w:sz="4" w:space="0"/>
              <w:left w:val="nil"/>
              <w:bottom w:val="single" w:color="auto" w:sz="4" w:space="0"/>
            </w:tcBorders>
            <w:shd w:val="clear" w:color="000000" w:fill="auto"/>
            <w:vAlign w:val="center"/>
          </w:tcPr>
          <w:p>
            <w:pPr>
              <w:widowControl/>
              <w:jc w:val="center"/>
              <w:rPr>
                <w:rFonts w:hint="eastAsia" w:ascii="宋体" w:hAnsi="宋体" w:cs="宋体"/>
                <w:b/>
                <w:bCs/>
                <w:kern w:val="0"/>
                <w:szCs w:val="21"/>
              </w:rPr>
            </w:pPr>
            <w:r>
              <w:rPr>
                <w:rFonts w:hint="eastAsia" w:ascii="宋体" w:hAnsi="宋体" w:cs="宋体"/>
                <w:b/>
                <w:bCs/>
                <w:kern w:val="0"/>
                <w:szCs w:val="21"/>
              </w:rPr>
              <w:t>技术指标要求</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restart"/>
            <w:tcBorders>
              <w:top w:val="nil"/>
              <w:bottom w:val="single" w:color="auto" w:sz="4" w:space="0"/>
              <w:right w:val="single" w:color="auto" w:sz="4" w:space="0"/>
            </w:tcBorders>
            <w:vAlign w:val="center"/>
          </w:tcPr>
          <w:p>
            <w:pPr>
              <w:widowControl/>
              <w:jc w:val="center"/>
              <w:rPr>
                <w:rFonts w:hint="eastAsia" w:ascii="宋体" w:hAnsi="宋体" w:cs="宋体"/>
                <w:b/>
                <w:bCs/>
                <w:kern w:val="0"/>
                <w:szCs w:val="21"/>
              </w:rPr>
            </w:pPr>
            <w:r>
              <w:rPr>
                <w:rFonts w:hint="eastAsia" w:ascii="宋体" w:hAnsi="宋体" w:cs="宋体"/>
                <w:b/>
                <w:bCs/>
                <w:kern w:val="0"/>
                <w:szCs w:val="21"/>
              </w:rPr>
              <w:t>厂商能力</w:t>
            </w: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基于云平台厂商的软件研发管理体系成熟度和完善度考虑，云平台厂商需通过企业级研发能力成熟度CMMI5级认证，提供证书复印件；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基于云平台厂商的软件研发管理体系成熟度和完善度考虑，云平台厂商需通过软件能力成熟度模型SPCA等级5级认证，提供证书复印件；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基于云平台厂商提供的云计算服务的流程管理成熟度考虑，云平台厂商需通过ITSS信息技术服务标准云计算一级，提供证书复印件；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基于云平台厂商的信息系统规划、建设和服务能力考虑，云平台厂商需通过信息系统建设和服务能力等级优秀级CS4，提供证书复印件；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云平台软件通过CNAS（中国认可国际互认检测）对虚拟化、网络、磁盘方面的高性能低损耗（低于3%以内）认证，提供测试报告复印件并加盖厂商公章；</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基于产品稳定性和可持续发展性考虑，云平台厂商拥有云平台软件的完整知识产权，云架构不基于OpenStack或其它开源架构研发，云平台软件首个商业化版本至少有10年以上的发行时间（以首个版本发布的著作权软件登记日期为准），提供首个版本软件著作权和本次使用版本软著复印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▲基于产品代码自主可控和持续发展考虑，云平台软件通过工业和信息化部直属测评机构代码扫描测试，云平台源代码自主率不低于98%，提供测试报告复印件并加盖厂商公章；</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restart"/>
            <w:tcBorders>
              <w:top w:val="nil"/>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兼容性要求</w:t>
            </w: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能够被集团现有云管理平台无缝纳管，无需进行额外定制开发；中标人须在合同签订前，搭建真实环境进行功能测试；</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▲必须与集团原有云平台底层系统（品高云）无缝兼容，或提供云管平台管理集团现有云资源，能达到资源统一管理以及资源调度的目的；</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国产芯片，支持国产的海光、鲲鹏、飞腾、龙芯、申威架构的芯片服务器，实现异构芯片服务器在同一集群部署、调度，即创建云主机时可依据镜像架构自动调度到对应芯片架构的云节点上；提供不少于4家国产芯片厂商的互认证明并加盖原厂公章；</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支持国产操作系统，支持国产的OpenEulerOS、Kylin OS、UOS、湖南麒麟、中科方徳、阿里龙蜥等操作系统，提供不少于3家国产操作系统厂商的互认证明并加盖原厂公章；</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restart"/>
            <w:tcBorders>
              <w:top w:val="nil"/>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功能要求</w:t>
            </w: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支持统一管理GPU、HBA等加速设备，支持创建云主机时可交付带GPU的云主机；</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支持对云平台资源精细化管理，管理员通过CPU、内存、实例、存储卷、存储卷快照、云网络、IP、安全组、负载均衡等云资源的数量细粒度地控制普通用户的资源配额；提供产品界面截图；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贪婪、轮询、节约、利旧、利新等5种以上方式的节点调度策略，创建云主机资源时无需指定具体在哪台云节点中，而是由云平台根据设置的策略自动将虚拟机调度到最合适的云节点上进行承载；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支持自定义监控指标：除了云平台自带的监控指标外，支持用户针对软件自定义监控指标，如MySQL数据库的连接数、IIS服务的运行情况，甚至OA系统的用户注册数等；提供产品界面截图；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支持用户设置计划任务，可设定按天，按周，按月等频率对虚拟机、存储卷等资源进行备份；</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对云主机/实例的全生命周期管理，包括：新建实例、导入实例、导出实例、控制台输出、远程连接、获取密码、重置密码、备份实例、实例打包、实例迁移、挂接存储、重启实例、实例关机、暂停实例、休眠实例、唤醒实例、克隆实例、上线实例、下线实例、重装实例、销毁实例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支持对云主机的克隆，克隆过程中可更改新的云主机配置，如更改云网络、子网、IP信息等；</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支持对云主机/实例的属性管理，包括：名称修改、规模修改、实例的磁盘驱动类型修改、启动优先级、自动迁移策略修改、销毁保护策略修改、备注添加与修改；</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支持通过可视化的手段展现SDN云网络拓扑、虚拟交换机与虚拟机关系、网络流表查询、通过虚拟机名称/ID/IP等信息模糊定位并查看相关的网络规则的能力；提供产品界面截图；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快速创建VPC网络，可配置的内容包括：网段、物理网络、外网网关、DHCP等相关内容，支持对云网络配置子网、网络ACL、路由表、域名解析相关功能的配置，支持对子网进行VLAN设置、跨集群使用、微隔离设置、路由表设置及地址池使用量状况进行统计；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支持微隔离功能，实现同一子网（或VLAN）的云主机未经过授权无法通信，即使是通过arp的手段也无法相互探知；提供产品界面截图；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7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云平台控制器组件高可用，主控制器服务异常后，云平台的备控制器接管，不影响云平台的正常运行；</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3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云平台SDN控制器高可用，每个云节点都部署SDN控制器，并支持SDN控制器高可用，当SDN控制器所在的云节点宕机时，不影响其他云节点的网络连接；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支持云主机的高可用，云主机所在节点宕机后，云平台自动将运行在故障云节点上的云主机迁移至其他的云节点上，保证云主机可用性；</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1092" w:type="dxa"/>
            <w:tcBorders>
              <w:top w:val="nil"/>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授权要求</w:t>
            </w:r>
          </w:p>
        </w:tc>
        <w:tc>
          <w:tcPr>
            <w:tcW w:w="7629" w:type="dxa"/>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需提供拟投设备原厂商针对本项目的授权函及售后服务承诺函。</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5000" w:type="pct"/>
            <w:gridSpan w:val="2"/>
            <w:tcBorders>
              <w:top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b/>
                <w:bCs/>
                <w:color w:val="000000"/>
                <w:kern w:val="0"/>
                <w:szCs w:val="21"/>
              </w:rPr>
              <w:t>容器平台包含一套高可用软件授权，</w:t>
            </w:r>
            <w:r>
              <w:rPr>
                <w:rFonts w:hint="eastAsia" w:ascii="宋体" w:hAnsi="宋体" w:cs="宋体"/>
                <w:b/>
                <w:bCs/>
                <w:kern w:val="0"/>
                <w:szCs w:val="21"/>
              </w:rPr>
              <w:t>包括原厂现场部署实施，一年的原厂免费上门维保服务，维保期内免费升级到最新版本；所投产品交付时须包含本需求表内可满足的产品功能项的所有正式使用授权。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45" w:hRule="atLeast"/>
          <w:jc w:val="center"/>
        </w:trPr>
        <w:tc>
          <w:tcPr>
            <w:tcW w:w="626" w:type="pct"/>
            <w:vMerge w:val="restart"/>
            <w:tcBorders>
              <w:top w:val="nil"/>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兼容性要求</w:t>
            </w: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支持国产芯片，支持国产的海光C86、鲲鹏ARM、飞腾ARM等架构芯片服务器，实现异构芯片服务器在同一集群部署、调度；提供不少于3家国产芯片厂商的互认证明；</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23"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▲为保障兼容性，容器平台需与云平台为同一厂商产品，能够基于云平台无缝部署；</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45"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容器厂商拥有容器云平台的完整知识产权；产品需具备中华人民共和国国家版权局认证的《计算机软件著作权登记证书》，提供证书复印件；</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45"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rPr>
                <w:rFonts w:hint="eastAsia" w:ascii="宋体" w:hAnsi="宋体" w:cs="宋体"/>
                <w:kern w:val="0"/>
                <w:szCs w:val="21"/>
              </w:rPr>
            </w:pPr>
            <w:r>
              <w:rPr>
                <w:rFonts w:hint="eastAsia" w:ascii="宋体" w:hAnsi="宋体" w:cs="宋体"/>
                <w:kern w:val="0"/>
                <w:szCs w:val="21"/>
              </w:rPr>
              <w:t>支持国产的OpenEulerOS、KylinOS、UOS、阿里龙蜥等操作系统，提供不少于2家国产操作系统厂商的互认证明；</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23" w:hRule="atLeast"/>
          <w:jc w:val="center"/>
        </w:trPr>
        <w:tc>
          <w:tcPr>
            <w:tcW w:w="626" w:type="pct"/>
            <w:vMerge w:val="restart"/>
            <w:tcBorders>
              <w:top w:val="nil"/>
              <w:bottom w:val="single" w:color="auto" w:sz="4" w:space="0"/>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功能要求</w:t>
            </w:r>
          </w:p>
        </w:tc>
        <w:tc>
          <w:tcPr>
            <w:tcW w:w="4373" w:type="pct"/>
            <w:tcBorders>
              <w:top w:val="nil"/>
              <w:left w:val="nil"/>
              <w:bottom w:val="single" w:color="auto" w:sz="4" w:space="0"/>
            </w:tcBorders>
            <w:vAlign w:val="center"/>
          </w:tcPr>
          <w:p>
            <w:pPr>
              <w:widowControl/>
              <w:rPr>
                <w:rFonts w:hint="eastAsia" w:ascii="宋体" w:hAnsi="宋体" w:cs="宋体"/>
                <w:kern w:val="0"/>
                <w:szCs w:val="21"/>
              </w:rPr>
            </w:pPr>
            <w:r>
              <w:rPr>
                <w:rFonts w:hint="eastAsia" w:ascii="宋体" w:hAnsi="宋体" w:cs="宋体"/>
                <w:kern w:val="0"/>
                <w:szCs w:val="21"/>
              </w:rPr>
              <w:t>支持定时伸缩能力，指标伸缩，以及定时和指标混合伸缩；提供产品界面截图；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支持接入块存储、文件存储等存储类型；</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节点可单独自定义预留计算资源；提供产品界面截图；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集群支持多个租户，租户之间资源隔离且允许同名命名空间；提供产品界面截图；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支持多个容器使用一个弹性IP访问集群外部服务；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支持采集和持久化K8s的操作审计（Audit）及审计追溯；</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支持禁止用户使用HostPath的安全策略和NodePort的安全策略；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支持网络的控制平面和转发平面分离，在网络插件异常时不影响已有业务的网络通信，包括节点内通信和节点间通信；</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单个集群内不同租户可分配多个不同网段，支持租户网络隔离；提供产品界面截图；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支持对集群管理流量、集群南北向流量、集群内部东西向流量的物理网络隔离，不同流量使用不同网卡且互不影响；</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单个集群内不同租户可分配不同存储资源池，支持租户存储隔离；</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ascii="Arial" w:hAnsi="Arial" w:cs="Arial"/>
                <w:szCs w:val="21"/>
                <w:shd w:val="clear" w:color="auto" w:fill="FFFFFF"/>
              </w:rPr>
            </w:pPr>
            <w:r>
              <w:rPr>
                <w:rFonts w:hint="eastAsia" w:ascii="Arial" w:hAnsi="Arial" w:cs="Arial"/>
                <w:szCs w:val="21"/>
                <w:shd w:val="clear" w:color="auto" w:fill="FFFFFF"/>
              </w:rPr>
              <w:t>支持本地私有仓库存储服务，在部署应用时，系统会把应用及镜像添加到私有仓库，对其进行本地存储，使应用在完全私有化的情况下也能正常运行，确保各系统的访问；</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ascii="Arial" w:hAnsi="Arial" w:cs="Arial"/>
                <w:szCs w:val="21"/>
                <w:shd w:val="clear" w:color="auto" w:fill="FFFFFF"/>
              </w:rPr>
            </w:pPr>
            <w:r>
              <w:rPr>
                <w:rFonts w:hint="eastAsia" w:ascii="Arial" w:hAnsi="Arial" w:cs="Arial"/>
                <w:szCs w:val="21"/>
                <w:shd w:val="clear" w:color="auto" w:fill="FFFFFF"/>
              </w:rPr>
              <w:t>支持页面化的应用部署功能，通过简单规范的参数配置，完成应用的快速部署；简化繁琐的应用部署步骤，实现智能化一键部署，降低运维门槛；</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宋体" w:hAnsi="宋体" w:cs="宋体"/>
                <w:kern w:val="0"/>
                <w:szCs w:val="21"/>
              </w:rPr>
              <w:t>▲</w:t>
            </w:r>
            <w:r>
              <w:rPr>
                <w:rFonts w:hint="eastAsia" w:ascii="Arial" w:hAnsi="Arial" w:cs="Arial"/>
                <w:szCs w:val="21"/>
                <w:shd w:val="clear" w:color="auto" w:fill="FFFFFF"/>
              </w:rPr>
              <w:t>支持容器内已部署应用中各服务维度的实时监控数据，包括且不限于 cpu 使用率、内存使用率、存储占用情况和网络上传速率、网络下载速率等指标，方便用户直观了解应用中服务的占用情况和网络占用情况，借助监控数据，主动发现问题及时进行人工干预处理；</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626" w:type="pct"/>
            <w:vMerge w:val="continue"/>
            <w:tcBorders>
              <w:top w:val="nil"/>
              <w:bottom w:val="single" w:color="auto" w:sz="4" w:space="0"/>
              <w:right w:val="single" w:color="auto" w:sz="4" w:space="0"/>
            </w:tcBorders>
            <w:vAlign w:val="center"/>
          </w:tcPr>
          <w:p>
            <w:pPr>
              <w:widowControl/>
              <w:jc w:val="left"/>
              <w:rPr>
                <w:rFonts w:hint="eastAsia" w:ascii="宋体" w:hAnsi="宋体" w:cs="宋体"/>
                <w:kern w:val="0"/>
                <w:szCs w:val="21"/>
              </w:rPr>
            </w:pPr>
          </w:p>
        </w:tc>
        <w:tc>
          <w:tcPr>
            <w:tcW w:w="4373" w:type="pct"/>
            <w:tcBorders>
              <w:top w:val="nil"/>
              <w:left w:val="nil"/>
              <w:bottom w:val="single" w:color="auto" w:sz="4" w:space="0"/>
            </w:tcBorders>
            <w:vAlign w:val="center"/>
          </w:tcPr>
          <w:p>
            <w:pPr>
              <w:widowControl/>
              <w:jc w:val="left"/>
              <w:rPr>
                <w:rFonts w:hint="eastAsia" w:ascii="宋体" w:hAnsi="宋体" w:cs="宋体"/>
                <w:kern w:val="0"/>
                <w:szCs w:val="21"/>
              </w:rPr>
            </w:pPr>
            <w:r>
              <w:rPr>
                <w:rFonts w:hint="eastAsia" w:ascii="Arial" w:hAnsi="Arial" w:cs="Arial"/>
                <w:szCs w:val="21"/>
                <w:shd w:val="clear" w:color="auto" w:fill="FFFFFF"/>
              </w:rPr>
              <w:t>支持</w:t>
            </w:r>
            <w:r>
              <w:rPr>
                <w:rFonts w:ascii="Arial" w:hAnsi="Arial" w:eastAsia="Arial" w:cs="Arial"/>
                <w:szCs w:val="21"/>
                <w:shd w:val="clear" w:color="auto" w:fill="FFFFFF"/>
              </w:rPr>
              <w:t>日志管理功能，能够记录和分析容器运行过程中的日志信息，提供监控管理工具，确保应用的稳定运行</w:t>
            </w:r>
            <w:r>
              <w:rPr>
                <w:rFonts w:hint="eastAsia" w:ascii="Arial" w:hAnsi="Arial" w:cs="Arial"/>
                <w:szCs w:val="21"/>
                <w:shd w:val="clear" w:color="auto" w:fill="FFFFFF"/>
              </w:rPr>
              <w:t>；</w:t>
            </w:r>
            <w:r>
              <w:rPr>
                <w:rFonts w:ascii="Arial" w:hAnsi="Arial" w:eastAsia="Arial" w:cs="Arial"/>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00" w:hRule="atLeast"/>
          <w:jc w:val="center"/>
        </w:trPr>
        <w:tc>
          <w:tcPr>
            <w:tcW w:w="1092" w:type="dxa"/>
            <w:tcBorders>
              <w:top w:val="nil"/>
              <w:right w:val="single" w:color="auto" w:sz="4" w:space="0"/>
            </w:tcBorders>
            <w:vAlign w:val="center"/>
          </w:tcPr>
          <w:p>
            <w:pPr>
              <w:widowControl/>
              <w:jc w:val="center"/>
              <w:rPr>
                <w:rFonts w:hint="eastAsia" w:ascii="宋体" w:hAnsi="宋体" w:cs="宋体"/>
                <w:kern w:val="0"/>
                <w:szCs w:val="21"/>
              </w:rPr>
            </w:pPr>
            <w:r>
              <w:rPr>
                <w:rFonts w:hint="eastAsia" w:ascii="宋体" w:hAnsi="宋体" w:cs="宋体"/>
                <w:kern w:val="0"/>
                <w:szCs w:val="21"/>
              </w:rPr>
              <w:t>授权要求</w:t>
            </w:r>
          </w:p>
        </w:tc>
        <w:tc>
          <w:tcPr>
            <w:tcW w:w="7629" w:type="dxa"/>
            <w:tcBorders>
              <w:top w:val="nil"/>
              <w:left w:val="nil"/>
            </w:tcBorders>
            <w:vAlign w:val="center"/>
          </w:tcPr>
          <w:p>
            <w:pPr>
              <w:widowControl/>
              <w:jc w:val="left"/>
              <w:rPr>
                <w:rFonts w:hint="eastAsia" w:ascii="宋体" w:hAnsi="宋体" w:cs="宋体"/>
                <w:kern w:val="0"/>
                <w:szCs w:val="21"/>
              </w:rPr>
            </w:pPr>
            <w:r>
              <w:rPr>
                <w:rFonts w:hint="eastAsia" w:ascii="宋体" w:hAnsi="宋体" w:cs="宋体"/>
                <w:kern w:val="0"/>
                <w:szCs w:val="21"/>
              </w:rPr>
              <w:t>需提供拟投设备原厂商针对本项目的授权函及售后服务承诺函。</w:t>
            </w:r>
          </w:p>
        </w:tc>
      </w:tr>
    </w:tbl>
    <w:p>
      <w:pPr>
        <w:shd w:val="clear" w:color="auto" w:fill="FFFFFF"/>
        <w:tabs>
          <w:tab w:val="left" w:pos="2908"/>
        </w:tabs>
        <w:spacing w:line="360" w:lineRule="auto"/>
        <w:jc w:val="left"/>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szCs w:val="21"/>
        </w:rPr>
      </w:pPr>
      <w:r>
        <w:rPr>
          <w:rFonts w:hint="eastAsia" w:ascii="宋体" w:hAnsi="宋体" w:cs="宋体"/>
          <w:b/>
          <w:bCs/>
          <w:szCs w:val="21"/>
        </w:rPr>
        <w:t>六、服务器搬迁和运行保障服务</w:t>
      </w:r>
    </w:p>
    <w:p>
      <w:pPr>
        <w:shd w:val="clear" w:color="auto" w:fill="FFFFFF"/>
        <w:tabs>
          <w:tab w:val="left" w:pos="2908"/>
        </w:tabs>
        <w:spacing w:line="360" w:lineRule="auto"/>
        <w:ind w:firstLine="420" w:firstLineChars="200"/>
        <w:jc w:val="left"/>
        <w:rPr>
          <w:rFonts w:hint="eastAsia" w:ascii="宋体" w:hAnsi="宋体" w:cs="宋体"/>
          <w:szCs w:val="21"/>
        </w:rPr>
      </w:pPr>
      <w:r>
        <w:rPr>
          <w:rFonts w:hint="eastAsia" w:ascii="宋体" w:hAnsi="宋体" w:cs="宋体"/>
          <w:szCs w:val="21"/>
        </w:rPr>
        <w:t>为配合云平台改造升级和扩容工作，投标人需对现有机房中业务设备进行服务器设备搬迁，期间需保障各业务系统在搬迁过程中连续不间断运行，确保所有软硬件状态可用。服务包括但不限于搬迁整体规划、资源详细统计、实施方案设计、实施应急预案、系统数据备份、搬迁设备标签梳理、设备重新上架、加电核查、联调测试等工作。涉及到的服务器设备清单如下：</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6"/>
        <w:gridCol w:w="1025"/>
        <w:gridCol w:w="1062"/>
        <w:gridCol w:w="600"/>
        <w:gridCol w:w="4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406" w:type="dxa"/>
            <w:vAlign w:val="center"/>
          </w:tcPr>
          <w:p>
            <w:pPr>
              <w:spacing w:line="480" w:lineRule="auto"/>
              <w:jc w:val="center"/>
              <w:rPr>
                <w:rFonts w:hint="eastAsia" w:ascii="宋体" w:hAnsi="宋体" w:cs="宋体"/>
                <w:b/>
                <w:bCs/>
                <w:szCs w:val="21"/>
              </w:rPr>
            </w:pPr>
            <w:r>
              <w:rPr>
                <w:rFonts w:hint="eastAsia" w:ascii="宋体" w:hAnsi="宋体" w:cs="宋体"/>
                <w:b/>
                <w:bCs/>
                <w:szCs w:val="21"/>
              </w:rPr>
              <w:t>业务系统</w:t>
            </w:r>
          </w:p>
        </w:tc>
        <w:tc>
          <w:tcPr>
            <w:tcW w:w="1025" w:type="dxa"/>
            <w:vAlign w:val="center"/>
          </w:tcPr>
          <w:p>
            <w:pPr>
              <w:spacing w:line="480" w:lineRule="auto"/>
              <w:jc w:val="center"/>
              <w:rPr>
                <w:rFonts w:hint="eastAsia" w:ascii="宋体" w:hAnsi="宋体" w:cs="宋体"/>
                <w:b/>
                <w:bCs/>
                <w:szCs w:val="21"/>
              </w:rPr>
            </w:pPr>
            <w:r>
              <w:rPr>
                <w:rFonts w:hint="eastAsia" w:ascii="宋体" w:hAnsi="宋体" w:cs="宋体"/>
                <w:b/>
                <w:bCs/>
                <w:szCs w:val="21"/>
              </w:rPr>
              <w:t>类别</w:t>
            </w:r>
          </w:p>
        </w:tc>
        <w:tc>
          <w:tcPr>
            <w:tcW w:w="1062" w:type="dxa"/>
            <w:vAlign w:val="center"/>
          </w:tcPr>
          <w:p>
            <w:pPr>
              <w:spacing w:line="480" w:lineRule="auto"/>
              <w:jc w:val="center"/>
              <w:rPr>
                <w:rFonts w:hint="eastAsia" w:ascii="宋体" w:hAnsi="宋体" w:cs="宋体"/>
                <w:b/>
                <w:bCs/>
                <w:szCs w:val="21"/>
              </w:rPr>
            </w:pPr>
            <w:r>
              <w:rPr>
                <w:rFonts w:hint="eastAsia" w:ascii="宋体" w:hAnsi="宋体" w:cs="宋体"/>
                <w:b/>
                <w:bCs/>
                <w:szCs w:val="21"/>
              </w:rPr>
              <w:t>设备数量</w:t>
            </w:r>
          </w:p>
        </w:tc>
        <w:tc>
          <w:tcPr>
            <w:tcW w:w="600" w:type="dxa"/>
            <w:vAlign w:val="center"/>
          </w:tcPr>
          <w:p>
            <w:pPr>
              <w:spacing w:line="480" w:lineRule="auto"/>
              <w:jc w:val="center"/>
              <w:rPr>
                <w:rFonts w:hint="eastAsia" w:ascii="宋体" w:hAnsi="宋体" w:cs="宋体"/>
                <w:b/>
                <w:bCs/>
                <w:szCs w:val="21"/>
              </w:rPr>
            </w:pPr>
            <w:r>
              <w:rPr>
                <w:rFonts w:hint="eastAsia" w:ascii="宋体" w:hAnsi="宋体" w:cs="宋体"/>
                <w:b/>
                <w:bCs/>
                <w:szCs w:val="21"/>
              </w:rPr>
              <w:t>U数</w:t>
            </w:r>
          </w:p>
        </w:tc>
        <w:tc>
          <w:tcPr>
            <w:tcW w:w="4628" w:type="dxa"/>
            <w:vAlign w:val="center"/>
          </w:tcPr>
          <w:p>
            <w:pPr>
              <w:spacing w:line="480" w:lineRule="auto"/>
              <w:jc w:val="center"/>
              <w:rPr>
                <w:rFonts w:hint="eastAsia" w:ascii="宋体" w:hAnsi="宋体" w:cs="宋体"/>
                <w:b/>
                <w:bCs/>
                <w:szCs w:val="21"/>
              </w:rPr>
            </w:pPr>
            <w:r>
              <w:rPr>
                <w:rFonts w:hint="eastAsia" w:ascii="宋体" w:hAnsi="宋体" w:cs="宋体"/>
                <w:b/>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虚拟化平台</w:t>
            </w:r>
          </w:p>
        </w:tc>
        <w:tc>
          <w:tcPr>
            <w:tcW w:w="1025"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服务器</w:t>
            </w:r>
          </w:p>
        </w:tc>
        <w:tc>
          <w:tcPr>
            <w:tcW w:w="1062"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2（台）</w:t>
            </w:r>
          </w:p>
        </w:tc>
        <w:tc>
          <w:tcPr>
            <w:tcW w:w="600"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4</w:t>
            </w:r>
          </w:p>
        </w:tc>
        <w:tc>
          <w:tcPr>
            <w:tcW w:w="4628" w:type="dxa"/>
            <w:vAlign w:val="center"/>
          </w:tcPr>
          <w:p>
            <w:pPr>
              <w:jc w:val="center"/>
              <w:rPr>
                <w:rFonts w:hint="eastAsia" w:ascii="宋体" w:hAnsi="宋体" w:cs="宋体"/>
                <w:szCs w:val="21"/>
              </w:rPr>
            </w:pPr>
            <w:r>
              <w:rPr>
                <w:rFonts w:hint="eastAsia" w:ascii="宋体" w:hAnsi="宋体" w:cs="宋体"/>
                <w:szCs w:val="21"/>
              </w:rPr>
              <w:t>确保顺利完成服务器顺利关机下电、搬迁、上电工作，不影响集群运行的连续性；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406"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存储设备（浪潮）</w:t>
            </w:r>
          </w:p>
        </w:tc>
        <w:tc>
          <w:tcPr>
            <w:tcW w:w="1025"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存储</w:t>
            </w:r>
          </w:p>
        </w:tc>
        <w:tc>
          <w:tcPr>
            <w:tcW w:w="1062"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1（套）</w:t>
            </w:r>
          </w:p>
        </w:tc>
        <w:tc>
          <w:tcPr>
            <w:tcW w:w="600" w:type="dxa"/>
            <w:vAlign w:val="center"/>
          </w:tcPr>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11</w:t>
            </w:r>
          </w:p>
        </w:tc>
        <w:tc>
          <w:tcPr>
            <w:tcW w:w="4628" w:type="dxa"/>
            <w:vAlign w:val="center"/>
          </w:tcPr>
          <w:p>
            <w:pPr>
              <w:jc w:val="center"/>
              <w:rPr>
                <w:rFonts w:hint="eastAsia" w:ascii="宋体" w:hAnsi="宋体" w:cs="宋体"/>
                <w:szCs w:val="21"/>
              </w:rPr>
            </w:pPr>
            <w:r>
              <w:rPr>
                <w:rFonts w:hint="eastAsia" w:ascii="宋体" w:hAnsi="宋体" w:cs="宋体"/>
                <w:szCs w:val="21"/>
              </w:rPr>
              <w:t>型号AS5600，双活存储主备机；搬迁的为主机，需确保切换到备机然后主机下电进行搬迁，完成后通电切换回去，确保全程不影响相关业务；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jc w:val="center"/>
              <w:rPr>
                <w:rFonts w:hint="eastAsia" w:ascii="宋体" w:hAnsi="宋体" w:cs="宋体"/>
                <w:szCs w:val="21"/>
              </w:rPr>
            </w:pPr>
            <w:r>
              <w:rPr>
                <w:rFonts w:hint="eastAsia" w:ascii="宋体" w:hAnsi="宋体" w:cs="宋体"/>
                <w:szCs w:val="21"/>
              </w:rPr>
              <w:t>存储设备（华为）</w:t>
            </w:r>
          </w:p>
        </w:tc>
        <w:tc>
          <w:tcPr>
            <w:tcW w:w="1025" w:type="dxa"/>
            <w:vAlign w:val="center"/>
          </w:tcPr>
          <w:p>
            <w:pPr>
              <w:jc w:val="center"/>
              <w:rPr>
                <w:rFonts w:hint="eastAsia" w:ascii="宋体" w:hAnsi="宋体" w:cs="宋体"/>
                <w:szCs w:val="21"/>
                <w:highlight w:val="yellow"/>
              </w:rPr>
            </w:pPr>
            <w:r>
              <w:rPr>
                <w:rFonts w:hint="eastAsia" w:ascii="宋体" w:hAnsi="宋体" w:cs="宋体"/>
                <w:szCs w:val="21"/>
              </w:rPr>
              <w:t>存储</w:t>
            </w:r>
          </w:p>
        </w:tc>
        <w:tc>
          <w:tcPr>
            <w:tcW w:w="1062" w:type="dxa"/>
            <w:vAlign w:val="center"/>
          </w:tcPr>
          <w:p>
            <w:pPr>
              <w:jc w:val="center"/>
              <w:rPr>
                <w:rFonts w:hint="eastAsia" w:ascii="宋体" w:hAnsi="宋体" w:cs="宋体"/>
                <w:szCs w:val="21"/>
                <w:highlight w:val="yellow"/>
              </w:rPr>
            </w:pPr>
            <w:r>
              <w:rPr>
                <w:rFonts w:hint="eastAsia" w:ascii="宋体" w:hAnsi="宋体" w:cs="宋体"/>
                <w:szCs w:val="21"/>
              </w:rPr>
              <w:t>1（套）</w:t>
            </w:r>
          </w:p>
        </w:tc>
        <w:tc>
          <w:tcPr>
            <w:tcW w:w="600" w:type="dxa"/>
            <w:vAlign w:val="center"/>
          </w:tcPr>
          <w:p>
            <w:pPr>
              <w:jc w:val="center"/>
              <w:rPr>
                <w:rFonts w:hint="eastAsia" w:ascii="宋体" w:hAnsi="宋体" w:cs="宋体"/>
                <w:szCs w:val="21"/>
              </w:rPr>
            </w:pPr>
            <w:r>
              <w:rPr>
                <w:rFonts w:hint="eastAsia" w:ascii="宋体" w:hAnsi="宋体" w:cs="宋体"/>
                <w:szCs w:val="21"/>
              </w:rPr>
              <w:t>2</w:t>
            </w:r>
          </w:p>
        </w:tc>
        <w:tc>
          <w:tcPr>
            <w:tcW w:w="4628" w:type="dxa"/>
            <w:vAlign w:val="center"/>
          </w:tcPr>
          <w:p>
            <w:pPr>
              <w:jc w:val="center"/>
              <w:rPr>
                <w:rFonts w:hint="eastAsia" w:ascii="宋体" w:hAnsi="宋体" w:cs="宋体"/>
                <w:szCs w:val="21"/>
              </w:rPr>
            </w:pPr>
            <w:r>
              <w:rPr>
                <w:rFonts w:hint="eastAsia" w:ascii="宋体" w:hAnsi="宋体" w:cs="宋体"/>
                <w:szCs w:val="21"/>
              </w:rPr>
              <w:t>型号5210 V5 Enhanced，双活存储主备机；搬迁的为主机，需确保切换到备机然后主机下电进行搬迁，完成后通电切换回去，确保全程不影响相关业务；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406" w:type="dxa"/>
            <w:vAlign w:val="center"/>
          </w:tcPr>
          <w:p>
            <w:pPr>
              <w:spacing w:line="720" w:lineRule="auto"/>
              <w:jc w:val="center"/>
              <w:rPr>
                <w:rFonts w:hint="eastAsia" w:ascii="宋体" w:hAnsi="宋体" w:cs="宋体"/>
                <w:szCs w:val="21"/>
              </w:rPr>
            </w:pPr>
            <w:r>
              <w:rPr>
                <w:rFonts w:hint="eastAsia" w:ascii="宋体" w:hAnsi="宋体" w:cs="宋体"/>
                <w:szCs w:val="21"/>
              </w:rPr>
              <w:t>域控服务器</w:t>
            </w:r>
          </w:p>
        </w:tc>
        <w:tc>
          <w:tcPr>
            <w:tcW w:w="1025" w:type="dxa"/>
            <w:vAlign w:val="center"/>
          </w:tcPr>
          <w:p>
            <w:pPr>
              <w:spacing w:line="720" w:lineRule="auto"/>
              <w:jc w:val="center"/>
              <w:rPr>
                <w:rFonts w:hint="eastAsia" w:ascii="宋体" w:hAnsi="宋体" w:cs="宋体"/>
                <w:szCs w:val="21"/>
                <w:highlight w:val="yellow"/>
              </w:rPr>
            </w:pPr>
            <w:r>
              <w:rPr>
                <w:rFonts w:hint="eastAsia" w:ascii="宋体" w:hAnsi="宋体" w:cs="宋体"/>
                <w:szCs w:val="21"/>
              </w:rPr>
              <w:t>服务器</w:t>
            </w:r>
          </w:p>
        </w:tc>
        <w:tc>
          <w:tcPr>
            <w:tcW w:w="1062" w:type="dxa"/>
            <w:vAlign w:val="center"/>
          </w:tcPr>
          <w:p>
            <w:pPr>
              <w:spacing w:line="720" w:lineRule="auto"/>
              <w:jc w:val="center"/>
              <w:rPr>
                <w:rFonts w:hint="eastAsia" w:ascii="宋体" w:hAnsi="宋体" w:cs="宋体"/>
                <w:szCs w:val="21"/>
                <w:highlight w:val="yellow"/>
              </w:rPr>
            </w:pPr>
            <w:r>
              <w:rPr>
                <w:rFonts w:hint="eastAsia" w:ascii="宋体" w:hAnsi="宋体" w:cs="宋体"/>
                <w:szCs w:val="21"/>
              </w:rPr>
              <w:t>2（台）</w:t>
            </w:r>
          </w:p>
        </w:tc>
        <w:tc>
          <w:tcPr>
            <w:tcW w:w="600" w:type="dxa"/>
            <w:vAlign w:val="center"/>
          </w:tcPr>
          <w:p>
            <w:pPr>
              <w:spacing w:line="720" w:lineRule="auto"/>
              <w:jc w:val="center"/>
              <w:rPr>
                <w:rFonts w:hint="eastAsia" w:ascii="宋体" w:hAnsi="宋体" w:cs="宋体"/>
                <w:szCs w:val="21"/>
              </w:rPr>
            </w:pPr>
            <w:r>
              <w:rPr>
                <w:rFonts w:hint="eastAsia" w:ascii="宋体" w:hAnsi="宋体" w:cs="宋体"/>
                <w:szCs w:val="21"/>
              </w:rPr>
              <w:t>4</w:t>
            </w:r>
          </w:p>
        </w:tc>
        <w:tc>
          <w:tcPr>
            <w:tcW w:w="4628" w:type="dxa"/>
            <w:vAlign w:val="center"/>
          </w:tcPr>
          <w:p>
            <w:pPr>
              <w:jc w:val="center"/>
              <w:rPr>
                <w:rFonts w:hint="eastAsia" w:ascii="宋体" w:hAnsi="宋体" w:cs="宋体"/>
                <w:szCs w:val="21"/>
              </w:rPr>
            </w:pPr>
            <w:r>
              <w:rPr>
                <w:rFonts w:hint="eastAsia" w:ascii="宋体" w:hAnsi="宋体" w:cs="宋体"/>
                <w:szCs w:val="21"/>
              </w:rPr>
              <w:t>域控涉及到整个集团终端使用，确保下电、搬迁、上电快速顺利完成；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Align w:val="center"/>
          </w:tcPr>
          <w:p>
            <w:pPr>
              <w:jc w:val="center"/>
              <w:rPr>
                <w:rFonts w:hint="eastAsia" w:ascii="宋体" w:hAnsi="宋体" w:cs="宋体"/>
                <w:szCs w:val="21"/>
              </w:rPr>
            </w:pPr>
            <w:r>
              <w:rPr>
                <w:rFonts w:hint="eastAsia" w:ascii="宋体" w:hAnsi="宋体" w:cs="宋体"/>
                <w:szCs w:val="21"/>
              </w:rPr>
              <w:t>云桌面系统、视频会议设备、财务系统、防火墙、数据库 服务器</w:t>
            </w:r>
          </w:p>
        </w:tc>
        <w:tc>
          <w:tcPr>
            <w:tcW w:w="1025" w:type="dxa"/>
            <w:vAlign w:val="center"/>
          </w:tcPr>
          <w:p>
            <w:pPr>
              <w:spacing w:line="360" w:lineRule="auto"/>
              <w:jc w:val="center"/>
              <w:rPr>
                <w:rFonts w:hint="eastAsia" w:ascii="宋体" w:hAnsi="宋体" w:cs="宋体"/>
                <w:szCs w:val="21"/>
              </w:rPr>
            </w:pPr>
            <w:r>
              <w:rPr>
                <w:rFonts w:hint="eastAsia" w:ascii="宋体" w:hAnsi="宋体" w:cs="宋体"/>
                <w:szCs w:val="21"/>
              </w:rPr>
              <w:t>服务器、</w:t>
            </w:r>
          </w:p>
          <w:p>
            <w:pPr>
              <w:spacing w:line="360" w:lineRule="auto"/>
              <w:jc w:val="center"/>
              <w:rPr>
                <w:rFonts w:hint="eastAsia" w:ascii="宋体" w:hAnsi="宋体" w:cs="宋体"/>
                <w:szCs w:val="21"/>
              </w:rPr>
            </w:pPr>
            <w:r>
              <w:rPr>
                <w:rFonts w:hint="eastAsia" w:ascii="宋体" w:hAnsi="宋体" w:cs="宋体"/>
                <w:szCs w:val="21"/>
              </w:rPr>
              <w:t>硬件设备</w:t>
            </w:r>
          </w:p>
        </w:tc>
        <w:tc>
          <w:tcPr>
            <w:tcW w:w="1062" w:type="dxa"/>
            <w:vAlign w:val="center"/>
          </w:tcPr>
          <w:p>
            <w:pPr>
              <w:spacing w:line="360" w:lineRule="auto"/>
              <w:jc w:val="center"/>
              <w:rPr>
                <w:rFonts w:hint="eastAsia" w:ascii="宋体" w:hAnsi="宋体" w:cs="宋体"/>
                <w:szCs w:val="21"/>
              </w:rPr>
            </w:pPr>
            <w:r>
              <w:rPr>
                <w:rFonts w:hint="eastAsia" w:ascii="宋体" w:hAnsi="宋体" w:cs="宋体"/>
                <w:szCs w:val="21"/>
              </w:rPr>
              <w:t>16（台）</w:t>
            </w:r>
          </w:p>
        </w:tc>
        <w:tc>
          <w:tcPr>
            <w:tcW w:w="600" w:type="dxa"/>
            <w:vAlign w:val="center"/>
          </w:tcPr>
          <w:p>
            <w:pPr>
              <w:spacing w:line="360" w:lineRule="auto"/>
              <w:jc w:val="center"/>
              <w:rPr>
                <w:rFonts w:hint="eastAsia" w:ascii="宋体" w:hAnsi="宋体" w:cs="宋体"/>
                <w:szCs w:val="21"/>
              </w:rPr>
            </w:pPr>
            <w:r>
              <w:rPr>
                <w:rFonts w:hint="eastAsia" w:ascii="宋体" w:hAnsi="宋体" w:cs="宋体"/>
                <w:szCs w:val="21"/>
              </w:rPr>
              <w:t>33</w:t>
            </w:r>
          </w:p>
        </w:tc>
        <w:tc>
          <w:tcPr>
            <w:tcW w:w="4628" w:type="dxa"/>
            <w:vAlign w:val="center"/>
          </w:tcPr>
          <w:p>
            <w:pPr>
              <w:spacing w:line="360" w:lineRule="auto"/>
              <w:jc w:val="center"/>
              <w:rPr>
                <w:rFonts w:hint="eastAsia" w:ascii="宋体" w:hAnsi="宋体" w:cs="宋体"/>
                <w:szCs w:val="21"/>
              </w:rPr>
            </w:pPr>
            <w:r>
              <w:rPr>
                <w:rFonts w:hint="eastAsia" w:ascii="宋体" w:hAnsi="宋体" w:cs="宋体"/>
                <w:szCs w:val="21"/>
              </w:rPr>
              <w:t>配合相关业务管理员完成停机工作后进行搬迁工作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406" w:type="dxa"/>
            <w:vAlign w:val="center"/>
          </w:tcPr>
          <w:p>
            <w:pPr>
              <w:spacing w:line="600" w:lineRule="auto"/>
              <w:jc w:val="center"/>
              <w:rPr>
                <w:rFonts w:hint="eastAsia" w:ascii="宋体" w:hAnsi="宋体" w:cs="宋体"/>
                <w:szCs w:val="21"/>
              </w:rPr>
            </w:pPr>
            <w:r>
              <w:rPr>
                <w:rFonts w:hint="eastAsia" w:ascii="宋体" w:hAnsi="宋体" w:cs="宋体"/>
                <w:szCs w:val="21"/>
              </w:rPr>
              <w:t>其他</w:t>
            </w:r>
          </w:p>
        </w:tc>
        <w:tc>
          <w:tcPr>
            <w:tcW w:w="1025" w:type="dxa"/>
            <w:vAlign w:val="center"/>
          </w:tcPr>
          <w:p>
            <w:pPr>
              <w:spacing w:line="600" w:lineRule="auto"/>
              <w:jc w:val="center"/>
              <w:rPr>
                <w:rFonts w:hint="eastAsia" w:ascii="宋体" w:hAnsi="宋体" w:cs="宋体"/>
                <w:szCs w:val="21"/>
              </w:rPr>
            </w:pPr>
            <w:r>
              <w:rPr>
                <w:rFonts w:hint="eastAsia" w:ascii="宋体" w:hAnsi="宋体" w:cs="宋体"/>
                <w:szCs w:val="21"/>
              </w:rPr>
              <w:t>服务器</w:t>
            </w:r>
          </w:p>
        </w:tc>
        <w:tc>
          <w:tcPr>
            <w:tcW w:w="1062" w:type="dxa"/>
            <w:vAlign w:val="center"/>
          </w:tcPr>
          <w:p>
            <w:pPr>
              <w:spacing w:line="600" w:lineRule="auto"/>
              <w:jc w:val="center"/>
              <w:rPr>
                <w:rFonts w:hint="eastAsia" w:ascii="宋体" w:hAnsi="宋体" w:cs="宋体"/>
                <w:szCs w:val="21"/>
              </w:rPr>
            </w:pPr>
            <w:r>
              <w:rPr>
                <w:rFonts w:hint="eastAsia" w:ascii="宋体" w:hAnsi="宋体" w:cs="宋体"/>
                <w:szCs w:val="21"/>
              </w:rPr>
              <w:t>108（台）</w:t>
            </w:r>
          </w:p>
        </w:tc>
        <w:tc>
          <w:tcPr>
            <w:tcW w:w="600" w:type="dxa"/>
            <w:vAlign w:val="center"/>
          </w:tcPr>
          <w:p>
            <w:pPr>
              <w:spacing w:line="600" w:lineRule="auto"/>
              <w:jc w:val="center"/>
              <w:rPr>
                <w:rFonts w:hint="eastAsia" w:ascii="宋体" w:hAnsi="宋体" w:cs="宋体"/>
                <w:szCs w:val="21"/>
              </w:rPr>
            </w:pPr>
            <w:r>
              <w:rPr>
                <w:rFonts w:hint="eastAsia" w:ascii="宋体" w:hAnsi="宋体" w:cs="宋体"/>
                <w:szCs w:val="21"/>
              </w:rPr>
              <w:t>216</w:t>
            </w:r>
          </w:p>
        </w:tc>
        <w:tc>
          <w:tcPr>
            <w:tcW w:w="4628" w:type="dxa"/>
            <w:vAlign w:val="center"/>
          </w:tcPr>
          <w:p>
            <w:pPr>
              <w:spacing w:line="600" w:lineRule="auto"/>
              <w:jc w:val="center"/>
              <w:rPr>
                <w:rFonts w:hint="eastAsia" w:ascii="宋体" w:hAnsi="宋体" w:cs="宋体"/>
                <w:szCs w:val="21"/>
              </w:rPr>
            </w:pPr>
            <w:r>
              <w:rPr>
                <w:rFonts w:hint="eastAsia" w:ascii="宋体" w:hAnsi="宋体" w:cs="宋体"/>
                <w:szCs w:val="21"/>
              </w:rPr>
              <w:t>下架搬到指定位置</w:t>
            </w:r>
          </w:p>
        </w:tc>
      </w:tr>
    </w:tbl>
    <w:p>
      <w:pPr>
        <w:shd w:val="clear" w:color="auto" w:fill="FFFFFF"/>
        <w:tabs>
          <w:tab w:val="left" w:pos="2908"/>
        </w:tabs>
        <w:spacing w:line="360" w:lineRule="auto"/>
        <w:jc w:val="left"/>
        <w:rPr>
          <w:rFonts w:hint="eastAsia" w:ascii="宋体" w:hAnsi="宋体" w:cs="宋体"/>
          <w:szCs w:val="21"/>
        </w:rPr>
      </w:pPr>
      <w:r>
        <w:rPr>
          <w:rFonts w:ascii="宋体" w:hAnsi="宋体" w:cs="宋体"/>
          <w:szCs w:val="21"/>
        </w:rPr>
        <w:t>备注：如在迁移过程中涉及到备件，需统一由</w:t>
      </w:r>
      <w:r>
        <w:rPr>
          <w:rFonts w:hint="eastAsia" w:ascii="宋体" w:hAnsi="宋体" w:cs="宋体"/>
          <w:szCs w:val="21"/>
        </w:rPr>
        <w:t>中标人</w:t>
      </w:r>
      <w:r>
        <w:rPr>
          <w:rFonts w:ascii="宋体" w:hAnsi="宋体" w:cs="宋体"/>
          <w:szCs w:val="21"/>
        </w:rPr>
        <w:t>提供</w:t>
      </w:r>
      <w:r>
        <w:rPr>
          <w:rFonts w:hint="eastAsia" w:ascii="宋体" w:hAnsi="宋体" w:cs="宋体"/>
          <w:szCs w:val="21"/>
        </w:rPr>
        <w:t>。</w:t>
      </w:r>
    </w:p>
    <w:p>
      <w:pPr>
        <w:pStyle w:val="4"/>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szCs w:val="21"/>
        </w:rPr>
      </w:pPr>
      <w:r>
        <w:rPr>
          <w:rFonts w:hint="eastAsia" w:ascii="宋体" w:hAnsi="宋体" w:cs="宋体"/>
          <w:b/>
          <w:bCs/>
          <w:szCs w:val="21"/>
        </w:rPr>
        <w:t>七、系统集成实施服务</w:t>
      </w:r>
    </w:p>
    <w:tbl>
      <w:tblPr>
        <w:tblStyle w:val="54"/>
        <w:tblpPr w:leftFromText="180" w:rightFromText="180" w:vertAnchor="text" w:horzAnchor="page" w:tblpX="1691" w:tblpY="50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7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vAlign w:val="center"/>
          </w:tcPr>
          <w:p>
            <w:pPr>
              <w:spacing w:line="276" w:lineRule="auto"/>
              <w:rPr>
                <w:rFonts w:hint="eastAsia" w:ascii="宋体" w:hAnsi="宋体" w:cs="宋体"/>
                <w:b/>
                <w:bCs/>
                <w:kern w:val="0"/>
                <w:szCs w:val="21"/>
              </w:rPr>
            </w:pPr>
            <w:r>
              <w:rPr>
                <w:rFonts w:hint="eastAsia" w:ascii="宋体" w:hAnsi="宋体" w:cs="宋体"/>
                <w:b/>
                <w:bCs/>
                <w:kern w:val="0"/>
                <w:szCs w:val="21"/>
              </w:rPr>
              <w:t>系统集成实施服务（1项）</w:t>
            </w:r>
          </w:p>
          <w:p>
            <w:pPr>
              <w:pStyle w:val="4"/>
              <w:ind w:firstLine="0" w:firstLineChars="0"/>
              <w:rPr>
                <w:rFonts w:ascii="Calibri" w:hAnsi="Calibri"/>
                <w:szCs w:val="21"/>
              </w:rPr>
            </w:pPr>
            <w:r>
              <w:rPr>
                <w:rFonts w:hint="eastAsia" w:ascii="宋体" w:hAnsi="宋体" w:cs="宋体"/>
                <w:b/>
                <w:bCs/>
                <w:szCs w:val="21"/>
              </w:rPr>
              <w:t>包括原厂服务器安装、云平台软件安装，资源扩容，设备搬迁、调优等服务。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pPr>
              <w:spacing w:line="276" w:lineRule="auto"/>
              <w:rPr>
                <w:rFonts w:hint="eastAsia" w:ascii="宋体" w:hAnsi="宋体" w:cs="宋体"/>
                <w:b/>
                <w:bCs/>
                <w:kern w:val="0"/>
                <w:szCs w:val="21"/>
              </w:rPr>
            </w:pPr>
            <w:r>
              <w:rPr>
                <w:rFonts w:hint="eastAsia" w:ascii="宋体" w:hAnsi="宋体" w:cs="宋体"/>
                <w:b/>
                <w:bCs/>
                <w:kern w:val="0"/>
                <w:szCs w:val="21"/>
              </w:rPr>
              <w:t>指标项</w:t>
            </w:r>
          </w:p>
        </w:tc>
        <w:tc>
          <w:tcPr>
            <w:tcW w:w="7877" w:type="dxa"/>
            <w:vAlign w:val="center"/>
          </w:tcPr>
          <w:p>
            <w:pPr>
              <w:spacing w:line="276" w:lineRule="auto"/>
              <w:rPr>
                <w:rFonts w:hint="eastAsia" w:ascii="宋体" w:hAnsi="宋体" w:cs="宋体"/>
                <w:b/>
                <w:bCs/>
                <w:kern w:val="0"/>
                <w:szCs w:val="21"/>
              </w:rPr>
            </w:pPr>
            <w:r>
              <w:rPr>
                <w:rFonts w:hint="eastAsia" w:ascii="宋体" w:hAnsi="宋体" w:cs="宋体"/>
                <w:b/>
                <w:bCs/>
                <w:kern w:val="0"/>
                <w:szCs w:val="21"/>
              </w:rPr>
              <w:t>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 w:type="dxa"/>
            <w:vAlign w:val="center"/>
          </w:tcPr>
          <w:p>
            <w:pPr>
              <w:spacing w:line="276" w:lineRule="auto"/>
              <w:rPr>
                <w:rFonts w:hint="eastAsia" w:ascii="宋体" w:hAnsi="宋体" w:cs="宋体"/>
                <w:kern w:val="0"/>
                <w:szCs w:val="21"/>
              </w:rPr>
            </w:pPr>
            <w:r>
              <w:rPr>
                <w:rFonts w:ascii="宋体" w:hAnsi="宋体" w:cs="宋体"/>
                <w:kern w:val="0"/>
                <w:szCs w:val="21"/>
              </w:rPr>
              <w:t>服务</w:t>
            </w:r>
            <w:r>
              <w:rPr>
                <w:rFonts w:hint="eastAsia" w:ascii="宋体" w:hAnsi="宋体" w:cs="宋体"/>
                <w:kern w:val="0"/>
                <w:szCs w:val="21"/>
              </w:rPr>
              <w:t>内容</w:t>
            </w:r>
          </w:p>
        </w:tc>
        <w:tc>
          <w:tcPr>
            <w:tcW w:w="7877" w:type="dxa"/>
          </w:tcPr>
          <w:p>
            <w:pPr>
              <w:pStyle w:val="234"/>
              <w:numPr>
                <w:ilvl w:val="0"/>
                <w:numId w:val="7"/>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投标人提供的IT设备必须确保与现网平台兼容</w:t>
            </w:r>
            <w:r>
              <w:rPr>
                <w:rFonts w:ascii="宋体" w:hAnsi="宋体" w:cs="宋体"/>
                <w:kern w:val="0"/>
                <w:szCs w:val="21"/>
              </w:rPr>
              <w:t>,根据系统要求</w:t>
            </w:r>
            <w:r>
              <w:rPr>
                <w:rFonts w:hint="eastAsia" w:ascii="宋体" w:hAnsi="宋体" w:cs="宋体"/>
                <w:kern w:val="0"/>
                <w:szCs w:val="21"/>
              </w:rPr>
              <w:t>完成</w:t>
            </w:r>
            <w:r>
              <w:rPr>
                <w:rFonts w:ascii="宋体" w:hAnsi="宋体" w:cs="宋体"/>
                <w:kern w:val="0"/>
                <w:szCs w:val="21"/>
              </w:rPr>
              <w:t>软硬件</w:t>
            </w:r>
            <w:r>
              <w:rPr>
                <w:rFonts w:hint="eastAsia" w:ascii="宋体" w:hAnsi="宋体" w:cs="宋体"/>
                <w:kern w:val="0"/>
                <w:szCs w:val="21"/>
              </w:rPr>
              <w:t>设备的</w:t>
            </w:r>
            <w:r>
              <w:rPr>
                <w:rFonts w:ascii="宋体" w:hAnsi="宋体" w:cs="宋体"/>
                <w:kern w:val="0"/>
                <w:szCs w:val="21"/>
              </w:rPr>
              <w:t>现场安装调试，</w:t>
            </w:r>
            <w:r>
              <w:rPr>
                <w:rFonts w:hint="eastAsia" w:ascii="宋体" w:hAnsi="宋体" w:cs="宋体"/>
                <w:kern w:val="0"/>
                <w:szCs w:val="21"/>
              </w:rPr>
              <w:t>确保设备均</w:t>
            </w:r>
            <w:r>
              <w:rPr>
                <w:rFonts w:ascii="宋体" w:hAnsi="宋体" w:cs="宋体"/>
                <w:kern w:val="0"/>
                <w:szCs w:val="21"/>
              </w:rPr>
              <w:t>能无缝集成到</w:t>
            </w:r>
            <w:r>
              <w:rPr>
                <w:rFonts w:hint="eastAsia" w:ascii="宋体" w:hAnsi="宋体" w:cs="宋体"/>
                <w:kern w:val="0"/>
                <w:szCs w:val="21"/>
              </w:rPr>
              <w:t>私有云平台</w:t>
            </w:r>
            <w:r>
              <w:rPr>
                <w:rFonts w:ascii="宋体" w:hAnsi="宋体" w:cs="宋体"/>
                <w:kern w:val="0"/>
                <w:szCs w:val="21"/>
              </w:rPr>
              <w:t>，</w:t>
            </w:r>
            <w:r>
              <w:rPr>
                <w:rFonts w:hint="eastAsia" w:ascii="宋体" w:hAnsi="宋体" w:cs="宋体"/>
                <w:kern w:val="0"/>
                <w:szCs w:val="21"/>
              </w:rPr>
              <w:t>同时应</w:t>
            </w:r>
            <w:r>
              <w:rPr>
                <w:rFonts w:ascii="宋体" w:hAnsi="宋体" w:cs="宋体"/>
                <w:kern w:val="0"/>
                <w:szCs w:val="21"/>
              </w:rPr>
              <w:t>满足采购人</w:t>
            </w:r>
            <w:r>
              <w:rPr>
                <w:rFonts w:hint="eastAsia" w:ascii="宋体" w:hAnsi="宋体" w:cs="宋体"/>
                <w:kern w:val="0"/>
                <w:szCs w:val="21"/>
              </w:rPr>
              <w:t>对系统</w:t>
            </w:r>
            <w:r>
              <w:rPr>
                <w:rFonts w:ascii="宋体" w:hAnsi="宋体" w:cs="宋体"/>
                <w:kern w:val="0"/>
                <w:szCs w:val="21"/>
              </w:rPr>
              <w:t>安全性、</w:t>
            </w:r>
            <w:r>
              <w:rPr>
                <w:rFonts w:hint="eastAsia" w:ascii="宋体" w:hAnsi="宋体" w:cs="宋体"/>
                <w:kern w:val="0"/>
                <w:szCs w:val="21"/>
              </w:rPr>
              <w:t>连续性及</w:t>
            </w:r>
            <w:r>
              <w:rPr>
                <w:rFonts w:ascii="宋体" w:hAnsi="宋体" w:cs="宋体"/>
                <w:kern w:val="0"/>
                <w:szCs w:val="21"/>
              </w:rPr>
              <w:t>稳定性要求；</w:t>
            </w:r>
          </w:p>
          <w:p>
            <w:pPr>
              <w:pStyle w:val="234"/>
              <w:numPr>
                <w:ilvl w:val="0"/>
                <w:numId w:val="7"/>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投标人应根据采购人需求完成服务器设备搬迁和系统连续运行保障相关服务工作；</w:t>
            </w:r>
          </w:p>
          <w:p>
            <w:pPr>
              <w:pStyle w:val="234"/>
              <w:numPr>
                <w:ilvl w:val="0"/>
                <w:numId w:val="7"/>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投标人所投产品和整体设计实施方案，必须适应采购人在现有系统可能带来的系统、网络及安全方面的调整，配合</w:t>
            </w:r>
            <w:r>
              <w:rPr>
                <w:rFonts w:ascii="宋体" w:hAnsi="宋体" w:cs="宋体"/>
                <w:kern w:val="0"/>
                <w:szCs w:val="21"/>
              </w:rPr>
              <w:t>完成与本地平台的</w:t>
            </w:r>
            <w:r>
              <w:rPr>
                <w:rFonts w:hint="eastAsia" w:ascii="宋体" w:hAnsi="宋体" w:cs="宋体"/>
                <w:kern w:val="0"/>
                <w:szCs w:val="21"/>
              </w:rPr>
              <w:t>全部联调</w:t>
            </w:r>
            <w:r>
              <w:rPr>
                <w:rFonts w:ascii="宋体" w:hAnsi="宋体" w:cs="宋体"/>
                <w:kern w:val="0"/>
                <w:szCs w:val="21"/>
              </w:rPr>
              <w:t>联测工作</w:t>
            </w:r>
            <w:r>
              <w:rPr>
                <w:rFonts w:hint="eastAsia" w:ascii="宋体" w:hAnsi="宋体" w:cs="宋体"/>
                <w:kern w:val="0"/>
                <w:szCs w:val="21"/>
              </w:rPr>
              <w:t>；</w:t>
            </w:r>
          </w:p>
          <w:p>
            <w:pPr>
              <w:pStyle w:val="234"/>
              <w:numPr>
                <w:ilvl w:val="0"/>
                <w:numId w:val="7"/>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投标人应提供针对本项目的维护人员的技术培训不少于3人次（包括硬件设备管理、平台软件使用及设备迁移保障）；</w:t>
            </w:r>
          </w:p>
          <w:p>
            <w:pPr>
              <w:pStyle w:val="234"/>
              <w:numPr>
                <w:ilvl w:val="0"/>
                <w:numId w:val="7"/>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投标人应完成系统调试上线等相关工作；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844" w:type="dxa"/>
            <w:vAlign w:val="center"/>
          </w:tcPr>
          <w:p>
            <w:pPr>
              <w:spacing w:line="276" w:lineRule="auto"/>
              <w:rPr>
                <w:rFonts w:hint="eastAsia" w:ascii="宋体" w:hAnsi="宋体" w:cs="宋体"/>
                <w:kern w:val="0"/>
                <w:szCs w:val="21"/>
              </w:rPr>
            </w:pPr>
            <w:r>
              <w:rPr>
                <w:rFonts w:hint="eastAsia" w:ascii="宋体" w:hAnsi="宋体" w:cs="宋体"/>
                <w:kern w:val="0"/>
                <w:szCs w:val="21"/>
              </w:rPr>
              <w:t>▲</w:t>
            </w:r>
            <w:r>
              <w:rPr>
                <w:rFonts w:ascii="宋体" w:hAnsi="宋体" w:cs="宋体"/>
                <w:kern w:val="0"/>
                <w:szCs w:val="21"/>
              </w:rPr>
              <w:t>服务</w:t>
            </w:r>
            <w:r>
              <w:rPr>
                <w:rFonts w:hint="eastAsia" w:ascii="宋体" w:hAnsi="宋体" w:cs="宋体"/>
                <w:kern w:val="0"/>
                <w:szCs w:val="21"/>
              </w:rPr>
              <w:t>要求</w:t>
            </w:r>
          </w:p>
        </w:tc>
        <w:tc>
          <w:tcPr>
            <w:tcW w:w="7877" w:type="dxa"/>
          </w:tcPr>
          <w:p>
            <w:pPr>
              <w:pStyle w:val="234"/>
              <w:numPr>
                <w:ilvl w:val="0"/>
                <w:numId w:val="8"/>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投标人应完全满足服务内容要求，并且提供详细的实施方案；</w:t>
            </w:r>
          </w:p>
          <w:p>
            <w:pPr>
              <w:pStyle w:val="234"/>
              <w:numPr>
                <w:ilvl w:val="0"/>
                <w:numId w:val="8"/>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投标人负责完成IT设备上架、软件安装部署、服务器搬迁及信息系统连续性、稳定性保障，包括但不限于以下内容：</w:t>
            </w:r>
          </w:p>
          <w:p>
            <w:pPr>
              <w:pStyle w:val="234"/>
              <w:numPr>
                <w:ilvl w:val="0"/>
                <w:numId w:val="9"/>
              </w:numPr>
              <w:spacing w:line="276" w:lineRule="auto"/>
              <w:ind w:left="703" w:firstLineChars="0"/>
              <w:rPr>
                <w:rFonts w:hint="eastAsia" w:ascii="宋体" w:hAnsi="宋体" w:cs="宋体"/>
                <w:kern w:val="0"/>
                <w:szCs w:val="21"/>
              </w:rPr>
            </w:pPr>
            <w:r>
              <w:rPr>
                <w:rFonts w:hint="eastAsia" w:ascii="宋体" w:hAnsi="宋体" w:cs="宋体"/>
                <w:kern w:val="0"/>
                <w:szCs w:val="21"/>
              </w:rPr>
              <w:t>IT设备上架及配置联调；</w:t>
            </w:r>
          </w:p>
          <w:p>
            <w:pPr>
              <w:pStyle w:val="234"/>
              <w:numPr>
                <w:ilvl w:val="0"/>
                <w:numId w:val="9"/>
              </w:numPr>
              <w:spacing w:line="276" w:lineRule="auto"/>
              <w:ind w:left="703" w:firstLineChars="0"/>
              <w:rPr>
                <w:rFonts w:hint="eastAsia" w:ascii="宋体" w:hAnsi="宋体" w:cs="宋体"/>
                <w:kern w:val="0"/>
                <w:szCs w:val="21"/>
              </w:rPr>
            </w:pPr>
            <w:r>
              <w:rPr>
                <w:rFonts w:hint="eastAsia" w:ascii="宋体" w:hAnsi="宋体" w:cs="宋体"/>
                <w:kern w:val="0"/>
                <w:szCs w:val="21"/>
              </w:rPr>
              <w:t>提供设备运行所需要的所有辅材；</w:t>
            </w:r>
          </w:p>
          <w:p>
            <w:pPr>
              <w:pStyle w:val="234"/>
              <w:numPr>
                <w:ilvl w:val="0"/>
                <w:numId w:val="9"/>
              </w:numPr>
              <w:spacing w:line="276" w:lineRule="auto"/>
              <w:ind w:left="703" w:firstLineChars="0"/>
              <w:rPr>
                <w:rFonts w:hint="eastAsia" w:ascii="宋体" w:hAnsi="宋体" w:cs="宋体"/>
                <w:kern w:val="0"/>
                <w:szCs w:val="21"/>
              </w:rPr>
            </w:pPr>
            <w:r>
              <w:rPr>
                <w:rFonts w:hint="eastAsia" w:ascii="宋体" w:hAnsi="宋体" w:cs="宋体"/>
                <w:kern w:val="0"/>
                <w:szCs w:val="21"/>
              </w:rPr>
              <w:t>链路切换、服务器搬迁与业务连续性保证等策略制定与实施；</w:t>
            </w:r>
          </w:p>
          <w:p>
            <w:pPr>
              <w:pStyle w:val="234"/>
              <w:numPr>
                <w:ilvl w:val="0"/>
                <w:numId w:val="9"/>
              </w:numPr>
              <w:spacing w:line="276" w:lineRule="auto"/>
              <w:ind w:left="703" w:firstLineChars="0"/>
              <w:rPr>
                <w:rFonts w:hint="eastAsia" w:ascii="宋体" w:hAnsi="宋体" w:cs="宋体"/>
                <w:kern w:val="0"/>
                <w:szCs w:val="21"/>
              </w:rPr>
            </w:pPr>
            <w:r>
              <w:rPr>
                <w:rFonts w:hint="eastAsia" w:ascii="宋体" w:hAnsi="宋体" w:cs="宋体"/>
                <w:kern w:val="0"/>
                <w:szCs w:val="21"/>
              </w:rPr>
              <w:t>平台扩容完成后，对所有软、硬件进行联调测试，保证平台的高可用性，并对各项服务进行功能性检查；</w:t>
            </w:r>
          </w:p>
          <w:p>
            <w:pPr>
              <w:pStyle w:val="234"/>
              <w:numPr>
                <w:ilvl w:val="0"/>
                <w:numId w:val="9"/>
              </w:numPr>
              <w:spacing w:line="276" w:lineRule="auto"/>
              <w:ind w:left="703" w:firstLineChars="0"/>
              <w:rPr>
                <w:rFonts w:hint="eastAsia" w:ascii="宋体" w:hAnsi="宋体" w:cs="宋体"/>
                <w:kern w:val="0"/>
                <w:szCs w:val="21"/>
              </w:rPr>
            </w:pPr>
            <w:r>
              <w:rPr>
                <w:rFonts w:hint="eastAsia" w:ascii="宋体" w:hAnsi="宋体" w:cs="宋体"/>
                <w:kern w:val="0"/>
                <w:szCs w:val="21"/>
              </w:rPr>
              <w:t>提供至少1名项目驻场项目经理及2名设备工程师（至少I</w:t>
            </w:r>
            <w:r>
              <w:rPr>
                <w:rFonts w:ascii="宋体" w:hAnsi="宋体" w:cs="宋体"/>
                <w:kern w:val="0"/>
                <w:szCs w:val="21"/>
              </w:rPr>
              <w:t>T</w:t>
            </w:r>
            <w:r>
              <w:rPr>
                <w:rFonts w:hint="eastAsia" w:ascii="宋体" w:hAnsi="宋体" w:cs="宋体"/>
                <w:kern w:val="0"/>
                <w:szCs w:val="21"/>
              </w:rPr>
              <w:t>、存储各一名）的现场技术服务；</w:t>
            </w:r>
          </w:p>
          <w:p>
            <w:pPr>
              <w:pStyle w:val="234"/>
              <w:numPr>
                <w:ilvl w:val="0"/>
                <w:numId w:val="9"/>
              </w:numPr>
              <w:spacing w:line="276" w:lineRule="auto"/>
              <w:ind w:left="703" w:firstLineChars="0"/>
              <w:rPr>
                <w:rFonts w:hint="eastAsia" w:ascii="宋体" w:hAnsi="宋体" w:cs="宋体"/>
                <w:kern w:val="0"/>
                <w:szCs w:val="21"/>
              </w:rPr>
            </w:pPr>
            <w:r>
              <w:rPr>
                <w:rFonts w:hint="eastAsia" w:ascii="宋体" w:hAnsi="宋体" w:cs="宋体"/>
                <w:kern w:val="0"/>
                <w:szCs w:val="21"/>
              </w:rPr>
              <w:t>提供所投服务器、交换机产品原厂运维工程师一年</w:t>
            </w:r>
            <w:r>
              <w:rPr>
                <w:rFonts w:ascii="宋体" w:hAnsi="宋体" w:cs="宋体"/>
                <w:kern w:val="0"/>
                <w:szCs w:val="21"/>
              </w:rPr>
              <w:t>7×24小时远程或现场监控远维服务，每月提供运维报告；（提供原厂承诺函</w:t>
            </w:r>
            <w:r>
              <w:rPr>
                <w:rFonts w:hint="eastAsia" w:ascii="宋体" w:hAnsi="宋体" w:cs="宋体"/>
                <w:szCs w:val="21"/>
              </w:rPr>
              <w:t>）</w:t>
            </w:r>
          </w:p>
          <w:p>
            <w:pPr>
              <w:pStyle w:val="234"/>
              <w:numPr>
                <w:ilvl w:val="0"/>
                <w:numId w:val="8"/>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投标人应满足风险事件应急响应；制定出IT设备及风险应急响应方案，并且提供</w:t>
            </w:r>
            <w:r>
              <w:rPr>
                <w:rFonts w:ascii="宋体" w:hAnsi="宋体" w:cs="宋体"/>
                <w:kern w:val="0"/>
                <w:szCs w:val="21"/>
              </w:rPr>
              <w:t>7×24小时电话服务；</w:t>
            </w:r>
            <w:r>
              <w:rPr>
                <w:rFonts w:hint="eastAsia" w:ascii="宋体" w:hAnsi="宋体" w:cs="宋体"/>
                <w:kern w:val="0"/>
                <w:szCs w:val="21"/>
              </w:rPr>
              <w:t>质保期内</w:t>
            </w:r>
            <w:r>
              <w:rPr>
                <w:rFonts w:ascii="宋体" w:hAnsi="宋体" w:cs="宋体"/>
                <w:kern w:val="0"/>
                <w:szCs w:val="21"/>
              </w:rPr>
              <w:t>如</w:t>
            </w:r>
            <w:r>
              <w:rPr>
                <w:rFonts w:hint="eastAsia" w:ascii="宋体" w:hAnsi="宋体" w:cs="宋体"/>
                <w:kern w:val="0"/>
                <w:szCs w:val="21"/>
              </w:rPr>
              <w:t>发生设备故障或信息系统宕机事件</w:t>
            </w:r>
            <w:r>
              <w:rPr>
                <w:rFonts w:ascii="宋体" w:hAnsi="宋体" w:cs="宋体"/>
                <w:kern w:val="0"/>
                <w:szCs w:val="21"/>
              </w:rPr>
              <w:t>，必须2小时内到达服务现场，启动应急方案并进行事件</w:t>
            </w:r>
            <w:r>
              <w:rPr>
                <w:rFonts w:hint="eastAsia" w:ascii="宋体" w:hAnsi="宋体" w:cs="宋体"/>
                <w:kern w:val="0"/>
                <w:szCs w:val="21"/>
              </w:rPr>
              <w:t>全面</w:t>
            </w:r>
            <w:r>
              <w:rPr>
                <w:rFonts w:ascii="宋体" w:hAnsi="宋体" w:cs="宋体"/>
                <w:kern w:val="0"/>
                <w:szCs w:val="21"/>
              </w:rPr>
              <w:t>分析和解决问题；</w:t>
            </w:r>
          </w:p>
          <w:p>
            <w:pPr>
              <w:pStyle w:val="234"/>
              <w:numPr>
                <w:ilvl w:val="0"/>
                <w:numId w:val="8"/>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投标人应满足备件服务；针对本项目所采购设备，质保期内如设备发生故障无法恢复时，可以在</w:t>
            </w:r>
            <w:r>
              <w:rPr>
                <w:rFonts w:ascii="宋体" w:hAnsi="宋体" w:cs="宋体"/>
                <w:kern w:val="0"/>
                <w:szCs w:val="21"/>
              </w:rPr>
              <w:t>2小时内备件到达客户现场，确保业务系统</w:t>
            </w:r>
            <w:r>
              <w:rPr>
                <w:rFonts w:hint="eastAsia" w:ascii="宋体" w:hAnsi="宋体" w:cs="宋体"/>
                <w:kern w:val="0"/>
                <w:szCs w:val="21"/>
              </w:rPr>
              <w:t>运行</w:t>
            </w:r>
            <w:r>
              <w:rPr>
                <w:rFonts w:ascii="宋体" w:hAnsi="宋体" w:cs="宋体"/>
                <w:kern w:val="0"/>
                <w:szCs w:val="21"/>
              </w:rPr>
              <w:t>不受影响；</w:t>
            </w:r>
          </w:p>
          <w:p>
            <w:pPr>
              <w:pStyle w:val="234"/>
              <w:numPr>
                <w:ilvl w:val="0"/>
                <w:numId w:val="8"/>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投标人具有技术服务机构，可提供良好的售后服务方案，针对本项目所投软硬件产品应组建不少于4</w:t>
            </w:r>
            <w:r>
              <w:rPr>
                <w:rFonts w:ascii="宋体" w:hAnsi="宋体" w:cs="宋体"/>
                <w:kern w:val="0"/>
                <w:szCs w:val="21"/>
              </w:rPr>
              <w:t>人的</w:t>
            </w:r>
            <w:r>
              <w:rPr>
                <w:rFonts w:hint="eastAsia" w:ascii="宋体" w:hAnsi="宋体" w:cs="宋体"/>
                <w:kern w:val="0"/>
                <w:szCs w:val="21"/>
              </w:rPr>
              <w:t>原厂</w:t>
            </w:r>
            <w:r>
              <w:rPr>
                <w:rFonts w:ascii="宋体" w:hAnsi="宋体" w:cs="宋体"/>
                <w:kern w:val="0"/>
                <w:szCs w:val="21"/>
              </w:rPr>
              <w:t>专业技术团队</w:t>
            </w:r>
            <w:r>
              <w:rPr>
                <w:rFonts w:hint="eastAsia" w:ascii="宋体" w:hAnsi="宋体" w:cs="宋体"/>
                <w:kern w:val="0"/>
                <w:szCs w:val="21"/>
              </w:rPr>
              <w:t>进行现场实施等工作，入场时需提供相应证书；</w:t>
            </w:r>
          </w:p>
          <w:p>
            <w:pPr>
              <w:pStyle w:val="234"/>
              <w:numPr>
                <w:ilvl w:val="0"/>
                <w:numId w:val="8"/>
              </w:numPr>
              <w:spacing w:line="276" w:lineRule="auto"/>
              <w:ind w:left="34" w:firstLine="0" w:firstLineChars="0"/>
              <w:rPr>
                <w:rFonts w:hint="eastAsia" w:ascii="宋体" w:hAnsi="宋体" w:cs="宋体"/>
                <w:kern w:val="0"/>
                <w:szCs w:val="21"/>
              </w:rPr>
            </w:pPr>
            <w:r>
              <w:rPr>
                <w:rFonts w:hint="eastAsia" w:ascii="宋体" w:hAnsi="宋体" w:cs="宋体"/>
                <w:kern w:val="0"/>
                <w:szCs w:val="21"/>
              </w:rPr>
              <w:t>投标人需提供针对本项目服务器搬迁及系统集成实施工作，指派原厂项目驻场经理</w:t>
            </w:r>
            <w:r>
              <w:rPr>
                <w:rFonts w:ascii="宋体" w:hAnsi="宋体" w:cs="宋体"/>
                <w:kern w:val="0"/>
                <w:szCs w:val="21"/>
              </w:rPr>
              <w:t>1名</w:t>
            </w:r>
            <w:r>
              <w:rPr>
                <w:rFonts w:hint="eastAsia" w:ascii="宋体" w:hAnsi="宋体" w:cs="宋体"/>
                <w:kern w:val="0"/>
                <w:szCs w:val="21"/>
              </w:rPr>
              <w:t>，提供</w:t>
            </w:r>
            <w:r>
              <w:rPr>
                <w:rFonts w:ascii="宋体" w:hAnsi="宋体" w:cs="宋体"/>
                <w:kern w:val="0"/>
                <w:szCs w:val="21"/>
              </w:rPr>
              <w:t>5×8小时驻点服务，</w:t>
            </w:r>
            <w:r>
              <w:rPr>
                <w:rFonts w:hint="eastAsia" w:ascii="宋体" w:hAnsi="宋体" w:cs="宋体"/>
                <w:kern w:val="0"/>
                <w:szCs w:val="21"/>
              </w:rPr>
              <w:t>参与完成服务器搬迁、</w:t>
            </w:r>
            <w:r>
              <w:rPr>
                <w:rFonts w:ascii="宋体" w:hAnsi="宋体" w:cs="宋体"/>
                <w:kern w:val="0"/>
                <w:szCs w:val="21"/>
              </w:rPr>
              <w:t>系统</w:t>
            </w:r>
            <w:r>
              <w:rPr>
                <w:rFonts w:hint="eastAsia" w:ascii="宋体" w:hAnsi="宋体" w:cs="宋体"/>
                <w:kern w:val="0"/>
                <w:szCs w:val="21"/>
              </w:rPr>
              <w:t>稳定运行的驻场服务</w:t>
            </w:r>
            <w:r>
              <w:rPr>
                <w:rFonts w:ascii="宋体" w:hAnsi="宋体" w:cs="宋体"/>
                <w:kern w:val="0"/>
                <w:szCs w:val="21"/>
              </w:rPr>
              <w:t>,并</w:t>
            </w:r>
            <w:r>
              <w:rPr>
                <w:rFonts w:hint="eastAsia" w:ascii="宋体" w:hAnsi="宋体" w:cs="宋体"/>
                <w:kern w:val="0"/>
                <w:szCs w:val="21"/>
              </w:rPr>
              <w:t>确保提供现场技术支持，并在验收后提供技术支持。</w:t>
            </w:r>
          </w:p>
          <w:p>
            <w:pPr>
              <w:pStyle w:val="234"/>
              <w:numPr>
                <w:ilvl w:val="0"/>
                <w:numId w:val="8"/>
              </w:numPr>
              <w:spacing w:line="276" w:lineRule="auto"/>
              <w:ind w:left="34" w:firstLine="0" w:firstLineChars="0"/>
              <w:rPr>
                <w:rFonts w:ascii="Calibri" w:hAnsi="Calibri" w:cs="宋体"/>
                <w:kern w:val="0"/>
                <w:szCs w:val="21"/>
              </w:rPr>
            </w:pPr>
            <w:r>
              <w:rPr>
                <w:rFonts w:hint="eastAsia" w:ascii="宋体" w:hAnsi="宋体" w:cs="宋体"/>
                <w:kern w:val="0"/>
                <w:szCs w:val="21"/>
              </w:rPr>
              <w:t>中标方须提供项目实施文档，包括但不限于系统架构图、拓扑图、故障排查等。</w:t>
            </w:r>
          </w:p>
          <w:p>
            <w:pPr>
              <w:spacing w:line="276" w:lineRule="auto"/>
              <w:rPr>
                <w:rFonts w:hint="eastAsia" w:ascii="宋体" w:hAnsi="宋体" w:cs="宋体"/>
                <w:kern w:val="0"/>
                <w:szCs w:val="21"/>
              </w:rPr>
            </w:pPr>
          </w:p>
        </w:tc>
      </w:tr>
    </w:tbl>
    <w:p>
      <w:pPr>
        <w:shd w:val="clear" w:color="auto" w:fill="FFFFFF"/>
        <w:tabs>
          <w:tab w:val="left" w:pos="2908"/>
        </w:tabs>
        <w:spacing w:line="360" w:lineRule="auto"/>
        <w:ind w:firstLine="371" w:firstLineChars="177"/>
        <w:jc w:val="left"/>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b/>
          <w:bCs/>
          <w:szCs w:val="21"/>
        </w:rPr>
      </w:pPr>
      <w:r>
        <w:rPr>
          <w:rFonts w:hint="eastAsia" w:ascii="宋体" w:hAnsi="宋体" w:cs="宋体"/>
          <w:b/>
          <w:bCs/>
          <w:szCs w:val="21"/>
        </w:rPr>
        <w:t>八、商务要求</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安装</w:t>
      </w:r>
      <w:r>
        <w:rPr>
          <w:rFonts w:hint="eastAsia" w:ascii="宋体" w:hAnsi="宋体" w:cs="宋体"/>
          <w:szCs w:val="21"/>
        </w:rPr>
        <w:t>调试</w:t>
      </w:r>
      <w:r>
        <w:rPr>
          <w:rFonts w:hint="eastAsia" w:ascii="宋体" w:hAnsi="宋体" w:cs="宋体"/>
          <w:szCs w:val="21"/>
          <w:lang w:val="zh-CN"/>
        </w:rPr>
        <w:t>：</w:t>
      </w:r>
      <w:r>
        <w:rPr>
          <w:rFonts w:hint="eastAsia" w:ascii="宋体" w:hAnsi="宋体" w:cs="宋体"/>
          <w:szCs w:val="21"/>
        </w:rPr>
        <w:t>中标人应委派</w:t>
      </w:r>
      <w:r>
        <w:rPr>
          <w:rFonts w:hint="eastAsia" w:ascii="宋体" w:hAnsi="宋体" w:cs="宋体"/>
          <w:szCs w:val="21"/>
          <w:lang w:val="zh-CN"/>
        </w:rPr>
        <w:t>专业技术人员</w:t>
      </w:r>
      <w:r>
        <w:rPr>
          <w:rFonts w:hint="eastAsia" w:ascii="宋体" w:hAnsi="宋体" w:cs="宋体"/>
          <w:szCs w:val="21"/>
        </w:rPr>
        <w:t>按招标人要求到</w:t>
      </w:r>
      <w:r>
        <w:rPr>
          <w:rFonts w:hint="eastAsia" w:ascii="宋体" w:hAnsi="宋体" w:cs="宋体"/>
          <w:szCs w:val="21"/>
          <w:lang w:val="zh-CN"/>
        </w:rPr>
        <w:t>现场免费安装和调试</w:t>
      </w:r>
      <w:r>
        <w:rPr>
          <w:rFonts w:hint="eastAsia" w:ascii="宋体" w:hAnsi="宋体" w:cs="宋体"/>
          <w:szCs w:val="21"/>
        </w:rPr>
        <w:t>设备</w:t>
      </w:r>
      <w:r>
        <w:rPr>
          <w:rFonts w:hint="eastAsia" w:ascii="宋体" w:hAnsi="宋体" w:cs="宋体"/>
          <w:szCs w:val="21"/>
          <w:lang w:val="zh-CN"/>
        </w:rPr>
        <w:t>及有关软件，</w:t>
      </w:r>
      <w:r>
        <w:rPr>
          <w:rFonts w:hint="eastAsia" w:ascii="宋体" w:hAnsi="宋体" w:cs="宋体"/>
          <w:szCs w:val="21"/>
        </w:rPr>
        <w:t>提供技术指导服务</w:t>
      </w:r>
      <w:r>
        <w:rPr>
          <w:rFonts w:hint="eastAsia" w:ascii="宋体" w:hAnsi="宋体" w:cs="宋体"/>
          <w:szCs w:val="21"/>
          <w:lang w:val="zh-CN"/>
        </w:rPr>
        <w:t>。</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2、质保期：</w:t>
      </w:r>
      <w:r>
        <w:rPr>
          <w:rFonts w:hint="eastAsia" w:ascii="宋体" w:hAnsi="宋体" w:cs="宋体"/>
          <w:szCs w:val="21"/>
          <w:lang w:val="zh-CN"/>
        </w:rPr>
        <w:t>本项目</w:t>
      </w:r>
      <w:r>
        <w:rPr>
          <w:rFonts w:hint="eastAsia" w:ascii="宋体" w:hAnsi="宋体" w:cs="宋体"/>
          <w:szCs w:val="21"/>
        </w:rPr>
        <w:t>除用户需求书中明确要求的设备和服务质保期外，其余质保</w:t>
      </w:r>
      <w:r>
        <w:rPr>
          <w:rFonts w:hint="eastAsia" w:ascii="宋体" w:hAnsi="宋体" w:cs="宋体"/>
          <w:szCs w:val="21"/>
          <w:lang w:val="zh-CN"/>
        </w:rPr>
        <w:t>期为验收合格之日起</w:t>
      </w:r>
      <w:r>
        <w:rPr>
          <w:rFonts w:hint="eastAsia" w:ascii="宋体" w:hAnsi="宋体" w:cs="宋体"/>
          <w:szCs w:val="21"/>
        </w:rPr>
        <w:t>至少一</w:t>
      </w:r>
      <w:r>
        <w:rPr>
          <w:rFonts w:hint="eastAsia" w:ascii="宋体" w:hAnsi="宋体" w:cs="宋体"/>
          <w:szCs w:val="21"/>
          <w:lang w:val="zh-CN"/>
        </w:rPr>
        <w:t>年，至项目通过验收后起算。在</w:t>
      </w:r>
      <w:r>
        <w:rPr>
          <w:rFonts w:hint="eastAsia" w:ascii="宋体" w:hAnsi="宋体" w:cs="宋体"/>
          <w:szCs w:val="21"/>
        </w:rPr>
        <w:t>质保期</w:t>
      </w:r>
      <w:r>
        <w:rPr>
          <w:rFonts w:hint="eastAsia" w:ascii="宋体" w:hAnsi="宋体" w:cs="宋体"/>
          <w:szCs w:val="21"/>
          <w:lang w:val="zh-CN"/>
        </w:rPr>
        <w:t>内，非人为故障的出现问题的货物，中标单位必须承诺在收到</w:t>
      </w:r>
      <w:r>
        <w:rPr>
          <w:rFonts w:hint="eastAsia" w:ascii="宋体" w:hAnsi="宋体" w:cs="宋体"/>
          <w:szCs w:val="21"/>
        </w:rPr>
        <w:t>招标人</w:t>
      </w:r>
      <w:r>
        <w:rPr>
          <w:rFonts w:hint="eastAsia" w:ascii="宋体" w:hAnsi="宋体" w:cs="宋体"/>
          <w:szCs w:val="21"/>
          <w:lang w:val="zh-CN"/>
        </w:rPr>
        <w:t>通知</w:t>
      </w:r>
      <w:r>
        <w:rPr>
          <w:rFonts w:hint="eastAsia" w:ascii="宋体" w:hAnsi="宋体" w:cs="宋体"/>
          <w:szCs w:val="21"/>
        </w:rPr>
        <w:t>30分钟</w:t>
      </w:r>
      <w:r>
        <w:rPr>
          <w:rFonts w:hint="eastAsia" w:ascii="宋体" w:hAnsi="宋体" w:cs="宋体"/>
          <w:szCs w:val="21"/>
          <w:lang w:val="zh-CN"/>
        </w:rPr>
        <w:t>内响应，</w:t>
      </w:r>
      <w:r>
        <w:rPr>
          <w:rFonts w:hint="eastAsia" w:ascii="宋体" w:hAnsi="宋体" w:cs="宋体"/>
          <w:szCs w:val="21"/>
        </w:rPr>
        <w:t>2</w:t>
      </w:r>
      <w:r>
        <w:rPr>
          <w:rFonts w:hint="eastAsia" w:ascii="宋体" w:hAnsi="宋体" w:cs="宋体"/>
          <w:szCs w:val="21"/>
          <w:lang w:val="zh-CN"/>
        </w:rPr>
        <w:t>个小时内到场，8个小时内解决问题，若不能解决问题，</w:t>
      </w:r>
      <w:r>
        <w:rPr>
          <w:rFonts w:hint="eastAsia" w:ascii="宋体" w:hAnsi="宋体" w:cs="宋体"/>
          <w:szCs w:val="21"/>
        </w:rPr>
        <w:t>中标人</w:t>
      </w:r>
      <w:r>
        <w:rPr>
          <w:rFonts w:hint="eastAsia" w:ascii="宋体" w:hAnsi="宋体" w:cs="宋体"/>
          <w:szCs w:val="21"/>
          <w:lang w:val="zh-CN"/>
        </w:rPr>
        <w:t>必须提供满足整套系统匹配使用的备用货物给予</w:t>
      </w:r>
      <w:r>
        <w:rPr>
          <w:rFonts w:hint="eastAsia" w:ascii="宋体" w:hAnsi="宋体" w:cs="宋体"/>
          <w:szCs w:val="21"/>
        </w:rPr>
        <w:t>招标人</w:t>
      </w:r>
      <w:r>
        <w:rPr>
          <w:rFonts w:hint="eastAsia" w:ascii="宋体" w:hAnsi="宋体" w:cs="宋体"/>
          <w:szCs w:val="21"/>
          <w:lang w:val="zh-CN"/>
        </w:rPr>
        <w:t>无偿使用，并在5～10个工作日内，将故障产品维修完毕，并交还</w:t>
      </w:r>
      <w:r>
        <w:rPr>
          <w:rFonts w:hint="eastAsia" w:ascii="宋体" w:hAnsi="宋体" w:cs="宋体"/>
          <w:szCs w:val="21"/>
        </w:rPr>
        <w:t>招标人</w:t>
      </w:r>
      <w:r>
        <w:rPr>
          <w:rFonts w:hint="eastAsia" w:ascii="宋体" w:hAnsi="宋体" w:cs="宋体"/>
          <w:szCs w:val="21"/>
          <w:lang w:val="zh-CN"/>
        </w:rPr>
        <w:t>。否则，</w:t>
      </w:r>
      <w:r>
        <w:rPr>
          <w:rFonts w:hint="eastAsia" w:ascii="宋体" w:hAnsi="宋体" w:cs="宋体"/>
          <w:szCs w:val="21"/>
        </w:rPr>
        <w:t>招标人有权</w:t>
      </w:r>
      <w:r>
        <w:rPr>
          <w:rFonts w:hint="eastAsia" w:ascii="宋体" w:hAnsi="宋体" w:cs="宋体"/>
          <w:szCs w:val="21"/>
          <w:lang w:val="zh-CN"/>
        </w:rPr>
        <w:t>请其他专业队伍维修，</w:t>
      </w:r>
      <w:r>
        <w:rPr>
          <w:rFonts w:hint="eastAsia" w:ascii="宋体" w:hAnsi="宋体" w:cs="宋体"/>
          <w:szCs w:val="21"/>
        </w:rPr>
        <w:t>所产生的维修</w:t>
      </w:r>
      <w:r>
        <w:rPr>
          <w:rFonts w:hint="eastAsia" w:ascii="宋体" w:hAnsi="宋体" w:cs="宋体"/>
          <w:szCs w:val="21"/>
          <w:lang w:val="zh-CN"/>
        </w:rPr>
        <w:t>费用从</w:t>
      </w:r>
      <w:r>
        <w:rPr>
          <w:rFonts w:hint="eastAsia" w:ascii="宋体" w:hAnsi="宋体" w:cs="宋体"/>
          <w:szCs w:val="21"/>
        </w:rPr>
        <w:t>履约保证金</w:t>
      </w:r>
      <w:r>
        <w:rPr>
          <w:rFonts w:hint="eastAsia" w:ascii="宋体" w:hAnsi="宋体" w:cs="宋体"/>
          <w:szCs w:val="21"/>
          <w:lang w:val="zh-CN"/>
        </w:rPr>
        <w:t>中扣除，</w:t>
      </w:r>
      <w:r>
        <w:rPr>
          <w:rFonts w:hint="eastAsia" w:ascii="宋体" w:hAnsi="宋体" w:cs="宋体"/>
          <w:szCs w:val="21"/>
        </w:rPr>
        <w:t>不足的部分由中标人承担</w:t>
      </w:r>
      <w:r>
        <w:rPr>
          <w:rFonts w:hint="eastAsia" w:ascii="宋体" w:hAnsi="宋体" w:cs="宋体"/>
          <w:szCs w:val="21"/>
          <w:lang w:val="zh-CN"/>
        </w:rPr>
        <w:t>。</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3、日常</w:t>
      </w:r>
      <w:r>
        <w:rPr>
          <w:rFonts w:hint="eastAsia" w:ascii="宋体" w:hAnsi="宋体" w:cs="宋体"/>
          <w:szCs w:val="21"/>
          <w:lang w:val="zh-CN"/>
        </w:rPr>
        <w:t>维护</w:t>
      </w:r>
      <w:r>
        <w:rPr>
          <w:rFonts w:hint="eastAsia" w:ascii="宋体" w:hAnsi="宋体" w:cs="宋体"/>
          <w:szCs w:val="21"/>
        </w:rPr>
        <w:t>和应急响应服务</w:t>
      </w:r>
      <w:r>
        <w:rPr>
          <w:rFonts w:hint="eastAsia" w:ascii="宋体" w:hAnsi="宋体" w:cs="宋体"/>
          <w:szCs w:val="21"/>
          <w:lang w:val="zh-CN"/>
        </w:rPr>
        <w:t>：</w:t>
      </w:r>
      <w:r>
        <w:rPr>
          <w:rFonts w:hint="eastAsia" w:ascii="宋体" w:hAnsi="宋体" w:cs="宋体"/>
          <w:szCs w:val="21"/>
        </w:rPr>
        <w:t>中标人应</w:t>
      </w:r>
      <w:r>
        <w:rPr>
          <w:rFonts w:hint="eastAsia" w:ascii="宋体" w:hAnsi="宋体" w:cs="宋体"/>
          <w:szCs w:val="21"/>
          <w:lang w:val="zh-CN"/>
        </w:rPr>
        <w:t>在</w:t>
      </w:r>
      <w:r>
        <w:rPr>
          <w:rFonts w:hint="eastAsia" w:ascii="宋体" w:hAnsi="宋体" w:cs="宋体"/>
          <w:szCs w:val="21"/>
        </w:rPr>
        <w:t>项目所在地设有</w:t>
      </w:r>
      <w:r>
        <w:rPr>
          <w:rFonts w:hint="eastAsia" w:ascii="宋体" w:hAnsi="宋体" w:cs="宋体"/>
          <w:szCs w:val="21"/>
          <w:lang w:val="zh-CN"/>
        </w:rPr>
        <w:t>售后服务机构，有专职的</w:t>
      </w:r>
      <w:r>
        <w:rPr>
          <w:rFonts w:hint="eastAsia" w:ascii="宋体" w:hAnsi="宋体" w:cs="宋体"/>
          <w:szCs w:val="21"/>
        </w:rPr>
        <w:t>技术人员</w:t>
      </w:r>
      <w:r>
        <w:rPr>
          <w:rFonts w:hint="eastAsia" w:ascii="宋体" w:hAnsi="宋体" w:cs="宋体"/>
          <w:szCs w:val="21"/>
          <w:lang w:val="zh-CN"/>
        </w:rPr>
        <w:t>，提供</w:t>
      </w:r>
      <w:r>
        <w:rPr>
          <w:rFonts w:hint="eastAsia" w:ascii="宋体" w:hAnsi="宋体" w:cs="宋体"/>
          <w:szCs w:val="21"/>
        </w:rPr>
        <w:t>日常维护</w:t>
      </w:r>
      <w:r>
        <w:rPr>
          <w:rFonts w:hint="eastAsia" w:ascii="宋体" w:hAnsi="宋体" w:cs="宋体"/>
          <w:szCs w:val="21"/>
          <w:lang w:val="zh-CN"/>
        </w:rPr>
        <w:t>和</w:t>
      </w:r>
      <w:r>
        <w:rPr>
          <w:rFonts w:hint="eastAsia" w:ascii="宋体" w:hAnsi="宋体" w:cs="宋体"/>
          <w:szCs w:val="21"/>
        </w:rPr>
        <w:t>应急响应等</w:t>
      </w:r>
      <w:r>
        <w:rPr>
          <w:rFonts w:hint="eastAsia" w:ascii="宋体" w:hAnsi="宋体" w:cs="宋体"/>
          <w:szCs w:val="21"/>
          <w:lang w:val="zh-CN"/>
        </w:rPr>
        <w:t>技术支持。若</w:t>
      </w:r>
      <w:r>
        <w:rPr>
          <w:rFonts w:hint="eastAsia" w:ascii="宋体" w:hAnsi="宋体" w:cs="宋体"/>
          <w:szCs w:val="21"/>
        </w:rPr>
        <w:t>招标人</w:t>
      </w:r>
      <w:r>
        <w:rPr>
          <w:rFonts w:hint="eastAsia" w:ascii="宋体" w:hAnsi="宋体" w:cs="宋体"/>
          <w:szCs w:val="21"/>
          <w:lang w:val="zh-CN"/>
        </w:rPr>
        <w:t>遇故障后求援，需要保证1～2小时内有专人回复。若电话不能解决故障，即使有特殊情况，需要保证在2～3个工作日内到</w:t>
      </w:r>
      <w:r>
        <w:rPr>
          <w:rFonts w:hint="eastAsia" w:ascii="宋体" w:hAnsi="宋体" w:cs="宋体"/>
          <w:szCs w:val="21"/>
        </w:rPr>
        <w:t>派专职人员</w:t>
      </w:r>
      <w:r>
        <w:rPr>
          <w:rFonts w:hint="eastAsia" w:ascii="宋体" w:hAnsi="宋体" w:cs="宋体"/>
          <w:szCs w:val="21"/>
          <w:lang w:val="zh-CN"/>
        </w:rPr>
        <w:t>现场处理。每次</w:t>
      </w:r>
      <w:r>
        <w:rPr>
          <w:rFonts w:hint="eastAsia" w:ascii="宋体" w:hAnsi="宋体" w:cs="宋体"/>
          <w:szCs w:val="21"/>
        </w:rPr>
        <w:t>维护</w:t>
      </w:r>
      <w:r>
        <w:rPr>
          <w:rFonts w:hint="eastAsia" w:ascii="宋体" w:hAnsi="宋体" w:cs="宋体"/>
          <w:szCs w:val="21"/>
          <w:lang w:val="zh-CN"/>
        </w:rPr>
        <w:t>最多不超过3个工作日完成。</w:t>
      </w:r>
      <w:r>
        <w:rPr>
          <w:rFonts w:hint="eastAsia" w:ascii="宋体" w:hAnsi="宋体" w:cs="宋体"/>
          <w:szCs w:val="21"/>
        </w:rPr>
        <w:t>中标人</w:t>
      </w:r>
      <w:r>
        <w:rPr>
          <w:rFonts w:hint="eastAsia" w:ascii="宋体" w:hAnsi="宋体" w:cs="宋体"/>
          <w:szCs w:val="21"/>
          <w:lang w:val="zh-CN"/>
        </w:rPr>
        <w:t>能快捷地提供各相应</w:t>
      </w:r>
      <w:r>
        <w:rPr>
          <w:rFonts w:hint="eastAsia" w:ascii="宋体" w:hAnsi="宋体" w:cs="宋体"/>
          <w:szCs w:val="21"/>
        </w:rPr>
        <w:t>备</w:t>
      </w:r>
      <w:r>
        <w:rPr>
          <w:rFonts w:hint="eastAsia" w:ascii="宋体" w:hAnsi="宋体" w:cs="宋体"/>
          <w:szCs w:val="21"/>
          <w:lang w:val="zh-CN"/>
        </w:rPr>
        <w:t>件</w:t>
      </w:r>
      <w:r>
        <w:rPr>
          <w:rFonts w:hint="eastAsia" w:ascii="宋体" w:hAnsi="宋体" w:cs="宋体"/>
          <w:szCs w:val="21"/>
        </w:rPr>
        <w:t>以供维护和应急使用</w:t>
      </w:r>
      <w:r>
        <w:rPr>
          <w:rFonts w:hint="eastAsia" w:ascii="宋体" w:hAnsi="宋体" w:cs="宋体"/>
          <w:szCs w:val="21"/>
          <w:lang w:val="zh-CN"/>
        </w:rPr>
        <w:t xml:space="preserve">。 </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4、</w:t>
      </w:r>
      <w:r>
        <w:rPr>
          <w:rFonts w:hint="eastAsia" w:ascii="宋体" w:hAnsi="宋体" w:cs="宋体"/>
          <w:szCs w:val="21"/>
          <w:lang w:val="zh-CN"/>
        </w:rPr>
        <w:t>招标过程投标人必须满足及中标后投标人必须满足的要求：</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lang w:val="zh-CN"/>
        </w:rPr>
        <w:t>（</w:t>
      </w:r>
      <w:r>
        <w:rPr>
          <w:rFonts w:hint="eastAsia" w:ascii="宋体" w:hAnsi="宋体" w:cs="宋体"/>
          <w:szCs w:val="21"/>
        </w:rPr>
        <w:t>1</w:t>
      </w:r>
      <w:r>
        <w:rPr>
          <w:rFonts w:hint="eastAsia" w:ascii="宋体" w:hAnsi="宋体" w:cs="宋体"/>
          <w:szCs w:val="21"/>
          <w:lang w:val="zh-CN"/>
        </w:rPr>
        <w:t>）本项目不允许转包或</w:t>
      </w:r>
      <w:r>
        <w:rPr>
          <w:rFonts w:hint="eastAsia" w:ascii="宋体" w:hAnsi="宋体" w:cs="宋体"/>
          <w:szCs w:val="21"/>
        </w:rPr>
        <w:t>违法分包</w:t>
      </w:r>
      <w:r>
        <w:rPr>
          <w:rFonts w:hint="eastAsia" w:ascii="宋体" w:hAnsi="宋体" w:cs="宋体"/>
          <w:szCs w:val="21"/>
          <w:lang w:val="zh-CN"/>
        </w:rPr>
        <w:t>。</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）投标文件中投标人必须明确负责本项目的项目经理名称以及身份证号（已经作为某项目的项目经理不允许负责该项目，项目经理必须为投标人单位在职人员（以劳动合同和社保证明为准），</w:t>
      </w:r>
      <w:r>
        <w:rPr>
          <w:rFonts w:hint="eastAsia" w:ascii="宋体" w:hAnsi="宋体" w:cs="宋体"/>
          <w:szCs w:val="21"/>
        </w:rPr>
        <w:t>投标人也应根据招标文件要求配置相应的项目团队人员</w:t>
      </w:r>
      <w:r>
        <w:rPr>
          <w:rFonts w:hint="eastAsia" w:ascii="宋体" w:hAnsi="宋体" w:cs="宋体"/>
          <w:szCs w:val="21"/>
          <w:lang w:val="zh-CN"/>
        </w:rPr>
        <w:t>。</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lang w:val="zh-CN"/>
        </w:rPr>
        <w:t>（</w:t>
      </w:r>
      <w:r>
        <w:rPr>
          <w:rFonts w:hint="eastAsia" w:ascii="宋体" w:hAnsi="宋体" w:cs="宋体"/>
          <w:szCs w:val="21"/>
        </w:rPr>
        <w:t>3</w:t>
      </w:r>
      <w:r>
        <w:rPr>
          <w:rFonts w:hint="eastAsia" w:ascii="宋体" w:hAnsi="宋体" w:cs="宋体"/>
          <w:szCs w:val="21"/>
          <w:lang w:val="zh-CN"/>
        </w:rPr>
        <w:t>）招标文件中未列明的设备内容，而在</w:t>
      </w:r>
      <w:r>
        <w:rPr>
          <w:rFonts w:hint="eastAsia" w:ascii="宋体" w:hAnsi="宋体" w:cs="宋体"/>
          <w:szCs w:val="21"/>
        </w:rPr>
        <w:t>供货</w:t>
      </w:r>
      <w:r>
        <w:rPr>
          <w:rFonts w:hint="eastAsia" w:ascii="宋体" w:hAnsi="宋体" w:cs="宋体"/>
          <w:szCs w:val="21"/>
          <w:lang w:val="zh-CN"/>
        </w:rPr>
        <w:t>安装过程中</w:t>
      </w:r>
      <w:r>
        <w:rPr>
          <w:rFonts w:hint="eastAsia" w:ascii="宋体" w:hAnsi="宋体" w:cs="宋体"/>
          <w:szCs w:val="21"/>
        </w:rPr>
        <w:t>实际</w:t>
      </w:r>
      <w:r>
        <w:rPr>
          <w:rFonts w:hint="eastAsia" w:ascii="宋体" w:hAnsi="宋体" w:cs="宋体"/>
          <w:szCs w:val="21"/>
          <w:lang w:val="zh-CN"/>
        </w:rPr>
        <w:t>需要的，由投标人自行填写，并将报价计入投标总价。项目清单中列出的货物，技术要求未在清单中详细明确，而在招标文件其他地方已经明确的，必须按照招标文件的相关要求填报。如招标文件其他地方亦没有明确，则投标人必须按照最有利于满足该项目使用的技术参数对应的设备进行填报（即可以在清单中增加投标人认为完成本次项目所需的其他报价内容，但是不可以减少清单内容）。</w:t>
      </w:r>
    </w:p>
    <w:p>
      <w:pPr>
        <w:shd w:val="clear" w:color="auto" w:fill="FFFFFF"/>
        <w:tabs>
          <w:tab w:val="left" w:pos="2908"/>
        </w:tabs>
        <w:spacing w:line="360" w:lineRule="auto"/>
        <w:jc w:val="left"/>
        <w:rPr>
          <w:rFonts w:hint="eastAsia" w:ascii="宋体" w:hAnsi="宋体" w:cs="宋体"/>
          <w:b/>
          <w:bCs/>
          <w:szCs w:val="21"/>
        </w:rPr>
      </w:pPr>
    </w:p>
    <w:p>
      <w:pPr>
        <w:shd w:val="clear" w:color="auto" w:fill="FFFFFF"/>
        <w:tabs>
          <w:tab w:val="left" w:pos="2908"/>
        </w:tabs>
        <w:spacing w:line="360" w:lineRule="auto"/>
        <w:jc w:val="left"/>
        <w:rPr>
          <w:rFonts w:hint="eastAsia" w:ascii="宋体" w:hAnsi="宋体" w:cs="宋体"/>
          <w:b/>
          <w:bCs/>
          <w:szCs w:val="21"/>
        </w:rPr>
      </w:pPr>
      <w:r>
        <w:rPr>
          <w:rFonts w:hint="eastAsia" w:ascii="宋体" w:hAnsi="宋体" w:cs="宋体"/>
          <w:b/>
          <w:bCs/>
          <w:szCs w:val="21"/>
        </w:rPr>
        <w:t>九、其他要求</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1、包装和运输：</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（1）货物的包装和发运应符合货物特性要求。</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（2）为了保证货物在长途运输和装卸过程中的安全，货物包装应符合国家或行业标准规定。由于包装不善导致货物锈蚀、失缺或损坏，由中标人承担一切责任。</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（3）中标人应按工程进度安排计划，派出适当的人员到安装现场负责安装和调试工作。在安装调试期间，严格遵守招标人的有关制度。</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（4）在中标人安装、调试后进行检查验收，如果发现数量不足，质量、技术或材料说明跟清单不符等问题，中标人应负责按照招标人的要求采取补足更换等处理措施，并承担由此发生的一切损失和费用。</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2、产品要求：</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（1）货物为原制造商制造的全新产品，无污染，无侵权行为、表面无划损、无任何缺陷隐患，在中国境内可依常规安全合法使用。</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（2）货物为原厂商未启封全新包装，序列号、包装箱号与出厂批号一致，标注甲方名称，并可追索查阅。</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 xml:space="preserve">3、货物验收要求：安装调试完成后双方共同进行验收，验收过程所发生的一切费用由中标人承担，并签署项目验收报告。 </w:t>
      </w:r>
    </w:p>
    <w:p>
      <w:pPr>
        <w:shd w:val="clear" w:color="auto" w:fill="FFFFFF"/>
        <w:tabs>
          <w:tab w:val="left" w:pos="2908"/>
        </w:tabs>
        <w:spacing w:line="360" w:lineRule="auto"/>
        <w:ind w:firstLine="371" w:firstLineChars="177"/>
        <w:jc w:val="left"/>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b/>
          <w:bCs/>
          <w:szCs w:val="21"/>
        </w:rPr>
      </w:pPr>
      <w:r>
        <w:rPr>
          <w:rFonts w:hint="eastAsia" w:ascii="宋体" w:hAnsi="宋体" w:cs="宋体"/>
          <w:b/>
          <w:bCs/>
          <w:szCs w:val="21"/>
        </w:rPr>
        <w:t>十、付款方式</w:t>
      </w:r>
    </w:p>
    <w:p>
      <w:pPr>
        <w:pStyle w:val="298"/>
        <w:spacing w:line="360" w:lineRule="auto"/>
        <w:ind w:firstLine="420" w:firstLineChars="200"/>
        <w:rPr>
          <w:rFonts w:hint="eastAsia"/>
        </w:rPr>
      </w:pPr>
      <w:r>
        <w:rPr>
          <w:rFonts w:hint="eastAsia"/>
        </w:rPr>
        <w:t>（1）招标人与中标人在签订合同并收到中标人提供的等值增值税专用发票后10天内，招标人向中标人支付合同款总价的30%为预付款。中标人收到30%的合同款后，应于10个工作日内，向招标人支付合同款总价5%的履约保证金；</w:t>
      </w:r>
    </w:p>
    <w:p>
      <w:pPr>
        <w:pStyle w:val="298"/>
        <w:spacing w:line="360" w:lineRule="auto"/>
        <w:ind w:firstLine="420" w:firstLineChars="200"/>
        <w:rPr>
          <w:rFonts w:hint="eastAsia"/>
        </w:rPr>
      </w:pPr>
      <w:r>
        <w:rPr>
          <w:rFonts w:hint="eastAsia"/>
        </w:rPr>
        <w:t>（2）设备到货经招标人验收合格并收到中标人提供的等值增值税专用发票后10天内，招标人向中标人支付合同款总价的45%；</w:t>
      </w:r>
    </w:p>
    <w:p>
      <w:pPr>
        <w:pStyle w:val="298"/>
        <w:spacing w:line="360" w:lineRule="auto"/>
        <w:ind w:firstLine="420" w:firstLineChars="200"/>
        <w:rPr>
          <w:rFonts w:hint="eastAsia"/>
        </w:rPr>
      </w:pPr>
      <w:r>
        <w:rPr>
          <w:rFonts w:hint="eastAsia"/>
        </w:rPr>
        <w:t>（3）备份迁移完毕且项目安装调试完成，经招标人验收合格并收到中标人提供的等值增值税专用发票后10天内，招标人向中标人支付合同款总价的25%；</w:t>
      </w:r>
    </w:p>
    <w:p>
      <w:pPr>
        <w:pStyle w:val="298"/>
        <w:spacing w:line="360" w:lineRule="auto"/>
        <w:ind w:firstLine="420" w:firstLineChars="200"/>
        <w:rPr>
          <w:rFonts w:hint="eastAsia"/>
        </w:rPr>
      </w:pPr>
      <w:r>
        <w:rPr>
          <w:rFonts w:hint="eastAsia"/>
        </w:rPr>
        <w:t>（4）如无质量问题且乙方无违约情形，则终验满一年，招标人向中标人返回履约保证金（无息支付）。</w:t>
      </w:r>
    </w:p>
    <w:p/>
    <w:p>
      <w:pPr>
        <w:spacing w:line="360" w:lineRule="auto"/>
        <w:ind w:firstLine="422" w:firstLineChars="200"/>
        <w:jc w:val="left"/>
        <w:rPr>
          <w:rFonts w:hint="eastAsia" w:ascii="宋体" w:hAnsi="宋体" w:cs="宋体"/>
          <w:b/>
          <w:bCs/>
          <w:szCs w:val="21"/>
        </w:rPr>
      </w:pPr>
      <w:r>
        <w:rPr>
          <w:rFonts w:hint="eastAsia" w:ascii="宋体" w:hAnsi="宋体" w:cs="宋体"/>
          <w:b/>
          <w:bCs/>
          <w:szCs w:val="21"/>
        </w:rPr>
        <w:br w:type="page"/>
      </w:r>
    </w:p>
    <w:p>
      <w:pPr>
        <w:spacing w:line="360" w:lineRule="auto"/>
        <w:ind w:firstLine="482" w:firstLineChars="200"/>
        <w:jc w:val="left"/>
        <w:rPr>
          <w:rFonts w:hint="eastAsia" w:ascii="宋体" w:hAnsi="宋体" w:cs="宋体"/>
          <w:b/>
          <w:kern w:val="0"/>
          <w:sz w:val="48"/>
          <w:szCs w:val="48"/>
          <w:shd w:val="clear" w:color="auto" w:fill="F8FCFF"/>
        </w:rPr>
      </w:pPr>
      <w:r>
        <w:rPr>
          <w:rFonts w:hint="eastAsia" w:ascii="宋体" w:hAnsi="宋体" w:cs="宋体"/>
          <w:b/>
          <w:bCs/>
          <w:sz w:val="24"/>
          <w:szCs w:val="24"/>
        </w:rPr>
        <w:t>（合同条款仅供参考，合同具体细则最终以招标人与中标人协定为准， 但不得对招标文件、投标文件作实质性修改）</w:t>
      </w:r>
    </w:p>
    <w:p>
      <w:pPr>
        <w:pStyle w:val="51"/>
        <w:ind w:firstLine="482"/>
        <w:rPr>
          <w:rFonts w:hint="eastAsia" w:ascii="宋体" w:hAnsi="宋体" w:cs="宋体"/>
          <w:b/>
          <w:kern w:val="0"/>
          <w:sz w:val="48"/>
          <w:szCs w:val="48"/>
          <w:shd w:val="clear" w:color="auto" w:fill="F8FCFF"/>
        </w:rPr>
      </w:pPr>
    </w:p>
    <w:p>
      <w:pPr>
        <w:pStyle w:val="51"/>
        <w:ind w:firstLine="482"/>
        <w:rPr>
          <w:rFonts w:hint="eastAsia" w:ascii="宋体" w:hAnsi="宋体" w:cs="宋体"/>
          <w:b/>
          <w:kern w:val="0"/>
          <w:sz w:val="48"/>
          <w:szCs w:val="48"/>
          <w:shd w:val="clear" w:color="auto" w:fill="F8FCFF"/>
        </w:rPr>
      </w:pPr>
    </w:p>
    <w:p>
      <w:pPr>
        <w:pStyle w:val="51"/>
        <w:ind w:firstLine="482"/>
        <w:rPr>
          <w:rFonts w:hint="eastAsia" w:ascii="宋体" w:hAnsi="宋体" w:cs="宋体"/>
          <w:b/>
          <w:kern w:val="0"/>
          <w:sz w:val="48"/>
          <w:szCs w:val="48"/>
          <w:shd w:val="clear" w:color="auto" w:fill="F8FCFF"/>
        </w:rPr>
      </w:pPr>
    </w:p>
    <w:p>
      <w:pPr>
        <w:pStyle w:val="51"/>
        <w:ind w:firstLine="482"/>
        <w:rPr>
          <w:rFonts w:hint="eastAsia" w:ascii="宋体" w:hAnsi="宋体" w:cs="宋体"/>
          <w:b/>
          <w:kern w:val="0"/>
          <w:sz w:val="48"/>
          <w:szCs w:val="48"/>
          <w:shd w:val="clear" w:color="auto" w:fill="F8FCFF"/>
        </w:rPr>
      </w:pPr>
    </w:p>
    <w:p>
      <w:pPr>
        <w:pStyle w:val="51"/>
        <w:ind w:firstLine="482"/>
        <w:rPr>
          <w:rFonts w:hint="eastAsia" w:ascii="宋体" w:hAnsi="宋体" w:cs="宋体"/>
          <w:b/>
          <w:kern w:val="0"/>
          <w:sz w:val="48"/>
          <w:szCs w:val="48"/>
          <w:shd w:val="clear" w:color="auto" w:fill="F8FCFF"/>
        </w:rPr>
      </w:pPr>
    </w:p>
    <w:p>
      <w:pPr>
        <w:pStyle w:val="51"/>
        <w:ind w:firstLine="482"/>
        <w:rPr>
          <w:rFonts w:hint="eastAsia" w:ascii="宋体" w:hAnsi="宋体" w:cs="宋体"/>
          <w:b/>
          <w:kern w:val="0"/>
          <w:sz w:val="48"/>
          <w:szCs w:val="48"/>
          <w:shd w:val="clear" w:color="auto" w:fill="F8FCFF"/>
        </w:rPr>
      </w:pPr>
    </w:p>
    <w:p>
      <w:pPr>
        <w:pStyle w:val="51"/>
        <w:ind w:firstLine="0" w:firstLineChars="0"/>
        <w:rPr>
          <w:rFonts w:hint="eastAsia" w:ascii="宋体" w:hAnsi="宋体" w:cs="宋体"/>
          <w:b/>
          <w:kern w:val="0"/>
          <w:sz w:val="48"/>
          <w:szCs w:val="48"/>
          <w:shd w:val="clear" w:color="auto" w:fill="F8FCFF"/>
        </w:rPr>
      </w:pPr>
    </w:p>
    <w:p>
      <w:pPr>
        <w:pStyle w:val="215"/>
        <w:jc w:val="center"/>
        <w:rPr>
          <w:rFonts w:hint="eastAsia" w:ascii="宋体" w:hAnsi="宋体" w:cs="宋体"/>
          <w:b/>
          <w:bCs/>
          <w:color w:val="auto"/>
          <w:sz w:val="36"/>
          <w:szCs w:val="36"/>
        </w:rPr>
      </w:pPr>
    </w:p>
    <w:p>
      <w:pPr>
        <w:pStyle w:val="215"/>
        <w:jc w:val="center"/>
        <w:outlineLvl w:val="0"/>
        <w:rPr>
          <w:rFonts w:hint="eastAsia" w:ascii="宋体" w:hAnsi="宋体" w:cs="宋体"/>
          <w:b/>
          <w:bCs/>
          <w:color w:val="auto"/>
          <w:sz w:val="36"/>
          <w:szCs w:val="36"/>
        </w:rPr>
      </w:pPr>
      <w:bookmarkStart w:id="81" w:name="_Toc30591"/>
      <w:r>
        <w:rPr>
          <w:rFonts w:hint="eastAsia" w:ascii="宋体" w:hAnsi="宋体" w:cs="宋体"/>
          <w:b/>
          <w:bCs/>
          <w:color w:val="auto"/>
          <w:sz w:val="36"/>
          <w:szCs w:val="36"/>
        </w:rPr>
        <w:t>第四章  合同格式（参考）</w:t>
      </w:r>
      <w:bookmarkEnd w:id="81"/>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15"/>
        <w:rPr>
          <w:rFonts w:hint="eastAsia" w:ascii="宋体" w:hAnsi="宋体" w:cs="宋体"/>
          <w:color w:val="auto"/>
        </w:rPr>
      </w:pPr>
    </w:p>
    <w:p>
      <w:pPr>
        <w:pStyle w:val="237"/>
        <w:jc w:val="center"/>
        <w:rPr>
          <w:rFonts w:hint="eastAsia" w:ascii="宋体" w:hAnsi="宋体" w:cs="宋体"/>
        </w:rPr>
      </w:pPr>
      <w:r>
        <w:rPr>
          <w:rFonts w:hint="eastAsia" w:ascii="宋体" w:hAnsi="宋体" w:cs="宋体"/>
        </w:rPr>
        <w:br w:type="page"/>
      </w:r>
    </w:p>
    <w:p>
      <w:pPr>
        <w:pStyle w:val="237"/>
        <w:jc w:val="center"/>
        <w:rPr>
          <w:rFonts w:hint="eastAsia" w:ascii="宋体" w:hAnsi="宋体" w:cs="宋体"/>
        </w:rPr>
      </w:pPr>
    </w:p>
    <w:p>
      <w:pPr>
        <w:pStyle w:val="237"/>
        <w:jc w:val="center"/>
        <w:rPr>
          <w:rFonts w:hint="eastAsia" w:ascii="方正小标宋简体" w:hAnsi="方正小标宋简体" w:eastAsia="方正小标宋简体" w:cs="方正小标宋简体"/>
          <w:sz w:val="44"/>
          <w:szCs w:val="44"/>
        </w:rPr>
      </w:pPr>
      <w:r>
        <w:rPr>
          <w:rFonts w:hint="eastAsia" w:ascii="仿宋" w:hAnsi="仿宋" w:eastAsia="仿宋" w:cs="仿宋"/>
          <w:b/>
          <w:bCs/>
          <w:sz w:val="44"/>
          <w:szCs w:val="44"/>
        </w:rPr>
        <w:t>南方报业传媒集团私有云资源扩容项目合同</w:t>
      </w: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r>
        <w:rPr>
          <w:rFonts w:hint="eastAsia" w:ascii="仿宋" w:hAnsi="仿宋" w:eastAsia="仿宋" w:cs="仿宋"/>
          <w:b/>
          <w:bCs/>
          <w:sz w:val="28"/>
          <w:szCs w:val="28"/>
        </w:rPr>
        <w:t>甲    方：</w:t>
      </w:r>
      <w:r>
        <w:rPr>
          <w:rFonts w:hint="eastAsia" w:ascii="仿宋" w:hAnsi="仿宋" w:eastAsia="仿宋" w:cs="仿宋"/>
          <w:sz w:val="28"/>
          <w:szCs w:val="28"/>
          <w:u w:val="single"/>
        </w:rPr>
        <w:t>南方日报社</w:t>
      </w:r>
    </w:p>
    <w:p>
      <w:pPr>
        <w:pStyle w:val="237"/>
        <w:rPr>
          <w:rFonts w:hint="eastAsia" w:ascii="仿宋" w:hAnsi="仿宋" w:eastAsia="仿宋" w:cs="仿宋"/>
          <w:b/>
          <w:bCs/>
          <w:sz w:val="28"/>
          <w:szCs w:val="28"/>
          <w:u w:val="single"/>
        </w:rPr>
      </w:pPr>
      <w:r>
        <w:rPr>
          <w:rFonts w:hint="eastAsia" w:ascii="仿宋" w:hAnsi="仿宋" w:eastAsia="仿宋" w:cs="仿宋"/>
          <w:b/>
          <w:bCs/>
          <w:sz w:val="28"/>
          <w:szCs w:val="28"/>
        </w:rPr>
        <w:t>乙    方：</w:t>
      </w:r>
      <w:r>
        <w:rPr>
          <w:rFonts w:hint="eastAsia" w:ascii="仿宋" w:hAnsi="仿宋" w:eastAsia="仿宋" w:cs="仿宋"/>
          <w:b/>
          <w:bCs/>
          <w:sz w:val="28"/>
          <w:szCs w:val="28"/>
          <w:u w:val="single"/>
        </w:rPr>
        <w:t xml:space="preserve">                            </w:t>
      </w:r>
    </w:p>
    <w:p>
      <w:pPr>
        <w:pStyle w:val="237"/>
        <w:rPr>
          <w:rFonts w:hint="eastAsia" w:ascii="仿宋" w:hAnsi="仿宋" w:eastAsia="仿宋" w:cs="仿宋"/>
          <w:sz w:val="28"/>
          <w:szCs w:val="28"/>
        </w:rPr>
      </w:pPr>
      <w:r>
        <w:rPr>
          <w:rFonts w:hint="eastAsia" w:ascii="仿宋" w:hAnsi="仿宋" w:eastAsia="仿宋" w:cs="仿宋"/>
          <w:b/>
          <w:bCs/>
          <w:sz w:val="28"/>
          <w:szCs w:val="28"/>
        </w:rPr>
        <w:t>项目名称：</w:t>
      </w:r>
      <w:r>
        <w:rPr>
          <w:rFonts w:hint="eastAsia" w:ascii="仿宋" w:hAnsi="仿宋" w:eastAsia="仿宋" w:cs="仿宋"/>
          <w:sz w:val="28"/>
          <w:szCs w:val="28"/>
          <w:u w:val="single"/>
        </w:rPr>
        <w:t>南方报业传媒集团私有云资源扩容项目</w:t>
      </w:r>
    </w:p>
    <w:p>
      <w:pPr>
        <w:widowControl/>
        <w:tabs>
          <w:tab w:val="left" w:pos="3686"/>
          <w:tab w:val="left" w:pos="3828"/>
          <w:tab w:val="left" w:pos="3969"/>
        </w:tabs>
        <w:spacing w:line="360" w:lineRule="auto"/>
        <w:rPr>
          <w:rFonts w:hint="eastAsia" w:ascii="仿宋" w:hAnsi="仿宋" w:eastAsia="仿宋" w:cs="仿宋"/>
          <w:sz w:val="28"/>
          <w:szCs w:val="28"/>
          <w:u w:val="single"/>
        </w:rPr>
      </w:pPr>
      <w:r>
        <w:rPr>
          <w:rFonts w:hint="eastAsia" w:ascii="仿宋" w:hAnsi="仿宋" w:eastAsia="仿宋" w:cs="仿宋"/>
          <w:b/>
          <w:bCs/>
          <w:sz w:val="28"/>
          <w:szCs w:val="28"/>
        </w:rPr>
        <w:t>签订日期：</w:t>
      </w:r>
      <w:r>
        <w:rPr>
          <w:rFonts w:hint="eastAsia" w:ascii="仿宋" w:hAnsi="仿宋" w:eastAsia="仿宋" w:cs="仿宋"/>
          <w:b/>
          <w:bCs/>
          <w:sz w:val="28"/>
          <w:szCs w:val="28"/>
          <w:u w:val="single"/>
        </w:rPr>
        <w:t xml:space="preserve"> </w:t>
      </w:r>
      <w:r>
        <w:rPr>
          <w:rFonts w:hint="eastAsia" w:ascii="仿宋" w:hAnsi="仿宋" w:eastAsia="仿宋" w:cs="仿宋"/>
          <w:sz w:val="28"/>
          <w:szCs w:val="28"/>
          <w:u w:val="single"/>
        </w:rPr>
        <w:t xml:space="preserve">     年   月   日</w:t>
      </w: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Pr>
        <w:pStyle w:val="298"/>
        <w:spacing w:line="600" w:lineRule="atLeast"/>
        <w:rPr>
          <w:rFonts w:hint="eastAsia" w:ascii="仿宋" w:hAnsi="仿宋" w:eastAsia="仿宋" w:cs="仿宋"/>
          <w:sz w:val="28"/>
          <w:szCs w:val="28"/>
        </w:rPr>
      </w:pPr>
    </w:p>
    <w:p/>
    <w:p>
      <w:pPr>
        <w:widowControl/>
        <w:tabs>
          <w:tab w:val="left" w:pos="3686"/>
          <w:tab w:val="left" w:pos="3828"/>
          <w:tab w:val="left" w:pos="3969"/>
        </w:tabs>
        <w:spacing w:line="360" w:lineRule="auto"/>
        <w:rPr>
          <w:rFonts w:hint="eastAsia" w:ascii="宋体" w:hAnsi="宋体" w:cs="宋体"/>
        </w:rPr>
      </w:pPr>
    </w:p>
    <w:p>
      <w:pPr>
        <w:pStyle w:val="52"/>
        <w:ind w:firstLine="480"/>
      </w:pPr>
    </w:p>
    <w:p>
      <w:pPr>
        <w:pStyle w:val="52"/>
        <w:rPr>
          <w:rFonts w:hint="eastAsia" w:ascii="宋体" w:hAnsi="宋体" w:cs="宋体"/>
          <w:sz w:val="21"/>
          <w:szCs w:val="21"/>
        </w:rPr>
      </w:pPr>
    </w:p>
    <w:p>
      <w:pPr>
        <w:pStyle w:val="2"/>
        <w:snapToGrid w:val="0"/>
        <w:spacing w:before="0" w:after="0"/>
        <w:jc w:val="center"/>
        <w:rPr>
          <w:rFonts w:hint="eastAsia" w:ascii="仿宋" w:hAnsi="仿宋" w:cs="仿宋"/>
          <w:bCs w:val="0"/>
          <w:sz w:val="36"/>
          <w:szCs w:val="36"/>
        </w:rPr>
      </w:pPr>
      <w:r>
        <w:rPr>
          <w:rFonts w:hint="eastAsia" w:ascii="仿宋" w:hAnsi="仿宋" w:cs="仿宋"/>
          <w:bCs w:val="0"/>
          <w:sz w:val="36"/>
          <w:szCs w:val="36"/>
        </w:rPr>
        <w:t>南方报业传媒集团私有云资源扩容项目合同</w:t>
      </w:r>
    </w:p>
    <w:p>
      <w:pPr>
        <w:pStyle w:val="51"/>
        <w:ind w:firstLine="360"/>
        <w:rPr>
          <w:sz w:val="36"/>
          <w:szCs w:val="36"/>
        </w:rPr>
      </w:pPr>
    </w:p>
    <w:p>
      <w:pPr>
        <w:snapToGrid w:val="0"/>
        <w:spacing w:line="360" w:lineRule="auto"/>
        <w:rPr>
          <w:rFonts w:hint="eastAsia" w:ascii="宋体" w:hAnsi="宋体" w:cs="宋体"/>
          <w:szCs w:val="21"/>
        </w:rPr>
      </w:pPr>
      <w:r>
        <w:rPr>
          <w:rFonts w:hint="eastAsia" w:ascii="宋体" w:hAnsi="宋体" w:cs="宋体"/>
          <w:szCs w:val="21"/>
        </w:rPr>
        <w:t>甲方：</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法定代表人（负责人）：</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联系方式：</w:t>
      </w:r>
      <w:r>
        <w:rPr>
          <w:rFonts w:hint="eastAsia" w:ascii="宋体" w:hAnsi="宋体" w:cs="宋体"/>
          <w:szCs w:val="21"/>
          <w:u w:val="single"/>
        </w:rPr>
        <w:t xml:space="preserve">                     </w:t>
      </w:r>
    </w:p>
    <w:p>
      <w:pPr>
        <w:snapToGrid w:val="0"/>
        <w:spacing w:line="360" w:lineRule="auto"/>
        <w:rPr>
          <w:rFonts w:hint="eastAsia" w:ascii="宋体" w:hAnsi="宋体" w:cs="宋体"/>
          <w:szCs w:val="21"/>
        </w:rPr>
      </w:pPr>
    </w:p>
    <w:p>
      <w:pPr>
        <w:snapToGrid w:val="0"/>
        <w:spacing w:line="360" w:lineRule="auto"/>
        <w:rPr>
          <w:rFonts w:hint="eastAsia" w:ascii="宋体" w:hAnsi="宋体" w:cs="宋体"/>
          <w:szCs w:val="21"/>
        </w:rPr>
      </w:pPr>
      <w:r>
        <w:rPr>
          <w:rFonts w:hint="eastAsia" w:ascii="宋体" w:hAnsi="宋体" w:cs="宋体"/>
          <w:szCs w:val="21"/>
        </w:rPr>
        <w:t>乙方：</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法定代表人（负责人）：</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pPr>
        <w:snapToGrid w:val="0"/>
        <w:spacing w:line="360" w:lineRule="auto"/>
        <w:rPr>
          <w:rFonts w:hint="eastAsia" w:ascii="宋体" w:hAnsi="宋体" w:cs="宋体"/>
          <w:szCs w:val="21"/>
          <w:u w:val="single"/>
        </w:rPr>
      </w:pPr>
      <w:r>
        <w:rPr>
          <w:rFonts w:hint="eastAsia" w:ascii="宋体" w:hAnsi="宋体" w:cs="宋体"/>
          <w:szCs w:val="21"/>
        </w:rPr>
        <w:t>联系方式：</w:t>
      </w:r>
      <w:r>
        <w:rPr>
          <w:rFonts w:hint="eastAsia" w:ascii="宋体" w:hAnsi="宋体" w:cs="宋体"/>
          <w:szCs w:val="21"/>
          <w:u w:val="single"/>
        </w:rPr>
        <w:t xml:space="preserve">                     </w:t>
      </w:r>
    </w:p>
    <w:p>
      <w:pPr>
        <w:pStyle w:val="20"/>
        <w:spacing w:line="360" w:lineRule="auto"/>
        <w:rPr>
          <w:rFonts w:hint="eastAsia" w:ascii="宋体" w:hAnsi="宋体" w:cs="宋体"/>
          <w:szCs w:val="21"/>
        </w:rPr>
      </w:pPr>
    </w:p>
    <w:p>
      <w:pPr>
        <w:numPr>
          <w:ilvl w:val="0"/>
          <w:numId w:val="10"/>
        </w:num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乙双方经过平等友好协商，依照《中华人民共和国民法典》等相关法律法规，现就</w:t>
      </w:r>
      <w:r>
        <w:rPr>
          <w:rFonts w:hint="eastAsia" w:ascii="宋体" w:hAnsi="宋体" w:cs="宋体"/>
          <w:szCs w:val="21"/>
          <w:u w:val="single"/>
        </w:rPr>
        <w:t xml:space="preserve">                                </w:t>
      </w:r>
      <w:r>
        <w:rPr>
          <w:rFonts w:hint="eastAsia" w:ascii="宋体" w:hAnsi="宋体" w:cs="宋体"/>
          <w:szCs w:val="21"/>
        </w:rPr>
        <w:t>事宜达成如下合同，以资共同遵守。</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第一条  采购货物明细及价格</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详见附件二：货物内容及项目服务清单。</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合同总价包括软件产品的正式许可、版本升级、安全补丁、技术资料、技术培训等，硬件产品的价款、部件、备件、专用工具、安装、调试、检验、包装、运输、税费、备件等，以及项目服务的服务器搬迁服务、业务运行保障服务、系统集成实施服务和技术支持服务等产生的全部费用。合同确定的价格在合同期内不得调整，任何一方无权改变本合同约定价格。本合同如果涉及的货物进口报关等手续，均由乙方负责办理，产生的相关费用由乙方承担。</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第二条  质量要求</w:t>
      </w:r>
    </w:p>
    <w:p>
      <w:pPr>
        <w:snapToGrid w:val="0"/>
        <w:spacing w:line="360" w:lineRule="auto"/>
        <w:ind w:firstLine="420" w:firstLineChars="200"/>
        <w:rPr>
          <w:rFonts w:hint="eastAsia" w:ascii="宋体" w:hAnsi="宋体" w:cs="宋体"/>
          <w:szCs w:val="21"/>
        </w:rPr>
      </w:pPr>
      <w:r>
        <w:rPr>
          <w:rFonts w:hint="eastAsia" w:ascii="宋体" w:hAnsi="宋体" w:cs="宋体"/>
          <w:szCs w:val="21"/>
        </w:rPr>
        <w:t>（一）乙方提供的须为合法进货渠道的全新货物，，硬件产品应具备相应合格证、发货单、保修手册等相关资料。软件产品应具备正式许可、用户手册和技术支持等相关资料和服务，且不侵犯任何第三方的知识产权。乙方提供的项目服务须保障项目按工期顺利完成，保障项目工期内甲方各业务系统安全、连续、稳定的运行，控制项目风险。。</w:t>
      </w:r>
    </w:p>
    <w:p>
      <w:pPr>
        <w:snapToGrid w:val="0"/>
        <w:spacing w:line="360" w:lineRule="auto"/>
        <w:ind w:firstLine="420" w:firstLineChars="200"/>
        <w:rPr>
          <w:rFonts w:hint="eastAsia" w:ascii="宋体" w:hAnsi="宋体" w:cs="宋体"/>
          <w:szCs w:val="21"/>
        </w:rPr>
      </w:pPr>
      <w:r>
        <w:rPr>
          <w:rFonts w:hint="eastAsia" w:ascii="宋体" w:hAnsi="宋体" w:cs="宋体"/>
          <w:szCs w:val="21"/>
        </w:rPr>
        <w:t>（二）所有采购的产品及服务质保期除在附件二：《产品内容及项目服务清单》中注明外，无注明及未明确注明的按最终验收合格之日起至少</w:t>
      </w:r>
      <w:r>
        <w:rPr>
          <w:rFonts w:hint="eastAsia" w:ascii="宋体" w:hAnsi="宋体" w:cs="宋体"/>
          <w:szCs w:val="21"/>
          <w:u w:val="single"/>
        </w:rPr>
        <w:t>一年</w:t>
      </w:r>
      <w:r>
        <w:rPr>
          <w:rFonts w:hint="eastAsia" w:ascii="宋体" w:hAnsi="宋体" w:cs="宋体"/>
          <w:szCs w:val="21"/>
        </w:rPr>
        <w:t>计算。如强制性国家标准或生产厂家等对于货物的质保期长于该期限的，以较长期限为准。质保期内乙方负责免费维修、更换有缺陷的货物、部件及提供相应的质保期服务，软件版本免费升级、补丁修复，以及项目服务质量保证、技术支持等相应的质保期服务。</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第三条  包装运输和交货地点</w:t>
      </w:r>
    </w:p>
    <w:p>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（一）包装和运输</w:t>
      </w:r>
    </w:p>
    <w:p>
      <w:pPr>
        <w:adjustRightInd w:val="0"/>
        <w:snapToGrid w:val="0"/>
        <w:spacing w:line="360" w:lineRule="auto"/>
        <w:ind w:left="420" w:firstLine="420"/>
        <w:jc w:val="left"/>
        <w:rPr>
          <w:rFonts w:hint="eastAsia" w:ascii="宋体" w:hAnsi="宋体" w:cs="宋体"/>
          <w:szCs w:val="21"/>
        </w:rPr>
      </w:pPr>
      <w:r>
        <w:rPr>
          <w:rFonts w:hint="eastAsia" w:ascii="宋体" w:hAnsi="宋体" w:cs="宋体"/>
          <w:szCs w:val="21"/>
        </w:rPr>
        <w:t>（1）货物的包装和发运应符合货物特性要求。</w:t>
      </w:r>
    </w:p>
    <w:p>
      <w:pPr>
        <w:adjustRightInd w:val="0"/>
        <w:snapToGrid w:val="0"/>
        <w:spacing w:line="360" w:lineRule="auto"/>
        <w:ind w:left="420" w:firstLine="420"/>
        <w:jc w:val="left"/>
        <w:rPr>
          <w:rFonts w:hint="eastAsia" w:ascii="宋体" w:hAnsi="宋体" w:cs="宋体"/>
          <w:szCs w:val="21"/>
        </w:rPr>
      </w:pPr>
      <w:r>
        <w:rPr>
          <w:rFonts w:hint="eastAsia" w:ascii="宋体" w:hAnsi="宋体" w:cs="宋体"/>
          <w:szCs w:val="21"/>
        </w:rPr>
        <w:t>（2）为了保证货物在长途运输和装卸过程中的安全，货物包装应符合国家或行业标准规定。由于包装不善导致货物锈蚀、失缺或损坏，由乙方承担一切责任。</w:t>
      </w:r>
    </w:p>
    <w:p>
      <w:pPr>
        <w:adjustRightInd w:val="0"/>
        <w:snapToGrid w:val="0"/>
        <w:spacing w:line="360" w:lineRule="auto"/>
        <w:ind w:left="420" w:firstLine="420"/>
        <w:jc w:val="left"/>
        <w:rPr>
          <w:rFonts w:hint="eastAsia" w:ascii="宋体" w:hAnsi="宋体" w:cs="宋体"/>
          <w:szCs w:val="21"/>
        </w:rPr>
      </w:pPr>
      <w:r>
        <w:rPr>
          <w:rFonts w:hint="eastAsia" w:ascii="宋体" w:hAnsi="宋体" w:cs="宋体"/>
          <w:szCs w:val="21"/>
        </w:rPr>
        <w:t>（3）乙方应按工程进度安排计划，派出适当的人员到安装现场负责安装和调试工作。在安装调试期间，严格遵守甲方的有关制度。</w:t>
      </w:r>
    </w:p>
    <w:p>
      <w:pPr>
        <w:adjustRightInd w:val="0"/>
        <w:snapToGrid w:val="0"/>
        <w:spacing w:line="360" w:lineRule="auto"/>
        <w:ind w:left="420" w:firstLine="420"/>
        <w:jc w:val="left"/>
        <w:rPr>
          <w:rFonts w:hint="eastAsia" w:ascii="宋体" w:hAnsi="宋体" w:cs="宋体"/>
          <w:szCs w:val="21"/>
        </w:rPr>
      </w:pPr>
      <w:r>
        <w:rPr>
          <w:rFonts w:hint="eastAsia" w:ascii="宋体" w:hAnsi="宋体" w:cs="宋体"/>
          <w:szCs w:val="21"/>
        </w:rPr>
        <w:t>（4）在乙方安装、调试后进行检查验收，如果发现数量不足，质量、技术或材料说明跟清单不符等问题，乙方应负责按照甲方的要求采取补足更换等处理措施，并承担由此发生的一切损失和费用。</w:t>
      </w:r>
    </w:p>
    <w:p>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（二）产品要求</w:t>
      </w:r>
    </w:p>
    <w:p>
      <w:pPr>
        <w:adjustRightInd w:val="0"/>
        <w:snapToGrid w:val="0"/>
        <w:spacing w:line="360" w:lineRule="auto"/>
        <w:ind w:left="420" w:firstLine="420"/>
        <w:jc w:val="left"/>
        <w:rPr>
          <w:rFonts w:hint="eastAsia" w:ascii="宋体" w:hAnsi="宋体" w:cs="宋体"/>
          <w:szCs w:val="21"/>
        </w:rPr>
      </w:pPr>
      <w:r>
        <w:rPr>
          <w:rFonts w:hint="eastAsia" w:ascii="宋体" w:hAnsi="宋体" w:cs="宋体"/>
          <w:szCs w:val="21"/>
        </w:rPr>
        <w:t>（1）货物为原制造商制造的全新产品，无污染，无侵权行为、表面无划损、无任何缺陷隐患，在中国境内可依常规安全合法使用。</w:t>
      </w:r>
    </w:p>
    <w:p>
      <w:pPr>
        <w:adjustRightInd w:val="0"/>
        <w:snapToGrid w:val="0"/>
        <w:spacing w:line="360" w:lineRule="auto"/>
        <w:ind w:left="420" w:firstLine="420"/>
        <w:jc w:val="left"/>
        <w:rPr>
          <w:rFonts w:hint="eastAsia" w:ascii="宋体" w:hAnsi="宋体" w:cs="宋体"/>
          <w:szCs w:val="21"/>
        </w:rPr>
      </w:pPr>
      <w:r>
        <w:rPr>
          <w:rFonts w:hint="eastAsia" w:ascii="宋体" w:hAnsi="宋体" w:cs="宋体"/>
          <w:szCs w:val="21"/>
        </w:rPr>
        <w:t>（2）货物为原厂商未启封全新包装，序列号、包装箱号与出厂批号一致，标注甲方名称，并可追索查阅。</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（三）交货地点</w:t>
      </w:r>
    </w:p>
    <w:p>
      <w:pPr>
        <w:adjustRightInd w:val="0"/>
        <w:snapToGrid w:val="0"/>
        <w:spacing w:line="360" w:lineRule="auto"/>
        <w:ind w:left="420" w:firstLine="420" w:firstLineChars="200"/>
        <w:rPr>
          <w:rFonts w:hint="eastAsia" w:ascii="宋体" w:hAnsi="宋体" w:cs="宋体"/>
          <w:szCs w:val="21"/>
        </w:rPr>
      </w:pPr>
      <w:r>
        <w:rPr>
          <w:rFonts w:hint="eastAsia" w:ascii="宋体" w:hAnsi="宋体" w:cs="宋体"/>
          <w:szCs w:val="21"/>
        </w:rPr>
        <w:t>本合同履行期间由乙方负责将货物运送到甲方指定地点，并承担运输过程中的费用及风险。甲方指定地点：</w:t>
      </w:r>
      <w:r>
        <w:rPr>
          <w:rFonts w:hint="eastAsia" w:ascii="宋体" w:hAnsi="宋体" w:cs="宋体"/>
          <w:szCs w:val="21"/>
          <w:u w:val="single"/>
        </w:rPr>
        <w:t xml:space="preserve">                       </w:t>
      </w:r>
      <w:r>
        <w:rPr>
          <w:rFonts w:hint="eastAsia" w:ascii="宋体" w:hAnsi="宋体" w:cs="宋体"/>
          <w:szCs w:val="21"/>
        </w:rPr>
        <w:t>。</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第四条  货物检验、验收及说明</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（一）检验标准</w:t>
      </w:r>
    </w:p>
    <w:p>
      <w:pPr>
        <w:adjustRightInd w:val="0"/>
        <w:snapToGrid w:val="0"/>
        <w:spacing w:line="360" w:lineRule="auto"/>
        <w:ind w:left="420" w:firstLine="420"/>
        <w:rPr>
          <w:rFonts w:hint="eastAsia" w:ascii="宋体" w:hAnsi="宋体" w:cs="宋体"/>
          <w:szCs w:val="21"/>
        </w:rPr>
      </w:pPr>
      <w:r>
        <w:rPr>
          <w:rFonts w:hint="eastAsia" w:ascii="宋体" w:hAnsi="宋体" w:cs="宋体"/>
          <w:szCs w:val="21"/>
        </w:rPr>
        <w:t>（1）硬件及质量应符合国家标准、行业标准和厂家出厂标准，应符合或优于合同约定，同时必须满足甲方要求。产品名称内容必须与应答文件中产品名称内容一致。乙方产品送到甲方安装指定位置后，须同时提供设备原厂商的售后维保证明，否则不予收货。乙方应将产品有关的产品序列号、用户手册、保修手册、有关资料及配件、专用工具等附随物品一并交付给甲方。</w:t>
      </w:r>
    </w:p>
    <w:p>
      <w:pPr>
        <w:adjustRightInd w:val="0"/>
        <w:snapToGrid w:val="0"/>
        <w:spacing w:line="360" w:lineRule="auto"/>
        <w:ind w:left="420" w:firstLine="420"/>
        <w:rPr>
          <w:rFonts w:hint="eastAsia" w:ascii="宋体" w:hAnsi="宋体" w:cs="宋体"/>
          <w:szCs w:val="21"/>
        </w:rPr>
      </w:pPr>
      <w:r>
        <w:rPr>
          <w:rFonts w:hint="eastAsia" w:ascii="宋体" w:hAnsi="宋体" w:cs="宋体"/>
          <w:szCs w:val="21"/>
        </w:rPr>
        <w:t>（2）软件应明确产品名称、版本号、技术规格、功能描述等信息，以及提供安装、配置、培训等技术支持服务。乙方保证产品不侵犯任何第三方的知识产权。产品质量应符合国家标准、行业标准和厂家出厂标准，应符合或优于甲方提出的技术规格和功能需求。</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（二）验收方式</w:t>
      </w:r>
    </w:p>
    <w:p>
      <w:pPr>
        <w:adjustRightInd w:val="0"/>
        <w:snapToGrid w:val="0"/>
        <w:spacing w:line="360" w:lineRule="auto"/>
        <w:ind w:left="420" w:firstLine="420"/>
        <w:rPr>
          <w:rFonts w:hint="eastAsia" w:ascii="宋体" w:hAnsi="宋体" w:cs="宋体"/>
          <w:szCs w:val="21"/>
        </w:rPr>
      </w:pPr>
      <w:r>
        <w:rPr>
          <w:rFonts w:hint="eastAsia" w:ascii="宋体" w:hAnsi="宋体" w:cs="宋体"/>
          <w:szCs w:val="21"/>
        </w:rPr>
        <w:t>（1）硬件运送到甲方指定的地点交货，乙方在</w:t>
      </w:r>
      <w:r>
        <w:rPr>
          <w:rFonts w:hint="eastAsia" w:ascii="宋体" w:hAnsi="宋体" w:cs="宋体"/>
          <w:szCs w:val="21"/>
          <w:u w:val="single"/>
        </w:rPr>
        <w:t xml:space="preserve">    </w:t>
      </w:r>
      <w:r>
        <w:rPr>
          <w:rFonts w:hint="eastAsia" w:ascii="宋体" w:hAnsi="宋体" w:cs="宋体"/>
          <w:szCs w:val="21"/>
        </w:rPr>
        <w:t>个工作日内完成安装调试，安装正常后，由甲方指派的工作人员进行检验，检验合格的结果仅视为产品在外观、数量、型号、规格上符合合同约定，并不免除乙方对于产品质量问题负有的相应责任。</w:t>
      </w:r>
    </w:p>
    <w:p>
      <w:pPr>
        <w:adjustRightInd w:val="0"/>
        <w:snapToGrid w:val="0"/>
        <w:spacing w:line="360" w:lineRule="auto"/>
        <w:ind w:left="420" w:firstLine="420" w:firstLineChars="200"/>
        <w:rPr>
          <w:rFonts w:hint="eastAsia" w:ascii="宋体" w:hAnsi="宋体" w:cs="宋体"/>
          <w:szCs w:val="21"/>
        </w:rPr>
      </w:pPr>
      <w:r>
        <w:rPr>
          <w:rFonts w:hint="eastAsia" w:ascii="宋体" w:hAnsi="宋体" w:cs="宋体"/>
          <w:szCs w:val="21"/>
        </w:rPr>
        <w:t>（2）软件在硬件通过检验合格日起到货后</w:t>
      </w:r>
      <w:r>
        <w:rPr>
          <w:rFonts w:hint="eastAsia" w:ascii="宋体" w:hAnsi="宋体" w:cs="宋体"/>
          <w:szCs w:val="21"/>
          <w:u w:val="single"/>
        </w:rPr>
        <w:t xml:space="preserve">    </w:t>
      </w:r>
      <w:r>
        <w:rPr>
          <w:rFonts w:hint="eastAsia" w:ascii="宋体" w:hAnsi="宋体" w:cs="宋体"/>
          <w:szCs w:val="21"/>
        </w:rPr>
        <w:t>个工作日内，完成安装、调试，经试运行合格后，通知甲方工作人员进行验收，并协助甲方完成功能测试、性能测试、安全测试等验收测试，出具验收报告，完成验收。发现产品问题，乙方应在规定时间内修正并重新测试。</w:t>
      </w:r>
    </w:p>
    <w:p>
      <w:pPr>
        <w:adjustRightInd w:val="0"/>
        <w:snapToGrid w:val="0"/>
        <w:spacing w:line="360" w:lineRule="auto"/>
        <w:ind w:left="420" w:firstLine="420" w:firstLineChars="200"/>
        <w:rPr>
          <w:rFonts w:hint="eastAsia" w:ascii="宋体" w:hAnsi="宋体" w:cs="宋体"/>
          <w:szCs w:val="21"/>
        </w:rPr>
      </w:pPr>
      <w:r>
        <w:rPr>
          <w:rFonts w:hint="eastAsia" w:ascii="宋体" w:hAnsi="宋体" w:cs="宋体"/>
          <w:szCs w:val="21"/>
        </w:rPr>
        <w:t>（3）本项目涉及到的服务器搬迁和运行保障、系统集成实施等项目服务。各阶段项目服务需保障各业务系统正常，连续不间断运行。各阶段完工后，乙方向甲方提出验收申请，同时需提交项目验收文档给甲方。</w:t>
      </w:r>
    </w:p>
    <w:p>
      <w:pPr>
        <w:adjustRightInd w:val="0"/>
        <w:snapToGrid w:val="0"/>
        <w:spacing w:line="360" w:lineRule="auto"/>
        <w:ind w:left="420" w:firstLine="420" w:firstLineChars="200"/>
        <w:rPr>
          <w:rFonts w:hint="eastAsia" w:ascii="宋体" w:hAnsi="宋体" w:cs="宋体"/>
          <w:szCs w:val="21"/>
        </w:rPr>
      </w:pPr>
      <w:r>
        <w:rPr>
          <w:rFonts w:hint="eastAsia" w:ascii="宋体" w:hAnsi="宋体" w:cs="宋体"/>
          <w:szCs w:val="21"/>
        </w:rPr>
        <w:t>（4）项目完工后，乙方自查达到项目验收条件（各项功能达到项目设计目标要求），可向甲方提出验收申请，同时需提交项目验收文档（包括但不限于：项目实施方案、产品到货签收单、功能测试报告、运维与操作手册、竣工图纸、竣工检测报告、安全应急预案、必要的管理制度及验收报告等），甲方在</w:t>
      </w:r>
      <w:r>
        <w:rPr>
          <w:rFonts w:hint="eastAsia" w:ascii="宋体" w:hAnsi="宋体" w:cs="宋体"/>
          <w:szCs w:val="21"/>
          <w:u w:val="single"/>
        </w:rPr>
        <w:t xml:space="preserve">    </w:t>
      </w:r>
      <w:r>
        <w:rPr>
          <w:rFonts w:hint="eastAsia" w:ascii="宋体" w:hAnsi="宋体" w:cs="宋体"/>
          <w:szCs w:val="21"/>
        </w:rPr>
        <w:t>个工作日内进行验收。验收不合格的，应即向乙方提出书面异议。乙方应在接到异议后及时进行修改，直至验收合格。最终验收合格后，合同进入质保服务期。</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（四）货物说明</w:t>
      </w:r>
    </w:p>
    <w:p>
      <w:pPr>
        <w:adjustRightInd w:val="0"/>
        <w:snapToGrid w:val="0"/>
        <w:spacing w:line="360" w:lineRule="auto"/>
        <w:ind w:left="420" w:firstLine="420" w:firstLineChars="200"/>
        <w:rPr>
          <w:rFonts w:hint="eastAsia" w:ascii="宋体" w:hAnsi="宋体" w:cs="宋体"/>
          <w:szCs w:val="21"/>
        </w:rPr>
      </w:pPr>
      <w:r>
        <w:rPr>
          <w:rFonts w:hint="eastAsia" w:ascii="宋体" w:hAnsi="宋体" w:cs="宋体"/>
          <w:szCs w:val="21"/>
        </w:rPr>
        <w:t>​如属可能产生职业病危害（如化学品、放射性同位素、含有放射性物质）产品，乙方须提供该产品的中文说明书。说明书应当载明产品特性、主要成分、存在的有害因素、可能产生的危害后果、安全使用注意事项、职业病防护以及应急救治措施等内容。</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第五条  售后服务要求</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乙方应确保项目有专职的技术人员，提供日常维护和应急响应等技术支持。若甲方遇故障后求援，乙方需要保证1～2小时内有专人回复。若电话不能解决故障，即使有特殊情况，乙方需要保证在2～3个工作日内到派专职人员现场处理。每次维护最多不超过3个工作日完成。乙方能快捷地提供各相应备件以供维护和应急使用。</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第六条  结算方式</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合同总价为：人民币</w:t>
      </w:r>
      <w:r>
        <w:rPr>
          <w:rFonts w:hint="eastAsia" w:ascii="宋体" w:hAnsi="宋体" w:cs="宋体"/>
          <w:szCs w:val="21"/>
          <w:u w:val="single"/>
        </w:rPr>
        <w:t xml:space="preserve">       </w:t>
      </w:r>
      <w:r>
        <w:rPr>
          <w:rFonts w:hint="eastAsia" w:ascii="宋体" w:hAnsi="宋体" w:cs="宋体"/>
          <w:szCs w:val="21"/>
        </w:rPr>
        <w:t>¥元（大写）；</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（一）合同完成签订，乙方提供等值增值税专用发票后的十个工作日内，甲方向乙方支付合同总价的百分之三十，即人民币</w:t>
      </w:r>
      <w:r>
        <w:rPr>
          <w:rFonts w:hint="eastAsia" w:ascii="宋体" w:hAnsi="宋体" w:cs="宋体"/>
          <w:szCs w:val="21"/>
          <w:u w:val="single"/>
        </w:rPr>
        <w:t xml:space="preserve">      </w:t>
      </w:r>
      <w:r>
        <w:rPr>
          <w:rFonts w:hint="eastAsia" w:ascii="宋体" w:hAnsi="宋体" w:cs="宋体"/>
          <w:szCs w:val="21"/>
        </w:rPr>
        <w:t>￥元（大写 ：）。同时乙方支付合同总价的5%给甲方作为履约保证金，即人民币</w:t>
      </w:r>
      <w:r>
        <w:rPr>
          <w:rFonts w:hint="eastAsia" w:ascii="宋体" w:hAnsi="宋体" w:cs="宋体"/>
          <w:szCs w:val="21"/>
          <w:u w:val="single"/>
        </w:rPr>
        <w:t xml:space="preserve">      </w:t>
      </w:r>
      <w:r>
        <w:rPr>
          <w:rFonts w:hint="eastAsia" w:ascii="宋体" w:hAnsi="宋体" w:cs="宋体"/>
          <w:szCs w:val="21"/>
        </w:rPr>
        <w:t>￥元（大写：）；</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（二）设备到货，经甲方验收合格并收到乙方提供等值增值税专用发票后的十个工作日内，甲方向乙方支付合同总价的百分之四十五，即人民币</w:t>
      </w:r>
      <w:r>
        <w:rPr>
          <w:rFonts w:hint="eastAsia" w:ascii="宋体" w:hAnsi="宋体" w:cs="宋体"/>
          <w:szCs w:val="21"/>
          <w:u w:val="single"/>
        </w:rPr>
        <w:t xml:space="preserve">      </w:t>
      </w:r>
      <w:r>
        <w:rPr>
          <w:rFonts w:hint="eastAsia" w:ascii="宋体" w:hAnsi="宋体" w:cs="宋体"/>
          <w:szCs w:val="21"/>
        </w:rPr>
        <w:t>￥元（大写 ：）；</w:t>
      </w:r>
    </w:p>
    <w:p>
      <w:pPr>
        <w:pStyle w:val="2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（三）备份迁移完毕且项目安装调试完成，经甲方验收合格并收到乙方提供等值增值税专用发票后10天内，甲方向乙方支付合同款的百分之二十五，即人民币</w:t>
      </w:r>
      <w:r>
        <w:rPr>
          <w:rFonts w:hint="eastAsia" w:ascii="宋体" w:hAnsi="宋体" w:cs="宋体"/>
          <w:szCs w:val="21"/>
          <w:u w:val="single"/>
        </w:rPr>
        <w:t xml:space="preserve">      </w:t>
      </w:r>
      <w:r>
        <w:rPr>
          <w:rFonts w:hint="eastAsia" w:ascii="宋体" w:hAnsi="宋体" w:cs="宋体"/>
          <w:szCs w:val="21"/>
        </w:rPr>
        <w:t>￥元（大写 ：）；</w:t>
      </w:r>
    </w:p>
    <w:p>
      <w:pPr>
        <w:pStyle w:val="2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（四）如无质量问题且乙方无违约情形，则终验满一年，甲方向乙方返回履约保证金（无息支付），即人民币</w:t>
      </w:r>
      <w:r>
        <w:rPr>
          <w:rFonts w:hint="eastAsia" w:ascii="宋体" w:hAnsi="宋体" w:cs="宋体"/>
          <w:szCs w:val="21"/>
          <w:u w:val="single"/>
        </w:rPr>
        <w:t xml:space="preserve">      </w:t>
      </w:r>
      <w:r>
        <w:rPr>
          <w:rFonts w:hint="eastAsia" w:ascii="宋体" w:hAnsi="宋体" w:cs="宋体"/>
          <w:szCs w:val="21"/>
        </w:rPr>
        <w:t>￥元（大写：）。</w:t>
      </w:r>
    </w:p>
    <w:p>
      <w:pPr>
        <w:pStyle w:val="2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五）甲方每次付款前，乙方须按甲方要求及时开具足额正规的增值税专用发票。乙方承诺其开具发票的形式与内容均合法、有效、完整、准确，不开具或开具不合格的，甲方有权迟延支付应付款项且不承担任何责任，且乙方的各项合同义务仍应按合同约定履行。</w:t>
      </w:r>
    </w:p>
    <w:p>
      <w:pPr>
        <w:pStyle w:val="2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（六）乙方交付的货物或提供的服务不符合合同约定，或设备在运行后出现质量问题的，甲方有权顺延相应期限支付应付款项且不视为甲方违约，直至乙方解决全部质量问题或提供符合合同约定的服务。</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七）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5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9"/>
        <w:gridCol w:w="2609"/>
        <w:gridCol w:w="1854"/>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1043" w:type="pct"/>
          </w:tcPr>
          <w:p>
            <w:pPr>
              <w:snapToGrid w:val="0"/>
              <w:spacing w:line="360" w:lineRule="auto"/>
              <w:rPr>
                <w:rFonts w:hint="eastAsia" w:ascii="宋体" w:hAnsi="宋体" w:cs="宋体"/>
                <w:szCs w:val="21"/>
              </w:rPr>
            </w:pPr>
            <w:r>
              <w:rPr>
                <w:rFonts w:hint="eastAsia" w:ascii="宋体" w:hAnsi="宋体" w:cs="宋体"/>
                <w:szCs w:val="21"/>
              </w:rPr>
              <w:t>甲方名称</w:t>
            </w:r>
          </w:p>
        </w:tc>
        <w:tc>
          <w:tcPr>
            <w:tcW w:w="1496" w:type="pct"/>
          </w:tcPr>
          <w:p>
            <w:pPr>
              <w:snapToGrid w:val="0"/>
              <w:spacing w:line="360" w:lineRule="auto"/>
              <w:rPr>
                <w:rFonts w:hint="eastAsia" w:ascii="宋体" w:hAnsi="宋体" w:cs="宋体"/>
                <w:szCs w:val="21"/>
              </w:rPr>
            </w:pPr>
            <w:r>
              <w:rPr>
                <w:rFonts w:hint="eastAsia" w:ascii="宋体" w:hAnsi="宋体" w:cs="宋体"/>
                <w:szCs w:val="21"/>
              </w:rPr>
              <w:t>南方日报社</w:t>
            </w:r>
          </w:p>
        </w:tc>
        <w:tc>
          <w:tcPr>
            <w:tcW w:w="1063" w:type="pct"/>
          </w:tcPr>
          <w:p>
            <w:pPr>
              <w:snapToGrid w:val="0"/>
              <w:spacing w:line="360" w:lineRule="auto"/>
              <w:rPr>
                <w:rFonts w:hint="eastAsia" w:ascii="宋体" w:hAnsi="宋体" w:cs="宋体"/>
                <w:szCs w:val="21"/>
              </w:rPr>
            </w:pPr>
            <w:r>
              <w:rPr>
                <w:rFonts w:hint="eastAsia" w:ascii="宋体" w:hAnsi="宋体" w:cs="宋体"/>
                <w:szCs w:val="21"/>
              </w:rPr>
              <w:t>乙方名称</w:t>
            </w:r>
          </w:p>
        </w:tc>
        <w:tc>
          <w:tcPr>
            <w:tcW w:w="1396" w:type="pct"/>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1496" w:type="pct"/>
          </w:tcPr>
          <w:p>
            <w:pPr>
              <w:snapToGrid w:val="0"/>
              <w:spacing w:line="360" w:lineRule="auto"/>
              <w:rPr>
                <w:rFonts w:hint="eastAsia" w:ascii="宋体" w:hAnsi="宋体" w:cs="宋体"/>
                <w:szCs w:val="21"/>
              </w:rPr>
            </w:pPr>
            <w:r>
              <w:rPr>
                <w:rFonts w:hint="eastAsia" w:ascii="宋体" w:hAnsi="宋体" w:cs="宋体"/>
                <w:szCs w:val="21"/>
              </w:rPr>
              <w:t>124400006713825565</w:t>
            </w:r>
          </w:p>
        </w:tc>
        <w:tc>
          <w:tcPr>
            <w:tcW w:w="1063" w:type="pct"/>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1396" w:type="pct"/>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1496" w:type="pct"/>
          </w:tcPr>
          <w:p>
            <w:pPr>
              <w:snapToGrid w:val="0"/>
              <w:spacing w:line="360" w:lineRule="auto"/>
              <w:rPr>
                <w:rFonts w:hint="eastAsia" w:ascii="宋体" w:hAnsi="宋体" w:cs="宋体"/>
                <w:szCs w:val="21"/>
              </w:rPr>
            </w:pPr>
            <w:r>
              <w:rPr>
                <w:rFonts w:hint="eastAsia" w:ascii="宋体" w:hAnsi="宋体" w:cs="宋体"/>
                <w:szCs w:val="21"/>
              </w:rPr>
              <w:t>建行广州五羊支行</w:t>
            </w:r>
          </w:p>
        </w:tc>
        <w:tc>
          <w:tcPr>
            <w:tcW w:w="1063" w:type="pct"/>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1396" w:type="pct"/>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tcPr>
          <w:p>
            <w:pPr>
              <w:snapToGrid w:val="0"/>
              <w:spacing w:line="360" w:lineRule="auto"/>
              <w:rPr>
                <w:rFonts w:hint="eastAsia" w:ascii="宋体" w:hAnsi="宋体" w:cs="宋体"/>
                <w:szCs w:val="21"/>
              </w:rPr>
            </w:pPr>
            <w:r>
              <w:rPr>
                <w:rFonts w:hint="eastAsia" w:ascii="宋体" w:hAnsi="宋体" w:cs="宋体"/>
                <w:szCs w:val="21"/>
              </w:rPr>
              <w:t>银行账号</w:t>
            </w:r>
          </w:p>
        </w:tc>
        <w:tc>
          <w:tcPr>
            <w:tcW w:w="1496" w:type="pct"/>
          </w:tcPr>
          <w:p>
            <w:pPr>
              <w:snapToGrid w:val="0"/>
              <w:spacing w:line="360" w:lineRule="auto"/>
              <w:rPr>
                <w:rFonts w:hint="eastAsia" w:ascii="宋体" w:hAnsi="宋体" w:cs="宋体"/>
                <w:szCs w:val="21"/>
              </w:rPr>
            </w:pPr>
            <w:r>
              <w:rPr>
                <w:rFonts w:hint="eastAsia" w:ascii="宋体" w:hAnsi="宋体" w:cs="宋体"/>
                <w:szCs w:val="21"/>
              </w:rPr>
              <w:t>44001400905059318318</w:t>
            </w:r>
          </w:p>
        </w:tc>
        <w:tc>
          <w:tcPr>
            <w:tcW w:w="1063" w:type="pct"/>
          </w:tcPr>
          <w:p>
            <w:pPr>
              <w:snapToGrid w:val="0"/>
              <w:spacing w:line="360" w:lineRule="auto"/>
              <w:rPr>
                <w:rFonts w:hint="eastAsia" w:ascii="宋体" w:hAnsi="宋体" w:cs="宋体"/>
                <w:szCs w:val="21"/>
              </w:rPr>
            </w:pPr>
            <w:r>
              <w:rPr>
                <w:rFonts w:hint="eastAsia" w:ascii="宋体" w:hAnsi="宋体" w:cs="宋体"/>
                <w:szCs w:val="21"/>
              </w:rPr>
              <w:t>银行账号</w:t>
            </w:r>
          </w:p>
        </w:tc>
        <w:tc>
          <w:tcPr>
            <w:tcW w:w="1396" w:type="pct"/>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tcPr>
          <w:p>
            <w:pPr>
              <w:snapToGrid w:val="0"/>
              <w:spacing w:line="360" w:lineRule="auto"/>
              <w:rPr>
                <w:rFonts w:hint="eastAsia" w:ascii="宋体" w:hAnsi="宋体" w:cs="宋体"/>
                <w:szCs w:val="21"/>
              </w:rPr>
            </w:pPr>
            <w:r>
              <w:rPr>
                <w:rFonts w:hint="eastAsia" w:ascii="宋体" w:hAnsi="宋体" w:cs="宋体"/>
                <w:szCs w:val="21"/>
              </w:rPr>
              <w:t>地址</w:t>
            </w:r>
          </w:p>
        </w:tc>
        <w:tc>
          <w:tcPr>
            <w:tcW w:w="1496" w:type="pct"/>
          </w:tcPr>
          <w:p>
            <w:pPr>
              <w:snapToGrid w:val="0"/>
              <w:spacing w:line="360" w:lineRule="auto"/>
              <w:rPr>
                <w:rFonts w:hint="eastAsia" w:ascii="宋体" w:hAnsi="宋体" w:cs="宋体"/>
                <w:szCs w:val="21"/>
              </w:rPr>
            </w:pPr>
            <w:r>
              <w:rPr>
                <w:rFonts w:hint="eastAsia" w:ascii="宋体" w:hAnsi="宋体" w:cs="宋体"/>
                <w:szCs w:val="21"/>
              </w:rPr>
              <w:t>广东省广州市越秀区广州大道中289号</w:t>
            </w:r>
          </w:p>
        </w:tc>
        <w:tc>
          <w:tcPr>
            <w:tcW w:w="1063" w:type="pct"/>
          </w:tcPr>
          <w:p>
            <w:pPr>
              <w:snapToGrid w:val="0"/>
              <w:spacing w:line="360" w:lineRule="auto"/>
              <w:rPr>
                <w:rFonts w:hint="eastAsia" w:ascii="宋体" w:hAnsi="宋体" w:cs="宋体"/>
                <w:szCs w:val="21"/>
              </w:rPr>
            </w:pPr>
            <w:r>
              <w:rPr>
                <w:rFonts w:hint="eastAsia" w:ascii="宋体" w:hAnsi="宋体" w:cs="宋体"/>
                <w:szCs w:val="21"/>
              </w:rPr>
              <w:t>地址</w:t>
            </w:r>
          </w:p>
        </w:tc>
        <w:tc>
          <w:tcPr>
            <w:tcW w:w="1396" w:type="pct"/>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43" w:type="pct"/>
          </w:tcPr>
          <w:p>
            <w:pPr>
              <w:snapToGrid w:val="0"/>
              <w:spacing w:line="360" w:lineRule="auto"/>
              <w:rPr>
                <w:rFonts w:hint="eastAsia" w:ascii="宋体" w:hAnsi="宋体" w:cs="宋体"/>
                <w:szCs w:val="21"/>
              </w:rPr>
            </w:pPr>
            <w:r>
              <w:rPr>
                <w:rFonts w:hint="eastAsia" w:ascii="宋体" w:hAnsi="宋体" w:cs="宋体"/>
                <w:szCs w:val="21"/>
              </w:rPr>
              <w:t>电话</w:t>
            </w:r>
          </w:p>
        </w:tc>
        <w:tc>
          <w:tcPr>
            <w:tcW w:w="1496" w:type="pct"/>
          </w:tcPr>
          <w:p>
            <w:pPr>
              <w:snapToGrid w:val="0"/>
              <w:spacing w:line="360" w:lineRule="auto"/>
              <w:rPr>
                <w:rFonts w:hint="eastAsia" w:ascii="宋体" w:hAnsi="宋体" w:cs="宋体"/>
                <w:szCs w:val="21"/>
              </w:rPr>
            </w:pPr>
          </w:p>
        </w:tc>
        <w:tc>
          <w:tcPr>
            <w:tcW w:w="1063" w:type="pct"/>
          </w:tcPr>
          <w:p>
            <w:pPr>
              <w:snapToGrid w:val="0"/>
              <w:spacing w:line="360" w:lineRule="auto"/>
              <w:rPr>
                <w:rFonts w:hint="eastAsia" w:ascii="宋体" w:hAnsi="宋体" w:cs="宋体"/>
                <w:szCs w:val="21"/>
              </w:rPr>
            </w:pPr>
            <w:r>
              <w:rPr>
                <w:rFonts w:hint="eastAsia" w:ascii="宋体" w:hAnsi="宋体" w:cs="宋体"/>
                <w:szCs w:val="21"/>
              </w:rPr>
              <w:t>电话</w:t>
            </w:r>
          </w:p>
        </w:tc>
        <w:tc>
          <w:tcPr>
            <w:tcW w:w="1396" w:type="pct"/>
          </w:tcPr>
          <w:p>
            <w:pPr>
              <w:snapToGrid w:val="0"/>
              <w:spacing w:line="360" w:lineRule="auto"/>
              <w:rPr>
                <w:rFonts w:hint="eastAsia" w:ascii="宋体" w:hAnsi="宋体" w:cs="宋体"/>
                <w:szCs w:val="21"/>
              </w:rPr>
            </w:pPr>
          </w:p>
        </w:tc>
      </w:tr>
    </w:tbl>
    <w:p>
      <w:pPr>
        <w:adjustRightInd w:val="0"/>
        <w:snapToGrid w:val="0"/>
        <w:spacing w:line="360" w:lineRule="auto"/>
        <w:ind w:firstLine="420" w:firstLineChars="200"/>
        <w:jc w:val="left"/>
        <w:rPr>
          <w:rFonts w:hint="eastAsia" w:ascii="宋体" w:hAnsi="宋体" w:cs="宋体"/>
          <w:szCs w:val="21"/>
        </w:rPr>
      </w:pPr>
    </w:p>
    <w:p>
      <w:pPr>
        <w:pStyle w:val="2"/>
        <w:spacing w:line="360" w:lineRule="auto"/>
        <w:rPr>
          <w:rFonts w:hint="eastAsia" w:ascii="宋体" w:hAnsi="宋体" w:cs="宋体"/>
          <w:bCs w:val="0"/>
          <w:sz w:val="21"/>
          <w:szCs w:val="21"/>
        </w:rPr>
      </w:pPr>
      <w:r>
        <w:rPr>
          <w:rFonts w:hint="eastAsia" w:ascii="宋体" w:hAnsi="宋体" w:cs="宋体"/>
          <w:bCs w:val="0"/>
          <w:sz w:val="21"/>
          <w:szCs w:val="21"/>
        </w:rPr>
        <w:t>第七条  质量及服务保证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（一）乙方应严格按照合同的约定提供货物。甲方在收货时或者在使用过程中可随时对货物进行检验，对于存在的任何疑问和问题，乙方必须给予详尽的答复和解决意见。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（二）甲方对货物使用存在培训需求的，乙方提供免费上门培训和操作指导，确保甲方正确使用货物。</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（三）甲方在收货时发现货物质量问题的，有权立即作退换货处理。</w:t>
      </w:r>
    </w:p>
    <w:p>
      <w:pPr>
        <w:pStyle w:val="2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（四）乙方同意，甲方在使用过程中发现的货物质量问题，甲方有权按照下列一种或多种方式进行解决：</w:t>
      </w:r>
    </w:p>
    <w:p>
      <w:pPr>
        <w:pStyle w:val="2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lang w:val="zh-CN"/>
        </w:rPr>
        <w:t>非人为故障的出现问题的货物，</w:t>
      </w:r>
      <w:r>
        <w:rPr>
          <w:rFonts w:hint="eastAsia" w:ascii="宋体" w:hAnsi="宋体" w:cs="宋体"/>
          <w:szCs w:val="21"/>
        </w:rPr>
        <w:t>乙方</w:t>
      </w:r>
      <w:r>
        <w:rPr>
          <w:rFonts w:hint="eastAsia" w:ascii="宋体" w:hAnsi="宋体" w:cs="宋体"/>
          <w:szCs w:val="21"/>
          <w:lang w:val="zh-CN"/>
        </w:rPr>
        <w:t>必须在收到</w:t>
      </w:r>
      <w:r>
        <w:rPr>
          <w:rFonts w:hint="eastAsia" w:ascii="宋体" w:hAnsi="宋体" w:cs="宋体"/>
          <w:szCs w:val="21"/>
        </w:rPr>
        <w:t>甲方</w:t>
      </w:r>
      <w:r>
        <w:rPr>
          <w:rFonts w:hint="eastAsia" w:ascii="宋体" w:hAnsi="宋体" w:cs="宋体"/>
          <w:szCs w:val="21"/>
          <w:lang w:val="zh-CN"/>
        </w:rPr>
        <w:t>通知</w:t>
      </w:r>
      <w:r>
        <w:rPr>
          <w:rFonts w:hint="eastAsia" w:ascii="宋体" w:hAnsi="宋体" w:cs="宋体"/>
          <w:szCs w:val="21"/>
          <w:u w:val="single"/>
        </w:rPr>
        <w:t>30</w:t>
      </w:r>
      <w:r>
        <w:rPr>
          <w:rFonts w:hint="eastAsia" w:ascii="宋体" w:hAnsi="宋体" w:cs="宋体"/>
          <w:szCs w:val="21"/>
        </w:rPr>
        <w:t>分钟</w:t>
      </w:r>
      <w:r>
        <w:rPr>
          <w:rFonts w:hint="eastAsia" w:ascii="宋体" w:hAnsi="宋体" w:cs="宋体"/>
          <w:szCs w:val="21"/>
          <w:lang w:val="zh-CN"/>
        </w:rPr>
        <w:t>内响应，</w:t>
      </w:r>
      <w:r>
        <w:rPr>
          <w:rFonts w:hint="eastAsia" w:ascii="宋体" w:hAnsi="宋体" w:cs="宋体"/>
          <w:szCs w:val="21"/>
          <w:u w:val="single"/>
        </w:rPr>
        <w:t>2</w:t>
      </w:r>
      <w:r>
        <w:rPr>
          <w:rFonts w:hint="eastAsia" w:ascii="宋体" w:hAnsi="宋体" w:cs="宋体"/>
          <w:szCs w:val="21"/>
          <w:lang w:val="zh-CN"/>
        </w:rPr>
        <w:t>个小时内到场，</w:t>
      </w:r>
      <w:r>
        <w:rPr>
          <w:rFonts w:hint="eastAsia" w:ascii="宋体" w:hAnsi="宋体" w:cs="宋体"/>
          <w:szCs w:val="21"/>
          <w:u w:val="single"/>
          <w:lang w:val="zh-CN"/>
        </w:rPr>
        <w:t>8</w:t>
      </w:r>
      <w:r>
        <w:rPr>
          <w:rFonts w:hint="eastAsia" w:ascii="宋体" w:hAnsi="宋体" w:cs="宋体"/>
          <w:szCs w:val="21"/>
          <w:lang w:val="zh-CN"/>
        </w:rPr>
        <w:t>个小时内解决问题，若不能解决问题，</w:t>
      </w:r>
      <w:r>
        <w:rPr>
          <w:rFonts w:hint="eastAsia" w:ascii="宋体" w:hAnsi="宋体" w:cs="宋体"/>
          <w:szCs w:val="21"/>
        </w:rPr>
        <w:t>乙方</w:t>
      </w:r>
      <w:r>
        <w:rPr>
          <w:rFonts w:hint="eastAsia" w:ascii="宋体" w:hAnsi="宋体" w:cs="宋体"/>
          <w:szCs w:val="21"/>
          <w:lang w:val="zh-CN"/>
        </w:rPr>
        <w:t>必须提供满足整套系统匹配使用的备用货物给予</w:t>
      </w:r>
      <w:r>
        <w:rPr>
          <w:rFonts w:hint="eastAsia" w:ascii="宋体" w:hAnsi="宋体" w:cs="宋体"/>
          <w:szCs w:val="21"/>
        </w:rPr>
        <w:t>甲方</w:t>
      </w:r>
      <w:r>
        <w:rPr>
          <w:rFonts w:hint="eastAsia" w:ascii="宋体" w:hAnsi="宋体" w:cs="宋体"/>
          <w:szCs w:val="21"/>
          <w:lang w:val="zh-CN"/>
        </w:rPr>
        <w:t>无偿使用，并在5～10个工作日内，将故障</w:t>
      </w:r>
      <w:r>
        <w:rPr>
          <w:rFonts w:hint="eastAsia" w:ascii="宋体" w:hAnsi="宋体" w:cs="宋体"/>
          <w:szCs w:val="21"/>
        </w:rPr>
        <w:t>货物</w:t>
      </w:r>
      <w:r>
        <w:rPr>
          <w:rFonts w:hint="eastAsia" w:ascii="宋体" w:hAnsi="宋体" w:cs="宋体"/>
          <w:szCs w:val="21"/>
          <w:lang w:val="zh-CN"/>
        </w:rPr>
        <w:t>维修完毕，并交还</w:t>
      </w:r>
      <w:r>
        <w:rPr>
          <w:rFonts w:hint="eastAsia" w:ascii="宋体" w:hAnsi="宋体" w:cs="宋体"/>
          <w:szCs w:val="21"/>
        </w:rPr>
        <w:t>甲方</w:t>
      </w:r>
      <w:r>
        <w:rPr>
          <w:rFonts w:hint="eastAsia" w:ascii="宋体" w:hAnsi="宋体" w:cs="宋体"/>
          <w:szCs w:val="21"/>
          <w:lang w:val="zh-CN"/>
        </w:rPr>
        <w:t>。</w:t>
      </w:r>
    </w:p>
    <w:p>
      <w:pPr>
        <w:pStyle w:val="2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（2）甲方有权将有质量问题的货物作退货退款处理，且甲方有权视情况解除合同。</w:t>
      </w:r>
    </w:p>
    <w:p>
      <w:pPr>
        <w:pStyle w:val="2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（3）乙方负责用符合或优于合同约定的货物进行更换。</w:t>
      </w:r>
    </w:p>
    <w:p>
      <w:pPr>
        <w:pStyle w:val="2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（4）如乙方不能及时到场解决，或出现质量问题的货物数量占采购货物总数量的百分之</w:t>
      </w:r>
      <w:r>
        <w:rPr>
          <w:rFonts w:hint="eastAsia" w:ascii="宋体" w:hAnsi="宋体" w:cs="宋体"/>
          <w:szCs w:val="21"/>
          <w:u w:val="single"/>
        </w:rPr>
        <w:t xml:space="preserve">  十  </w:t>
      </w:r>
      <w:r>
        <w:rPr>
          <w:rFonts w:hint="eastAsia" w:ascii="宋体" w:hAnsi="宋体" w:cs="宋体"/>
          <w:szCs w:val="21"/>
        </w:rPr>
        <w:t>或出现质量问题的货物价格占合同总价百分之</w:t>
      </w:r>
      <w:r>
        <w:rPr>
          <w:rFonts w:hint="eastAsia" w:ascii="宋体" w:hAnsi="宋体" w:cs="宋体"/>
          <w:szCs w:val="21"/>
          <w:u w:val="single"/>
        </w:rPr>
        <w:t xml:space="preserve"> 三  </w:t>
      </w:r>
      <w:r>
        <w:rPr>
          <w:rFonts w:hint="eastAsia" w:ascii="宋体" w:hAnsi="宋体" w:cs="宋体"/>
          <w:szCs w:val="21"/>
        </w:rPr>
        <w:t>，或乙方更换后的货物仍无法达到约定的质量标准的，甲方有权视情况解除合同，将货物退予乙方，乙方应自合同解除之日起十日内向甲方退还全部货款并支付合同总价百分之三十的违约金。</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（五）甲方按照本合同约定要求退货、换货的，乙方应在收到通知后</w:t>
      </w:r>
      <w:r>
        <w:rPr>
          <w:rFonts w:hint="eastAsia" w:ascii="宋体" w:hAnsi="宋体" w:cs="宋体"/>
          <w:szCs w:val="21"/>
          <w:u w:val="single"/>
        </w:rPr>
        <w:t xml:space="preserve"> 7 </w:t>
      </w:r>
      <w:r>
        <w:rPr>
          <w:rFonts w:hint="eastAsia" w:ascii="宋体" w:hAnsi="宋体" w:cs="宋体"/>
          <w:szCs w:val="21"/>
        </w:rPr>
        <w:t>日内取回货物，不得占用甲方办公用地和影响甲方正常的生产经营，并承担由此发生的一切费用和损失。乙方逾期不处理的,则自通知发出之日至乙方实际取回货物之日，甲方将每日按合同总价的千分之</w:t>
      </w:r>
      <w:r>
        <w:rPr>
          <w:rFonts w:hint="eastAsia" w:ascii="宋体" w:hAnsi="宋体" w:cs="宋体"/>
          <w:szCs w:val="21"/>
          <w:u w:val="single"/>
        </w:rPr>
        <w:t xml:space="preserve">  一  </w:t>
      </w:r>
      <w:r>
        <w:rPr>
          <w:rFonts w:hint="eastAsia" w:ascii="宋体" w:hAnsi="宋体" w:cs="宋体"/>
          <w:szCs w:val="21"/>
        </w:rPr>
        <w:t>向乙方收取仓储费用，且货物的毁损、灭失的后果由乙方自行承担。</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（六）因货物质量问题造成甲方或第三方财产损害或人员伤亡的一切责任由乙方承担，甲方有权单方解除合同，乙方应自合同解除之日起</w:t>
      </w:r>
      <w:r>
        <w:rPr>
          <w:rFonts w:hint="eastAsia" w:ascii="宋体" w:hAnsi="宋体" w:cs="宋体"/>
          <w:szCs w:val="21"/>
          <w:u w:val="single"/>
        </w:rPr>
        <w:t xml:space="preserve">  7  </w:t>
      </w:r>
      <w:r>
        <w:rPr>
          <w:rFonts w:hint="eastAsia" w:ascii="宋体" w:hAnsi="宋体" w:cs="宋体"/>
          <w:szCs w:val="21"/>
        </w:rPr>
        <w:t>日内向甲方退还全部货款并支付合同总价百分之三十的违约金及赔偿因此给甲方造成的损失。</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七）为了维护和兼顾各方的利益，确保系统的质量，在本合同签署后，甲、乙双方均有权在履行本合同的过程中合理地提出变更、扩展、替换或修改项目的某些部分的建议，包括增加或减少系统的相应功能/提高技术参数/变更交付或安装的时间和地点。</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（八）本项目涉及到的服务器搬迁等现场实施工作，乙方需做好充分的评估和准备，包括但不限于实施过程中的业务连续性保障、备件提供以及其他产生的运输等全部费用。</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第八条  违约责任</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（一）除法律规定或本合同另有约定之外，任何一方单方解除合同，须赔偿本合同总价的百分之三十。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（二）对于合同期内到货和项目服务，甲方无故未按合同约定付款的，自合同约定的付款期之次日到实际付款日，每日按应付而未付货款金额的千分之</w:t>
      </w:r>
      <w:r>
        <w:rPr>
          <w:rFonts w:hint="eastAsia" w:ascii="宋体" w:hAnsi="宋体" w:cs="宋体"/>
          <w:szCs w:val="21"/>
          <w:u w:val="single"/>
        </w:rPr>
        <w:t xml:space="preserve"> 五 </w:t>
      </w:r>
      <w:r>
        <w:rPr>
          <w:rFonts w:hint="eastAsia" w:ascii="宋体" w:hAnsi="宋体" w:cs="宋体"/>
          <w:szCs w:val="21"/>
        </w:rPr>
        <w:t>向乙方支付逾期付款违约金，但违约金总额不得超过应付而未付款项的百分之三十。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（三）乙方延迟发货的、项目服务不符合本合同规定，应按本合同约定的交货时间届满之日起到实际交付之日，每日按合同总价的千分之</w:t>
      </w:r>
      <w:r>
        <w:rPr>
          <w:rFonts w:hint="eastAsia" w:ascii="宋体" w:hAnsi="宋体" w:cs="宋体"/>
          <w:szCs w:val="21"/>
          <w:u w:val="single"/>
        </w:rPr>
        <w:t xml:space="preserve"> 五 </w:t>
      </w:r>
      <w:r>
        <w:rPr>
          <w:rFonts w:hint="eastAsia" w:ascii="宋体" w:hAnsi="宋体" w:cs="宋体"/>
          <w:szCs w:val="21"/>
        </w:rPr>
        <w:t>向甲方支付延迟履行违约金。对于货物延迟交付超过</w:t>
      </w:r>
      <w:r>
        <w:rPr>
          <w:rFonts w:hint="eastAsia" w:ascii="宋体" w:hAnsi="宋体" w:cs="宋体"/>
          <w:szCs w:val="21"/>
          <w:u w:val="single"/>
        </w:rPr>
        <w:t xml:space="preserve"> 10 </w:t>
      </w:r>
      <w:r>
        <w:rPr>
          <w:rFonts w:hint="eastAsia" w:ascii="宋体" w:hAnsi="宋体" w:cs="宋体"/>
          <w:szCs w:val="21"/>
        </w:rPr>
        <w:t>天的，甲方有权解除合同，且乙方应向甲方支付合同总价百分之三十的违约金并赔偿因此给甲方造成的损失。</w:t>
      </w:r>
    </w:p>
    <w:p>
      <w:pPr>
        <w:wordWrap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（四）货物出现质量和服务（含售后服务）问题的，按本合同第七条的约定执行。</w:t>
      </w:r>
    </w:p>
    <w:p>
      <w:pPr>
        <w:wordWrap w:val="0"/>
        <w:adjustRightInd w:val="0"/>
        <w:snapToGrid w:val="0"/>
        <w:spacing w:line="360" w:lineRule="auto"/>
        <w:ind w:firstLine="420" w:firstLineChars="200"/>
        <w:rPr>
          <w:rFonts w:hint="eastAsia" w:ascii="宋体" w:hAnsi="宋体" w:cs="宋体"/>
          <w:color w:val="000000"/>
          <w:kern w:val="0"/>
          <w:szCs w:val="21"/>
          <w:lang w:bidi="ar"/>
        </w:rPr>
      </w:pPr>
      <w:r>
        <w:rPr>
          <w:rFonts w:hint="eastAsia" w:ascii="宋体" w:hAnsi="宋体" w:cs="宋体"/>
          <w:szCs w:val="21"/>
        </w:rPr>
        <w:t>（五）甲方依据本合同解除合同的，解除合同的书面通知按本合同的约定送达后即生效。</w:t>
      </w:r>
      <w:r>
        <w:rPr>
          <w:rFonts w:hint="eastAsia" w:ascii="宋体" w:hAnsi="宋体" w:cs="宋体"/>
          <w:color w:val="000000"/>
          <w:kern w:val="0"/>
          <w:szCs w:val="21"/>
          <w:lang w:bidi="ar"/>
        </w:rPr>
        <w:t>甲方有权在任何一期应付合同价款中扣除乙方按照本合同应支付的违约金及/或赔偿金。如果本合同所约定的违约金和乙方的其他责任仍然无法弥补甲方因乙方违约行为遭受的全部损失的，甲方有权要求乙方赔偿全部损失，包括但不限于甲方向第三方承担的赔偿金、违约金、律师费、鉴定费、公证费、诉讼费、差旅费等直接和间接损失。</w:t>
      </w:r>
    </w:p>
    <w:p>
      <w:pPr>
        <w:wordWrap w:val="0"/>
        <w:adjustRightInd w:val="0"/>
        <w:snapToGrid w:val="0"/>
        <w:spacing w:line="360" w:lineRule="auto"/>
        <w:ind w:firstLine="420" w:firstLineChars="200"/>
        <w:rPr>
          <w:rFonts w:hint="eastAsia" w:ascii="宋体" w:hAnsi="宋体" w:cs="宋体"/>
          <w:color w:val="000000"/>
          <w:kern w:val="0"/>
          <w:szCs w:val="21"/>
          <w:lang w:bidi="ar"/>
        </w:rPr>
      </w:pPr>
    </w:p>
    <w:p>
      <w:pPr>
        <w:pStyle w:val="2"/>
        <w:spacing w:line="360" w:lineRule="auto"/>
        <w:rPr>
          <w:rFonts w:hint="eastAsia" w:ascii="宋体" w:hAnsi="宋体" w:cs="宋体"/>
          <w:bCs w:val="0"/>
          <w:sz w:val="21"/>
          <w:szCs w:val="21"/>
        </w:rPr>
      </w:pPr>
      <w:r>
        <w:rPr>
          <w:rFonts w:hint="eastAsia" w:ascii="宋体" w:hAnsi="宋体" w:cs="宋体"/>
          <w:bCs w:val="0"/>
          <w:sz w:val="21"/>
          <w:szCs w:val="21"/>
        </w:rPr>
        <w:t>第九条  知识产权与商业秘密</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（一）乙方保证提供的货物、服务不侵犯任何第三方的知识产权、所有权等合法权益，否则甲方有权立即解除本合同，由此产生的一切责任由乙方承担。因此给甲方造成损失的，乙方应负责赔偿。</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应向甲方支付合同总价百分之三十的违约金，因此给甲方造成损失的，乙方还应负责赔偿。</w:t>
      </w:r>
    </w:p>
    <w:p>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szCs w:val="21"/>
        </w:rPr>
        <w:t>（三）</w:t>
      </w:r>
      <w:r>
        <w:rPr>
          <w:rFonts w:hint="eastAsia" w:ascii="宋体" w:hAnsi="宋体" w:cs="宋体"/>
          <w:color w:val="000000"/>
          <w:szCs w:val="21"/>
        </w:rPr>
        <w:t>本合同有效期内及终止后，本条款仍具有法律效力。</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第十条  不可抗力及免责</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二）任何一方由于不可抗力原因不能履行合同时，应在不可抗力事件结束后十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（三）遭受不可抗力的一方未履行上述义务或不可抗力发生在一方违约前或违约后的，不能免除其违约责任。</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第十一条  法律适用及争议解决</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（一）本合同受中华人民共和国法律解释和管辖，并不考虑法律冲突。</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（二）双方约定，合同签订地为广州市越秀区。有关本合同的任何争议应由双方秉承善意友好协商解决。若双方协商不成，一方可将争议提交合同签订地有管辖权的法院诉讼解决。</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第十二条  通知与送达</w:t>
      </w:r>
    </w:p>
    <w:p>
      <w:pPr>
        <w:widowControl/>
        <w:tabs>
          <w:tab w:val="left" w:pos="426"/>
        </w:tabs>
        <w:adjustRightInd w:val="0"/>
        <w:snapToGrid w:val="0"/>
        <w:spacing w:line="360" w:lineRule="auto"/>
        <w:ind w:firstLine="420" w:firstLineChars="200"/>
        <w:rPr>
          <w:rFonts w:hint="eastAsia" w:ascii="宋体" w:hAnsi="宋体" w:cs="宋体"/>
          <w:bCs/>
          <w:szCs w:val="21"/>
        </w:rPr>
      </w:pPr>
      <w:r>
        <w:rPr>
          <w:rFonts w:hint="eastAsia" w:ascii="宋体" w:hAnsi="宋体" w:cs="宋体"/>
          <w:bCs/>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pStyle w:val="2"/>
        <w:spacing w:line="360" w:lineRule="auto"/>
        <w:rPr>
          <w:rFonts w:hint="eastAsia" w:ascii="宋体" w:hAnsi="宋体" w:cs="宋体"/>
          <w:bCs w:val="0"/>
          <w:sz w:val="21"/>
          <w:szCs w:val="21"/>
        </w:rPr>
      </w:pPr>
      <w:r>
        <w:rPr>
          <w:rFonts w:hint="eastAsia" w:ascii="宋体" w:hAnsi="宋体" w:cs="宋体"/>
          <w:bCs w:val="0"/>
          <w:sz w:val="21"/>
          <w:szCs w:val="21"/>
        </w:rPr>
        <w:t>第十三条  其他</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（一）本合同经双方法定代表人或授权代理人签字并盖章之日起生效，至本合同约定双方权利义务履行完毕终止。</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（二）本合同共</w:t>
      </w:r>
      <w:r>
        <w:rPr>
          <w:rFonts w:hint="eastAsia" w:ascii="宋体" w:hAnsi="宋体" w:cs="宋体"/>
          <w:szCs w:val="21"/>
          <w:u w:val="single"/>
        </w:rPr>
        <w:t xml:space="preserve">  肆  </w:t>
      </w:r>
      <w:r>
        <w:rPr>
          <w:rFonts w:hint="eastAsia" w:ascii="宋体" w:hAnsi="宋体" w:cs="宋体"/>
          <w:szCs w:val="21"/>
        </w:rPr>
        <w:t>份,其中甲方执</w:t>
      </w:r>
      <w:r>
        <w:rPr>
          <w:rFonts w:hint="eastAsia" w:ascii="宋体" w:hAnsi="宋体" w:cs="宋体"/>
          <w:szCs w:val="21"/>
          <w:u w:val="single"/>
        </w:rPr>
        <w:t xml:space="preserve">  贰  </w:t>
      </w:r>
      <w:r>
        <w:rPr>
          <w:rFonts w:hint="eastAsia" w:ascii="宋体" w:hAnsi="宋体" w:cs="宋体"/>
          <w:szCs w:val="21"/>
        </w:rPr>
        <w:t>份，乙方执</w:t>
      </w:r>
      <w:r>
        <w:rPr>
          <w:rFonts w:hint="eastAsia" w:ascii="宋体" w:hAnsi="宋体" w:cs="宋体"/>
          <w:szCs w:val="21"/>
          <w:u w:val="single"/>
        </w:rPr>
        <w:t xml:space="preserve">  贰  </w:t>
      </w:r>
      <w:r>
        <w:rPr>
          <w:rFonts w:hint="eastAsia" w:ascii="宋体" w:hAnsi="宋体" w:cs="宋体"/>
          <w:szCs w:val="21"/>
        </w:rPr>
        <w:t>份，具有同等法律效力。</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在执行本合同的过程中，所有经双方签署确认的文件（包括招标文件、投标文件、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（四）本合同有附件</w:t>
      </w:r>
      <w:r>
        <w:rPr>
          <w:rFonts w:hint="eastAsia" w:ascii="宋体" w:hAnsi="宋体" w:cs="宋体"/>
          <w:szCs w:val="21"/>
          <w:u w:val="single"/>
        </w:rPr>
        <w:t xml:space="preserve"> 贰 </w:t>
      </w:r>
      <w:r>
        <w:rPr>
          <w:rFonts w:hint="eastAsia" w:ascii="宋体" w:hAnsi="宋体" w:cs="宋体"/>
          <w:szCs w:val="21"/>
        </w:rPr>
        <w:t>份,是本合同的完整组成部分，与本合同具有同等法律效力。附件有：</w:t>
      </w:r>
    </w:p>
    <w:p>
      <w:pPr>
        <w:adjustRightInd w:val="0"/>
        <w:snapToGrid w:val="0"/>
        <w:spacing w:line="360" w:lineRule="auto"/>
        <w:rPr>
          <w:rFonts w:hint="eastAsia" w:ascii="宋体" w:hAnsi="宋体" w:cs="宋体"/>
          <w:szCs w:val="21"/>
        </w:rPr>
      </w:pPr>
      <w:r>
        <w:rPr>
          <w:rFonts w:hint="eastAsia" w:ascii="宋体" w:hAnsi="宋体" w:cs="宋体"/>
          <w:szCs w:val="21"/>
        </w:rPr>
        <w:t xml:space="preserve">1、附件一： 《反商业贿赂协议》 </w:t>
      </w:r>
    </w:p>
    <w:p>
      <w:pPr>
        <w:adjustRightInd w:val="0"/>
        <w:snapToGrid w:val="0"/>
        <w:rPr>
          <w:rFonts w:hint="eastAsia" w:ascii="仿宋" w:hAnsi="仿宋" w:eastAsia="仿宋" w:cs="仿宋"/>
          <w:sz w:val="28"/>
          <w:szCs w:val="28"/>
        </w:rPr>
      </w:pPr>
      <w:r>
        <w:rPr>
          <w:rFonts w:hint="eastAsia" w:ascii="宋体" w:hAnsi="宋体" w:cs="宋体"/>
          <w:szCs w:val="21"/>
        </w:rPr>
        <w:t xml:space="preserve">2、附件二：  《货物内容及项目服务清单》 </w:t>
      </w:r>
      <w:r>
        <w:rPr>
          <w:rFonts w:hint="eastAsia" w:ascii="仿宋" w:hAnsi="仿宋" w:eastAsia="仿宋" w:cs="仿宋"/>
          <w:sz w:val="28"/>
          <w:szCs w:val="28"/>
        </w:rPr>
        <w:t xml:space="preserve">   </w:t>
      </w:r>
    </w:p>
    <w:p>
      <w:pPr>
        <w:widowControl/>
        <w:spacing w:line="360" w:lineRule="auto"/>
        <w:ind w:firstLine="420" w:firstLineChars="200"/>
        <w:jc w:val="left"/>
        <w:rPr>
          <w:rFonts w:hint="eastAsia" w:ascii="宋体" w:hAnsi="宋体" w:cs="宋体"/>
          <w:kern w:val="0"/>
          <w:szCs w:val="21"/>
          <w:lang w:val="zh-CN"/>
        </w:rPr>
      </w:pPr>
    </w:p>
    <w:tbl>
      <w:tblPr>
        <w:tblStyle w:val="54"/>
        <w:tblW w:w="88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8"/>
        <w:gridCol w:w="4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甲方（盖章）：</w:t>
            </w:r>
          </w:p>
        </w:tc>
        <w:tc>
          <w:tcPr>
            <w:tcW w:w="4005" w:type="dxa"/>
          </w:tcPr>
          <w:p>
            <w:pPr>
              <w:pStyle w:val="298"/>
              <w:spacing w:line="360" w:lineRule="auto"/>
              <w:rPr>
                <w:rFonts w:hint="eastAsia"/>
              </w:rPr>
            </w:pPr>
            <w:r>
              <w:rPr>
                <w:rFonts w:hint="eastAsia"/>
              </w:rPr>
              <w:t>乙方（盖章）：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法定代表人：</w:t>
            </w:r>
          </w:p>
        </w:tc>
        <w:tc>
          <w:tcPr>
            <w:tcW w:w="4005" w:type="dxa"/>
          </w:tcPr>
          <w:p>
            <w:pPr>
              <w:pStyle w:val="298"/>
              <w:spacing w:line="360" w:lineRule="auto"/>
              <w:rPr>
                <w:rFonts w:hint="eastAsia"/>
              </w:rPr>
            </w:pPr>
            <w:r>
              <w:rPr>
                <w:rFonts w:hint="eastAsia"/>
              </w:rPr>
              <w:t>法定代表人：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甲方委托代理人：</w:t>
            </w:r>
          </w:p>
        </w:tc>
        <w:tc>
          <w:tcPr>
            <w:tcW w:w="4005" w:type="dxa"/>
          </w:tcPr>
          <w:p>
            <w:pPr>
              <w:pStyle w:val="298"/>
              <w:spacing w:line="360" w:lineRule="auto"/>
              <w:rPr>
                <w:rFonts w:hint="eastAsia"/>
              </w:rPr>
            </w:pPr>
            <w:r>
              <w:rPr>
                <w:rFonts w:hint="eastAsia"/>
              </w:rPr>
              <w:t>乙方委托代理人：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 xml:space="preserve">联系电话： </w:t>
            </w:r>
          </w:p>
        </w:tc>
        <w:tc>
          <w:tcPr>
            <w:tcW w:w="4005" w:type="dxa"/>
          </w:tcPr>
          <w:p>
            <w:pPr>
              <w:pStyle w:val="298"/>
              <w:spacing w:line="360" w:lineRule="auto"/>
              <w:rPr>
                <w:rFonts w:hint="eastAsia"/>
              </w:rPr>
            </w:pPr>
            <w:r>
              <w:rPr>
                <w:rFonts w:hint="eastAsia"/>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开户银行：</w:t>
            </w:r>
          </w:p>
        </w:tc>
        <w:tc>
          <w:tcPr>
            <w:tcW w:w="4005" w:type="dxa"/>
          </w:tcPr>
          <w:p>
            <w:pPr>
              <w:pStyle w:val="298"/>
              <w:spacing w:line="360" w:lineRule="auto"/>
              <w:rPr>
                <w:rFonts w:hint="eastAsia"/>
              </w:rPr>
            </w:pPr>
            <w:r>
              <w:rPr>
                <w:rFonts w:hint="eastAsia"/>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银行账号：</w:t>
            </w:r>
          </w:p>
        </w:tc>
        <w:tc>
          <w:tcPr>
            <w:tcW w:w="4005" w:type="dxa"/>
          </w:tcPr>
          <w:p>
            <w:pPr>
              <w:pStyle w:val="298"/>
              <w:spacing w:line="360" w:lineRule="auto"/>
              <w:rPr>
                <w:rFonts w:hint="eastAsia"/>
              </w:rPr>
            </w:pPr>
            <w:r>
              <w:rPr>
                <w:rFonts w:hint="eastAsia"/>
              </w:rPr>
              <w:t>银行账号：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纳税人识别号：</w:t>
            </w:r>
          </w:p>
        </w:tc>
        <w:tc>
          <w:tcPr>
            <w:tcW w:w="4005" w:type="dxa"/>
          </w:tcPr>
          <w:p>
            <w:pPr>
              <w:pStyle w:val="298"/>
              <w:spacing w:line="360" w:lineRule="auto"/>
              <w:rPr>
                <w:rFonts w:hint="eastAsia"/>
              </w:rPr>
            </w:pPr>
            <w:r>
              <w:rPr>
                <w:rFonts w:hint="eastAsia"/>
              </w:rPr>
              <w:t>纳税人识别号：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828" w:type="dxa"/>
          </w:tcPr>
          <w:p>
            <w:pPr>
              <w:pStyle w:val="298"/>
              <w:spacing w:line="360" w:lineRule="auto"/>
              <w:rPr>
                <w:rFonts w:hint="eastAsia"/>
              </w:rPr>
            </w:pPr>
            <w:r>
              <w:rPr>
                <w:rFonts w:hint="eastAsia"/>
              </w:rPr>
              <w:t>合同签订时间：</w:t>
            </w:r>
          </w:p>
        </w:tc>
        <w:tc>
          <w:tcPr>
            <w:tcW w:w="4005" w:type="dxa"/>
          </w:tcPr>
          <w:p>
            <w:pPr>
              <w:pStyle w:val="298"/>
              <w:spacing w:line="360" w:lineRule="auto"/>
              <w:rPr>
                <w:rFonts w:hint="eastAsia"/>
              </w:rPr>
            </w:pPr>
            <w:r>
              <w:rPr>
                <w:rFonts w:hint="eastAsia"/>
              </w:rPr>
              <w:t>合同签订时间：</w:t>
            </w:r>
          </w:p>
        </w:tc>
      </w:tr>
    </w:tbl>
    <w:p/>
    <w:p>
      <w:pPr>
        <w:rPr>
          <w:rFonts w:hint="eastAsia" w:ascii="宋体" w:hAnsi="宋体" w:cs="宋体"/>
          <w:szCs w:val="21"/>
        </w:rPr>
      </w:pPr>
    </w:p>
    <w:p>
      <w:pPr>
        <w:rPr>
          <w:rFonts w:hint="eastAsia" w:ascii="宋体" w:hAnsi="宋体" w:cs="宋体"/>
          <w:szCs w:val="21"/>
        </w:rPr>
      </w:pPr>
    </w:p>
    <w:p>
      <w:pPr>
        <w:snapToGrid w:val="0"/>
        <w:spacing w:line="360" w:lineRule="auto"/>
        <w:rPr>
          <w:rFonts w:hint="eastAsia" w:ascii="宋体" w:hAnsi="宋体" w:cs="宋体"/>
          <w:szCs w:val="21"/>
        </w:rPr>
      </w:pPr>
    </w:p>
    <w:p>
      <w:pPr>
        <w:spacing w:line="283" w:lineRule="auto"/>
        <w:rPr>
          <w:rFonts w:hint="eastAsia" w:ascii="宋体" w:hAnsi="宋体" w:cs="宋体"/>
          <w:szCs w:val="21"/>
        </w:rPr>
      </w:pPr>
    </w:p>
    <w:p>
      <w:pPr>
        <w:spacing w:line="284" w:lineRule="auto"/>
        <w:rPr>
          <w:rFonts w:hint="eastAsia" w:ascii="宋体" w:hAnsi="宋体" w:cs="宋体"/>
        </w:rPr>
      </w:pPr>
    </w:p>
    <w:p>
      <w:pPr>
        <w:rPr>
          <w:rFonts w:hint="eastAsia" w:ascii="宋体" w:hAnsi="宋体" w:cs="宋体"/>
          <w:sz w:val="24"/>
          <w:szCs w:val="24"/>
        </w:rPr>
      </w:pPr>
    </w:p>
    <w:bookmarkEnd w:id="74"/>
    <w:bookmarkEnd w:id="75"/>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sz w:val="24"/>
          <w:szCs w:val="24"/>
        </w:rPr>
      </w:pPr>
    </w:p>
    <w:p>
      <w:pPr>
        <w:rPr>
          <w:rFonts w:hint="eastAsia" w:ascii="宋体" w:hAnsi="宋体" w:cs="宋体"/>
          <w:sz w:val="24"/>
          <w:szCs w:val="24"/>
        </w:rPr>
      </w:pPr>
    </w:p>
    <w:p>
      <w:pPr>
        <w:spacing w:before="120" w:beforeLines="50" w:after="120" w:afterLines="50" w:line="360" w:lineRule="auto"/>
        <w:jc w:val="center"/>
        <w:rPr>
          <w:rFonts w:hint="eastAsia" w:ascii="宋体" w:hAnsi="宋体" w:cs="宋体"/>
          <w:b/>
          <w:sz w:val="36"/>
        </w:rPr>
      </w:pPr>
      <w:bookmarkStart w:id="82" w:name="_Toc203530304"/>
      <w:bookmarkStart w:id="83" w:name="_Toc203530308"/>
    </w:p>
    <w:p>
      <w:pPr>
        <w:spacing w:before="120" w:beforeLines="50" w:after="120" w:afterLines="50" w:line="360" w:lineRule="auto"/>
        <w:jc w:val="center"/>
        <w:rPr>
          <w:rFonts w:hint="eastAsia" w:ascii="宋体" w:hAnsi="宋体" w:cs="宋体"/>
          <w:b/>
          <w:sz w:val="36"/>
        </w:rPr>
      </w:pPr>
    </w:p>
    <w:bookmarkEnd w:id="82"/>
    <w:bookmarkEnd w:id="83"/>
    <w:p/>
    <w:p>
      <w:pPr>
        <w:rPr>
          <w:rFonts w:hint="eastAsia" w:ascii="宋体" w:hAnsi="宋体" w:cs="宋体"/>
          <w:b/>
          <w:sz w:val="44"/>
        </w:rPr>
      </w:pPr>
    </w:p>
    <w:p>
      <w:pPr>
        <w:pStyle w:val="52"/>
        <w:ind w:firstLine="480"/>
      </w:pPr>
    </w:p>
    <w:p>
      <w:pPr>
        <w:jc w:val="center"/>
        <w:outlineLvl w:val="0"/>
        <w:rPr>
          <w:rFonts w:hint="eastAsia" w:ascii="宋体" w:hAnsi="宋体" w:cs="宋体"/>
          <w:b/>
          <w:sz w:val="44"/>
          <w:szCs w:val="44"/>
        </w:rPr>
      </w:pPr>
      <w:bookmarkStart w:id="84" w:name="_Toc31761"/>
      <w:r>
        <w:rPr>
          <w:rFonts w:hint="eastAsia" w:ascii="宋体" w:hAnsi="宋体" w:cs="宋体"/>
          <w:b/>
          <w:sz w:val="44"/>
          <w:szCs w:val="44"/>
        </w:rPr>
        <w:t>第五章</w:t>
      </w:r>
      <w:bookmarkStart w:id="85" w:name="_Toc477186327"/>
      <w:bookmarkStart w:id="86" w:name="_Toc477185966"/>
      <w:r>
        <w:rPr>
          <w:rFonts w:hint="eastAsia" w:ascii="宋体" w:hAnsi="宋体" w:cs="宋体"/>
          <w:b/>
          <w:sz w:val="44"/>
          <w:szCs w:val="44"/>
        </w:rPr>
        <w:t xml:space="preserve">  投标文件格式</w:t>
      </w:r>
      <w:bookmarkEnd w:id="84"/>
      <w:bookmarkEnd w:id="85"/>
      <w:bookmarkEnd w:id="86"/>
    </w:p>
    <w:p>
      <w:pPr>
        <w:pStyle w:val="51"/>
        <w:ind w:firstLine="210"/>
        <w:rPr>
          <w:rFonts w:hint="eastAsia" w:ascii="宋体" w:hAnsi="宋体" w:cs="宋体"/>
          <w:szCs w:val="21"/>
        </w:rPr>
      </w:pPr>
      <w:r>
        <w:rPr>
          <w:rFonts w:hint="eastAsia" w:ascii="宋体" w:hAnsi="宋体" w:cs="宋体"/>
        </w:rPr>
        <w:br w:type="page"/>
      </w:r>
      <w:r>
        <w:rPr>
          <w:rFonts w:hint="eastAsia" w:ascii="宋体" w:hAnsi="宋体" w:cs="宋体"/>
          <w:b/>
          <w:sz w:val="28"/>
          <w:szCs w:val="28"/>
        </w:rPr>
        <w:t>一、投标文件封面格式</w:t>
      </w:r>
    </w:p>
    <w:p>
      <w:pPr>
        <w:pStyle w:val="51"/>
        <w:ind w:firstLine="210"/>
        <w:rPr>
          <w:rFonts w:hint="eastAsia" w:ascii="宋体" w:hAnsi="宋体" w:cs="宋体"/>
          <w:szCs w:val="21"/>
        </w:rPr>
      </w:pPr>
    </w:p>
    <w:p>
      <w:pPr>
        <w:pStyle w:val="51"/>
        <w:ind w:firstLine="210"/>
        <w:rPr>
          <w:rFonts w:hint="eastAsia" w:ascii="宋体" w:hAnsi="宋体" w:cs="宋体"/>
          <w:szCs w:val="21"/>
        </w:rPr>
      </w:pPr>
    </w:p>
    <w:p>
      <w:pPr>
        <w:pStyle w:val="51"/>
        <w:ind w:firstLine="210"/>
        <w:rPr>
          <w:rFonts w:hint="eastAsia" w:ascii="宋体" w:hAnsi="宋体" w:cs="宋体"/>
          <w:szCs w:val="21"/>
        </w:rPr>
      </w:pPr>
    </w:p>
    <w:p>
      <w:pPr>
        <w:pStyle w:val="4"/>
        <w:spacing w:before="20" w:after="20" w:line="360" w:lineRule="auto"/>
        <w:ind w:firstLine="560"/>
        <w:jc w:val="center"/>
        <w:rPr>
          <w:rFonts w:hint="eastAsia" w:ascii="宋体" w:hAnsi="宋体" w:cs="宋体"/>
          <w:sz w:val="28"/>
          <w:szCs w:val="28"/>
        </w:rPr>
      </w:pPr>
    </w:p>
    <w:p>
      <w:pPr>
        <w:pStyle w:val="21"/>
        <w:adjustRightInd w:val="0"/>
        <w:spacing w:before="48" w:beforeLines="20" w:after="48" w:afterLines="20"/>
        <w:ind w:firstLine="2100" w:firstLineChars="1000"/>
        <w:rPr>
          <w:rFonts w:hint="eastAsia" w:ascii="宋体" w:hAnsi="宋体" w:cs="宋体"/>
        </w:rPr>
      </w:pPr>
    </w:p>
    <w:p>
      <w:pPr>
        <w:pStyle w:val="21"/>
        <w:adjustRightInd w:val="0"/>
        <w:spacing w:before="48" w:beforeLines="20" w:after="48" w:afterLines="20"/>
        <w:ind w:firstLine="2100" w:firstLineChars="1000"/>
        <w:rPr>
          <w:rFonts w:hint="eastAsia" w:ascii="宋体" w:hAnsi="宋体" w:cs="宋体"/>
        </w:rPr>
      </w:pPr>
    </w:p>
    <w:p>
      <w:pPr>
        <w:adjustRightInd w:val="0"/>
        <w:snapToGrid w:val="0"/>
        <w:spacing w:before="48" w:beforeLines="20" w:after="48" w:afterLines="20" w:line="360" w:lineRule="auto"/>
        <w:rPr>
          <w:rFonts w:hint="eastAsia" w:ascii="宋体" w:hAnsi="宋体" w:cs="宋体"/>
          <w:u w:val="single"/>
        </w:rPr>
      </w:pPr>
    </w:p>
    <w:p>
      <w:pPr>
        <w:pStyle w:val="20"/>
        <w:adjustRightInd w:val="0"/>
        <w:snapToGrid w:val="0"/>
        <w:spacing w:before="48" w:beforeLines="20" w:after="48" w:afterLines="20" w:line="360" w:lineRule="auto"/>
        <w:jc w:val="center"/>
        <w:rPr>
          <w:rFonts w:hint="eastAsia" w:ascii="宋体" w:hAnsi="宋体" w:cs="宋体"/>
          <w:sz w:val="84"/>
        </w:rPr>
      </w:pPr>
      <w:r>
        <w:rPr>
          <w:rFonts w:hint="eastAsia" w:ascii="宋体" w:hAnsi="宋体" w:cs="宋体"/>
          <w:sz w:val="84"/>
        </w:rPr>
        <w:t>投  标  文  件</w:t>
      </w:r>
    </w:p>
    <w:p>
      <w:pPr>
        <w:pStyle w:val="20"/>
        <w:adjustRightInd w:val="0"/>
        <w:snapToGrid w:val="0"/>
        <w:spacing w:before="48" w:beforeLines="20" w:after="48" w:afterLines="20" w:line="360" w:lineRule="auto"/>
        <w:jc w:val="center"/>
        <w:rPr>
          <w:rFonts w:hint="eastAsia"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pStyle w:val="285"/>
        <w:suppressLineNumbers w:val="0"/>
        <w:adjustRightInd w:val="0"/>
        <w:snapToGrid w:val="0"/>
        <w:spacing w:before="48" w:beforeLines="20" w:after="48" w:afterLines="20" w:line="360" w:lineRule="auto"/>
        <w:rPr>
          <w:rFonts w:hint="eastAsia" w:ascii="宋体" w:hAnsi="宋体" w:cs="宋体"/>
          <w:bCs w:val="0"/>
        </w:rPr>
      </w:pPr>
    </w:p>
    <w:p>
      <w:pPr>
        <w:pStyle w:val="23"/>
        <w:adjustRightInd w:val="0"/>
        <w:snapToGrid w:val="0"/>
        <w:spacing w:before="48" w:beforeLines="20" w:after="48" w:afterLines="20" w:line="360" w:lineRule="auto"/>
        <w:ind w:left="130" w:leftChars="62" w:firstLine="711" w:firstLineChars="253"/>
        <w:rPr>
          <w:rFonts w:hint="eastAsia"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23"/>
        <w:adjustRightInd w:val="0"/>
        <w:snapToGrid w:val="0"/>
        <w:spacing w:before="48" w:beforeLines="20" w:after="48" w:afterLines="20" w:line="360" w:lineRule="auto"/>
        <w:ind w:left="130" w:leftChars="62" w:firstLine="711" w:firstLineChars="253"/>
        <w:rPr>
          <w:rFonts w:hint="eastAsia" w:ascii="宋体" w:hAnsi="宋体" w:cs="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b/>
          <w:sz w:val="28"/>
          <w:szCs w:val="28"/>
        </w:rPr>
      </w:pPr>
      <w:bookmarkStart w:id="87" w:name="_Hlt493478646"/>
      <w:bookmarkEnd w:id="87"/>
      <w:r>
        <w:rPr>
          <w:rFonts w:hint="eastAsia" w:ascii="宋体" w:hAnsi="宋体" w:cs="宋体"/>
          <w:b/>
          <w:sz w:val="28"/>
          <w:szCs w:val="28"/>
        </w:rPr>
        <w:t>二、自查表</w:t>
      </w:r>
    </w:p>
    <w:p>
      <w:pPr>
        <w:pStyle w:val="26"/>
        <w:rPr>
          <w:rFonts w:hint="eastAsia" w:hAnsi="宋体" w:cs="宋体"/>
        </w:rPr>
      </w:pPr>
    </w:p>
    <w:p>
      <w:pPr>
        <w:pStyle w:val="26"/>
        <w:rPr>
          <w:rFonts w:hint="eastAsia" w:hAnsi="宋体" w:cs="宋体"/>
        </w:rPr>
      </w:pPr>
    </w:p>
    <w:p>
      <w:pPr>
        <w:jc w:val="center"/>
        <w:rPr>
          <w:rFonts w:hint="eastAsia" w:ascii="宋体" w:hAnsi="宋体"/>
          <w:b/>
          <w:bCs/>
          <w:sz w:val="28"/>
        </w:rPr>
      </w:pPr>
      <w:r>
        <w:rPr>
          <w:rFonts w:hint="eastAsia" w:ascii="宋体" w:hAnsi="宋体"/>
          <w:b/>
          <w:sz w:val="28"/>
          <w:szCs w:val="28"/>
        </w:rPr>
        <w:t>符合性审查表（阶段一）</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vAlign w:val="center"/>
          </w:tcPr>
          <w:p>
            <w:pPr>
              <w:rPr>
                <w:rFonts w:hint="eastAsia" w:ascii="宋体" w:hAnsi="宋体"/>
                <w:szCs w:val="21"/>
              </w:rPr>
            </w:pPr>
            <w:r>
              <w:rPr>
                <w:rFonts w:hint="eastAsia" w:ascii="宋体" w:hAnsi="宋体" w:cs="宋体"/>
                <w:szCs w:val="21"/>
              </w:rPr>
              <w:t>符合合格投标人资格条件；</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vAlign w:val="center"/>
          </w:tcPr>
          <w:p>
            <w:pPr>
              <w:rPr>
                <w:rFonts w:hint="eastAsia"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vAlign w:val="center"/>
          </w:tcPr>
          <w:p>
            <w:pPr>
              <w:rPr>
                <w:rFonts w:hint="eastAsia" w:ascii="宋体" w:hAnsi="宋体"/>
                <w:szCs w:val="21"/>
              </w:rPr>
            </w:pPr>
            <w:r>
              <w:rPr>
                <w:rFonts w:hint="eastAsia" w:ascii="宋体" w:hAnsi="宋体" w:cs="宋体"/>
                <w:szCs w:val="21"/>
              </w:rPr>
              <w:t>投标有效期满足招标文件要求；</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vAlign w:val="center"/>
          </w:tcPr>
          <w:p>
            <w:pPr>
              <w:rPr>
                <w:rFonts w:hint="eastAsia" w:ascii="宋体" w:hAnsi="宋体"/>
                <w:szCs w:val="21"/>
              </w:rPr>
            </w:pPr>
            <w:r>
              <w:rPr>
                <w:rFonts w:hint="eastAsia" w:ascii="宋体" w:hAnsi="宋体" w:cs="宋体"/>
                <w:szCs w:val="21"/>
              </w:rPr>
              <w:t>按招标文件要求提交投标保证金；</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5</w:t>
            </w:r>
          </w:p>
        </w:tc>
        <w:tc>
          <w:tcPr>
            <w:tcW w:w="5049" w:type="dxa"/>
            <w:vAlign w:val="center"/>
          </w:tcPr>
          <w:p>
            <w:pPr>
              <w:rPr>
                <w:rFonts w:hint="eastAsia"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6</w:t>
            </w:r>
          </w:p>
        </w:tc>
        <w:tc>
          <w:tcPr>
            <w:tcW w:w="5049" w:type="dxa"/>
            <w:vAlign w:val="center"/>
          </w:tcPr>
          <w:p>
            <w:pPr>
              <w:rPr>
                <w:rFonts w:hint="eastAsia" w:ascii="宋体" w:hAnsi="宋体"/>
                <w:szCs w:val="21"/>
              </w:rPr>
            </w:pPr>
            <w:r>
              <w:rPr>
                <w:rFonts w:hint="eastAsia" w:ascii="宋体" w:hAnsi="宋体" w:cs="宋体"/>
                <w:szCs w:val="21"/>
              </w:rPr>
              <w:t>投标文件未附有招标人不能接受的条件的。</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szCs w:val="21"/>
        </w:rPr>
      </w:pPr>
    </w:p>
    <w:p>
      <w:pPr>
        <w:jc w:val="center"/>
        <w:rPr>
          <w:rFonts w:hint="eastAsia" w:ascii="宋体" w:hAnsi="宋体"/>
          <w:b/>
          <w:bCs/>
          <w:sz w:val="28"/>
        </w:rPr>
      </w:pPr>
      <w:r>
        <w:rPr>
          <w:rFonts w:hint="eastAsia" w:ascii="宋体" w:hAnsi="宋体"/>
          <w:b/>
          <w:sz w:val="28"/>
          <w:szCs w:val="28"/>
        </w:rPr>
        <w:t>符合性审查表（阶段二）</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vAlign w:val="center"/>
          </w:tcPr>
          <w:p>
            <w:pPr>
              <w:rPr>
                <w:rFonts w:hint="eastAsia"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vAlign w:val="center"/>
          </w:tcPr>
          <w:p>
            <w:pPr>
              <w:rPr>
                <w:rFonts w:hint="eastAsia" w:ascii="宋体" w:hAnsi="宋体"/>
                <w:szCs w:val="21"/>
              </w:rPr>
            </w:pPr>
            <w:r>
              <w:rPr>
                <w:rFonts w:hint="eastAsia" w:ascii="宋体" w:hAnsi="宋体" w:cs="宋体"/>
                <w:szCs w:val="21"/>
              </w:rPr>
              <w:t>投标人的投标报价没有超过本项目的最高限价；</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vAlign w:val="center"/>
          </w:tcPr>
          <w:p>
            <w:pPr>
              <w:rPr>
                <w:rFonts w:hint="eastAsia" w:ascii="宋体" w:hAnsi="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vAlign w:val="center"/>
          </w:tcPr>
          <w:p>
            <w:pPr>
              <w:rPr>
                <w:rFonts w:hint="eastAsia" w:ascii="宋体" w:hAnsi="宋体"/>
                <w:szCs w:val="21"/>
              </w:rPr>
            </w:pPr>
            <w:r>
              <w:rPr>
                <w:rFonts w:hint="eastAsia" w:ascii="宋体" w:hAnsi="宋体" w:cs="宋体"/>
                <w:kern w:val="0"/>
                <w:szCs w:val="21"/>
                <w:lang w:bidi="ar"/>
              </w:rPr>
              <w:t>无招标文件中规定的其他无效投标的内容。</w:t>
            </w:r>
          </w:p>
        </w:tc>
        <w:tc>
          <w:tcPr>
            <w:tcW w:w="2544" w:type="dxa"/>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cs="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cs="宋体"/>
          <w:b/>
          <w:bCs/>
          <w:sz w:val="28"/>
        </w:rPr>
      </w:pPr>
    </w:p>
    <w:p>
      <w:pPr>
        <w:jc w:val="center"/>
        <w:rPr>
          <w:rFonts w:hint="eastAsia" w:ascii="宋体" w:hAnsi="宋体" w:cs="宋体"/>
          <w:b/>
          <w:bCs/>
          <w:sz w:val="30"/>
        </w:rPr>
      </w:pPr>
      <w:r>
        <w:rPr>
          <w:rFonts w:hint="eastAsia" w:ascii="宋体" w:hAnsi="宋体" w:cs="宋体"/>
          <w:b/>
          <w:bCs/>
          <w:sz w:val="28"/>
        </w:rPr>
        <w:t>技术评审自查表</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Align w:val="center"/>
          </w:tcPr>
          <w:p>
            <w:pPr>
              <w:spacing w:line="240" w:lineRule="atLeast"/>
              <w:jc w:val="center"/>
              <w:rPr>
                <w:rFonts w:hint="eastAsia" w:ascii="宋体" w:hAnsi="宋体" w:cs="宋体"/>
                <w:b/>
                <w:szCs w:val="21"/>
              </w:rPr>
            </w:pPr>
            <w:r>
              <w:rPr>
                <w:rFonts w:hint="eastAsia" w:ascii="宋体" w:hAnsi="宋体" w:cs="宋体"/>
                <w:b/>
                <w:szCs w:val="21"/>
              </w:rPr>
              <w:t>序号</w:t>
            </w:r>
          </w:p>
        </w:tc>
        <w:tc>
          <w:tcPr>
            <w:tcW w:w="5036" w:type="dxa"/>
            <w:vAlign w:val="center"/>
          </w:tcPr>
          <w:p>
            <w:pPr>
              <w:spacing w:line="240" w:lineRule="atLeast"/>
              <w:jc w:val="center"/>
              <w:rPr>
                <w:rFonts w:hint="eastAsia" w:ascii="宋体" w:hAnsi="宋体" w:cs="宋体"/>
                <w:b/>
                <w:szCs w:val="21"/>
              </w:rPr>
            </w:pPr>
            <w:r>
              <w:rPr>
                <w:rFonts w:hint="eastAsia" w:ascii="宋体" w:hAnsi="宋体" w:cs="宋体"/>
                <w:b/>
                <w:szCs w:val="21"/>
              </w:rPr>
              <w:t>评审内容</w:t>
            </w:r>
          </w:p>
        </w:tc>
        <w:tc>
          <w:tcPr>
            <w:tcW w:w="2558" w:type="dxa"/>
            <w:vAlign w:val="center"/>
          </w:tcPr>
          <w:p>
            <w:pPr>
              <w:spacing w:line="240" w:lineRule="atLeast"/>
              <w:jc w:val="center"/>
              <w:rPr>
                <w:rFonts w:hint="eastAsia" w:ascii="宋体" w:hAnsi="宋体" w:cs="宋体"/>
                <w:b/>
                <w:szCs w:val="21"/>
              </w:rPr>
            </w:pPr>
            <w:r>
              <w:rPr>
                <w:rFonts w:hint="eastAsia" w:ascii="宋体" w:hAnsi="宋体" w:cs="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Align w:val="center"/>
          </w:tcPr>
          <w:p>
            <w:pPr>
              <w:spacing w:line="240" w:lineRule="exact"/>
              <w:jc w:val="center"/>
              <w:rPr>
                <w:rFonts w:hint="eastAsia" w:ascii="宋体" w:hAnsi="宋体" w:cs="宋体"/>
                <w:szCs w:val="21"/>
              </w:rPr>
            </w:pPr>
            <w:r>
              <w:rPr>
                <w:rFonts w:hint="eastAsia" w:ascii="宋体" w:hAnsi="宋体" w:cs="宋体"/>
                <w:szCs w:val="21"/>
              </w:rPr>
              <w:t>1</w:t>
            </w:r>
          </w:p>
        </w:tc>
        <w:tc>
          <w:tcPr>
            <w:tcW w:w="5036" w:type="dxa"/>
            <w:vAlign w:val="center"/>
          </w:tcPr>
          <w:p>
            <w:pPr>
              <w:pStyle w:val="225"/>
              <w:spacing w:line="360" w:lineRule="auto"/>
              <w:jc w:val="left"/>
              <w:rPr>
                <w:rFonts w:hint="eastAsia" w:ascii="宋体" w:hAnsi="宋体" w:cs="宋体"/>
                <w:szCs w:val="21"/>
              </w:rPr>
            </w:pPr>
          </w:p>
        </w:tc>
        <w:tc>
          <w:tcPr>
            <w:tcW w:w="2558" w:type="dxa"/>
            <w:vAlign w:val="center"/>
          </w:tcPr>
          <w:p>
            <w:pPr>
              <w:spacing w:line="240" w:lineRule="exact"/>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Align w:val="center"/>
          </w:tcPr>
          <w:p>
            <w:pPr>
              <w:spacing w:line="240" w:lineRule="exact"/>
              <w:jc w:val="center"/>
              <w:rPr>
                <w:rFonts w:hint="eastAsia" w:ascii="宋体" w:hAnsi="宋体" w:cs="宋体"/>
                <w:szCs w:val="21"/>
              </w:rPr>
            </w:pPr>
            <w:r>
              <w:rPr>
                <w:rFonts w:hint="eastAsia" w:ascii="宋体" w:hAnsi="宋体" w:cs="宋体"/>
                <w:szCs w:val="21"/>
              </w:rPr>
              <w:t>2</w:t>
            </w:r>
          </w:p>
        </w:tc>
        <w:tc>
          <w:tcPr>
            <w:tcW w:w="5036" w:type="dxa"/>
            <w:vAlign w:val="center"/>
          </w:tcPr>
          <w:p>
            <w:pPr>
              <w:pStyle w:val="225"/>
              <w:spacing w:line="360" w:lineRule="auto"/>
              <w:jc w:val="left"/>
              <w:rPr>
                <w:rFonts w:hint="eastAsia" w:ascii="宋体" w:hAnsi="宋体" w:cs="宋体"/>
                <w:szCs w:val="21"/>
              </w:rPr>
            </w:pPr>
          </w:p>
        </w:tc>
        <w:tc>
          <w:tcPr>
            <w:tcW w:w="2558" w:type="dxa"/>
            <w:vAlign w:val="center"/>
          </w:tcPr>
          <w:p>
            <w:pPr>
              <w:spacing w:line="240" w:lineRule="exact"/>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Align w:val="center"/>
          </w:tcPr>
          <w:p>
            <w:pPr>
              <w:spacing w:line="240" w:lineRule="exact"/>
              <w:jc w:val="center"/>
              <w:rPr>
                <w:rFonts w:hint="eastAsia" w:ascii="宋体" w:hAnsi="宋体" w:cs="宋体"/>
                <w:szCs w:val="21"/>
              </w:rPr>
            </w:pPr>
            <w:r>
              <w:rPr>
                <w:rFonts w:hint="eastAsia" w:ascii="宋体" w:hAnsi="宋体" w:cs="宋体"/>
                <w:szCs w:val="21"/>
              </w:rPr>
              <w:t>3</w:t>
            </w:r>
          </w:p>
        </w:tc>
        <w:tc>
          <w:tcPr>
            <w:tcW w:w="5036" w:type="dxa"/>
            <w:vAlign w:val="center"/>
          </w:tcPr>
          <w:p>
            <w:pPr>
              <w:spacing w:line="360" w:lineRule="auto"/>
              <w:jc w:val="left"/>
              <w:rPr>
                <w:rFonts w:hint="eastAsia" w:ascii="宋体" w:hAnsi="宋体" w:cs="宋体"/>
                <w:szCs w:val="21"/>
              </w:rPr>
            </w:pPr>
          </w:p>
        </w:tc>
        <w:tc>
          <w:tcPr>
            <w:tcW w:w="2558" w:type="dxa"/>
            <w:vAlign w:val="center"/>
          </w:tcPr>
          <w:p>
            <w:pPr>
              <w:spacing w:line="240" w:lineRule="exact"/>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Align w:val="center"/>
          </w:tcPr>
          <w:p>
            <w:pPr>
              <w:spacing w:line="240" w:lineRule="exact"/>
              <w:jc w:val="center"/>
              <w:rPr>
                <w:rFonts w:hint="eastAsia" w:ascii="宋体" w:hAnsi="宋体" w:cs="宋体"/>
                <w:szCs w:val="21"/>
              </w:rPr>
            </w:pPr>
            <w:r>
              <w:rPr>
                <w:rFonts w:hint="eastAsia" w:ascii="宋体" w:hAnsi="宋体" w:cs="宋体"/>
                <w:szCs w:val="21"/>
              </w:rPr>
              <w:t>4</w:t>
            </w:r>
          </w:p>
        </w:tc>
        <w:tc>
          <w:tcPr>
            <w:tcW w:w="5036" w:type="dxa"/>
            <w:vAlign w:val="center"/>
          </w:tcPr>
          <w:p>
            <w:pPr>
              <w:adjustRightInd w:val="0"/>
              <w:snapToGrid w:val="0"/>
              <w:jc w:val="left"/>
              <w:rPr>
                <w:rFonts w:hint="eastAsia" w:ascii="宋体" w:hAnsi="宋体" w:cs="宋体"/>
                <w:szCs w:val="21"/>
              </w:rPr>
            </w:pPr>
          </w:p>
        </w:tc>
        <w:tc>
          <w:tcPr>
            <w:tcW w:w="2558" w:type="dxa"/>
            <w:vAlign w:val="center"/>
          </w:tcPr>
          <w:p>
            <w:pPr>
              <w:spacing w:line="240" w:lineRule="exact"/>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Align w:val="center"/>
          </w:tcPr>
          <w:p>
            <w:pPr>
              <w:spacing w:line="240" w:lineRule="exact"/>
              <w:jc w:val="center"/>
              <w:rPr>
                <w:rFonts w:hint="eastAsia" w:ascii="宋体" w:hAnsi="宋体" w:cs="宋体"/>
                <w:szCs w:val="21"/>
              </w:rPr>
            </w:pPr>
          </w:p>
        </w:tc>
        <w:tc>
          <w:tcPr>
            <w:tcW w:w="5036" w:type="dxa"/>
            <w:vAlign w:val="center"/>
          </w:tcPr>
          <w:p>
            <w:pPr>
              <w:adjustRightInd w:val="0"/>
              <w:snapToGrid w:val="0"/>
              <w:jc w:val="left"/>
              <w:rPr>
                <w:rFonts w:hint="eastAsia" w:ascii="宋体" w:hAnsi="宋体" w:cs="宋体"/>
              </w:rPr>
            </w:pPr>
            <w:r>
              <w:rPr>
                <w:rFonts w:hint="eastAsia" w:ascii="宋体" w:hAnsi="宋体" w:cs="宋体"/>
              </w:rPr>
              <w:t>...</w:t>
            </w:r>
          </w:p>
        </w:tc>
        <w:tc>
          <w:tcPr>
            <w:tcW w:w="2558" w:type="dxa"/>
            <w:vAlign w:val="center"/>
          </w:tcPr>
          <w:p>
            <w:pPr>
              <w:spacing w:line="240" w:lineRule="exact"/>
              <w:rPr>
                <w:rFonts w:hint="eastAsia" w:ascii="宋体" w:hAnsi="宋体" w:cs="宋体"/>
                <w:szCs w:val="21"/>
              </w:rPr>
            </w:pPr>
          </w:p>
        </w:tc>
      </w:tr>
    </w:tbl>
    <w:p>
      <w:pPr>
        <w:pStyle w:val="19"/>
        <w:spacing w:after="0"/>
        <w:ind w:left="424" w:hanging="424" w:hangingChars="202"/>
        <w:rPr>
          <w:rFonts w:hint="eastAsia" w:ascii="宋体" w:hAnsi="宋体" w:cs="宋体"/>
          <w:sz w:val="21"/>
          <w:szCs w:val="21"/>
          <w:lang w:val="en-GB"/>
        </w:rPr>
      </w:pPr>
    </w:p>
    <w:p>
      <w:pPr>
        <w:pStyle w:val="19"/>
        <w:spacing w:after="0"/>
        <w:rPr>
          <w:rFonts w:hint="eastAsia" w:ascii="宋体" w:hAnsi="宋体" w:cs="宋体"/>
          <w:sz w:val="21"/>
          <w:szCs w:val="21"/>
        </w:rPr>
      </w:pPr>
    </w:p>
    <w:p>
      <w:pPr>
        <w:jc w:val="center"/>
        <w:rPr>
          <w:rFonts w:hint="eastAsia" w:ascii="宋体" w:hAnsi="宋体" w:cs="宋体"/>
          <w:b/>
          <w:bCs/>
          <w:sz w:val="28"/>
        </w:rPr>
      </w:pPr>
      <w:r>
        <w:rPr>
          <w:rFonts w:hint="eastAsia" w:ascii="宋体" w:hAnsi="宋体" w:cs="宋体"/>
          <w:b/>
          <w:bCs/>
          <w:sz w:val="28"/>
        </w:rPr>
        <w:t>商务评审自查表</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Align w:val="center"/>
          </w:tcPr>
          <w:p>
            <w:pPr>
              <w:jc w:val="center"/>
              <w:rPr>
                <w:rFonts w:hint="eastAsia" w:ascii="宋体" w:hAnsi="宋体" w:cs="宋体"/>
                <w:b/>
                <w:szCs w:val="21"/>
              </w:rPr>
            </w:pPr>
            <w:r>
              <w:rPr>
                <w:rFonts w:hint="eastAsia" w:ascii="宋体" w:hAnsi="宋体" w:cs="宋体"/>
                <w:b/>
                <w:szCs w:val="21"/>
              </w:rPr>
              <w:t>序号</w:t>
            </w:r>
          </w:p>
        </w:tc>
        <w:tc>
          <w:tcPr>
            <w:tcW w:w="5050" w:type="dxa"/>
            <w:vAlign w:val="center"/>
          </w:tcPr>
          <w:p>
            <w:pPr>
              <w:jc w:val="center"/>
              <w:rPr>
                <w:rFonts w:hint="eastAsia" w:ascii="宋体" w:hAnsi="宋体" w:cs="宋体"/>
                <w:b/>
                <w:szCs w:val="21"/>
              </w:rPr>
            </w:pPr>
            <w:r>
              <w:rPr>
                <w:rFonts w:hint="eastAsia" w:ascii="宋体" w:hAnsi="宋体" w:cs="宋体"/>
                <w:b/>
                <w:szCs w:val="21"/>
              </w:rPr>
              <w:t>评审内容</w:t>
            </w:r>
          </w:p>
        </w:tc>
        <w:tc>
          <w:tcPr>
            <w:tcW w:w="2562" w:type="dxa"/>
            <w:vAlign w:val="center"/>
          </w:tcPr>
          <w:p>
            <w:pPr>
              <w:jc w:val="center"/>
              <w:rPr>
                <w:rFonts w:hint="eastAsia" w:ascii="宋体" w:hAnsi="宋体" w:cs="宋体"/>
                <w:b/>
                <w:szCs w:val="21"/>
              </w:rPr>
            </w:pPr>
            <w:r>
              <w:rPr>
                <w:rFonts w:hint="eastAsia" w:ascii="宋体" w:hAnsi="宋体" w:cs="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Align w:val="center"/>
          </w:tcPr>
          <w:p>
            <w:pPr>
              <w:jc w:val="center"/>
              <w:rPr>
                <w:rFonts w:hint="eastAsia" w:ascii="宋体" w:hAnsi="宋体" w:cs="宋体"/>
                <w:szCs w:val="21"/>
              </w:rPr>
            </w:pPr>
            <w:r>
              <w:rPr>
                <w:rFonts w:hint="eastAsia" w:ascii="宋体" w:hAnsi="宋体" w:cs="宋体"/>
                <w:szCs w:val="21"/>
              </w:rPr>
              <w:t>1</w:t>
            </w:r>
          </w:p>
        </w:tc>
        <w:tc>
          <w:tcPr>
            <w:tcW w:w="5050" w:type="dxa"/>
            <w:vAlign w:val="center"/>
          </w:tcPr>
          <w:p>
            <w:pPr>
              <w:jc w:val="left"/>
              <w:rPr>
                <w:rFonts w:hint="eastAsia" w:ascii="宋体" w:hAnsi="宋体" w:cs="宋体"/>
                <w:szCs w:val="18"/>
              </w:rPr>
            </w:pPr>
          </w:p>
        </w:tc>
        <w:tc>
          <w:tcPr>
            <w:tcW w:w="2562" w:type="dxa"/>
            <w:vAlign w:val="center"/>
          </w:tcPr>
          <w:p>
            <w:pPr>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Align w:val="center"/>
          </w:tcPr>
          <w:p>
            <w:pPr>
              <w:jc w:val="center"/>
              <w:rPr>
                <w:rFonts w:hint="eastAsia" w:ascii="宋体" w:hAnsi="宋体" w:cs="宋体"/>
                <w:szCs w:val="21"/>
              </w:rPr>
            </w:pPr>
            <w:r>
              <w:rPr>
                <w:rFonts w:hint="eastAsia" w:ascii="宋体" w:hAnsi="宋体" w:cs="宋体"/>
                <w:szCs w:val="21"/>
              </w:rPr>
              <w:t>2</w:t>
            </w:r>
          </w:p>
        </w:tc>
        <w:tc>
          <w:tcPr>
            <w:tcW w:w="5050" w:type="dxa"/>
            <w:vAlign w:val="center"/>
          </w:tcPr>
          <w:p>
            <w:pPr>
              <w:jc w:val="left"/>
              <w:rPr>
                <w:rFonts w:hint="eastAsia" w:ascii="宋体" w:hAnsi="宋体" w:cs="宋体"/>
                <w:szCs w:val="18"/>
              </w:rPr>
            </w:pPr>
          </w:p>
        </w:tc>
        <w:tc>
          <w:tcPr>
            <w:tcW w:w="2562" w:type="dxa"/>
            <w:vAlign w:val="center"/>
          </w:tcPr>
          <w:p>
            <w:pPr>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Align w:val="center"/>
          </w:tcPr>
          <w:p>
            <w:pPr>
              <w:jc w:val="center"/>
              <w:rPr>
                <w:rFonts w:hint="eastAsia" w:ascii="宋体" w:hAnsi="宋体" w:cs="宋体"/>
                <w:szCs w:val="21"/>
              </w:rPr>
            </w:pPr>
            <w:r>
              <w:rPr>
                <w:rFonts w:hint="eastAsia" w:ascii="宋体" w:hAnsi="宋体" w:cs="宋体"/>
                <w:szCs w:val="21"/>
              </w:rPr>
              <w:t>3</w:t>
            </w:r>
          </w:p>
        </w:tc>
        <w:tc>
          <w:tcPr>
            <w:tcW w:w="5050" w:type="dxa"/>
            <w:vAlign w:val="center"/>
          </w:tcPr>
          <w:p>
            <w:pPr>
              <w:adjustRightInd w:val="0"/>
              <w:snapToGrid w:val="0"/>
              <w:jc w:val="left"/>
              <w:rPr>
                <w:rFonts w:hint="eastAsia" w:ascii="宋体" w:hAnsi="宋体" w:cs="宋体"/>
                <w:szCs w:val="18"/>
              </w:rPr>
            </w:pPr>
          </w:p>
        </w:tc>
        <w:tc>
          <w:tcPr>
            <w:tcW w:w="2562" w:type="dxa"/>
            <w:vAlign w:val="center"/>
          </w:tcPr>
          <w:p>
            <w:pPr>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Align w:val="center"/>
          </w:tcPr>
          <w:p>
            <w:pPr>
              <w:jc w:val="center"/>
              <w:rPr>
                <w:rFonts w:hint="eastAsia" w:ascii="宋体" w:hAnsi="宋体" w:cs="宋体"/>
                <w:szCs w:val="21"/>
              </w:rPr>
            </w:pPr>
            <w:r>
              <w:rPr>
                <w:rFonts w:hint="eastAsia" w:ascii="宋体" w:hAnsi="宋体" w:cs="宋体"/>
                <w:szCs w:val="21"/>
              </w:rPr>
              <w:t>4</w:t>
            </w:r>
          </w:p>
        </w:tc>
        <w:tc>
          <w:tcPr>
            <w:tcW w:w="5050" w:type="dxa"/>
            <w:vAlign w:val="center"/>
          </w:tcPr>
          <w:p>
            <w:pPr>
              <w:adjustRightInd w:val="0"/>
              <w:snapToGrid w:val="0"/>
              <w:jc w:val="left"/>
              <w:rPr>
                <w:rFonts w:hint="eastAsia" w:ascii="宋体" w:hAnsi="宋体" w:cs="宋体"/>
                <w:szCs w:val="18"/>
              </w:rPr>
            </w:pPr>
          </w:p>
        </w:tc>
        <w:tc>
          <w:tcPr>
            <w:tcW w:w="2562" w:type="dxa"/>
            <w:vAlign w:val="center"/>
          </w:tcPr>
          <w:p>
            <w:pPr>
              <w:rPr>
                <w:rFonts w:hint="eastAsia"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Align w:val="center"/>
          </w:tcPr>
          <w:p>
            <w:pPr>
              <w:jc w:val="center"/>
              <w:rPr>
                <w:rFonts w:hint="eastAsia" w:ascii="宋体" w:hAnsi="宋体" w:cs="宋体"/>
                <w:szCs w:val="21"/>
              </w:rPr>
            </w:pPr>
          </w:p>
        </w:tc>
        <w:tc>
          <w:tcPr>
            <w:tcW w:w="5050" w:type="dxa"/>
            <w:vAlign w:val="center"/>
          </w:tcPr>
          <w:p>
            <w:pPr>
              <w:adjustRightInd w:val="0"/>
              <w:snapToGrid w:val="0"/>
              <w:jc w:val="left"/>
              <w:rPr>
                <w:rFonts w:hint="eastAsia" w:ascii="宋体" w:hAnsi="宋体" w:cs="宋体"/>
              </w:rPr>
            </w:pPr>
            <w:r>
              <w:rPr>
                <w:rFonts w:hint="eastAsia" w:ascii="宋体" w:hAnsi="宋体" w:cs="宋体"/>
              </w:rPr>
              <w:t>...</w:t>
            </w:r>
          </w:p>
        </w:tc>
        <w:tc>
          <w:tcPr>
            <w:tcW w:w="2562" w:type="dxa"/>
            <w:vAlign w:val="center"/>
          </w:tcPr>
          <w:p>
            <w:pPr>
              <w:rPr>
                <w:rFonts w:hint="eastAsia" w:ascii="宋体" w:hAnsi="宋体" w:cs="宋体"/>
                <w:szCs w:val="21"/>
              </w:rPr>
            </w:pPr>
          </w:p>
        </w:tc>
      </w:tr>
    </w:tbl>
    <w:p>
      <w:pPr>
        <w:adjustRightInd w:val="0"/>
        <w:snapToGrid w:val="0"/>
        <w:rPr>
          <w:rFonts w:hint="eastAsia" w:ascii="宋体" w:hAnsi="宋体" w:cs="宋体"/>
          <w:szCs w:val="21"/>
          <w:lang w:val="en-GB"/>
        </w:rPr>
      </w:pPr>
    </w:p>
    <w:p>
      <w:pPr>
        <w:adjustRightInd w:val="0"/>
        <w:snapToGrid w:val="0"/>
        <w:rPr>
          <w:rFonts w:hint="eastAsia" w:ascii="宋体" w:hAnsi="宋体" w:cs="宋体"/>
          <w:szCs w:val="21"/>
        </w:rPr>
      </w:pPr>
      <w:r>
        <w:rPr>
          <w:rFonts w:hint="eastAsia" w:ascii="宋体" w:hAnsi="宋体" w:cs="宋体"/>
          <w:szCs w:val="21"/>
          <w:lang w:val="en-GB"/>
        </w:rPr>
        <w:t>注：</w:t>
      </w:r>
      <w:r>
        <w:rPr>
          <w:rFonts w:hint="eastAsia" w:ascii="宋体" w:hAnsi="宋体" w:cs="宋体"/>
          <w:szCs w:val="21"/>
        </w:rPr>
        <w:t>投标人应根据《技术评审表》《商务评审表》的各项内容填写此表，并附于投标文件中</w:t>
      </w:r>
      <w:r>
        <w:rPr>
          <w:rFonts w:hint="eastAsia" w:ascii="宋体" w:hAnsi="宋体" w:cs="宋体"/>
          <w:szCs w:val="21"/>
          <w:lang w:val="en-GB"/>
        </w:rPr>
        <w:t>。</w:t>
      </w:r>
    </w:p>
    <w:p>
      <w:pPr>
        <w:pStyle w:val="19"/>
        <w:spacing w:after="0"/>
        <w:rPr>
          <w:rFonts w:hint="eastAsia" w:ascii="宋体" w:hAnsi="宋体" w:cs="宋体"/>
          <w:sz w:val="21"/>
          <w:szCs w:val="21"/>
        </w:rPr>
      </w:pPr>
    </w:p>
    <w:p>
      <w:pPr>
        <w:pStyle w:val="19"/>
        <w:spacing w:after="0"/>
        <w:rPr>
          <w:rFonts w:hint="eastAsia" w:ascii="宋体" w:hAnsi="宋体" w:cs="宋体"/>
          <w:sz w:val="21"/>
          <w:szCs w:val="21"/>
        </w:rPr>
      </w:pPr>
      <w:r>
        <w:rPr>
          <w:rFonts w:hint="eastAsia" w:ascii="宋体" w:hAnsi="宋体" w:cs="宋体"/>
          <w:sz w:val="21"/>
          <w:szCs w:val="21"/>
        </w:rPr>
        <w:br w:type="page"/>
      </w:r>
    </w:p>
    <w:p>
      <w:pPr>
        <w:pStyle w:val="3"/>
        <w:numPr>
          <w:ilvl w:val="0"/>
          <w:numId w:val="0"/>
        </w:numPr>
        <w:ind w:left="422"/>
        <w:rPr>
          <w:rFonts w:hint="eastAsia" w:hAnsi="宋体" w:cs="宋体"/>
        </w:rPr>
      </w:pPr>
      <w:bookmarkStart w:id="88" w:name="_Toc455417781"/>
      <w:bookmarkStart w:id="89" w:name="_Toc118018363"/>
      <w:bookmarkStart w:id="90" w:name="_Toc477185967"/>
      <w:bookmarkStart w:id="91" w:name="_Toc476177986"/>
      <w:bookmarkStart w:id="92" w:name="_Toc477186328"/>
      <w:bookmarkStart w:id="93" w:name="_Toc476177427"/>
      <w:r>
        <w:rPr>
          <w:rFonts w:hint="eastAsia" w:hAnsi="宋体" w:cs="宋体"/>
        </w:rPr>
        <w:t>三、投标报价表格式</w:t>
      </w:r>
      <w:bookmarkEnd w:id="88"/>
      <w:bookmarkEnd w:id="89"/>
      <w:bookmarkEnd w:id="90"/>
      <w:bookmarkEnd w:id="91"/>
      <w:bookmarkEnd w:id="92"/>
      <w:bookmarkEnd w:id="93"/>
    </w:p>
    <w:p>
      <w:pPr>
        <w:pStyle w:val="26"/>
        <w:spacing w:line="360" w:lineRule="auto"/>
        <w:ind w:firstLine="359" w:firstLineChars="171"/>
        <w:rPr>
          <w:rFonts w:hint="eastAsia" w:hAnsi="宋体" w:cs="宋体"/>
          <w:szCs w:val="21"/>
        </w:rPr>
      </w:pPr>
      <w:r>
        <w:rPr>
          <w:rFonts w:hint="eastAsia" w:hAnsi="宋体" w:cs="宋体"/>
        </w:rPr>
        <w:t>投标人应按附表1.1～1.2的格式提交投标报价表。</w:t>
      </w:r>
      <w:r>
        <w:rPr>
          <w:rFonts w:hint="eastAsia" w:hAnsi="宋体" w:cs="宋体"/>
          <w:szCs w:val="21"/>
        </w:rPr>
        <w:tab/>
      </w:r>
    </w:p>
    <w:p>
      <w:pPr>
        <w:pStyle w:val="26"/>
        <w:spacing w:line="360" w:lineRule="auto"/>
        <w:ind w:firstLine="359" w:firstLineChars="171"/>
        <w:rPr>
          <w:rFonts w:hint="eastAsia" w:hAnsi="宋体" w:cs="宋体"/>
          <w:szCs w:val="21"/>
        </w:rPr>
      </w:pPr>
      <w:r>
        <w:rPr>
          <w:rFonts w:hint="eastAsia" w:hAnsi="宋体" w:cs="宋体"/>
          <w:szCs w:val="21"/>
        </w:rPr>
        <w:t>附表1.1开标一览表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7"/>
        <w:gridCol w:w="3417"/>
        <w:gridCol w:w="1321"/>
        <w:gridCol w:w="972"/>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Align w:val="center"/>
          </w:tcPr>
          <w:p>
            <w:pPr>
              <w:pStyle w:val="52"/>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项目名称</w:t>
            </w:r>
          </w:p>
        </w:tc>
        <w:tc>
          <w:tcPr>
            <w:tcW w:w="4278" w:type="dxa"/>
            <w:vAlign w:val="center"/>
          </w:tcPr>
          <w:p>
            <w:pPr>
              <w:pStyle w:val="52"/>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投标报价</w:t>
            </w:r>
          </w:p>
        </w:tc>
        <w:tc>
          <w:tcPr>
            <w:tcW w:w="1515" w:type="dxa"/>
            <w:vAlign w:val="center"/>
          </w:tcPr>
          <w:p>
            <w:pPr>
              <w:pStyle w:val="52"/>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税率</w:t>
            </w:r>
          </w:p>
        </w:tc>
        <w:tc>
          <w:tcPr>
            <w:tcW w:w="1155" w:type="dxa"/>
            <w:vAlign w:val="center"/>
          </w:tcPr>
          <w:p>
            <w:pPr>
              <w:pStyle w:val="52"/>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工期</w:t>
            </w:r>
          </w:p>
        </w:tc>
        <w:tc>
          <w:tcPr>
            <w:tcW w:w="1598" w:type="dxa"/>
            <w:vAlign w:val="center"/>
          </w:tcPr>
          <w:p>
            <w:pPr>
              <w:pStyle w:val="52"/>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6" w:type="dxa"/>
            <w:vAlign w:val="center"/>
          </w:tcPr>
          <w:p>
            <w:pPr>
              <w:spacing w:line="400" w:lineRule="exact"/>
              <w:jc w:val="center"/>
              <w:rPr>
                <w:rFonts w:hint="eastAsia" w:ascii="宋体" w:hAnsi="宋体" w:cs="宋体"/>
                <w:szCs w:val="21"/>
              </w:rPr>
            </w:pPr>
            <w:r>
              <w:rPr>
                <w:rFonts w:hint="eastAsia" w:ascii="宋体" w:hAnsi="宋体" w:cs="宋体"/>
                <w:szCs w:val="21"/>
              </w:rPr>
              <w:t>南方报业传媒集团私有云资源扩容项目</w:t>
            </w:r>
          </w:p>
        </w:tc>
        <w:tc>
          <w:tcPr>
            <w:tcW w:w="4278" w:type="dxa"/>
            <w:vAlign w:val="center"/>
          </w:tcPr>
          <w:p>
            <w:pPr>
              <w:pStyle w:val="52"/>
              <w:spacing w:after="0" w:line="400" w:lineRule="exact"/>
              <w:ind w:left="0" w:leftChars="0" w:firstLine="0" w:firstLineChars="0"/>
              <w:rPr>
                <w:rFonts w:hint="eastAsia" w:ascii="宋体" w:hAnsi="宋体" w:cs="宋体"/>
                <w:kern w:val="2"/>
                <w:sz w:val="21"/>
                <w:szCs w:val="21"/>
              </w:rPr>
            </w:pPr>
            <w:r>
              <w:rPr>
                <w:rFonts w:hint="eastAsia" w:ascii="宋体" w:hAnsi="宋体" w:cs="宋体"/>
                <w:kern w:val="2"/>
                <w:sz w:val="21"/>
                <w:szCs w:val="21"/>
              </w:rPr>
              <w:t>投标报价（含增值税）（元 人民币）：</w:t>
            </w:r>
          </w:p>
          <w:p>
            <w:pPr>
              <w:pStyle w:val="52"/>
              <w:spacing w:after="0" w:line="400" w:lineRule="exact"/>
              <w:ind w:left="0" w:leftChars="0" w:firstLine="0" w:firstLineChars="0"/>
              <w:rPr>
                <w:rFonts w:hint="eastAsia" w:ascii="宋体" w:hAnsi="宋体" w:cs="宋体"/>
                <w:kern w:val="2"/>
                <w:sz w:val="21"/>
                <w:szCs w:val="21"/>
                <w:u w:val="single"/>
              </w:rPr>
            </w:pPr>
            <w:r>
              <w:rPr>
                <w:rFonts w:hint="eastAsia" w:ascii="宋体" w:hAnsi="宋体" w:cs="宋体"/>
                <w:kern w:val="2"/>
                <w:sz w:val="21"/>
                <w:szCs w:val="21"/>
              </w:rPr>
              <w:t>大写：人民币</w:t>
            </w:r>
            <w:r>
              <w:rPr>
                <w:rFonts w:hint="eastAsia" w:ascii="宋体" w:hAnsi="宋体" w:cs="宋体"/>
                <w:kern w:val="2"/>
                <w:sz w:val="21"/>
                <w:szCs w:val="21"/>
                <w:u w:val="single"/>
              </w:rPr>
              <w:t xml:space="preserve">                       </w:t>
            </w:r>
          </w:p>
          <w:p>
            <w:pPr>
              <w:pStyle w:val="52"/>
              <w:spacing w:after="0" w:line="400" w:lineRule="exact"/>
              <w:ind w:left="0" w:leftChars="0" w:firstLine="0" w:firstLineChars="0"/>
              <w:rPr>
                <w:rFonts w:hint="eastAsia" w:ascii="宋体" w:hAnsi="宋体" w:cs="宋体"/>
                <w:kern w:val="2"/>
                <w:sz w:val="21"/>
                <w:szCs w:val="21"/>
                <w:u w:val="single"/>
              </w:rPr>
            </w:pPr>
            <w:r>
              <w:rPr>
                <w:rFonts w:hint="eastAsia" w:ascii="宋体" w:hAnsi="宋体" w:cs="宋体"/>
                <w:kern w:val="2"/>
                <w:sz w:val="21"/>
                <w:szCs w:val="21"/>
              </w:rPr>
              <w:t>小写：¥</w:t>
            </w:r>
            <w:r>
              <w:rPr>
                <w:rFonts w:hint="eastAsia" w:ascii="宋体" w:hAnsi="宋体" w:cs="宋体"/>
                <w:kern w:val="2"/>
                <w:sz w:val="21"/>
                <w:szCs w:val="21"/>
                <w:u w:val="single"/>
              </w:rPr>
              <w:t xml:space="preserve">                            </w:t>
            </w:r>
          </w:p>
        </w:tc>
        <w:tc>
          <w:tcPr>
            <w:tcW w:w="1515" w:type="dxa"/>
            <w:vAlign w:val="center"/>
          </w:tcPr>
          <w:p>
            <w:pPr>
              <w:pStyle w:val="52"/>
              <w:spacing w:after="0" w:line="400" w:lineRule="exact"/>
              <w:ind w:left="0" w:leftChars="0"/>
              <w:jc w:val="center"/>
              <w:rPr>
                <w:rFonts w:hint="eastAsia" w:ascii="宋体" w:hAnsi="宋体" w:cs="宋体"/>
                <w:kern w:val="2"/>
                <w:sz w:val="21"/>
                <w:szCs w:val="21"/>
              </w:rPr>
            </w:pPr>
            <w:r>
              <w:rPr>
                <w:rFonts w:hint="eastAsia" w:ascii="宋体" w:hAnsi="宋体" w:cs="宋体"/>
                <w:kern w:val="2"/>
                <w:sz w:val="21"/>
                <w:szCs w:val="21"/>
              </w:rPr>
              <w:t>%</w:t>
            </w:r>
          </w:p>
        </w:tc>
        <w:tc>
          <w:tcPr>
            <w:tcW w:w="1155" w:type="dxa"/>
            <w:vAlign w:val="center"/>
          </w:tcPr>
          <w:p>
            <w:pPr>
              <w:pStyle w:val="52"/>
              <w:spacing w:after="0" w:line="400" w:lineRule="exact"/>
              <w:ind w:left="0" w:leftChars="0"/>
              <w:jc w:val="center"/>
              <w:rPr>
                <w:rFonts w:hint="eastAsia" w:ascii="宋体" w:hAnsi="宋体" w:cs="宋体"/>
                <w:kern w:val="2"/>
                <w:sz w:val="21"/>
                <w:szCs w:val="21"/>
              </w:rPr>
            </w:pPr>
          </w:p>
        </w:tc>
        <w:tc>
          <w:tcPr>
            <w:tcW w:w="1598" w:type="dxa"/>
            <w:vAlign w:val="center"/>
          </w:tcPr>
          <w:p>
            <w:pPr>
              <w:pStyle w:val="52"/>
              <w:spacing w:after="0" w:line="400" w:lineRule="exact"/>
              <w:ind w:left="0" w:leftChars="0"/>
              <w:jc w:val="center"/>
              <w:rPr>
                <w:rFonts w:hint="eastAsia" w:ascii="宋体" w:hAnsi="宋体" w:cs="宋体"/>
                <w:kern w:val="2"/>
                <w:sz w:val="21"/>
                <w:szCs w:val="21"/>
              </w:rPr>
            </w:pPr>
          </w:p>
        </w:tc>
      </w:tr>
    </w:tbl>
    <w:p/>
    <w:p>
      <w:pPr>
        <w:pStyle w:val="26"/>
        <w:snapToGrid w:val="0"/>
        <w:ind w:right="120" w:rightChars="57"/>
        <w:jc w:val="left"/>
        <w:rPr>
          <w:rFonts w:hint="eastAsia" w:hAnsi="宋体" w:cs="宋体"/>
          <w:b/>
        </w:rPr>
      </w:pPr>
      <w:r>
        <w:rPr>
          <w:rFonts w:hint="eastAsia" w:hAnsi="宋体" w:cs="宋体"/>
          <w:b/>
        </w:rPr>
        <w:t>注：</w:t>
      </w:r>
    </w:p>
    <w:p>
      <w:pPr>
        <w:pStyle w:val="26"/>
        <w:snapToGrid w:val="0"/>
        <w:ind w:right="120" w:rightChars="57"/>
        <w:jc w:val="left"/>
        <w:rPr>
          <w:rFonts w:hint="eastAsia" w:hAnsi="宋体" w:cs="宋体"/>
          <w:b/>
        </w:rPr>
      </w:pPr>
      <w:r>
        <w:rPr>
          <w:rFonts w:hint="eastAsia" w:hAnsi="宋体" w:cs="宋体"/>
          <w:b/>
        </w:rPr>
        <w:t>1.增值税税率必须按照国家标准填写，如投标人的税率与国家标准不一致，招标人有权调整其税率。</w:t>
      </w:r>
    </w:p>
    <w:p>
      <w:pPr>
        <w:pStyle w:val="26"/>
        <w:snapToGrid w:val="0"/>
        <w:ind w:right="120" w:rightChars="57"/>
        <w:jc w:val="left"/>
        <w:rPr>
          <w:rFonts w:hint="eastAsia" w:hAnsi="宋体" w:cs="宋体"/>
          <w:b/>
        </w:rPr>
      </w:pPr>
      <w:r>
        <w:rPr>
          <w:rFonts w:hint="eastAsia" w:hAnsi="宋体" w:cs="宋体"/>
          <w:b/>
        </w:rPr>
        <w:t>2.投标报价超过最高限价的属于无效投标。</w:t>
      </w:r>
    </w:p>
    <w:p>
      <w:pPr>
        <w:pStyle w:val="26"/>
        <w:snapToGrid w:val="0"/>
        <w:ind w:right="120" w:rightChars="57"/>
        <w:jc w:val="left"/>
        <w:rPr>
          <w:rFonts w:hint="eastAsia" w:hAnsi="宋体" w:cs="宋体"/>
          <w:b/>
        </w:rPr>
      </w:pPr>
      <w:r>
        <w:rPr>
          <w:rFonts w:hint="eastAsia" w:hAnsi="宋体" w:cs="宋体"/>
          <w:b/>
        </w:rPr>
        <w:t>3.投标报价是所有需招标人支付本次招标的金额总数。</w:t>
      </w:r>
    </w:p>
    <w:p>
      <w:pPr>
        <w:pStyle w:val="26"/>
        <w:snapToGrid w:val="0"/>
        <w:ind w:right="120" w:rightChars="57"/>
        <w:jc w:val="left"/>
        <w:rPr>
          <w:rFonts w:hint="eastAsia" w:hAnsi="宋体" w:cs="宋体"/>
          <w:b/>
          <w:bCs/>
        </w:rPr>
      </w:pPr>
      <w:r>
        <w:rPr>
          <w:rFonts w:hint="eastAsia" w:hAnsi="宋体" w:cs="宋体"/>
          <w:b/>
        </w:rPr>
        <w:t>4.若投标人</w:t>
      </w:r>
      <w:r>
        <w:rPr>
          <w:rFonts w:hint="eastAsia" w:hAnsi="宋体" w:cs="宋体"/>
          <w:b/>
          <w:bCs/>
        </w:rPr>
        <w:t>未按要求填写上述表格，将按投标无效处理。</w:t>
      </w:r>
    </w:p>
    <w:p>
      <w:pPr>
        <w:pStyle w:val="26"/>
        <w:spacing w:line="360" w:lineRule="auto"/>
        <w:ind w:left="735" w:hanging="735"/>
        <w:rPr>
          <w:rFonts w:hint="eastAsia" w:hAnsi="宋体" w:cs="宋体"/>
          <w:b/>
          <w:bCs/>
        </w:rPr>
      </w:pPr>
      <w:r>
        <w:rPr>
          <w:rFonts w:hint="eastAsia" w:hAnsi="宋体" w:cs="宋体"/>
        </w:rPr>
        <w:t xml:space="preserve">  </w:t>
      </w:r>
    </w:p>
    <w:p>
      <w:pPr>
        <w:pStyle w:val="26"/>
        <w:spacing w:line="360" w:lineRule="auto"/>
        <w:rPr>
          <w:rFonts w:hint="eastAsia" w:hAnsi="宋体" w:cs="宋体"/>
          <w:bCs/>
        </w:rPr>
      </w:pPr>
      <w:r>
        <w:rPr>
          <w:rFonts w:hint="eastAsia" w:hAnsi="宋体" w:cs="宋体"/>
        </w:rPr>
        <w:t xml:space="preserve">   </w:t>
      </w:r>
    </w:p>
    <w:p>
      <w:pPr>
        <w:pStyle w:val="26"/>
        <w:jc w:val="left"/>
        <w:rPr>
          <w:rFonts w:hint="eastAsia" w:hAnsi="宋体" w:cs="宋体"/>
        </w:rPr>
      </w:pPr>
      <w:r>
        <w:rPr>
          <w:rFonts w:hint="eastAsia" w:hAnsi="宋体" w:cs="宋体"/>
        </w:rPr>
        <w:t>投标人名称:（盖章）</w:t>
      </w:r>
    </w:p>
    <w:p>
      <w:pPr>
        <w:pStyle w:val="26"/>
        <w:jc w:val="left"/>
        <w:rPr>
          <w:rFonts w:hint="eastAsia" w:hAnsi="宋体" w:cs="宋体"/>
        </w:rPr>
      </w:pPr>
      <w:r>
        <w:rPr>
          <w:rFonts w:hint="eastAsia" w:hAnsi="宋体" w:cs="宋体"/>
        </w:rPr>
        <w:t>投标人法定代表人或其授权代表（签名或盖章）：</w:t>
      </w:r>
    </w:p>
    <w:p>
      <w:pPr>
        <w:pStyle w:val="26"/>
        <w:jc w:val="left"/>
        <w:rPr>
          <w:rFonts w:hint="eastAsia" w:hAnsi="宋体" w:cs="宋体"/>
        </w:rPr>
        <w:sectPr>
          <w:headerReference r:id="rId8" w:type="default"/>
          <w:footerReference r:id="rId9" w:type="default"/>
          <w:pgSz w:w="11907" w:h="16840"/>
          <w:pgMar w:top="1418" w:right="1701" w:bottom="1418" w:left="1701" w:header="737" w:footer="737" w:gutter="0"/>
          <w:cols w:space="720" w:num="1"/>
          <w:docGrid w:linePitch="285" w:charSpace="0"/>
        </w:sectPr>
      </w:pPr>
      <w:r>
        <w:rPr>
          <w:rFonts w:hint="eastAsia" w:hAnsi="宋体" w:cs="宋体"/>
        </w:rPr>
        <w:t>日期：    年   月   日</w:t>
      </w:r>
    </w:p>
    <w:p>
      <w:pPr>
        <w:pStyle w:val="26"/>
        <w:spacing w:line="480" w:lineRule="auto"/>
        <w:rPr>
          <w:rFonts w:hint="eastAsia" w:hAnsi="宋体" w:cs="宋体"/>
        </w:rPr>
      </w:pPr>
      <w:bookmarkStart w:id="94" w:name="_Toc455417782"/>
      <w:bookmarkStart w:id="95" w:name="_Toc476177431"/>
      <w:bookmarkStart w:id="96" w:name="_Toc118018364"/>
      <w:bookmarkStart w:id="97" w:name="_Toc476177990"/>
      <w:bookmarkStart w:id="98" w:name="_Toc496161872"/>
      <w:r>
        <w:rPr>
          <w:rFonts w:hint="eastAsia" w:hAnsi="宋体" w:cs="宋体"/>
        </w:rPr>
        <w:t>附表1.2</w:t>
      </w:r>
    </w:p>
    <w:p>
      <w:pPr>
        <w:jc w:val="center"/>
        <w:rPr>
          <w:rFonts w:hint="eastAsia" w:ascii="宋体" w:hAnsi="宋体" w:cs="宋体"/>
          <w:b/>
          <w:sz w:val="24"/>
        </w:rPr>
      </w:pPr>
      <w:r>
        <w:rPr>
          <w:rFonts w:hint="eastAsia" w:ascii="宋体" w:hAnsi="宋体" w:cs="宋体"/>
          <w:b/>
          <w:sz w:val="24"/>
        </w:rPr>
        <w:t>南方报业传媒集团私有云资源扩容项目</w:t>
      </w:r>
    </w:p>
    <w:p>
      <w:pPr>
        <w:tabs>
          <w:tab w:val="left" w:pos="7088"/>
        </w:tabs>
        <w:spacing w:before="120" w:after="120" w:line="360" w:lineRule="exact"/>
        <w:rPr>
          <w:rFonts w:hint="eastAsia" w:ascii="宋体" w:hAnsi="宋体" w:cs="宋体"/>
          <w:szCs w:val="21"/>
        </w:rPr>
      </w:pPr>
      <w:r>
        <w:rPr>
          <w:rFonts w:hint="eastAsia" w:ascii="宋体" w:hAnsi="宋体" w:cs="宋体"/>
          <w:szCs w:val="21"/>
        </w:rPr>
        <w:t>（1）项目详细报价表</w:t>
      </w:r>
    </w:p>
    <w:p>
      <w:pPr>
        <w:tabs>
          <w:tab w:val="left" w:pos="7088"/>
        </w:tabs>
        <w:spacing w:before="120" w:after="120" w:line="360" w:lineRule="exact"/>
        <w:jc w:val="right"/>
        <w:rPr>
          <w:rFonts w:hint="eastAsia" w:ascii="宋体" w:hAnsi="宋体" w:cs="宋体"/>
          <w:szCs w:val="21"/>
        </w:rPr>
      </w:pPr>
      <w:r>
        <w:rPr>
          <w:rFonts w:hint="eastAsia" w:ascii="宋体" w:hAnsi="宋体" w:cs="宋体"/>
          <w:szCs w:val="21"/>
        </w:rPr>
        <w:t>金额单位：元（人民币）</w:t>
      </w:r>
    </w:p>
    <w:tbl>
      <w:tblPr>
        <w:tblStyle w:val="53"/>
        <w:tblW w:w="10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423"/>
        <w:gridCol w:w="2412"/>
        <w:gridCol w:w="992"/>
        <w:gridCol w:w="992"/>
        <w:gridCol w:w="992"/>
        <w:gridCol w:w="1276"/>
        <w:gridCol w:w="1134"/>
        <w:gridCol w:w="1275"/>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569"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序号</w:t>
            </w:r>
          </w:p>
        </w:tc>
        <w:tc>
          <w:tcPr>
            <w:tcW w:w="2835" w:type="dxa"/>
            <w:gridSpan w:val="2"/>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分项名称（分项格式）</w:t>
            </w:r>
          </w:p>
        </w:tc>
        <w:tc>
          <w:tcPr>
            <w:tcW w:w="992" w:type="dxa"/>
            <w:tcBorders>
              <w:left w:val="single" w:color="auto" w:sz="4" w:space="0"/>
              <w:bottom w:val="single" w:color="auto" w:sz="4" w:space="0"/>
              <w:right w:val="single" w:color="auto" w:sz="4" w:space="0"/>
            </w:tcBorders>
          </w:tcPr>
          <w:p>
            <w:pPr>
              <w:jc w:val="center"/>
              <w:rPr>
                <w:rFonts w:hint="eastAsia" w:ascii="宋体" w:hAnsi="宋体" w:cs="宋体"/>
                <w:b/>
                <w:szCs w:val="21"/>
              </w:rPr>
            </w:pPr>
          </w:p>
          <w:p>
            <w:pPr>
              <w:jc w:val="center"/>
              <w:rPr>
                <w:rFonts w:hint="eastAsia" w:ascii="宋体" w:hAnsi="宋体" w:cs="宋体"/>
                <w:b/>
                <w:szCs w:val="21"/>
              </w:rPr>
            </w:pPr>
            <w:r>
              <w:rPr>
                <w:rFonts w:hint="eastAsia" w:ascii="宋体" w:hAnsi="宋体" w:cs="宋体"/>
                <w:b/>
                <w:szCs w:val="21"/>
              </w:rPr>
              <w:t>品牌及型号</w:t>
            </w:r>
          </w:p>
        </w:tc>
        <w:tc>
          <w:tcPr>
            <w:tcW w:w="992"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数量</w:t>
            </w:r>
          </w:p>
        </w:tc>
        <w:tc>
          <w:tcPr>
            <w:tcW w:w="992"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单价（不含增值税）(元)</w:t>
            </w:r>
          </w:p>
        </w:tc>
        <w:tc>
          <w:tcPr>
            <w:tcW w:w="1276"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金额（不含增值税）(元)</w:t>
            </w:r>
          </w:p>
        </w:tc>
        <w:tc>
          <w:tcPr>
            <w:tcW w:w="1134"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增值税税率</w:t>
            </w:r>
          </w:p>
        </w:tc>
        <w:tc>
          <w:tcPr>
            <w:tcW w:w="1275"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增值税税额(元)</w:t>
            </w:r>
          </w:p>
        </w:tc>
        <w:tc>
          <w:tcPr>
            <w:tcW w:w="850" w:type="dxa"/>
            <w:tcBorders>
              <w:left w:val="single" w:color="auto" w:sz="4" w:space="0"/>
              <w:bottom w:val="single" w:color="auto" w:sz="4" w:space="0"/>
              <w:right w:val="single" w:color="auto" w:sz="4" w:space="0"/>
            </w:tcBorders>
            <w:vAlign w:val="center"/>
          </w:tcPr>
          <w:p>
            <w:pPr>
              <w:jc w:val="center"/>
              <w:rPr>
                <w:rFonts w:hint="eastAsia" w:ascii="宋体" w:hAnsi="宋体" w:cs="宋体"/>
                <w:b/>
                <w:szCs w:val="21"/>
              </w:rPr>
            </w:pPr>
            <w:r>
              <w:rPr>
                <w:rFonts w:hint="eastAsia" w:ascii="宋体" w:hAnsi="宋体" w:cs="宋体"/>
                <w:b/>
                <w:szCs w:val="21"/>
              </w:rPr>
              <w:t>价税合计(元)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1.1</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kern w:val="0"/>
                <w:szCs w:val="21"/>
              </w:rPr>
              <w:t>云资源服务器1</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1.2</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kern w:val="0"/>
                <w:szCs w:val="21"/>
              </w:rPr>
              <w:t>云资源服务器2</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1.3</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kern w:val="0"/>
                <w:szCs w:val="21"/>
              </w:rPr>
            </w:pPr>
            <w:r>
              <w:rPr>
                <w:rFonts w:hint="eastAsia" w:ascii="宋体" w:hAnsi="宋体" w:cs="宋体"/>
                <w:kern w:val="0"/>
                <w:szCs w:val="21"/>
              </w:rPr>
              <w:t>云资源服务器3</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1.4</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kern w:val="0"/>
                <w:szCs w:val="21"/>
              </w:rPr>
              <w:t>云资源服务器4</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2.1</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kern w:val="0"/>
                <w:szCs w:val="21"/>
              </w:rPr>
              <w:t>交换机1</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10</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2.2</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kern w:val="0"/>
                <w:szCs w:val="21"/>
              </w:rPr>
              <w:t>交换机2</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2</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3.1</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kern w:val="0"/>
                <w:szCs w:val="21"/>
              </w:rPr>
              <w:t>块存储服务器</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4</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3.2</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备份存储服务器</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3.3</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高性能存储服务器</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4</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容灾备份一台机（含授权）</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5</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云平台软件（含CPU和高性能存储授权）</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6</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国产操作系统</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3</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7</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容器云平台（含授权）</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8</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系统集成实施服务（含服务器搬迁和整体项目实施）</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1</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ascii="宋体" w:hAnsi="宋体" w:cs="宋体"/>
                <w:szCs w:val="21"/>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ascii="宋体" w:hAnsi="宋体" w:cs="宋体"/>
                <w:szCs w:val="21"/>
              </w:rPr>
              <w:t>…</w:t>
            </w: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2" w:type="dxa"/>
            <w:gridSpan w:val="2"/>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5388"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 xml:space="preserve">                    合计</w:t>
            </w: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c>
          <w:tcPr>
            <w:tcW w:w="1134"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r>
              <mc:AlternateContent>
                <mc:Choice Requires="wps">
                  <w:drawing>
                    <wp:anchor distT="0" distB="0" distL="114300" distR="114300" simplePos="0" relativeHeight="251662336" behindDoc="0" locked="0" layoutInCell="1" allowOverlap="1">
                      <wp:simplePos x="0" y="0"/>
                      <wp:positionH relativeFrom="column">
                        <wp:posOffset>-64770</wp:posOffset>
                      </wp:positionH>
                      <wp:positionV relativeFrom="paragraph">
                        <wp:posOffset>-6350</wp:posOffset>
                      </wp:positionV>
                      <wp:extent cx="689610" cy="362585"/>
                      <wp:effectExtent l="0" t="0" r="8890" b="5715"/>
                      <wp:wrapNone/>
                      <wp:docPr id="594801632" name="直线箭头连接符 12"/>
                      <wp:cNvGraphicFramePr/>
                      <a:graphic xmlns:a="http://schemas.openxmlformats.org/drawingml/2006/main">
                        <a:graphicData uri="http://schemas.microsoft.com/office/word/2010/wordprocessingShape">
                          <wps:wsp>
                            <wps:cNvCnPr>
                              <a:cxnSpLocks noChangeShapeType="1"/>
                            </wps:cNvCnPr>
                            <wps:spPr bwMode="auto">
                              <a:xfrm flipV="1">
                                <a:off x="0" y="0"/>
                                <a:ext cx="689610" cy="362585"/>
                              </a:xfrm>
                              <a:prstGeom prst="straightConnector1">
                                <a:avLst/>
                              </a:prstGeom>
                              <a:noFill/>
                              <a:ln w="9525">
                                <a:solidFill>
                                  <a:srgbClr val="000000"/>
                                </a:solidFill>
                                <a:round/>
                              </a:ln>
                            </wps:spPr>
                            <wps:bodyPr/>
                          </wps:wsp>
                        </a:graphicData>
                      </a:graphic>
                    </wp:anchor>
                  </w:drawing>
                </mc:Choice>
                <mc:Fallback>
                  <w:pict>
                    <v:shape id="直线箭头连接符 12" o:spid="_x0000_s1026" o:spt="32" type="#_x0000_t32" style="position:absolute;left:0pt;flip:y;margin-left:-5.1pt;margin-top:-0.5pt;height:28.55pt;width:54.3pt;z-index:251662336;mso-width-relative:page;mso-height-relative:page;" filled="f" stroked="t" coordsize="21600,21600" o:gfxdata="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5ZWkTWAAAACAEAAA8AAAAAAAAAAQAgAAAAIgAA&#10;AGRycy9kb3ducmV2LnhtbFBLAQIUABQAAAAIAIdO4kBHjHgKCgIAANUDAAAOAAAAAAAAAAEAIAAA&#10;ACUBAABkcnMvZTJvRG9jLnhtbFBLBQYAAAAABgAGAFkBAAChBQAAAAA=&#10;">
                      <v:fill on="f" focussize="0,0"/>
                      <v:stroke color="#000000" joinstyle="round"/>
                      <v:imagedata o:title=""/>
                      <o:lock v:ext="edit" aspectratio="f"/>
                    </v:shape>
                  </w:pict>
                </mc:Fallback>
              </mc:AlternateContent>
            </w:r>
          </w:p>
        </w:tc>
        <w:tc>
          <w:tcPr>
            <w:tcW w:w="1275"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992" w:type="dxa"/>
            <w:gridSpan w:val="2"/>
            <w:tcBorders>
              <w:top w:val="single" w:color="auto" w:sz="4" w:space="0"/>
              <w:left w:val="single" w:color="auto" w:sz="4" w:space="0"/>
              <w:right w:val="single" w:color="auto" w:sz="4" w:space="0"/>
            </w:tcBorders>
          </w:tcPr>
          <w:p>
            <w:pPr>
              <w:spacing w:line="360" w:lineRule="auto"/>
              <w:rPr>
                <w:rFonts w:hint="eastAsia" w:ascii="宋体" w:hAnsi="宋体" w:cs="宋体"/>
                <w:szCs w:val="21"/>
              </w:rPr>
            </w:pPr>
          </w:p>
        </w:tc>
        <w:tc>
          <w:tcPr>
            <w:tcW w:w="9923" w:type="dxa"/>
            <w:gridSpan w:val="8"/>
            <w:tcBorders>
              <w:top w:val="single" w:color="auto" w:sz="4" w:space="0"/>
              <w:left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价税合计总额（投标报价）：</w:t>
            </w:r>
            <w:r>
              <w:rPr>
                <w:rFonts w:hint="eastAsia" w:ascii="宋体" w:hAnsi="宋体" w:cs="宋体"/>
                <w:bCs/>
                <w:kern w:val="0"/>
                <w:szCs w:val="21"/>
              </w:rPr>
              <w:t>小写：¥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bCs/>
                <w:kern w:val="0"/>
                <w:szCs w:val="21"/>
              </w:rPr>
              <w:t>大写：人民币</w:t>
            </w:r>
            <w:r>
              <w:rPr>
                <w:rFonts w:hint="eastAsia" w:ascii="宋体" w:hAnsi="宋体" w:cs="宋体"/>
                <w:bCs/>
                <w:kern w:val="0"/>
                <w:szCs w:val="21"/>
                <w:u w:val="single"/>
              </w:rPr>
              <w:t xml:space="preserve">              </w:t>
            </w:r>
            <w:r>
              <w:rPr>
                <w:rFonts w:hint="eastAsia" w:ascii="宋体" w:hAnsi="宋体" w:cs="宋体"/>
                <w:bCs/>
                <w:kern w:val="0"/>
                <w:szCs w:val="21"/>
              </w:rPr>
              <w:t>元</w:t>
            </w:r>
          </w:p>
        </w:tc>
      </w:tr>
    </w:tbl>
    <w:p>
      <w:pPr>
        <w:pStyle w:val="26"/>
        <w:snapToGrid w:val="0"/>
        <w:ind w:left="-60" w:right="120" w:rightChars="57"/>
        <w:jc w:val="left"/>
        <w:rPr>
          <w:rFonts w:hint="eastAsia" w:hAnsi="宋体" w:cs="宋体"/>
        </w:rPr>
      </w:pPr>
    </w:p>
    <w:p>
      <w:pPr>
        <w:pStyle w:val="26"/>
        <w:snapToGrid w:val="0"/>
        <w:ind w:left="-60" w:right="120" w:rightChars="57"/>
        <w:jc w:val="left"/>
        <w:rPr>
          <w:rFonts w:hint="eastAsia" w:hAnsi="宋体" w:cs="宋体"/>
        </w:rPr>
      </w:pPr>
      <w:r>
        <w:rPr>
          <w:rFonts w:hint="eastAsia" w:hAnsi="宋体" w:cs="宋体"/>
        </w:rPr>
        <w:t>注：</w:t>
      </w:r>
    </w:p>
    <w:p>
      <w:pPr>
        <w:pStyle w:val="26"/>
        <w:numPr>
          <w:ilvl w:val="0"/>
          <w:numId w:val="11"/>
        </w:numPr>
        <w:snapToGrid w:val="0"/>
        <w:ind w:right="120" w:rightChars="57"/>
        <w:rPr>
          <w:rFonts w:hint="eastAsia" w:hAnsi="宋体" w:cs="宋体"/>
          <w:color w:val="000000"/>
        </w:rPr>
      </w:pPr>
      <w:r>
        <w:rPr>
          <w:rFonts w:hint="eastAsia" w:hAnsi="宋体" w:cs="宋体"/>
          <w:b/>
          <w:color w:val="000000"/>
        </w:rPr>
        <w:t>投标报价要求：投标人须分别报出不含增值税价格、增值税税额、含增值税价格的投标报价。</w:t>
      </w:r>
    </w:p>
    <w:p>
      <w:pPr>
        <w:pStyle w:val="26"/>
        <w:numPr>
          <w:ilvl w:val="0"/>
          <w:numId w:val="11"/>
        </w:numPr>
        <w:snapToGrid w:val="0"/>
        <w:ind w:right="120" w:rightChars="57"/>
        <w:rPr>
          <w:color w:val="000000"/>
        </w:rPr>
      </w:pPr>
      <w:r>
        <w:rPr>
          <w:rFonts w:hint="eastAsia" w:hAnsi="宋体" w:cs="宋体"/>
          <w:b/>
          <w:color w:val="000000"/>
        </w:rPr>
        <w:t>金额（不含增值税）*增值税税率=增值税税额。</w:t>
      </w:r>
    </w:p>
    <w:p>
      <w:pPr>
        <w:pStyle w:val="26"/>
        <w:numPr>
          <w:ilvl w:val="0"/>
          <w:numId w:val="11"/>
        </w:numPr>
        <w:snapToGrid w:val="0"/>
        <w:ind w:right="120" w:rightChars="57"/>
      </w:pPr>
      <w:r>
        <w:rPr>
          <w:rFonts w:hint="eastAsia" w:hAnsi="宋体" w:cs="宋体"/>
          <w:b/>
          <w:color w:val="000000"/>
        </w:rPr>
        <w:t>本项目详细报价表的价税合计总额（投标报价）必须与开标一览表投标报价（含增值税）的总额一致</w:t>
      </w:r>
      <w:r>
        <w:rPr>
          <w:rFonts w:hint="eastAsia" w:hAnsi="宋体" w:cs="宋体"/>
          <w:b/>
        </w:rPr>
        <w:t>。</w:t>
      </w:r>
    </w:p>
    <w:p/>
    <w:p>
      <w:pPr>
        <w:pStyle w:val="26"/>
        <w:jc w:val="left"/>
        <w:rPr>
          <w:rFonts w:hint="eastAsia" w:hAnsi="宋体" w:cs="宋体"/>
        </w:rPr>
      </w:pPr>
      <w:r>
        <w:rPr>
          <w:rFonts w:hint="eastAsia" w:hAnsi="宋体" w:cs="宋体"/>
        </w:rPr>
        <w:t>投标人名称:（盖章）</w:t>
      </w:r>
    </w:p>
    <w:p>
      <w:pPr>
        <w:pStyle w:val="26"/>
        <w:jc w:val="left"/>
        <w:rPr>
          <w:rFonts w:hint="eastAsia" w:hAnsi="宋体" w:cs="宋体"/>
        </w:rPr>
      </w:pPr>
      <w:r>
        <w:rPr>
          <w:rFonts w:hint="eastAsia" w:hAnsi="宋体" w:cs="宋体"/>
        </w:rPr>
        <w:t>投标人法定代表人或其授权代表（签名或盖章）：</w:t>
      </w:r>
    </w:p>
    <w:p>
      <w:pPr>
        <w:pStyle w:val="26"/>
        <w:jc w:val="left"/>
        <w:rPr>
          <w:rFonts w:hint="eastAsia" w:hAnsi="宋体" w:cs="宋体"/>
        </w:rPr>
      </w:pPr>
      <w:r>
        <w:rPr>
          <w:rFonts w:hint="eastAsia" w:hAnsi="宋体" w:cs="宋体"/>
        </w:rPr>
        <w:t>日期：    年   月   日</w:t>
      </w:r>
    </w:p>
    <w:p>
      <w:pPr>
        <w:pStyle w:val="26"/>
        <w:snapToGrid w:val="0"/>
        <w:ind w:left="360" w:right="120" w:rightChars="57"/>
        <w:jc w:val="left"/>
        <w:rPr>
          <w:rFonts w:hint="eastAsia" w:hAnsi="宋体" w:cs="宋体"/>
        </w:rPr>
      </w:pPr>
    </w:p>
    <w:p>
      <w:pPr>
        <w:pStyle w:val="26"/>
        <w:snapToGrid w:val="0"/>
        <w:ind w:left="360" w:right="120" w:rightChars="57"/>
        <w:jc w:val="left"/>
        <w:rPr>
          <w:rFonts w:hint="eastAsia" w:hAnsi="宋体" w:cs="宋体"/>
        </w:rPr>
      </w:pPr>
      <w:r>
        <w:rPr>
          <w:rFonts w:hint="eastAsia" w:hAnsi="宋体" w:cs="宋体"/>
          <w:szCs w:val="21"/>
        </w:rPr>
        <w:br w:type="page"/>
      </w:r>
    </w:p>
    <w:bookmarkEnd w:id="94"/>
    <w:bookmarkEnd w:id="95"/>
    <w:bookmarkEnd w:id="96"/>
    <w:bookmarkEnd w:id="97"/>
    <w:bookmarkEnd w:id="98"/>
    <w:p>
      <w:pPr>
        <w:pStyle w:val="3"/>
        <w:numPr>
          <w:ilvl w:val="0"/>
          <w:numId w:val="0"/>
        </w:numPr>
        <w:ind w:left="422"/>
        <w:rPr>
          <w:rFonts w:hint="eastAsia" w:hAnsi="宋体" w:cs="宋体"/>
        </w:rPr>
      </w:pPr>
      <w:r>
        <w:rPr>
          <w:rFonts w:hint="eastAsia" w:hAnsi="宋体" w:cs="宋体"/>
        </w:rPr>
        <w:t>四、资格证明材料</w:t>
      </w:r>
    </w:p>
    <w:p>
      <w:pPr>
        <w:pStyle w:val="3"/>
        <w:numPr>
          <w:ilvl w:val="0"/>
          <w:numId w:val="0"/>
        </w:numPr>
        <w:ind w:left="422"/>
        <w:rPr>
          <w:rFonts w:hint="eastAsia" w:hAnsi="宋体" w:cs="宋体"/>
          <w:b w:val="0"/>
        </w:rPr>
      </w:pPr>
      <w:r>
        <w:rPr>
          <w:rFonts w:hint="eastAsia" w:hAnsi="宋体" w:cs="宋体"/>
          <w:b w:val="0"/>
        </w:rPr>
        <w:t>（1）投标函</w:t>
      </w:r>
    </w:p>
    <w:p>
      <w:pPr>
        <w:jc w:val="center"/>
        <w:rPr>
          <w:rFonts w:hint="eastAsia" w:ascii="宋体" w:hAnsi="宋体" w:cs="宋体"/>
          <w:b/>
          <w:sz w:val="28"/>
        </w:rPr>
      </w:pPr>
      <w:r>
        <w:rPr>
          <w:rFonts w:hint="eastAsia" w:ascii="宋体" w:hAnsi="宋体" w:cs="宋体"/>
          <w:b/>
          <w:sz w:val="28"/>
        </w:rPr>
        <w:t>投 标 函</w:t>
      </w:r>
    </w:p>
    <w:p>
      <w:pPr>
        <w:spacing w:line="360" w:lineRule="auto"/>
        <w:rPr>
          <w:rFonts w:hint="eastAsia" w:ascii="宋体" w:hAnsi="宋体" w:cs="宋体"/>
        </w:rPr>
      </w:pPr>
    </w:p>
    <w:p>
      <w:pPr>
        <w:spacing w:line="360" w:lineRule="auto"/>
        <w:rPr>
          <w:rFonts w:hint="eastAsia" w:ascii="宋体" w:hAnsi="宋体" w:cs="宋体"/>
          <w:szCs w:val="21"/>
        </w:rPr>
      </w:pPr>
      <w:r>
        <w:rPr>
          <w:rFonts w:hint="eastAsia" w:ascii="宋体" w:hAnsi="宋体" w:cs="宋体"/>
          <w:szCs w:val="21"/>
        </w:rPr>
        <w:t>致:（招标人名称）</w:t>
      </w:r>
    </w:p>
    <w:p>
      <w:pPr>
        <w:spacing w:line="360" w:lineRule="auto"/>
        <w:rPr>
          <w:rFonts w:hint="eastAsia" w:ascii="宋体" w:hAnsi="宋体" w:cs="宋体"/>
        </w:rPr>
      </w:pPr>
    </w:p>
    <w:p>
      <w:pPr>
        <w:spacing w:line="360" w:lineRule="auto"/>
        <w:ind w:firstLine="411" w:firstLineChars="196"/>
        <w:rPr>
          <w:rFonts w:hint="eastAsia" w:ascii="宋体" w:hAnsi="宋体" w:cs="宋体"/>
        </w:rPr>
      </w:pPr>
      <w:r>
        <w:rPr>
          <w:rFonts w:hint="eastAsia" w:ascii="宋体" w:hAnsi="宋体" w:cs="宋体"/>
        </w:rPr>
        <w:t xml:space="preserve">  我方确认收到贵方提供的（</w:t>
      </w:r>
      <w:r>
        <w:rPr>
          <w:rFonts w:hint="eastAsia" w:ascii="宋体" w:hAnsi="宋体" w:cs="宋体"/>
          <w:kern w:val="28"/>
          <w:u w:val="single"/>
        </w:rPr>
        <w:t>招标项目名称）</w:t>
      </w:r>
      <w:r>
        <w:rPr>
          <w:rFonts w:hint="eastAsia" w:ascii="宋体" w:hAnsi="宋体" w:cs="宋体"/>
        </w:rPr>
        <w:t>的招标文件的全部内容，我方：</w:t>
      </w:r>
      <w:r>
        <w:rPr>
          <w:rFonts w:hint="eastAsia" w:ascii="宋体" w:hAnsi="宋体" w:cs="宋体"/>
          <w:u w:val="single"/>
        </w:rPr>
        <w:t xml:space="preserve">                                   （投标人名称）</w:t>
      </w:r>
      <w:r>
        <w:rPr>
          <w:rFonts w:hint="eastAsia" w:ascii="宋体" w:hAnsi="宋体" w:cs="宋体"/>
        </w:rPr>
        <w:t>作为投标者正式授权</w:t>
      </w:r>
      <w:r>
        <w:rPr>
          <w:rFonts w:hint="eastAsia" w:ascii="宋体" w:hAnsi="宋体" w:cs="宋体"/>
          <w:u w:val="single"/>
        </w:rPr>
        <w:t>（授权代表全名, 职务）</w:t>
      </w:r>
      <w:r>
        <w:rPr>
          <w:rFonts w:hint="eastAsia" w:ascii="宋体" w:hAnsi="宋体" w:cs="宋体"/>
        </w:rPr>
        <w:t>代表我方进行有关本投标的一切事宜。</w:t>
      </w:r>
    </w:p>
    <w:p>
      <w:pPr>
        <w:spacing w:line="360" w:lineRule="auto"/>
        <w:ind w:firstLine="516" w:firstLineChars="246"/>
        <w:rPr>
          <w:rFonts w:hint="eastAsia" w:ascii="宋体" w:hAnsi="宋体" w:cs="宋体"/>
        </w:rPr>
      </w:pPr>
      <w:r>
        <w:rPr>
          <w:rFonts w:hint="eastAsia" w:ascii="宋体" w:hAnsi="宋体" w:cs="宋体"/>
        </w:rPr>
        <w:t>在此提交的投标文件, 正本一份, 副本</w:t>
      </w:r>
      <w:r>
        <w:rPr>
          <w:rFonts w:hint="eastAsia" w:ascii="宋体" w:hAnsi="宋体" w:cs="宋体"/>
          <w:u w:val="single"/>
        </w:rPr>
        <w:t xml:space="preserve">     </w:t>
      </w:r>
      <w:r>
        <w:rPr>
          <w:rFonts w:hint="eastAsia" w:ascii="宋体" w:hAnsi="宋体" w:cs="宋体"/>
        </w:rPr>
        <w:t>份，包括如下等内容：</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rPr>
      </w:pPr>
      <w:r>
        <w:rPr>
          <w:rFonts w:hint="eastAsia" w:ascii="宋体" w:hAnsi="宋体" w:cs="宋体"/>
        </w:rPr>
        <w:t>报价表；</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rPr>
      </w:pPr>
      <w:r>
        <w:rPr>
          <w:rFonts w:hint="eastAsia" w:ascii="宋体" w:hAnsi="宋体" w:cs="宋体"/>
        </w:rPr>
        <w:t>投标函；</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rPr>
      </w:pPr>
      <w:r>
        <w:rPr>
          <w:rFonts w:hint="eastAsia" w:ascii="宋体" w:hAnsi="宋体" w:cs="宋体"/>
        </w:rPr>
        <w:t>法定代表人证明书及法人授权书；</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rPr>
      </w:pPr>
      <w:r>
        <w:rPr>
          <w:rFonts w:hint="eastAsia" w:ascii="宋体" w:hAnsi="宋体" w:cs="宋体"/>
        </w:rPr>
        <w:t>投标保证金支付证明复印件；</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szCs w:val="21"/>
        </w:rPr>
      </w:pPr>
      <w:r>
        <w:rPr>
          <w:rFonts w:hint="eastAsia" w:ascii="宋体" w:hAnsi="宋体" w:cs="宋体"/>
        </w:rPr>
        <w:t>有关确立投标人法律地位的原始文件副本复印件（如营业执照、组织代码证、税务登记证等）；</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szCs w:val="21"/>
        </w:rPr>
      </w:pPr>
      <w:r>
        <w:rPr>
          <w:rFonts w:hint="eastAsia" w:ascii="宋体" w:hAnsi="宋体" w:cs="宋体"/>
        </w:rPr>
        <w:t>资格及能力证明文件；</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szCs w:val="21"/>
        </w:rPr>
      </w:pPr>
      <w:r>
        <w:rPr>
          <w:rFonts w:hint="eastAsia" w:ascii="宋体" w:hAnsi="宋体" w:cs="宋体"/>
        </w:rPr>
        <w:t>商务响应文件；</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rPr>
      </w:pPr>
      <w:r>
        <w:rPr>
          <w:rFonts w:hint="eastAsia" w:ascii="宋体" w:hAnsi="宋体" w:cs="宋体"/>
        </w:rPr>
        <w:t>技术响应文件；</w:t>
      </w:r>
    </w:p>
    <w:p>
      <w:pPr>
        <w:numPr>
          <w:ilvl w:val="0"/>
          <w:numId w:val="12"/>
        </w:numPr>
        <w:tabs>
          <w:tab w:val="left" w:pos="0"/>
          <w:tab w:val="clear" w:pos="851"/>
        </w:tabs>
        <w:autoSpaceDE w:val="0"/>
        <w:autoSpaceDN w:val="0"/>
        <w:adjustRightInd w:val="0"/>
        <w:spacing w:line="360" w:lineRule="auto"/>
        <w:ind w:left="-2" w:leftChars="-1" w:firstLine="516" w:firstLineChars="246"/>
        <w:rPr>
          <w:rFonts w:hint="eastAsia" w:ascii="宋体" w:hAnsi="宋体" w:cs="宋体"/>
        </w:rPr>
      </w:pPr>
      <w:r>
        <w:rPr>
          <w:rFonts w:hint="eastAsia" w:ascii="宋体" w:hAnsi="宋体" w:cs="宋体"/>
        </w:rPr>
        <w:t>应招标文件的要求提供的其他有关文件</w:t>
      </w:r>
    </w:p>
    <w:p>
      <w:pPr>
        <w:spacing w:line="360" w:lineRule="auto"/>
        <w:ind w:firstLine="411" w:firstLineChars="196"/>
        <w:rPr>
          <w:rFonts w:hint="eastAsia" w:ascii="宋体" w:hAnsi="宋体" w:cs="宋体"/>
        </w:rPr>
      </w:pPr>
      <w:r>
        <w:rPr>
          <w:rFonts w:hint="eastAsia" w:ascii="宋体" w:hAnsi="宋体" w:cs="宋体"/>
        </w:rPr>
        <w:t>我方已完全明白招标文件的所有条款要求，并重申以下几点：</w:t>
      </w:r>
    </w:p>
    <w:p>
      <w:pPr>
        <w:spacing w:line="360" w:lineRule="auto"/>
        <w:ind w:firstLine="411" w:firstLineChars="196"/>
        <w:rPr>
          <w:rFonts w:hint="eastAsia" w:ascii="宋体" w:hAnsi="宋体" w:cs="宋体"/>
        </w:rPr>
      </w:pPr>
      <w:r>
        <w:rPr>
          <w:rFonts w:hint="eastAsia" w:ascii="宋体" w:hAnsi="宋体" w:cs="宋体"/>
        </w:rPr>
        <w:t>（一）我方决定参加：项目名称为</w:t>
      </w:r>
      <w:r>
        <w:rPr>
          <w:rFonts w:hint="eastAsia" w:ascii="宋体" w:hAnsi="宋体" w:cs="宋体"/>
          <w:u w:val="single"/>
        </w:rPr>
        <w:t xml:space="preserve">            </w:t>
      </w:r>
      <w:r>
        <w:rPr>
          <w:rFonts w:hint="eastAsia" w:ascii="宋体" w:hAnsi="宋体" w:cs="宋体"/>
        </w:rPr>
        <w:t>的投标。</w:t>
      </w:r>
    </w:p>
    <w:p>
      <w:pPr>
        <w:spacing w:line="360" w:lineRule="auto"/>
        <w:ind w:firstLine="411" w:firstLineChars="196"/>
        <w:rPr>
          <w:rFonts w:hint="eastAsia" w:ascii="宋体" w:hAnsi="宋体" w:cs="宋体"/>
        </w:rPr>
      </w:pPr>
      <w:r>
        <w:rPr>
          <w:rFonts w:hint="eastAsia" w:ascii="宋体" w:hAnsi="宋体" w:cs="宋体"/>
        </w:rPr>
        <w:t>（二）全部货物之供应和有关服务的投标总价详见投标报价表。</w:t>
      </w:r>
    </w:p>
    <w:p>
      <w:pPr>
        <w:spacing w:line="360" w:lineRule="auto"/>
        <w:ind w:firstLine="411" w:firstLineChars="196"/>
        <w:rPr>
          <w:rFonts w:hint="eastAsia" w:ascii="宋体" w:hAnsi="宋体" w:cs="宋体"/>
        </w:rPr>
      </w:pPr>
      <w:r>
        <w:rPr>
          <w:rFonts w:hint="eastAsia" w:ascii="宋体" w:hAnsi="宋体" w:cs="宋体"/>
        </w:rPr>
        <w:t>（三）本投标文件的有效期投标截止日后</w:t>
      </w:r>
      <w:r>
        <w:rPr>
          <w:rFonts w:hint="eastAsia" w:ascii="宋体" w:hAnsi="宋体" w:cs="宋体"/>
          <w:b/>
        </w:rPr>
        <w:t>90日</w:t>
      </w:r>
      <w:r>
        <w:rPr>
          <w:rFonts w:hint="eastAsia" w:ascii="宋体" w:hAnsi="宋体" w:cs="宋体"/>
        </w:rPr>
        <w:t>有效，如中标，有效期将延至合同终止日为止。</w:t>
      </w:r>
    </w:p>
    <w:p>
      <w:pPr>
        <w:spacing w:line="360" w:lineRule="auto"/>
        <w:ind w:firstLine="411" w:firstLineChars="196"/>
        <w:rPr>
          <w:rFonts w:hint="eastAsia" w:ascii="宋体" w:hAnsi="宋体" w:cs="宋体"/>
        </w:rPr>
      </w:pPr>
      <w:r>
        <w:rPr>
          <w:rFonts w:hint="eastAsia" w:ascii="宋体" w:hAnsi="宋体" w:cs="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hint="eastAsia" w:ascii="宋体" w:hAnsi="宋体" w:cs="宋体"/>
        </w:rPr>
      </w:pPr>
      <w:r>
        <w:rPr>
          <w:rFonts w:hint="eastAsia" w:ascii="宋体" w:hAnsi="宋体" w:cs="宋体"/>
        </w:rPr>
        <w:t>（五）我方明白并愿意在规定的开标时间和日期之后,投标有效期之内撤回投标, 则投标保证金将被贵方没收。</w:t>
      </w:r>
    </w:p>
    <w:p>
      <w:pPr>
        <w:spacing w:line="360" w:lineRule="auto"/>
        <w:ind w:firstLine="411" w:firstLineChars="196"/>
        <w:rPr>
          <w:rFonts w:hint="eastAsia" w:ascii="宋体" w:hAnsi="宋体" w:cs="宋体"/>
        </w:rPr>
      </w:pPr>
      <w:r>
        <w:rPr>
          <w:rFonts w:hint="eastAsia" w:ascii="宋体" w:hAnsi="宋体" w:cs="宋体"/>
        </w:rPr>
        <w:t>（六）我方同意按照贵方可能提出的要求而提供与投标有关的任何其它数据或信息。</w:t>
      </w:r>
    </w:p>
    <w:p>
      <w:pPr>
        <w:spacing w:line="360" w:lineRule="auto"/>
        <w:ind w:firstLine="411" w:firstLineChars="196"/>
        <w:rPr>
          <w:rFonts w:hint="eastAsia" w:ascii="宋体" w:hAnsi="宋体" w:cs="宋体"/>
        </w:rPr>
      </w:pPr>
      <w:r>
        <w:rPr>
          <w:rFonts w:hint="eastAsia" w:ascii="宋体" w:hAnsi="宋体" w:cs="宋体"/>
        </w:rPr>
        <w:t>（七）我方理解贵方不一定接受最低标价或任何贵方可能收到的投标。</w:t>
      </w:r>
    </w:p>
    <w:p>
      <w:pPr>
        <w:spacing w:line="360" w:lineRule="auto"/>
        <w:ind w:firstLine="411" w:firstLineChars="196"/>
        <w:rPr>
          <w:rFonts w:hint="eastAsia" w:ascii="宋体" w:hAnsi="宋体" w:cs="宋体"/>
        </w:rPr>
      </w:pPr>
      <w:r>
        <w:rPr>
          <w:rFonts w:hint="eastAsia" w:ascii="宋体" w:hAnsi="宋体" w:cs="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hint="eastAsia" w:ascii="宋体" w:hAnsi="宋体" w:cs="宋体"/>
          <w:szCs w:val="21"/>
        </w:rPr>
      </w:pPr>
      <w:r>
        <w:rPr>
          <w:rFonts w:hint="eastAsia" w:ascii="宋体" w:hAnsi="宋体" w:cs="宋体"/>
        </w:rPr>
        <w:t>（九）如我方被授予合同，我方就本次招标支付有关的招标服务费。</w:t>
      </w:r>
    </w:p>
    <w:p>
      <w:pPr>
        <w:spacing w:line="360" w:lineRule="auto"/>
        <w:ind w:firstLine="411" w:firstLineChars="196"/>
        <w:rPr>
          <w:rFonts w:hint="eastAsia" w:ascii="宋体" w:hAnsi="宋体" w:cs="宋体"/>
        </w:rPr>
      </w:pPr>
      <w:r>
        <w:rPr>
          <w:rFonts w:hint="eastAsia" w:ascii="宋体" w:hAnsi="宋体" w:cs="宋体"/>
        </w:rPr>
        <w:t>（十）所有与本招标有关的函件请发往下列地址:</w:t>
      </w:r>
    </w:p>
    <w:p>
      <w:pPr>
        <w:spacing w:line="360" w:lineRule="auto"/>
        <w:ind w:left="721"/>
        <w:rPr>
          <w:rFonts w:hint="eastAsia"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hint="eastAsia" w:ascii="宋体" w:hAnsi="宋体" w:cs="宋体"/>
          <w:u w:val="single"/>
        </w:rPr>
      </w:pPr>
    </w:p>
    <w:p>
      <w:pPr>
        <w:spacing w:line="360" w:lineRule="auto"/>
        <w:ind w:left="630" w:hanging="630"/>
        <w:rPr>
          <w:rFonts w:hint="eastAsia" w:ascii="宋体" w:hAnsi="宋体" w:cs="宋体"/>
        </w:rPr>
      </w:pPr>
    </w:p>
    <w:p>
      <w:pPr>
        <w:spacing w:line="360" w:lineRule="auto"/>
        <w:rPr>
          <w:rFonts w:hint="eastAsia" w:ascii="宋体" w:hAnsi="宋体" w:cs="宋体"/>
          <w:u w:val="single"/>
        </w:rPr>
      </w:pPr>
    </w:p>
    <w:p>
      <w:pPr>
        <w:pStyle w:val="26"/>
        <w:ind w:left="4700" w:leftChars="2238"/>
        <w:jc w:val="left"/>
        <w:rPr>
          <w:rFonts w:hint="eastAsia" w:hAnsi="宋体" w:cs="宋体"/>
        </w:rPr>
      </w:pPr>
      <w:r>
        <w:rPr>
          <w:rFonts w:hint="eastAsia" w:hAnsi="宋体" w:cs="宋体"/>
        </w:rPr>
        <w:t>投标人名称:（盖章）</w:t>
      </w:r>
    </w:p>
    <w:p>
      <w:pPr>
        <w:pStyle w:val="26"/>
        <w:ind w:left="4700" w:leftChars="2238"/>
        <w:jc w:val="left"/>
        <w:rPr>
          <w:rFonts w:hint="eastAsia" w:hAnsi="宋体" w:cs="宋体"/>
        </w:rPr>
      </w:pPr>
      <w:r>
        <w:rPr>
          <w:rFonts w:hint="eastAsia" w:hAnsi="宋体" w:cs="宋体"/>
        </w:rPr>
        <w:t>投标人法定代表人或其授权代表（签名或盖章）：</w:t>
      </w:r>
    </w:p>
    <w:p>
      <w:pPr>
        <w:pStyle w:val="26"/>
        <w:ind w:left="4700" w:leftChars="2238"/>
        <w:jc w:val="left"/>
        <w:rPr>
          <w:rFonts w:hint="eastAsia" w:hAnsi="宋体" w:cs="宋体"/>
          <w:szCs w:val="21"/>
        </w:rPr>
      </w:pPr>
      <w:r>
        <w:rPr>
          <w:rFonts w:hint="eastAsia" w:hAnsi="宋体" w:cs="宋体"/>
        </w:rPr>
        <w:t>日期：    年   月   日</w:t>
      </w:r>
    </w:p>
    <w:p>
      <w:pPr>
        <w:spacing w:line="360" w:lineRule="auto"/>
        <w:ind w:left="721"/>
        <w:rPr>
          <w:rFonts w:hint="eastAsia" w:ascii="宋体" w:hAnsi="宋体" w:cs="宋体"/>
          <w:u w:val="single"/>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tabs>
          <w:tab w:val="left" w:pos="4320"/>
        </w:tabs>
        <w:rPr>
          <w:rFonts w:hint="eastAsia" w:ascii="宋体" w:hAnsi="宋体" w:cs="宋体"/>
        </w:rPr>
      </w:pPr>
    </w:p>
    <w:p>
      <w:pPr>
        <w:rPr>
          <w:rFonts w:hint="eastAsia" w:ascii="宋体" w:hAnsi="宋体" w:cs="宋体"/>
        </w:rPr>
      </w:pPr>
      <w:bookmarkStart w:id="99" w:name="_Toc496161873"/>
      <w:bookmarkStart w:id="100" w:name="_Toc118018365"/>
      <w:r>
        <w:rPr>
          <w:rFonts w:hint="eastAsia" w:ascii="宋体" w:hAnsi="宋体" w:cs="宋体"/>
        </w:rPr>
        <w:br w:type="page"/>
      </w:r>
      <w:bookmarkStart w:id="101" w:name="_Toc476177991"/>
      <w:bookmarkStart w:id="102" w:name="_Toc476177432"/>
      <w:bookmarkStart w:id="103" w:name="_Toc455417783"/>
    </w:p>
    <w:p>
      <w:pPr>
        <w:pStyle w:val="3"/>
        <w:numPr>
          <w:ilvl w:val="0"/>
          <w:numId w:val="0"/>
        </w:numPr>
        <w:ind w:left="422"/>
        <w:rPr>
          <w:rFonts w:hint="eastAsia" w:hAnsi="宋体" w:cs="宋体"/>
          <w:b w:val="0"/>
          <w:bCs/>
        </w:rPr>
      </w:pPr>
      <w:bookmarkStart w:id="104" w:name="_Toc477185969"/>
      <w:bookmarkStart w:id="105" w:name="_Toc477186330"/>
      <w:r>
        <w:rPr>
          <w:rFonts w:hint="eastAsia" w:hAnsi="宋体" w:cs="宋体"/>
          <w:b w:val="0"/>
          <w:bCs/>
        </w:rPr>
        <w:t>（2）法定代表人证明书</w:t>
      </w:r>
      <w:bookmarkEnd w:id="99"/>
      <w:r>
        <w:rPr>
          <w:rFonts w:hint="eastAsia" w:hAnsi="宋体" w:cs="宋体"/>
          <w:b w:val="0"/>
          <w:bCs/>
        </w:rPr>
        <w:t>及法定代表人授权书</w:t>
      </w:r>
      <w:bookmarkEnd w:id="100"/>
      <w:bookmarkEnd w:id="101"/>
      <w:bookmarkEnd w:id="102"/>
      <w:bookmarkEnd w:id="103"/>
      <w:bookmarkEnd w:id="104"/>
      <w:bookmarkEnd w:id="105"/>
    </w:p>
    <w:p>
      <w:pPr>
        <w:widowControl/>
        <w:jc w:val="left"/>
        <w:rPr>
          <w:rFonts w:hint="eastAsia" w:ascii="宋体" w:hAnsi="宋体" w:cs="宋体"/>
        </w:rPr>
      </w:pPr>
    </w:p>
    <w:p>
      <w:pPr>
        <w:spacing w:line="360" w:lineRule="auto"/>
        <w:rPr>
          <w:rFonts w:hint="eastAsia" w:ascii="宋体" w:hAnsi="宋体" w:cs="宋体"/>
          <w:bCs/>
          <w:szCs w:val="21"/>
        </w:rPr>
      </w:pPr>
      <w:r>
        <w:rPr>
          <w:rFonts w:hint="eastAsia" w:ascii="宋体" w:hAnsi="宋体" w:cs="宋体"/>
          <w:bCs/>
          <w:szCs w:val="21"/>
        </w:rPr>
        <w:t>（投标人可使用下述格式，也可使用广东省工商行政管理局统一印制的法定代表人证明书格式）</w:t>
      </w:r>
    </w:p>
    <w:p>
      <w:pPr>
        <w:spacing w:line="360" w:lineRule="auto"/>
        <w:jc w:val="center"/>
        <w:rPr>
          <w:rFonts w:hint="eastAsia" w:ascii="宋体" w:hAnsi="宋体" w:cs="宋体"/>
          <w:b/>
          <w:sz w:val="24"/>
        </w:rPr>
      </w:pPr>
    </w:p>
    <w:p>
      <w:pPr>
        <w:spacing w:line="360" w:lineRule="auto"/>
        <w:jc w:val="center"/>
        <w:rPr>
          <w:rFonts w:hint="eastAsia" w:ascii="宋体" w:hAnsi="宋体" w:cs="宋体"/>
          <w:b/>
          <w:sz w:val="32"/>
          <w:szCs w:val="32"/>
        </w:rPr>
      </w:pPr>
      <w:r>
        <w:rPr>
          <w:rFonts w:hint="eastAsia" w:ascii="宋体" w:hAnsi="宋体" w:cs="宋体"/>
          <w:b/>
          <w:sz w:val="32"/>
          <w:szCs w:val="32"/>
        </w:rPr>
        <w:t>法定代表人证明书</w:t>
      </w:r>
    </w:p>
    <w:p>
      <w:pPr>
        <w:spacing w:line="360" w:lineRule="auto"/>
        <w:rPr>
          <w:rFonts w:hint="eastAsia" w:ascii="宋体" w:hAnsi="宋体" w:cs="宋体"/>
          <w:bCs/>
          <w:szCs w:val="21"/>
          <w:u w:val="single"/>
        </w:rPr>
      </w:pPr>
    </w:p>
    <w:p>
      <w:pPr>
        <w:spacing w:line="360" w:lineRule="auto"/>
        <w:rPr>
          <w:rFonts w:hint="eastAsia" w:ascii="宋体" w:hAnsi="宋体" w:cs="宋体"/>
          <w:bCs/>
          <w:szCs w:val="21"/>
        </w:rPr>
      </w:pPr>
      <w:r>
        <w:rPr>
          <w:rFonts w:hint="eastAsia" w:ascii="宋体" w:hAnsi="宋体" w:cs="宋体"/>
          <w:bCs/>
          <w:szCs w:val="21"/>
          <w:u w:val="single"/>
        </w:rPr>
        <w:t>（姓名）</w:t>
      </w:r>
      <w:r>
        <w:rPr>
          <w:rFonts w:hint="eastAsia" w:ascii="宋体" w:hAnsi="宋体" w:cs="宋体"/>
          <w:bCs/>
          <w:szCs w:val="21"/>
        </w:rPr>
        <w:t>现任我单位</w:t>
      </w:r>
      <w:r>
        <w:rPr>
          <w:rFonts w:hint="eastAsia" w:ascii="宋体" w:hAnsi="宋体" w:cs="宋体"/>
          <w:bCs/>
          <w:szCs w:val="21"/>
          <w:u w:val="single"/>
        </w:rPr>
        <w:t>（职务）</w:t>
      </w:r>
      <w:r>
        <w:rPr>
          <w:rFonts w:hint="eastAsia" w:ascii="宋体" w:hAnsi="宋体" w:cs="宋体"/>
          <w:bCs/>
          <w:szCs w:val="21"/>
        </w:rPr>
        <w:t>，为我司</w:t>
      </w:r>
      <w:r>
        <w:rPr>
          <w:rFonts w:hint="eastAsia" w:ascii="宋体" w:hAnsi="宋体" w:cs="宋体"/>
          <w:bCs/>
          <w:szCs w:val="21"/>
          <w:u w:val="single"/>
        </w:rPr>
        <w:t>（单位名称）</w:t>
      </w:r>
      <w:r>
        <w:rPr>
          <w:rFonts w:hint="eastAsia" w:ascii="宋体" w:hAnsi="宋体" w:cs="宋体"/>
          <w:bCs/>
          <w:szCs w:val="21"/>
        </w:rPr>
        <w:t>法定代表人，特此证明。</w:t>
      </w:r>
    </w:p>
    <w:p>
      <w:pPr>
        <w:spacing w:line="360" w:lineRule="auto"/>
        <w:rPr>
          <w:rFonts w:hint="eastAsia" w:ascii="宋体" w:hAnsi="宋体" w:cs="宋体"/>
          <w:bCs/>
          <w:szCs w:val="21"/>
        </w:rPr>
      </w:pPr>
      <w:r>
        <w:rPr>
          <w:rFonts w:hint="eastAsia" w:ascii="宋体" w:hAnsi="宋体" w:cs="宋体"/>
          <w:bCs/>
          <w:szCs w:val="21"/>
        </w:rPr>
        <w:t>有效期限：</w:t>
      </w:r>
    </w:p>
    <w:p>
      <w:pPr>
        <w:spacing w:line="360" w:lineRule="auto"/>
        <w:rPr>
          <w:rFonts w:hint="eastAsia" w:ascii="宋体" w:hAnsi="宋体" w:cs="宋体"/>
          <w:bCs/>
          <w:szCs w:val="21"/>
        </w:rPr>
      </w:pPr>
      <w:r>
        <w:rPr>
          <w:rFonts w:hint="eastAsia" w:ascii="宋体" w:hAnsi="宋体" w:cs="宋体"/>
          <w:bCs/>
          <w:szCs w:val="21"/>
        </w:rPr>
        <w:t>附：代表人性别：年龄：身份证号码：___________________________</w:t>
      </w:r>
    </w:p>
    <w:p>
      <w:pPr>
        <w:spacing w:line="360" w:lineRule="auto"/>
        <w:rPr>
          <w:rFonts w:hint="eastAsia" w:ascii="宋体" w:hAnsi="宋体" w:cs="宋体"/>
          <w:bCs/>
          <w:szCs w:val="21"/>
        </w:rPr>
      </w:pPr>
      <w:r>
        <w:rPr>
          <w:rFonts w:hint="eastAsia" w:ascii="宋体" w:hAnsi="宋体" w:cs="宋体"/>
          <w:bCs/>
          <w:szCs w:val="21"/>
        </w:rPr>
        <w:t xml:space="preserve">企业注册号码：企业类型：_____________________________________ </w:t>
      </w:r>
    </w:p>
    <w:p>
      <w:pPr>
        <w:spacing w:line="360" w:lineRule="auto"/>
        <w:jc w:val="left"/>
        <w:rPr>
          <w:rFonts w:hint="eastAsia" w:ascii="宋体" w:hAnsi="宋体" w:cs="宋体"/>
          <w:bCs/>
          <w:szCs w:val="21"/>
        </w:rPr>
      </w:pPr>
      <w:r>
        <w:rPr>
          <w:rFonts w:hint="eastAsia" w:ascii="宋体" w:hAnsi="宋体" w:cs="宋体"/>
          <w:bCs/>
          <w:szCs w:val="21"/>
        </w:rPr>
        <w:t>经营范围：</w:t>
      </w:r>
    </w:p>
    <w:p>
      <w:pPr>
        <w:spacing w:line="360" w:lineRule="auto"/>
        <w:jc w:val="left"/>
        <w:rPr>
          <w:rFonts w:hint="eastAsia" w:ascii="宋体" w:hAnsi="宋体" w:cs="宋体"/>
          <w:b/>
          <w:szCs w:val="21"/>
          <w:u w:val="single"/>
        </w:rPr>
      </w:pPr>
      <w:r>
        <w:rPr>
          <w:rFonts w:hint="eastAsia" w:ascii="宋体" w:hAnsi="宋体" w:cs="宋体"/>
          <w:bCs/>
          <w:szCs w:val="21"/>
        </w:rPr>
        <w:t>______________________________________________________。</w:t>
      </w:r>
    </w:p>
    <w:p>
      <w:pPr>
        <w:spacing w:line="360" w:lineRule="auto"/>
        <w:rPr>
          <w:rFonts w:hint="eastAsia" w:ascii="宋体" w:hAnsi="宋体" w:cs="宋体"/>
          <w:b/>
          <w:szCs w:val="21"/>
        </w:rPr>
      </w:pPr>
    </w:p>
    <w:p>
      <w:pPr>
        <w:pStyle w:val="26"/>
        <w:ind w:left="4700" w:leftChars="2238"/>
        <w:jc w:val="left"/>
        <w:rPr>
          <w:rFonts w:hint="eastAsia" w:hAnsi="宋体" w:cs="宋体"/>
        </w:rPr>
      </w:pPr>
      <w:r>
        <w:rPr>
          <w:rFonts w:hint="eastAsia" w:hAnsi="宋体" w:cs="宋体"/>
        </w:rPr>
        <w:t>投标人名称:（盖章）</w:t>
      </w:r>
    </w:p>
    <w:p>
      <w:pPr>
        <w:pStyle w:val="26"/>
        <w:ind w:left="4700" w:leftChars="2238"/>
        <w:jc w:val="left"/>
        <w:rPr>
          <w:rFonts w:hint="eastAsia" w:hAnsi="宋体" w:cs="宋体"/>
          <w:szCs w:val="21"/>
        </w:rPr>
      </w:pPr>
      <w:r>
        <w:rPr>
          <w:rFonts w:hint="eastAsia" w:hAnsi="宋体" w:cs="宋体"/>
        </w:rPr>
        <w:t>日期：    年   月   日</w:t>
      </w:r>
    </w:p>
    <w:p>
      <w:pPr>
        <w:rPr>
          <w:rFonts w:hint="eastAsia" w:ascii="宋体" w:hAnsi="宋体" w:cs="宋体"/>
          <w:sz w:val="28"/>
          <w:szCs w:val="28"/>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vAlign w:val="center"/>
          </w:tcPr>
          <w:p>
            <w:pPr>
              <w:jc w:val="center"/>
              <w:rPr>
                <w:rFonts w:hint="eastAsia" w:ascii="宋体" w:hAnsi="宋体" w:cs="宋体"/>
                <w:sz w:val="28"/>
                <w:szCs w:val="28"/>
                <w:u w:val="single"/>
              </w:rPr>
            </w:pPr>
            <w:r>
              <w:rPr>
                <w:rFonts w:hint="eastAsia" w:ascii="宋体" w:hAnsi="宋体" w:cs="宋体"/>
                <w:sz w:val="28"/>
                <w:szCs w:val="28"/>
                <w:u w:val="single"/>
              </w:rPr>
              <w:t>粘贴法定代表人身份证复印件</w:t>
            </w:r>
          </w:p>
        </w:tc>
      </w:tr>
    </w:tbl>
    <w:p>
      <w:pPr>
        <w:spacing w:line="360" w:lineRule="auto"/>
        <w:rPr>
          <w:rFonts w:hint="eastAsia" w:ascii="宋体" w:hAnsi="宋体" w:cs="宋体"/>
        </w:rPr>
      </w:pPr>
      <w:r>
        <w:rPr>
          <w:rFonts w:hint="eastAsia" w:ascii="宋体" w:hAnsi="宋体" w:cs="宋体"/>
        </w:rPr>
        <w:br w:type="page"/>
      </w:r>
    </w:p>
    <w:p>
      <w:pPr>
        <w:spacing w:line="360" w:lineRule="auto"/>
        <w:jc w:val="center"/>
        <w:rPr>
          <w:rFonts w:hint="eastAsia" w:ascii="宋体" w:hAnsi="宋体" w:cs="宋体"/>
          <w:b/>
          <w:bCs/>
          <w:sz w:val="30"/>
        </w:rPr>
      </w:pPr>
      <w:r>
        <w:rPr>
          <w:rFonts w:hint="eastAsia" w:ascii="宋体" w:hAnsi="宋体" w:cs="宋体"/>
          <w:b/>
          <w:bCs/>
          <w:sz w:val="30"/>
        </w:rPr>
        <w:t>法定代表人授权书</w:t>
      </w:r>
    </w:p>
    <w:p>
      <w:pPr>
        <w:spacing w:line="360" w:lineRule="auto"/>
        <w:rPr>
          <w:rFonts w:hint="eastAsia" w:ascii="宋体" w:hAnsi="宋体" w:cs="宋体"/>
        </w:rPr>
      </w:pPr>
      <w:r>
        <w:rPr>
          <w:rFonts w:hint="eastAsia" w:ascii="宋体" w:hAnsi="宋体" w:cs="宋体"/>
        </w:rPr>
        <w:t>致：</w:t>
      </w:r>
      <w:r>
        <w:rPr>
          <w:rFonts w:hint="eastAsia" w:ascii="宋体" w:hAnsi="宋体" w:cs="宋体"/>
          <w:szCs w:val="21"/>
        </w:rPr>
        <w:t>广东省机电设备招标有限公司</w:t>
      </w:r>
    </w:p>
    <w:p>
      <w:pPr>
        <w:spacing w:line="360" w:lineRule="auto"/>
        <w:ind w:firstLine="630" w:firstLineChars="300"/>
        <w:rPr>
          <w:rFonts w:hint="eastAsia" w:ascii="宋体" w:hAnsi="宋体" w:cs="宋体"/>
        </w:rPr>
      </w:pPr>
      <w:r>
        <w:rPr>
          <w:rFonts w:hint="eastAsia" w:ascii="宋体" w:hAnsi="宋体" w:cs="宋体"/>
        </w:rPr>
        <w:t>本授权书声明：注册于</w:t>
      </w:r>
      <w:r>
        <w:rPr>
          <w:rFonts w:hint="eastAsia" w:ascii="宋体" w:hAnsi="宋体" w:cs="宋体"/>
          <w:u w:val="single"/>
        </w:rPr>
        <w:t>（国家或地区）</w:t>
      </w:r>
      <w:r>
        <w:rPr>
          <w:rFonts w:hint="eastAsia" w:ascii="宋体" w:hAnsi="宋体" w:cs="宋体"/>
        </w:rPr>
        <w:t>的</w:t>
      </w:r>
      <w:r>
        <w:rPr>
          <w:rFonts w:hint="eastAsia" w:ascii="宋体" w:hAnsi="宋体" w:cs="宋体"/>
          <w:u w:val="single"/>
        </w:rPr>
        <w:t>（投标人名称）</w:t>
      </w:r>
      <w:r>
        <w:rPr>
          <w:rFonts w:hint="eastAsia" w:ascii="宋体" w:hAnsi="宋体" w:cs="宋体"/>
        </w:rPr>
        <w:t>的在下面签字的</w:t>
      </w:r>
      <w:r>
        <w:rPr>
          <w:rFonts w:hint="eastAsia" w:ascii="宋体" w:hAnsi="宋体" w:cs="宋体"/>
          <w:u w:val="single"/>
        </w:rPr>
        <w:t>（法定代表人的姓名、职务）</w:t>
      </w:r>
      <w:r>
        <w:rPr>
          <w:rFonts w:hint="eastAsia" w:ascii="宋体" w:hAnsi="宋体" w:cs="宋体"/>
        </w:rPr>
        <w:t>代表本公司授权在下面签字的</w:t>
      </w:r>
      <w:r>
        <w:rPr>
          <w:rFonts w:hint="eastAsia" w:ascii="宋体" w:hAnsi="宋体" w:cs="宋体"/>
          <w:u w:val="single"/>
        </w:rPr>
        <w:t>（被授权人的姓名、职务）</w:t>
      </w:r>
      <w:r>
        <w:rPr>
          <w:rFonts w:hint="eastAsia" w:ascii="宋体" w:hAnsi="宋体" w:cs="宋体"/>
        </w:rPr>
        <w:t>为本公司的合法代表人，就“项目名称：</w:t>
      </w:r>
      <w:r>
        <w:rPr>
          <w:rFonts w:hint="eastAsia" w:ascii="宋体" w:hAnsi="宋体" w:cs="宋体"/>
          <w:b/>
          <w:szCs w:val="21"/>
          <w:u w:val="single"/>
        </w:rPr>
        <w:t xml:space="preserve">                  </w:t>
      </w:r>
      <w:r>
        <w:rPr>
          <w:rFonts w:hint="eastAsia" w:ascii="宋体" w:hAnsi="宋体" w:cs="宋体"/>
          <w:szCs w:val="21"/>
        </w:rPr>
        <w:t>【项目编号：</w:t>
      </w:r>
      <w:r>
        <w:rPr>
          <w:rFonts w:hint="eastAsia" w:ascii="宋体" w:hAnsi="宋体" w:cs="宋体"/>
          <w:b/>
          <w:szCs w:val="21"/>
          <w:u w:val="single"/>
        </w:rPr>
        <w:t xml:space="preserve">                  </w:t>
      </w:r>
      <w:r>
        <w:rPr>
          <w:rFonts w:hint="eastAsia" w:ascii="宋体" w:hAnsi="宋体" w:cs="宋体"/>
          <w:szCs w:val="21"/>
        </w:rPr>
        <w:t>】”</w:t>
      </w:r>
      <w:r>
        <w:rPr>
          <w:rFonts w:hint="eastAsia" w:ascii="宋体" w:hAnsi="宋体" w:cs="宋体"/>
        </w:rPr>
        <w:t>招标的投标和合同执行，以我方的名义处理一切与之有关的事宜。</w:t>
      </w:r>
    </w:p>
    <w:p>
      <w:pPr>
        <w:spacing w:line="276" w:lineRule="auto"/>
        <w:rPr>
          <w:rFonts w:hint="eastAsia" w:ascii="宋体" w:hAnsi="宋体" w:cs="宋体"/>
        </w:rPr>
      </w:pPr>
    </w:p>
    <w:p>
      <w:pPr>
        <w:spacing w:line="360" w:lineRule="auto"/>
        <w:rPr>
          <w:rFonts w:hint="eastAsia" w:ascii="宋体" w:hAnsi="宋体" w:cs="宋体"/>
        </w:rPr>
      </w:pPr>
      <w:r>
        <w:rPr>
          <w:rFonts w:hint="eastAsia" w:ascii="宋体" w:hAnsi="宋体" w:cs="宋体"/>
        </w:rPr>
        <w:t>本授权书于 年 月 日签字生效，特此证明。</w:t>
      </w:r>
    </w:p>
    <w:p>
      <w:pPr>
        <w:spacing w:line="480" w:lineRule="auto"/>
        <w:ind w:firstLine="4740"/>
        <w:rPr>
          <w:rFonts w:hint="eastAsia" w:ascii="宋体" w:hAnsi="宋体" w:cs="宋体"/>
        </w:rPr>
      </w:pPr>
      <w:r>
        <w:rPr>
          <w:rFonts w:hint="eastAsia" w:ascii="宋体" w:hAnsi="宋体" w:cs="宋体"/>
        </w:rPr>
        <w:t>投标人名称:（盖章）：</w:t>
      </w:r>
    </w:p>
    <w:p>
      <w:pPr>
        <w:spacing w:line="480" w:lineRule="auto"/>
        <w:ind w:firstLine="4740"/>
        <w:rPr>
          <w:rFonts w:hint="eastAsia" w:ascii="宋体" w:hAnsi="宋体" w:cs="宋体"/>
        </w:rPr>
      </w:pPr>
      <w:r>
        <w:rPr>
          <w:rFonts w:hint="eastAsia" w:ascii="宋体" w:hAnsi="宋体" w:cs="宋体"/>
        </w:rPr>
        <w:t>法定代表人（签字或盖章）：</w:t>
      </w:r>
    </w:p>
    <w:p>
      <w:pPr>
        <w:spacing w:line="480" w:lineRule="auto"/>
        <w:ind w:firstLine="4740"/>
        <w:rPr>
          <w:rFonts w:hint="eastAsia" w:ascii="宋体" w:hAnsi="宋体" w:cs="宋体"/>
        </w:rPr>
      </w:pPr>
      <w:r>
        <w:rPr>
          <w:rFonts w:hint="eastAsia" w:ascii="宋体" w:hAnsi="宋体" w:cs="宋体"/>
        </w:rPr>
        <w:t>职务：</w:t>
      </w:r>
    </w:p>
    <w:p>
      <w:pPr>
        <w:spacing w:line="480" w:lineRule="auto"/>
        <w:ind w:firstLine="4740"/>
        <w:rPr>
          <w:rFonts w:hint="eastAsia" w:ascii="宋体" w:hAnsi="宋体" w:cs="宋体"/>
        </w:rPr>
      </w:pPr>
    </w:p>
    <w:p>
      <w:pPr>
        <w:spacing w:line="480" w:lineRule="auto"/>
        <w:ind w:firstLine="4740"/>
        <w:rPr>
          <w:rFonts w:hint="eastAsia" w:ascii="宋体" w:hAnsi="宋体" w:cs="宋体"/>
        </w:rPr>
      </w:pPr>
      <w:r>
        <w:rPr>
          <w:rFonts w:hint="eastAsia" w:ascii="宋体" w:hAnsi="宋体" w:cs="宋体"/>
        </w:rPr>
        <w:t>被授权人（签字或盖章）：</w:t>
      </w:r>
    </w:p>
    <w:p>
      <w:pPr>
        <w:spacing w:line="480" w:lineRule="auto"/>
        <w:ind w:firstLine="4740"/>
        <w:rPr>
          <w:rFonts w:hint="eastAsia" w:ascii="宋体" w:hAnsi="宋体" w:cs="宋体"/>
        </w:rPr>
      </w:pPr>
      <w:r>
        <w:rPr>
          <w:rFonts w:hint="eastAsia" w:ascii="宋体" w:hAnsi="宋体" w:cs="宋体"/>
        </w:rPr>
        <w:t>被授权人身份证号码：</w:t>
      </w:r>
    </w:p>
    <w:p>
      <w:pPr>
        <w:spacing w:line="480" w:lineRule="auto"/>
        <w:ind w:firstLine="4740"/>
        <w:rPr>
          <w:rFonts w:hint="eastAsia" w:ascii="宋体" w:hAnsi="宋体" w:cs="宋体"/>
        </w:rPr>
      </w:pPr>
      <w:r>
        <w:rPr>
          <w:rFonts w:hint="eastAsia" w:ascii="宋体" w:hAnsi="宋体" w:cs="宋体"/>
        </w:rPr>
        <w:t>职务：</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vAlign w:val="center"/>
          </w:tcPr>
          <w:p>
            <w:pPr>
              <w:spacing w:line="360" w:lineRule="auto"/>
              <w:jc w:val="center"/>
              <w:rPr>
                <w:rFonts w:hint="eastAsia" w:ascii="宋体" w:hAnsi="宋体" w:cs="宋体"/>
                <w:sz w:val="28"/>
                <w:szCs w:val="28"/>
                <w:u w:val="single"/>
              </w:rPr>
            </w:pPr>
            <w:r>
              <w:rPr>
                <w:rFonts w:hint="eastAsia" w:ascii="宋体" w:hAnsi="宋体" w:cs="宋体"/>
                <w:sz w:val="28"/>
                <w:szCs w:val="28"/>
                <w:u w:val="single"/>
              </w:rPr>
              <w:t>粘贴被授权人身份证复印件</w:t>
            </w:r>
          </w:p>
        </w:tc>
      </w:tr>
    </w:tbl>
    <w:p>
      <w:pPr>
        <w:widowControl/>
        <w:jc w:val="left"/>
        <w:rPr>
          <w:rFonts w:hint="eastAsia" w:ascii="宋体" w:hAnsi="宋体" w:cs="宋体"/>
          <w:bCs/>
          <w:sz w:val="28"/>
          <w:szCs w:val="28"/>
        </w:rPr>
      </w:pPr>
      <w:r>
        <w:rPr>
          <w:rFonts w:hint="eastAsia" w:ascii="宋体" w:hAnsi="宋体" w:cs="宋体"/>
        </w:rPr>
        <w:br w:type="page"/>
      </w:r>
    </w:p>
    <w:p>
      <w:pPr>
        <w:spacing w:line="480" w:lineRule="auto"/>
        <w:rPr>
          <w:rFonts w:hint="eastAsia" w:ascii="宋体" w:hAnsi="宋体" w:cs="宋体"/>
          <w:bCs/>
          <w:sz w:val="28"/>
          <w:szCs w:val="28"/>
        </w:rPr>
      </w:pPr>
      <w:r>
        <w:rPr>
          <w:rFonts w:hint="eastAsia" w:ascii="宋体" w:hAnsi="宋体" w:cs="宋体"/>
          <w:bCs/>
          <w:sz w:val="28"/>
          <w:szCs w:val="28"/>
        </w:rPr>
        <w:t>（3）资格声明格式</w:t>
      </w:r>
    </w:p>
    <w:p>
      <w:pPr>
        <w:spacing w:before="120" w:line="360" w:lineRule="auto"/>
        <w:jc w:val="center"/>
        <w:rPr>
          <w:rFonts w:hint="eastAsia" w:ascii="宋体" w:hAnsi="宋体" w:cs="宋体"/>
          <w:b/>
          <w:sz w:val="24"/>
        </w:rPr>
      </w:pPr>
      <w:r>
        <w:rPr>
          <w:rFonts w:hint="eastAsia" w:ascii="宋体" w:hAnsi="宋体" w:cs="宋体"/>
          <w:b/>
          <w:sz w:val="24"/>
        </w:rPr>
        <w:t>资格声明</w:t>
      </w:r>
    </w:p>
    <w:p>
      <w:pPr>
        <w:spacing w:line="360" w:lineRule="auto"/>
        <w:rPr>
          <w:rFonts w:hint="eastAsia" w:ascii="宋体" w:hAnsi="宋体" w:cs="宋体"/>
          <w:b/>
          <w:sz w:val="24"/>
        </w:rPr>
      </w:pPr>
      <w:r>
        <w:rPr>
          <w:rFonts w:hint="eastAsia" w:ascii="宋体" w:hAnsi="宋体" w:cs="宋体"/>
          <w:b/>
          <w:sz w:val="24"/>
        </w:rPr>
        <w:t>广东省机电设备招标有限公司：</w:t>
      </w:r>
    </w:p>
    <w:p>
      <w:pPr>
        <w:spacing w:line="360" w:lineRule="auto"/>
        <w:ind w:firstLine="540"/>
        <w:rPr>
          <w:rFonts w:hint="eastAsia" w:ascii="宋体" w:hAnsi="宋体" w:cs="宋体"/>
          <w:szCs w:val="21"/>
        </w:rPr>
      </w:pPr>
      <w:r>
        <w:rPr>
          <w:rFonts w:hint="eastAsia" w:ascii="宋体" w:hAnsi="宋体" w:cs="宋体"/>
          <w:szCs w:val="21"/>
        </w:rPr>
        <w:t>下述投标人愿响应你方</w:t>
      </w:r>
      <w:r>
        <w:rPr>
          <w:rFonts w:hint="eastAsia" w:ascii="宋体" w:hAnsi="宋体" w:cs="宋体"/>
          <w:szCs w:val="21"/>
          <w:u w:val="single"/>
        </w:rPr>
        <w:t>（项目编号）</w:t>
      </w:r>
      <w:r>
        <w:rPr>
          <w:rFonts w:hint="eastAsia" w:ascii="宋体" w:hAnsi="宋体" w:cs="宋体"/>
          <w:szCs w:val="21"/>
        </w:rPr>
        <w:t>投标邀请，参与投标，并按招标文件要求提交所附资格文件且声明和保证如下：</w:t>
      </w:r>
    </w:p>
    <w:p>
      <w:pPr>
        <w:numPr>
          <w:ilvl w:val="0"/>
          <w:numId w:val="13"/>
        </w:numPr>
        <w:tabs>
          <w:tab w:val="left" w:pos="515"/>
        </w:tabs>
        <w:spacing w:line="360" w:lineRule="auto"/>
        <w:ind w:left="0" w:firstLine="515"/>
        <w:rPr>
          <w:rFonts w:hint="eastAsia" w:ascii="宋体" w:hAnsi="宋体" w:cs="宋体"/>
          <w:szCs w:val="21"/>
        </w:rPr>
      </w:pPr>
      <w:r>
        <w:rPr>
          <w:rFonts w:hint="eastAsia" w:ascii="宋体" w:hAnsi="宋体" w:cs="宋体"/>
          <w:szCs w:val="21"/>
        </w:rPr>
        <w:t>我方为本次投标所提交的所有证明其合格和资格的文件是真实的和正确的，并愿为其真实性和正确性承担法律责任；</w:t>
      </w:r>
    </w:p>
    <w:p>
      <w:pPr>
        <w:numPr>
          <w:ilvl w:val="0"/>
          <w:numId w:val="13"/>
        </w:numPr>
        <w:tabs>
          <w:tab w:val="left" w:pos="515"/>
        </w:tabs>
        <w:spacing w:line="360" w:lineRule="auto"/>
        <w:ind w:left="0" w:firstLine="515"/>
        <w:rPr>
          <w:rFonts w:hint="eastAsia" w:ascii="宋体" w:hAnsi="宋体" w:cs="宋体"/>
          <w:szCs w:val="21"/>
        </w:rPr>
      </w:pPr>
      <w:r>
        <w:rPr>
          <w:rFonts w:hint="eastAsia" w:ascii="宋体" w:hAnsi="宋体" w:cs="宋体"/>
          <w:szCs w:val="21"/>
        </w:rPr>
        <w:t>我方是依法注册的法人，在法律上、财务上和运作上完全独立于</w:t>
      </w:r>
      <w:r>
        <w:rPr>
          <w:rFonts w:hint="eastAsia" w:ascii="宋体" w:hAnsi="宋体" w:cs="宋体"/>
          <w:szCs w:val="21"/>
          <w:u w:val="single"/>
        </w:rPr>
        <w:t>（招标人名称）</w:t>
      </w:r>
      <w:r>
        <w:rPr>
          <w:rFonts w:hint="eastAsia" w:ascii="宋体" w:hAnsi="宋体" w:cs="宋体"/>
          <w:szCs w:val="21"/>
        </w:rPr>
        <w:t>及广东省机电设备招标有限公司（招标代理机构）；</w:t>
      </w:r>
    </w:p>
    <w:p>
      <w:pPr>
        <w:numPr>
          <w:ilvl w:val="0"/>
          <w:numId w:val="13"/>
        </w:numPr>
        <w:tabs>
          <w:tab w:val="left" w:pos="515"/>
        </w:tabs>
        <w:spacing w:line="360" w:lineRule="auto"/>
        <w:ind w:left="0" w:firstLine="515"/>
        <w:rPr>
          <w:rFonts w:hint="eastAsia" w:ascii="宋体" w:hAnsi="宋体" w:cs="宋体"/>
          <w:szCs w:val="21"/>
        </w:rPr>
      </w:pPr>
      <w:r>
        <w:rPr>
          <w:rFonts w:hint="eastAsia" w:ascii="宋体" w:hAnsi="宋体" w:cs="宋体"/>
          <w:szCs w:val="21"/>
        </w:rPr>
        <w:t>我方在参加本次投标前3年内，在经营活动及参与投标活动中没有重大违法活动及涉嫌违规行为，并没有因而被有关部门警告或处分的记录。</w:t>
      </w:r>
    </w:p>
    <w:p>
      <w:pPr>
        <w:numPr>
          <w:ilvl w:val="0"/>
          <w:numId w:val="13"/>
        </w:numPr>
        <w:tabs>
          <w:tab w:val="left" w:pos="515"/>
        </w:tabs>
        <w:spacing w:line="360" w:lineRule="auto"/>
        <w:ind w:left="0" w:firstLine="515"/>
        <w:rPr>
          <w:rFonts w:hint="eastAsia" w:ascii="宋体" w:hAnsi="宋体" w:cs="宋体"/>
          <w:szCs w:val="21"/>
        </w:rPr>
      </w:pPr>
      <w:r>
        <w:rPr>
          <w:rFonts w:hint="eastAsia" w:ascii="宋体" w:hAnsi="宋体" w:cs="宋体"/>
          <w:szCs w:val="21"/>
        </w:rPr>
        <w:t>我方所属的单位负责人为同一人或者存在控股、管理等关联关系的不同供应商，未参加同一合同项下的采购活动。</w:t>
      </w:r>
    </w:p>
    <w:p>
      <w:pPr>
        <w:numPr>
          <w:ilvl w:val="0"/>
          <w:numId w:val="13"/>
        </w:numPr>
        <w:tabs>
          <w:tab w:val="left" w:pos="515"/>
        </w:tabs>
        <w:spacing w:line="360" w:lineRule="auto"/>
        <w:ind w:left="0" w:firstLine="515"/>
        <w:rPr>
          <w:rFonts w:hint="eastAsia" w:ascii="宋体" w:hAnsi="宋体" w:cs="宋体"/>
          <w:szCs w:val="21"/>
        </w:rPr>
      </w:pPr>
      <w:r>
        <w:rPr>
          <w:rFonts w:hint="eastAsia" w:ascii="宋体" w:hAnsi="宋体" w:cs="宋体"/>
          <w:szCs w:val="21"/>
        </w:rPr>
        <w:t>单位地址为同一地址的不同投标人，未参与同一合同项下的采购活动。</w:t>
      </w:r>
    </w:p>
    <w:p>
      <w:pPr>
        <w:pStyle w:val="14"/>
        <w:rPr>
          <w:rFonts w:hint="eastAsia" w:ascii="宋体" w:hAnsi="宋体" w:cs="宋体"/>
        </w:rPr>
      </w:pPr>
    </w:p>
    <w:p>
      <w:pPr>
        <w:spacing w:line="360" w:lineRule="auto"/>
        <w:ind w:left="540"/>
        <w:rPr>
          <w:rFonts w:hint="eastAsia" w:ascii="宋体" w:hAnsi="宋体" w:cs="宋体"/>
          <w:strike/>
          <w:szCs w:val="21"/>
        </w:rPr>
      </w:pPr>
    </w:p>
    <w:p>
      <w:pPr>
        <w:spacing w:line="360" w:lineRule="auto"/>
        <w:ind w:firstLine="3990" w:firstLineChars="1900"/>
        <w:rPr>
          <w:rFonts w:hint="eastAsia" w:ascii="宋体" w:hAnsi="宋体" w:cs="宋体"/>
        </w:rPr>
      </w:pPr>
      <w:r>
        <w:rPr>
          <w:rFonts w:hint="eastAsia" w:ascii="宋体" w:hAnsi="宋体" w:cs="宋体"/>
        </w:rPr>
        <w:t>投标人名称:（盖章）</w:t>
      </w:r>
    </w:p>
    <w:p>
      <w:pPr>
        <w:spacing w:line="360" w:lineRule="auto"/>
        <w:ind w:firstLine="3990" w:firstLineChars="1900"/>
        <w:rPr>
          <w:rFonts w:hint="eastAsia" w:ascii="宋体" w:hAnsi="宋体" w:cs="宋体"/>
        </w:rPr>
      </w:pPr>
      <w:r>
        <w:rPr>
          <w:rFonts w:hint="eastAsia" w:ascii="宋体" w:hAnsi="宋体" w:cs="宋体"/>
        </w:rPr>
        <w:t>投标人法定代表人或其授权代表（签名或盖章）：</w:t>
      </w:r>
    </w:p>
    <w:p>
      <w:pPr>
        <w:spacing w:line="360" w:lineRule="auto"/>
        <w:ind w:firstLine="3990" w:firstLineChars="1900"/>
        <w:rPr>
          <w:rFonts w:hint="eastAsia" w:ascii="宋体" w:hAnsi="宋体" w:cs="宋体"/>
        </w:rPr>
      </w:pPr>
      <w:r>
        <w:rPr>
          <w:rFonts w:hint="eastAsia" w:ascii="宋体" w:hAnsi="宋体" w:cs="宋体"/>
        </w:rPr>
        <w:t>日期：    年   月   日</w:t>
      </w:r>
    </w:p>
    <w:p>
      <w:pPr>
        <w:spacing w:line="480" w:lineRule="auto"/>
        <w:ind w:firstLine="3990" w:firstLineChars="1900"/>
        <w:rPr>
          <w:rFonts w:hint="eastAsia" w:ascii="宋体" w:hAnsi="宋体" w:cs="宋体"/>
          <w:u w:val="single"/>
        </w:rPr>
      </w:pPr>
    </w:p>
    <w:p>
      <w:pPr>
        <w:pStyle w:val="7"/>
        <w:spacing w:before="0" w:after="0" w:line="360" w:lineRule="auto"/>
        <w:ind w:left="0" w:firstLine="0"/>
        <w:rPr>
          <w:rFonts w:hint="eastAsia" w:ascii="宋体" w:hAnsi="宋体" w:cs="宋体"/>
          <w:b w:val="0"/>
          <w:bCs/>
          <w:szCs w:val="21"/>
        </w:rPr>
      </w:pPr>
      <w:r>
        <w:rPr>
          <w:rFonts w:hint="eastAsia" w:ascii="宋体" w:hAnsi="宋体" w:cs="宋体"/>
        </w:rPr>
        <w:br w:type="page"/>
      </w:r>
      <w:r>
        <w:rPr>
          <w:rFonts w:hint="eastAsia" w:ascii="宋体" w:hAnsi="宋体" w:cs="宋体"/>
          <w:b w:val="0"/>
          <w:bCs/>
          <w:szCs w:val="28"/>
        </w:rPr>
        <w:t>（4）其他资格证明材料</w:t>
      </w:r>
    </w:p>
    <w:p>
      <w:pPr>
        <w:spacing w:line="480" w:lineRule="auto"/>
        <w:rPr>
          <w:rFonts w:hint="eastAsia" w:ascii="宋体" w:hAnsi="宋体" w:cs="宋体"/>
        </w:rPr>
      </w:pPr>
      <w:r>
        <w:rPr>
          <w:rFonts w:hint="eastAsia" w:ascii="宋体" w:hAnsi="宋体" w:cs="宋体"/>
        </w:rPr>
        <w:t>根据合格投标人资格条件提供证明材料</w:t>
      </w:r>
    </w:p>
    <w:p>
      <w:pPr>
        <w:adjustRightInd w:val="0"/>
        <w:snapToGrid w:val="0"/>
        <w:spacing w:line="360" w:lineRule="auto"/>
        <w:rPr>
          <w:rFonts w:hint="eastAsia" w:ascii="宋体" w:hAnsi="宋体" w:cs="宋体"/>
          <w:szCs w:val="21"/>
        </w:rPr>
      </w:pPr>
      <w:r>
        <w:rPr>
          <w:rFonts w:hint="eastAsia" w:ascii="宋体" w:hAnsi="宋体" w:cs="宋体"/>
          <w:szCs w:val="21"/>
        </w:rPr>
        <w:t>（1）投标人提供</w:t>
      </w:r>
      <w:r>
        <w:rPr>
          <w:rFonts w:hint="eastAsia" w:ascii="宋体" w:hAnsi="宋体" w:cs="宋体"/>
          <w:color w:val="2D2E2E"/>
          <w:szCs w:val="21"/>
          <w:shd w:val="clear" w:color="auto" w:fill="FFFFFF"/>
        </w:rPr>
        <w:t>拟投标设备（拟投设备指座椅）的制造商的相关证明材料（格式自拟）</w:t>
      </w:r>
    </w:p>
    <w:p>
      <w:pPr>
        <w:adjustRightInd w:val="0"/>
        <w:snapToGrid w:val="0"/>
        <w:spacing w:line="360" w:lineRule="auto"/>
        <w:rPr>
          <w:rFonts w:hint="eastAsia" w:ascii="宋体" w:hAnsi="宋体" w:cs="宋体"/>
          <w:szCs w:val="21"/>
        </w:rPr>
      </w:pPr>
      <w:r>
        <w:rPr>
          <w:rFonts w:hint="eastAsia" w:ascii="宋体" w:hAnsi="宋体" w:cs="宋体"/>
          <w:szCs w:val="21"/>
        </w:rPr>
        <w:t>（2）</w:t>
      </w:r>
      <w:r>
        <w:rPr>
          <w:rFonts w:ascii="宋体" w:hAnsi="宋体" w:cs="宋体"/>
          <w:szCs w:val="21"/>
        </w:rPr>
        <w:t>若投标人为制造商授权的代理商（或品牌经销商），需提供制造商授权或品牌经销等相关佐证材料</w:t>
      </w:r>
      <w:r>
        <w:rPr>
          <w:rFonts w:hint="eastAsia" w:ascii="宋体" w:hAnsi="宋体" w:cs="宋体"/>
          <w:szCs w:val="21"/>
        </w:rPr>
        <w:t>（格式自拟）</w:t>
      </w:r>
    </w:p>
    <w:p>
      <w:pPr>
        <w:spacing w:line="360" w:lineRule="auto"/>
        <w:rPr>
          <w:rFonts w:hint="eastAsia" w:ascii="宋体" w:hAnsi="宋体" w:cs="宋体"/>
          <w:i/>
        </w:rPr>
      </w:pPr>
    </w:p>
    <w:p>
      <w:pPr>
        <w:pStyle w:val="6"/>
        <w:spacing w:before="0" w:after="0"/>
        <w:ind w:left="0" w:firstLine="0"/>
        <w:rPr>
          <w:rFonts w:hint="eastAsia" w:ascii="宋体" w:hAnsi="宋体" w:eastAsia="宋体" w:cs="宋体"/>
          <w:bCs/>
          <w:szCs w:val="21"/>
        </w:rPr>
      </w:pPr>
      <w:r>
        <w:rPr>
          <w:rFonts w:hint="eastAsia" w:ascii="宋体" w:hAnsi="宋体" w:eastAsia="宋体" w:cs="宋体"/>
          <w:b w:val="0"/>
          <w:sz w:val="24"/>
        </w:rPr>
        <w:br w:type="page"/>
      </w:r>
      <w:r>
        <w:rPr>
          <w:rFonts w:hint="eastAsia" w:ascii="宋体" w:hAnsi="宋体" w:eastAsia="宋体" w:cs="宋体"/>
          <w:bCs/>
          <w:szCs w:val="21"/>
        </w:rPr>
        <w:t>五、商务文件格式</w:t>
      </w:r>
    </w:p>
    <w:p>
      <w:pPr>
        <w:pStyle w:val="6"/>
        <w:spacing w:before="0" w:after="0"/>
        <w:ind w:left="0" w:firstLine="0"/>
        <w:rPr>
          <w:rFonts w:hint="eastAsia" w:ascii="宋体" w:hAnsi="宋体" w:eastAsia="宋体" w:cs="宋体"/>
          <w:bCs/>
          <w:szCs w:val="21"/>
        </w:rPr>
      </w:pPr>
      <w:r>
        <w:rPr>
          <w:rFonts w:hint="eastAsia" w:ascii="宋体" w:hAnsi="宋体" w:eastAsia="宋体" w:cs="宋体"/>
          <w:bCs/>
          <w:szCs w:val="21"/>
        </w:rPr>
        <w:t>（一）企业状况</w:t>
      </w:r>
    </w:p>
    <w:p>
      <w:pPr>
        <w:pStyle w:val="7"/>
        <w:spacing w:before="0" w:after="0" w:line="360" w:lineRule="auto"/>
        <w:ind w:left="0" w:firstLine="0"/>
        <w:rPr>
          <w:rFonts w:hint="eastAsia" w:ascii="宋体" w:hAnsi="宋体" w:cs="宋体"/>
          <w:sz w:val="21"/>
          <w:szCs w:val="21"/>
        </w:rPr>
      </w:pPr>
      <w:r>
        <w:rPr>
          <w:rFonts w:hint="eastAsia" w:ascii="宋体" w:hAnsi="宋体" w:cs="宋体"/>
          <w:sz w:val="21"/>
          <w:szCs w:val="21"/>
        </w:rPr>
        <w:t>（1）企业基本情况介绍</w:t>
      </w:r>
    </w:p>
    <w:tbl>
      <w:tblPr>
        <w:tblStyle w:val="53"/>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rPr>
                <w:rFonts w:hint="eastAsia"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vAlign w:val="center"/>
          </w:tcPr>
          <w:p>
            <w:pPr>
              <w:topLinePunct/>
              <w:snapToGrid w:val="0"/>
              <w:spacing w:line="360" w:lineRule="auto"/>
              <w:ind w:firstLine="210" w:firstLineChars="100"/>
              <w:jc w:val="center"/>
              <w:rPr>
                <w:rFonts w:hint="eastAsia"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vAlign w:val="center"/>
          </w:tcPr>
          <w:p>
            <w:pPr>
              <w:tabs>
                <w:tab w:val="left" w:pos="900"/>
                <w:tab w:val="left" w:pos="1080"/>
              </w:tabs>
              <w:snapToGrid w:val="0"/>
              <w:spacing w:line="360" w:lineRule="auto"/>
              <w:rPr>
                <w:rFonts w:hint="eastAsia" w:ascii="宋体" w:hAnsi="宋体" w:cs="宋体"/>
              </w:rPr>
            </w:pPr>
            <w:r>
              <w:rPr>
                <w:rFonts w:hint="eastAsia" w:ascii="宋体" w:hAnsi="宋体" w:cs="宋体"/>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hint="eastAsia" w:ascii="宋体" w:hAnsi="宋体" w:cs="宋体"/>
                <w:szCs w:val="21"/>
              </w:rPr>
            </w:pPr>
          </w:p>
        </w:tc>
      </w:tr>
    </w:tbl>
    <w:p>
      <w:pPr>
        <w:pStyle w:val="7"/>
        <w:spacing w:line="360" w:lineRule="auto"/>
        <w:ind w:left="0" w:firstLine="0"/>
        <w:rPr>
          <w:rFonts w:hint="eastAsia"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hint="eastAsia"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hint="eastAsia" w:ascii="宋体" w:hAnsi="宋体" w:cs="宋体"/>
          <w:szCs w:val="21"/>
        </w:rPr>
      </w:pPr>
      <w:r>
        <w:rPr>
          <w:rFonts w:hint="eastAsia" w:ascii="宋体" w:hAnsi="宋体" w:cs="宋体"/>
          <w:szCs w:val="21"/>
        </w:rPr>
        <w:t xml:space="preserve">             </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712" w:type="dxa"/>
            <w:vAlign w:val="center"/>
          </w:tcPr>
          <w:p>
            <w:pPr>
              <w:spacing w:line="360" w:lineRule="auto"/>
              <w:jc w:val="center"/>
              <w:rPr>
                <w:rFonts w:hint="eastAsia" w:ascii="宋体" w:hAnsi="宋体" w:cs="宋体"/>
                <w:szCs w:val="21"/>
              </w:rPr>
            </w:pPr>
            <w:r>
              <w:rPr>
                <w:rFonts w:hint="eastAsia" w:ascii="宋体" w:hAnsi="宋体" w:cs="宋体"/>
                <w:szCs w:val="21"/>
              </w:rPr>
              <w:t>项目名称</w:t>
            </w:r>
          </w:p>
        </w:tc>
        <w:tc>
          <w:tcPr>
            <w:tcW w:w="1742" w:type="dxa"/>
            <w:vAlign w:val="center"/>
          </w:tcPr>
          <w:p>
            <w:pPr>
              <w:spacing w:line="360" w:lineRule="auto"/>
              <w:jc w:val="center"/>
              <w:rPr>
                <w:rFonts w:hint="eastAsia" w:ascii="宋体" w:hAnsi="宋体" w:cs="宋体"/>
                <w:szCs w:val="21"/>
              </w:rPr>
            </w:pPr>
            <w:r>
              <w:rPr>
                <w:rFonts w:hint="eastAsia" w:ascii="宋体" w:hAnsi="宋体" w:cs="宋体"/>
                <w:szCs w:val="21"/>
              </w:rPr>
              <w:t>合同金额（万元）</w:t>
            </w:r>
          </w:p>
        </w:tc>
        <w:tc>
          <w:tcPr>
            <w:tcW w:w="1740" w:type="dxa"/>
            <w:vAlign w:val="center"/>
          </w:tcPr>
          <w:p>
            <w:pPr>
              <w:spacing w:line="360" w:lineRule="auto"/>
              <w:jc w:val="center"/>
              <w:rPr>
                <w:rFonts w:hint="eastAsia" w:ascii="宋体" w:hAnsi="宋体" w:cs="宋体"/>
                <w:szCs w:val="21"/>
              </w:rPr>
            </w:pPr>
            <w:r>
              <w:rPr>
                <w:rFonts w:hint="eastAsia" w:ascii="宋体" w:hAnsi="宋体" w:cs="宋体"/>
                <w:szCs w:val="21"/>
              </w:rPr>
              <w:t>合同签订时间</w:t>
            </w:r>
          </w:p>
        </w:tc>
        <w:tc>
          <w:tcPr>
            <w:tcW w:w="1419" w:type="dxa"/>
            <w:vAlign w:val="center"/>
          </w:tcPr>
          <w:p>
            <w:pPr>
              <w:spacing w:line="360" w:lineRule="auto"/>
              <w:jc w:val="center"/>
              <w:rPr>
                <w:rFonts w:hint="eastAsia" w:ascii="宋体" w:hAnsi="宋体" w:cs="宋体"/>
                <w:szCs w:val="21"/>
              </w:rPr>
            </w:pPr>
            <w:r>
              <w:rPr>
                <w:rFonts w:hint="eastAsia" w:ascii="宋体" w:hAnsi="宋体" w:cs="宋体"/>
                <w:szCs w:val="21"/>
              </w:rPr>
              <w:t>招标人</w:t>
            </w:r>
          </w:p>
        </w:tc>
        <w:tc>
          <w:tcPr>
            <w:tcW w:w="2062" w:type="dxa"/>
            <w:vAlign w:val="center"/>
          </w:tcPr>
          <w:p>
            <w:pPr>
              <w:spacing w:line="360" w:lineRule="auto"/>
              <w:jc w:val="center"/>
              <w:rPr>
                <w:rFonts w:hint="eastAsia"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hint="eastAsia" w:ascii="宋体" w:hAnsi="宋体" w:cs="宋体"/>
                <w:szCs w:val="21"/>
              </w:rPr>
            </w:pPr>
          </w:p>
        </w:tc>
        <w:tc>
          <w:tcPr>
            <w:tcW w:w="1712" w:type="dxa"/>
          </w:tcPr>
          <w:p>
            <w:pPr>
              <w:spacing w:line="360" w:lineRule="auto"/>
              <w:rPr>
                <w:rFonts w:hint="eastAsia" w:ascii="宋体" w:hAnsi="宋体" w:cs="宋体"/>
                <w:szCs w:val="21"/>
              </w:rPr>
            </w:pPr>
          </w:p>
        </w:tc>
        <w:tc>
          <w:tcPr>
            <w:tcW w:w="1742" w:type="dxa"/>
          </w:tcPr>
          <w:p>
            <w:pPr>
              <w:spacing w:line="360" w:lineRule="auto"/>
              <w:rPr>
                <w:rFonts w:hint="eastAsia" w:ascii="宋体" w:hAnsi="宋体" w:cs="宋体"/>
                <w:szCs w:val="21"/>
              </w:rPr>
            </w:pPr>
          </w:p>
        </w:tc>
        <w:tc>
          <w:tcPr>
            <w:tcW w:w="1740" w:type="dxa"/>
          </w:tcPr>
          <w:p>
            <w:pPr>
              <w:spacing w:line="360" w:lineRule="auto"/>
              <w:rPr>
                <w:rFonts w:hint="eastAsia" w:ascii="宋体" w:hAnsi="宋体" w:cs="宋体"/>
                <w:szCs w:val="21"/>
              </w:rPr>
            </w:pPr>
          </w:p>
        </w:tc>
        <w:tc>
          <w:tcPr>
            <w:tcW w:w="1419" w:type="dxa"/>
          </w:tcPr>
          <w:p>
            <w:pPr>
              <w:spacing w:line="360" w:lineRule="auto"/>
              <w:rPr>
                <w:rFonts w:hint="eastAsia" w:ascii="宋体" w:hAnsi="宋体" w:cs="宋体"/>
                <w:szCs w:val="21"/>
              </w:rPr>
            </w:pPr>
          </w:p>
        </w:tc>
        <w:tc>
          <w:tcPr>
            <w:tcW w:w="2062" w:type="dxa"/>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hint="eastAsia" w:ascii="宋体" w:hAnsi="宋体" w:cs="宋体"/>
                <w:szCs w:val="21"/>
              </w:rPr>
            </w:pPr>
          </w:p>
        </w:tc>
        <w:tc>
          <w:tcPr>
            <w:tcW w:w="1712" w:type="dxa"/>
          </w:tcPr>
          <w:p>
            <w:pPr>
              <w:spacing w:line="360" w:lineRule="auto"/>
              <w:rPr>
                <w:rFonts w:hint="eastAsia" w:ascii="宋体" w:hAnsi="宋体" w:cs="宋体"/>
                <w:szCs w:val="21"/>
              </w:rPr>
            </w:pPr>
          </w:p>
        </w:tc>
        <w:tc>
          <w:tcPr>
            <w:tcW w:w="1742" w:type="dxa"/>
          </w:tcPr>
          <w:p>
            <w:pPr>
              <w:spacing w:line="360" w:lineRule="auto"/>
              <w:rPr>
                <w:rFonts w:hint="eastAsia" w:ascii="宋体" w:hAnsi="宋体" w:cs="宋体"/>
                <w:szCs w:val="21"/>
              </w:rPr>
            </w:pPr>
          </w:p>
        </w:tc>
        <w:tc>
          <w:tcPr>
            <w:tcW w:w="1740" w:type="dxa"/>
          </w:tcPr>
          <w:p>
            <w:pPr>
              <w:spacing w:line="360" w:lineRule="auto"/>
              <w:rPr>
                <w:rFonts w:hint="eastAsia" w:ascii="宋体" w:hAnsi="宋体" w:cs="宋体"/>
                <w:szCs w:val="21"/>
              </w:rPr>
            </w:pPr>
          </w:p>
        </w:tc>
        <w:tc>
          <w:tcPr>
            <w:tcW w:w="1419" w:type="dxa"/>
          </w:tcPr>
          <w:p>
            <w:pPr>
              <w:spacing w:line="360" w:lineRule="auto"/>
              <w:rPr>
                <w:rFonts w:hint="eastAsia" w:ascii="宋体" w:hAnsi="宋体" w:cs="宋体"/>
                <w:szCs w:val="21"/>
              </w:rPr>
            </w:pPr>
          </w:p>
        </w:tc>
        <w:tc>
          <w:tcPr>
            <w:tcW w:w="2062" w:type="dxa"/>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hint="eastAsia" w:ascii="宋体" w:hAnsi="宋体" w:cs="宋体"/>
                <w:szCs w:val="21"/>
              </w:rPr>
            </w:pPr>
          </w:p>
        </w:tc>
        <w:tc>
          <w:tcPr>
            <w:tcW w:w="1712" w:type="dxa"/>
          </w:tcPr>
          <w:p>
            <w:pPr>
              <w:spacing w:line="360" w:lineRule="auto"/>
              <w:rPr>
                <w:rFonts w:hint="eastAsia" w:ascii="宋体" w:hAnsi="宋体" w:cs="宋体"/>
                <w:szCs w:val="21"/>
              </w:rPr>
            </w:pPr>
          </w:p>
        </w:tc>
        <w:tc>
          <w:tcPr>
            <w:tcW w:w="1742" w:type="dxa"/>
          </w:tcPr>
          <w:p>
            <w:pPr>
              <w:spacing w:line="360" w:lineRule="auto"/>
              <w:rPr>
                <w:rFonts w:hint="eastAsia" w:ascii="宋体" w:hAnsi="宋体" w:cs="宋体"/>
                <w:szCs w:val="21"/>
              </w:rPr>
            </w:pPr>
          </w:p>
        </w:tc>
        <w:tc>
          <w:tcPr>
            <w:tcW w:w="1740" w:type="dxa"/>
          </w:tcPr>
          <w:p>
            <w:pPr>
              <w:spacing w:line="360" w:lineRule="auto"/>
              <w:rPr>
                <w:rFonts w:hint="eastAsia" w:ascii="宋体" w:hAnsi="宋体" w:cs="宋体"/>
                <w:szCs w:val="21"/>
              </w:rPr>
            </w:pPr>
          </w:p>
        </w:tc>
        <w:tc>
          <w:tcPr>
            <w:tcW w:w="1419" w:type="dxa"/>
          </w:tcPr>
          <w:p>
            <w:pPr>
              <w:spacing w:line="360" w:lineRule="auto"/>
              <w:rPr>
                <w:rFonts w:hint="eastAsia" w:ascii="宋体" w:hAnsi="宋体" w:cs="宋体"/>
                <w:szCs w:val="21"/>
              </w:rPr>
            </w:pPr>
          </w:p>
        </w:tc>
        <w:tc>
          <w:tcPr>
            <w:tcW w:w="2062" w:type="dxa"/>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hint="eastAsia" w:ascii="宋体" w:hAnsi="宋体" w:cs="宋体"/>
                <w:szCs w:val="21"/>
              </w:rPr>
            </w:pPr>
          </w:p>
        </w:tc>
        <w:tc>
          <w:tcPr>
            <w:tcW w:w="1712" w:type="dxa"/>
          </w:tcPr>
          <w:p>
            <w:pPr>
              <w:spacing w:line="360" w:lineRule="auto"/>
              <w:rPr>
                <w:rFonts w:hint="eastAsia" w:ascii="宋体" w:hAnsi="宋体" w:cs="宋体"/>
                <w:szCs w:val="21"/>
              </w:rPr>
            </w:pPr>
          </w:p>
        </w:tc>
        <w:tc>
          <w:tcPr>
            <w:tcW w:w="1742" w:type="dxa"/>
          </w:tcPr>
          <w:p>
            <w:pPr>
              <w:spacing w:line="360" w:lineRule="auto"/>
              <w:rPr>
                <w:rFonts w:hint="eastAsia" w:ascii="宋体" w:hAnsi="宋体" w:cs="宋体"/>
                <w:szCs w:val="21"/>
              </w:rPr>
            </w:pPr>
          </w:p>
        </w:tc>
        <w:tc>
          <w:tcPr>
            <w:tcW w:w="1740" w:type="dxa"/>
          </w:tcPr>
          <w:p>
            <w:pPr>
              <w:spacing w:line="360" w:lineRule="auto"/>
              <w:rPr>
                <w:rFonts w:hint="eastAsia" w:ascii="宋体" w:hAnsi="宋体" w:cs="宋体"/>
                <w:szCs w:val="21"/>
              </w:rPr>
            </w:pPr>
          </w:p>
        </w:tc>
        <w:tc>
          <w:tcPr>
            <w:tcW w:w="1419" w:type="dxa"/>
          </w:tcPr>
          <w:p>
            <w:pPr>
              <w:spacing w:line="360" w:lineRule="auto"/>
              <w:rPr>
                <w:rFonts w:hint="eastAsia" w:ascii="宋体" w:hAnsi="宋体" w:cs="宋体"/>
                <w:szCs w:val="21"/>
              </w:rPr>
            </w:pPr>
          </w:p>
        </w:tc>
        <w:tc>
          <w:tcPr>
            <w:tcW w:w="2062" w:type="dxa"/>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hint="eastAsia" w:ascii="宋体" w:hAnsi="宋体" w:cs="宋体"/>
                <w:szCs w:val="21"/>
              </w:rPr>
            </w:pPr>
          </w:p>
        </w:tc>
        <w:tc>
          <w:tcPr>
            <w:tcW w:w="1712" w:type="dxa"/>
          </w:tcPr>
          <w:p>
            <w:pPr>
              <w:spacing w:line="360" w:lineRule="auto"/>
              <w:rPr>
                <w:rFonts w:hint="eastAsia" w:ascii="宋体" w:hAnsi="宋体" w:cs="宋体"/>
                <w:szCs w:val="21"/>
              </w:rPr>
            </w:pPr>
          </w:p>
        </w:tc>
        <w:tc>
          <w:tcPr>
            <w:tcW w:w="1742" w:type="dxa"/>
          </w:tcPr>
          <w:p>
            <w:pPr>
              <w:spacing w:line="360" w:lineRule="auto"/>
              <w:rPr>
                <w:rFonts w:hint="eastAsia" w:ascii="宋体" w:hAnsi="宋体" w:cs="宋体"/>
                <w:szCs w:val="21"/>
              </w:rPr>
            </w:pPr>
          </w:p>
        </w:tc>
        <w:tc>
          <w:tcPr>
            <w:tcW w:w="1740" w:type="dxa"/>
          </w:tcPr>
          <w:p>
            <w:pPr>
              <w:spacing w:line="360" w:lineRule="auto"/>
              <w:rPr>
                <w:rFonts w:hint="eastAsia" w:ascii="宋体" w:hAnsi="宋体" w:cs="宋体"/>
                <w:szCs w:val="21"/>
              </w:rPr>
            </w:pPr>
          </w:p>
        </w:tc>
        <w:tc>
          <w:tcPr>
            <w:tcW w:w="1419" w:type="dxa"/>
          </w:tcPr>
          <w:p>
            <w:pPr>
              <w:spacing w:line="360" w:lineRule="auto"/>
              <w:rPr>
                <w:rFonts w:hint="eastAsia" w:ascii="宋体" w:hAnsi="宋体" w:cs="宋体"/>
                <w:szCs w:val="21"/>
              </w:rPr>
            </w:pPr>
          </w:p>
        </w:tc>
        <w:tc>
          <w:tcPr>
            <w:tcW w:w="2062" w:type="dxa"/>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hint="eastAsia" w:ascii="宋体" w:hAnsi="宋体" w:cs="宋体"/>
                <w:szCs w:val="21"/>
              </w:rPr>
            </w:pPr>
          </w:p>
        </w:tc>
        <w:tc>
          <w:tcPr>
            <w:tcW w:w="1712" w:type="dxa"/>
          </w:tcPr>
          <w:p>
            <w:pPr>
              <w:spacing w:line="360" w:lineRule="auto"/>
              <w:rPr>
                <w:rFonts w:hint="eastAsia" w:ascii="宋体" w:hAnsi="宋体" w:cs="宋体"/>
                <w:szCs w:val="21"/>
              </w:rPr>
            </w:pPr>
          </w:p>
        </w:tc>
        <w:tc>
          <w:tcPr>
            <w:tcW w:w="1742" w:type="dxa"/>
          </w:tcPr>
          <w:p>
            <w:pPr>
              <w:spacing w:line="360" w:lineRule="auto"/>
              <w:rPr>
                <w:rFonts w:hint="eastAsia" w:ascii="宋体" w:hAnsi="宋体" w:cs="宋体"/>
                <w:szCs w:val="21"/>
              </w:rPr>
            </w:pPr>
          </w:p>
        </w:tc>
        <w:tc>
          <w:tcPr>
            <w:tcW w:w="1740" w:type="dxa"/>
          </w:tcPr>
          <w:p>
            <w:pPr>
              <w:spacing w:line="360" w:lineRule="auto"/>
              <w:rPr>
                <w:rFonts w:hint="eastAsia" w:ascii="宋体" w:hAnsi="宋体" w:cs="宋体"/>
                <w:szCs w:val="21"/>
              </w:rPr>
            </w:pPr>
          </w:p>
        </w:tc>
        <w:tc>
          <w:tcPr>
            <w:tcW w:w="1419" w:type="dxa"/>
          </w:tcPr>
          <w:p>
            <w:pPr>
              <w:spacing w:line="360" w:lineRule="auto"/>
              <w:rPr>
                <w:rFonts w:hint="eastAsia" w:ascii="宋体" w:hAnsi="宋体" w:cs="宋体"/>
                <w:szCs w:val="21"/>
              </w:rPr>
            </w:pPr>
          </w:p>
        </w:tc>
        <w:tc>
          <w:tcPr>
            <w:tcW w:w="2062" w:type="dxa"/>
          </w:tcPr>
          <w:p>
            <w:pPr>
              <w:spacing w:line="360" w:lineRule="auto"/>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注：业绩表后应附对应合同复印件合同内容应至少包括上述表格中要求的关键要素，若缺少将影响评标委员会对投标人此项评分的得分。</w:t>
      </w:r>
    </w:p>
    <w:p>
      <w:pPr>
        <w:spacing w:line="360" w:lineRule="auto"/>
        <w:jc w:val="center"/>
        <w:rPr>
          <w:rFonts w:hint="eastAsia" w:ascii="宋体" w:hAnsi="宋体" w:cs="宋体"/>
          <w:b/>
          <w:szCs w:val="21"/>
        </w:rPr>
      </w:pPr>
    </w:p>
    <w:p>
      <w:pPr>
        <w:spacing w:line="360" w:lineRule="auto"/>
        <w:ind w:firstLine="3990" w:firstLineChars="1900"/>
        <w:rPr>
          <w:rFonts w:hint="eastAsia" w:ascii="宋体" w:hAnsi="宋体" w:cs="宋体"/>
        </w:rPr>
      </w:pPr>
      <w:r>
        <w:rPr>
          <w:rFonts w:hint="eastAsia" w:ascii="宋体" w:hAnsi="宋体" w:cs="宋体"/>
        </w:rPr>
        <w:t>投标人名称:（盖章）</w:t>
      </w:r>
    </w:p>
    <w:p>
      <w:pPr>
        <w:spacing w:line="360" w:lineRule="auto"/>
        <w:ind w:firstLine="3990" w:firstLineChars="1900"/>
        <w:rPr>
          <w:rFonts w:hint="eastAsia" w:ascii="宋体" w:hAnsi="宋体" w:cs="宋体"/>
        </w:rPr>
      </w:pPr>
      <w:r>
        <w:rPr>
          <w:rFonts w:hint="eastAsia" w:ascii="宋体" w:hAnsi="宋体" w:cs="宋体"/>
        </w:rPr>
        <w:t>日期：    年   月   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sectPr>
          <w:footnotePr>
            <w:pos w:val="beneathText"/>
          </w:footnotePr>
          <w:pgSz w:w="11906" w:h="16838"/>
          <w:pgMar w:top="1418" w:right="1418" w:bottom="1418" w:left="1418" w:header="850" w:footer="992" w:gutter="0"/>
          <w:cols w:space="720" w:num="1"/>
          <w:docGrid w:linePitch="333" w:charSpace="0"/>
        </w:sectPr>
      </w:pPr>
    </w:p>
    <w:p>
      <w:pPr>
        <w:pStyle w:val="7"/>
        <w:spacing w:line="360" w:lineRule="auto"/>
        <w:ind w:left="0" w:firstLine="0"/>
        <w:rPr>
          <w:rFonts w:hint="eastAsia" w:ascii="宋体" w:hAnsi="宋体" w:cs="宋体"/>
          <w:sz w:val="21"/>
          <w:szCs w:val="21"/>
        </w:rPr>
      </w:pPr>
      <w:r>
        <w:rPr>
          <w:rFonts w:hint="eastAsia" w:ascii="宋体" w:hAnsi="宋体" w:cs="宋体"/>
          <w:sz w:val="21"/>
          <w:szCs w:val="21"/>
        </w:rPr>
        <w:t>（3）企业财务状况</w:t>
      </w:r>
    </w:p>
    <w:p>
      <w:pPr>
        <w:tabs>
          <w:tab w:val="left" w:pos="4158"/>
        </w:tabs>
        <w:adjustRightInd w:val="0"/>
        <w:snapToGrid w:val="0"/>
        <w:spacing w:line="360" w:lineRule="auto"/>
        <w:jc w:val="center"/>
        <w:rPr>
          <w:rFonts w:hint="eastAsia" w:ascii="宋体" w:hAnsi="宋体" w:cs="宋体"/>
          <w:b/>
          <w:szCs w:val="21"/>
        </w:rPr>
      </w:pPr>
      <w:r>
        <w:rPr>
          <w:rFonts w:hint="eastAsia" w:ascii="宋体" w:hAnsi="宋体" w:cs="宋体"/>
          <w:b/>
          <w:szCs w:val="21"/>
        </w:rPr>
        <w:t>近三年财务状况表（按年度提供）</w:t>
      </w:r>
    </w:p>
    <w:p>
      <w:pPr>
        <w:spacing w:line="360" w:lineRule="auto"/>
        <w:rPr>
          <w:rFonts w:hint="eastAsia" w:ascii="宋体" w:hAnsi="宋体" w:cs="宋体"/>
          <w:b/>
          <w:szCs w:val="21"/>
        </w:rPr>
      </w:pPr>
      <w:r>
        <w:rPr>
          <w:rFonts w:hint="eastAsia" w:ascii="宋体" w:hAnsi="宋体" w:cs="宋体"/>
          <w:b/>
          <w:szCs w:val="21"/>
        </w:rPr>
        <w:t>按招标文件要求提供经第三方机构审计的审计报告，并根据报告内容填写以下表格：</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项目或指标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单位</w:t>
            </w:r>
          </w:p>
        </w:tc>
        <w:tc>
          <w:tcPr>
            <w:tcW w:w="1704" w:type="dxa"/>
            <w:vAlign w:val="center"/>
          </w:tcPr>
          <w:p>
            <w:pPr>
              <w:snapToGrid w:val="0"/>
              <w:spacing w:line="360" w:lineRule="auto"/>
              <w:jc w:val="center"/>
              <w:rPr>
                <w:rFonts w:hint="eastAsia" w:ascii="宋体" w:hAnsi="宋体" w:cs="宋体"/>
                <w:szCs w:val="21"/>
              </w:rPr>
            </w:pPr>
          </w:p>
        </w:tc>
        <w:tc>
          <w:tcPr>
            <w:tcW w:w="1706" w:type="dxa"/>
            <w:vAlign w:val="center"/>
          </w:tcPr>
          <w:p>
            <w:pPr>
              <w:snapToGrid w:val="0"/>
              <w:spacing w:line="360" w:lineRule="auto"/>
              <w:jc w:val="center"/>
              <w:rPr>
                <w:rFonts w:hint="eastAsia" w:ascii="宋体" w:hAnsi="宋体" w:cs="宋体"/>
                <w:szCs w:val="21"/>
              </w:rPr>
            </w:pPr>
          </w:p>
        </w:tc>
        <w:tc>
          <w:tcPr>
            <w:tcW w:w="2113" w:type="dxa"/>
            <w:vAlign w:val="center"/>
          </w:tcPr>
          <w:p>
            <w:pPr>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一、注册资金</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二、净资产</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三、总资产</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四、固定资产</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五、流动资产</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六、流动负债</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七、负债合计</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八、营业收入</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九、净利润</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十、净现金流量总额</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十一、主要财务指标</w:t>
            </w:r>
          </w:p>
        </w:tc>
        <w:tc>
          <w:tcPr>
            <w:tcW w:w="1322" w:type="dxa"/>
            <w:vAlign w:val="center"/>
          </w:tcPr>
          <w:p>
            <w:pPr>
              <w:snapToGrid w:val="0"/>
              <w:spacing w:line="360" w:lineRule="auto"/>
              <w:jc w:val="center"/>
              <w:rPr>
                <w:rFonts w:hint="eastAsia" w:ascii="宋体" w:hAnsi="宋体" w:cs="宋体"/>
                <w:bCs/>
                <w:szCs w:val="21"/>
              </w:rPr>
            </w:pP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1、净资产收益率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2、总资产报酬率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3、主营业务利润率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4、资产负债率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5、流动比率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6、速动比率</w:t>
            </w:r>
          </w:p>
        </w:tc>
        <w:tc>
          <w:tcPr>
            <w:tcW w:w="1322" w:type="dxa"/>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hint="eastAsia" w:ascii="宋体" w:hAnsi="宋体" w:cs="宋体"/>
                <w:bCs/>
                <w:szCs w:val="21"/>
              </w:rPr>
            </w:pPr>
          </w:p>
        </w:tc>
        <w:tc>
          <w:tcPr>
            <w:tcW w:w="1706" w:type="dxa"/>
            <w:vAlign w:val="center"/>
          </w:tcPr>
          <w:p>
            <w:pPr>
              <w:snapToGrid w:val="0"/>
              <w:spacing w:line="360" w:lineRule="auto"/>
              <w:jc w:val="center"/>
              <w:rPr>
                <w:rFonts w:hint="eastAsia" w:ascii="宋体" w:hAnsi="宋体" w:cs="宋体"/>
                <w:bCs/>
                <w:szCs w:val="21"/>
              </w:rPr>
            </w:pPr>
          </w:p>
        </w:tc>
        <w:tc>
          <w:tcPr>
            <w:tcW w:w="2113" w:type="dxa"/>
            <w:vAlign w:val="center"/>
          </w:tcPr>
          <w:p>
            <w:pPr>
              <w:snapToGrid w:val="0"/>
              <w:spacing w:line="360" w:lineRule="auto"/>
              <w:jc w:val="center"/>
              <w:rPr>
                <w:rFonts w:hint="eastAsia" w:ascii="宋体" w:hAnsi="宋体" w:cs="宋体"/>
                <w:bCs/>
                <w:szCs w:val="21"/>
              </w:rPr>
            </w:pPr>
          </w:p>
        </w:tc>
      </w:tr>
    </w:tbl>
    <w:p>
      <w:pPr>
        <w:spacing w:line="360" w:lineRule="auto"/>
        <w:rPr>
          <w:rFonts w:hint="eastAsia" w:ascii="宋体" w:hAnsi="宋体" w:cs="宋体"/>
          <w:szCs w:val="21"/>
        </w:rPr>
      </w:pPr>
      <w:r>
        <w:rPr>
          <w:rFonts w:hint="eastAsia" w:ascii="宋体" w:hAnsi="宋体" w:cs="宋体"/>
          <w:szCs w:val="21"/>
        </w:rPr>
        <w:t>注：</w:t>
      </w:r>
    </w:p>
    <w:p>
      <w:pPr>
        <w:spacing w:line="360" w:lineRule="auto"/>
        <w:rPr>
          <w:rFonts w:hint="eastAsia" w:ascii="宋体" w:hAnsi="宋体" w:cs="宋体"/>
          <w:szCs w:val="21"/>
        </w:rPr>
      </w:pPr>
      <w:r>
        <w:rPr>
          <w:rFonts w:hint="eastAsia" w:ascii="宋体" w:hAnsi="宋体" w:cs="宋体"/>
          <w:szCs w:val="21"/>
        </w:rPr>
        <w:t>1、投标人应附财务报告的资产负债表、利润表、现金流量表。</w:t>
      </w:r>
    </w:p>
    <w:p>
      <w:pPr>
        <w:spacing w:line="360" w:lineRule="auto"/>
        <w:rPr>
          <w:rFonts w:hint="eastAsia" w:ascii="宋体" w:hAnsi="宋体" w:cs="宋体"/>
          <w:szCs w:val="21"/>
        </w:rPr>
      </w:pPr>
      <w:r>
        <w:rPr>
          <w:rFonts w:hint="eastAsia" w:ascii="宋体" w:hAnsi="宋体" w:cs="宋体"/>
          <w:szCs w:val="21"/>
        </w:rPr>
        <w:t>2、请投标人根据表格内容填写关键数据。</w:t>
      </w:r>
    </w:p>
    <w:p>
      <w:pPr>
        <w:spacing w:line="360" w:lineRule="auto"/>
        <w:rPr>
          <w:rFonts w:hint="eastAsia" w:ascii="宋体" w:hAnsi="宋体" w:cs="宋体"/>
          <w:szCs w:val="21"/>
        </w:rPr>
      </w:pPr>
      <w:r>
        <w:rPr>
          <w:rFonts w:hint="eastAsia" w:ascii="宋体" w:hAnsi="宋体" w:cs="宋体"/>
          <w:szCs w:val="21"/>
        </w:rPr>
        <w:t>3、若缺少上述内容将可能影响评标委员会对投标人的评审。</w:t>
      </w:r>
    </w:p>
    <w:p>
      <w:pPr>
        <w:spacing w:line="360" w:lineRule="auto"/>
        <w:rPr>
          <w:rFonts w:hint="eastAsia" w:ascii="宋体" w:hAnsi="宋体" w:cs="宋体"/>
          <w:szCs w:val="21"/>
        </w:rPr>
      </w:pPr>
      <w:r>
        <w:rPr>
          <w:rFonts w:hint="eastAsia" w:ascii="宋体" w:hAnsi="宋体" w:cs="宋体"/>
          <w:szCs w:val="21"/>
        </w:rPr>
        <w:t>附件：</w:t>
      </w:r>
    </w:p>
    <w:p>
      <w:pPr>
        <w:spacing w:line="360" w:lineRule="auto"/>
        <w:rPr>
          <w:rFonts w:hint="eastAsia" w:ascii="宋体" w:hAnsi="宋体" w:cs="宋体"/>
          <w:szCs w:val="21"/>
        </w:rPr>
      </w:pPr>
      <w:r>
        <w:rPr>
          <w:rFonts w:hint="eastAsia" w:ascii="宋体" w:hAnsi="宋体" w:cs="宋体"/>
          <w:szCs w:val="21"/>
        </w:rPr>
        <w:t>4、按招标文件要求提供对应时间的资产负债表、利润表、现金流量表</w:t>
      </w:r>
    </w:p>
    <w:p>
      <w:pPr>
        <w:spacing w:line="480" w:lineRule="auto"/>
        <w:jc w:val="left"/>
        <w:rPr>
          <w:rFonts w:hint="eastAsia" w:ascii="宋体" w:hAnsi="宋体" w:cs="宋体"/>
          <w:b/>
          <w:sz w:val="24"/>
        </w:rPr>
      </w:pPr>
    </w:p>
    <w:p>
      <w:pPr>
        <w:spacing w:line="480" w:lineRule="auto"/>
        <w:jc w:val="left"/>
        <w:rPr>
          <w:rFonts w:hint="eastAsia" w:ascii="宋体" w:hAnsi="宋体" w:cs="宋体"/>
        </w:rPr>
      </w:pPr>
      <w:r>
        <w:rPr>
          <w:rFonts w:hint="eastAsia" w:ascii="宋体" w:hAnsi="宋体" w:cs="宋体"/>
          <w:b/>
          <w:sz w:val="24"/>
        </w:rPr>
        <w:t>（4）服务团队情况</w:t>
      </w:r>
    </w:p>
    <w:p>
      <w:pPr>
        <w:overflowPunct w:val="0"/>
        <w:autoSpaceDE w:val="0"/>
        <w:autoSpaceDN w:val="0"/>
        <w:adjustRightInd w:val="0"/>
        <w:snapToGrid w:val="0"/>
        <w:spacing w:before="120" w:beforeLines="50" w:after="120" w:afterLines="50"/>
        <w:jc w:val="center"/>
        <w:rPr>
          <w:rFonts w:hint="eastAsia" w:ascii="宋体" w:hAnsi="宋体" w:cs="宋体"/>
          <w:b/>
          <w:bCs/>
          <w:szCs w:val="21"/>
        </w:rPr>
      </w:pPr>
      <w:r>
        <w:rPr>
          <w:rFonts w:hint="eastAsia" w:ascii="宋体" w:hAnsi="宋体" w:cs="宋体"/>
          <w:b/>
          <w:bCs/>
          <w:snapToGrid w:val="0"/>
          <w:kern w:val="0"/>
          <w:szCs w:val="21"/>
        </w:rPr>
        <w:t>拟投入服务团队成员情况一览表</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vAlign w:val="center"/>
          </w:tcPr>
          <w:p>
            <w:pPr>
              <w:jc w:val="center"/>
              <w:rPr>
                <w:rFonts w:hint="eastAsia"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shd w:val="clear" w:color="auto" w:fill="FFFFFF"/>
            <w:vAlign w:val="center"/>
          </w:tcPr>
          <w:p>
            <w:pPr>
              <w:jc w:val="center"/>
              <w:rPr>
                <w:rFonts w:hint="eastAsia"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shd w:val="clear" w:color="auto" w:fill="FFFFFF"/>
            <w:vAlign w:val="center"/>
          </w:tcPr>
          <w:p>
            <w:pPr>
              <w:jc w:val="center"/>
              <w:rPr>
                <w:rFonts w:hint="eastAsia"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shd w:val="clear" w:color="auto" w:fill="FFFFFF"/>
            <w:vAlign w:val="center"/>
          </w:tcPr>
          <w:p>
            <w:pPr>
              <w:jc w:val="center"/>
              <w:rPr>
                <w:rFonts w:hint="eastAsia"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shd w:val="clear" w:color="auto" w:fill="FFFFFF"/>
            <w:vAlign w:val="center"/>
          </w:tcPr>
          <w:p>
            <w:pPr>
              <w:jc w:val="center"/>
              <w:rPr>
                <w:rFonts w:hint="eastAsia"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shd w:val="clear" w:color="auto" w:fill="FFFFFF"/>
            <w:vAlign w:val="center"/>
          </w:tcPr>
          <w:p>
            <w:pPr>
              <w:jc w:val="center"/>
              <w:rPr>
                <w:rFonts w:hint="eastAsia" w:ascii="宋体" w:hAnsi="宋体" w:cs="宋体"/>
                <w:b/>
                <w:szCs w:val="21"/>
              </w:rPr>
            </w:pPr>
            <w:r>
              <w:rPr>
                <w:rFonts w:hint="eastAsia" w:ascii="宋体" w:hAnsi="宋体" w:cs="宋体"/>
                <w:b/>
                <w:szCs w:val="21"/>
              </w:rPr>
              <w:t>职务</w:t>
            </w:r>
          </w:p>
        </w:tc>
        <w:tc>
          <w:tcPr>
            <w:tcW w:w="1929" w:type="dxa"/>
            <w:tcBorders>
              <w:top w:val="single" w:color="auto" w:sz="4" w:space="0"/>
              <w:bottom w:val="nil"/>
            </w:tcBorders>
            <w:shd w:val="clear" w:color="auto" w:fill="FFFFFF"/>
            <w:vAlign w:val="center"/>
          </w:tcPr>
          <w:p>
            <w:pPr>
              <w:jc w:val="center"/>
              <w:rPr>
                <w:rFonts w:hint="eastAsia"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shd w:val="clear" w:color="auto" w:fill="FFFFFF"/>
            <w:vAlign w:val="center"/>
          </w:tcPr>
          <w:p>
            <w:pPr>
              <w:jc w:val="center"/>
              <w:rPr>
                <w:rFonts w:hint="eastAsia"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shd w:val="clear" w:color="auto" w:fill="FFFFFF"/>
            <w:vAlign w:val="center"/>
          </w:tcPr>
          <w:p>
            <w:pPr>
              <w:ind w:firstLine="12"/>
              <w:jc w:val="center"/>
              <w:rPr>
                <w:rFonts w:hint="eastAsia"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vAlign w:val="center"/>
          </w:tcPr>
          <w:p>
            <w:pPr>
              <w:jc w:val="center"/>
              <w:rPr>
                <w:rFonts w:hint="eastAsia"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right w:val="single" w:color="auto" w:sz="4" w:space="0"/>
            </w:tcBorders>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vAlign w:val="center"/>
          </w:tcPr>
          <w:p>
            <w:pPr>
              <w:jc w:val="center"/>
              <w:rPr>
                <w:rFonts w:hint="eastAsia" w:ascii="宋体" w:hAnsi="宋体" w:cs="宋体"/>
                <w:szCs w:val="21"/>
              </w:rPr>
            </w:pPr>
          </w:p>
        </w:tc>
        <w:tc>
          <w:tcPr>
            <w:tcW w:w="560" w:type="dxa"/>
            <w:tcBorders>
              <w:top w:val="single" w:color="auto" w:sz="4" w:space="0"/>
              <w:bottom w:val="nil"/>
            </w:tcBorders>
            <w:vAlign w:val="center"/>
          </w:tcPr>
          <w:p>
            <w:pPr>
              <w:jc w:val="center"/>
              <w:rPr>
                <w:rFonts w:hint="eastAsia" w:ascii="宋体" w:hAnsi="宋体" w:cs="宋体"/>
                <w:szCs w:val="21"/>
              </w:rPr>
            </w:pPr>
          </w:p>
        </w:tc>
        <w:tc>
          <w:tcPr>
            <w:tcW w:w="1929" w:type="dxa"/>
            <w:tcBorders>
              <w:top w:val="single" w:color="auto" w:sz="4" w:space="0"/>
              <w:bottom w:val="nil"/>
            </w:tcBorders>
            <w:vAlign w:val="center"/>
          </w:tcPr>
          <w:p>
            <w:pPr>
              <w:jc w:val="center"/>
              <w:rPr>
                <w:rFonts w:hint="eastAsia" w:ascii="宋体" w:hAnsi="宋体" w:cs="宋体"/>
                <w:szCs w:val="21"/>
              </w:rPr>
            </w:pPr>
          </w:p>
        </w:tc>
        <w:tc>
          <w:tcPr>
            <w:tcW w:w="826" w:type="dxa"/>
            <w:tcBorders>
              <w:top w:val="single" w:color="auto" w:sz="4" w:space="0"/>
              <w:bottom w:val="nil"/>
            </w:tcBorders>
            <w:vAlign w:val="center"/>
          </w:tcPr>
          <w:p>
            <w:pPr>
              <w:ind w:firstLine="12"/>
              <w:jc w:val="center"/>
              <w:rPr>
                <w:rFonts w:hint="eastAsia" w:ascii="宋体" w:hAnsi="宋体" w:cs="宋体"/>
                <w:szCs w:val="21"/>
              </w:rPr>
            </w:pPr>
          </w:p>
        </w:tc>
        <w:tc>
          <w:tcPr>
            <w:tcW w:w="2241" w:type="dxa"/>
            <w:tcBorders>
              <w:top w:val="single" w:color="auto" w:sz="4" w:space="0"/>
              <w:bottom w:val="nil"/>
              <w:right w:val="single" w:color="auto" w:sz="4" w:space="0"/>
            </w:tcBorders>
            <w:vAlign w:val="center"/>
          </w:tcPr>
          <w:p>
            <w:pPr>
              <w:ind w:firstLine="12"/>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vAlign w:val="center"/>
          </w:tcPr>
          <w:p>
            <w:pPr>
              <w:jc w:val="center"/>
              <w:rPr>
                <w:rFonts w:hint="eastAsia" w:ascii="宋体" w:hAnsi="宋体" w:cs="宋体"/>
                <w:szCs w:val="21"/>
              </w:rPr>
            </w:pPr>
          </w:p>
        </w:tc>
        <w:tc>
          <w:tcPr>
            <w:tcW w:w="1929" w:type="dxa"/>
            <w:vAlign w:val="center"/>
          </w:tcPr>
          <w:p>
            <w:pPr>
              <w:jc w:val="center"/>
              <w:rPr>
                <w:rFonts w:hint="eastAsia" w:ascii="宋体" w:hAnsi="宋体" w:cs="宋体"/>
                <w:szCs w:val="21"/>
              </w:rPr>
            </w:pPr>
          </w:p>
        </w:tc>
        <w:tc>
          <w:tcPr>
            <w:tcW w:w="826" w:type="dxa"/>
            <w:vAlign w:val="center"/>
          </w:tcPr>
          <w:p>
            <w:pPr>
              <w:jc w:val="center"/>
              <w:rPr>
                <w:rFonts w:hint="eastAsia" w:ascii="宋体" w:hAnsi="宋体" w:cs="宋体"/>
                <w:szCs w:val="21"/>
              </w:rPr>
            </w:pPr>
          </w:p>
        </w:tc>
        <w:tc>
          <w:tcPr>
            <w:tcW w:w="2241" w:type="dxa"/>
            <w:tcBorders>
              <w:right w:val="single" w:color="auto" w:sz="4" w:space="0"/>
            </w:tcBorders>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vAlign w:val="center"/>
          </w:tcPr>
          <w:p>
            <w:pPr>
              <w:jc w:val="center"/>
              <w:rPr>
                <w:rFonts w:hint="eastAsia" w:ascii="宋体" w:hAnsi="宋体" w:cs="宋体"/>
                <w:szCs w:val="21"/>
              </w:rPr>
            </w:pPr>
          </w:p>
        </w:tc>
        <w:tc>
          <w:tcPr>
            <w:tcW w:w="1929" w:type="dxa"/>
            <w:vAlign w:val="center"/>
          </w:tcPr>
          <w:p>
            <w:pPr>
              <w:jc w:val="center"/>
              <w:rPr>
                <w:rFonts w:hint="eastAsia" w:ascii="宋体" w:hAnsi="宋体" w:cs="宋体"/>
                <w:szCs w:val="21"/>
              </w:rPr>
            </w:pPr>
          </w:p>
        </w:tc>
        <w:tc>
          <w:tcPr>
            <w:tcW w:w="826" w:type="dxa"/>
            <w:vAlign w:val="center"/>
          </w:tcPr>
          <w:p>
            <w:pPr>
              <w:jc w:val="center"/>
              <w:rPr>
                <w:rFonts w:hint="eastAsia" w:ascii="宋体" w:hAnsi="宋体" w:cs="宋体"/>
                <w:szCs w:val="21"/>
              </w:rPr>
            </w:pPr>
          </w:p>
        </w:tc>
        <w:tc>
          <w:tcPr>
            <w:tcW w:w="2241" w:type="dxa"/>
            <w:tcBorders>
              <w:right w:val="single" w:color="auto" w:sz="4" w:space="0"/>
            </w:tcBorders>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vAlign w:val="center"/>
          </w:tcPr>
          <w:p>
            <w:pPr>
              <w:jc w:val="center"/>
              <w:rPr>
                <w:rFonts w:hint="eastAsia" w:ascii="宋体" w:hAnsi="宋体" w:cs="宋体"/>
                <w:szCs w:val="21"/>
              </w:rPr>
            </w:pPr>
          </w:p>
        </w:tc>
        <w:tc>
          <w:tcPr>
            <w:tcW w:w="1929" w:type="dxa"/>
            <w:vAlign w:val="center"/>
          </w:tcPr>
          <w:p>
            <w:pPr>
              <w:jc w:val="center"/>
              <w:rPr>
                <w:rFonts w:hint="eastAsia" w:ascii="宋体" w:hAnsi="宋体" w:cs="宋体"/>
                <w:szCs w:val="21"/>
              </w:rPr>
            </w:pPr>
          </w:p>
        </w:tc>
        <w:tc>
          <w:tcPr>
            <w:tcW w:w="826" w:type="dxa"/>
            <w:vAlign w:val="center"/>
          </w:tcPr>
          <w:p>
            <w:pPr>
              <w:jc w:val="center"/>
              <w:rPr>
                <w:rFonts w:hint="eastAsia" w:ascii="宋体" w:hAnsi="宋体" w:cs="宋体"/>
                <w:szCs w:val="21"/>
              </w:rPr>
            </w:pPr>
          </w:p>
        </w:tc>
        <w:tc>
          <w:tcPr>
            <w:tcW w:w="2241" w:type="dxa"/>
            <w:tcBorders>
              <w:right w:val="single" w:color="auto" w:sz="4" w:space="0"/>
            </w:tcBorders>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vAlign w:val="center"/>
          </w:tcPr>
          <w:p>
            <w:pPr>
              <w:jc w:val="center"/>
              <w:rPr>
                <w:rFonts w:hint="eastAsia" w:ascii="宋体" w:hAnsi="宋体" w:cs="宋体"/>
                <w:szCs w:val="21"/>
              </w:rPr>
            </w:pPr>
          </w:p>
        </w:tc>
        <w:tc>
          <w:tcPr>
            <w:tcW w:w="1929" w:type="dxa"/>
            <w:vAlign w:val="center"/>
          </w:tcPr>
          <w:p>
            <w:pPr>
              <w:jc w:val="center"/>
              <w:rPr>
                <w:rFonts w:hint="eastAsia" w:ascii="宋体" w:hAnsi="宋体" w:cs="宋体"/>
                <w:szCs w:val="21"/>
              </w:rPr>
            </w:pPr>
          </w:p>
        </w:tc>
        <w:tc>
          <w:tcPr>
            <w:tcW w:w="826" w:type="dxa"/>
            <w:vAlign w:val="center"/>
          </w:tcPr>
          <w:p>
            <w:pPr>
              <w:jc w:val="center"/>
              <w:rPr>
                <w:rFonts w:hint="eastAsia" w:ascii="宋体" w:hAnsi="宋体" w:cs="宋体"/>
                <w:szCs w:val="21"/>
              </w:rPr>
            </w:pPr>
          </w:p>
        </w:tc>
        <w:tc>
          <w:tcPr>
            <w:tcW w:w="2241" w:type="dxa"/>
            <w:tcBorders>
              <w:right w:val="single" w:color="auto" w:sz="4" w:space="0"/>
            </w:tcBorders>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vAlign w:val="center"/>
          </w:tcPr>
          <w:p>
            <w:pPr>
              <w:jc w:val="center"/>
              <w:rPr>
                <w:rFonts w:hint="eastAsia" w:ascii="宋体" w:hAnsi="宋体" w:cs="宋体"/>
                <w:szCs w:val="21"/>
              </w:rPr>
            </w:pPr>
          </w:p>
        </w:tc>
        <w:tc>
          <w:tcPr>
            <w:tcW w:w="1929" w:type="dxa"/>
            <w:vAlign w:val="center"/>
          </w:tcPr>
          <w:p>
            <w:pPr>
              <w:jc w:val="center"/>
              <w:rPr>
                <w:rFonts w:hint="eastAsia" w:ascii="宋体" w:hAnsi="宋体" w:cs="宋体"/>
                <w:szCs w:val="21"/>
              </w:rPr>
            </w:pPr>
          </w:p>
        </w:tc>
        <w:tc>
          <w:tcPr>
            <w:tcW w:w="826" w:type="dxa"/>
            <w:vAlign w:val="center"/>
          </w:tcPr>
          <w:p>
            <w:pPr>
              <w:jc w:val="center"/>
              <w:rPr>
                <w:rFonts w:hint="eastAsia" w:ascii="宋体" w:hAnsi="宋体" w:cs="宋体"/>
                <w:szCs w:val="21"/>
              </w:rPr>
            </w:pPr>
          </w:p>
        </w:tc>
        <w:tc>
          <w:tcPr>
            <w:tcW w:w="2241" w:type="dxa"/>
            <w:tcBorders>
              <w:right w:val="single" w:color="auto" w:sz="4" w:space="0"/>
            </w:tcBorders>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jc w:val="center"/>
        </w:trPr>
        <w:tc>
          <w:tcPr>
            <w:tcW w:w="559" w:type="dxa"/>
            <w:tcBorders>
              <w:left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righ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tcBorders>
              <w:left w:val="single" w:color="auto" w:sz="4" w:space="0"/>
            </w:tcBorders>
            <w:vAlign w:val="center"/>
          </w:tcPr>
          <w:p>
            <w:pPr>
              <w:jc w:val="center"/>
              <w:rPr>
                <w:rFonts w:hint="eastAsia" w:ascii="宋体" w:hAnsi="宋体" w:cs="宋体"/>
                <w:szCs w:val="21"/>
              </w:rPr>
            </w:pPr>
          </w:p>
        </w:tc>
        <w:tc>
          <w:tcPr>
            <w:tcW w:w="560" w:type="dxa"/>
            <w:vAlign w:val="center"/>
          </w:tcPr>
          <w:p>
            <w:pPr>
              <w:jc w:val="center"/>
              <w:rPr>
                <w:rFonts w:hint="eastAsia" w:ascii="宋体" w:hAnsi="宋体" w:cs="宋体"/>
                <w:szCs w:val="21"/>
              </w:rPr>
            </w:pPr>
          </w:p>
        </w:tc>
        <w:tc>
          <w:tcPr>
            <w:tcW w:w="1929" w:type="dxa"/>
            <w:vAlign w:val="center"/>
          </w:tcPr>
          <w:p>
            <w:pPr>
              <w:jc w:val="center"/>
              <w:rPr>
                <w:rFonts w:hint="eastAsia" w:ascii="宋体" w:hAnsi="宋体" w:cs="宋体"/>
                <w:szCs w:val="21"/>
              </w:rPr>
            </w:pPr>
          </w:p>
        </w:tc>
        <w:tc>
          <w:tcPr>
            <w:tcW w:w="826" w:type="dxa"/>
            <w:vAlign w:val="center"/>
          </w:tcPr>
          <w:p>
            <w:pPr>
              <w:jc w:val="center"/>
              <w:rPr>
                <w:rFonts w:hint="eastAsia" w:ascii="宋体" w:hAnsi="宋体" w:cs="宋体"/>
                <w:szCs w:val="21"/>
              </w:rPr>
            </w:pPr>
          </w:p>
        </w:tc>
        <w:tc>
          <w:tcPr>
            <w:tcW w:w="2241" w:type="dxa"/>
            <w:tcBorders>
              <w:right w:val="single" w:color="auto" w:sz="4" w:space="0"/>
            </w:tcBorders>
            <w:vAlign w:val="center"/>
          </w:tcPr>
          <w:p>
            <w:pPr>
              <w:jc w:val="center"/>
              <w:rPr>
                <w:rFonts w:hint="eastAsia" w:ascii="宋体" w:hAnsi="宋体" w:cs="宋体"/>
                <w:szCs w:val="21"/>
              </w:rPr>
            </w:pPr>
          </w:p>
        </w:tc>
      </w:tr>
    </w:tbl>
    <w:p>
      <w:pPr>
        <w:spacing w:before="120" w:beforeLines="50" w:line="360" w:lineRule="auto"/>
        <w:rPr>
          <w:rFonts w:hint="eastAsia" w:ascii="宋体" w:hAnsi="宋体" w:cs="宋体"/>
          <w:szCs w:val="21"/>
          <w:lang w:val="en-GB"/>
        </w:rPr>
      </w:pPr>
      <w:r>
        <w:rPr>
          <w:rFonts w:hint="eastAsia" w:ascii="宋体" w:hAnsi="宋体" w:cs="宋体"/>
          <w:szCs w:val="21"/>
          <w:lang w:val="en-GB"/>
        </w:rPr>
        <w:t>注：需按招标文件要求提供上述团队成员职称证书复印件。</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（5）企业资信状况（如需，格式自拟）；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（6）企业综合实力（如需，格式自拟）；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（7）企业履约信用、荣誉（如需，格式自拟）；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hint="eastAsia" w:ascii="宋体" w:hAnsi="宋体" w:cs="宋体"/>
          <w:szCs w:val="21"/>
        </w:rPr>
      </w:pPr>
    </w:p>
    <w:p>
      <w:pPr>
        <w:spacing w:line="360" w:lineRule="auto"/>
        <w:rPr>
          <w:rFonts w:hint="eastAsia" w:ascii="宋体" w:hAnsi="宋体" w:cs="宋体"/>
          <w:szCs w:val="21"/>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hint="eastAsia" w:ascii="宋体" w:hAnsi="宋体" w:cs="宋体"/>
          <w:b/>
          <w:bCs/>
        </w:rPr>
      </w:pPr>
      <w:r>
        <w:rPr>
          <w:rFonts w:hint="eastAsia" w:ascii="宋体" w:hAnsi="宋体" w:cs="宋体"/>
          <w:b/>
          <w:bCs/>
        </w:rPr>
        <w:t>（二）主要商务条件响应表</w:t>
      </w:r>
    </w:p>
    <w:p>
      <w:pPr>
        <w:spacing w:line="360" w:lineRule="auto"/>
        <w:jc w:val="center"/>
        <w:rPr>
          <w:rFonts w:hint="eastAsia" w:ascii="宋体" w:hAnsi="宋体" w:cs="宋体"/>
          <w:b/>
          <w:sz w:val="28"/>
        </w:rPr>
      </w:pPr>
      <w:r>
        <w:rPr>
          <w:rFonts w:hint="eastAsia" w:ascii="宋体" w:hAnsi="宋体" w:cs="宋体"/>
          <w:b/>
          <w:sz w:val="28"/>
        </w:rPr>
        <w:t>主要商务条款响应表</w:t>
      </w:r>
    </w:p>
    <w:p>
      <w:pPr>
        <w:spacing w:line="360" w:lineRule="auto"/>
        <w:ind w:left="618" w:hanging="618"/>
        <w:rPr>
          <w:rFonts w:hint="eastAsia" w:ascii="宋体" w:hAnsi="宋体" w:cs="宋体"/>
        </w:rPr>
      </w:pPr>
      <w:r>
        <w:rPr>
          <w:rFonts w:hint="eastAsia" w:ascii="宋体" w:hAnsi="宋体" w:cs="宋体"/>
        </w:rPr>
        <w:t>[说明]投标人应对招标文件第四部分合同所有条款的内容（而非题目）作全面响应，并在“响应”栏中打“√”，有差异的请在“备注”栏中注明具体偏离情况。</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hint="eastAsia" w:ascii="宋体" w:hAnsi="宋体" w:cs="宋体"/>
              </w:rPr>
            </w:pPr>
            <w:r>
              <w:rPr>
                <w:rFonts w:hint="eastAsia" w:ascii="宋体" w:hAnsi="宋体" w:cs="宋体"/>
              </w:rPr>
              <w:t>序号</w:t>
            </w:r>
          </w:p>
        </w:tc>
        <w:tc>
          <w:tcPr>
            <w:tcW w:w="2961" w:type="dxa"/>
            <w:vAlign w:val="center"/>
          </w:tcPr>
          <w:p>
            <w:pPr>
              <w:spacing w:line="200" w:lineRule="atLeast"/>
              <w:jc w:val="center"/>
              <w:rPr>
                <w:rFonts w:hint="eastAsia" w:ascii="宋体" w:hAnsi="宋体" w:cs="宋体"/>
              </w:rPr>
            </w:pPr>
            <w:r>
              <w:rPr>
                <w:rFonts w:hint="eastAsia" w:ascii="宋体" w:hAnsi="宋体" w:cs="宋体"/>
              </w:rPr>
              <w:t>商务条款</w:t>
            </w:r>
          </w:p>
        </w:tc>
        <w:tc>
          <w:tcPr>
            <w:tcW w:w="2756" w:type="dxa"/>
            <w:vAlign w:val="center"/>
          </w:tcPr>
          <w:p>
            <w:pPr>
              <w:spacing w:line="200" w:lineRule="atLeast"/>
              <w:jc w:val="center"/>
              <w:rPr>
                <w:rFonts w:hint="eastAsia" w:ascii="宋体" w:hAnsi="宋体" w:cs="宋体"/>
              </w:rPr>
            </w:pPr>
            <w:r>
              <w:rPr>
                <w:rFonts w:hint="eastAsia" w:ascii="宋体" w:hAnsi="宋体" w:cs="宋体"/>
              </w:rPr>
              <w:t>条款内容</w:t>
            </w:r>
          </w:p>
        </w:tc>
        <w:tc>
          <w:tcPr>
            <w:tcW w:w="1020" w:type="dxa"/>
            <w:vAlign w:val="center"/>
          </w:tcPr>
          <w:p>
            <w:pPr>
              <w:spacing w:line="200" w:lineRule="atLeast"/>
              <w:jc w:val="center"/>
              <w:rPr>
                <w:rFonts w:hint="eastAsia" w:ascii="宋体" w:hAnsi="宋体" w:cs="宋体"/>
              </w:rPr>
            </w:pPr>
            <w:r>
              <w:rPr>
                <w:rFonts w:hint="eastAsia" w:ascii="宋体" w:hAnsi="宋体" w:cs="宋体"/>
              </w:rPr>
              <w:t>响应</w:t>
            </w:r>
          </w:p>
        </w:tc>
        <w:tc>
          <w:tcPr>
            <w:tcW w:w="1020" w:type="dxa"/>
            <w:vAlign w:val="center"/>
          </w:tcPr>
          <w:p>
            <w:pPr>
              <w:spacing w:line="200" w:lineRule="atLeast"/>
              <w:jc w:val="center"/>
              <w:rPr>
                <w:rFonts w:hint="eastAsia"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hint="eastAsia" w:ascii="宋体" w:hAnsi="宋体" w:cs="宋体"/>
              </w:rPr>
            </w:pPr>
            <w:r>
              <w:rPr>
                <w:rFonts w:hint="eastAsia" w:ascii="宋体" w:hAnsi="宋体" w:cs="宋体"/>
              </w:rPr>
              <w:t>1</w:t>
            </w:r>
          </w:p>
        </w:tc>
        <w:tc>
          <w:tcPr>
            <w:tcW w:w="2961" w:type="dxa"/>
            <w:vAlign w:val="center"/>
          </w:tcPr>
          <w:p>
            <w:pPr>
              <w:jc w:val="center"/>
              <w:rPr>
                <w:rFonts w:hint="eastAsia" w:ascii="宋体" w:hAnsi="宋体" w:cs="宋体"/>
                <w:szCs w:val="21"/>
              </w:rPr>
            </w:pPr>
          </w:p>
        </w:tc>
        <w:tc>
          <w:tcPr>
            <w:tcW w:w="2756" w:type="dxa"/>
            <w:vAlign w:val="center"/>
          </w:tcPr>
          <w:p>
            <w:pPr>
              <w:pStyle w:val="36"/>
              <w:rPr>
                <w:rFonts w:hint="eastAsia" w:cs="宋体"/>
              </w:rPr>
            </w:pPr>
          </w:p>
        </w:tc>
        <w:tc>
          <w:tcPr>
            <w:tcW w:w="1020" w:type="dxa"/>
            <w:vAlign w:val="center"/>
          </w:tcPr>
          <w:p>
            <w:pPr>
              <w:spacing w:line="200" w:lineRule="atLeast"/>
              <w:jc w:val="center"/>
              <w:rPr>
                <w:rFonts w:hint="eastAsia" w:ascii="宋体" w:hAnsi="宋体" w:cs="宋体"/>
              </w:rPr>
            </w:pPr>
          </w:p>
        </w:tc>
        <w:tc>
          <w:tcPr>
            <w:tcW w:w="1020" w:type="dxa"/>
            <w:vAlign w:val="center"/>
          </w:tcPr>
          <w:p>
            <w:pPr>
              <w:spacing w:line="200" w:lineRule="atLeast"/>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hint="eastAsia" w:ascii="宋体" w:hAnsi="宋体" w:cs="宋体"/>
              </w:rPr>
            </w:pPr>
            <w:r>
              <w:rPr>
                <w:rFonts w:hint="eastAsia" w:ascii="宋体" w:hAnsi="宋体" w:cs="宋体"/>
              </w:rPr>
              <w:t>2</w:t>
            </w:r>
          </w:p>
        </w:tc>
        <w:tc>
          <w:tcPr>
            <w:tcW w:w="2961" w:type="dxa"/>
            <w:vAlign w:val="center"/>
          </w:tcPr>
          <w:p>
            <w:pPr>
              <w:rPr>
                <w:rFonts w:hint="eastAsia" w:ascii="宋体" w:hAnsi="宋体" w:cs="宋体"/>
                <w:szCs w:val="21"/>
              </w:rPr>
            </w:pPr>
            <w:r>
              <w:rPr>
                <w:rFonts w:hint="eastAsia" w:ascii="宋体" w:hAnsi="宋体" w:cs="宋体"/>
                <w:szCs w:val="21"/>
              </w:rPr>
              <w:t>......</w:t>
            </w:r>
          </w:p>
        </w:tc>
        <w:tc>
          <w:tcPr>
            <w:tcW w:w="2756" w:type="dxa"/>
            <w:vAlign w:val="center"/>
          </w:tcPr>
          <w:p>
            <w:pPr>
              <w:pStyle w:val="36"/>
              <w:rPr>
                <w:rFonts w:hint="eastAsia" w:cs="宋体"/>
              </w:rPr>
            </w:pPr>
          </w:p>
        </w:tc>
        <w:tc>
          <w:tcPr>
            <w:tcW w:w="1020" w:type="dxa"/>
            <w:vAlign w:val="center"/>
          </w:tcPr>
          <w:p>
            <w:pPr>
              <w:spacing w:line="200" w:lineRule="atLeast"/>
              <w:jc w:val="center"/>
              <w:rPr>
                <w:rFonts w:hint="eastAsia" w:ascii="宋体" w:hAnsi="宋体" w:cs="宋体"/>
              </w:rPr>
            </w:pPr>
          </w:p>
        </w:tc>
        <w:tc>
          <w:tcPr>
            <w:tcW w:w="1020" w:type="dxa"/>
            <w:vAlign w:val="center"/>
          </w:tcPr>
          <w:p>
            <w:pPr>
              <w:spacing w:line="200" w:lineRule="atLeast"/>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hint="eastAsia" w:ascii="宋体" w:hAnsi="宋体" w:cs="宋体"/>
              </w:rPr>
            </w:pPr>
          </w:p>
        </w:tc>
        <w:tc>
          <w:tcPr>
            <w:tcW w:w="2961" w:type="dxa"/>
            <w:vAlign w:val="center"/>
          </w:tcPr>
          <w:p>
            <w:pPr>
              <w:rPr>
                <w:rFonts w:hint="eastAsia" w:ascii="宋体" w:hAnsi="宋体" w:cs="宋体"/>
                <w:szCs w:val="21"/>
              </w:rPr>
            </w:pPr>
          </w:p>
        </w:tc>
        <w:tc>
          <w:tcPr>
            <w:tcW w:w="2756" w:type="dxa"/>
            <w:vAlign w:val="center"/>
          </w:tcPr>
          <w:p>
            <w:pPr>
              <w:pStyle w:val="36"/>
              <w:rPr>
                <w:rFonts w:hint="eastAsia" w:cs="宋体"/>
              </w:rPr>
            </w:pPr>
          </w:p>
        </w:tc>
        <w:tc>
          <w:tcPr>
            <w:tcW w:w="1020" w:type="dxa"/>
            <w:vAlign w:val="center"/>
          </w:tcPr>
          <w:p>
            <w:pPr>
              <w:spacing w:line="200" w:lineRule="atLeast"/>
              <w:jc w:val="center"/>
              <w:rPr>
                <w:rFonts w:hint="eastAsia" w:ascii="宋体" w:hAnsi="宋体" w:cs="宋体"/>
              </w:rPr>
            </w:pPr>
          </w:p>
        </w:tc>
        <w:tc>
          <w:tcPr>
            <w:tcW w:w="1020" w:type="dxa"/>
            <w:vAlign w:val="center"/>
          </w:tcPr>
          <w:p>
            <w:pPr>
              <w:spacing w:line="200" w:lineRule="atLeast"/>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hint="eastAsia" w:ascii="宋体" w:hAnsi="宋体" w:cs="宋体"/>
              </w:rPr>
            </w:pPr>
          </w:p>
        </w:tc>
        <w:tc>
          <w:tcPr>
            <w:tcW w:w="2961" w:type="dxa"/>
            <w:vAlign w:val="center"/>
          </w:tcPr>
          <w:p>
            <w:pPr>
              <w:rPr>
                <w:rFonts w:hint="eastAsia" w:ascii="宋体" w:hAnsi="宋体" w:cs="宋体"/>
                <w:szCs w:val="21"/>
              </w:rPr>
            </w:pPr>
          </w:p>
        </w:tc>
        <w:tc>
          <w:tcPr>
            <w:tcW w:w="2756" w:type="dxa"/>
            <w:vAlign w:val="center"/>
          </w:tcPr>
          <w:p>
            <w:pPr>
              <w:pStyle w:val="36"/>
              <w:rPr>
                <w:rFonts w:hint="eastAsia" w:cs="宋体"/>
              </w:rPr>
            </w:pPr>
          </w:p>
        </w:tc>
        <w:tc>
          <w:tcPr>
            <w:tcW w:w="1020" w:type="dxa"/>
            <w:vAlign w:val="center"/>
          </w:tcPr>
          <w:p>
            <w:pPr>
              <w:spacing w:line="200" w:lineRule="atLeast"/>
              <w:jc w:val="center"/>
              <w:rPr>
                <w:rFonts w:hint="eastAsia" w:ascii="宋体" w:hAnsi="宋体" w:cs="宋体"/>
              </w:rPr>
            </w:pPr>
          </w:p>
        </w:tc>
        <w:tc>
          <w:tcPr>
            <w:tcW w:w="1020" w:type="dxa"/>
            <w:vAlign w:val="center"/>
          </w:tcPr>
          <w:p>
            <w:pPr>
              <w:spacing w:line="200" w:lineRule="atLeast"/>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hint="eastAsia" w:ascii="宋体" w:hAnsi="宋体" w:cs="宋体"/>
              </w:rPr>
            </w:pPr>
          </w:p>
        </w:tc>
        <w:tc>
          <w:tcPr>
            <w:tcW w:w="2961" w:type="dxa"/>
            <w:vAlign w:val="center"/>
          </w:tcPr>
          <w:p>
            <w:pPr>
              <w:rPr>
                <w:rFonts w:hint="eastAsia" w:ascii="宋体" w:hAnsi="宋体" w:cs="宋体"/>
                <w:szCs w:val="21"/>
              </w:rPr>
            </w:pPr>
          </w:p>
        </w:tc>
        <w:tc>
          <w:tcPr>
            <w:tcW w:w="2756" w:type="dxa"/>
            <w:vAlign w:val="center"/>
          </w:tcPr>
          <w:p>
            <w:pPr>
              <w:pStyle w:val="36"/>
              <w:rPr>
                <w:rFonts w:hint="eastAsia" w:cs="宋体"/>
              </w:rPr>
            </w:pPr>
          </w:p>
        </w:tc>
        <w:tc>
          <w:tcPr>
            <w:tcW w:w="1020" w:type="dxa"/>
            <w:vAlign w:val="center"/>
          </w:tcPr>
          <w:p>
            <w:pPr>
              <w:spacing w:line="200" w:lineRule="atLeast"/>
              <w:jc w:val="center"/>
              <w:rPr>
                <w:rFonts w:hint="eastAsia" w:ascii="宋体" w:hAnsi="宋体" w:cs="宋体"/>
              </w:rPr>
            </w:pPr>
          </w:p>
        </w:tc>
        <w:tc>
          <w:tcPr>
            <w:tcW w:w="1020" w:type="dxa"/>
            <w:vAlign w:val="center"/>
          </w:tcPr>
          <w:p>
            <w:pPr>
              <w:spacing w:line="200" w:lineRule="atLeast"/>
              <w:jc w:val="center"/>
              <w:rPr>
                <w:rFonts w:hint="eastAsia" w:ascii="宋体" w:hAnsi="宋体" w:cs="宋体"/>
              </w:rPr>
            </w:pPr>
          </w:p>
        </w:tc>
      </w:tr>
    </w:tbl>
    <w:p>
      <w:pPr>
        <w:spacing w:line="360" w:lineRule="auto"/>
        <w:rPr>
          <w:rFonts w:hint="eastAsia" w:ascii="宋体" w:hAnsi="宋体" w:cs="宋体"/>
        </w:rPr>
      </w:pPr>
    </w:p>
    <w:p>
      <w:pPr>
        <w:spacing w:line="360" w:lineRule="auto"/>
        <w:rPr>
          <w:rFonts w:hint="eastAsia" w:ascii="宋体" w:hAnsi="宋体" w:cs="宋体"/>
        </w:rPr>
      </w:pPr>
      <w:r>
        <w:rPr>
          <w:rFonts w:hint="eastAsia" w:ascii="宋体" w:hAnsi="宋体" w:cs="宋体"/>
        </w:rPr>
        <w:t>说明：</w:t>
      </w:r>
    </w:p>
    <w:p>
      <w:pPr>
        <w:spacing w:line="300" w:lineRule="auto"/>
        <w:rPr>
          <w:rFonts w:hint="eastAsia" w:ascii="宋体" w:hAnsi="宋体" w:cs="宋体"/>
          <w:bCs/>
          <w:szCs w:val="21"/>
        </w:rPr>
      </w:pPr>
      <w:r>
        <w:rPr>
          <w:rFonts w:hint="eastAsia" w:ascii="宋体" w:hAnsi="宋体" w:cs="宋体"/>
          <w:bCs/>
          <w:szCs w:val="21"/>
        </w:rPr>
        <w:t>如投标人对招标文件</w:t>
      </w:r>
      <w:r>
        <w:rPr>
          <w:rFonts w:hint="eastAsia" w:ascii="宋体" w:hAnsi="宋体" w:cs="宋体"/>
        </w:rPr>
        <w:t>合同</w:t>
      </w:r>
      <w:r>
        <w:rPr>
          <w:rFonts w:hint="eastAsia" w:ascii="宋体" w:hAnsi="宋体" w:cs="宋体"/>
          <w:bCs/>
          <w:szCs w:val="21"/>
        </w:rPr>
        <w:t>条款有偏离的必须填写上表，否则视为完全响应招标文件要求。</w:t>
      </w:r>
    </w:p>
    <w:p>
      <w:pPr>
        <w:spacing w:line="480" w:lineRule="auto"/>
        <w:rPr>
          <w:rFonts w:hint="eastAsia" w:ascii="宋体" w:hAnsi="宋体" w:cs="宋体"/>
          <w:szCs w:val="22"/>
        </w:rPr>
      </w:pPr>
    </w:p>
    <w:p>
      <w:pPr>
        <w:spacing w:line="360" w:lineRule="auto"/>
        <w:ind w:firstLine="3990" w:firstLineChars="1900"/>
        <w:rPr>
          <w:rFonts w:hint="eastAsia" w:ascii="宋体" w:hAnsi="宋体" w:cs="宋体"/>
        </w:rPr>
      </w:pPr>
      <w:r>
        <w:rPr>
          <w:rFonts w:hint="eastAsia" w:ascii="宋体" w:hAnsi="宋体" w:cs="宋体"/>
        </w:rPr>
        <w:t>投标人名称:（盖章）</w:t>
      </w:r>
    </w:p>
    <w:p>
      <w:pPr>
        <w:spacing w:line="360" w:lineRule="auto"/>
        <w:ind w:firstLine="3990" w:firstLineChars="1900"/>
        <w:rPr>
          <w:rFonts w:hint="eastAsia" w:ascii="宋体" w:hAnsi="宋体" w:cs="宋体"/>
        </w:rPr>
      </w:pPr>
      <w:r>
        <w:rPr>
          <w:rFonts w:hint="eastAsia" w:ascii="宋体" w:hAnsi="宋体" w:cs="宋体"/>
        </w:rPr>
        <w:t>日期：    年   月   日</w:t>
      </w:r>
    </w:p>
    <w:p>
      <w:pPr>
        <w:rPr>
          <w:rFonts w:hint="eastAsia" w:ascii="宋体" w:hAnsi="宋体" w:cs="宋体"/>
        </w:rPr>
      </w:pPr>
      <w:r>
        <w:rPr>
          <w:rFonts w:hint="eastAsia" w:ascii="宋体" w:hAnsi="宋体" w:cs="宋体"/>
        </w:rPr>
        <w:br w:type="page"/>
      </w:r>
      <w:bookmarkStart w:id="106" w:name="_Toc118018369"/>
      <w:bookmarkStart w:id="107" w:name="_Toc476177436"/>
      <w:bookmarkStart w:id="108" w:name="_Toc455417787"/>
      <w:bookmarkStart w:id="109" w:name="_Toc476177995"/>
      <w:r>
        <w:rPr>
          <w:rFonts w:hint="eastAsia" w:ascii="宋体" w:hAnsi="宋体" w:cs="宋体"/>
          <w:b/>
          <w:bCs/>
          <w:sz w:val="28"/>
          <w:szCs w:val="21"/>
        </w:rPr>
        <w:t>六、技术响应文件格式</w:t>
      </w:r>
      <w:bookmarkEnd w:id="106"/>
      <w:bookmarkEnd w:id="107"/>
      <w:bookmarkEnd w:id="108"/>
      <w:bookmarkEnd w:id="109"/>
    </w:p>
    <w:p>
      <w:pPr>
        <w:spacing w:before="240" w:line="360" w:lineRule="auto"/>
        <w:ind w:left="902" w:hanging="902"/>
        <w:rPr>
          <w:rFonts w:hint="eastAsia" w:ascii="宋体" w:hAnsi="宋体" w:cs="宋体"/>
        </w:rPr>
      </w:pPr>
      <w:r>
        <w:rPr>
          <w:rFonts w:hint="eastAsia" w:ascii="宋体" w:hAnsi="宋体" w:cs="宋体"/>
          <w:b/>
        </w:rPr>
        <w:t xml:space="preserve">[说明]  </w:t>
      </w:r>
      <w:r>
        <w:rPr>
          <w:rFonts w:hint="eastAsia" w:ascii="宋体" w:hAnsi="宋体" w:cs="宋体"/>
        </w:rPr>
        <w:t>投标人应按照招标文件的要求，根据《用户需求书》要求内容做出全面响应。其内容应包括但不限于本格式内各项要求。对必须响应的内容，必须完全响应，不允许有任何差异，对响应有差异的内容，提出说明和优化建议。</w:t>
      </w:r>
    </w:p>
    <w:p>
      <w:pPr>
        <w:spacing w:line="360" w:lineRule="auto"/>
        <w:rPr>
          <w:rFonts w:hint="eastAsia" w:ascii="宋体" w:hAnsi="宋体" w:cs="宋体"/>
        </w:rPr>
      </w:pPr>
      <w:r>
        <w:rPr>
          <w:rFonts w:hint="eastAsia" w:ascii="宋体" w:hAnsi="宋体" w:cs="宋体"/>
          <w:szCs w:val="22"/>
        </w:rPr>
        <w:t xml:space="preserve">格式6.1   </w:t>
      </w:r>
      <w:r>
        <w:rPr>
          <w:rFonts w:hint="eastAsia" w:ascii="宋体" w:hAnsi="宋体" w:cs="宋体"/>
        </w:rPr>
        <w:t>用户需求书中要求投标人自行填写的表格内容</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.2   总体技术方案设计</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.3   </w:t>
      </w:r>
      <w:r>
        <w:rPr>
          <w:rFonts w:hint="eastAsia" w:ascii="宋体" w:hAnsi="宋体" w:cs="宋体"/>
          <w:kern w:val="0"/>
          <w:lang w:bidi="ar"/>
        </w:rPr>
        <w:t>项目实施方案</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.4   </w:t>
      </w:r>
      <w:r>
        <w:rPr>
          <w:rFonts w:hint="eastAsia" w:ascii="宋体" w:hAnsi="宋体" w:cs="宋体"/>
          <w:kern w:val="0"/>
          <w:szCs w:val="21"/>
          <w:lang w:bidi="ar"/>
        </w:rPr>
        <w:t>设备配置方案</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.5   </w:t>
      </w:r>
      <w:r>
        <w:rPr>
          <w:rFonts w:hint="eastAsia" w:ascii="宋体" w:hAnsi="宋体" w:cs="宋体"/>
          <w:szCs w:val="21"/>
        </w:rPr>
        <w:t>售后服务方案</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.6   </w:t>
      </w:r>
      <w:r>
        <w:rPr>
          <w:rFonts w:hint="eastAsia" w:ascii="宋体" w:hAnsi="宋体" w:cs="宋体"/>
          <w:szCs w:val="21"/>
        </w:rPr>
        <w:t>培训方案</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.7   技术标评分细则需要提供的资料</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.8   招标人配合内容（如有）</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.9   投标人认为有必要提供的其他文件（如有）</w:t>
      </w:r>
    </w:p>
    <w:p>
      <w:pPr>
        <w:spacing w:line="360" w:lineRule="auto"/>
        <w:rPr>
          <w:rFonts w:hint="eastAsia" w:ascii="宋体" w:hAnsi="宋体" w:cs="宋体"/>
          <w:sz w:val="30"/>
          <w:szCs w:val="30"/>
        </w:rPr>
      </w:pPr>
      <w:bookmarkStart w:id="110" w:name="_Hlt42956379"/>
      <w:bookmarkEnd w:id="110"/>
      <w:r>
        <w:rPr>
          <w:rFonts w:hint="eastAsia" w:ascii="宋体" w:hAnsi="宋体" w:cs="宋体"/>
          <w:b/>
          <w:sz w:val="24"/>
        </w:rPr>
        <w:br w:type="page"/>
      </w:r>
      <w:r>
        <w:rPr>
          <w:rFonts w:hint="eastAsia" w:ascii="宋体" w:hAnsi="宋体" w:cs="宋体"/>
          <w:b/>
          <w:sz w:val="24"/>
        </w:rPr>
        <w:t>格式6.1</w:t>
      </w:r>
      <w:bookmarkStart w:id="111" w:name="_Toc42956284"/>
      <w:bookmarkStart w:id="112" w:name="_Toc208723428"/>
      <w:bookmarkStart w:id="113" w:name="_Toc118018370"/>
      <w:bookmarkStart w:id="114" w:name="_Toc118015391"/>
      <w:bookmarkStart w:id="115" w:name="_Toc4471859"/>
      <w:r>
        <w:rPr>
          <w:rFonts w:hint="eastAsia" w:ascii="宋体" w:hAnsi="宋体" w:cs="宋体"/>
          <w:b/>
          <w:sz w:val="24"/>
        </w:rPr>
        <w:t xml:space="preserve">.1  </w:t>
      </w:r>
      <w:bookmarkEnd w:id="111"/>
      <w:bookmarkEnd w:id="112"/>
      <w:bookmarkEnd w:id="113"/>
      <w:bookmarkEnd w:id="114"/>
      <w:bookmarkEnd w:id="115"/>
      <w:bookmarkStart w:id="116" w:name="_Hlt10564367"/>
      <w:bookmarkEnd w:id="116"/>
      <w:r>
        <w:rPr>
          <w:rFonts w:hint="eastAsia" w:ascii="宋体" w:hAnsi="宋体" w:cs="宋体"/>
          <w:b/>
          <w:sz w:val="24"/>
        </w:rPr>
        <w:t xml:space="preserve"> </w:t>
      </w:r>
    </w:p>
    <w:p>
      <w:pPr>
        <w:spacing w:line="360" w:lineRule="auto"/>
        <w:jc w:val="center"/>
        <w:rPr>
          <w:rFonts w:hint="eastAsia" w:ascii="宋体" w:hAnsi="宋体" w:cs="宋体"/>
          <w:b/>
          <w:sz w:val="28"/>
          <w:szCs w:val="28"/>
        </w:rPr>
      </w:pPr>
      <w:r>
        <w:rPr>
          <w:rFonts w:hint="eastAsia" w:ascii="宋体" w:hAnsi="宋体" w:cs="宋体"/>
          <w:b/>
          <w:sz w:val="28"/>
          <w:szCs w:val="28"/>
        </w:rPr>
        <w:t>技术响应表</w:t>
      </w:r>
    </w:p>
    <w:p>
      <w:pPr>
        <w:rPr>
          <w:rFonts w:hint="eastAsia" w:ascii="宋体" w:hAnsi="宋体" w:cs="宋体"/>
        </w:rPr>
      </w:pPr>
    </w:p>
    <w:tbl>
      <w:tblPr>
        <w:tblStyle w:val="53"/>
        <w:tblW w:w="8535"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1906"/>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r>
              <w:rPr>
                <w:rFonts w:hint="eastAsia" w:ascii="宋体" w:hAnsi="宋体" w:cs="宋体"/>
              </w:rPr>
              <w:t>用户需求书相应序号</w:t>
            </w:r>
          </w:p>
        </w:tc>
        <w:tc>
          <w:tcPr>
            <w:tcW w:w="3045" w:type="dxa"/>
            <w:vAlign w:val="center"/>
          </w:tcPr>
          <w:p>
            <w:pPr>
              <w:autoSpaceDE w:val="0"/>
              <w:autoSpaceDN w:val="0"/>
              <w:adjustRightInd w:val="0"/>
              <w:jc w:val="center"/>
              <w:rPr>
                <w:rFonts w:hint="eastAsia" w:ascii="宋体" w:hAnsi="宋体" w:cs="宋体"/>
              </w:rPr>
            </w:pPr>
            <w:r>
              <w:rPr>
                <w:rFonts w:hint="eastAsia" w:ascii="宋体" w:hAnsi="宋体" w:cs="宋体"/>
              </w:rPr>
              <w:t>用户需求书相关内容</w:t>
            </w:r>
          </w:p>
        </w:tc>
        <w:tc>
          <w:tcPr>
            <w:tcW w:w="1453" w:type="dxa"/>
            <w:vAlign w:val="center"/>
          </w:tcPr>
          <w:p>
            <w:pPr>
              <w:autoSpaceDE w:val="0"/>
              <w:autoSpaceDN w:val="0"/>
              <w:adjustRightInd w:val="0"/>
              <w:jc w:val="center"/>
              <w:rPr>
                <w:rFonts w:hint="eastAsia" w:ascii="宋体" w:hAnsi="宋体" w:cs="宋体"/>
              </w:rPr>
            </w:pPr>
            <w:r>
              <w:rPr>
                <w:rFonts w:hint="eastAsia" w:ascii="宋体" w:hAnsi="宋体" w:cs="宋体"/>
              </w:rPr>
              <w:t>响应内容描述</w:t>
            </w:r>
          </w:p>
        </w:tc>
        <w:tc>
          <w:tcPr>
            <w:tcW w:w="1906" w:type="dxa"/>
            <w:vAlign w:val="center"/>
          </w:tcPr>
          <w:p>
            <w:pPr>
              <w:autoSpaceDE w:val="0"/>
              <w:autoSpaceDN w:val="0"/>
              <w:adjustRightInd w:val="0"/>
              <w:jc w:val="center"/>
              <w:rPr>
                <w:rFonts w:hint="eastAsia" w:ascii="宋体" w:hAnsi="宋体" w:cs="宋体"/>
              </w:rPr>
            </w:pPr>
            <w:r>
              <w:rPr>
                <w:rFonts w:hint="eastAsia" w:ascii="宋体" w:hAnsi="宋体" w:cs="宋体"/>
              </w:rPr>
              <w:t>差异描述</w:t>
            </w:r>
          </w:p>
        </w:tc>
        <w:tc>
          <w:tcPr>
            <w:tcW w:w="871" w:type="dxa"/>
            <w:vAlign w:val="center"/>
          </w:tcPr>
          <w:p>
            <w:pPr>
              <w:autoSpaceDE w:val="0"/>
              <w:autoSpaceDN w:val="0"/>
              <w:adjustRightInd w:val="0"/>
              <w:jc w:val="center"/>
              <w:rPr>
                <w:rFonts w:hint="eastAsia" w:ascii="宋体" w:hAnsi="宋体" w:cs="宋体"/>
              </w:rPr>
            </w:pPr>
            <w:r>
              <w:rPr>
                <w:rFonts w:hint="eastAsia" w:ascii="宋体" w:hAnsi="宋体" w:cs="宋体"/>
              </w:rPr>
              <w:t>页码</w:t>
            </w:r>
          </w:p>
          <w:p>
            <w:pPr>
              <w:autoSpaceDE w:val="0"/>
              <w:autoSpaceDN w:val="0"/>
              <w:adjustRightInd w:val="0"/>
              <w:jc w:val="center"/>
              <w:rPr>
                <w:rFonts w:hint="eastAsia" w:ascii="宋体" w:hAnsi="宋体" w:cs="宋体"/>
              </w:rPr>
            </w:pPr>
            <w:r>
              <w:rPr>
                <w:rFonts w:hint="eastAsia" w:ascii="宋体" w:hAnsi="宋体" w:cs="宋体"/>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p>
        </w:tc>
        <w:tc>
          <w:tcPr>
            <w:tcW w:w="3045" w:type="dxa"/>
            <w:vAlign w:val="center"/>
          </w:tcPr>
          <w:p>
            <w:pPr>
              <w:autoSpaceDE w:val="0"/>
              <w:autoSpaceDN w:val="0"/>
              <w:adjustRightInd w:val="0"/>
              <w:jc w:val="center"/>
              <w:rPr>
                <w:rFonts w:hint="eastAsia" w:ascii="宋体" w:hAnsi="宋体" w:cs="宋体"/>
              </w:rPr>
            </w:pPr>
          </w:p>
        </w:tc>
        <w:tc>
          <w:tcPr>
            <w:tcW w:w="1453" w:type="dxa"/>
            <w:vAlign w:val="center"/>
          </w:tcPr>
          <w:p>
            <w:pPr>
              <w:autoSpaceDE w:val="0"/>
              <w:autoSpaceDN w:val="0"/>
              <w:adjustRightInd w:val="0"/>
              <w:jc w:val="center"/>
              <w:rPr>
                <w:rFonts w:hint="eastAsia" w:ascii="宋体" w:hAnsi="宋体" w:cs="宋体"/>
              </w:rPr>
            </w:pPr>
          </w:p>
        </w:tc>
        <w:tc>
          <w:tcPr>
            <w:tcW w:w="1906" w:type="dxa"/>
            <w:vAlign w:val="center"/>
          </w:tcPr>
          <w:p>
            <w:pPr>
              <w:autoSpaceDE w:val="0"/>
              <w:autoSpaceDN w:val="0"/>
              <w:adjustRightInd w:val="0"/>
              <w:jc w:val="center"/>
              <w:rPr>
                <w:rFonts w:hint="eastAsia" w:ascii="宋体" w:hAnsi="宋体" w:cs="宋体"/>
                <w:w w:val="80"/>
              </w:rPr>
            </w:pPr>
          </w:p>
        </w:tc>
        <w:tc>
          <w:tcPr>
            <w:tcW w:w="871" w:type="dxa"/>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p>
        </w:tc>
        <w:tc>
          <w:tcPr>
            <w:tcW w:w="3045" w:type="dxa"/>
            <w:vAlign w:val="center"/>
          </w:tcPr>
          <w:p>
            <w:pPr>
              <w:autoSpaceDE w:val="0"/>
              <w:autoSpaceDN w:val="0"/>
              <w:adjustRightInd w:val="0"/>
              <w:jc w:val="center"/>
              <w:rPr>
                <w:rFonts w:hint="eastAsia" w:ascii="宋体" w:hAnsi="宋体" w:cs="宋体"/>
              </w:rPr>
            </w:pPr>
          </w:p>
        </w:tc>
        <w:tc>
          <w:tcPr>
            <w:tcW w:w="1453" w:type="dxa"/>
            <w:vAlign w:val="center"/>
          </w:tcPr>
          <w:p>
            <w:pPr>
              <w:autoSpaceDE w:val="0"/>
              <w:autoSpaceDN w:val="0"/>
              <w:adjustRightInd w:val="0"/>
              <w:jc w:val="center"/>
              <w:rPr>
                <w:rFonts w:hint="eastAsia" w:ascii="宋体" w:hAnsi="宋体" w:cs="宋体"/>
              </w:rPr>
            </w:pPr>
          </w:p>
        </w:tc>
        <w:tc>
          <w:tcPr>
            <w:tcW w:w="1906" w:type="dxa"/>
            <w:vAlign w:val="center"/>
          </w:tcPr>
          <w:p>
            <w:pPr>
              <w:autoSpaceDE w:val="0"/>
              <w:autoSpaceDN w:val="0"/>
              <w:adjustRightInd w:val="0"/>
              <w:jc w:val="center"/>
              <w:rPr>
                <w:rFonts w:hint="eastAsia" w:ascii="宋体" w:hAnsi="宋体" w:cs="宋体"/>
                <w:w w:val="80"/>
              </w:rPr>
            </w:pPr>
          </w:p>
        </w:tc>
        <w:tc>
          <w:tcPr>
            <w:tcW w:w="871" w:type="dxa"/>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p>
        </w:tc>
        <w:tc>
          <w:tcPr>
            <w:tcW w:w="3045" w:type="dxa"/>
            <w:vAlign w:val="center"/>
          </w:tcPr>
          <w:p>
            <w:pPr>
              <w:autoSpaceDE w:val="0"/>
              <w:autoSpaceDN w:val="0"/>
              <w:adjustRightInd w:val="0"/>
              <w:jc w:val="center"/>
              <w:rPr>
                <w:rFonts w:hint="eastAsia" w:ascii="宋体" w:hAnsi="宋体" w:cs="宋体"/>
              </w:rPr>
            </w:pPr>
          </w:p>
        </w:tc>
        <w:tc>
          <w:tcPr>
            <w:tcW w:w="1453" w:type="dxa"/>
            <w:vAlign w:val="center"/>
          </w:tcPr>
          <w:p>
            <w:pPr>
              <w:autoSpaceDE w:val="0"/>
              <w:autoSpaceDN w:val="0"/>
              <w:adjustRightInd w:val="0"/>
              <w:jc w:val="center"/>
              <w:rPr>
                <w:rFonts w:hint="eastAsia" w:ascii="宋体" w:hAnsi="宋体" w:cs="宋体"/>
              </w:rPr>
            </w:pPr>
          </w:p>
        </w:tc>
        <w:tc>
          <w:tcPr>
            <w:tcW w:w="1906" w:type="dxa"/>
            <w:vAlign w:val="center"/>
          </w:tcPr>
          <w:p>
            <w:pPr>
              <w:autoSpaceDE w:val="0"/>
              <w:autoSpaceDN w:val="0"/>
              <w:adjustRightInd w:val="0"/>
              <w:jc w:val="center"/>
              <w:rPr>
                <w:rFonts w:hint="eastAsia" w:ascii="宋体" w:hAnsi="宋体" w:cs="宋体"/>
                <w:w w:val="80"/>
              </w:rPr>
            </w:pPr>
          </w:p>
        </w:tc>
        <w:tc>
          <w:tcPr>
            <w:tcW w:w="871" w:type="dxa"/>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p>
        </w:tc>
        <w:tc>
          <w:tcPr>
            <w:tcW w:w="3045" w:type="dxa"/>
            <w:vAlign w:val="center"/>
          </w:tcPr>
          <w:p>
            <w:pPr>
              <w:autoSpaceDE w:val="0"/>
              <w:autoSpaceDN w:val="0"/>
              <w:adjustRightInd w:val="0"/>
              <w:jc w:val="center"/>
              <w:rPr>
                <w:rFonts w:hint="eastAsia" w:ascii="宋体" w:hAnsi="宋体" w:cs="宋体"/>
              </w:rPr>
            </w:pPr>
          </w:p>
        </w:tc>
        <w:tc>
          <w:tcPr>
            <w:tcW w:w="1453" w:type="dxa"/>
            <w:vAlign w:val="center"/>
          </w:tcPr>
          <w:p>
            <w:pPr>
              <w:autoSpaceDE w:val="0"/>
              <w:autoSpaceDN w:val="0"/>
              <w:adjustRightInd w:val="0"/>
              <w:jc w:val="center"/>
              <w:rPr>
                <w:rFonts w:hint="eastAsia" w:ascii="宋体" w:hAnsi="宋体" w:cs="宋体"/>
              </w:rPr>
            </w:pPr>
          </w:p>
        </w:tc>
        <w:tc>
          <w:tcPr>
            <w:tcW w:w="1906" w:type="dxa"/>
            <w:vAlign w:val="center"/>
          </w:tcPr>
          <w:p>
            <w:pPr>
              <w:autoSpaceDE w:val="0"/>
              <w:autoSpaceDN w:val="0"/>
              <w:adjustRightInd w:val="0"/>
              <w:jc w:val="center"/>
              <w:rPr>
                <w:rFonts w:hint="eastAsia" w:ascii="宋体" w:hAnsi="宋体" w:cs="宋体"/>
                <w:w w:val="80"/>
              </w:rPr>
            </w:pPr>
          </w:p>
        </w:tc>
        <w:tc>
          <w:tcPr>
            <w:tcW w:w="871" w:type="dxa"/>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p>
        </w:tc>
        <w:tc>
          <w:tcPr>
            <w:tcW w:w="3045" w:type="dxa"/>
            <w:vAlign w:val="center"/>
          </w:tcPr>
          <w:p>
            <w:pPr>
              <w:autoSpaceDE w:val="0"/>
              <w:autoSpaceDN w:val="0"/>
              <w:adjustRightInd w:val="0"/>
              <w:jc w:val="center"/>
              <w:rPr>
                <w:rFonts w:hint="eastAsia" w:ascii="宋体" w:hAnsi="宋体" w:cs="宋体"/>
              </w:rPr>
            </w:pPr>
          </w:p>
        </w:tc>
        <w:tc>
          <w:tcPr>
            <w:tcW w:w="1453" w:type="dxa"/>
            <w:vAlign w:val="center"/>
          </w:tcPr>
          <w:p>
            <w:pPr>
              <w:autoSpaceDE w:val="0"/>
              <w:autoSpaceDN w:val="0"/>
              <w:adjustRightInd w:val="0"/>
              <w:jc w:val="center"/>
              <w:rPr>
                <w:rFonts w:hint="eastAsia" w:ascii="宋体" w:hAnsi="宋体" w:cs="宋体"/>
              </w:rPr>
            </w:pPr>
          </w:p>
        </w:tc>
        <w:tc>
          <w:tcPr>
            <w:tcW w:w="1906" w:type="dxa"/>
            <w:vAlign w:val="center"/>
          </w:tcPr>
          <w:p>
            <w:pPr>
              <w:autoSpaceDE w:val="0"/>
              <w:autoSpaceDN w:val="0"/>
              <w:adjustRightInd w:val="0"/>
              <w:jc w:val="center"/>
              <w:rPr>
                <w:rFonts w:hint="eastAsia" w:ascii="宋体" w:hAnsi="宋体" w:cs="宋体"/>
                <w:w w:val="80"/>
              </w:rPr>
            </w:pPr>
          </w:p>
        </w:tc>
        <w:tc>
          <w:tcPr>
            <w:tcW w:w="871" w:type="dxa"/>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vAlign w:val="center"/>
          </w:tcPr>
          <w:p>
            <w:pPr>
              <w:autoSpaceDE w:val="0"/>
              <w:autoSpaceDN w:val="0"/>
              <w:adjustRightInd w:val="0"/>
              <w:jc w:val="center"/>
              <w:rPr>
                <w:rFonts w:hint="eastAsia" w:ascii="宋体" w:hAnsi="宋体" w:cs="宋体"/>
              </w:rPr>
            </w:pPr>
          </w:p>
        </w:tc>
        <w:tc>
          <w:tcPr>
            <w:tcW w:w="3045" w:type="dxa"/>
            <w:vAlign w:val="center"/>
          </w:tcPr>
          <w:p>
            <w:pPr>
              <w:autoSpaceDE w:val="0"/>
              <w:autoSpaceDN w:val="0"/>
              <w:adjustRightInd w:val="0"/>
              <w:jc w:val="center"/>
              <w:rPr>
                <w:rFonts w:hint="eastAsia" w:ascii="宋体" w:hAnsi="宋体" w:cs="宋体"/>
              </w:rPr>
            </w:pPr>
          </w:p>
        </w:tc>
        <w:tc>
          <w:tcPr>
            <w:tcW w:w="1453" w:type="dxa"/>
            <w:vAlign w:val="center"/>
          </w:tcPr>
          <w:p>
            <w:pPr>
              <w:autoSpaceDE w:val="0"/>
              <w:autoSpaceDN w:val="0"/>
              <w:adjustRightInd w:val="0"/>
              <w:jc w:val="center"/>
              <w:rPr>
                <w:rFonts w:hint="eastAsia" w:ascii="宋体" w:hAnsi="宋体" w:cs="宋体"/>
              </w:rPr>
            </w:pPr>
          </w:p>
        </w:tc>
        <w:tc>
          <w:tcPr>
            <w:tcW w:w="1906" w:type="dxa"/>
            <w:vAlign w:val="center"/>
          </w:tcPr>
          <w:p>
            <w:pPr>
              <w:autoSpaceDE w:val="0"/>
              <w:autoSpaceDN w:val="0"/>
              <w:adjustRightInd w:val="0"/>
              <w:jc w:val="center"/>
              <w:rPr>
                <w:rFonts w:hint="eastAsia" w:ascii="宋体" w:hAnsi="宋体" w:cs="宋体"/>
                <w:w w:val="80"/>
              </w:rPr>
            </w:pPr>
          </w:p>
        </w:tc>
        <w:tc>
          <w:tcPr>
            <w:tcW w:w="871" w:type="dxa"/>
            <w:vAlign w:val="center"/>
          </w:tcPr>
          <w:p>
            <w:pPr>
              <w:autoSpaceDE w:val="0"/>
              <w:autoSpaceDN w:val="0"/>
              <w:adjustRightInd w:val="0"/>
              <w:jc w:val="center"/>
              <w:rPr>
                <w:rFonts w:hint="eastAsia" w:ascii="宋体" w:hAnsi="宋体" w:cs="宋体"/>
                <w:w w:val="80"/>
              </w:rPr>
            </w:pPr>
          </w:p>
        </w:tc>
      </w:tr>
    </w:tbl>
    <w:p>
      <w:pPr>
        <w:spacing w:line="360" w:lineRule="auto"/>
        <w:rPr>
          <w:rFonts w:hint="eastAsia" w:ascii="宋体" w:hAnsi="宋体" w:cs="宋体"/>
        </w:rPr>
      </w:pPr>
    </w:p>
    <w:p>
      <w:pPr>
        <w:rPr>
          <w:rFonts w:hint="eastAsia" w:ascii="宋体" w:hAnsi="宋体" w:cs="宋体"/>
        </w:rPr>
      </w:pPr>
      <w:r>
        <w:rPr>
          <w:rFonts w:hint="eastAsia" w:ascii="宋体" w:hAnsi="宋体" w:cs="宋体"/>
          <w:b/>
        </w:rPr>
        <w:t>[说明]</w:t>
      </w:r>
      <w:r>
        <w:rPr>
          <w:rFonts w:hint="eastAsia" w:ascii="宋体" w:hAnsi="宋体" w:cs="宋体"/>
        </w:rPr>
        <w:t xml:space="preserve"> 投标人应按照招标文件要求和“用户需求书”作出响应，如有差异的在“差异描述”栏中详细描述差异情况。</w:t>
      </w:r>
    </w:p>
    <w:p>
      <w:pPr>
        <w:rPr>
          <w:rFonts w:hint="eastAsia" w:ascii="宋体" w:hAnsi="宋体" w:cs="宋体"/>
        </w:rPr>
      </w:pPr>
      <w:r>
        <w:rPr>
          <w:rFonts w:hint="eastAsia" w:ascii="宋体" w:hAnsi="宋体" w:cs="宋体"/>
        </w:rPr>
        <w:t>若以上表格如为空白，则表示无偏离，即完全满足招标文件的用户需求书条款。</w:t>
      </w:r>
    </w:p>
    <w:p>
      <w:pPr>
        <w:rPr>
          <w:rFonts w:hint="eastAsia" w:ascii="宋体" w:hAnsi="宋体" w:cs="宋体"/>
        </w:rPr>
      </w:pPr>
      <w:r>
        <w:rPr>
          <w:rFonts w:hint="eastAsia" w:ascii="宋体" w:hAnsi="宋体" w:cs="宋体"/>
          <w:szCs w:val="21"/>
        </w:rPr>
        <w:t>▲或非“▲”若需提供证明材料的，投标人应按招标附上证明材料并在投标文件明确页码。</w:t>
      </w:r>
    </w:p>
    <w:p>
      <w:pPr>
        <w:tabs>
          <w:tab w:val="left" w:pos="676"/>
          <w:tab w:val="left" w:pos="2330"/>
          <w:tab w:val="left" w:pos="9230"/>
        </w:tabs>
        <w:autoSpaceDE w:val="0"/>
        <w:autoSpaceDN w:val="0"/>
        <w:adjustRightInd w:val="0"/>
        <w:spacing w:line="360" w:lineRule="auto"/>
        <w:ind w:left="4700" w:leftChars="2238"/>
        <w:rPr>
          <w:rFonts w:hint="eastAsia" w:ascii="宋体" w:hAnsi="宋体" w:cs="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cs="宋体"/>
        </w:rPr>
      </w:pPr>
    </w:p>
    <w:p>
      <w:pPr>
        <w:spacing w:line="480" w:lineRule="auto"/>
        <w:ind w:firstLine="3990" w:firstLineChars="1900"/>
        <w:rPr>
          <w:rFonts w:hint="eastAsia" w:ascii="宋体" w:hAnsi="宋体" w:cs="宋体"/>
          <w:szCs w:val="22"/>
        </w:rPr>
      </w:pPr>
      <w:r>
        <w:rPr>
          <w:rFonts w:hint="eastAsia" w:ascii="宋体" w:hAnsi="宋体" w:cs="宋体"/>
          <w:szCs w:val="22"/>
        </w:rPr>
        <w:t>投标人名称:（盖章）</w:t>
      </w:r>
    </w:p>
    <w:p>
      <w:pPr>
        <w:spacing w:line="480" w:lineRule="auto"/>
        <w:ind w:firstLine="3990" w:firstLineChars="1900"/>
        <w:rPr>
          <w:rFonts w:hint="eastAsia" w:ascii="宋体" w:hAnsi="宋体" w:cs="宋体"/>
          <w:szCs w:val="22"/>
        </w:rPr>
      </w:pPr>
      <w:r>
        <w:rPr>
          <w:rFonts w:hint="eastAsia" w:ascii="宋体" w:hAnsi="宋体" w:cs="宋体"/>
          <w:szCs w:val="22"/>
        </w:rPr>
        <w:t>日期：    年   月   日</w:t>
      </w:r>
    </w:p>
    <w:p>
      <w:pPr>
        <w:tabs>
          <w:tab w:val="left" w:pos="676"/>
          <w:tab w:val="left" w:pos="2330"/>
          <w:tab w:val="left" w:pos="9230"/>
        </w:tabs>
        <w:autoSpaceDE w:val="0"/>
        <w:autoSpaceDN w:val="0"/>
        <w:adjustRightInd w:val="0"/>
        <w:jc w:val="center"/>
        <w:rPr>
          <w:rFonts w:hint="eastAsia" w:ascii="宋体" w:hAnsi="宋体" w:cs="宋体"/>
        </w:rPr>
      </w:pPr>
    </w:p>
    <w:p>
      <w:pPr>
        <w:tabs>
          <w:tab w:val="left" w:pos="7200"/>
        </w:tabs>
        <w:autoSpaceDE w:val="0"/>
        <w:autoSpaceDN w:val="0"/>
        <w:adjustRightInd w:val="0"/>
        <w:spacing w:line="300" w:lineRule="auto"/>
        <w:jc w:val="left"/>
        <w:rPr>
          <w:rFonts w:hint="eastAsia" w:ascii="宋体" w:hAnsi="宋体" w:cs="宋体"/>
          <w:sz w:val="24"/>
        </w:rPr>
      </w:pPr>
      <w:r>
        <w:rPr>
          <w:rFonts w:hint="eastAsia" w:ascii="宋体" w:hAnsi="宋体" w:cs="宋体"/>
        </w:rPr>
        <w:br w:type="page"/>
      </w:r>
      <w:r>
        <w:rPr>
          <w:rFonts w:hint="eastAsia" w:ascii="宋体" w:hAnsi="宋体" w:cs="宋体"/>
          <w:b/>
          <w:sz w:val="24"/>
        </w:rPr>
        <w:t>格式6.1.2</w:t>
      </w:r>
    </w:p>
    <w:p>
      <w:pPr>
        <w:spacing w:line="360" w:lineRule="auto"/>
        <w:jc w:val="center"/>
        <w:rPr>
          <w:rFonts w:hint="eastAsia" w:ascii="宋体" w:hAnsi="宋体" w:cs="宋体"/>
          <w:b/>
          <w:sz w:val="32"/>
          <w:szCs w:val="36"/>
        </w:rPr>
      </w:pPr>
      <w:r>
        <w:rPr>
          <w:rFonts w:hint="eastAsia" w:ascii="宋体" w:hAnsi="宋体" w:cs="宋体"/>
          <w:b/>
          <w:sz w:val="28"/>
          <w:szCs w:val="28"/>
        </w:rPr>
        <w:t>关键条款响应表</w:t>
      </w:r>
    </w:p>
    <w:p>
      <w:pPr>
        <w:spacing w:line="360" w:lineRule="auto"/>
        <w:rPr>
          <w:rFonts w:hint="eastAsia" w:ascii="宋体" w:hAnsi="宋体" w:cs="宋体"/>
          <w:sz w:val="24"/>
        </w:rPr>
      </w:pPr>
      <w:r>
        <w:rPr>
          <w:rFonts w:hint="eastAsia" w:ascii="宋体" w:hAnsi="宋体" w:cs="宋体"/>
          <w:sz w:val="24"/>
        </w:rPr>
        <w:t xml:space="preserve"> </w:t>
      </w:r>
    </w:p>
    <w:tbl>
      <w:tblPr>
        <w:tblStyle w:val="5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938"/>
        <w:gridCol w:w="2060"/>
        <w:gridCol w:w="956"/>
        <w:gridCol w:w="956"/>
        <w:gridCol w:w="2598"/>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用户需求书相应序号</w:t>
            </w:r>
          </w:p>
        </w:tc>
        <w:tc>
          <w:tcPr>
            <w:tcW w:w="1202" w:type="pct"/>
            <w:vAlign w:val="center"/>
          </w:tcPr>
          <w:p>
            <w:pPr>
              <w:autoSpaceDE w:val="0"/>
              <w:autoSpaceDN w:val="0"/>
              <w:adjustRightInd w:val="0"/>
              <w:jc w:val="center"/>
              <w:rPr>
                <w:rFonts w:hint="eastAsia" w:ascii="宋体" w:hAnsi="宋体" w:cs="宋体"/>
              </w:rPr>
            </w:pPr>
            <w:r>
              <w:rPr>
                <w:rFonts w:hint="eastAsia" w:ascii="宋体" w:hAnsi="宋体" w:cs="宋体"/>
              </w:rPr>
              <w:t>关键条款（★条款）相关内容</w:t>
            </w:r>
          </w:p>
        </w:tc>
        <w:tc>
          <w:tcPr>
            <w:tcW w:w="558" w:type="pct"/>
            <w:vAlign w:val="center"/>
          </w:tcPr>
          <w:p>
            <w:pPr>
              <w:autoSpaceDE w:val="0"/>
              <w:autoSpaceDN w:val="0"/>
              <w:adjustRightInd w:val="0"/>
              <w:jc w:val="center"/>
              <w:rPr>
                <w:rFonts w:hint="eastAsia" w:ascii="宋体" w:hAnsi="宋体" w:cs="宋体"/>
              </w:rPr>
            </w:pPr>
            <w:r>
              <w:rPr>
                <w:rFonts w:hint="eastAsia" w:ascii="宋体" w:hAnsi="宋体" w:cs="宋体"/>
                <w:kern w:val="1"/>
              </w:rPr>
              <w:t>偏离情况</w:t>
            </w:r>
          </w:p>
        </w:tc>
        <w:tc>
          <w:tcPr>
            <w:tcW w:w="558" w:type="pct"/>
            <w:vAlign w:val="center"/>
          </w:tcPr>
          <w:p>
            <w:pPr>
              <w:autoSpaceDE w:val="0"/>
              <w:autoSpaceDN w:val="0"/>
              <w:adjustRightInd w:val="0"/>
              <w:jc w:val="center"/>
              <w:rPr>
                <w:rFonts w:hint="eastAsia" w:ascii="宋体" w:hAnsi="宋体" w:cs="宋体"/>
              </w:rPr>
            </w:pPr>
            <w:r>
              <w:rPr>
                <w:rFonts w:hint="eastAsia" w:ascii="宋体" w:hAnsi="宋体" w:cs="宋体"/>
              </w:rPr>
              <w:t>响应内容描述</w:t>
            </w:r>
          </w:p>
        </w:tc>
        <w:tc>
          <w:tcPr>
            <w:tcW w:w="1516" w:type="pct"/>
            <w:vAlign w:val="center"/>
          </w:tcPr>
          <w:p>
            <w:pPr>
              <w:autoSpaceDE w:val="0"/>
              <w:autoSpaceDN w:val="0"/>
              <w:adjustRightInd w:val="0"/>
              <w:jc w:val="center"/>
              <w:rPr>
                <w:rFonts w:hint="eastAsia" w:ascii="宋体" w:hAnsi="宋体" w:cs="宋体"/>
              </w:rPr>
            </w:pPr>
            <w:r>
              <w:rPr>
                <w:rFonts w:hint="eastAsia" w:ascii="宋体" w:hAnsi="宋体" w:cs="宋体"/>
              </w:rPr>
              <w:t>差异描述</w:t>
            </w:r>
          </w:p>
        </w:tc>
        <w:tc>
          <w:tcPr>
            <w:tcW w:w="615" w:type="pct"/>
            <w:vAlign w:val="center"/>
          </w:tcPr>
          <w:p>
            <w:pPr>
              <w:autoSpaceDE w:val="0"/>
              <w:autoSpaceDN w:val="0"/>
              <w:adjustRightInd w:val="0"/>
              <w:jc w:val="center"/>
              <w:rPr>
                <w:rFonts w:hint="eastAsia" w:ascii="宋体" w:hAnsi="宋体" w:cs="宋体"/>
              </w:rPr>
            </w:pPr>
            <w:r>
              <w:rPr>
                <w:rFonts w:hint="eastAsia" w:ascii="宋体" w:hAnsi="宋体" w:cs="宋体"/>
              </w:rPr>
              <w:t>页码</w:t>
            </w:r>
          </w:p>
          <w:p>
            <w:pPr>
              <w:autoSpaceDE w:val="0"/>
              <w:autoSpaceDN w:val="0"/>
              <w:adjustRightInd w:val="0"/>
              <w:jc w:val="center"/>
              <w:rPr>
                <w:rFonts w:hint="eastAsia" w:ascii="宋体" w:hAnsi="宋体" w:cs="宋体"/>
              </w:rPr>
            </w:pPr>
            <w:r>
              <w:rPr>
                <w:rFonts w:hint="eastAsia" w:ascii="宋体" w:hAnsi="宋体" w:cs="宋体"/>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（1）云资源服务器1（4台）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CPU个数≥2颗，CPU型号为英特尔至强金牌6</w:t>
            </w:r>
            <w:r>
              <w:rPr>
                <w:rFonts w:ascii="宋体" w:hAnsi="宋体" w:cs="宋体"/>
                <w:kern w:val="0"/>
                <w:szCs w:val="21"/>
              </w:rPr>
              <w:t>5</w:t>
            </w:r>
            <w:r>
              <w:rPr>
                <w:rFonts w:hint="eastAsia" w:ascii="宋体" w:hAnsi="宋体" w:cs="宋体"/>
                <w:kern w:val="0"/>
                <w:szCs w:val="21"/>
              </w:rPr>
              <w:t>30或更高级别，每颗CPU≥32核，2.1GHz；</w:t>
            </w:r>
          </w:p>
        </w:tc>
        <w:tc>
          <w:tcPr>
            <w:tcW w:w="558" w:type="pct"/>
            <w:vAlign w:val="center"/>
          </w:tcPr>
          <w:p>
            <w:pPr>
              <w:autoSpaceDE w:val="0"/>
              <w:autoSpaceDN w:val="0"/>
              <w:adjustRightInd w:val="0"/>
              <w:jc w:val="center"/>
              <w:rPr>
                <w:rFonts w:hint="eastAsia" w:ascii="宋体" w:hAnsi="宋体" w:cs="宋体"/>
                <w:kern w:val="1"/>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rPr>
            </w:pPr>
          </w:p>
        </w:tc>
        <w:tc>
          <w:tcPr>
            <w:tcW w:w="615" w:type="pct"/>
            <w:vAlign w:val="center"/>
          </w:tcPr>
          <w:p>
            <w:pPr>
              <w:autoSpaceDE w:val="0"/>
              <w:autoSpaceDN w:val="0"/>
              <w:adjustRightInd w:val="0"/>
              <w:jc w:val="cente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（1）云资源服务器1（4台）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sz w:val="22"/>
                <w:szCs w:val="22"/>
                <w:lang w:bidi="ar"/>
              </w:rPr>
            </w:pPr>
            <w:r>
              <w:rPr>
                <w:rFonts w:hint="eastAsia" w:ascii="宋体" w:hAnsi="宋体" w:cs="宋体"/>
                <w:kern w:val="0"/>
                <w:szCs w:val="21"/>
              </w:rPr>
              <w:t>≥12×</w:t>
            </w:r>
            <w:r>
              <w:rPr>
                <w:rFonts w:ascii="宋体" w:hAnsi="宋体" w:cs="宋体"/>
                <w:kern w:val="0"/>
                <w:szCs w:val="21"/>
              </w:rPr>
              <w:t>64</w:t>
            </w:r>
            <w:r>
              <w:rPr>
                <w:rFonts w:hint="eastAsia" w:ascii="宋体" w:hAnsi="宋体" w:cs="宋体"/>
                <w:kern w:val="0"/>
                <w:szCs w:val="21"/>
              </w:rPr>
              <w:t>GB DDR5，频率5600MT/s，单条容量</w:t>
            </w:r>
            <w:r>
              <w:rPr>
                <w:rFonts w:ascii="宋体" w:hAnsi="宋体" w:cs="宋体"/>
                <w:kern w:val="0"/>
                <w:szCs w:val="21"/>
              </w:rPr>
              <w:t>64</w:t>
            </w:r>
            <w:r>
              <w:rPr>
                <w:rFonts w:hint="eastAsia" w:ascii="宋体" w:hAnsi="宋体" w:cs="宋体"/>
                <w:kern w:val="0"/>
                <w:szCs w:val="21"/>
              </w:rPr>
              <w:t>GB；</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（2）云资源服务器2（3台）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CPU个数≥2颗，CPU型号为英特尔至强金牌6</w:t>
            </w:r>
            <w:r>
              <w:rPr>
                <w:rFonts w:ascii="宋体" w:hAnsi="宋体" w:cs="宋体"/>
                <w:kern w:val="0"/>
                <w:szCs w:val="21"/>
              </w:rPr>
              <w:t>5</w:t>
            </w:r>
            <w:r>
              <w:rPr>
                <w:rFonts w:hint="eastAsia" w:ascii="宋体" w:hAnsi="宋体" w:cs="宋体"/>
                <w:kern w:val="0"/>
                <w:szCs w:val="21"/>
              </w:rPr>
              <w:t>30或更高级别，每颗CPU≥32核，2.1GHz；</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（2）云资源服务器2（3台）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≥8×</w:t>
            </w:r>
            <w:r>
              <w:rPr>
                <w:rFonts w:ascii="宋体" w:hAnsi="宋体" w:cs="宋体"/>
                <w:kern w:val="0"/>
                <w:szCs w:val="21"/>
              </w:rPr>
              <w:t>64</w:t>
            </w:r>
            <w:r>
              <w:rPr>
                <w:rFonts w:hint="eastAsia" w:ascii="宋体" w:hAnsi="宋体" w:cs="宋体"/>
                <w:kern w:val="0"/>
                <w:szCs w:val="21"/>
              </w:rPr>
              <w:t>GB DDR5，频率5600MT/s，单条容量</w:t>
            </w:r>
            <w:r>
              <w:rPr>
                <w:rFonts w:ascii="宋体" w:hAnsi="宋体" w:cs="宋体"/>
                <w:kern w:val="0"/>
                <w:szCs w:val="21"/>
              </w:rPr>
              <w:t>64</w:t>
            </w:r>
            <w:r>
              <w:rPr>
                <w:rFonts w:hint="eastAsia" w:ascii="宋体" w:hAnsi="宋体" w:cs="宋体"/>
                <w:kern w:val="0"/>
                <w:szCs w:val="21"/>
              </w:rPr>
              <w:t>GB；</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（3）云资源服务器3（12台）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CPU个数≥2颗，CPU型号为英特尔至强金牌6</w:t>
            </w:r>
            <w:r>
              <w:rPr>
                <w:rFonts w:ascii="宋体" w:hAnsi="宋体" w:cs="宋体"/>
                <w:kern w:val="0"/>
                <w:szCs w:val="21"/>
              </w:rPr>
              <w:t>5</w:t>
            </w:r>
            <w:r>
              <w:rPr>
                <w:rFonts w:hint="eastAsia" w:ascii="宋体" w:hAnsi="宋体" w:cs="宋体"/>
                <w:kern w:val="0"/>
                <w:szCs w:val="21"/>
              </w:rPr>
              <w:t>30或更高级别，每颗CPU≥32核，2.1GHz；</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（3）云资源服务器3（12台）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≥12×</w:t>
            </w:r>
            <w:r>
              <w:rPr>
                <w:rFonts w:ascii="宋体" w:hAnsi="宋体" w:cs="宋体"/>
                <w:kern w:val="0"/>
                <w:szCs w:val="21"/>
              </w:rPr>
              <w:t>64</w:t>
            </w:r>
            <w:r>
              <w:rPr>
                <w:rFonts w:hint="eastAsia" w:ascii="宋体" w:hAnsi="宋体" w:cs="宋体"/>
                <w:kern w:val="0"/>
                <w:szCs w:val="21"/>
              </w:rPr>
              <w:t>GB DDR5，频率5600MT/s，单条容量</w:t>
            </w:r>
            <w:r>
              <w:rPr>
                <w:rFonts w:ascii="宋体" w:hAnsi="宋体" w:cs="宋体"/>
                <w:kern w:val="0"/>
                <w:szCs w:val="21"/>
              </w:rPr>
              <w:t>64</w:t>
            </w:r>
            <w:r>
              <w:rPr>
                <w:rFonts w:hint="eastAsia" w:ascii="宋体" w:hAnsi="宋体" w:cs="宋体"/>
                <w:kern w:val="0"/>
                <w:szCs w:val="21"/>
              </w:rPr>
              <w:t>GB；</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（4）云资源服务器4（3台）</w:t>
            </w:r>
          </w:p>
        </w:tc>
        <w:tc>
          <w:tcPr>
            <w:tcW w:w="1202" w:type="pct"/>
            <w:vAlign w:val="center"/>
          </w:tcPr>
          <w:p>
            <w:pPr>
              <w:autoSpaceDE w:val="0"/>
              <w:autoSpaceDN w:val="0"/>
              <w:adjustRightInd w:val="0"/>
              <w:jc w:val="left"/>
              <w:rPr>
                <w:rFonts w:hint="eastAsia" w:ascii="宋体" w:hAnsi="宋体" w:cs="宋体"/>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实际配置CPU个数≥</w:t>
            </w:r>
            <w:r>
              <w:rPr>
                <w:rFonts w:ascii="宋体" w:hAnsi="宋体" w:cs="宋体"/>
                <w:kern w:val="0"/>
                <w:szCs w:val="21"/>
              </w:rPr>
              <w:t>2</w:t>
            </w:r>
            <w:r>
              <w:rPr>
                <w:rFonts w:hint="eastAsia" w:ascii="宋体" w:hAnsi="宋体" w:cs="宋体"/>
                <w:kern w:val="0"/>
                <w:szCs w:val="21"/>
              </w:rPr>
              <w:t>颗，CPU型号为鲲鹏</w:t>
            </w:r>
            <w:r>
              <w:rPr>
                <w:rFonts w:ascii="宋体" w:hAnsi="宋体" w:cs="宋体"/>
                <w:kern w:val="0"/>
                <w:szCs w:val="21"/>
              </w:rPr>
              <w:t>920</w:t>
            </w:r>
            <w:r>
              <w:rPr>
                <w:rFonts w:hint="eastAsia" w:ascii="宋体" w:hAnsi="宋体" w:cs="宋体"/>
                <w:kern w:val="0"/>
                <w:szCs w:val="21"/>
              </w:rPr>
              <w:t>或更高，每颗CPU≥</w:t>
            </w:r>
            <w:r>
              <w:rPr>
                <w:rFonts w:ascii="宋体" w:hAnsi="宋体" w:cs="宋体"/>
                <w:kern w:val="0"/>
                <w:szCs w:val="21"/>
              </w:rPr>
              <w:t>64</w:t>
            </w:r>
            <w:r>
              <w:rPr>
                <w:rFonts w:hint="eastAsia" w:ascii="宋体" w:hAnsi="宋体" w:cs="宋体"/>
                <w:kern w:val="0"/>
                <w:szCs w:val="21"/>
              </w:rPr>
              <w:t>核，</w:t>
            </w:r>
            <w:r>
              <w:rPr>
                <w:rFonts w:ascii="宋体" w:hAnsi="宋体" w:cs="宋体"/>
                <w:kern w:val="0"/>
                <w:szCs w:val="21"/>
              </w:rPr>
              <w:t>2</w:t>
            </w:r>
            <w:r>
              <w:rPr>
                <w:rFonts w:hint="eastAsia" w:ascii="宋体" w:hAnsi="宋体" w:cs="宋体"/>
                <w:kern w:val="0"/>
                <w:szCs w:val="21"/>
              </w:rPr>
              <w:t>.</w:t>
            </w:r>
            <w:r>
              <w:rPr>
                <w:rFonts w:ascii="宋体" w:hAnsi="宋体" w:cs="宋体"/>
                <w:kern w:val="0"/>
                <w:szCs w:val="21"/>
              </w:rPr>
              <w:t>6GHz</w:t>
            </w:r>
            <w:r>
              <w:rPr>
                <w:rFonts w:hint="eastAsia" w:ascii="宋体" w:hAnsi="宋体" w:cs="宋体"/>
                <w:kern w:val="0"/>
                <w:szCs w:val="21"/>
              </w:rPr>
              <w:t>；</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（4）云资源服务器4（3台）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配置内存≥</w:t>
            </w:r>
            <w:r>
              <w:rPr>
                <w:rFonts w:ascii="宋体" w:hAnsi="宋体" w:cs="宋体"/>
                <w:kern w:val="0"/>
                <w:szCs w:val="21"/>
              </w:rPr>
              <w:t>12</w:t>
            </w:r>
            <w:r>
              <w:rPr>
                <w:rFonts w:hint="eastAsia" w:ascii="宋体" w:hAnsi="宋体" w:cs="宋体"/>
                <w:kern w:val="0"/>
                <w:szCs w:val="21"/>
              </w:rPr>
              <w:t>×</w:t>
            </w:r>
            <w:r>
              <w:rPr>
                <w:rFonts w:ascii="宋体" w:hAnsi="宋体" w:cs="宋体"/>
                <w:kern w:val="0"/>
                <w:szCs w:val="21"/>
              </w:rPr>
              <w:t>64GB DDR4</w:t>
            </w:r>
            <w:r>
              <w:rPr>
                <w:rFonts w:hint="eastAsia" w:ascii="宋体" w:hAnsi="宋体" w:cs="宋体"/>
                <w:kern w:val="0"/>
                <w:szCs w:val="21"/>
              </w:rPr>
              <w:t>，3200Mhz，单条6</w:t>
            </w:r>
            <w:r>
              <w:rPr>
                <w:rFonts w:ascii="宋体" w:hAnsi="宋体" w:cs="宋体"/>
                <w:kern w:val="0"/>
                <w:szCs w:val="21"/>
              </w:rPr>
              <w:t>4GB</w:t>
            </w:r>
            <w:r>
              <w:rPr>
                <w:rFonts w:hint="eastAsia" w:ascii="宋体" w:hAnsi="宋体" w:cs="宋体"/>
                <w:kern w:val="0"/>
                <w:szCs w:val="21"/>
              </w:rPr>
              <w:t>；</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（5）交换机1（10台）</w:t>
            </w:r>
          </w:p>
        </w:tc>
        <w:tc>
          <w:tcPr>
            <w:tcW w:w="1202" w:type="pct"/>
            <w:vAlign w:val="center"/>
          </w:tcPr>
          <w:p>
            <w:pPr>
              <w:autoSpaceDE w:val="0"/>
              <w:autoSpaceDN w:val="0"/>
              <w:adjustRightInd w:val="0"/>
              <w:jc w:val="center"/>
              <w:rPr>
                <w:rFonts w:hint="eastAsia" w:ascii="宋体" w:hAnsi="宋体" w:cs="宋体"/>
              </w:rPr>
            </w:pPr>
            <w:r>
              <w:rPr>
                <w:rFonts w:hint="eastAsia" w:ascii="宋体" w:hAnsi="宋体" w:cs="宋体"/>
                <w:sz w:val="22"/>
              </w:rPr>
              <w:t>★</w:t>
            </w:r>
            <w:r>
              <w:rPr>
                <w:rFonts w:hint="eastAsia" w:cs="宋体"/>
                <w:kern w:val="0"/>
                <w:szCs w:val="21"/>
              </w:rPr>
              <w:t>交换容量≥2.56Tbps，转发性能≥</w:t>
            </w:r>
            <w:r>
              <w:rPr>
                <w:rFonts w:cs="宋体"/>
                <w:kern w:val="0"/>
                <w:szCs w:val="21"/>
              </w:rPr>
              <w:t>720</w:t>
            </w:r>
            <w:r>
              <w:rPr>
                <w:rFonts w:hint="eastAsia" w:cs="宋体"/>
                <w:kern w:val="0"/>
                <w:szCs w:val="21"/>
              </w:rPr>
              <w:t>Mpps，以官网所列最低参数为准；</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（6）交换机2（2台）</w:t>
            </w:r>
          </w:p>
        </w:tc>
        <w:tc>
          <w:tcPr>
            <w:tcW w:w="1202" w:type="pct"/>
            <w:vAlign w:val="center"/>
          </w:tcPr>
          <w:p>
            <w:pPr>
              <w:autoSpaceDE w:val="0"/>
              <w:autoSpaceDN w:val="0"/>
              <w:adjustRightInd w:val="0"/>
              <w:jc w:val="center"/>
              <w:rPr>
                <w:rFonts w:hint="eastAsia" w:ascii="宋体" w:hAnsi="宋体" w:cs="宋体"/>
              </w:rPr>
            </w:pPr>
            <w:r>
              <w:rPr>
                <w:rFonts w:hint="eastAsia" w:ascii="宋体" w:hAnsi="宋体" w:cs="宋体"/>
                <w:sz w:val="22"/>
              </w:rPr>
              <w:t>★</w:t>
            </w:r>
            <w:r>
              <w:rPr>
                <w:rFonts w:hint="eastAsia" w:cs="宋体"/>
                <w:kern w:val="0"/>
                <w:szCs w:val="21"/>
              </w:rPr>
              <w:t>交换容量≥2.56Tbps，转发性能≥</w:t>
            </w:r>
            <w:r>
              <w:rPr>
                <w:rFonts w:cs="宋体"/>
                <w:kern w:val="0"/>
                <w:szCs w:val="21"/>
              </w:rPr>
              <w:t>720</w:t>
            </w:r>
            <w:r>
              <w:rPr>
                <w:rFonts w:hint="eastAsia" w:cs="宋体"/>
                <w:kern w:val="0"/>
                <w:szCs w:val="21"/>
              </w:rPr>
              <w:t>Mpps，以官网所列最低参数为准，提供官网截图证明；</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（7）块存储服务器（4台）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CPU个数≥2颗，CPU型号为英特尔至强金牌</w:t>
            </w:r>
            <w:r>
              <w:rPr>
                <w:rFonts w:ascii="宋体" w:hAnsi="宋体" w:cs="宋体"/>
                <w:kern w:val="0"/>
                <w:szCs w:val="21"/>
              </w:rPr>
              <w:t>4516Y+</w:t>
            </w:r>
            <w:r>
              <w:rPr>
                <w:rFonts w:hint="eastAsia" w:ascii="宋体" w:hAnsi="宋体" w:cs="宋体"/>
                <w:kern w:val="0"/>
                <w:szCs w:val="21"/>
              </w:rPr>
              <w:t>或更高级别，每颗CPU≥</w:t>
            </w:r>
            <w:r>
              <w:rPr>
                <w:rFonts w:ascii="宋体" w:hAnsi="宋体" w:cs="宋体"/>
                <w:kern w:val="0"/>
                <w:szCs w:val="21"/>
              </w:rPr>
              <w:t>24</w:t>
            </w:r>
            <w:r>
              <w:rPr>
                <w:rFonts w:hint="eastAsia" w:ascii="宋体" w:hAnsi="宋体" w:cs="宋体"/>
                <w:kern w:val="0"/>
                <w:szCs w:val="21"/>
              </w:rPr>
              <w:t>核，2</w:t>
            </w:r>
            <w:r>
              <w:rPr>
                <w:rFonts w:ascii="宋体" w:hAnsi="宋体" w:cs="宋体"/>
                <w:kern w:val="0"/>
                <w:szCs w:val="21"/>
              </w:rPr>
              <w:t>.2</w:t>
            </w:r>
            <w:r>
              <w:rPr>
                <w:rFonts w:hint="eastAsia" w:ascii="宋体" w:hAnsi="宋体" w:cs="宋体"/>
                <w:kern w:val="0"/>
                <w:szCs w:val="21"/>
              </w:rPr>
              <w:t>GHz；</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（7）块存储服务器（4台）</w:t>
            </w:r>
          </w:p>
        </w:tc>
        <w:tc>
          <w:tcPr>
            <w:tcW w:w="1202" w:type="pct"/>
            <w:vAlign w:val="center"/>
          </w:tcPr>
          <w:p>
            <w:pPr>
              <w:autoSpaceDE w:val="0"/>
              <w:autoSpaceDN w:val="0"/>
              <w:adjustRightInd w:val="0"/>
              <w:jc w:val="left"/>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left"/>
              <w:rPr>
                <w:rFonts w:hint="eastAsia" w:ascii="宋体" w:hAnsi="宋体" w:cs="宋体"/>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w:t>
            </w:r>
            <w:r>
              <w:rPr>
                <w:rFonts w:ascii="宋体" w:hAnsi="宋体" w:cs="宋体"/>
                <w:kern w:val="0"/>
                <w:szCs w:val="21"/>
              </w:rPr>
              <w:t>32</w:t>
            </w:r>
            <w:r>
              <w:rPr>
                <w:rFonts w:hint="eastAsia" w:ascii="宋体" w:hAnsi="宋体" w:cs="宋体"/>
                <w:kern w:val="0"/>
                <w:szCs w:val="21"/>
              </w:rPr>
              <w:t>GB DDR5，频率5600MT/s，单条容量</w:t>
            </w:r>
            <w:r>
              <w:rPr>
                <w:rFonts w:ascii="宋体" w:hAnsi="宋体" w:cs="宋体"/>
                <w:kern w:val="0"/>
                <w:szCs w:val="21"/>
              </w:rPr>
              <w:t>32</w:t>
            </w:r>
            <w:r>
              <w:rPr>
                <w:rFonts w:hint="eastAsia" w:ascii="宋体" w:hAnsi="宋体" w:cs="宋体"/>
                <w:kern w:val="0"/>
                <w:szCs w:val="21"/>
              </w:rPr>
              <w:t>GB；</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（8）备份存储服务器（3台）</w:t>
            </w:r>
          </w:p>
        </w:tc>
        <w:tc>
          <w:tcPr>
            <w:tcW w:w="1202" w:type="pc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center"/>
              <w:rPr>
                <w:rFonts w:hint="eastAsia" w:ascii="宋体" w:hAnsi="宋体" w:cs="宋体"/>
              </w:rPr>
            </w:pPr>
            <w:r>
              <w:rPr>
                <w:rFonts w:hint="eastAsia" w:ascii="宋体" w:hAnsi="宋体" w:cs="宋体"/>
                <w:kern w:val="0"/>
                <w:szCs w:val="21"/>
              </w:rPr>
              <w:t>CPU个数≥2颗，CPU型号为英特尔至强金牌</w:t>
            </w:r>
            <w:r>
              <w:rPr>
                <w:rFonts w:ascii="宋体" w:hAnsi="宋体" w:cs="宋体"/>
                <w:kern w:val="0"/>
                <w:szCs w:val="21"/>
              </w:rPr>
              <w:t>4516Y+</w:t>
            </w:r>
            <w:r>
              <w:rPr>
                <w:rFonts w:hint="eastAsia" w:ascii="宋体" w:hAnsi="宋体" w:cs="宋体"/>
                <w:kern w:val="0"/>
                <w:szCs w:val="21"/>
              </w:rPr>
              <w:t>或更高级别，每颗CPU≥</w:t>
            </w:r>
            <w:r>
              <w:rPr>
                <w:rFonts w:ascii="宋体" w:hAnsi="宋体" w:cs="宋体"/>
                <w:kern w:val="0"/>
                <w:szCs w:val="21"/>
              </w:rPr>
              <w:t>24</w:t>
            </w:r>
            <w:r>
              <w:rPr>
                <w:rFonts w:hint="eastAsia" w:ascii="宋体" w:hAnsi="宋体" w:cs="宋体"/>
                <w:kern w:val="0"/>
                <w:szCs w:val="21"/>
              </w:rPr>
              <w:t>核，2</w:t>
            </w:r>
            <w:r>
              <w:rPr>
                <w:rFonts w:ascii="宋体" w:hAnsi="宋体" w:cs="宋体"/>
                <w:kern w:val="0"/>
                <w:szCs w:val="21"/>
              </w:rPr>
              <w:t>.2</w:t>
            </w:r>
            <w:r>
              <w:rPr>
                <w:rFonts w:hint="eastAsia" w:ascii="宋体" w:hAnsi="宋体" w:cs="宋体"/>
                <w:kern w:val="0"/>
                <w:szCs w:val="21"/>
              </w:rPr>
              <w:t>GHz；</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（8）备份存储服务器（3台）</w:t>
            </w:r>
          </w:p>
        </w:tc>
        <w:tc>
          <w:tcPr>
            <w:tcW w:w="1202" w:type="pc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center"/>
              <w:rPr>
                <w:rFonts w:hint="eastAsia" w:ascii="宋体" w:hAnsi="宋体" w:cs="宋体"/>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w:t>
            </w:r>
            <w:r>
              <w:rPr>
                <w:rFonts w:ascii="宋体" w:hAnsi="宋体" w:cs="宋体"/>
                <w:kern w:val="0"/>
                <w:szCs w:val="21"/>
              </w:rPr>
              <w:t>32</w:t>
            </w:r>
            <w:r>
              <w:rPr>
                <w:rFonts w:hint="eastAsia" w:ascii="宋体" w:hAnsi="宋体" w:cs="宋体"/>
                <w:kern w:val="0"/>
                <w:szCs w:val="21"/>
              </w:rPr>
              <w:t>GB DDR5，频率5600MT/s，单条容量</w:t>
            </w:r>
            <w:r>
              <w:rPr>
                <w:rFonts w:ascii="宋体" w:hAnsi="宋体" w:cs="宋体"/>
                <w:kern w:val="0"/>
                <w:szCs w:val="21"/>
              </w:rPr>
              <w:t>32</w:t>
            </w:r>
            <w:r>
              <w:rPr>
                <w:rFonts w:hint="eastAsia" w:ascii="宋体" w:hAnsi="宋体" w:cs="宋体"/>
                <w:kern w:val="0"/>
                <w:szCs w:val="21"/>
              </w:rPr>
              <w:t>GB；</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（9）高性能存储服务器（3台）</w:t>
            </w:r>
          </w:p>
        </w:tc>
        <w:tc>
          <w:tcPr>
            <w:tcW w:w="1202" w:type="pc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处理器</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center"/>
              <w:rPr>
                <w:rFonts w:hint="eastAsia" w:ascii="宋体" w:hAnsi="宋体" w:cs="宋体"/>
              </w:rPr>
            </w:pPr>
            <w:r>
              <w:rPr>
                <w:rFonts w:hint="eastAsia" w:ascii="宋体" w:hAnsi="宋体" w:cs="宋体"/>
                <w:kern w:val="0"/>
                <w:szCs w:val="21"/>
              </w:rPr>
              <w:t>CPU个数≥2颗，CPU型号为英特尔至强金牌</w:t>
            </w:r>
            <w:r>
              <w:rPr>
                <w:rFonts w:ascii="宋体" w:hAnsi="宋体" w:cs="宋体"/>
                <w:kern w:val="0"/>
                <w:szCs w:val="21"/>
              </w:rPr>
              <w:t>4516Y+</w:t>
            </w:r>
            <w:r>
              <w:rPr>
                <w:rFonts w:hint="eastAsia" w:ascii="宋体" w:hAnsi="宋体" w:cs="宋体"/>
                <w:kern w:val="0"/>
                <w:szCs w:val="21"/>
              </w:rPr>
              <w:t>或更高级别，每颗CPU≥</w:t>
            </w:r>
            <w:r>
              <w:rPr>
                <w:rFonts w:ascii="宋体" w:hAnsi="宋体" w:cs="宋体"/>
                <w:kern w:val="0"/>
                <w:szCs w:val="21"/>
              </w:rPr>
              <w:t>24</w:t>
            </w:r>
            <w:r>
              <w:rPr>
                <w:rFonts w:hint="eastAsia" w:ascii="宋体" w:hAnsi="宋体" w:cs="宋体"/>
                <w:kern w:val="0"/>
                <w:szCs w:val="21"/>
              </w:rPr>
              <w:t>核，2</w:t>
            </w:r>
            <w:r>
              <w:rPr>
                <w:rFonts w:ascii="宋体" w:hAnsi="宋体" w:cs="宋体"/>
                <w:kern w:val="0"/>
                <w:szCs w:val="21"/>
              </w:rPr>
              <w:t>.2</w:t>
            </w:r>
            <w:r>
              <w:rPr>
                <w:rFonts w:hint="eastAsia" w:ascii="宋体" w:hAnsi="宋体" w:cs="宋体"/>
                <w:kern w:val="0"/>
                <w:szCs w:val="21"/>
              </w:rPr>
              <w:t>GHz；</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rPr>
              <w:t>（9）高性能存储服务器（3台）</w:t>
            </w:r>
          </w:p>
        </w:tc>
        <w:tc>
          <w:tcPr>
            <w:tcW w:w="1202" w:type="pct"/>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内存</w:t>
            </w:r>
            <w:r>
              <w:rPr>
                <w:rFonts w:hint="eastAsia" w:ascii="宋体" w:hAnsi="宋体" w:cs="宋体"/>
                <w:b/>
                <w:bCs/>
                <w:kern w:val="0"/>
                <w:szCs w:val="21"/>
              </w:rPr>
              <w:t>★</w:t>
            </w:r>
            <w:r>
              <w:rPr>
                <w:rFonts w:hint="eastAsia" w:ascii="宋体" w:hAnsi="宋体" w:cs="宋体"/>
                <w:kern w:val="0"/>
                <w:szCs w:val="21"/>
              </w:rPr>
              <w:t>实际配置</w:t>
            </w:r>
          </w:p>
          <w:p>
            <w:pPr>
              <w:autoSpaceDE w:val="0"/>
              <w:autoSpaceDN w:val="0"/>
              <w:adjustRightInd w:val="0"/>
              <w:jc w:val="center"/>
              <w:rPr>
                <w:rFonts w:hint="eastAsia" w:ascii="宋体" w:hAnsi="宋体" w:cs="宋体"/>
              </w:rPr>
            </w:pPr>
            <w:r>
              <w:rPr>
                <w:rFonts w:hint="eastAsia" w:ascii="宋体" w:hAnsi="宋体" w:cs="宋体"/>
                <w:kern w:val="0"/>
                <w:szCs w:val="21"/>
              </w:rPr>
              <w:t>≥</w:t>
            </w:r>
            <w:r>
              <w:rPr>
                <w:rFonts w:ascii="宋体" w:hAnsi="宋体" w:cs="宋体"/>
                <w:kern w:val="0"/>
                <w:szCs w:val="21"/>
              </w:rPr>
              <w:t>8</w:t>
            </w:r>
            <w:r>
              <w:rPr>
                <w:rFonts w:hint="eastAsia" w:ascii="宋体" w:hAnsi="宋体" w:cs="宋体"/>
                <w:kern w:val="0"/>
                <w:szCs w:val="21"/>
              </w:rPr>
              <w:t>×</w:t>
            </w:r>
            <w:r>
              <w:rPr>
                <w:rFonts w:ascii="宋体" w:hAnsi="宋体" w:cs="宋体"/>
                <w:kern w:val="0"/>
                <w:szCs w:val="21"/>
              </w:rPr>
              <w:t>32</w:t>
            </w:r>
            <w:r>
              <w:rPr>
                <w:rFonts w:hint="eastAsia" w:ascii="宋体" w:hAnsi="宋体" w:cs="宋体"/>
                <w:kern w:val="0"/>
                <w:szCs w:val="21"/>
              </w:rPr>
              <w:t>GB DDR5，频率5600MT/s，单条容量</w:t>
            </w:r>
            <w:r>
              <w:rPr>
                <w:rFonts w:ascii="宋体" w:hAnsi="宋体" w:cs="宋体"/>
                <w:kern w:val="0"/>
                <w:szCs w:val="21"/>
              </w:rPr>
              <w:t>32</w:t>
            </w:r>
            <w:r>
              <w:rPr>
                <w:rFonts w:hint="eastAsia" w:ascii="宋体" w:hAnsi="宋体" w:cs="宋体"/>
                <w:kern w:val="0"/>
                <w:szCs w:val="21"/>
              </w:rPr>
              <w:t>GB；</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szCs w:val="21"/>
              </w:rPr>
              <w:t>1、系统备份和同步服务</w:t>
            </w:r>
          </w:p>
        </w:tc>
        <w:tc>
          <w:tcPr>
            <w:tcW w:w="1202" w:type="pct"/>
            <w:vAlign w:val="center"/>
          </w:tcPr>
          <w:p>
            <w:r>
              <w:rPr>
                <w:rFonts w:hint="eastAsia"/>
              </w:rPr>
              <w:t>容灾一体机规格</w:t>
            </w:r>
          </w:p>
          <w:p>
            <w:r>
              <w:rPr>
                <w:rFonts w:hint="eastAsia" w:ascii="宋体" w:hAnsi="宋体" w:cs="宋体"/>
                <w:color w:val="000000"/>
                <w:sz w:val="22"/>
              </w:rPr>
              <w:t>★</w:t>
            </w:r>
            <w:r>
              <w:t>2U高度，有效裸容量</w:t>
            </w:r>
            <w:r>
              <w:rPr>
                <w:rFonts w:hint="eastAsia"/>
              </w:rPr>
              <w:t>不低于35</w:t>
            </w:r>
            <w:r>
              <w:t>TB</w:t>
            </w:r>
            <w:r>
              <w:rPr>
                <w:rFonts w:hint="eastAsia"/>
              </w:rPr>
              <w:t>，含容量授权，不限制备份客户端数量，支持重复数据删除，支持跨域远程复制；</w:t>
            </w:r>
          </w:p>
          <w:p>
            <w:pPr>
              <w:autoSpaceDE w:val="0"/>
              <w:autoSpaceDN w:val="0"/>
              <w:adjustRightInd w:val="0"/>
              <w:jc w:val="center"/>
              <w:rPr>
                <w:rFonts w:hint="eastAsia" w:ascii="宋体" w:hAnsi="宋体" w:cs="宋体"/>
              </w:rPr>
            </w:pPr>
            <w:r>
              <w:t>硬件实配</w:t>
            </w:r>
            <w:r>
              <w:rPr>
                <w:rFonts w:hint="eastAsia"/>
              </w:rPr>
              <w:t>不低于</w:t>
            </w:r>
            <w:r>
              <w:t>：24core_x86, 128GB内存，2*960GB_SSD，12*4TB_HDD_7.2K，2*10GE，2</w:t>
            </w:r>
            <w:r>
              <w:rPr>
                <w:rFonts w:hint="eastAsia"/>
              </w:rPr>
              <w:t>*</w:t>
            </w:r>
            <w:r>
              <w:t>1GE，冗余电源</w:t>
            </w:r>
            <w:r>
              <w:rPr>
                <w:rFonts w:hint="eastAsia"/>
              </w:rPr>
              <w:t>；</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r>
              <w:rPr>
                <w:rFonts w:hint="eastAsia" w:ascii="宋体" w:hAnsi="宋体" w:cs="宋体"/>
                <w:szCs w:val="21"/>
              </w:rPr>
              <w:t>1、系统备份和同步服务</w:t>
            </w:r>
          </w:p>
        </w:tc>
        <w:tc>
          <w:tcPr>
            <w:tcW w:w="1202" w:type="pct"/>
            <w:vAlign w:val="center"/>
          </w:tcPr>
          <w:p>
            <w:pPr>
              <w:autoSpaceDE w:val="0"/>
              <w:autoSpaceDN w:val="0"/>
              <w:adjustRightInd w:val="0"/>
              <w:jc w:val="center"/>
            </w:pPr>
            <w:r>
              <w:rPr>
                <w:rFonts w:hint="eastAsia"/>
              </w:rPr>
              <w:t>数据源能力</w:t>
            </w:r>
          </w:p>
          <w:p>
            <w:pPr>
              <w:autoSpaceDE w:val="0"/>
              <w:autoSpaceDN w:val="0"/>
              <w:adjustRightInd w:val="0"/>
              <w:jc w:val="center"/>
              <w:rPr>
                <w:rFonts w:hint="eastAsia" w:ascii="宋体" w:hAnsi="宋体" w:cs="宋体"/>
              </w:rPr>
            </w:pPr>
            <w:r>
              <w:t>★支持以下数据库系统的CDM原格式备份与即时恢复，包括且不限于Oracle、MySQL、DB2-AIX/Linux、PostgreSQL、SQL Server、GaussDB、SQLServer、TiDB、GoldenDB、TeleDB、TelePG、VastBase、云和恩墨MogDB、达梦DM、GBase8s、KingbaseES；备份作业必须对接数据库应用原生接口以获得严格的应用一致性，备份数据不采取持续IO传输的CDP方式，以确保生产系统稳定，提供产品功能截图与相关证明材料</w:t>
            </w:r>
            <w:r>
              <w:rPr>
                <w:rFonts w:hint="eastAsia"/>
              </w:rPr>
              <w:t>；</w:t>
            </w: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p>
        </w:tc>
        <w:tc>
          <w:tcPr>
            <w:tcW w:w="1202"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8" w:type="pct"/>
            <w:vAlign w:val="center"/>
          </w:tcPr>
          <w:p>
            <w:pPr>
              <w:autoSpaceDE w:val="0"/>
              <w:autoSpaceDN w:val="0"/>
              <w:adjustRightInd w:val="0"/>
              <w:jc w:val="center"/>
              <w:rPr>
                <w:rFonts w:hint="eastAsia" w:ascii="宋体" w:hAnsi="宋体" w:cs="宋体"/>
              </w:rPr>
            </w:pPr>
          </w:p>
        </w:tc>
        <w:tc>
          <w:tcPr>
            <w:tcW w:w="1202"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558" w:type="pct"/>
            <w:vAlign w:val="center"/>
          </w:tcPr>
          <w:p>
            <w:pPr>
              <w:autoSpaceDE w:val="0"/>
              <w:autoSpaceDN w:val="0"/>
              <w:adjustRightInd w:val="0"/>
              <w:jc w:val="center"/>
              <w:rPr>
                <w:rFonts w:hint="eastAsia" w:ascii="宋体" w:hAnsi="宋体" w:cs="宋体"/>
              </w:rPr>
            </w:pPr>
          </w:p>
        </w:tc>
        <w:tc>
          <w:tcPr>
            <w:tcW w:w="1516" w:type="pct"/>
            <w:vAlign w:val="center"/>
          </w:tcPr>
          <w:p>
            <w:pPr>
              <w:autoSpaceDE w:val="0"/>
              <w:autoSpaceDN w:val="0"/>
              <w:adjustRightInd w:val="0"/>
              <w:jc w:val="center"/>
              <w:rPr>
                <w:rFonts w:hint="eastAsia" w:ascii="宋体" w:hAnsi="宋体" w:cs="宋体"/>
                <w:w w:val="80"/>
              </w:rPr>
            </w:pPr>
          </w:p>
        </w:tc>
        <w:tc>
          <w:tcPr>
            <w:tcW w:w="615" w:type="pct"/>
            <w:vAlign w:val="center"/>
          </w:tcPr>
          <w:p>
            <w:pPr>
              <w:autoSpaceDE w:val="0"/>
              <w:autoSpaceDN w:val="0"/>
              <w:adjustRightInd w:val="0"/>
              <w:jc w:val="center"/>
              <w:rPr>
                <w:rFonts w:hint="eastAsia" w:ascii="宋体" w:hAnsi="宋体" w:cs="宋体"/>
                <w:w w:val="80"/>
              </w:rPr>
            </w:pPr>
          </w:p>
        </w:tc>
      </w:tr>
    </w:tbl>
    <w:p>
      <w:pPr>
        <w:spacing w:line="360" w:lineRule="auto"/>
        <w:rPr>
          <w:rFonts w:hint="eastAsia" w:ascii="宋体" w:hAnsi="宋体" w:cs="宋体"/>
          <w:sz w:val="24"/>
        </w:rPr>
      </w:pPr>
    </w:p>
    <w:p>
      <w:pPr>
        <w:autoSpaceDE w:val="0"/>
        <w:autoSpaceDN w:val="0"/>
        <w:adjustRightInd w:val="0"/>
        <w:jc w:val="left"/>
        <w:rPr>
          <w:rFonts w:hint="eastAsia" w:ascii="宋体" w:hAnsi="宋体" w:cs="宋体"/>
        </w:rPr>
      </w:pPr>
      <w:r>
        <w:rPr>
          <w:rFonts w:hint="eastAsia" w:ascii="宋体" w:hAnsi="宋体" w:cs="宋体"/>
          <w:b/>
        </w:rPr>
        <w:t>[说明]</w:t>
      </w:r>
      <w:r>
        <w:rPr>
          <w:rFonts w:hint="eastAsia" w:ascii="宋体" w:hAnsi="宋体" w:cs="宋体"/>
        </w:rPr>
        <w:t xml:space="preserve"> 投标人需按各自标段中★技术条款逐一对应响应表填写（如有）</w:t>
      </w:r>
    </w:p>
    <w:p>
      <w:pPr>
        <w:autoSpaceDE w:val="0"/>
        <w:autoSpaceDN w:val="0"/>
        <w:adjustRightInd w:val="0"/>
        <w:jc w:val="left"/>
        <w:rPr>
          <w:rFonts w:hint="eastAsia" w:ascii="宋体" w:hAnsi="宋体" w:cs="宋体"/>
        </w:rPr>
      </w:pPr>
      <w:r>
        <w:rPr>
          <w:rFonts w:hint="eastAsia" w:ascii="宋体" w:hAnsi="宋体" w:cs="宋体"/>
        </w:rPr>
        <w:t>投标人必须逐项对★技术条款的偏离情况如实填写</w:t>
      </w:r>
      <w:r>
        <w:rPr>
          <w:rFonts w:hint="eastAsia" w:ascii="宋体" w:hAnsi="宋体" w:cs="宋体"/>
          <w:kern w:val="1"/>
        </w:rPr>
        <w:t>，并在本表的“偏离情况”栏中注明“正偏离”或“负偏离”或“无偏离”。</w:t>
      </w:r>
      <w:r>
        <w:rPr>
          <w:rFonts w:hint="eastAsia" w:ascii="宋体" w:hAnsi="宋体" w:cs="宋体"/>
        </w:rPr>
        <w:t>如有差异的在“差异描述”栏中详细描述差异情况。</w:t>
      </w:r>
    </w:p>
    <w:p>
      <w:pPr>
        <w:autoSpaceDE w:val="0"/>
        <w:autoSpaceDN w:val="0"/>
        <w:adjustRightInd w:val="0"/>
        <w:jc w:val="left"/>
        <w:rPr>
          <w:rFonts w:hint="eastAsia" w:ascii="宋体" w:hAnsi="宋体" w:cs="宋体"/>
        </w:rPr>
      </w:pPr>
      <w:r>
        <w:rPr>
          <w:rFonts w:hint="eastAsia" w:ascii="宋体" w:hAnsi="宋体" w:cs="宋体"/>
          <w:szCs w:val="21"/>
          <w:lang w:val="zh-CN"/>
        </w:rPr>
        <w:t>★</w:t>
      </w:r>
      <w:r>
        <w:rPr>
          <w:rFonts w:hint="eastAsia" w:ascii="宋体" w:hAnsi="宋体" w:cs="宋体"/>
          <w:szCs w:val="21"/>
        </w:rPr>
        <w:t>需提供证明材料的，投标人应按招标附上证明材料并在投标文件明确页码。</w:t>
      </w:r>
    </w:p>
    <w:p>
      <w:pPr>
        <w:spacing w:line="360" w:lineRule="auto"/>
        <w:jc w:val="left"/>
        <w:rPr>
          <w:rFonts w:hint="eastAsia" w:ascii="宋体" w:hAnsi="宋体" w:cs="宋体"/>
          <w:sz w:val="24"/>
        </w:rPr>
      </w:pPr>
    </w:p>
    <w:p>
      <w:pPr>
        <w:spacing w:line="480" w:lineRule="auto"/>
        <w:ind w:firstLine="3990" w:firstLineChars="1900"/>
        <w:rPr>
          <w:rFonts w:hint="eastAsia" w:ascii="宋体" w:hAnsi="宋体" w:cs="宋体"/>
          <w:szCs w:val="22"/>
        </w:rPr>
      </w:pPr>
      <w:r>
        <w:rPr>
          <w:rFonts w:hint="eastAsia" w:ascii="宋体" w:hAnsi="宋体" w:cs="宋体"/>
          <w:szCs w:val="22"/>
        </w:rPr>
        <w:t>投标人名称:（盖章）</w:t>
      </w:r>
    </w:p>
    <w:p>
      <w:pPr>
        <w:spacing w:line="480" w:lineRule="auto"/>
        <w:ind w:firstLine="3990" w:firstLineChars="1900"/>
        <w:rPr>
          <w:rFonts w:hint="eastAsia" w:ascii="宋体" w:hAnsi="宋体" w:cs="宋体"/>
          <w:szCs w:val="22"/>
        </w:rPr>
      </w:pPr>
      <w:r>
        <w:rPr>
          <w:rFonts w:hint="eastAsia" w:ascii="宋体" w:hAnsi="宋体" w:cs="宋体"/>
          <w:szCs w:val="22"/>
        </w:rPr>
        <w:t>日期：    年   月   日</w:t>
      </w:r>
    </w:p>
    <w:p>
      <w:pPr>
        <w:tabs>
          <w:tab w:val="left" w:pos="676"/>
          <w:tab w:val="left" w:pos="2330"/>
          <w:tab w:val="left" w:pos="9230"/>
        </w:tabs>
        <w:autoSpaceDE w:val="0"/>
        <w:autoSpaceDN w:val="0"/>
        <w:adjustRightInd w:val="0"/>
        <w:jc w:val="center"/>
        <w:rPr>
          <w:rFonts w:hint="eastAsia" w:ascii="宋体" w:hAnsi="宋体" w:cs="宋体"/>
        </w:rPr>
      </w:pPr>
    </w:p>
    <w:p>
      <w:pPr>
        <w:tabs>
          <w:tab w:val="left" w:pos="676"/>
          <w:tab w:val="left" w:pos="2330"/>
          <w:tab w:val="left" w:pos="9230"/>
        </w:tabs>
        <w:autoSpaceDE w:val="0"/>
        <w:autoSpaceDN w:val="0"/>
        <w:adjustRightInd w:val="0"/>
        <w:rPr>
          <w:rFonts w:hint="eastAsia" w:ascii="宋体" w:hAnsi="宋体" w:cs="宋体"/>
          <w:b/>
          <w:sz w:val="24"/>
        </w:rPr>
      </w:pPr>
      <w:r>
        <w:rPr>
          <w:rFonts w:hint="eastAsia" w:ascii="宋体" w:hAnsi="宋体" w:cs="宋体"/>
          <w:b/>
          <w:sz w:val="24"/>
        </w:rPr>
        <w:br w:type="page"/>
      </w:r>
      <w:r>
        <w:rPr>
          <w:rFonts w:hint="eastAsia" w:ascii="宋体" w:hAnsi="宋体" w:cs="宋体"/>
          <w:b/>
          <w:sz w:val="24"/>
        </w:rPr>
        <w:t>格式6.2</w:t>
      </w:r>
    </w:p>
    <w:p>
      <w:pPr>
        <w:spacing w:line="360" w:lineRule="auto"/>
        <w:ind w:firstLine="425"/>
        <w:jc w:val="center"/>
        <w:rPr>
          <w:rFonts w:hint="eastAsia" w:ascii="宋体" w:hAnsi="宋体" w:cs="宋体"/>
        </w:rPr>
      </w:pPr>
      <w:r>
        <w:rPr>
          <w:rFonts w:hint="eastAsia" w:ascii="宋体" w:hAnsi="宋体" w:cs="宋体"/>
          <w:b/>
          <w:sz w:val="28"/>
          <w:szCs w:val="28"/>
        </w:rPr>
        <w:t>总体技术方案设计</w:t>
      </w:r>
    </w:p>
    <w:p>
      <w:pPr>
        <w:spacing w:line="360" w:lineRule="auto"/>
        <w:ind w:firstLine="425"/>
        <w:rPr>
          <w:rFonts w:hint="eastAsia" w:ascii="宋体" w:hAnsi="宋体" w:cs="宋体"/>
        </w:rPr>
      </w:pPr>
      <w:r>
        <w:rPr>
          <w:rFonts w:hint="eastAsia" w:ascii="宋体" w:hAnsi="宋体" w:cs="宋体"/>
        </w:rPr>
        <w:t>投标人应根据招标文件《用户需求书》及评审内容填写。</w:t>
      </w:r>
    </w:p>
    <w:p>
      <w:pPr>
        <w:adjustRightInd w:val="0"/>
        <w:snapToGrid w:val="0"/>
        <w:spacing w:line="360" w:lineRule="auto"/>
        <w:ind w:left="420" w:leftChars="200"/>
        <w:rPr>
          <w:rFonts w:hint="eastAsia" w:ascii="宋体" w:hAnsi="宋体" w:cs="宋体"/>
        </w:rPr>
      </w:pPr>
    </w:p>
    <w:p>
      <w:pPr>
        <w:spacing w:line="360" w:lineRule="auto"/>
        <w:jc w:val="center"/>
        <w:rPr>
          <w:rFonts w:hint="eastAsia" w:ascii="宋体" w:hAnsi="宋体" w:cs="宋体"/>
          <w:b/>
          <w:sz w:val="28"/>
          <w:szCs w:val="28"/>
        </w:rPr>
      </w:pPr>
    </w:p>
    <w:p>
      <w:pPr>
        <w:spacing w:line="360" w:lineRule="auto"/>
        <w:jc w:val="center"/>
        <w:rPr>
          <w:rFonts w:hint="eastAsia" w:ascii="宋体" w:hAnsi="宋体" w:cs="宋体"/>
          <w:b/>
          <w:sz w:val="28"/>
          <w:szCs w:val="28"/>
        </w:rPr>
      </w:pPr>
    </w:p>
    <w:p>
      <w:pPr>
        <w:tabs>
          <w:tab w:val="left" w:pos="676"/>
          <w:tab w:val="left" w:pos="2330"/>
          <w:tab w:val="left" w:pos="9230"/>
        </w:tabs>
        <w:autoSpaceDE w:val="0"/>
        <w:autoSpaceDN w:val="0"/>
        <w:adjustRightInd w:val="0"/>
        <w:ind w:firstLine="3045" w:firstLineChars="1450"/>
        <w:rPr>
          <w:rFonts w:hint="eastAsia" w:ascii="宋体" w:hAnsi="宋体" w:cs="宋体"/>
        </w:rPr>
        <w:sectPr>
          <w:headerReference r:id="rId10" w:type="default"/>
          <w:footerReference r:id="rId11" w:type="default"/>
          <w:pgSz w:w="11907" w:h="16840"/>
          <w:pgMar w:top="1418" w:right="1701" w:bottom="1418" w:left="1701" w:header="737" w:footer="737" w:gutter="0"/>
          <w:cols w:space="720" w:num="1"/>
          <w:docGrid w:linePitch="286" w:charSpace="0"/>
        </w:sectPr>
      </w:pPr>
    </w:p>
    <w:p>
      <w:pPr>
        <w:ind w:firstLine="420"/>
        <w:rPr>
          <w:rFonts w:hint="eastAsia" w:ascii="宋体" w:hAnsi="宋体" w:cs="宋体"/>
        </w:rPr>
      </w:pPr>
    </w:p>
    <w:p>
      <w:pPr>
        <w:spacing w:line="360" w:lineRule="auto"/>
        <w:ind w:left="631" w:hanging="631" w:hangingChars="262"/>
        <w:rPr>
          <w:rFonts w:hint="eastAsia" w:ascii="宋体" w:hAnsi="宋体" w:cs="宋体"/>
          <w:b/>
          <w:sz w:val="24"/>
        </w:rPr>
      </w:pPr>
      <w:r>
        <w:rPr>
          <w:rFonts w:hint="eastAsia" w:ascii="宋体" w:hAnsi="宋体" w:cs="宋体"/>
          <w:b/>
          <w:sz w:val="24"/>
        </w:rPr>
        <w:t>格式6.3</w:t>
      </w:r>
    </w:p>
    <w:p>
      <w:pPr>
        <w:spacing w:line="360" w:lineRule="auto"/>
        <w:ind w:left="631" w:hanging="631" w:hangingChars="262"/>
        <w:jc w:val="center"/>
        <w:rPr>
          <w:rFonts w:hint="eastAsia" w:ascii="宋体" w:hAnsi="宋体" w:cs="宋体"/>
          <w:b/>
          <w:sz w:val="24"/>
        </w:rPr>
      </w:pPr>
      <w:r>
        <w:rPr>
          <w:rFonts w:hint="eastAsia" w:ascii="宋体" w:hAnsi="宋体" w:cs="宋体"/>
          <w:b/>
          <w:sz w:val="24"/>
        </w:rPr>
        <w:t>项目实施方案</w:t>
      </w:r>
    </w:p>
    <w:p>
      <w:pPr>
        <w:spacing w:line="360" w:lineRule="auto"/>
        <w:ind w:left="315" w:hanging="315" w:hangingChars="150"/>
        <w:rPr>
          <w:rFonts w:hint="eastAsia" w:ascii="宋体" w:hAnsi="宋体" w:cs="宋体"/>
        </w:rPr>
      </w:pPr>
      <w:r>
        <w:rPr>
          <w:rFonts w:hint="eastAsia" w:ascii="宋体" w:hAnsi="宋体" w:cs="宋体"/>
        </w:rPr>
        <w:t xml:space="preserve">    </w:t>
      </w:r>
    </w:p>
    <w:p>
      <w:pPr>
        <w:spacing w:line="360" w:lineRule="auto"/>
        <w:ind w:firstLine="425"/>
        <w:rPr>
          <w:rFonts w:hint="eastAsia" w:ascii="宋体" w:hAnsi="宋体" w:cs="宋体"/>
        </w:rPr>
      </w:pPr>
      <w:r>
        <w:rPr>
          <w:rFonts w:hint="eastAsia" w:ascii="宋体" w:hAnsi="宋体" w:cs="宋体"/>
        </w:rPr>
        <w:t>投标人应根据招标文件《用户需求书》及评审内容填写。</w:t>
      </w:r>
    </w:p>
    <w:p>
      <w:pPr>
        <w:spacing w:line="360" w:lineRule="auto"/>
        <w:rPr>
          <w:rFonts w:hint="eastAsia" w:ascii="宋体" w:hAnsi="宋体" w:cs="宋体"/>
          <w:b/>
          <w:sz w:val="24"/>
        </w:rPr>
      </w:pPr>
    </w:p>
    <w:p>
      <w:pPr>
        <w:spacing w:line="360" w:lineRule="auto"/>
        <w:jc w:val="left"/>
        <w:rPr>
          <w:rFonts w:hint="eastAsia" w:ascii="宋体" w:hAnsi="宋体" w:cs="宋体"/>
          <w:b/>
          <w:sz w:val="24"/>
        </w:rPr>
      </w:pPr>
      <w:r>
        <w:rPr>
          <w:rFonts w:hint="eastAsia" w:ascii="宋体" w:hAnsi="宋体" w:cs="宋体"/>
          <w:b/>
          <w:sz w:val="24"/>
        </w:rPr>
        <w:br w:type="page"/>
      </w:r>
      <w:r>
        <w:rPr>
          <w:rFonts w:hint="eastAsia" w:ascii="宋体" w:hAnsi="宋体" w:cs="宋体"/>
          <w:b/>
          <w:sz w:val="24"/>
        </w:rPr>
        <w:t>格式6.4</w:t>
      </w:r>
    </w:p>
    <w:p>
      <w:pPr>
        <w:spacing w:line="360" w:lineRule="auto"/>
        <w:jc w:val="center"/>
        <w:rPr>
          <w:rFonts w:hint="eastAsia" w:ascii="宋体" w:hAnsi="宋体" w:cs="宋体"/>
          <w:b/>
          <w:sz w:val="28"/>
        </w:rPr>
      </w:pPr>
    </w:p>
    <w:p>
      <w:pPr>
        <w:spacing w:line="360" w:lineRule="auto"/>
        <w:ind w:left="631" w:hanging="631" w:hangingChars="262"/>
        <w:jc w:val="center"/>
        <w:rPr>
          <w:rFonts w:hint="eastAsia" w:ascii="宋体" w:hAnsi="宋体" w:cs="宋体"/>
          <w:b/>
          <w:sz w:val="24"/>
        </w:rPr>
      </w:pPr>
      <w:r>
        <w:rPr>
          <w:rFonts w:hint="eastAsia" w:ascii="宋体" w:hAnsi="宋体" w:cs="宋体"/>
          <w:b/>
          <w:sz w:val="24"/>
        </w:rPr>
        <w:t>设备配置方案</w:t>
      </w:r>
    </w:p>
    <w:p>
      <w:pPr>
        <w:spacing w:line="360" w:lineRule="auto"/>
        <w:ind w:firstLine="425"/>
        <w:rPr>
          <w:rFonts w:hint="eastAsia" w:ascii="宋体" w:hAnsi="宋体" w:cs="宋体"/>
        </w:rPr>
      </w:pPr>
      <w:r>
        <w:rPr>
          <w:rFonts w:hint="eastAsia" w:ascii="宋体" w:hAnsi="宋体" w:cs="宋体"/>
        </w:rPr>
        <w:t>投标人应根据招标文件《用户需求书》及评审内容填写。</w:t>
      </w:r>
    </w:p>
    <w:p>
      <w:pPr>
        <w:spacing w:line="360" w:lineRule="auto"/>
        <w:jc w:val="center"/>
        <w:rPr>
          <w:rFonts w:hint="eastAsia" w:ascii="宋体" w:hAnsi="宋体" w:cs="宋体"/>
          <w:b/>
          <w:sz w:val="28"/>
        </w:rPr>
      </w:pPr>
    </w:p>
    <w:p>
      <w:pPr>
        <w:spacing w:line="360" w:lineRule="auto"/>
        <w:jc w:val="left"/>
        <w:rPr>
          <w:rFonts w:hint="eastAsia" w:ascii="宋体" w:hAnsi="宋体" w:cs="宋体"/>
          <w:b/>
          <w:sz w:val="24"/>
        </w:rPr>
      </w:pPr>
      <w:r>
        <w:rPr>
          <w:rFonts w:hint="eastAsia" w:ascii="宋体" w:hAnsi="宋体" w:cs="宋体"/>
          <w:b/>
          <w:sz w:val="28"/>
        </w:rPr>
        <w:br w:type="page"/>
      </w:r>
      <w:r>
        <w:rPr>
          <w:rFonts w:hint="eastAsia" w:ascii="宋体" w:hAnsi="宋体" w:cs="宋体"/>
          <w:b/>
          <w:sz w:val="24"/>
        </w:rPr>
        <w:t>格式6.5</w:t>
      </w:r>
    </w:p>
    <w:p>
      <w:pPr>
        <w:spacing w:line="360" w:lineRule="auto"/>
        <w:jc w:val="center"/>
        <w:rPr>
          <w:rFonts w:hint="eastAsia" w:ascii="宋体" w:hAnsi="宋体" w:cs="宋体"/>
          <w:b/>
          <w:sz w:val="28"/>
        </w:rPr>
      </w:pPr>
    </w:p>
    <w:p>
      <w:pPr>
        <w:spacing w:line="360" w:lineRule="auto"/>
        <w:ind w:left="631" w:hanging="631" w:hangingChars="262"/>
        <w:jc w:val="center"/>
        <w:rPr>
          <w:rFonts w:hint="eastAsia" w:ascii="宋体" w:hAnsi="宋体" w:cs="宋体"/>
          <w:b/>
          <w:sz w:val="24"/>
        </w:rPr>
      </w:pPr>
      <w:r>
        <w:rPr>
          <w:rFonts w:hint="eastAsia" w:ascii="宋体" w:hAnsi="宋体" w:cs="宋体"/>
          <w:b/>
          <w:sz w:val="24"/>
        </w:rPr>
        <w:t>售后服务方案</w:t>
      </w:r>
    </w:p>
    <w:p>
      <w:pPr>
        <w:spacing w:line="360" w:lineRule="auto"/>
        <w:jc w:val="center"/>
        <w:rPr>
          <w:rFonts w:hint="eastAsia" w:ascii="宋体" w:hAnsi="宋体" w:cs="宋体"/>
        </w:rPr>
      </w:pPr>
      <w:r>
        <w:rPr>
          <w:rFonts w:hint="eastAsia" w:ascii="宋体" w:hAnsi="宋体" w:cs="宋体"/>
        </w:rPr>
        <w:t>投标人应根据招标文件《用户需求书》及评审内容填写。</w:t>
      </w:r>
    </w:p>
    <w:p>
      <w:pPr>
        <w:spacing w:line="360" w:lineRule="auto"/>
        <w:jc w:val="left"/>
        <w:rPr>
          <w:rFonts w:hint="eastAsia" w:ascii="宋体" w:hAnsi="宋体" w:cs="宋体"/>
          <w:b/>
          <w:sz w:val="24"/>
        </w:rPr>
      </w:pPr>
      <w:r>
        <w:rPr>
          <w:rFonts w:hint="eastAsia" w:ascii="宋体" w:hAnsi="宋体" w:cs="宋体"/>
        </w:rPr>
        <w:br w:type="page"/>
      </w:r>
      <w:r>
        <w:rPr>
          <w:rFonts w:hint="eastAsia" w:ascii="宋体" w:hAnsi="宋体" w:cs="宋体"/>
          <w:b/>
          <w:sz w:val="24"/>
        </w:rPr>
        <w:t>格式6.6</w:t>
      </w:r>
    </w:p>
    <w:p>
      <w:pPr>
        <w:spacing w:line="360" w:lineRule="auto"/>
        <w:jc w:val="center"/>
        <w:rPr>
          <w:rFonts w:hint="eastAsia" w:ascii="宋体" w:hAnsi="宋体" w:cs="宋体"/>
          <w:b/>
          <w:sz w:val="28"/>
        </w:rPr>
      </w:pPr>
    </w:p>
    <w:p>
      <w:pPr>
        <w:spacing w:line="360" w:lineRule="auto"/>
        <w:ind w:left="631" w:hanging="631" w:hangingChars="262"/>
        <w:jc w:val="center"/>
        <w:rPr>
          <w:rFonts w:hint="eastAsia" w:ascii="宋体" w:hAnsi="宋体" w:cs="宋体"/>
          <w:b/>
          <w:sz w:val="24"/>
        </w:rPr>
      </w:pPr>
      <w:r>
        <w:rPr>
          <w:rFonts w:hint="eastAsia" w:ascii="宋体" w:hAnsi="宋体" w:cs="宋体"/>
          <w:b/>
          <w:sz w:val="24"/>
        </w:rPr>
        <w:t>培训方案</w:t>
      </w:r>
    </w:p>
    <w:p>
      <w:pPr>
        <w:spacing w:line="360" w:lineRule="auto"/>
        <w:jc w:val="center"/>
        <w:rPr>
          <w:rFonts w:hint="eastAsia" w:ascii="宋体" w:hAnsi="宋体" w:cs="宋体"/>
          <w:b/>
          <w:sz w:val="28"/>
        </w:rPr>
      </w:pPr>
      <w:r>
        <w:rPr>
          <w:rFonts w:hint="eastAsia" w:ascii="宋体" w:hAnsi="宋体" w:cs="宋体"/>
        </w:rPr>
        <w:t>投标人应根据招标文件《用户需求书》及评审内容填写。</w:t>
      </w:r>
      <w:r>
        <w:rPr>
          <w:rFonts w:hint="eastAsia" w:ascii="宋体" w:hAnsi="宋体" w:cs="宋体"/>
          <w:b/>
          <w:sz w:val="28"/>
        </w:rPr>
        <w:br w:type="page"/>
      </w:r>
    </w:p>
    <w:p>
      <w:pPr>
        <w:spacing w:line="360" w:lineRule="auto"/>
        <w:jc w:val="left"/>
        <w:rPr>
          <w:rFonts w:hint="eastAsia" w:ascii="宋体" w:hAnsi="宋体" w:cs="宋体"/>
          <w:b/>
          <w:sz w:val="24"/>
        </w:rPr>
      </w:pPr>
      <w:r>
        <w:rPr>
          <w:rFonts w:hint="eastAsia" w:ascii="宋体" w:hAnsi="宋体" w:cs="宋体"/>
          <w:b/>
          <w:sz w:val="24"/>
        </w:rPr>
        <w:t>格式6.7</w:t>
      </w:r>
    </w:p>
    <w:p>
      <w:pPr>
        <w:pStyle w:val="20"/>
        <w:rPr>
          <w:rFonts w:hint="eastAsia" w:ascii="宋体" w:hAnsi="宋体" w:cs="宋体"/>
        </w:rPr>
      </w:pPr>
    </w:p>
    <w:p>
      <w:pPr>
        <w:spacing w:line="360" w:lineRule="auto"/>
        <w:jc w:val="center"/>
        <w:rPr>
          <w:rFonts w:hint="eastAsia" w:ascii="宋体" w:hAnsi="宋体" w:cs="宋体"/>
          <w:b/>
          <w:sz w:val="28"/>
        </w:rPr>
      </w:pPr>
      <w:r>
        <w:rPr>
          <w:rFonts w:hint="eastAsia" w:ascii="宋体" w:hAnsi="宋体" w:cs="宋体"/>
          <w:b/>
          <w:sz w:val="28"/>
        </w:rPr>
        <w:t>技术标评分细则需要提供的资料（如有）</w:t>
      </w:r>
    </w:p>
    <w:p>
      <w:pPr>
        <w:spacing w:line="360" w:lineRule="auto"/>
        <w:jc w:val="center"/>
        <w:rPr>
          <w:rFonts w:hint="eastAsia" w:ascii="宋体" w:hAnsi="宋体" w:cs="宋体"/>
          <w:b/>
          <w:sz w:val="28"/>
        </w:rPr>
      </w:pPr>
      <w:r>
        <w:rPr>
          <w:rFonts w:hint="eastAsia" w:ascii="宋体" w:hAnsi="宋体" w:cs="宋体"/>
          <w:b/>
          <w:sz w:val="28"/>
        </w:rPr>
        <w:br w:type="page"/>
      </w:r>
    </w:p>
    <w:p>
      <w:pPr>
        <w:spacing w:line="360" w:lineRule="auto"/>
        <w:jc w:val="left"/>
        <w:rPr>
          <w:rFonts w:hint="eastAsia" w:ascii="宋体" w:hAnsi="宋体" w:cs="宋体"/>
          <w:b/>
          <w:sz w:val="28"/>
        </w:rPr>
      </w:pPr>
      <w:r>
        <w:rPr>
          <w:rFonts w:hint="eastAsia" w:ascii="宋体" w:hAnsi="宋体" w:cs="宋体"/>
          <w:b/>
          <w:sz w:val="24"/>
        </w:rPr>
        <w:t>格式6.8</w:t>
      </w:r>
    </w:p>
    <w:p>
      <w:pPr>
        <w:spacing w:line="360" w:lineRule="auto"/>
        <w:jc w:val="center"/>
        <w:rPr>
          <w:rFonts w:hint="eastAsia" w:ascii="宋体" w:hAnsi="宋体" w:cs="宋体"/>
          <w:b/>
          <w:sz w:val="28"/>
        </w:rPr>
      </w:pPr>
      <w:r>
        <w:rPr>
          <w:rFonts w:hint="eastAsia" w:ascii="宋体" w:hAnsi="宋体" w:cs="宋体"/>
          <w:b/>
          <w:sz w:val="28"/>
        </w:rPr>
        <w:t>招标人配合内容（如有）</w:t>
      </w:r>
    </w:p>
    <w:p>
      <w:pPr>
        <w:jc w:val="center"/>
        <w:rPr>
          <w:rFonts w:hint="eastAsia" w:ascii="宋体" w:hAnsi="宋体" w:cs="宋体"/>
        </w:rPr>
      </w:pPr>
    </w:p>
    <w:p>
      <w:pPr>
        <w:spacing w:line="360" w:lineRule="auto"/>
        <w:rPr>
          <w:rFonts w:hint="eastAsia" w:ascii="宋体" w:hAnsi="宋体" w:cs="宋体"/>
        </w:rPr>
      </w:pPr>
      <w:r>
        <w:rPr>
          <w:rFonts w:hint="eastAsia" w:ascii="宋体" w:hAnsi="宋体" w:cs="宋体"/>
        </w:rPr>
        <w:t xml:space="preserve">  请投标人详细描述中标合同执行阶段需招标人配合的工作内容。</w:t>
      </w:r>
    </w:p>
    <w:p>
      <w:pPr>
        <w:spacing w:line="360" w:lineRule="auto"/>
        <w:rPr>
          <w:rFonts w:hint="eastAsia" w:ascii="宋体" w:hAnsi="宋体" w:cs="宋体"/>
        </w:rPr>
      </w:pPr>
    </w:p>
    <w:p>
      <w:pPr>
        <w:spacing w:line="360" w:lineRule="auto"/>
        <w:rPr>
          <w:rFonts w:hint="eastAsia" w:ascii="宋体" w:hAnsi="宋体" w:cs="宋体"/>
        </w:rPr>
      </w:pPr>
      <w:r>
        <w:rPr>
          <w:rFonts w:hint="eastAsia" w:ascii="宋体" w:hAnsi="宋体" w:cs="宋体"/>
          <w:b/>
          <w:sz w:val="24"/>
        </w:rPr>
        <w:t>格式6.9</w:t>
      </w:r>
    </w:p>
    <w:p>
      <w:pPr>
        <w:spacing w:line="360" w:lineRule="auto"/>
        <w:jc w:val="center"/>
        <w:rPr>
          <w:rFonts w:hint="eastAsia" w:ascii="宋体" w:hAnsi="宋体" w:cs="宋体"/>
          <w:b/>
          <w:sz w:val="28"/>
        </w:rPr>
      </w:pPr>
      <w:r>
        <w:rPr>
          <w:rFonts w:hint="eastAsia" w:ascii="宋体" w:hAnsi="宋体" w:cs="宋体"/>
          <w:b/>
          <w:sz w:val="28"/>
        </w:rPr>
        <w:t>投标人认为有必要提供的其他文件（如有）</w:t>
      </w:r>
    </w:p>
    <w:p>
      <w:pPr>
        <w:pStyle w:val="26"/>
        <w:rPr>
          <w:rFonts w:hint="eastAsia" w:hAnsi="宋体" w:cs="宋体"/>
        </w:rPr>
      </w:pPr>
    </w:p>
    <w:p>
      <w:pPr>
        <w:spacing w:line="360" w:lineRule="auto"/>
        <w:rPr>
          <w:rFonts w:hint="eastAsia" w:ascii="宋体" w:hAnsi="宋体" w:cs="宋体"/>
        </w:rPr>
      </w:pPr>
    </w:p>
    <w:p>
      <w:pPr>
        <w:tabs>
          <w:tab w:val="left" w:pos="2600"/>
        </w:tabs>
        <w:spacing w:line="300" w:lineRule="exact"/>
        <w:rPr>
          <w:rFonts w:hint="eastAsia" w:ascii="宋体" w:hAnsi="宋体" w:cs="宋体"/>
          <w:b/>
          <w:sz w:val="24"/>
        </w:rPr>
      </w:pPr>
    </w:p>
    <w:p>
      <w:pPr>
        <w:pStyle w:val="26"/>
        <w:spacing w:line="360" w:lineRule="auto"/>
        <w:ind w:left="4700" w:leftChars="2238"/>
        <w:rPr>
          <w:rFonts w:hint="eastAsia" w:hAnsi="宋体" w:cs="宋体"/>
        </w:rPr>
      </w:pPr>
    </w:p>
    <w:p>
      <w:pPr>
        <w:pStyle w:val="4"/>
        <w:rPr>
          <w:rFonts w:hint="eastAsia" w:ascii="宋体" w:hAnsi="宋体" w:cs="宋体"/>
        </w:rPr>
        <w:sectPr>
          <w:pgSz w:w="11907" w:h="16840"/>
          <w:pgMar w:top="1418" w:right="1701" w:bottom="1418" w:left="1701" w:header="851" w:footer="851" w:gutter="0"/>
          <w:cols w:space="720" w:num="1"/>
          <w:docGrid w:linePitch="285" w:charSpace="0"/>
        </w:sectPr>
      </w:pPr>
    </w:p>
    <w:p>
      <w:pPr>
        <w:spacing w:line="360" w:lineRule="auto"/>
        <w:rPr>
          <w:rFonts w:hint="eastAsia" w:ascii="宋体" w:hAnsi="宋体" w:cs="宋体"/>
          <w:b/>
          <w:sz w:val="30"/>
        </w:rPr>
      </w:pPr>
    </w:p>
    <w:p>
      <w:pPr>
        <w:pStyle w:val="3"/>
        <w:numPr>
          <w:ilvl w:val="0"/>
          <w:numId w:val="0"/>
        </w:numPr>
        <w:ind w:left="422"/>
        <w:rPr>
          <w:rFonts w:hint="eastAsia" w:hAnsi="宋体" w:cs="宋体"/>
        </w:rPr>
      </w:pPr>
      <w:bookmarkStart w:id="117" w:name="_Toc476177994"/>
      <w:bookmarkStart w:id="118" w:name="_Toc455417786"/>
      <w:bookmarkStart w:id="119" w:name="_Toc496161878"/>
      <w:bookmarkStart w:id="120" w:name="_Toc118018368"/>
      <w:bookmarkStart w:id="121" w:name="_Toc477185972"/>
      <w:bookmarkStart w:id="122" w:name="_Toc476177435"/>
      <w:bookmarkStart w:id="123" w:name="_Toc477186333"/>
      <w:r>
        <w:rPr>
          <w:rFonts w:hint="eastAsia" w:hAnsi="宋体" w:cs="宋体"/>
        </w:rPr>
        <w:t>七、其他资料格式</w:t>
      </w:r>
      <w:bookmarkEnd w:id="117"/>
      <w:bookmarkEnd w:id="118"/>
      <w:bookmarkEnd w:id="119"/>
      <w:bookmarkEnd w:id="120"/>
      <w:bookmarkEnd w:id="121"/>
      <w:bookmarkEnd w:id="122"/>
      <w:bookmarkEnd w:id="123"/>
    </w:p>
    <w:p>
      <w:pPr>
        <w:tabs>
          <w:tab w:val="left" w:pos="824"/>
        </w:tabs>
        <w:spacing w:line="360" w:lineRule="auto"/>
        <w:ind w:firstLine="210" w:firstLineChars="100"/>
        <w:rPr>
          <w:rFonts w:hint="eastAsia" w:ascii="宋体" w:hAnsi="宋体" w:cs="宋体"/>
        </w:rPr>
      </w:pPr>
      <w:r>
        <w:rPr>
          <w:rFonts w:hint="eastAsia" w:ascii="宋体" w:hAnsi="宋体" w:cs="宋体"/>
        </w:rPr>
        <w:t>7.1  招标服务费承诺书</w:t>
      </w:r>
    </w:p>
    <w:p>
      <w:pPr>
        <w:tabs>
          <w:tab w:val="left" w:pos="824"/>
        </w:tabs>
        <w:spacing w:line="360" w:lineRule="auto"/>
        <w:ind w:firstLine="210" w:firstLineChars="100"/>
        <w:rPr>
          <w:rFonts w:hint="eastAsia" w:ascii="宋体" w:hAnsi="宋体" w:cs="宋体"/>
        </w:rPr>
      </w:pPr>
      <w:r>
        <w:rPr>
          <w:rFonts w:hint="eastAsia" w:ascii="宋体" w:hAnsi="宋体" w:cs="宋体"/>
        </w:rPr>
        <w:t>7.2  退保证金说明</w:t>
      </w:r>
    </w:p>
    <w:p>
      <w:pPr>
        <w:tabs>
          <w:tab w:val="left" w:pos="824"/>
        </w:tabs>
        <w:spacing w:line="360" w:lineRule="auto"/>
        <w:ind w:firstLine="210" w:firstLineChars="100"/>
        <w:rPr>
          <w:rFonts w:hint="eastAsia" w:ascii="宋体" w:hAnsi="宋体" w:cs="宋体"/>
        </w:rPr>
      </w:pPr>
    </w:p>
    <w:p>
      <w:pPr>
        <w:tabs>
          <w:tab w:val="left" w:pos="824"/>
        </w:tabs>
        <w:spacing w:line="360" w:lineRule="auto"/>
        <w:ind w:firstLine="210" w:firstLineChars="100"/>
        <w:rPr>
          <w:rFonts w:hint="eastAsia" w:ascii="宋体" w:hAnsi="宋体" w:cs="宋体"/>
        </w:rPr>
      </w:pPr>
    </w:p>
    <w:p>
      <w:pPr>
        <w:rPr>
          <w:rFonts w:hint="eastAsia" w:ascii="宋体" w:hAnsi="宋体" w:cs="宋体"/>
          <w:b/>
          <w:sz w:val="24"/>
        </w:rPr>
      </w:pPr>
      <w:r>
        <w:rPr>
          <w:rFonts w:hint="eastAsia" w:ascii="宋体" w:hAnsi="宋体" w:cs="宋体"/>
        </w:rPr>
        <w:br w:type="page"/>
      </w:r>
      <w:r>
        <w:rPr>
          <w:rFonts w:hint="eastAsia" w:ascii="宋体" w:hAnsi="宋体" w:cs="宋体"/>
          <w:b/>
          <w:sz w:val="24"/>
        </w:rPr>
        <w:t>7.1招标服务费承诺书</w:t>
      </w:r>
    </w:p>
    <w:p>
      <w:pPr>
        <w:spacing w:line="360" w:lineRule="auto"/>
        <w:jc w:val="center"/>
        <w:rPr>
          <w:rFonts w:hint="eastAsia" w:ascii="宋体" w:hAnsi="宋体" w:cs="宋体"/>
          <w:b/>
          <w:sz w:val="28"/>
        </w:rPr>
      </w:pPr>
      <w:r>
        <w:rPr>
          <w:rFonts w:hint="eastAsia" w:ascii="宋体" w:hAnsi="宋体" w:cs="宋体"/>
          <w:b/>
          <w:sz w:val="28"/>
        </w:rPr>
        <w:t>招标服务费承诺书</w:t>
      </w:r>
    </w:p>
    <w:p>
      <w:pPr>
        <w:spacing w:line="360" w:lineRule="auto"/>
        <w:rPr>
          <w:rFonts w:hint="eastAsia" w:ascii="宋体" w:hAnsi="宋体" w:cs="宋体"/>
          <w:sz w:val="24"/>
        </w:rPr>
      </w:pPr>
    </w:p>
    <w:p>
      <w:pPr>
        <w:spacing w:line="360" w:lineRule="auto"/>
        <w:rPr>
          <w:rFonts w:hint="eastAsia" w:ascii="宋体" w:hAnsi="宋体" w:cs="宋体"/>
        </w:rPr>
      </w:pPr>
      <w:r>
        <w:rPr>
          <w:rFonts w:hint="eastAsia" w:ascii="宋体" w:hAnsi="宋体" w:cs="宋体"/>
        </w:rPr>
        <w:t xml:space="preserve">                                                            </w:t>
      </w:r>
    </w:p>
    <w:p>
      <w:pPr>
        <w:spacing w:line="360" w:lineRule="auto"/>
        <w:rPr>
          <w:rFonts w:hint="eastAsia" w:ascii="宋体" w:hAnsi="宋体" w:cs="宋体"/>
          <w:b/>
          <w:sz w:val="24"/>
        </w:rPr>
      </w:pPr>
      <w:r>
        <w:rPr>
          <w:rFonts w:hint="eastAsia" w:ascii="宋体" w:hAnsi="宋体" w:cs="宋体"/>
        </w:rPr>
        <w:t>致</w:t>
      </w:r>
      <w:r>
        <w:rPr>
          <w:rFonts w:hint="eastAsia" w:ascii="宋体" w:hAnsi="宋体" w:cs="宋体"/>
          <w:sz w:val="24"/>
        </w:rPr>
        <w:t>：</w:t>
      </w:r>
      <w:r>
        <w:rPr>
          <w:rFonts w:hint="eastAsia" w:ascii="宋体" w:hAnsi="宋体" w:cs="宋体"/>
          <w:b/>
          <w:sz w:val="24"/>
        </w:rPr>
        <w:t>广东省机电设备招标有限公司</w:t>
      </w:r>
    </w:p>
    <w:p>
      <w:pPr>
        <w:spacing w:line="360" w:lineRule="auto"/>
        <w:rPr>
          <w:rFonts w:hint="eastAsia" w:ascii="宋体" w:hAnsi="宋体" w:cs="宋体"/>
          <w:sz w:val="24"/>
        </w:rPr>
      </w:pPr>
      <w:r>
        <w:rPr>
          <w:rFonts w:hint="eastAsia" w:ascii="宋体" w:hAnsi="宋体" w:cs="宋体"/>
          <w:sz w:val="24"/>
        </w:rPr>
        <w:t xml:space="preserve"> </w:t>
      </w:r>
    </w:p>
    <w:p>
      <w:pPr>
        <w:spacing w:line="360" w:lineRule="auto"/>
        <w:ind w:left="210" w:hanging="210" w:hangingChars="100"/>
        <w:jc w:val="left"/>
        <w:rPr>
          <w:rFonts w:hint="eastAsia" w:ascii="宋体" w:hAnsi="宋体" w:cs="宋体"/>
        </w:rPr>
      </w:pPr>
      <w:r>
        <w:rPr>
          <w:rFonts w:hint="eastAsia" w:ascii="宋体" w:hAnsi="宋体" w:cs="宋体"/>
        </w:rPr>
        <w:t xml:space="preserve">       如果我方</w:t>
      </w:r>
      <w:r>
        <w:rPr>
          <w:rFonts w:hint="eastAsia" w:ascii="宋体" w:hAnsi="宋体" w:cs="宋体"/>
          <w:u w:val="single"/>
        </w:rPr>
        <w:t>（投标人名称）</w:t>
      </w:r>
      <w:r>
        <w:rPr>
          <w:rFonts w:hint="eastAsia" w:ascii="宋体" w:hAnsi="宋体" w:cs="宋体"/>
        </w:rPr>
        <w:t>在贵单位组织的（</w:t>
      </w:r>
      <w:r>
        <w:rPr>
          <w:rFonts w:hint="eastAsia" w:ascii="宋体" w:hAnsi="宋体" w:cs="宋体"/>
          <w:u w:val="single"/>
        </w:rPr>
        <w:t>招标项目名称</w:t>
      </w:r>
      <w:r>
        <w:rPr>
          <w:rFonts w:hint="eastAsia" w:ascii="宋体" w:hAnsi="宋体" w:cs="宋体"/>
        </w:rPr>
        <w:t>）项目编号为</w:t>
      </w:r>
      <w:r>
        <w:rPr>
          <w:rFonts w:hint="eastAsia" w:ascii="宋体" w:hAnsi="宋体" w:cs="宋体"/>
          <w:u w:val="single"/>
        </w:rPr>
        <w:t xml:space="preserve">                           </w:t>
      </w:r>
      <w:r>
        <w:rPr>
          <w:rFonts w:hint="eastAsia" w:ascii="宋体" w:hAnsi="宋体" w:cs="宋体"/>
        </w:rPr>
        <w:t>的供货及相关服务的招标中获中标，我方</w:t>
      </w:r>
      <w:r>
        <w:rPr>
          <w:rFonts w:hint="eastAsia" w:ascii="宋体" w:hAnsi="宋体" w:cs="宋体"/>
          <w:spacing w:val="-6"/>
        </w:rPr>
        <w:t>保证在收到《中标通知书》的当日，按招标文件要求，向贵单位</w:t>
      </w:r>
      <w:r>
        <w:rPr>
          <w:rFonts w:hint="eastAsia" w:ascii="宋体" w:hAnsi="宋体" w:cs="宋体"/>
        </w:rPr>
        <w:t>交纳招标服务费（按投标人须知执行）。</w:t>
      </w:r>
    </w:p>
    <w:p>
      <w:pPr>
        <w:spacing w:line="360" w:lineRule="auto"/>
        <w:jc w:val="left"/>
        <w:rPr>
          <w:rFonts w:hint="eastAsia" w:ascii="宋体" w:hAnsi="宋体" w:cs="宋体"/>
        </w:rPr>
      </w:pPr>
    </w:p>
    <w:p>
      <w:pPr>
        <w:spacing w:line="360" w:lineRule="auto"/>
        <w:jc w:val="left"/>
        <w:rPr>
          <w:rFonts w:hint="eastAsia" w:ascii="宋体" w:hAnsi="宋体" w:cs="宋体"/>
        </w:rPr>
      </w:pPr>
      <w:r>
        <w:rPr>
          <w:rFonts w:hint="eastAsia" w:ascii="宋体" w:hAnsi="宋体" w:cs="宋体"/>
        </w:rPr>
        <w:t xml:space="preserve">       我方如违约，愿凭贵单位开出的违约通知，按上述承诺金额的200％在我方提交的投标保证金中扣付。</w:t>
      </w:r>
    </w:p>
    <w:p>
      <w:pPr>
        <w:spacing w:line="360" w:lineRule="auto"/>
        <w:rPr>
          <w:rFonts w:hint="eastAsia" w:ascii="宋体" w:hAnsi="宋体" w:cs="宋体"/>
        </w:rPr>
      </w:pPr>
    </w:p>
    <w:p>
      <w:pPr>
        <w:spacing w:line="360" w:lineRule="auto"/>
        <w:rPr>
          <w:rFonts w:hint="eastAsia" w:ascii="宋体" w:hAnsi="宋体" w:cs="宋体"/>
        </w:rPr>
      </w:pPr>
      <w:r>
        <w:rPr>
          <w:rFonts w:hint="eastAsia" w:ascii="宋体" w:hAnsi="宋体" w:cs="宋体"/>
        </w:rPr>
        <w:t xml:space="preserve">    特此承诺！</w:t>
      </w:r>
    </w:p>
    <w:p>
      <w:pPr>
        <w:spacing w:line="480" w:lineRule="auto"/>
        <w:rPr>
          <w:rFonts w:hint="eastAsia" w:ascii="宋体" w:hAnsi="宋体" w:cs="宋体"/>
          <w:szCs w:val="22"/>
        </w:rPr>
      </w:pPr>
    </w:p>
    <w:p>
      <w:pPr>
        <w:spacing w:line="360" w:lineRule="auto"/>
        <w:ind w:firstLine="3990" w:firstLineChars="1900"/>
        <w:rPr>
          <w:rFonts w:hint="eastAsia" w:ascii="宋体" w:hAnsi="宋体" w:cs="宋体"/>
        </w:rPr>
      </w:pPr>
      <w:r>
        <w:rPr>
          <w:rFonts w:hint="eastAsia" w:ascii="宋体" w:hAnsi="宋体" w:cs="宋体"/>
        </w:rPr>
        <w:t>投标人名称:（盖章）</w:t>
      </w:r>
    </w:p>
    <w:p>
      <w:pPr>
        <w:spacing w:line="360" w:lineRule="auto"/>
        <w:ind w:firstLine="3990" w:firstLineChars="1900"/>
        <w:rPr>
          <w:rFonts w:hint="eastAsia" w:ascii="宋体" w:hAnsi="宋体" w:cs="宋体"/>
        </w:rPr>
      </w:pPr>
      <w:r>
        <w:rPr>
          <w:rFonts w:hint="eastAsia" w:ascii="宋体" w:hAnsi="宋体" w:cs="宋体"/>
        </w:rPr>
        <w:t>日期：    年   月   日</w:t>
      </w:r>
    </w:p>
    <w:p>
      <w:pPr>
        <w:spacing w:line="480" w:lineRule="auto"/>
        <w:rPr>
          <w:rFonts w:hint="eastAsia" w:ascii="宋体" w:hAnsi="宋体" w:cs="宋体"/>
        </w:rPr>
      </w:pPr>
    </w:p>
    <w:p>
      <w:pPr>
        <w:spacing w:line="300" w:lineRule="auto"/>
        <w:rPr>
          <w:rFonts w:hint="eastAsia" w:ascii="宋体" w:hAnsi="宋体" w:cs="宋体"/>
          <w:b/>
          <w:sz w:val="24"/>
        </w:rPr>
      </w:pPr>
      <w:r>
        <w:rPr>
          <w:rFonts w:hint="eastAsia" w:ascii="宋体" w:hAnsi="宋体" w:cs="宋体"/>
        </w:rPr>
        <w:br w:type="page"/>
      </w:r>
      <w:bookmarkStart w:id="124" w:name="_Toc496161880"/>
      <w:r>
        <w:rPr>
          <w:rFonts w:hint="eastAsia" w:ascii="宋体" w:hAnsi="宋体" w:cs="宋体"/>
          <w:b/>
          <w:sz w:val="24"/>
        </w:rPr>
        <w:t>7.2投标保证金退还格式</w:t>
      </w:r>
      <w:bookmarkStart w:id="125" w:name="_Hlt523221392"/>
      <w:bookmarkEnd w:id="125"/>
      <w:r>
        <w:rPr>
          <w:rFonts w:hint="eastAsia" w:ascii="宋体" w:hAnsi="宋体" w:cs="宋体"/>
          <w:b/>
          <w:sz w:val="24"/>
        </w:rPr>
        <w:t>（样本）</w:t>
      </w:r>
    </w:p>
    <w:p>
      <w:pPr>
        <w:snapToGrid w:val="0"/>
        <w:jc w:val="center"/>
        <w:rPr>
          <w:rStyle w:val="155"/>
          <w:rFonts w:hint="eastAsia" w:ascii="宋体" w:hAnsi="宋体" w:eastAsia="宋体" w:cs="宋体"/>
          <w:b/>
          <w:spacing w:val="10"/>
          <w:sz w:val="21"/>
          <w:szCs w:val="21"/>
          <w:lang w:val="zh-CN"/>
        </w:rPr>
      </w:pPr>
      <w:r>
        <w:rPr>
          <w:rStyle w:val="155"/>
          <w:rFonts w:hint="eastAsia" w:ascii="宋体" w:hAnsi="宋体" w:eastAsia="宋体" w:cs="宋体"/>
          <w:b/>
          <w:spacing w:val="10"/>
          <w:sz w:val="21"/>
          <w:szCs w:val="21"/>
          <w:lang w:val="zh-CN"/>
        </w:rPr>
        <w:t>退保证金说明</w:t>
      </w:r>
    </w:p>
    <w:p>
      <w:pPr>
        <w:ind w:left="420" w:hanging="420" w:hangingChars="200"/>
        <w:rPr>
          <w:rFonts w:hint="eastAsia"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p>
    <w:p>
      <w:pPr>
        <w:spacing w:line="360" w:lineRule="auto"/>
        <w:ind w:leftChars="-250" w:hanging="525" w:hangingChars="250"/>
        <w:rPr>
          <w:rFonts w:hint="eastAsia" w:ascii="宋体" w:hAnsi="宋体" w:cs="宋体"/>
          <w:szCs w:val="21"/>
        </w:rPr>
      </w:pPr>
      <w:r>
        <w:rPr>
          <w:rFonts w:hint="eastAsia" w:ascii="宋体" w:hAnsi="宋体" w:cs="宋体"/>
          <w:szCs w:val="21"/>
        </w:rPr>
        <w:t xml:space="preserve">         我方为</w:t>
      </w:r>
      <w:r>
        <w:rPr>
          <w:rFonts w:hint="eastAsia" w:ascii="宋体" w:hAnsi="宋体" w:cs="宋体"/>
          <w:szCs w:val="21"/>
          <w:u w:val="single"/>
        </w:rPr>
        <w:t xml:space="preserve">                          </w:t>
      </w:r>
      <w:r>
        <w:rPr>
          <w:rFonts w:hint="eastAsia" w:ascii="宋体" w:hAnsi="宋体" w:cs="宋体"/>
          <w:szCs w:val="21"/>
        </w:rPr>
        <w:t xml:space="preserve">项目的投标，项目编号为 </w:t>
      </w:r>
      <w:r>
        <w:rPr>
          <w:rFonts w:hint="eastAsia" w:ascii="宋体" w:hAnsi="宋体" w:cs="宋体"/>
          <w:szCs w:val="21"/>
          <w:u w:val="single"/>
        </w:rPr>
        <w:t xml:space="preserve">                   </w:t>
      </w:r>
      <w:r>
        <w:rPr>
          <w:rFonts w:hint="eastAsia" w:ascii="宋体" w:hAnsi="宋体" w:cs="宋体"/>
          <w:szCs w:val="21"/>
        </w:rPr>
        <w:t>所提交的保证金</w:t>
      </w:r>
      <w:r>
        <w:rPr>
          <w:rFonts w:hint="eastAsia" w:ascii="宋体" w:hAnsi="宋体" w:cs="宋体"/>
          <w:szCs w:val="21"/>
          <w:u w:val="single"/>
        </w:rPr>
        <w:t xml:space="preserve">                   </w:t>
      </w:r>
      <w:r>
        <w:rPr>
          <w:rFonts w:hint="eastAsia" w:ascii="宋体" w:hAnsi="宋体" w:cs="宋体"/>
          <w:szCs w:val="21"/>
        </w:rPr>
        <w:t>元，请贵单位退还时划到以下账户：</w:t>
      </w: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vAlign w:val="center"/>
          </w:tcPr>
          <w:p>
            <w:pPr>
              <w:spacing w:line="360" w:lineRule="auto"/>
              <w:ind w:right="206" w:rightChars="98"/>
              <w:jc w:val="center"/>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收款单位</w:t>
            </w:r>
          </w:p>
        </w:tc>
        <w:tc>
          <w:tcPr>
            <w:tcW w:w="1976" w:type="dxa"/>
          </w:tcPr>
          <w:p>
            <w:pPr>
              <w:spacing w:line="360" w:lineRule="auto"/>
              <w:ind w:right="206" w:rightChars="98"/>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 xml:space="preserve"> 收款单位名称</w:t>
            </w:r>
          </w:p>
        </w:tc>
        <w:tc>
          <w:tcPr>
            <w:tcW w:w="5894" w:type="dxa"/>
            <w:gridSpan w:val="3"/>
          </w:tcPr>
          <w:p>
            <w:pPr>
              <w:spacing w:line="360" w:lineRule="auto"/>
              <w:ind w:right="206" w:rightChars="98"/>
              <w:rPr>
                <w:rStyle w:val="155"/>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tcPr>
          <w:p>
            <w:pPr>
              <w:spacing w:line="360" w:lineRule="auto"/>
              <w:ind w:right="206" w:rightChars="98"/>
              <w:rPr>
                <w:rStyle w:val="155"/>
                <w:rFonts w:hint="eastAsia" w:ascii="宋体" w:hAnsi="宋体" w:eastAsia="宋体" w:cs="宋体"/>
                <w:spacing w:val="10"/>
                <w:sz w:val="21"/>
                <w:szCs w:val="21"/>
                <w:lang w:val="zh-CN"/>
              </w:rPr>
            </w:pPr>
          </w:p>
        </w:tc>
        <w:tc>
          <w:tcPr>
            <w:tcW w:w="1976" w:type="dxa"/>
          </w:tcPr>
          <w:p>
            <w:pPr>
              <w:spacing w:line="360" w:lineRule="auto"/>
              <w:ind w:right="206" w:rightChars="98"/>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 xml:space="preserve"> 收款单位地址</w:t>
            </w:r>
          </w:p>
        </w:tc>
        <w:tc>
          <w:tcPr>
            <w:tcW w:w="5894" w:type="dxa"/>
            <w:gridSpan w:val="3"/>
          </w:tcPr>
          <w:p>
            <w:pPr>
              <w:spacing w:line="360" w:lineRule="auto"/>
              <w:ind w:right="206" w:rightChars="98"/>
              <w:rPr>
                <w:rStyle w:val="155"/>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tcPr>
          <w:p>
            <w:pPr>
              <w:spacing w:line="360" w:lineRule="auto"/>
              <w:ind w:right="206" w:rightChars="98"/>
              <w:rPr>
                <w:rStyle w:val="155"/>
                <w:rFonts w:hint="eastAsia" w:ascii="宋体" w:hAnsi="宋体" w:eastAsia="宋体" w:cs="宋体"/>
                <w:spacing w:val="10"/>
                <w:sz w:val="21"/>
                <w:szCs w:val="21"/>
                <w:lang w:val="zh-CN"/>
              </w:rPr>
            </w:pPr>
          </w:p>
        </w:tc>
        <w:tc>
          <w:tcPr>
            <w:tcW w:w="1976" w:type="dxa"/>
          </w:tcPr>
          <w:p>
            <w:pPr>
              <w:ind w:right="206" w:rightChars="98"/>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 xml:space="preserve">   开户银行</w:t>
            </w:r>
          </w:p>
          <w:p>
            <w:pPr>
              <w:ind w:right="206" w:rightChars="98"/>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（含汇入地点）</w:t>
            </w:r>
          </w:p>
        </w:tc>
        <w:tc>
          <w:tcPr>
            <w:tcW w:w="5894" w:type="dxa"/>
            <w:gridSpan w:val="3"/>
            <w:vAlign w:val="center"/>
          </w:tcPr>
          <w:p>
            <w:pPr>
              <w:spacing w:line="360" w:lineRule="auto"/>
              <w:ind w:right="206" w:rightChars="98" w:firstLine="460" w:firstLineChars="200"/>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tcPr>
          <w:p>
            <w:pPr>
              <w:spacing w:line="360" w:lineRule="auto"/>
              <w:ind w:right="206" w:rightChars="98"/>
              <w:rPr>
                <w:rStyle w:val="155"/>
                <w:rFonts w:hint="eastAsia" w:ascii="宋体" w:hAnsi="宋体" w:eastAsia="宋体" w:cs="宋体"/>
                <w:spacing w:val="10"/>
                <w:sz w:val="21"/>
                <w:szCs w:val="21"/>
                <w:lang w:val="zh-CN"/>
              </w:rPr>
            </w:pPr>
          </w:p>
        </w:tc>
        <w:tc>
          <w:tcPr>
            <w:tcW w:w="1976" w:type="dxa"/>
          </w:tcPr>
          <w:p>
            <w:pPr>
              <w:spacing w:line="360" w:lineRule="auto"/>
              <w:ind w:right="206" w:rightChars="98"/>
              <w:jc w:val="center"/>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账  号</w:t>
            </w:r>
          </w:p>
        </w:tc>
        <w:tc>
          <w:tcPr>
            <w:tcW w:w="5894" w:type="dxa"/>
            <w:gridSpan w:val="3"/>
          </w:tcPr>
          <w:p>
            <w:pPr>
              <w:spacing w:line="360" w:lineRule="auto"/>
              <w:ind w:right="206" w:rightChars="98"/>
              <w:rPr>
                <w:rStyle w:val="155"/>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tcPr>
          <w:p>
            <w:pPr>
              <w:spacing w:line="360" w:lineRule="auto"/>
              <w:ind w:right="206" w:rightChars="98"/>
              <w:rPr>
                <w:rStyle w:val="155"/>
                <w:rFonts w:hint="eastAsia" w:ascii="宋体" w:hAnsi="宋体" w:eastAsia="宋体" w:cs="宋体"/>
                <w:spacing w:val="10"/>
                <w:sz w:val="21"/>
                <w:szCs w:val="21"/>
                <w:lang w:val="zh-CN"/>
              </w:rPr>
            </w:pPr>
          </w:p>
        </w:tc>
        <w:tc>
          <w:tcPr>
            <w:tcW w:w="1976" w:type="dxa"/>
          </w:tcPr>
          <w:p>
            <w:pPr>
              <w:spacing w:line="360" w:lineRule="auto"/>
              <w:ind w:right="206" w:rightChars="98" w:firstLine="460" w:firstLineChars="200"/>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联系人</w:t>
            </w:r>
          </w:p>
        </w:tc>
        <w:tc>
          <w:tcPr>
            <w:tcW w:w="1980" w:type="dxa"/>
          </w:tcPr>
          <w:p>
            <w:pPr>
              <w:spacing w:line="360" w:lineRule="auto"/>
              <w:ind w:right="206" w:rightChars="98"/>
              <w:rPr>
                <w:rStyle w:val="155"/>
                <w:rFonts w:hint="eastAsia" w:ascii="宋体" w:hAnsi="宋体" w:eastAsia="宋体" w:cs="宋体"/>
                <w:spacing w:val="10"/>
                <w:sz w:val="21"/>
                <w:szCs w:val="21"/>
                <w:lang w:val="zh-CN"/>
              </w:rPr>
            </w:pPr>
          </w:p>
        </w:tc>
        <w:tc>
          <w:tcPr>
            <w:tcW w:w="1620" w:type="dxa"/>
          </w:tcPr>
          <w:p>
            <w:pPr>
              <w:spacing w:line="360" w:lineRule="auto"/>
              <w:ind w:right="206" w:rightChars="98" w:firstLine="230" w:firstLineChars="100"/>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手机号码</w:t>
            </w:r>
          </w:p>
        </w:tc>
        <w:tc>
          <w:tcPr>
            <w:tcW w:w="2294" w:type="dxa"/>
          </w:tcPr>
          <w:p>
            <w:pPr>
              <w:spacing w:line="360" w:lineRule="auto"/>
              <w:ind w:right="206" w:rightChars="98"/>
              <w:rPr>
                <w:rStyle w:val="155"/>
                <w:rFonts w:hint="eastAsia" w:ascii="宋体" w:hAnsi="宋体" w:eastAsia="宋体" w:cs="宋体"/>
                <w:spacing w:val="10"/>
                <w:sz w:val="21"/>
                <w:szCs w:val="21"/>
                <w:lang w:val="zh-CN"/>
              </w:rPr>
            </w:pPr>
          </w:p>
        </w:tc>
      </w:tr>
    </w:tbl>
    <w:p>
      <w:pPr>
        <w:ind w:left="630" w:right="-328" w:rightChars="-156" w:hanging="630" w:hangingChars="300"/>
        <w:rPr>
          <w:rFonts w:hint="eastAsia" w:ascii="宋体" w:hAnsi="宋体" w:cs="宋体"/>
          <w:szCs w:val="21"/>
        </w:rPr>
      </w:pPr>
      <w:r>
        <w:rPr>
          <w:rFonts w:hint="eastAsia" w:ascii="宋体" w:hAnsi="宋体" w:cs="宋体"/>
          <w:szCs w:val="21"/>
        </w:rPr>
        <w:t>备注：银行进账单复印件（加盖公章）及投标保证金退还说明应分别装在投标文件和开标信封内，并在开标截止时间前提交。</w:t>
      </w:r>
    </w:p>
    <w:p>
      <w:pPr>
        <w:rPr>
          <w:rFonts w:hint="eastAsia" w:ascii="宋体" w:hAnsi="宋体" w:cs="宋体"/>
          <w:szCs w:val="21"/>
        </w:rPr>
      </w:pPr>
    </w:p>
    <w:p>
      <w:pPr>
        <w:rPr>
          <w:rFonts w:hint="eastAsia" w:ascii="宋体" w:hAnsi="宋体" w:cs="宋体"/>
          <w:b/>
          <w:bCs/>
          <w:szCs w:val="21"/>
        </w:rPr>
      </w:pPr>
    </w:p>
    <w:p>
      <w:pPr>
        <w:rPr>
          <w:rFonts w:hint="eastAsia" w:ascii="宋体" w:hAnsi="宋体" w:cs="宋体"/>
          <w:b/>
          <w:bCs/>
          <w:szCs w:val="21"/>
        </w:rPr>
      </w:pPr>
      <w:r>
        <w:rPr>
          <w:rFonts w:hint="eastAsia" w:ascii="宋体" w:hAnsi="宋体" w:cs="宋体"/>
          <w:b/>
          <w:bCs/>
          <w:szCs w:val="21"/>
        </w:rPr>
        <w:t xml:space="preserve">投标人(公章)：                                  </w:t>
      </w:r>
    </w:p>
    <w:p>
      <w:pPr>
        <w:rPr>
          <w:rFonts w:hint="eastAsia"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155"/>
          <w:rFonts w:hint="eastAsia" w:ascii="宋体" w:hAnsi="宋体" w:eastAsia="宋体" w:cs="宋体"/>
          <w:spacing w:val="10"/>
          <w:sz w:val="21"/>
          <w:szCs w:val="21"/>
          <w:lang w:val="zh-CN"/>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vAlign w:val="center"/>
          </w:tcPr>
          <w:p>
            <w:pPr>
              <w:spacing w:line="360" w:lineRule="auto"/>
              <w:ind w:right="206" w:rightChars="98"/>
              <w:jc w:val="center"/>
              <w:rPr>
                <w:rStyle w:val="155"/>
                <w:rFonts w:hint="eastAsia" w:ascii="宋体" w:hAnsi="宋体" w:eastAsia="宋体" w:cs="宋体"/>
                <w:spacing w:val="10"/>
                <w:sz w:val="21"/>
                <w:szCs w:val="21"/>
                <w:lang w:val="zh-CN"/>
              </w:rPr>
            </w:pPr>
          </w:p>
          <w:p>
            <w:pPr>
              <w:ind w:right="206" w:rightChars="98"/>
              <w:jc w:val="center"/>
              <w:rPr>
                <w:rStyle w:val="155"/>
                <w:rFonts w:hint="eastAsia" w:ascii="宋体" w:hAnsi="宋体" w:eastAsia="宋体" w:cs="宋体"/>
                <w:spacing w:val="10"/>
                <w:sz w:val="21"/>
                <w:szCs w:val="21"/>
                <w:lang w:val="zh-CN"/>
              </w:rPr>
            </w:pPr>
          </w:p>
          <w:p>
            <w:pPr>
              <w:ind w:right="206" w:rightChars="98"/>
              <w:jc w:val="center"/>
              <w:rPr>
                <w:rStyle w:val="155"/>
                <w:rFonts w:hint="eastAsia" w:ascii="宋体" w:hAnsi="宋体" w:eastAsia="宋体" w:cs="宋体"/>
                <w:spacing w:val="10"/>
                <w:sz w:val="21"/>
                <w:szCs w:val="21"/>
                <w:lang w:val="zh-CN"/>
              </w:rPr>
            </w:pPr>
            <w:r>
              <w:rPr>
                <w:rStyle w:val="155"/>
                <w:rFonts w:hint="eastAsia" w:ascii="宋体" w:hAnsi="宋体" w:eastAsia="宋体" w:cs="宋体"/>
                <w:spacing w:val="10"/>
                <w:sz w:val="21"/>
                <w:szCs w:val="21"/>
                <w:lang w:val="zh-CN"/>
              </w:rPr>
              <w:t>汇款凭证粘贴处</w:t>
            </w:r>
          </w:p>
          <w:p>
            <w:pPr>
              <w:spacing w:line="360" w:lineRule="auto"/>
              <w:ind w:right="206" w:rightChars="98"/>
              <w:jc w:val="center"/>
              <w:rPr>
                <w:rStyle w:val="155"/>
                <w:rFonts w:hint="eastAsia" w:ascii="宋体" w:hAnsi="宋体" w:eastAsia="宋体" w:cs="宋体"/>
                <w:spacing w:val="10"/>
                <w:sz w:val="21"/>
                <w:szCs w:val="21"/>
                <w:lang w:val="zh-CN"/>
              </w:rPr>
            </w:pPr>
          </w:p>
          <w:p>
            <w:pPr>
              <w:spacing w:line="360" w:lineRule="auto"/>
              <w:ind w:right="206" w:rightChars="98"/>
              <w:jc w:val="center"/>
              <w:rPr>
                <w:rStyle w:val="155"/>
                <w:rFonts w:hint="eastAsia" w:ascii="宋体" w:hAnsi="宋体" w:eastAsia="宋体" w:cs="宋体"/>
                <w:spacing w:val="10"/>
                <w:sz w:val="21"/>
                <w:szCs w:val="21"/>
                <w:lang w:val="zh-CN"/>
              </w:rPr>
            </w:pPr>
          </w:p>
          <w:p>
            <w:pPr>
              <w:spacing w:line="360" w:lineRule="auto"/>
              <w:ind w:right="206" w:rightChars="98"/>
              <w:jc w:val="center"/>
              <w:rPr>
                <w:rStyle w:val="155"/>
                <w:rFonts w:hint="eastAsia" w:ascii="宋体" w:hAnsi="宋体" w:eastAsia="宋体" w:cs="宋体"/>
                <w:spacing w:val="10"/>
                <w:sz w:val="21"/>
                <w:szCs w:val="21"/>
                <w:lang w:val="zh-CN"/>
              </w:rPr>
            </w:pPr>
          </w:p>
        </w:tc>
      </w:tr>
    </w:tbl>
    <w:p>
      <w:pPr>
        <w:spacing w:line="360" w:lineRule="auto"/>
        <w:ind w:right="206" w:rightChars="98"/>
        <w:rPr>
          <w:rStyle w:val="155"/>
          <w:rFonts w:hint="eastAsia" w:ascii="宋体" w:hAnsi="宋体" w:eastAsia="宋体" w:cs="宋体"/>
          <w:spacing w:val="10"/>
          <w:szCs w:val="21"/>
          <w:lang w:val="zh-CN"/>
        </w:rPr>
      </w:pPr>
    </w:p>
    <w:p>
      <w:pPr>
        <w:tabs>
          <w:tab w:val="left" w:pos="720"/>
        </w:tabs>
        <w:spacing w:line="300" w:lineRule="auto"/>
        <w:ind w:left="1021" w:hanging="1021"/>
        <w:jc w:val="center"/>
        <w:rPr>
          <w:rFonts w:hint="eastAsia" w:ascii="宋体" w:hAnsi="宋体" w:cs="宋体"/>
          <w:b/>
          <w:sz w:val="28"/>
          <w:szCs w:val="28"/>
        </w:rPr>
      </w:pPr>
      <w:r>
        <w:rPr>
          <w:rFonts w:hint="eastAsia" w:ascii="宋体" w:hAnsi="宋体" w:cs="宋体"/>
          <w:b/>
          <w:bCs/>
        </w:rPr>
        <w:br w:type="page"/>
      </w:r>
      <w:bookmarkEnd w:id="124"/>
    </w:p>
    <w:p>
      <w:pPr>
        <w:tabs>
          <w:tab w:val="left" w:pos="720"/>
        </w:tabs>
        <w:spacing w:line="300" w:lineRule="auto"/>
        <w:ind w:left="1021" w:hanging="1021"/>
        <w:jc w:val="center"/>
        <w:rPr>
          <w:rFonts w:hint="eastAsia" w:ascii="宋体" w:hAnsi="宋体" w:cs="宋体"/>
          <w:b/>
          <w:sz w:val="28"/>
          <w:szCs w:val="28"/>
        </w:rPr>
      </w:pPr>
    </w:p>
    <w:p>
      <w:pPr>
        <w:tabs>
          <w:tab w:val="left" w:pos="720"/>
          <w:tab w:val="left" w:pos="7679"/>
        </w:tabs>
        <w:spacing w:line="300" w:lineRule="auto"/>
        <w:ind w:left="1021" w:hanging="1021"/>
        <w:jc w:val="left"/>
        <w:rPr>
          <w:rFonts w:hint="eastAsia" w:ascii="宋体" w:hAnsi="宋体" w:cs="宋体"/>
          <w:b/>
          <w:sz w:val="28"/>
          <w:szCs w:val="28"/>
        </w:rPr>
      </w:pPr>
      <w:r>
        <w:rPr>
          <w:rFonts w:hint="eastAsia" w:ascii="宋体" w:hAnsi="宋体" w:cs="宋体"/>
          <w:b/>
          <w:sz w:val="28"/>
          <w:szCs w:val="28"/>
        </w:rPr>
        <w:tab/>
      </w:r>
      <w:r>
        <w:rPr>
          <w:rFonts w:hint="eastAsia" w:ascii="宋体" w:hAnsi="宋体" w:cs="宋体"/>
          <w:b/>
          <w:sz w:val="28"/>
          <w:szCs w:val="28"/>
        </w:rPr>
        <w:tab/>
      </w:r>
    </w:p>
    <w:p>
      <w:pPr>
        <w:tabs>
          <w:tab w:val="left" w:pos="720"/>
        </w:tabs>
        <w:spacing w:line="300" w:lineRule="auto"/>
        <w:ind w:left="1021" w:hanging="1021"/>
        <w:jc w:val="center"/>
        <w:rPr>
          <w:rFonts w:hint="eastAsia" w:ascii="宋体" w:hAnsi="宋体" w:cs="宋体"/>
          <w:b/>
          <w:sz w:val="28"/>
          <w:szCs w:val="28"/>
        </w:rPr>
      </w:pPr>
    </w:p>
    <w:p>
      <w:pPr>
        <w:tabs>
          <w:tab w:val="left" w:pos="720"/>
        </w:tabs>
        <w:spacing w:line="300" w:lineRule="auto"/>
        <w:ind w:left="1021" w:hanging="1021"/>
        <w:jc w:val="center"/>
        <w:rPr>
          <w:rFonts w:hint="eastAsia" w:ascii="宋体" w:hAnsi="宋体" w:cs="宋体"/>
          <w:b/>
          <w:sz w:val="28"/>
          <w:szCs w:val="28"/>
        </w:rPr>
      </w:pPr>
    </w:p>
    <w:p>
      <w:pPr>
        <w:tabs>
          <w:tab w:val="left" w:pos="720"/>
        </w:tabs>
        <w:spacing w:line="300" w:lineRule="auto"/>
        <w:ind w:left="1021" w:hanging="1021"/>
        <w:jc w:val="center"/>
        <w:rPr>
          <w:rFonts w:hint="eastAsia" w:ascii="宋体" w:hAnsi="宋体" w:cs="宋体"/>
          <w:b/>
          <w:sz w:val="28"/>
          <w:szCs w:val="28"/>
        </w:rPr>
      </w:pPr>
    </w:p>
    <w:p>
      <w:pPr>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126" w:name="_Toc5715"/>
      <w:r>
        <w:rPr>
          <w:rFonts w:hint="eastAsia" w:ascii="宋体" w:hAnsi="宋体" w:cs="宋体"/>
          <w:b/>
          <w:sz w:val="44"/>
          <w:szCs w:val="44"/>
        </w:rPr>
        <w:t>第六章</w:t>
      </w:r>
      <w:bookmarkStart w:id="127" w:name="_Toc477186335"/>
      <w:r>
        <w:rPr>
          <w:rFonts w:hint="eastAsia" w:ascii="宋体" w:hAnsi="宋体" w:cs="宋体"/>
          <w:b/>
          <w:sz w:val="44"/>
          <w:szCs w:val="44"/>
        </w:rPr>
        <w:t xml:space="preserve">  评标办法</w:t>
      </w:r>
      <w:bookmarkEnd w:id="126"/>
      <w:bookmarkEnd w:id="127"/>
    </w:p>
    <w:p>
      <w:pPr>
        <w:tabs>
          <w:tab w:val="left" w:pos="720"/>
        </w:tabs>
        <w:spacing w:line="300" w:lineRule="auto"/>
        <w:ind w:left="1021" w:hanging="1021"/>
        <w:jc w:val="center"/>
        <w:rPr>
          <w:rFonts w:hint="eastAsia" w:ascii="宋体" w:hAnsi="宋体" w:cs="宋体"/>
          <w:b/>
          <w:sz w:val="28"/>
          <w:szCs w:val="28"/>
        </w:rPr>
      </w:pPr>
    </w:p>
    <w:p>
      <w:pPr>
        <w:tabs>
          <w:tab w:val="left" w:pos="720"/>
        </w:tabs>
        <w:spacing w:line="300" w:lineRule="auto"/>
        <w:ind w:left="1021" w:hanging="1021"/>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 xml:space="preserve"> </w:t>
      </w:r>
    </w:p>
    <w:p>
      <w:pPr>
        <w:tabs>
          <w:tab w:val="left" w:pos="720"/>
        </w:tabs>
        <w:spacing w:line="300" w:lineRule="auto"/>
        <w:ind w:left="1021" w:hanging="1021"/>
        <w:jc w:val="center"/>
        <w:rPr>
          <w:rFonts w:hint="eastAsia" w:ascii="宋体" w:hAnsi="宋体" w:cs="宋体"/>
          <w:b/>
          <w:spacing w:val="10"/>
          <w:sz w:val="28"/>
          <w:szCs w:val="28"/>
        </w:rPr>
      </w:pPr>
      <w:bookmarkStart w:id="128" w:name="_Toc9981_WPSOffice_Level1"/>
      <w:bookmarkStart w:id="129" w:name="_Toc10591_WPSOffice_Level1"/>
      <w:bookmarkStart w:id="130" w:name="_Toc31126_WPSOffice_Level1"/>
      <w:r>
        <w:rPr>
          <w:rFonts w:hint="eastAsia" w:ascii="宋体" w:hAnsi="宋体" w:cs="宋体"/>
          <w:b/>
          <w:sz w:val="28"/>
          <w:szCs w:val="28"/>
        </w:rPr>
        <w:t>评  标  办  法</w:t>
      </w:r>
      <w:bookmarkEnd w:id="128"/>
      <w:bookmarkEnd w:id="129"/>
      <w:bookmarkEnd w:id="130"/>
    </w:p>
    <w:p>
      <w:pPr>
        <w:pStyle w:val="2"/>
        <w:numPr>
          <w:ilvl w:val="0"/>
          <w:numId w:val="14"/>
        </w:numPr>
        <w:spacing w:before="120" w:after="120" w:line="360" w:lineRule="auto"/>
        <w:rPr>
          <w:rFonts w:hint="eastAsia" w:ascii="宋体" w:hAnsi="宋体" w:cs="宋体"/>
          <w:sz w:val="28"/>
          <w:szCs w:val="28"/>
        </w:rPr>
      </w:pPr>
      <w:bookmarkStart w:id="131" w:name="_Toc95306153"/>
      <w:bookmarkStart w:id="132" w:name="_Toc4692_WPSOffice_Level1"/>
      <w:bookmarkStart w:id="133" w:name="_Toc476177438"/>
      <w:bookmarkStart w:id="134" w:name="_Toc477186336"/>
      <w:bookmarkStart w:id="135" w:name="_Toc95306013"/>
      <w:bookmarkStart w:id="136" w:name="_Toc2177_WPSOffice_Level1"/>
      <w:bookmarkStart w:id="137" w:name="_Toc477185975"/>
      <w:bookmarkStart w:id="138" w:name="_Toc99012603"/>
      <w:bookmarkStart w:id="139" w:name="_Toc8854"/>
      <w:bookmarkStart w:id="140" w:name="_Toc11635_WPSOffice_Level1"/>
      <w:bookmarkStart w:id="141" w:name="_Toc476177998"/>
      <w:bookmarkStart w:id="142" w:name="_Toc95306105"/>
      <w:bookmarkStart w:id="143" w:name="_Toc95298716"/>
      <w:bookmarkStart w:id="144" w:name="_Toc95305931"/>
      <w:r>
        <w:rPr>
          <w:rFonts w:hint="eastAsia" w:ascii="宋体" w:hAnsi="宋体" w:cs="宋体"/>
          <w:sz w:val="28"/>
          <w:szCs w:val="28"/>
        </w:rPr>
        <w:t>说明</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tabs>
          <w:tab w:val="left" w:pos="840"/>
          <w:tab w:val="left" w:pos="1680"/>
          <w:tab w:val="left" w:pos="1890"/>
        </w:tabs>
        <w:spacing w:line="360" w:lineRule="auto"/>
        <w:ind w:firstLine="420" w:firstLineChars="200"/>
        <w:rPr>
          <w:rFonts w:hint="eastAsia" w:ascii="宋体" w:hAnsi="宋体" w:cs="宋体"/>
        </w:rPr>
      </w:pPr>
      <w:r>
        <w:rPr>
          <w:rFonts w:hint="eastAsia" w:ascii="宋体" w:hAnsi="宋体" w:cs="宋体"/>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hint="eastAsia" w:ascii="宋体" w:hAnsi="宋体" w:cs="宋体"/>
          <w:b/>
          <w:spacing w:val="10"/>
          <w:sz w:val="24"/>
        </w:rPr>
      </w:pPr>
    </w:p>
    <w:p>
      <w:pPr>
        <w:pStyle w:val="2"/>
        <w:numPr>
          <w:ilvl w:val="0"/>
          <w:numId w:val="14"/>
        </w:numPr>
        <w:spacing w:before="120" w:after="120" w:line="360" w:lineRule="auto"/>
        <w:rPr>
          <w:rFonts w:hint="eastAsia" w:ascii="宋体" w:hAnsi="宋体" w:cs="宋体"/>
          <w:sz w:val="28"/>
          <w:szCs w:val="28"/>
        </w:rPr>
      </w:pPr>
      <w:bookmarkStart w:id="145" w:name="_Toc99012604"/>
      <w:bookmarkStart w:id="146" w:name="_Toc25791_WPSOffice_Level1"/>
      <w:bookmarkStart w:id="147" w:name="_Toc476177999"/>
      <w:bookmarkStart w:id="148" w:name="_Toc477185976"/>
      <w:bookmarkStart w:id="149" w:name="_Toc15972"/>
      <w:bookmarkStart w:id="150" w:name="_Toc476177439"/>
      <w:bookmarkStart w:id="151" w:name="_Toc4898_WPSOffice_Level1"/>
      <w:bookmarkStart w:id="152" w:name="_Toc21029_WPSOffice_Level1"/>
      <w:bookmarkStart w:id="153" w:name="_Toc477186337"/>
      <w:r>
        <w:rPr>
          <w:rFonts w:hint="eastAsia" w:ascii="宋体" w:hAnsi="宋体" w:cs="宋体"/>
          <w:sz w:val="28"/>
          <w:szCs w:val="28"/>
        </w:rPr>
        <w:t>评标须知</w:t>
      </w:r>
      <w:bookmarkEnd w:id="145"/>
      <w:bookmarkEnd w:id="146"/>
      <w:bookmarkEnd w:id="147"/>
      <w:bookmarkEnd w:id="148"/>
      <w:bookmarkEnd w:id="149"/>
      <w:bookmarkEnd w:id="150"/>
      <w:bookmarkEnd w:id="151"/>
      <w:bookmarkEnd w:id="152"/>
      <w:bookmarkEnd w:id="153"/>
    </w:p>
    <w:p>
      <w:pPr>
        <w:numPr>
          <w:ilvl w:val="1"/>
          <w:numId w:val="14"/>
        </w:numPr>
        <w:tabs>
          <w:tab w:val="left" w:pos="0"/>
          <w:tab w:val="left" w:pos="840"/>
          <w:tab w:val="clear" w:pos="567"/>
        </w:tabs>
        <w:spacing w:line="360" w:lineRule="auto"/>
        <w:ind w:left="0" w:firstLine="420"/>
        <w:rPr>
          <w:rFonts w:hint="eastAsia" w:ascii="宋体" w:hAnsi="宋体" w:cs="宋体"/>
        </w:rPr>
      </w:pPr>
      <w:r>
        <w:rPr>
          <w:rFonts w:hint="eastAsia" w:ascii="宋体" w:hAnsi="宋体" w:cs="宋体"/>
        </w:rPr>
        <w:t>关于评标方案</w:t>
      </w:r>
    </w:p>
    <w:p>
      <w:pPr>
        <w:tabs>
          <w:tab w:val="left" w:pos="0"/>
        </w:tabs>
        <w:spacing w:line="360" w:lineRule="auto"/>
        <w:ind w:left="420"/>
        <w:rPr>
          <w:rFonts w:hint="eastAsia" w:ascii="宋体" w:hAnsi="宋体" w:cs="宋体"/>
        </w:rPr>
      </w:pPr>
      <w:r>
        <w:rPr>
          <w:rFonts w:hint="eastAsia" w:ascii="宋体" w:hAnsi="宋体" w:cs="宋体"/>
        </w:rPr>
        <w:t>2.1.2评标委员会的每位成员（简称评委）应认真地阅读并确认已经正确理解了评标方案。</w:t>
      </w:r>
    </w:p>
    <w:p>
      <w:pPr>
        <w:numPr>
          <w:ilvl w:val="1"/>
          <w:numId w:val="14"/>
        </w:numPr>
        <w:tabs>
          <w:tab w:val="left" w:pos="0"/>
          <w:tab w:val="left" w:pos="840"/>
          <w:tab w:val="clear" w:pos="567"/>
        </w:tabs>
        <w:spacing w:line="360" w:lineRule="auto"/>
        <w:ind w:left="0" w:firstLine="420"/>
        <w:rPr>
          <w:rFonts w:hint="eastAsia" w:ascii="宋体" w:hAnsi="宋体" w:cs="宋体"/>
        </w:rPr>
      </w:pPr>
      <w:r>
        <w:rPr>
          <w:rFonts w:hint="eastAsia" w:ascii="宋体" w:hAnsi="宋体" w:cs="宋体"/>
        </w:rPr>
        <w:t>关于评标纪律</w:t>
      </w:r>
    </w:p>
    <w:p>
      <w:pPr>
        <w:tabs>
          <w:tab w:val="left" w:pos="0"/>
        </w:tabs>
        <w:spacing w:line="360" w:lineRule="auto"/>
        <w:ind w:left="420"/>
        <w:rPr>
          <w:rFonts w:hint="eastAsia" w:ascii="宋体" w:hAnsi="宋体" w:cs="宋体"/>
          <w:szCs w:val="22"/>
        </w:rPr>
      </w:pPr>
      <w:r>
        <w:rPr>
          <w:rFonts w:hint="eastAsia" w:ascii="宋体" w:hAnsi="宋体" w:cs="宋体"/>
          <w:szCs w:val="22"/>
        </w:rPr>
        <w:t>2.2.1评标委员会成员不得与任何投标人或者与招标结果有利害关系的人进行私下接触，不得收受投标人、中介人、其他利害关系人的财物或者其他好处；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hint="eastAsia" w:ascii="宋体" w:hAnsi="宋体" w:cs="宋体"/>
          <w:szCs w:val="22"/>
        </w:rPr>
      </w:pPr>
      <w:r>
        <w:rPr>
          <w:rFonts w:hint="eastAsia" w:ascii="宋体" w:hAnsi="宋体" w:cs="宋体"/>
          <w:szCs w:val="22"/>
        </w:rPr>
        <w:t>2.2.2评委应本着客观、公正的原则独立给出评价意见；</w:t>
      </w:r>
    </w:p>
    <w:p>
      <w:pPr>
        <w:tabs>
          <w:tab w:val="left" w:pos="0"/>
        </w:tabs>
        <w:spacing w:line="360" w:lineRule="auto"/>
        <w:ind w:left="420"/>
        <w:rPr>
          <w:rFonts w:hint="eastAsia" w:ascii="宋体" w:hAnsi="宋体" w:cs="宋体"/>
          <w:szCs w:val="22"/>
        </w:rPr>
      </w:pPr>
      <w:r>
        <w:rPr>
          <w:rFonts w:hint="eastAsia" w:ascii="宋体" w:hAnsi="宋体" w:cs="宋体"/>
          <w:szCs w:val="22"/>
        </w:rPr>
        <w:t>2.2.3评委之间不得相互串通进行评分；</w:t>
      </w:r>
    </w:p>
    <w:p>
      <w:pPr>
        <w:tabs>
          <w:tab w:val="left" w:pos="0"/>
        </w:tabs>
        <w:spacing w:line="360" w:lineRule="auto"/>
        <w:ind w:left="420"/>
        <w:rPr>
          <w:rFonts w:hint="eastAsia" w:ascii="宋体" w:hAnsi="宋体" w:cs="宋体"/>
          <w:szCs w:val="22"/>
        </w:rPr>
      </w:pPr>
      <w:r>
        <w:rPr>
          <w:rFonts w:hint="eastAsia" w:ascii="宋体" w:hAnsi="宋体" w:cs="宋体"/>
          <w:szCs w:val="22"/>
        </w:rPr>
        <w:t>2.2.4评委不得试图影响其他评委的评价意见。</w:t>
      </w:r>
    </w:p>
    <w:p>
      <w:pPr>
        <w:numPr>
          <w:ilvl w:val="1"/>
          <w:numId w:val="14"/>
        </w:numPr>
        <w:tabs>
          <w:tab w:val="left" w:pos="0"/>
          <w:tab w:val="left" w:pos="840"/>
          <w:tab w:val="clear" w:pos="567"/>
        </w:tabs>
        <w:spacing w:line="360" w:lineRule="auto"/>
        <w:ind w:left="0" w:firstLine="420"/>
        <w:rPr>
          <w:rFonts w:hint="eastAsia" w:ascii="宋体" w:hAnsi="宋体" w:cs="宋体"/>
        </w:rPr>
      </w:pPr>
      <w:r>
        <w:rPr>
          <w:rFonts w:hint="eastAsia" w:ascii="宋体" w:hAnsi="宋体" w:cs="宋体"/>
        </w:rPr>
        <w:t>关于评标责任</w:t>
      </w:r>
    </w:p>
    <w:p>
      <w:pPr>
        <w:tabs>
          <w:tab w:val="left" w:pos="0"/>
        </w:tabs>
        <w:spacing w:line="360" w:lineRule="auto"/>
        <w:ind w:left="420"/>
        <w:rPr>
          <w:rFonts w:hint="eastAsia" w:ascii="宋体" w:hAnsi="宋体" w:cs="宋体"/>
          <w:szCs w:val="22"/>
        </w:rPr>
      </w:pPr>
      <w:r>
        <w:rPr>
          <w:rFonts w:hint="eastAsia" w:ascii="宋体" w:hAnsi="宋体" w:cs="宋体"/>
          <w:szCs w:val="22"/>
        </w:rPr>
        <w:t>2.3.1评委应在其书面评审意见上签字确认；</w:t>
      </w:r>
    </w:p>
    <w:p>
      <w:pPr>
        <w:tabs>
          <w:tab w:val="left" w:pos="0"/>
        </w:tabs>
        <w:spacing w:line="360" w:lineRule="auto"/>
        <w:ind w:left="420"/>
        <w:rPr>
          <w:rFonts w:hint="eastAsia" w:ascii="宋体" w:hAnsi="宋体" w:cs="宋体"/>
          <w:szCs w:val="22"/>
        </w:rPr>
      </w:pPr>
      <w:r>
        <w:rPr>
          <w:rFonts w:hint="eastAsia" w:ascii="宋体" w:hAnsi="宋体" w:cs="宋体"/>
          <w:szCs w:val="22"/>
        </w:rPr>
        <w:t>2.3.2评委对其所提出的评审意见承担个人责任。</w:t>
      </w:r>
    </w:p>
    <w:p>
      <w:pPr>
        <w:numPr>
          <w:ilvl w:val="1"/>
          <w:numId w:val="14"/>
        </w:numPr>
        <w:tabs>
          <w:tab w:val="left" w:pos="0"/>
          <w:tab w:val="left" w:pos="945"/>
          <w:tab w:val="left" w:pos="1680"/>
          <w:tab w:val="clear" w:pos="567"/>
        </w:tabs>
        <w:spacing w:line="360" w:lineRule="auto"/>
        <w:ind w:left="0" w:firstLine="420"/>
        <w:rPr>
          <w:rFonts w:hint="eastAsia" w:ascii="宋体" w:hAnsi="宋体" w:cs="宋体"/>
        </w:rPr>
      </w:pPr>
      <w:r>
        <w:rPr>
          <w:rFonts w:hint="eastAsia" w:ascii="宋体" w:hAnsi="宋体" w:cs="宋体"/>
        </w:rPr>
        <w:t>关于回避</w:t>
      </w:r>
    </w:p>
    <w:p>
      <w:pPr>
        <w:tabs>
          <w:tab w:val="left" w:pos="0"/>
        </w:tabs>
        <w:spacing w:line="360" w:lineRule="auto"/>
        <w:ind w:firstLine="420" w:firstLineChars="200"/>
        <w:rPr>
          <w:rFonts w:hint="eastAsia" w:ascii="宋体" w:hAnsi="宋体" w:cs="宋体"/>
        </w:rPr>
      </w:pPr>
      <w:r>
        <w:rPr>
          <w:rFonts w:hint="eastAsia" w:ascii="宋体" w:hAnsi="宋体" w:cs="宋体"/>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hint="eastAsia" w:ascii="宋体" w:hAnsi="宋体" w:cs="宋体"/>
        </w:rPr>
      </w:pPr>
      <w:r>
        <w:rPr>
          <w:rFonts w:hint="eastAsia" w:ascii="宋体" w:hAnsi="宋体" w:cs="宋体"/>
        </w:rPr>
        <w:t>（1）是投标人或者投标人主要负责人的近亲属；</w:t>
      </w:r>
    </w:p>
    <w:p>
      <w:pPr>
        <w:tabs>
          <w:tab w:val="left" w:pos="0"/>
        </w:tabs>
        <w:spacing w:line="360" w:lineRule="auto"/>
        <w:ind w:firstLine="420" w:firstLineChars="200"/>
        <w:rPr>
          <w:rFonts w:hint="eastAsia" w:ascii="宋体" w:hAnsi="宋体" w:cs="宋体"/>
        </w:rPr>
      </w:pPr>
      <w:r>
        <w:rPr>
          <w:rFonts w:hint="eastAsia" w:ascii="宋体" w:hAnsi="宋体" w:cs="宋体"/>
        </w:rPr>
        <w:t>（2）是该投标人的项目主管部门或是该投标人的行政监督部门的人员；</w:t>
      </w:r>
    </w:p>
    <w:p>
      <w:pPr>
        <w:tabs>
          <w:tab w:val="left" w:pos="0"/>
        </w:tabs>
        <w:spacing w:line="360" w:lineRule="auto"/>
        <w:ind w:firstLine="420" w:firstLineChars="200"/>
        <w:rPr>
          <w:rFonts w:hint="eastAsia" w:ascii="宋体" w:hAnsi="宋体" w:cs="宋体"/>
        </w:rPr>
      </w:pPr>
      <w:r>
        <w:rPr>
          <w:rFonts w:hint="eastAsia" w:ascii="宋体" w:hAnsi="宋体" w:cs="宋体"/>
        </w:rPr>
        <w:t>（3）与投标人有经济利益关系，可能影响对投标公正评审的；</w:t>
      </w:r>
    </w:p>
    <w:p>
      <w:pPr>
        <w:numPr>
          <w:ilvl w:val="1"/>
          <w:numId w:val="14"/>
        </w:numPr>
        <w:tabs>
          <w:tab w:val="left" w:pos="0"/>
          <w:tab w:val="left" w:pos="840"/>
          <w:tab w:val="left" w:pos="1260"/>
          <w:tab w:val="left" w:pos="1470"/>
          <w:tab w:val="clear" w:pos="567"/>
        </w:tabs>
        <w:spacing w:line="360" w:lineRule="auto"/>
        <w:ind w:left="0" w:firstLine="420"/>
        <w:rPr>
          <w:rFonts w:hint="eastAsia" w:ascii="宋体" w:hAnsi="宋体" w:cs="宋体"/>
        </w:rPr>
      </w:pPr>
      <w:r>
        <w:rPr>
          <w:rFonts w:hint="eastAsia" w:ascii="宋体" w:hAnsi="宋体" w:cs="宋体"/>
        </w:rPr>
        <w:t>关于保密</w:t>
      </w:r>
    </w:p>
    <w:p>
      <w:pPr>
        <w:numPr>
          <w:ilvl w:val="0"/>
          <w:numId w:val="15"/>
        </w:numPr>
        <w:tabs>
          <w:tab w:val="left" w:pos="0"/>
        </w:tabs>
        <w:spacing w:line="360" w:lineRule="auto"/>
        <w:ind w:left="0" w:firstLine="420"/>
        <w:rPr>
          <w:rFonts w:hint="eastAsia" w:ascii="宋体" w:hAnsi="宋体" w:cs="宋体"/>
        </w:rPr>
      </w:pPr>
      <w:r>
        <w:rPr>
          <w:rFonts w:hint="eastAsia" w:ascii="宋体" w:hAnsi="宋体" w:cs="宋体"/>
        </w:rPr>
        <w:t>评标委员会成员和与评标活动有关的工作人员不得透露对投标文件的评审和比较、中标候选人的推荐情况以及评标有关的其他情况。</w:t>
      </w:r>
    </w:p>
    <w:p>
      <w:pPr>
        <w:numPr>
          <w:ilvl w:val="0"/>
          <w:numId w:val="15"/>
        </w:numPr>
        <w:tabs>
          <w:tab w:val="left" w:pos="0"/>
        </w:tabs>
        <w:spacing w:line="360" w:lineRule="auto"/>
        <w:ind w:left="0" w:firstLine="420"/>
        <w:rPr>
          <w:rFonts w:hint="eastAsia" w:ascii="宋体" w:hAnsi="宋体" w:cs="宋体"/>
        </w:rPr>
      </w:pPr>
      <w:r>
        <w:rPr>
          <w:rFonts w:hint="eastAsia" w:ascii="宋体" w:hAnsi="宋体" w:cs="宋体"/>
        </w:rPr>
        <w:t>前款所称与评标活动有关的工作人员，是指评标委员会成员以外的因参与评标监督工作或者事务性工作而知悉有关评标情况的所有人员。</w:t>
      </w:r>
    </w:p>
    <w:p>
      <w:pPr>
        <w:numPr>
          <w:ilvl w:val="1"/>
          <w:numId w:val="14"/>
        </w:numPr>
        <w:tabs>
          <w:tab w:val="left" w:pos="630"/>
          <w:tab w:val="left" w:pos="840"/>
          <w:tab w:val="clear" w:pos="567"/>
        </w:tabs>
        <w:spacing w:line="360" w:lineRule="auto"/>
        <w:ind w:left="105" w:firstLine="315"/>
        <w:rPr>
          <w:rFonts w:hint="eastAsia" w:ascii="宋体" w:hAnsi="宋体" w:cs="宋体"/>
        </w:rPr>
      </w:pPr>
      <w:r>
        <w:rPr>
          <w:rFonts w:hint="eastAsia" w:ascii="宋体" w:hAnsi="宋体" w:cs="宋体"/>
        </w:rPr>
        <w:t>罚则</w:t>
      </w:r>
    </w:p>
    <w:p>
      <w:pPr>
        <w:tabs>
          <w:tab w:val="left" w:pos="0"/>
        </w:tabs>
        <w:spacing w:line="360" w:lineRule="auto"/>
        <w:ind w:firstLine="420" w:firstLineChars="200"/>
        <w:rPr>
          <w:rFonts w:hint="eastAsia" w:ascii="宋体" w:hAnsi="宋体" w:cs="宋体"/>
        </w:rPr>
      </w:pPr>
      <w:r>
        <w:rPr>
          <w:rFonts w:hint="eastAsia" w:ascii="宋体" w:hAnsi="宋体" w:cs="宋体"/>
        </w:rPr>
        <w:t>（1）评标委员会成员在评标过程中擅离职守，影响评标程序正常进行，或者在评标过程中不能客观公正地履行职责的，一经核实，取消担任评标委员会成员的资格，并报有关部门经予法律追究和查处。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cs="宋体"/>
          <w:szCs w:val="22"/>
        </w:rPr>
      </w:pPr>
      <w:r>
        <w:rPr>
          <w:rFonts w:hint="eastAsia" w:ascii="宋体" w:hAnsi="宋体" w:cs="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cs="宋体"/>
          <w:szCs w:val="22"/>
        </w:rPr>
      </w:pPr>
    </w:p>
    <w:p>
      <w:pPr>
        <w:pStyle w:val="2"/>
        <w:numPr>
          <w:ilvl w:val="0"/>
          <w:numId w:val="14"/>
        </w:numPr>
        <w:spacing w:before="120" w:after="120" w:line="360" w:lineRule="auto"/>
        <w:rPr>
          <w:rFonts w:hint="eastAsia" w:ascii="宋体" w:hAnsi="宋体" w:cs="宋体"/>
          <w:sz w:val="28"/>
          <w:szCs w:val="28"/>
        </w:rPr>
      </w:pPr>
      <w:bookmarkStart w:id="154" w:name="_Toc29737"/>
      <w:bookmarkStart w:id="155" w:name="_Toc476177440"/>
      <w:bookmarkStart w:id="156" w:name="_Toc476178000"/>
      <w:bookmarkStart w:id="157" w:name="_Toc477186338"/>
      <w:bookmarkStart w:id="158" w:name="_Toc16705_WPSOffice_Level1"/>
      <w:bookmarkStart w:id="159" w:name="_Toc477185977"/>
      <w:bookmarkStart w:id="160" w:name="_Toc4691_WPSOffice_Level1"/>
      <w:bookmarkStart w:id="161" w:name="_Toc22791_WPSOffice_Level1"/>
      <w:r>
        <w:rPr>
          <w:rFonts w:hint="eastAsia" w:ascii="宋体" w:hAnsi="宋体" w:cs="宋体"/>
          <w:sz w:val="28"/>
          <w:szCs w:val="28"/>
        </w:rPr>
        <w:t>评标委员会</w:t>
      </w:r>
      <w:bookmarkEnd w:id="154"/>
      <w:bookmarkEnd w:id="155"/>
      <w:bookmarkEnd w:id="156"/>
      <w:bookmarkEnd w:id="157"/>
      <w:bookmarkEnd w:id="158"/>
      <w:bookmarkEnd w:id="159"/>
      <w:bookmarkEnd w:id="160"/>
      <w:bookmarkEnd w:id="161"/>
    </w:p>
    <w:p>
      <w:pPr>
        <w:numPr>
          <w:ilvl w:val="1"/>
          <w:numId w:val="14"/>
        </w:numPr>
        <w:tabs>
          <w:tab w:val="left" w:pos="0"/>
          <w:tab w:val="left" w:pos="840"/>
          <w:tab w:val="clear" w:pos="567"/>
        </w:tabs>
        <w:spacing w:line="360" w:lineRule="auto"/>
        <w:ind w:left="0" w:firstLine="420"/>
        <w:rPr>
          <w:rFonts w:hint="eastAsia" w:ascii="宋体" w:hAnsi="宋体" w:cs="宋体"/>
        </w:rPr>
      </w:pPr>
      <w:r>
        <w:rPr>
          <w:rFonts w:hint="eastAsia" w:ascii="宋体" w:hAnsi="宋体" w:cs="宋体"/>
        </w:rPr>
        <w:t>招标人和招标代理依照《中华人民共和国招投标法》、《中华人民共和国招标投标法实施条例》组建本项目评标委员会。评标委员会成员由技术、经济等方面的专家共5人组成。评标委员会成员享有同等的表决权。</w:t>
      </w:r>
    </w:p>
    <w:p>
      <w:pPr>
        <w:numPr>
          <w:ilvl w:val="1"/>
          <w:numId w:val="14"/>
        </w:numPr>
        <w:tabs>
          <w:tab w:val="left" w:pos="0"/>
          <w:tab w:val="left" w:pos="840"/>
          <w:tab w:val="clear" w:pos="567"/>
        </w:tabs>
        <w:spacing w:line="360" w:lineRule="auto"/>
        <w:ind w:left="0" w:firstLine="420"/>
        <w:rPr>
          <w:rFonts w:hint="eastAsia" w:ascii="宋体" w:hAnsi="宋体" w:cs="宋体"/>
        </w:rPr>
      </w:pPr>
      <w:r>
        <w:rPr>
          <w:rFonts w:hint="eastAsia" w:ascii="宋体" w:hAnsi="宋体" w:cs="宋体"/>
        </w:rPr>
        <w:t>评标委员会依据招标文件的规定对各投标文件进行评审，得出评标结果，提交评标报告。</w:t>
      </w:r>
    </w:p>
    <w:p>
      <w:pPr>
        <w:numPr>
          <w:ilvl w:val="1"/>
          <w:numId w:val="14"/>
        </w:numPr>
        <w:tabs>
          <w:tab w:val="left" w:pos="0"/>
          <w:tab w:val="left" w:pos="840"/>
          <w:tab w:val="clear" w:pos="567"/>
        </w:tabs>
        <w:spacing w:line="360" w:lineRule="auto"/>
        <w:ind w:left="0" w:firstLine="420"/>
        <w:rPr>
          <w:rFonts w:hint="eastAsia" w:ascii="宋体" w:hAnsi="宋体" w:cs="宋体"/>
        </w:rPr>
      </w:pPr>
      <w:r>
        <w:rPr>
          <w:rFonts w:hint="eastAsia" w:ascii="宋体" w:hAnsi="宋体" w:cs="宋体"/>
        </w:rPr>
        <w:t>评标委员会经评审，认为所有投标都不符合招标文件要求的，可以否决所有投标。</w:t>
      </w:r>
    </w:p>
    <w:p>
      <w:pPr>
        <w:spacing w:line="360" w:lineRule="auto"/>
        <w:rPr>
          <w:rFonts w:hint="eastAsia" w:ascii="宋体" w:hAnsi="宋体" w:cs="宋体"/>
        </w:rPr>
      </w:pPr>
    </w:p>
    <w:p>
      <w:pPr>
        <w:pStyle w:val="2"/>
        <w:numPr>
          <w:ilvl w:val="0"/>
          <w:numId w:val="14"/>
        </w:numPr>
        <w:spacing w:before="120" w:after="120" w:line="360" w:lineRule="auto"/>
        <w:rPr>
          <w:rFonts w:hint="eastAsia" w:ascii="宋体" w:hAnsi="宋体" w:cs="宋体"/>
          <w:sz w:val="28"/>
          <w:szCs w:val="28"/>
        </w:rPr>
      </w:pPr>
      <w:bookmarkStart w:id="162" w:name="_Toc477186339"/>
      <w:bookmarkStart w:id="163" w:name="_Toc16217_WPSOffice_Level1"/>
      <w:bookmarkStart w:id="164" w:name="_Toc477185978"/>
      <w:bookmarkStart w:id="165" w:name="_Toc29107_WPSOffice_Level1"/>
      <w:bookmarkStart w:id="166" w:name="_Toc16947_WPSOffice_Level1"/>
      <w:bookmarkStart w:id="167" w:name="_Toc99012606"/>
      <w:bookmarkStart w:id="168" w:name="_Toc5758"/>
      <w:bookmarkStart w:id="169" w:name="_Toc476177441"/>
      <w:bookmarkStart w:id="170" w:name="_Toc476178001"/>
      <w:r>
        <w:rPr>
          <w:rFonts w:hint="eastAsia" w:ascii="宋体" w:hAnsi="宋体" w:cs="宋体"/>
          <w:sz w:val="28"/>
          <w:szCs w:val="28"/>
        </w:rPr>
        <w:t>投标文件的澄清</w:t>
      </w:r>
      <w:bookmarkEnd w:id="162"/>
      <w:bookmarkEnd w:id="163"/>
      <w:bookmarkEnd w:id="164"/>
      <w:bookmarkEnd w:id="165"/>
      <w:bookmarkEnd w:id="166"/>
      <w:bookmarkEnd w:id="167"/>
      <w:bookmarkEnd w:id="168"/>
      <w:bookmarkEnd w:id="169"/>
      <w:bookmarkEnd w:id="170"/>
    </w:p>
    <w:p>
      <w:pPr>
        <w:numPr>
          <w:ilvl w:val="1"/>
          <w:numId w:val="14"/>
        </w:numPr>
        <w:tabs>
          <w:tab w:val="left" w:pos="0"/>
          <w:tab w:val="left" w:pos="420"/>
          <w:tab w:val="left" w:pos="630"/>
          <w:tab w:val="left" w:pos="840"/>
          <w:tab w:val="clear" w:pos="567"/>
        </w:tabs>
        <w:spacing w:line="360" w:lineRule="auto"/>
        <w:ind w:left="0" w:firstLine="420"/>
        <w:rPr>
          <w:rFonts w:hint="eastAsia" w:ascii="宋体" w:hAnsi="宋体" w:cs="宋体"/>
        </w:rPr>
      </w:pPr>
      <w:r>
        <w:rPr>
          <w:rFonts w:hint="eastAsia" w:ascii="宋体" w:hAnsi="宋体" w:cs="宋体"/>
        </w:rPr>
        <w:t>除评标委员会主动要求澄清外，从开标后至授予合同期间，任何投标人均不得就与其投标相关的任何问题与评标委员会联系。</w:t>
      </w:r>
    </w:p>
    <w:p>
      <w:pPr>
        <w:numPr>
          <w:ilvl w:val="1"/>
          <w:numId w:val="14"/>
        </w:numPr>
        <w:tabs>
          <w:tab w:val="left" w:pos="0"/>
          <w:tab w:val="left" w:pos="420"/>
          <w:tab w:val="left" w:pos="630"/>
          <w:tab w:val="left" w:pos="840"/>
          <w:tab w:val="clear" w:pos="567"/>
        </w:tabs>
        <w:spacing w:line="360" w:lineRule="auto"/>
        <w:ind w:left="0" w:firstLine="420"/>
        <w:rPr>
          <w:rFonts w:hint="eastAsia" w:ascii="宋体" w:hAnsi="宋体" w:cs="宋体"/>
        </w:rPr>
      </w:pPr>
      <w:r>
        <w:rPr>
          <w:rFonts w:hint="eastAsia" w:ascii="宋体" w:hAnsi="宋体" w:cs="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hint="eastAsia" w:ascii="宋体" w:hAnsi="宋体" w:cs="宋体"/>
        </w:rPr>
      </w:pPr>
    </w:p>
    <w:p>
      <w:pPr>
        <w:pStyle w:val="2"/>
        <w:numPr>
          <w:ilvl w:val="0"/>
          <w:numId w:val="14"/>
        </w:numPr>
        <w:spacing w:before="120" w:after="120" w:line="360" w:lineRule="auto"/>
        <w:rPr>
          <w:rFonts w:hint="eastAsia" w:ascii="宋体" w:hAnsi="宋体" w:cs="宋体"/>
          <w:sz w:val="28"/>
          <w:szCs w:val="28"/>
        </w:rPr>
      </w:pPr>
      <w:bookmarkStart w:id="171" w:name="_Toc476178002"/>
      <w:bookmarkStart w:id="172" w:name="_Toc477186340"/>
      <w:bookmarkStart w:id="173" w:name="_Toc99012607"/>
      <w:bookmarkStart w:id="174" w:name="_Toc1790"/>
      <w:bookmarkStart w:id="175" w:name="_Toc1722_WPSOffice_Level1"/>
      <w:bookmarkStart w:id="176" w:name="_Toc26707_WPSOffice_Level1"/>
      <w:bookmarkStart w:id="177" w:name="_Toc476177442"/>
      <w:bookmarkStart w:id="178" w:name="_Toc477185979"/>
      <w:bookmarkStart w:id="179" w:name="_Toc13231_WPSOffice_Level1"/>
      <w:r>
        <w:rPr>
          <w:rFonts w:hint="eastAsia" w:ascii="宋体" w:hAnsi="宋体" w:cs="宋体"/>
          <w:sz w:val="28"/>
          <w:szCs w:val="28"/>
        </w:rPr>
        <w:t>评标原则和评标办法</w:t>
      </w:r>
      <w:bookmarkEnd w:id="171"/>
      <w:bookmarkEnd w:id="172"/>
      <w:bookmarkEnd w:id="173"/>
      <w:bookmarkEnd w:id="174"/>
      <w:bookmarkEnd w:id="175"/>
      <w:bookmarkEnd w:id="176"/>
      <w:bookmarkEnd w:id="177"/>
      <w:bookmarkEnd w:id="178"/>
      <w:bookmarkEnd w:id="179"/>
    </w:p>
    <w:p>
      <w:pPr>
        <w:numPr>
          <w:ilvl w:val="1"/>
          <w:numId w:val="14"/>
        </w:numPr>
        <w:tabs>
          <w:tab w:val="left" w:pos="0"/>
          <w:tab w:val="left" w:pos="420"/>
          <w:tab w:val="left" w:pos="630"/>
          <w:tab w:val="left" w:pos="840"/>
          <w:tab w:val="clear" w:pos="567"/>
        </w:tabs>
        <w:spacing w:line="360" w:lineRule="auto"/>
        <w:ind w:left="0" w:firstLine="420"/>
        <w:rPr>
          <w:rFonts w:hint="eastAsia" w:ascii="宋体" w:hAnsi="宋体" w:cs="宋体"/>
        </w:rPr>
      </w:pPr>
      <w:r>
        <w:rPr>
          <w:rFonts w:hint="eastAsia" w:ascii="宋体" w:hAnsi="宋体" w:cs="宋体"/>
        </w:rPr>
        <w:t>评标工作应依据《中华人民共和国招标投标法》《中华人民共和国招标投标法实施条例》以及《评标委员会和评标方法暂行规定》以及国家和地方政府有关招标投标法规、实施办法的有关规定，遵循“公平、公正、科学、择优”的原则进行评标。</w:t>
      </w:r>
    </w:p>
    <w:p>
      <w:pPr>
        <w:numPr>
          <w:ilvl w:val="1"/>
          <w:numId w:val="14"/>
        </w:numPr>
        <w:tabs>
          <w:tab w:val="left" w:pos="0"/>
          <w:tab w:val="left" w:pos="420"/>
          <w:tab w:val="left" w:pos="630"/>
          <w:tab w:val="left" w:pos="840"/>
          <w:tab w:val="clear" w:pos="567"/>
        </w:tabs>
        <w:spacing w:line="360" w:lineRule="auto"/>
        <w:ind w:left="0" w:firstLine="420"/>
        <w:rPr>
          <w:rFonts w:hint="eastAsia" w:ascii="宋体" w:hAnsi="宋体" w:cs="宋体"/>
        </w:rPr>
      </w:pPr>
      <w:r>
        <w:rPr>
          <w:rFonts w:hint="eastAsia" w:ascii="宋体" w:hAnsi="宋体" w:cs="宋体"/>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14"/>
        </w:numPr>
        <w:tabs>
          <w:tab w:val="left" w:pos="945"/>
        </w:tabs>
        <w:spacing w:line="360" w:lineRule="auto"/>
        <w:ind w:left="0" w:firstLine="525" w:firstLineChars="250"/>
        <w:rPr>
          <w:rFonts w:hint="eastAsia" w:ascii="宋体" w:hAnsi="宋体" w:cs="宋体"/>
        </w:rPr>
      </w:pPr>
      <w:r>
        <w:rPr>
          <w:rFonts w:hint="eastAsia" w:ascii="宋体" w:hAnsi="宋体" w:cs="宋体"/>
        </w:rPr>
        <w:t>评标委员会将按照规定只对通过初步评审的投标文件进行评价和比较。评标委员会有权根据有关规定否决所有投标。评标委员会不直接向落标方解释落标原因，不退回投标文件。</w:t>
      </w:r>
    </w:p>
    <w:p>
      <w:pPr>
        <w:numPr>
          <w:ilvl w:val="1"/>
          <w:numId w:val="14"/>
        </w:numPr>
        <w:tabs>
          <w:tab w:val="left" w:pos="945"/>
        </w:tabs>
        <w:spacing w:line="360" w:lineRule="auto"/>
        <w:ind w:left="0" w:firstLine="525" w:firstLineChars="250"/>
        <w:rPr>
          <w:rFonts w:hint="eastAsia" w:ascii="宋体" w:hAnsi="宋体" w:cs="宋体"/>
        </w:rPr>
      </w:pPr>
      <w:r>
        <w:rPr>
          <w:rFonts w:hint="eastAsia" w:ascii="宋体" w:hAnsi="宋体" w:cs="宋体"/>
        </w:rPr>
        <w:t>评标方法</w:t>
      </w:r>
    </w:p>
    <w:p>
      <w:pPr>
        <w:tabs>
          <w:tab w:val="left" w:pos="945"/>
        </w:tabs>
        <w:spacing w:line="360" w:lineRule="auto"/>
        <w:ind w:firstLine="525" w:firstLineChars="250"/>
        <w:rPr>
          <w:rFonts w:hint="eastAsia" w:ascii="宋体" w:hAnsi="宋体" w:cs="宋体"/>
          <w:b/>
        </w:rPr>
      </w:pPr>
      <w:r>
        <w:rPr>
          <w:rFonts w:hint="eastAsia" w:ascii="宋体" w:hAnsi="宋体" w:cs="宋体"/>
        </w:rPr>
        <w:t>5.4.1  本评标办法采用综合评分法。</w:t>
      </w:r>
    </w:p>
    <w:p>
      <w:pPr>
        <w:tabs>
          <w:tab w:val="left" w:pos="945"/>
        </w:tabs>
        <w:spacing w:line="360" w:lineRule="auto"/>
        <w:ind w:left="-23" w:leftChars="-11" w:firstLine="527" w:firstLineChars="250"/>
        <w:rPr>
          <w:rFonts w:hint="eastAsia"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hint="eastAsia"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hint="eastAsia"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hint="eastAsia" w:ascii="宋体" w:hAnsi="宋体"/>
          <w:b/>
          <w:bCs/>
        </w:rPr>
      </w:pPr>
      <w:r>
        <w:rPr>
          <w:rFonts w:hint="eastAsia" w:ascii="宋体" w:hAnsi="宋体"/>
          <w:b/>
          <w:bCs/>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hint="eastAsia" w:ascii="宋体" w:hAnsi="宋体"/>
          <w:b/>
          <w:bCs/>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hint="eastAsia" w:ascii="宋体" w:hAnsi="宋体" w:cs="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rPr>
          <w:rFonts w:hint="eastAsia" w:ascii="宋体" w:hAnsi="宋体" w:cs="宋体"/>
        </w:rPr>
      </w:pPr>
      <w:r>
        <w:rPr>
          <w:rFonts w:hint="eastAsia" w:ascii="宋体" w:hAnsi="宋体" w:cs="宋体"/>
        </w:rPr>
        <w:t>5.5.</w:t>
      </w:r>
      <w:bookmarkStart w:id="180" w:name="_Toc99012608"/>
      <w:r>
        <w:rPr>
          <w:rFonts w:hint="eastAsia" w:ascii="宋体" w:hAnsi="宋体" w:cs="宋体"/>
          <w:szCs w:val="28"/>
        </w:rPr>
        <w:t xml:space="preserve"> 评标流程</w:t>
      </w:r>
      <w:bookmarkEnd w:id="180"/>
    </w:p>
    <w:p>
      <w:pPr>
        <w:tabs>
          <w:tab w:val="left" w:pos="945"/>
        </w:tabs>
        <w:spacing w:before="120" w:after="120" w:line="360" w:lineRule="auto"/>
        <w:ind w:firstLine="525" w:firstLineChars="250"/>
        <w:rPr>
          <w:rFonts w:hint="eastAsia" w:ascii="宋体" w:hAnsi="宋体" w:cs="宋体"/>
        </w:rPr>
      </w:pPr>
      <w:bookmarkStart w:id="181" w:name="_Toc10388_WPSOffice_Level1"/>
      <w:bookmarkStart w:id="182" w:name="_Toc10564_WPSOffice_Level1"/>
      <w:bookmarkStart w:id="183" w:name="_Toc3202_WPSOffice_Level1"/>
      <w:r>
        <w:rPr>
          <w:rFonts w:hint="eastAsia" w:ascii="宋体" w:hAnsi="宋体" w:cs="宋体"/>
        </w:rPr>
        <w:t>5.5.1初步评审</w:t>
      </w:r>
      <w:bookmarkEnd w:id="181"/>
      <w:bookmarkEnd w:id="182"/>
      <w:bookmarkEnd w:id="183"/>
    </w:p>
    <w:p>
      <w:pPr>
        <w:tabs>
          <w:tab w:val="left" w:pos="945"/>
        </w:tabs>
        <w:spacing w:line="360" w:lineRule="auto"/>
        <w:ind w:firstLine="527" w:firstLineChars="250"/>
        <w:rPr>
          <w:rFonts w:hint="eastAsia" w:ascii="宋体" w:hAnsi="宋体" w:cs="宋体"/>
          <w:szCs w:val="21"/>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firstLine="525" w:firstLineChars="250"/>
        <w:rPr>
          <w:rFonts w:hint="eastAsia" w:ascii="宋体" w:hAnsi="宋体"/>
          <w:szCs w:val="21"/>
        </w:rPr>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hint="eastAsia"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r>
        <w:rPr>
          <w:rFonts w:hint="eastAsia" w:ascii="宋体" w:hAnsi="宋体"/>
        </w:rPr>
        <w:t>相关要求</w:t>
      </w:r>
      <w:r>
        <w:rPr>
          <w:rFonts w:ascii="宋体" w:hAnsi="宋体"/>
        </w:rPr>
        <w:t>。</w:t>
      </w:r>
    </w:p>
    <w:p>
      <w:pPr>
        <w:tabs>
          <w:tab w:val="left" w:pos="945"/>
        </w:tabs>
        <w:spacing w:line="360" w:lineRule="auto"/>
        <w:ind w:firstLine="525" w:firstLineChars="250"/>
        <w:rPr>
          <w:rFonts w:hint="eastAsia"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w:t>
      </w:r>
      <w:r>
        <w:rPr>
          <w:rFonts w:hint="eastAsia" w:ascii="宋体" w:hAnsi="宋体"/>
        </w:rPr>
        <w:t>（或服务）</w:t>
      </w:r>
      <w:r>
        <w:rPr>
          <w:rFonts w:ascii="宋体" w:hAnsi="宋体"/>
        </w:rPr>
        <w:t>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hint="eastAsia" w:ascii="宋体" w:hAnsi="宋体"/>
        </w:rPr>
      </w:pPr>
      <w:r>
        <w:rPr>
          <w:rFonts w:ascii="宋体" w:hAnsi="宋体"/>
        </w:rPr>
        <w:t>d.无效投标的认定</w:t>
      </w:r>
    </w:p>
    <w:p>
      <w:pPr>
        <w:tabs>
          <w:tab w:val="left" w:pos="1030"/>
        </w:tabs>
        <w:spacing w:line="360" w:lineRule="auto"/>
        <w:ind w:firstLine="527" w:firstLineChars="250"/>
        <w:rPr>
          <w:rFonts w:hint="eastAsia" w:ascii="宋体" w:hAnsi="宋体"/>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rPr>
          <w:rFonts w:hint="eastAsia" w:ascii="宋体" w:hAnsi="宋体"/>
          <w:bCs/>
        </w:rPr>
      </w:pPr>
      <w:r>
        <w:rPr>
          <w:rFonts w:ascii="宋体" w:hAnsi="宋体"/>
          <w:bCs/>
        </w:rPr>
        <w:t>5.5.2详细评审</w:t>
      </w:r>
    </w:p>
    <w:p>
      <w:pPr>
        <w:tabs>
          <w:tab w:val="left" w:pos="945"/>
        </w:tabs>
        <w:spacing w:line="360" w:lineRule="auto"/>
        <w:ind w:firstLine="525" w:firstLineChars="250"/>
        <w:rPr>
          <w:rFonts w:hint="eastAsia"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hint="eastAsia"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hint="eastAsia" w:ascii="宋体" w:hAnsi="宋体"/>
        </w:rPr>
      </w:pPr>
      <w:r>
        <w:rPr>
          <w:rFonts w:ascii="宋体" w:hAnsi="宋体"/>
        </w:rPr>
        <w:t>c.价格的核准和评分</w:t>
      </w:r>
    </w:p>
    <w:p>
      <w:pPr>
        <w:tabs>
          <w:tab w:val="left" w:pos="0"/>
        </w:tabs>
        <w:spacing w:line="360" w:lineRule="auto"/>
        <w:ind w:firstLine="420" w:firstLineChars="200"/>
        <w:rPr>
          <w:rFonts w:hint="eastAsia" w:ascii="宋体" w:hAnsi="宋体"/>
        </w:rPr>
      </w:pPr>
      <w:r>
        <w:rPr>
          <w:rFonts w:ascii="宋体" w:hAnsi="宋体"/>
        </w:rPr>
        <w:t>a)</w:t>
      </w:r>
      <w:r>
        <w:rPr>
          <w:rFonts w:hint="eastAsia" w:ascii="宋体" w:hAnsi="宋体"/>
        </w:rPr>
        <w:t xml:space="preserve"> </w:t>
      </w:r>
      <w:r>
        <w:rPr>
          <w:rFonts w:ascii="宋体" w:hAnsi="宋体"/>
        </w:rPr>
        <w:t>评标委员会详细分析、核准价格表，看其是否有计算上或累加上的算术错误，修正错误的原则如下：</w:t>
      </w:r>
    </w:p>
    <w:p>
      <w:pPr>
        <w:spacing w:line="360" w:lineRule="auto"/>
        <w:ind w:firstLine="420" w:firstLineChars="200"/>
        <w:rPr>
          <w:rFonts w:hint="eastAsia"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hint="eastAsia"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hint="eastAsia"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hint="eastAsia" w:ascii="宋体" w:hAnsi="宋体"/>
        </w:rPr>
      </w:pPr>
      <w:r>
        <w:rPr>
          <w:rFonts w:hint="eastAsia" w:ascii="宋体" w:hAnsi="宋体"/>
        </w:rPr>
        <w:t>（5）</w:t>
      </w:r>
      <w:r>
        <w:rPr>
          <w:rFonts w:ascii="宋体" w:hAnsi="宋体"/>
        </w:rPr>
        <w:t>需要投标人提供的专用工具、备品、配件以及相关服务所需的费用，如果是另外单独报价的话，评分时应计入投标报价。</w:t>
      </w:r>
    </w:p>
    <w:p>
      <w:pPr>
        <w:tabs>
          <w:tab w:val="left" w:pos="0"/>
        </w:tabs>
        <w:spacing w:line="360" w:lineRule="auto"/>
        <w:ind w:firstLine="420" w:firstLineChars="200"/>
        <w:rPr>
          <w:rFonts w:hint="eastAsia"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hint="eastAsia" w:ascii="宋体" w:hAnsi="宋体"/>
        </w:rPr>
      </w:pPr>
      <w:r>
        <w:rPr>
          <w:rFonts w:ascii="宋体" w:hAnsi="宋体"/>
        </w:rPr>
        <w:t>b) 评标委员会将按上述修正错误的方法调整投标文件中的投标报价，调整后的价格对投标人具有约束力。如果投标人不接受修正后的价格，则其投标将被拒绝。</w:t>
      </w:r>
    </w:p>
    <w:p>
      <w:pPr>
        <w:tabs>
          <w:tab w:val="left" w:pos="0"/>
        </w:tabs>
        <w:spacing w:line="360" w:lineRule="auto"/>
        <w:ind w:firstLine="420" w:firstLineChars="200"/>
        <w:jc w:val="left"/>
        <w:rPr>
          <w:rFonts w:hint="eastAsia" w:ascii="宋体" w:hAnsi="宋体" w:cs="宋体"/>
        </w:rPr>
      </w:pPr>
      <w:r>
        <w:rPr>
          <w:rFonts w:ascii="宋体" w:hAnsi="宋体"/>
        </w:rPr>
        <w:t xml:space="preserve">c) </w:t>
      </w:r>
      <w:r>
        <w:rPr>
          <w:rFonts w:hint="eastAsia" w:ascii="宋体" w:hAnsi="宋体" w:cs="宋体"/>
        </w:rPr>
        <w:t>价格评分：</w:t>
      </w:r>
    </w:p>
    <w:p>
      <w:pPr>
        <w:spacing w:line="360" w:lineRule="auto"/>
        <w:ind w:left="420" w:leftChars="200" w:firstLine="426"/>
        <w:rPr>
          <w:rFonts w:hint="eastAsia" w:ascii="宋体" w:hAnsi="宋体" w:cs="宋体"/>
          <w:szCs w:val="21"/>
        </w:rPr>
      </w:pPr>
      <w:bookmarkStart w:id="184" w:name="_Toc173256012"/>
      <w:bookmarkStart w:id="185" w:name="_Toc173262603"/>
      <w:bookmarkStart w:id="186" w:name="_Toc173140973"/>
      <w:r>
        <w:rPr>
          <w:rFonts w:hint="eastAsia" w:ascii="宋体" w:hAnsi="宋体" w:cs="宋体"/>
          <w:szCs w:val="21"/>
        </w:rPr>
        <w:t>各有效投标供应商的评标价（含税的投标报价）中各有效投标供应商的价格评分统一按照下列公式计算：</w:t>
      </w:r>
    </w:p>
    <w:p>
      <w:pPr>
        <w:numPr>
          <w:ilvl w:val="0"/>
          <w:numId w:val="16"/>
        </w:numPr>
        <w:spacing w:line="360" w:lineRule="auto"/>
        <w:ind w:left="420" w:leftChars="200" w:firstLine="495" w:firstLineChars="236"/>
        <w:rPr>
          <w:rFonts w:hint="eastAsia" w:ascii="宋体" w:hAnsi="宋体" w:cs="宋体"/>
          <w:szCs w:val="21"/>
        </w:rPr>
      </w:pPr>
      <w:r>
        <w:rPr>
          <w:rFonts w:hint="eastAsia" w:ascii="宋体" w:hAnsi="宋体" w:cs="宋体"/>
          <w:szCs w:val="21"/>
        </w:rPr>
        <w:t>价格不能超过预算，否则就视为自动放弃本次投标权利</w:t>
      </w:r>
    </w:p>
    <w:p>
      <w:pPr>
        <w:numPr>
          <w:ilvl w:val="0"/>
          <w:numId w:val="16"/>
        </w:numPr>
        <w:snapToGrid w:val="0"/>
        <w:spacing w:line="360" w:lineRule="auto"/>
        <w:ind w:left="420" w:leftChars="200" w:firstLine="495" w:firstLineChars="236"/>
        <w:rPr>
          <w:rFonts w:hint="eastAsia" w:ascii="宋体" w:hAnsi="宋体" w:cs="宋体"/>
          <w:szCs w:val="21"/>
        </w:rPr>
      </w:pPr>
      <w:r>
        <w:rPr>
          <w:rFonts w:hint="eastAsia" w:ascii="宋体" w:hAnsi="宋体" w:cs="宋体"/>
          <w:szCs w:val="21"/>
        </w:rPr>
        <w:t>投标人评标价及评标基准价的确认：</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通过初审的有效投标人进入价格评分。评标委员会对通过初审的投标文件的投标报价进行复核及算术修正，修正后的价格为投标人的评标价。</w:t>
      </w:r>
    </w:p>
    <w:bookmarkEnd w:id="184"/>
    <w:bookmarkEnd w:id="185"/>
    <w:bookmarkEnd w:id="186"/>
    <w:p>
      <w:pPr>
        <w:snapToGrid w:val="0"/>
        <w:spacing w:line="360" w:lineRule="auto"/>
        <w:ind w:left="420" w:firstLine="422" w:firstLineChars="200"/>
        <w:rPr>
          <w:rFonts w:hint="eastAsia" w:ascii="宋体" w:hAnsi="宋体" w:cs="宋体"/>
          <w:b/>
          <w:bCs/>
          <w:szCs w:val="21"/>
        </w:rPr>
      </w:pPr>
      <w:r>
        <w:rPr>
          <w:rFonts w:hint="eastAsia" w:ascii="宋体" w:hAnsi="宋体" w:cs="宋体"/>
          <w:b/>
          <w:bCs/>
          <w:szCs w:val="21"/>
        </w:rPr>
        <w:t>1）评标基准价的计算</w:t>
      </w:r>
    </w:p>
    <w:p>
      <w:pPr>
        <w:snapToGrid w:val="0"/>
        <w:spacing w:line="360" w:lineRule="auto"/>
        <w:ind w:left="420" w:firstLine="420" w:firstLineChars="200"/>
        <w:rPr>
          <w:rFonts w:hint="eastAsia" w:ascii="宋体" w:hAnsi="宋体"/>
          <w:szCs w:val="21"/>
        </w:rPr>
      </w:pPr>
      <w:r>
        <w:rPr>
          <w:rFonts w:hint="eastAsia" w:ascii="宋体" w:hAnsi="宋体"/>
          <w:szCs w:val="21"/>
        </w:rPr>
        <w:t>①通过符合性审查的投标人少于6家（</w:t>
      </w:r>
      <w:r>
        <w:rPr>
          <w:rFonts w:hint="eastAsia" w:ascii="仿宋_GB2312" w:hAnsi="仿宋_GB2312" w:eastAsia="仿宋_GB2312" w:cs="仿宋_GB2312"/>
          <w:szCs w:val="21"/>
        </w:rPr>
        <w:t>＜</w:t>
      </w:r>
      <w:r>
        <w:rPr>
          <w:rFonts w:hint="eastAsia" w:ascii="宋体" w:hAnsi="宋体"/>
          <w:szCs w:val="21"/>
        </w:rPr>
        <w:t>6）时：</w:t>
      </w:r>
    </w:p>
    <w:p>
      <w:pPr>
        <w:snapToGrid w:val="0"/>
        <w:spacing w:line="360" w:lineRule="auto"/>
        <w:ind w:left="420" w:firstLine="420" w:firstLineChars="200"/>
        <w:rPr>
          <w:rFonts w:hint="eastAsia" w:ascii="宋体" w:hAnsi="宋体"/>
          <w:szCs w:val="21"/>
        </w:rPr>
      </w:pPr>
      <w:r>
        <w:rPr>
          <w:rFonts w:hint="eastAsia" w:ascii="宋体" w:hAnsi="宋体"/>
          <w:szCs w:val="21"/>
        </w:rPr>
        <w:t>评标基准价＝所有有效投标人的评标总价的算术平均值</w:t>
      </w:r>
    </w:p>
    <w:p>
      <w:pPr>
        <w:snapToGrid w:val="0"/>
        <w:spacing w:line="360" w:lineRule="auto"/>
        <w:ind w:left="420" w:firstLine="420" w:firstLineChars="200"/>
        <w:rPr>
          <w:rFonts w:hint="eastAsia" w:ascii="宋体" w:hAnsi="宋体"/>
          <w:szCs w:val="21"/>
        </w:rPr>
      </w:pPr>
      <w:r>
        <w:rPr>
          <w:rFonts w:hint="eastAsia" w:ascii="宋体" w:hAnsi="宋体"/>
          <w:szCs w:val="21"/>
        </w:rPr>
        <w:t>②通过符合性审查的投标人不少于6家（即≥6）时：</w:t>
      </w:r>
    </w:p>
    <w:p>
      <w:pPr>
        <w:snapToGrid w:val="0"/>
        <w:spacing w:line="360" w:lineRule="auto"/>
        <w:ind w:left="420" w:firstLine="420" w:firstLineChars="200"/>
        <w:rPr>
          <w:rFonts w:hint="eastAsia" w:ascii="宋体" w:hAnsi="宋体" w:cs="宋体"/>
          <w:szCs w:val="21"/>
        </w:rPr>
      </w:pPr>
      <w:r>
        <w:rPr>
          <w:rFonts w:hint="eastAsia" w:ascii="宋体" w:hAnsi="宋体"/>
          <w:szCs w:val="21"/>
        </w:rPr>
        <w:t>评标基准价＝所有有效投标人的评标总价去掉一个最高价和一个最低价后的算术平均值</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2）价格评分</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a) 当评标总价等于评标基准价，投标人的价格评分为30分；</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b) 当评标总价高于评标基准价，投标人的价格评分按下式计算（每高1％，扣0.1分，扣完为止）：</w:t>
      </w:r>
    </w:p>
    <w:p>
      <w:pPr>
        <w:snapToGrid w:val="0"/>
        <w:spacing w:line="360" w:lineRule="auto"/>
        <w:ind w:left="420" w:firstLine="420" w:firstLineChars="200"/>
        <w:rPr>
          <w:rFonts w:hint="eastAsia" w:ascii="宋体" w:hAnsi="宋体" w:cs="宋体"/>
          <w:szCs w:val="21"/>
        </w:rPr>
      </w:pPr>
      <w:r>
        <w:rPr>
          <w:rFonts w:hint="eastAsia" w:ascii="宋体" w:hAnsi="宋体"/>
          <w:szCs w:val="21"/>
        </w:rPr>
        <w:t>投标人的价格评分=30-[（投标人的评标总价-评标基准价）/评标基准价]×100×0.1（四舍五入，小数点后保留两位有效数字）</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c) 当评标总价低于评标基准价，投标人的价格评分按下式计算（每低1％，扣0.05分，扣完为止）：</w:t>
      </w:r>
    </w:p>
    <w:p>
      <w:pPr>
        <w:snapToGrid w:val="0"/>
        <w:spacing w:line="360" w:lineRule="auto"/>
        <w:ind w:left="420" w:firstLine="420" w:firstLineChars="200"/>
        <w:rPr>
          <w:rFonts w:hint="eastAsia" w:ascii="宋体" w:hAnsi="宋体" w:cs="宋体"/>
          <w:szCs w:val="21"/>
        </w:rPr>
      </w:pPr>
      <w:r>
        <w:rPr>
          <w:rFonts w:hint="eastAsia" w:ascii="宋体" w:hAnsi="宋体"/>
          <w:szCs w:val="21"/>
        </w:rPr>
        <w:t>投标人的价格评分=30-[（评标基准价-投标人的评标总价）/评标基准价]×100×0.05（四舍五入，小数点后保留两位有效数字）</w:t>
      </w:r>
    </w:p>
    <w:p>
      <w:pPr>
        <w:tabs>
          <w:tab w:val="left" w:pos="0"/>
        </w:tabs>
        <w:spacing w:line="360" w:lineRule="auto"/>
        <w:ind w:firstLine="420" w:firstLineChars="200"/>
        <w:rPr>
          <w:rFonts w:hint="eastAsia" w:ascii="宋体" w:hAnsi="宋体" w:cs="宋体"/>
        </w:rPr>
      </w:pPr>
      <w:r>
        <w:rPr>
          <w:rFonts w:hint="eastAsia" w:ascii="宋体" w:hAnsi="宋体" w:cs="宋体"/>
        </w:rPr>
        <w:t>d）技术、商务及价格权重分配：</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vAlign w:val="center"/>
          </w:tcPr>
          <w:p>
            <w:pPr>
              <w:jc w:val="center"/>
              <w:rPr>
                <w:rFonts w:hint="eastAsia" w:ascii="宋体" w:hAnsi="宋体" w:cs="宋体"/>
              </w:rPr>
            </w:pPr>
            <w:r>
              <w:rPr>
                <w:rFonts w:hint="eastAsia" w:ascii="宋体" w:hAnsi="宋体" w:cs="宋体"/>
              </w:rPr>
              <w:t>评分项目</w:t>
            </w:r>
          </w:p>
        </w:tc>
        <w:tc>
          <w:tcPr>
            <w:tcW w:w="1808" w:type="dxa"/>
            <w:vAlign w:val="center"/>
          </w:tcPr>
          <w:p>
            <w:pPr>
              <w:jc w:val="center"/>
              <w:rPr>
                <w:rFonts w:hint="eastAsia" w:ascii="宋体" w:hAnsi="宋体" w:cs="宋体"/>
              </w:rPr>
            </w:pPr>
            <w:r>
              <w:rPr>
                <w:rFonts w:hint="eastAsia" w:ascii="宋体" w:hAnsi="宋体" w:cs="宋体"/>
              </w:rPr>
              <w:t>技术评分</w:t>
            </w:r>
          </w:p>
        </w:tc>
        <w:tc>
          <w:tcPr>
            <w:tcW w:w="1808" w:type="dxa"/>
            <w:vAlign w:val="center"/>
          </w:tcPr>
          <w:p>
            <w:pPr>
              <w:jc w:val="center"/>
              <w:rPr>
                <w:rFonts w:hint="eastAsia" w:ascii="宋体" w:hAnsi="宋体" w:cs="宋体"/>
              </w:rPr>
            </w:pPr>
            <w:r>
              <w:rPr>
                <w:rFonts w:hint="eastAsia" w:ascii="宋体" w:hAnsi="宋体" w:cs="宋体"/>
              </w:rPr>
              <w:t>商务评分</w:t>
            </w:r>
          </w:p>
        </w:tc>
        <w:tc>
          <w:tcPr>
            <w:tcW w:w="1806" w:type="dxa"/>
            <w:vAlign w:val="center"/>
          </w:tcPr>
          <w:p>
            <w:pPr>
              <w:jc w:val="center"/>
              <w:rPr>
                <w:rFonts w:hint="eastAsia" w:ascii="宋体" w:hAnsi="宋体" w:cs="宋体"/>
              </w:rPr>
            </w:pPr>
            <w:r>
              <w:rPr>
                <w:rFonts w:hint="eastAsia" w:ascii="宋体" w:hAnsi="宋体" w:cs="宋体"/>
              </w:rPr>
              <w:t>价格评分</w:t>
            </w:r>
          </w:p>
        </w:tc>
        <w:tc>
          <w:tcPr>
            <w:tcW w:w="1806" w:type="dxa"/>
            <w:vAlign w:val="center"/>
          </w:tcPr>
          <w:p>
            <w:pPr>
              <w:jc w:val="center"/>
              <w:rPr>
                <w:rFonts w:hint="eastAsia" w:ascii="宋体" w:hAnsi="宋体" w:cs="宋体"/>
              </w:rPr>
            </w:pPr>
            <w:r>
              <w:rPr>
                <w:rFonts w:hint="eastAsia" w:ascii="宋体" w:hAnsi="宋体" w:cs="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vAlign w:val="center"/>
          </w:tcPr>
          <w:p>
            <w:pPr>
              <w:jc w:val="center"/>
              <w:rPr>
                <w:rFonts w:hint="eastAsia" w:ascii="宋体" w:hAnsi="宋体" w:cs="宋体"/>
              </w:rPr>
            </w:pPr>
            <w:r>
              <w:rPr>
                <w:rFonts w:hint="eastAsia" w:ascii="宋体" w:hAnsi="宋体" w:cs="宋体"/>
              </w:rPr>
              <w:t>分值</w:t>
            </w:r>
          </w:p>
        </w:tc>
        <w:tc>
          <w:tcPr>
            <w:tcW w:w="1808" w:type="dxa"/>
            <w:vAlign w:val="center"/>
          </w:tcPr>
          <w:p>
            <w:pPr>
              <w:jc w:val="center"/>
              <w:rPr>
                <w:rFonts w:hint="eastAsia" w:ascii="宋体" w:hAnsi="宋体" w:cs="宋体"/>
              </w:rPr>
            </w:pPr>
            <w:r>
              <w:rPr>
                <w:rFonts w:hint="eastAsia" w:ascii="宋体" w:hAnsi="宋体" w:cs="宋体"/>
              </w:rPr>
              <w:t>50</w:t>
            </w:r>
          </w:p>
        </w:tc>
        <w:tc>
          <w:tcPr>
            <w:tcW w:w="1808" w:type="dxa"/>
            <w:vAlign w:val="center"/>
          </w:tcPr>
          <w:p>
            <w:pPr>
              <w:jc w:val="center"/>
              <w:rPr>
                <w:rFonts w:hint="eastAsia" w:ascii="宋体" w:hAnsi="宋体" w:cs="宋体"/>
              </w:rPr>
            </w:pPr>
            <w:r>
              <w:rPr>
                <w:rFonts w:hint="eastAsia" w:ascii="宋体" w:hAnsi="宋体" w:cs="宋体"/>
              </w:rPr>
              <w:t>20</w:t>
            </w:r>
          </w:p>
        </w:tc>
        <w:tc>
          <w:tcPr>
            <w:tcW w:w="1806" w:type="dxa"/>
            <w:vAlign w:val="center"/>
          </w:tcPr>
          <w:p>
            <w:pPr>
              <w:jc w:val="center"/>
              <w:rPr>
                <w:rFonts w:hint="eastAsia" w:ascii="宋体" w:hAnsi="宋体" w:cs="宋体"/>
              </w:rPr>
            </w:pPr>
            <w:r>
              <w:rPr>
                <w:rFonts w:hint="eastAsia" w:ascii="宋体" w:hAnsi="宋体" w:cs="宋体"/>
              </w:rPr>
              <w:t>30</w:t>
            </w:r>
          </w:p>
        </w:tc>
        <w:tc>
          <w:tcPr>
            <w:tcW w:w="1806" w:type="dxa"/>
            <w:vAlign w:val="center"/>
          </w:tcPr>
          <w:p>
            <w:pPr>
              <w:jc w:val="center"/>
              <w:rPr>
                <w:rFonts w:hint="eastAsia" w:ascii="宋体" w:hAnsi="宋体" w:cs="宋体"/>
              </w:rPr>
            </w:pPr>
            <w:r>
              <w:rPr>
                <w:rFonts w:hint="eastAsia" w:ascii="宋体" w:hAnsi="宋体" w:cs="宋体"/>
              </w:rPr>
              <w:t>100</w:t>
            </w:r>
          </w:p>
        </w:tc>
      </w:tr>
    </w:tbl>
    <w:p>
      <w:pPr>
        <w:spacing w:line="360" w:lineRule="auto"/>
        <w:ind w:firstLine="420" w:firstLineChars="200"/>
        <w:rPr>
          <w:rFonts w:hint="eastAsia" w:ascii="宋体" w:hAnsi="宋体" w:cs="宋体"/>
        </w:rPr>
      </w:pPr>
      <w:r>
        <w:rPr>
          <w:rFonts w:hint="eastAsia" w:ascii="宋体" w:hAnsi="宋体" w:cs="宋体"/>
        </w:rPr>
        <w:t>e）根据上述技术、商务及价格的综合评分及其权重分配，代入下列公式计算各投标人的总得分。得分统计保留小数点后两位，第三位四舍五入。进入详细评审的各投标人的综合得分，按得分从高到低排名（综合得分相同时，投标总价低者优先；综合得分且投标总价相同的，技术商务得分高者优先）。</w:t>
      </w:r>
    </w:p>
    <w:p>
      <w:pPr>
        <w:spacing w:line="360" w:lineRule="auto"/>
        <w:ind w:firstLine="420" w:firstLineChars="200"/>
        <w:rPr>
          <w:rFonts w:hint="eastAsia" w:ascii="宋体" w:hAnsi="宋体" w:cs="宋体"/>
        </w:rPr>
      </w:pPr>
      <w:r>
        <w:rPr>
          <w:rFonts w:hint="eastAsia" w:ascii="宋体" w:hAnsi="宋体" w:cs="宋体"/>
        </w:rPr>
        <w:t>评标总得分=F1+ F2 +F3</w:t>
      </w:r>
    </w:p>
    <w:p>
      <w:pPr>
        <w:spacing w:line="360" w:lineRule="auto"/>
        <w:ind w:firstLine="420" w:firstLineChars="200"/>
        <w:rPr>
          <w:rFonts w:hint="eastAsia" w:ascii="宋体" w:hAnsi="宋体" w:cs="宋体"/>
        </w:rPr>
      </w:pPr>
      <w:r>
        <w:rPr>
          <w:rFonts w:hint="eastAsia" w:ascii="宋体" w:hAnsi="宋体" w:cs="宋体"/>
        </w:rPr>
        <w:t>其中，F1、F2、F3别为技术、商务及价格评分的汇总得分。</w:t>
      </w:r>
    </w:p>
    <w:p>
      <w:pPr>
        <w:spacing w:line="360" w:lineRule="auto"/>
        <w:ind w:firstLine="420" w:firstLineChars="200"/>
        <w:rPr>
          <w:rFonts w:hint="eastAsia" w:ascii="宋体" w:hAnsi="宋体" w:cs="宋体"/>
        </w:rPr>
      </w:pPr>
      <w:r>
        <w:rPr>
          <w:rFonts w:hint="eastAsia" w:ascii="宋体" w:hAnsi="宋体" w:cs="宋体"/>
        </w:rPr>
        <w:t>f）评分统计验算：评分统计的结果数据须经评标委员会验算并确认。</w:t>
      </w:r>
    </w:p>
    <w:p>
      <w:pPr>
        <w:spacing w:before="120" w:after="120" w:line="360" w:lineRule="auto"/>
        <w:ind w:firstLine="525" w:firstLineChars="250"/>
        <w:rPr>
          <w:rFonts w:hint="eastAsia" w:ascii="宋体" w:hAnsi="宋体" w:cs="宋体"/>
          <w:bCs/>
        </w:rPr>
      </w:pPr>
      <w:bookmarkStart w:id="187" w:name="_Toc9514_WPSOffice_Level1"/>
      <w:bookmarkStart w:id="188" w:name="_Toc27012_WPSOffice_Level1"/>
      <w:bookmarkStart w:id="189" w:name="_Toc13353_WPSOffice_Level1"/>
      <w:r>
        <w:rPr>
          <w:rFonts w:hint="eastAsia" w:ascii="宋体" w:hAnsi="宋体" w:cs="宋体"/>
          <w:bCs/>
        </w:rPr>
        <w:t>5.5.3中标候选人</w:t>
      </w:r>
      <w:bookmarkEnd w:id="187"/>
      <w:bookmarkEnd w:id="188"/>
      <w:bookmarkEnd w:id="189"/>
    </w:p>
    <w:p>
      <w:pPr>
        <w:spacing w:line="360" w:lineRule="auto"/>
        <w:ind w:left="300" w:leftChars="143" w:firstLine="211" w:firstLineChars="100"/>
        <w:rPr>
          <w:rFonts w:hint="eastAsia" w:ascii="宋体" w:hAnsi="宋体" w:cs="宋体"/>
        </w:rPr>
      </w:pPr>
      <w:r>
        <w:rPr>
          <w:rFonts w:hint="eastAsia" w:ascii="宋体" w:hAnsi="宋体" w:cs="宋体"/>
          <w:b/>
          <w:bCs/>
        </w:rPr>
        <w:t>评标委员会按对各投标人的评标总得分由高到低顺序排列，推荐前3名为中标候选人。</w:t>
      </w:r>
      <w:r>
        <w:rPr>
          <w:rFonts w:hint="eastAsia" w:ascii="宋体" w:hAnsi="宋体" w:cs="宋体"/>
        </w:rPr>
        <w:t>排名第一的投标人为第一中标候选人，排名第二的投标人为第二中标候选人，排名第三的投标人为第三中标候选人。评标总得分相同的，名次按技术分较高者排名靠前；评标总得分相同，且技术得分相同的，名次按商务分较高者排名靠前；评标总得分相同、商务评分和技术评分均相同的，名次由评标委员会投票决定；最后，评标委员会写出评标报告，将推荐的中标候选人报招标人核准。</w:t>
      </w:r>
    </w:p>
    <w:p>
      <w:pPr>
        <w:spacing w:line="360" w:lineRule="auto"/>
        <w:rPr>
          <w:rFonts w:hint="eastAsia" w:ascii="宋体" w:hAnsi="宋体" w:cs="宋体"/>
          <w:szCs w:val="21"/>
        </w:rPr>
      </w:pPr>
      <w:r>
        <w:rPr>
          <w:rFonts w:hint="eastAsia" w:ascii="宋体" w:hAnsi="宋体" w:cs="宋体"/>
          <w:szCs w:val="21"/>
        </w:rPr>
        <w:t xml:space="preserve"> </w:t>
      </w:r>
    </w:p>
    <w:p>
      <w:pPr>
        <w:tabs>
          <w:tab w:val="left" w:pos="824"/>
        </w:tabs>
        <w:spacing w:line="360" w:lineRule="auto"/>
        <w:ind w:firstLine="525" w:firstLineChars="250"/>
        <w:rPr>
          <w:rFonts w:hint="eastAsia" w:ascii="宋体" w:hAnsi="宋体"/>
        </w:rPr>
      </w:pPr>
      <w:bookmarkStart w:id="190" w:name="_Toc32432_WPSOffice_Level1"/>
      <w:bookmarkStart w:id="191" w:name="_Toc32248_WPSOffice_Level1"/>
      <w:bookmarkStart w:id="192" w:name="_Toc12541_WPSOffice_Level1"/>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hint="eastAsia"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hint="eastAsia" w:ascii="宋体" w:hAnsi="宋体"/>
        </w:rPr>
      </w:pPr>
      <w:r>
        <w:rPr>
          <w:rFonts w:ascii="宋体" w:hAnsi="宋体"/>
        </w:rPr>
        <w:t>附表3    商务</w:t>
      </w:r>
      <w:r>
        <w:rPr>
          <w:rFonts w:hint="eastAsia" w:ascii="宋体" w:hAnsi="宋体"/>
        </w:rPr>
        <w:t>评分表</w:t>
      </w:r>
    </w:p>
    <w:p>
      <w:pPr>
        <w:tabs>
          <w:tab w:val="left" w:pos="824"/>
        </w:tabs>
        <w:spacing w:line="360" w:lineRule="auto"/>
        <w:ind w:firstLine="525" w:firstLineChars="250"/>
        <w:rPr>
          <w:rFonts w:hint="eastAsia" w:ascii="宋体" w:hAnsi="宋体" w:cs="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bookmarkEnd w:id="190"/>
    <w:bookmarkEnd w:id="191"/>
    <w:bookmarkEnd w:id="192"/>
    <w:p>
      <w:pPr>
        <w:rPr>
          <w:rFonts w:hint="eastAsia" w:ascii="宋体" w:hAnsi="宋体" w:cs="宋体"/>
        </w:rPr>
      </w:pPr>
    </w:p>
    <w:p>
      <w:pPr>
        <w:rPr>
          <w:rFonts w:hint="eastAsia" w:ascii="宋体" w:hAnsi="宋体" w:cs="宋体"/>
        </w:rPr>
      </w:pPr>
    </w:p>
    <w:p>
      <w:pPr>
        <w:rPr>
          <w:rFonts w:hint="eastAsia" w:ascii="宋体" w:hAnsi="宋体" w:cs="宋体"/>
        </w:rPr>
      </w:pPr>
      <w:r>
        <w:rPr>
          <w:rFonts w:hint="eastAsia" w:ascii="宋体" w:hAnsi="宋体" w:cs="宋体"/>
        </w:rPr>
        <w:br w:type="page"/>
      </w:r>
    </w:p>
    <w:p>
      <w:pPr>
        <w:spacing w:line="360" w:lineRule="auto"/>
        <w:rPr>
          <w:rFonts w:hint="eastAsia" w:ascii="宋体" w:hAnsi="宋体" w:cs="宋体"/>
          <w:b/>
          <w:szCs w:val="24"/>
        </w:rPr>
      </w:pPr>
      <w:r>
        <w:rPr>
          <w:rFonts w:hint="eastAsia" w:ascii="宋体" w:hAnsi="宋体"/>
          <w:b/>
          <w:szCs w:val="24"/>
        </w:rPr>
        <w:t>附表1：符合性审查表（阶段一）</w:t>
      </w:r>
    </w:p>
    <w:p>
      <w:pPr>
        <w:jc w:val="center"/>
        <w:rPr>
          <w:rFonts w:hint="eastAsia" w:ascii="宋体" w:hAnsi="宋体" w:cs="宋体"/>
          <w:b/>
          <w:sz w:val="28"/>
          <w:szCs w:val="28"/>
        </w:rPr>
      </w:pPr>
      <w:r>
        <w:rPr>
          <w:rFonts w:hint="eastAsia" w:ascii="宋体" w:hAnsi="宋体"/>
          <w:b/>
          <w:sz w:val="28"/>
          <w:szCs w:val="28"/>
        </w:rPr>
        <w:t>符合性审查表（阶段一）</w:t>
      </w:r>
    </w:p>
    <w:tbl>
      <w:tblPr>
        <w:tblStyle w:val="53"/>
        <w:tblW w:w="0" w:type="auto"/>
        <w:tblInd w:w="0" w:type="dxa"/>
        <w:tblLayout w:type="fixed"/>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56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序号</w:t>
            </w:r>
          </w:p>
        </w:tc>
        <w:tc>
          <w:tcPr>
            <w:tcW w:w="4225"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4486" w:type="dxa"/>
            <w:gridSpan w:val="6"/>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56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225"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744"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E</w:t>
            </w:r>
          </w:p>
        </w:tc>
        <w:tc>
          <w:tcPr>
            <w:tcW w:w="764"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符合合格投标人资格条件；</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投标有效期满足招标文件要求；</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按招标文件要求提交投标保证金；</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5</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号条款要求必须满足，投标文件的内容实质性满足招标文件无重大偏离或保留，否则按废标处理，没有出现法律、法规；</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6</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投标文件未附有招标人不能接受的条件的。</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478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p>
        </w:tc>
        <w:tc>
          <w:tcPr>
            <w:tcW w:w="744"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b/>
                <w:bCs/>
                <w:szCs w:val="21"/>
              </w:rPr>
            </w:pPr>
          </w:p>
        </w:tc>
        <w:tc>
          <w:tcPr>
            <w:tcW w:w="764"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b/>
                <w:bCs/>
                <w:szCs w:val="21"/>
              </w:rPr>
            </w:pPr>
          </w:p>
        </w:tc>
      </w:tr>
    </w:tbl>
    <w:p>
      <w:pPr>
        <w:spacing w:line="360" w:lineRule="auto"/>
        <w:rPr>
          <w:rFonts w:hint="eastAsia" w:ascii="宋体" w:hAnsi="宋体" w:cs="宋体"/>
        </w:rPr>
      </w:pPr>
    </w:p>
    <w:p>
      <w:pPr>
        <w:spacing w:line="360" w:lineRule="auto"/>
        <w:rPr>
          <w:rFonts w:hint="eastAsia" w:ascii="宋体" w:hAnsi="宋体" w:cs="宋体"/>
          <w:b/>
          <w:bCs/>
        </w:rPr>
      </w:pPr>
      <w:r>
        <w:rPr>
          <w:rFonts w:hint="eastAsia" w:ascii="宋体" w:hAnsi="宋体" w:cs="宋体"/>
          <w:b/>
          <w:bCs/>
        </w:rPr>
        <w:t>备注：1、每一项目符合的打“○”，不符合的打“×”；出现一个“×”的结论为不通过。</w:t>
      </w:r>
    </w:p>
    <w:p>
      <w:pPr>
        <w:spacing w:line="360" w:lineRule="auto"/>
        <w:ind w:firstLine="630"/>
        <w:rPr>
          <w:rFonts w:hint="eastAsia" w:ascii="宋体" w:hAnsi="宋体" w:cs="宋体"/>
          <w:b/>
          <w:bCs/>
        </w:rPr>
      </w:pPr>
      <w:bookmarkStart w:id="193" w:name="_Toc2981_WPSOffice_Level1"/>
      <w:bookmarkStart w:id="194" w:name="_Toc23841_WPSOffice_Level1"/>
      <w:bookmarkStart w:id="195" w:name="_Toc18088_WPSOffice_Level1"/>
      <w:r>
        <w:rPr>
          <w:rFonts w:hint="eastAsia" w:ascii="宋体" w:hAnsi="宋体" w:cs="宋体"/>
          <w:b/>
          <w:bCs/>
        </w:rPr>
        <w:t>2、表中全部条件满足的结论为通过， 同意进入下一阶段评议。</w:t>
      </w:r>
      <w:bookmarkEnd w:id="193"/>
      <w:bookmarkEnd w:id="194"/>
      <w:bookmarkEnd w:id="195"/>
    </w:p>
    <w:p>
      <w:pPr>
        <w:jc w:val="left"/>
        <w:rPr>
          <w:rFonts w:hint="eastAsia" w:ascii="宋体" w:hAnsi="宋体" w:cs="宋体"/>
        </w:rPr>
      </w:pPr>
    </w:p>
    <w:p>
      <w:pPr>
        <w:pStyle w:val="20"/>
        <w:rPr>
          <w:rFonts w:hint="eastAsia" w:ascii="宋体" w:hAnsi="宋体" w:cs="宋体"/>
        </w:rPr>
      </w:pPr>
    </w:p>
    <w:p>
      <w:pPr>
        <w:pStyle w:val="26"/>
        <w:rPr>
          <w:rFonts w:hint="eastAsia" w:hAnsi="宋体" w:cs="宋体"/>
        </w:rPr>
      </w:pPr>
    </w:p>
    <w:p>
      <w:pPr>
        <w:pStyle w:val="26"/>
        <w:rPr>
          <w:rFonts w:hint="eastAsia" w:hAnsi="宋体" w:cs="宋体"/>
          <w:sz w:val="36"/>
          <w:szCs w:val="36"/>
        </w:rPr>
      </w:pPr>
      <w:r>
        <w:rPr>
          <w:rFonts w:hint="eastAsia" w:hAnsi="宋体" w:cs="宋体"/>
        </w:rPr>
        <w:br w:type="page"/>
      </w:r>
      <w:bookmarkStart w:id="196" w:name="_Toc30424_WPSOffice_Level1"/>
      <w:bookmarkStart w:id="197" w:name="_Toc1778_WPSOffice_Level1"/>
      <w:bookmarkStart w:id="198" w:name="_Toc16973_WPSOffice_Level1"/>
      <w:r>
        <w:rPr>
          <w:rFonts w:hint="eastAsia" w:hAnsi="宋体" w:cs="宋体"/>
          <w:b/>
        </w:rPr>
        <w:t>附表2：</w:t>
      </w:r>
      <w:bookmarkEnd w:id="196"/>
      <w:bookmarkEnd w:id="197"/>
      <w:bookmarkEnd w:id="198"/>
      <w:r>
        <w:rPr>
          <w:rFonts w:hint="eastAsia" w:hAnsi="宋体" w:cs="宋体"/>
          <w:b/>
        </w:rPr>
        <w:t>技术评分表</w:t>
      </w:r>
    </w:p>
    <w:p>
      <w:pPr>
        <w:jc w:val="center"/>
        <w:rPr>
          <w:rFonts w:hint="eastAsia" w:ascii="宋体" w:hAnsi="宋体" w:cs="宋体"/>
          <w:b/>
          <w:sz w:val="28"/>
          <w:szCs w:val="28"/>
        </w:rPr>
      </w:pPr>
      <w:bookmarkStart w:id="199" w:name="_Toc23766_WPSOffice_Level1"/>
      <w:bookmarkStart w:id="200" w:name="_Toc15598_WPSOffice_Level1"/>
      <w:bookmarkStart w:id="201" w:name="_Toc13899_WPSOffice_Level1"/>
      <w:r>
        <w:rPr>
          <w:rFonts w:hint="eastAsia" w:ascii="宋体" w:hAnsi="宋体" w:cs="宋体"/>
          <w:b/>
          <w:sz w:val="28"/>
          <w:szCs w:val="28"/>
        </w:rPr>
        <w:t>技术评分表</w:t>
      </w:r>
    </w:p>
    <w:tbl>
      <w:tblPr>
        <w:tblStyle w:val="53"/>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6711"/>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评审项目</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评分细则</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技术响应情况</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投标文件完全满足或优于用户技术需求的要求得25分，“▲”参数每有一条不满足扣1分，非“▲”参数每有一条不满足扣0.5分，本项最低分为0分；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如招标文件有要求提供证明材料的，投标人须按照招标文件提供相关证明材料，不提供证明材料或证明材料不完整视为不满足；如无明确要求提供证明材料，则以投标人根据招标文件要求提供的响应情况为准，不按要求提供或提供不符的视为不满足。</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总体技术方案设计</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根据项目需求的理解，提出的总体技术方案，</w:t>
            </w:r>
            <w:r>
              <w:rPr>
                <w:rFonts w:ascii="Calibri" w:hAnsi="Calibri"/>
                <w:szCs w:val="21"/>
                <w:lang w:eastAsia="zh-Hans"/>
              </w:rPr>
              <w:t>要</w:t>
            </w:r>
            <w:r>
              <w:rPr>
                <w:rFonts w:ascii="Calibri" w:hAnsi="Calibri"/>
                <w:szCs w:val="21"/>
              </w:rPr>
              <w:t>包括</w:t>
            </w:r>
            <w:r>
              <w:rPr>
                <w:rFonts w:ascii="Calibri" w:hAnsi="Calibri"/>
                <w:szCs w:val="21"/>
                <w:lang w:eastAsia="zh-Hans"/>
              </w:rPr>
              <w:t>服务器整体搬迁</w:t>
            </w:r>
            <w:r>
              <w:rPr>
                <w:rFonts w:ascii="Calibri" w:hAnsi="Calibri"/>
                <w:szCs w:val="21"/>
              </w:rPr>
              <w:t>方案、网络架构设计</w:t>
            </w:r>
            <w:r>
              <w:rPr>
                <w:rFonts w:ascii="Calibri" w:hAnsi="Calibri"/>
                <w:szCs w:val="21"/>
                <w:lang w:eastAsia="zh-Hans"/>
              </w:rPr>
              <w:t>方案</w:t>
            </w:r>
            <w:r>
              <w:rPr>
                <w:rFonts w:ascii="Calibri" w:hAnsi="Calibri"/>
                <w:szCs w:val="21"/>
              </w:rPr>
              <w:t>、</w:t>
            </w:r>
            <w:r>
              <w:rPr>
                <w:rFonts w:ascii="Calibri" w:hAnsi="Calibri"/>
                <w:szCs w:val="21"/>
                <w:lang w:eastAsia="zh-Hans"/>
              </w:rPr>
              <w:t>云资源扩容</w:t>
            </w:r>
            <w:r>
              <w:rPr>
                <w:rFonts w:ascii="Calibri" w:hAnsi="Calibri"/>
                <w:szCs w:val="21"/>
              </w:rPr>
              <w:t>方案</w:t>
            </w:r>
            <w:r>
              <w:rPr>
                <w:rFonts w:hint="eastAsia" w:ascii="Calibri" w:hAnsi="Calibri"/>
                <w:szCs w:val="21"/>
              </w:rPr>
              <w:t>、云平台兼容方案、</w:t>
            </w:r>
            <w:r>
              <w:rPr>
                <w:rFonts w:ascii="宋体" w:hAnsi="宋体" w:cs="宋体"/>
                <w:kern w:val="0"/>
                <w:szCs w:val="21"/>
                <w:lang w:bidi="ar"/>
              </w:rPr>
              <w:t>实施进度</w:t>
            </w:r>
            <w:r>
              <w:rPr>
                <w:rFonts w:hint="eastAsia" w:ascii="宋体" w:hAnsi="宋体" w:cs="宋体"/>
                <w:kern w:val="0"/>
                <w:szCs w:val="21"/>
                <w:lang w:bidi="ar"/>
              </w:rPr>
              <w:t>安排等</w:t>
            </w:r>
            <w:r>
              <w:rPr>
                <w:rFonts w:ascii="宋体" w:hAnsi="宋体" w:cs="宋体"/>
                <w:kern w:val="0"/>
                <w:szCs w:val="21"/>
                <w:lang w:bidi="ar"/>
              </w:rPr>
              <w:t>，要求方案设计合理，技术先进可行，项目实施进度安排合理紧凑</w:t>
            </w:r>
            <w:r>
              <w:rPr>
                <w:rFonts w:hint="eastAsia" w:ascii="宋体" w:hAnsi="宋体" w:cs="宋体"/>
                <w:kern w:val="0"/>
                <w:szCs w:val="21"/>
                <w:lang w:bidi="ar"/>
              </w:rPr>
              <w:t>进行综合评审：</w:t>
            </w:r>
          </w:p>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1、方案详尽，架构清晰，合理可行，具备先进性的，项目计划明确，可执行性强，得</w:t>
            </w:r>
            <w:r>
              <w:rPr>
                <w:rFonts w:hint="eastAsia" w:ascii="宋体" w:hAnsi="宋体" w:cs="宋体"/>
                <w:kern w:val="0"/>
                <w:szCs w:val="21"/>
                <w:lang w:bidi="ar"/>
              </w:rPr>
              <w:t>10</w:t>
            </w:r>
            <w:r>
              <w:rPr>
                <w:rFonts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2、方案架构较清晰，合理可行性一般的，先进性一般，项目计划基本合理，得</w:t>
            </w:r>
            <w:r>
              <w:rPr>
                <w:rFonts w:hint="eastAsia" w:ascii="宋体" w:hAnsi="宋体" w:cs="宋体"/>
                <w:kern w:val="0"/>
                <w:szCs w:val="21"/>
                <w:lang w:bidi="ar"/>
              </w:rPr>
              <w:t>5</w:t>
            </w:r>
            <w:r>
              <w:rPr>
                <w:rFonts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3、方案架构较清晰，合理可行性简单的，先进性简单，项目计划不太合理，得</w:t>
            </w:r>
            <w:r>
              <w:rPr>
                <w:rFonts w:hint="eastAsia" w:ascii="宋体" w:hAnsi="宋体" w:cs="宋体"/>
                <w:kern w:val="0"/>
                <w:szCs w:val="21"/>
                <w:lang w:bidi="ar"/>
              </w:rPr>
              <w:t>2</w:t>
            </w:r>
            <w:r>
              <w:rPr>
                <w:rFonts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4、方案不合理或无提供的，项目计划不明确、不合理，得0分。</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项目实施</w:t>
            </w:r>
          </w:p>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方案</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根据投标人提供的项目实施方案进行综合评审：</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1、方案的项目管理体系和保障措施科学可行，配套实施图纸有针对性，有明确进度计划，如总体工期、到货时间、安装及调试节点、系统调试方案清晰明了，计划逻辑性优，完全满足或优于项目要求，得5分；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2、方案的项目管理体系和保障措施基本可行，配套实施图纸基本完整，有进度计划，如总体工期、到货时间、安装及调试节点、系统调试方案，计划逻辑性基本可行，基本满足项目要求，得3分；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3、方案的项目管理体系和保障措施一般，配套实施图纸一般，进度计划，如总体工期、到货时间、安装及调试节点、系统调试方案一般，计划逻辑性一般，提供但不满足上述条件者，得1分；</w:t>
            </w:r>
          </w:p>
          <w:p>
            <w:pPr>
              <w:autoSpaceDE w:val="0"/>
              <w:autoSpaceDN w:val="0"/>
              <w:adjustRightInd w:val="0"/>
              <w:spacing w:line="360" w:lineRule="auto"/>
              <w:jc w:val="left"/>
              <w:rPr>
                <w:rFonts w:hint="eastAsia" w:ascii="宋体" w:hAnsi="宋体" w:cs="宋体"/>
                <w:kern w:val="0"/>
                <w:lang w:bidi="ar"/>
              </w:rPr>
            </w:pPr>
            <w:r>
              <w:rPr>
                <w:rFonts w:hint="eastAsia" w:ascii="宋体" w:hAnsi="宋体" w:cs="宋体"/>
                <w:kern w:val="0"/>
                <w:szCs w:val="21"/>
                <w:lang w:bidi="ar"/>
              </w:rPr>
              <w:t>4、项目实施方案不合理或不提供项目实施方案得0分。</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设备配置</w:t>
            </w:r>
          </w:p>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方案</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根据投标人提供的设备配置进行综合评审：</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1、方案对项目理解深入透彻，对项目重点难点把握充分，方案策划考虑周全合理，集成方案优秀，设备品牌、选型优异，满足或优于招标人的要求，阐述框架清晰分明，完全满足或优于项目要求的，得3分；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2、方案对项目基本理解，对建设重点难点有基本把握，方案策划考虑基本合理，集成方案良好，设备品牌、选型良好，有基本阐述框架，基本满足项目要求的，得2分；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3、方案对项目理解一般，对建设重点难点把握一般，方案策划考虑一般，集成方案一般，设备品牌、选型一般，阐述框架一般，不能完全满足项目基本要求，得1分；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4、设备配置方案不合理或不提供设备配置方案得0分。</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迁移风险及应对方案</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根据投标人提供的迁移风险及应对方案，要包括风险环节、风险点、风险影响范围等是否符合实际，应对风险的策略是否科学合理。进行综合评审：</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1、方案详细、科学、合理，风险识别及应对全面，操作可行性强，得4分；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2、方案较为详细、科学、合理，风险识别基本全面，操作可行性较强，得2分；</w:t>
            </w:r>
          </w:p>
          <w:p>
            <w:pPr>
              <w:autoSpaceDE w:val="0"/>
              <w:autoSpaceDN w:val="0"/>
              <w:adjustRightInd w:val="0"/>
              <w:spacing w:line="360" w:lineRule="auto"/>
              <w:rPr>
                <w:rFonts w:hint="eastAsia" w:ascii="宋体" w:hAnsi="宋体" w:cs="宋体"/>
                <w:kern w:val="0"/>
                <w:szCs w:val="21"/>
                <w:lang w:bidi="ar"/>
              </w:rPr>
            </w:pPr>
            <w:r>
              <w:rPr>
                <w:rFonts w:hint="eastAsia" w:ascii="宋体" w:hAnsi="宋体" w:cs="宋体"/>
                <w:kern w:val="0"/>
                <w:szCs w:val="21"/>
                <w:lang w:bidi="ar"/>
              </w:rPr>
              <w:t>3、方案完整性一般，有部分风险遗漏或识别不正确的，操作可行性一般，得1分；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4、方案不合理或不提供的，项目风险识别不清晰或没有的，得0分。</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售后服务</w:t>
            </w:r>
          </w:p>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及培训方案</w:t>
            </w:r>
          </w:p>
        </w:tc>
        <w:tc>
          <w:tcPr>
            <w:tcW w:w="671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根据各报价供应商提供的售后服务方案（包括但不限于以下内容：保修期、应急维修时间安排、质保期外的维修服务、其它服务承诺）及培训方案进行综合评审：</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1、售后服务方案详细合理，满足</w:t>
            </w:r>
            <w:r>
              <w:t>现场实施及远程或现场监控远维服务</w:t>
            </w:r>
            <w:r>
              <w:rPr>
                <w:rFonts w:hint="eastAsia"/>
              </w:rPr>
              <w:t>，</w:t>
            </w:r>
            <w:r>
              <w:rPr>
                <w:rFonts w:hint="eastAsia" w:ascii="宋体" w:hAnsi="宋体" w:cs="宋体"/>
                <w:szCs w:val="21"/>
              </w:rPr>
              <w:t>发生故障响应迅速，保修期外运行与维修成本优惠合理、保修期满足或优于招标文件要求、应急维修时间安排合理、质保期外的维修服务满足招标人要求，提供其他服务优惠承诺。有详细、合理、切合实际的培训服务方案，得3分；</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2、售后服务方案完整，基本满足</w:t>
            </w:r>
            <w:r>
              <w:t>现场实施及远程或现场监控远维服务</w:t>
            </w:r>
            <w:r>
              <w:rPr>
                <w:rFonts w:hint="eastAsia"/>
              </w:rPr>
              <w:t>，</w:t>
            </w:r>
            <w:r>
              <w:rPr>
                <w:rFonts w:hint="eastAsia" w:ascii="宋体" w:hAnsi="宋体" w:cs="宋体"/>
                <w:szCs w:val="21"/>
              </w:rPr>
              <w:t xml:space="preserve">发生故障响应较快，保修期外运行与维修成本较高、保修期满足招标文件要求、应急维修时间安排、质保期外的维修服务满足招标人要求，培训服务方案基本合理，得2分； </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3、售后服务方案粗略简单、不完全满足</w:t>
            </w:r>
            <w:r>
              <w:t>现场实施及远程或现场监控远维服务</w:t>
            </w:r>
            <w:r>
              <w:rPr>
                <w:rFonts w:hint="eastAsia"/>
              </w:rPr>
              <w:t>，</w:t>
            </w:r>
            <w:r>
              <w:rPr>
                <w:rFonts w:hint="eastAsia" w:ascii="宋体" w:hAnsi="宋体" w:cs="宋体"/>
                <w:szCs w:val="21"/>
              </w:rPr>
              <w:t>发生故障响应响应慢、修期外运行与维修成本极高，保修期、交货计划、应急维修时间安排、质保期外的维修服务不满足招标人要求，培训服务方案不满足招标人要求，得1分；</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4、未提供售后服务及培训方案不得分。</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040"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合计</w:t>
            </w:r>
          </w:p>
        </w:tc>
        <w:tc>
          <w:tcPr>
            <w:tcW w:w="8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50分</w:t>
            </w:r>
          </w:p>
        </w:tc>
      </w:tr>
    </w:tbl>
    <w:p>
      <w:pPr>
        <w:pStyle w:val="14"/>
        <w:rPr>
          <w:rFonts w:hint="eastAsia" w:ascii="宋体" w:hAnsi="宋体" w:cs="宋体"/>
        </w:rPr>
      </w:pPr>
    </w:p>
    <w:p>
      <w:pPr>
        <w:tabs>
          <w:tab w:val="left" w:pos="10035"/>
        </w:tabs>
        <w:snapToGrid w:val="0"/>
        <w:spacing w:line="360" w:lineRule="auto"/>
        <w:rPr>
          <w:rFonts w:hint="eastAsia" w:ascii="宋体" w:hAnsi="宋体" w:cs="宋体"/>
          <w:b/>
          <w:bCs/>
        </w:rPr>
      </w:pPr>
      <w:r>
        <w:rPr>
          <w:rFonts w:hint="eastAsia" w:ascii="宋体" w:hAnsi="宋体" w:cs="宋体"/>
          <w:b/>
          <w:bCs/>
        </w:rPr>
        <w:t>注：评委对各投标文件进行评审，分数精确至小数点后2位。</w:t>
      </w:r>
    </w:p>
    <w:p>
      <w:pPr>
        <w:tabs>
          <w:tab w:val="left" w:pos="10035"/>
        </w:tabs>
        <w:snapToGrid w:val="0"/>
        <w:spacing w:line="360" w:lineRule="auto"/>
        <w:rPr>
          <w:rFonts w:hint="eastAsia" w:ascii="宋体" w:hAnsi="宋体" w:cs="宋体"/>
        </w:rPr>
        <w:sectPr>
          <w:pgSz w:w="11907" w:h="16840"/>
          <w:pgMar w:top="1418" w:right="1304" w:bottom="1361" w:left="1361" w:header="851" w:footer="992" w:gutter="0"/>
          <w:cols w:space="720" w:num="1"/>
          <w:docGrid w:type="lines" w:linePitch="312" w:charSpace="0"/>
        </w:sectPr>
      </w:pPr>
    </w:p>
    <w:p>
      <w:pPr>
        <w:jc w:val="left"/>
        <w:rPr>
          <w:rFonts w:hint="eastAsia" w:ascii="宋体" w:hAnsi="宋体" w:cs="宋体"/>
          <w:b/>
          <w:sz w:val="28"/>
          <w:szCs w:val="28"/>
        </w:rPr>
      </w:pPr>
      <w:r>
        <w:rPr>
          <w:rFonts w:hint="eastAsia" w:hAnsi="宋体"/>
          <w:b/>
        </w:rPr>
        <w:t>附表3：商务评分表</w:t>
      </w:r>
    </w:p>
    <w:p>
      <w:pPr>
        <w:jc w:val="center"/>
        <w:rPr>
          <w:rFonts w:hint="eastAsia" w:ascii="宋体" w:hAnsi="宋体" w:cs="宋体"/>
          <w:b/>
          <w:sz w:val="28"/>
          <w:szCs w:val="28"/>
        </w:rPr>
      </w:pPr>
      <w:r>
        <w:rPr>
          <w:rFonts w:hint="eastAsia" w:ascii="宋体" w:hAnsi="宋体" w:cs="宋体"/>
          <w:b/>
          <w:sz w:val="28"/>
          <w:szCs w:val="28"/>
        </w:rPr>
        <w:t>商务评分表</w:t>
      </w:r>
      <w:bookmarkEnd w:id="199"/>
      <w:bookmarkEnd w:id="200"/>
      <w:bookmarkEnd w:id="201"/>
    </w:p>
    <w:tbl>
      <w:tblPr>
        <w:tblStyle w:val="53"/>
        <w:tblW w:w="8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6686"/>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36" w:type="dxa"/>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评审项目</w:t>
            </w:r>
          </w:p>
        </w:tc>
        <w:tc>
          <w:tcPr>
            <w:tcW w:w="6686" w:type="dxa"/>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评分细则</w:t>
            </w:r>
          </w:p>
        </w:tc>
        <w:tc>
          <w:tcPr>
            <w:tcW w:w="866" w:type="dxa"/>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3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投标人</w:t>
            </w:r>
          </w:p>
          <w:p>
            <w:pPr>
              <w:autoSpaceDE w:val="0"/>
              <w:autoSpaceDN w:val="0"/>
              <w:adjustRightInd w:val="0"/>
              <w:spacing w:line="360" w:lineRule="auto"/>
              <w:jc w:val="center"/>
              <w:rPr>
                <w:rFonts w:hint="eastAsia" w:ascii="宋体" w:hAnsi="宋体" w:cs="宋体"/>
                <w:b/>
                <w:bCs/>
                <w:kern w:val="0"/>
                <w:szCs w:val="21"/>
                <w:lang w:bidi="ar"/>
              </w:rPr>
            </w:pPr>
            <w:r>
              <w:rPr>
                <w:rFonts w:hint="eastAsia" w:ascii="宋体" w:hAnsi="宋体" w:cs="宋体"/>
                <w:kern w:val="0"/>
                <w:szCs w:val="21"/>
                <w:lang w:bidi="ar"/>
              </w:rPr>
              <w:t>实力</w:t>
            </w:r>
          </w:p>
        </w:tc>
        <w:tc>
          <w:tcPr>
            <w:tcW w:w="6686" w:type="dxa"/>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投标人具有质量管理体系认证证书、</w:t>
            </w:r>
            <w:r>
              <w:fldChar w:fldCharType="begin"/>
            </w:r>
            <w:r>
              <w:instrText xml:space="preserve"> HYPERLINK "http://www.baidu.com/link?url=2jhEEeoFI13x2Ul82g3gnyZ4Ehbyoxciuxfnc6jjjE4L0A6ojtMW8C8PH7N86BB7" \t "https://www.baidu.com/_blank" </w:instrText>
            </w:r>
            <w:r>
              <w:fldChar w:fldCharType="separate"/>
            </w:r>
            <w:r>
              <w:rPr>
                <w:rFonts w:hint="eastAsia" w:ascii="宋体" w:hAnsi="宋体" w:cs="宋体"/>
                <w:kern w:val="0"/>
                <w:szCs w:val="21"/>
                <w:lang w:bidi="ar"/>
              </w:rPr>
              <w:t>环境管理体系认证证书</w:t>
            </w:r>
            <w:r>
              <w:rPr>
                <w:rFonts w:hint="eastAsia" w:ascii="宋体" w:hAnsi="宋体" w:cs="宋体"/>
                <w:kern w:val="0"/>
                <w:szCs w:val="21"/>
                <w:lang w:bidi="ar"/>
              </w:rPr>
              <w:fldChar w:fldCharType="end"/>
            </w:r>
            <w:r>
              <w:rPr>
                <w:rFonts w:hint="eastAsia" w:ascii="宋体" w:hAnsi="宋体" w:cs="宋体"/>
                <w:kern w:val="0"/>
                <w:szCs w:val="21"/>
                <w:lang w:bidi="ar"/>
              </w:rPr>
              <w:t>、职业健康体系认证证书。每提供一份证书且在有效期内的得1分，满分3分。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注：需提供相关证书扫描复印件及全国认证认可信息公共服务平台对证书的查询结果截图，未按要求提供不得分。</w:t>
            </w:r>
          </w:p>
        </w:tc>
        <w:tc>
          <w:tcPr>
            <w:tcW w:w="86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1336" w:type="dxa"/>
            <w:vAlign w:val="center"/>
          </w:tcPr>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项目负责人（项目经理）</w:t>
            </w:r>
          </w:p>
        </w:tc>
        <w:tc>
          <w:tcPr>
            <w:tcW w:w="6686" w:type="dxa"/>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 xml:space="preserve">投标人拟派出1名项目负责人（项目经理）具备以下证明材料。 </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 xml:space="preserve">（1）具有计算机技术与软件专业技术资格的信息系统项目管理师证书或PMP项目管理资质证书的，得2分； </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（2）具有IT服务项目经理证书的，得2分；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3）具有5年或以上工作经验的（工作经验可提供人员社保记录或相关工作经验证明材料（劳动合同或曾作为项目经理或项目负责人的项目合同或合同甲方出具工作评价表或项目验收证明等相关材料扫描件）,不同单位的项目经验年限可重复累计），得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本项满分5分。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zh-CN" w:bidi="ar"/>
              </w:rPr>
              <w:t>注：须提供相关人员证书扫描件并加盖投标人公章及</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个月由投标人为其缴纳社保证明，否则不得分。</w:t>
            </w:r>
          </w:p>
        </w:tc>
        <w:tc>
          <w:tcPr>
            <w:tcW w:w="86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36" w:type="dxa"/>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项目团队人员</w:t>
            </w:r>
          </w:p>
        </w:tc>
        <w:tc>
          <w:tcPr>
            <w:tcW w:w="6686" w:type="dxa"/>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投标人拟委派的项目团队人员具备以下证明材料：</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（1）具有所投设备品牌厂商认证工程师证书，每提供1人得1分，满分</w:t>
            </w:r>
            <w:r>
              <w:rPr>
                <w:rFonts w:ascii="宋体" w:hAnsi="宋体" w:cs="宋体"/>
                <w:kern w:val="0"/>
                <w:szCs w:val="21"/>
                <w:lang w:bidi="ar"/>
              </w:rPr>
              <w:t>2</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w:t>
            </w:r>
            <w:r>
              <w:t>计算机技术与软件专业技术资格的信息系统项目管理师证书或PMP项目管理资质证书</w:t>
            </w:r>
            <w:r>
              <w:rPr>
                <w:rFonts w:hint="eastAsia" w:ascii="宋体" w:hAnsi="宋体" w:cs="宋体"/>
                <w:kern w:val="0"/>
                <w:szCs w:val="21"/>
                <w:lang w:bidi="ar"/>
              </w:rPr>
              <w:t>，每提供1人得1分，满分1分。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注：同一人员重复持证不重复计分，</w:t>
            </w:r>
            <w:r>
              <w:rPr>
                <w:rFonts w:hint="eastAsia" w:ascii="宋体" w:hAnsi="宋体" w:cs="宋体"/>
                <w:kern w:val="0"/>
                <w:szCs w:val="21"/>
                <w:lang w:val="zh-CN" w:bidi="ar"/>
              </w:rPr>
              <w:t>须提供相关人员证书扫描件并加盖投标人公章及</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个月由投标人为其缴纳社保证明，否则不得分。</w:t>
            </w:r>
          </w:p>
        </w:tc>
        <w:tc>
          <w:tcPr>
            <w:tcW w:w="86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1336" w:type="dxa"/>
            <w:vAlign w:val="center"/>
          </w:tcPr>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技术支持团队</w:t>
            </w:r>
          </w:p>
        </w:tc>
        <w:tc>
          <w:tcPr>
            <w:tcW w:w="6686" w:type="dxa"/>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投标人为本项目委派的所</w:t>
            </w:r>
            <w:r>
              <w:rPr>
                <w:rFonts w:hint="eastAsia"/>
              </w:rPr>
              <w:t>投产品制造商</w:t>
            </w:r>
            <w:r>
              <w:rPr>
                <w:rFonts w:hint="eastAsia" w:ascii="宋体" w:hAnsi="宋体" w:cs="宋体"/>
                <w:kern w:val="0"/>
                <w:szCs w:val="21"/>
                <w:lang w:bidi="ar"/>
              </w:rPr>
              <w:t>技术支持团队人员具备以下证明材料：</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（1）原厂技术人员具有PMP项目管理资质证书，每提供1人得1分，满分1分；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（2）原厂技术人员具有HCIE或H3CIE等网络专业认证证书，每提供1人得1分，满分1分；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（3）原厂技术人员具有RHCA等IT专业认证证书，每提供1人得1分，满分1分；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（4）原厂技术人员具有HCIP-Storage或H3CS-ES等存储专业认证证书，每提供1人得1分，满分1分；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（5）原厂技术人员具有云计算或虚拟化认证证书，每提供1人得1分，满分1分。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注：同一人员重复持证不重复计分，</w:t>
            </w:r>
            <w:r>
              <w:rPr>
                <w:rFonts w:hint="eastAsia" w:ascii="宋体" w:hAnsi="宋体" w:cs="宋体"/>
                <w:kern w:val="0"/>
                <w:szCs w:val="21"/>
                <w:lang w:val="zh-CN" w:bidi="ar"/>
              </w:rPr>
              <w:t>须提供相关人员证书扫描件并加盖投标人公章及</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w:t>
            </w:r>
            <w:r>
              <w:rPr>
                <w:rFonts w:hint="eastAsia" w:ascii="宋体" w:hAnsi="宋体" w:cs="宋体"/>
                <w:kern w:val="0"/>
                <w:szCs w:val="21"/>
                <w:lang w:bidi="ar"/>
              </w:rPr>
              <w:t>所投产品制造商</w:t>
            </w:r>
            <w:r>
              <w:rPr>
                <w:rFonts w:hint="eastAsia" w:ascii="宋体" w:hAnsi="宋体" w:cs="宋体"/>
                <w:kern w:val="0"/>
                <w:szCs w:val="21"/>
                <w:lang w:val="zh-CN" w:bidi="ar"/>
              </w:rPr>
              <w:t>为其缴纳社保证明，否则不得分。</w:t>
            </w:r>
          </w:p>
        </w:tc>
        <w:tc>
          <w:tcPr>
            <w:tcW w:w="86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133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业绩</w:t>
            </w:r>
          </w:p>
        </w:tc>
        <w:tc>
          <w:tcPr>
            <w:tcW w:w="6686" w:type="dxa"/>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投标人提供自2021年1月1日至今完成过信息化集成（包括云平台或服务器建设等系统集成方面）业绩案例的，每提供1份得1分，本项最多得4分。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（注：须提供合同关键页复印件，合同关键页须体现项目名称、合同标的、项目金额及时间、双方落款盖章，如项目合同为框架合同或未能明确金额的，则需提供业主证明。则不提供不得分。</w:t>
            </w:r>
          </w:p>
        </w:tc>
        <w:tc>
          <w:tcPr>
            <w:tcW w:w="866" w:type="dxa"/>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022" w:type="dxa"/>
            <w:gridSpan w:val="2"/>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合计</w:t>
            </w:r>
          </w:p>
        </w:tc>
        <w:tc>
          <w:tcPr>
            <w:tcW w:w="866" w:type="dxa"/>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20分</w:t>
            </w:r>
          </w:p>
        </w:tc>
      </w:tr>
    </w:tbl>
    <w:p>
      <w:pPr>
        <w:pStyle w:val="26"/>
        <w:rPr>
          <w:rFonts w:hint="eastAsia" w:hAnsi="宋体"/>
          <w:b/>
          <w:bCs/>
        </w:rPr>
      </w:pPr>
      <w:r>
        <w:rPr>
          <w:rFonts w:hint="eastAsia" w:hAnsi="宋体"/>
          <w:b/>
          <w:bCs/>
        </w:rPr>
        <w:t>注：1、评委对各投标文件进行评审，分数精确至小数点后2位。</w:t>
      </w:r>
    </w:p>
    <w:p>
      <w:pPr>
        <w:pStyle w:val="26"/>
        <w:rPr>
          <w:rFonts w:hint="eastAsia" w:hAnsi="宋体"/>
          <w:b/>
          <w:bCs/>
        </w:rPr>
      </w:pPr>
      <w:r>
        <w:rPr>
          <w:rFonts w:hint="eastAsia" w:hAnsi="宋体"/>
          <w:b/>
          <w:bCs/>
        </w:rPr>
        <w:t>2、若投标人出现商务评分低于商务得分的60%，评标委员会将否决该投标人的所有投标文件，该投标人也不再进入价格详细评审环节。</w:t>
      </w:r>
    </w:p>
    <w:p>
      <w:pPr>
        <w:pStyle w:val="26"/>
        <w:rPr>
          <w:rFonts w:hint="eastAsia" w:hAnsi="宋体" w:cs="宋体"/>
          <w:b/>
          <w:bCs/>
        </w:rPr>
      </w:pPr>
    </w:p>
    <w:p>
      <w:pPr>
        <w:pStyle w:val="26"/>
        <w:rPr>
          <w:rFonts w:hint="eastAsia" w:hAnsi="宋体" w:cs="宋体"/>
          <w:b/>
          <w:bCs/>
        </w:rPr>
      </w:pPr>
    </w:p>
    <w:p>
      <w:pPr>
        <w:pStyle w:val="26"/>
        <w:rPr>
          <w:rFonts w:hint="eastAsia" w:hAnsi="宋体" w:cs="宋体"/>
          <w:b/>
          <w:bCs/>
        </w:rPr>
      </w:pPr>
    </w:p>
    <w:p>
      <w:pPr>
        <w:pStyle w:val="26"/>
        <w:rPr>
          <w:rFonts w:hint="eastAsia" w:hAnsi="宋体" w:cs="宋体"/>
          <w:b/>
          <w:bCs/>
        </w:rPr>
      </w:pPr>
    </w:p>
    <w:p>
      <w:pPr>
        <w:rPr>
          <w:rFonts w:hint="eastAsia" w:hAnsi="宋体" w:cs="宋体"/>
          <w:b/>
          <w:bCs/>
        </w:rPr>
      </w:pPr>
    </w:p>
    <w:p>
      <w:pPr>
        <w:rPr>
          <w:rFonts w:hint="eastAsia" w:hAnsi="宋体" w:cs="宋体"/>
          <w:b/>
          <w:bCs/>
        </w:rPr>
      </w:pPr>
    </w:p>
    <w:p>
      <w:pPr>
        <w:rPr>
          <w:rFonts w:hint="eastAsia" w:hAnsi="宋体" w:cs="宋体"/>
          <w:b/>
          <w:bCs/>
        </w:rPr>
      </w:pPr>
    </w:p>
    <w:p>
      <w:pPr>
        <w:rPr>
          <w:rFonts w:hint="eastAsia" w:hAnsi="宋体" w:cs="宋体"/>
          <w:b/>
          <w:bCs/>
        </w:rPr>
      </w:pPr>
      <w:bookmarkStart w:id="202" w:name="_GoBack"/>
      <w:bookmarkEnd w:id="202"/>
    </w:p>
    <w:p>
      <w:pPr>
        <w:pStyle w:val="26"/>
        <w:rPr>
          <w:rFonts w:hint="eastAsia" w:hAnsi="宋体" w:cs="宋体"/>
          <w:b/>
          <w:bCs/>
        </w:rPr>
      </w:pPr>
    </w:p>
    <w:p>
      <w:pPr>
        <w:pStyle w:val="26"/>
        <w:rPr>
          <w:rFonts w:hint="eastAsia" w:hAnsi="宋体" w:cs="宋体"/>
          <w:b/>
          <w:bCs/>
        </w:rPr>
      </w:pPr>
    </w:p>
    <w:p>
      <w:pPr>
        <w:pStyle w:val="26"/>
        <w:rPr>
          <w:rFonts w:hint="eastAsia" w:hAnsi="宋体" w:cs="宋体"/>
          <w:b/>
          <w:bCs/>
        </w:rPr>
      </w:pPr>
    </w:p>
    <w:p>
      <w:pPr>
        <w:pStyle w:val="26"/>
        <w:rPr>
          <w:rFonts w:hint="eastAsia" w:hAnsi="宋体" w:cs="宋体"/>
          <w:b/>
          <w:bCs/>
        </w:rPr>
      </w:pPr>
    </w:p>
    <w:p>
      <w:pPr>
        <w:pStyle w:val="20"/>
        <w:rPr>
          <w:rFonts w:hint="eastAsia" w:ascii="宋体" w:hAnsi="宋体"/>
          <w:b/>
        </w:rPr>
      </w:pPr>
      <w:r>
        <w:rPr>
          <w:rFonts w:hint="eastAsia" w:ascii="宋体" w:hAnsi="宋体"/>
          <w:b/>
        </w:rPr>
        <w:t>附表4：符合性审查表（阶段二）</w:t>
      </w:r>
    </w:p>
    <w:p>
      <w:pPr>
        <w:jc w:val="center"/>
        <w:rPr>
          <w:rFonts w:hint="eastAsia" w:ascii="宋体" w:hAnsi="宋体"/>
          <w:b/>
          <w:sz w:val="28"/>
          <w:szCs w:val="28"/>
        </w:rPr>
      </w:pPr>
      <w:r>
        <w:rPr>
          <w:rFonts w:hint="eastAsia" w:ascii="宋体" w:hAnsi="宋体"/>
          <w:b/>
          <w:sz w:val="28"/>
          <w:szCs w:val="28"/>
        </w:rPr>
        <w:t>符合性审查表（阶段二）</w:t>
      </w:r>
    </w:p>
    <w:tbl>
      <w:tblPr>
        <w:tblStyle w:val="53"/>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序号</w:t>
            </w:r>
          </w:p>
        </w:tc>
        <w:tc>
          <w:tcPr>
            <w:tcW w:w="2278" w:type="pct"/>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402"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投标人的投标报价没有超过本项目的最高限价；</w:t>
            </w:r>
          </w:p>
        </w:tc>
        <w:tc>
          <w:tcPr>
            <w:tcW w:w="402"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kern w:val="0"/>
                <w:szCs w:val="21"/>
                <w:lang w:bidi="ar"/>
              </w:rPr>
              <w:t>无招标文件中规定的其他无效投标的内容。</w:t>
            </w:r>
          </w:p>
        </w:tc>
        <w:tc>
          <w:tcPr>
            <w:tcW w:w="402"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vAlign w:val="center"/>
          </w:tcPr>
          <w:p>
            <w:pPr>
              <w:jc w:val="center"/>
              <w:rPr>
                <w:rFonts w:hint="eastAsia" w:ascii="宋体" w:hAnsi="宋体" w:cs="宋体"/>
                <w:b/>
                <w:bCs/>
                <w:szCs w:val="21"/>
              </w:rPr>
            </w:pPr>
          </w:p>
        </w:tc>
      </w:tr>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pStyle w:val="26"/>
        <w:rPr>
          <w:rFonts w:hint="eastAsia" w:hAnsi="宋体" w:cs="宋体"/>
          <w:b/>
          <w:bCs/>
        </w:rPr>
      </w:pPr>
      <w:r>
        <w:rPr>
          <w:rFonts w:hAnsi="宋体"/>
          <w:b/>
          <w:bCs/>
        </w:rPr>
        <w:t>2</w:t>
      </w:r>
      <w:r>
        <w:rPr>
          <w:rFonts w:hint="eastAsia" w:hAnsi="宋体"/>
          <w:b/>
          <w:bCs/>
        </w:rPr>
        <w:t>、表中全部条件满足的结论为通过</w:t>
      </w:r>
      <w:r>
        <w:rPr>
          <w:rFonts w:hAnsi="宋体"/>
          <w:b/>
          <w:bCs/>
        </w:rPr>
        <w:t xml:space="preserve">， </w:t>
      </w:r>
      <w:r>
        <w:rPr>
          <w:rFonts w:hint="eastAsia" w:hAnsi="宋体"/>
          <w:b/>
          <w:bCs/>
        </w:rPr>
        <w:t>同意进入下一阶段评议。</w:t>
      </w: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阿里巴巴普惠体 3.0 55 Regular">
    <w:altName w:val="宋体"/>
    <w:panose1 w:val="00000000000000000000"/>
    <w:charset w:val="86"/>
    <w:family w:val="roman"/>
    <w:pitch w:val="default"/>
    <w:sig w:usb0="00000000" w:usb1="00000000" w:usb2="0000001E" w:usb3="00000000" w:csb0="0004009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p>
    <w:pPr>
      <w:pStyle w:val="3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p>
    <w:pPr>
      <w:pStyle w:val="31"/>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p>
    <w:pPr>
      <w:pStyle w:val="3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028700" cy="147955"/>
              <wp:effectExtent l="0" t="0" r="0" b="0"/>
              <wp:wrapNone/>
              <wp:docPr id="1086562619" name="文本框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028700" cy="147955"/>
                      </a:xfrm>
                      <a:prstGeom prst="rect">
                        <a:avLst/>
                      </a:prstGeom>
                      <a:noFill/>
                      <a:ln>
                        <a:noFill/>
                      </a:ln>
                    </wps:spPr>
                    <wps:txbx>
                      <w:txbxContent>
                        <w:p>
                          <w:pPr>
                            <w:pStyle w:val="31"/>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rot="0" vert="horz" wrap="square" lIns="0" tIns="0" rIns="0" bIns="0" anchor="t" anchorCtr="0" upright="1">
                      <a:spAutoFit/>
                    </wps:bodyPr>
                  </wps:wsp>
                </a:graphicData>
              </a:graphic>
            </wp:anchor>
          </w:drawing>
        </mc:Choice>
        <mc:Fallback>
          <w:pict>
            <v:shape id="文本框 10" o:spid="_x0000_s1026" o:spt="202" type="#_x0000_t202" style="position:absolute;left:0pt;margin-top:0pt;height:11.65pt;width:81pt;mso-position-horizontal:center;mso-position-horizontal-relative:margin;z-index:251660288;mso-width-relative:page;mso-height-relative:page;" filled="f" stroked="f" coordsize="21600,21600" o:gfxdata="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oxzdW9IAAAAEAQAADwAAAAAAAAABACAAAAAiAAAAZHJzL2Rvd25yZXYueG1s&#10;UEsBAhQAFAAAAAgAh07iQDWuuzA3AgAAWAQAAA4AAAAAAAAAAQAgAAAAIQEAAGRycy9lMm9Eb2Mu&#10;eG1sUEsFBgAAAAAGAAYAWQEAAMoFAAAAAA==&#10;">
              <v:fill on="f" focussize="0,0"/>
              <v:stroke on="f"/>
              <v:imagedata o:title=""/>
              <o:lock v:ext="edit" text="t" aspectratio="t"/>
              <v:textbox inset="0mm,0mm,0mm,0mm" style="mso-fit-shape-to-text:t;">
                <w:txbxContent>
                  <w:p>
                    <w:pPr>
                      <w:pStyle w:val="31"/>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3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574862745" name="文本框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400685" cy="147955"/>
                      </a:xfrm>
                      <a:prstGeom prst="rect">
                        <a:avLst/>
                      </a:prstGeom>
                      <a:noFill/>
                      <a:ln>
                        <a:noFill/>
                      </a:ln>
                      <a:effectLst/>
                    </wps:spPr>
                    <wps:txbx>
                      <w:txbxContent>
                        <w:p>
                          <w:pPr>
                            <w:pStyle w:val="31"/>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UOo8tEAAAADAQAADwAAAAAAAAABACAAAAAiAAAAZHJzL2Rvd25yZXYueG1s&#10;UEsBAhQAFAAAAAgAh07iQGffuik4AgAAYQQAAA4AAAAAAAAAAQAgAAAAIAEAAGRycy9lMm9Eb2Mu&#10;eG1sUEsFBgAAAAAGAAYAWQEAAMoFAAAAAA==&#10;">
              <v:fill on="f" focussize="0,0"/>
              <v:stroke on="f"/>
              <v:imagedata o:title=""/>
              <o:lock v:ext="edit" text="t" aspectratio="t"/>
              <v:textbox inset="0mm,0mm,0mm,0mm" style="mso-fit-shape-to-text:t;">
                <w:txbxContent>
                  <w:p>
                    <w:pPr>
                      <w:pStyle w:val="31"/>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3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57835" cy="147955"/>
              <wp:effectExtent l="0" t="0" r="0" b="0"/>
              <wp:wrapNone/>
              <wp:docPr id="1841835479" name="文本框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457835" cy="147955"/>
                      </a:xfrm>
                      <a:prstGeom prst="rect">
                        <a:avLst/>
                      </a:prstGeom>
                      <a:noFill/>
                      <a:ln>
                        <a:noFill/>
                      </a:ln>
                    </wps:spPr>
                    <wps:txbx>
                      <w:txbxContent>
                        <w:p>
                          <w:pPr>
                            <w:pStyle w:val="31"/>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1.65pt;width:36.05pt;mso-position-horizontal:center;mso-position-horizontal-relative:margin;mso-wrap-style:none;z-index:251660288;mso-width-relative:page;mso-height-relative:page;" filled="f" stroked="f" coordsize="21600,21600" o:gfxdata="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BnGpDRAAAAAwEAAA8AAAAAAAAAAQAgAAAAIgAAAGRycy9kb3ducmV2LnhtbFBLAQIU&#10;ABQAAAAIAIdO4kBDf8c4MwIAAFQEAAAOAAAAAAAAAAEAIAAAACABAABkcnMvZTJvRG9jLnhtbFBL&#10;BQYAAAAABgAGAFkBAADFBQAAAAA=&#10;">
              <v:fill on="f" focussize="0,0"/>
              <v:stroke on="f"/>
              <v:imagedata o:title=""/>
              <o:lock v:ext="edit" text="t" aspectratio="t"/>
              <v:textbox inset="0mm,0mm,0mm,0mm" style="mso-fit-shape-to-text:t;">
                <w:txbxContent>
                  <w:p>
                    <w:pPr>
                      <w:pStyle w:val="31"/>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3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r>
      <w:rPr>
        <w:rFonts w:hint="eastAsia"/>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F7BFFD94"/>
    <w:multiLevelType w:val="singleLevel"/>
    <w:tmpl w:val="F7BFFD94"/>
    <w:lvl w:ilvl="0" w:tentative="0">
      <w:start w:val="1"/>
      <w:numFmt w:val="ideographTraditional"/>
      <w:suff w:val="nothing"/>
      <w:lvlText w:val="%1、"/>
      <w:lvlJc w:val="left"/>
      <w:rPr>
        <w:rFonts w:hint="eastAsia"/>
      </w:rPr>
    </w:lvl>
  </w:abstractNum>
  <w:abstractNum w:abstractNumId="2">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3">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0000000A"/>
    <w:multiLevelType w:val="multilevel"/>
    <w:tmpl w:val="0000000A"/>
    <w:lvl w:ilvl="0" w:tentative="0">
      <w:start w:val="1"/>
      <w:numFmt w:val="japaneseCounting"/>
      <w:pStyle w:val="3"/>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5">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1710D94"/>
    <w:multiLevelType w:val="singleLevel"/>
    <w:tmpl w:val="01710D94"/>
    <w:lvl w:ilvl="0" w:tentative="0">
      <w:start w:val="1"/>
      <w:numFmt w:val="bullet"/>
      <w:pStyle w:val="203"/>
      <w:lvlText w:val=""/>
      <w:lvlJc w:val="left"/>
      <w:pPr>
        <w:tabs>
          <w:tab w:val="left" w:pos="425"/>
        </w:tabs>
        <w:ind w:left="425" w:hanging="425"/>
      </w:pPr>
      <w:rPr>
        <w:rFonts w:hint="default" w:ascii="Wingdings" w:hAnsi="Wingdings"/>
      </w:rPr>
    </w:lvl>
  </w:abstractNum>
  <w:abstractNum w:abstractNumId="8">
    <w:nsid w:val="09E36DB0"/>
    <w:multiLevelType w:val="multilevel"/>
    <w:tmpl w:val="09E36DB0"/>
    <w:lvl w:ilvl="0" w:tentative="0">
      <w:start w:val="1"/>
      <w:numFmt w:val="decimal"/>
      <w:lvlText w:val="%1."/>
      <w:lvlJc w:val="left"/>
      <w:pPr>
        <w:tabs>
          <w:tab w:val="left" w:pos="420"/>
        </w:tabs>
        <w:ind w:left="420" w:hanging="420"/>
      </w:pPr>
      <w:rPr>
        <w:rFonts w:hint="eastAsia"/>
        <w:b/>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9">
    <w:nsid w:val="0E934CBE"/>
    <w:multiLevelType w:val="singleLevel"/>
    <w:tmpl w:val="0E934CBE"/>
    <w:lvl w:ilvl="0" w:tentative="0">
      <w:start w:val="1"/>
      <w:numFmt w:val="decimal"/>
      <w:suff w:val="space"/>
      <w:lvlText w:val="%1)"/>
      <w:lvlJc w:val="left"/>
      <w:pPr>
        <w:ind w:left="709" w:hanging="425"/>
      </w:pPr>
      <w:rPr>
        <w:rFonts w:hint="default"/>
        <w:color w:val="auto"/>
      </w:rPr>
    </w:lvl>
  </w:abstractNum>
  <w:abstractNum w:abstractNumId="10">
    <w:nsid w:val="0FD20AFE"/>
    <w:multiLevelType w:val="singleLevel"/>
    <w:tmpl w:val="0FD20AFE"/>
    <w:lvl w:ilvl="0" w:tentative="0">
      <w:start w:val="1"/>
      <w:numFmt w:val="decimal"/>
      <w:suff w:val="space"/>
      <w:lvlText w:val="（%1）"/>
      <w:lvlJc w:val="left"/>
    </w:lvl>
  </w:abstractNum>
  <w:abstractNum w:abstractNumId="11">
    <w:nsid w:val="1ED7499E"/>
    <w:multiLevelType w:val="multilevel"/>
    <w:tmpl w:val="1ED7499E"/>
    <w:lvl w:ilvl="0" w:tentative="0">
      <w:start w:val="1"/>
      <w:numFmt w:val="lowerLetter"/>
      <w:lvlText w:val="%1)"/>
      <w:lvlJc w:val="left"/>
      <w:pPr>
        <w:ind w:left="1129" w:hanging="420"/>
      </w:p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12">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1E7E98"/>
    <w:multiLevelType w:val="singleLevel"/>
    <w:tmpl w:val="4B1E7E98"/>
    <w:lvl w:ilvl="0" w:tentative="0">
      <w:start w:val="1"/>
      <w:numFmt w:val="decimal"/>
      <w:suff w:val="space"/>
      <w:lvlText w:val="%1)"/>
      <w:lvlJc w:val="left"/>
      <w:pPr>
        <w:ind w:left="425" w:hanging="425"/>
      </w:pPr>
      <w:rPr>
        <w:rFonts w:hint="default"/>
        <w:color w:val="auto"/>
      </w:rPr>
    </w:lvl>
  </w:abstractNum>
  <w:abstractNum w:abstractNumId="14">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5">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4"/>
  </w:num>
  <w:num w:numId="2">
    <w:abstractNumId w:val="7"/>
  </w:num>
  <w:num w:numId="3">
    <w:abstractNumId w:val="14"/>
  </w:num>
  <w:num w:numId="4">
    <w:abstractNumId w:val="15"/>
  </w:num>
  <w:num w:numId="5">
    <w:abstractNumId w:val="2"/>
  </w:num>
  <w:num w:numId="6">
    <w:abstractNumId w:val="0"/>
  </w:num>
  <w:num w:numId="7">
    <w:abstractNumId w:val="9"/>
  </w:num>
  <w:num w:numId="8">
    <w:abstractNumId w:val="13"/>
  </w:num>
  <w:num w:numId="9">
    <w:abstractNumId w:val="11"/>
  </w:num>
  <w:num w:numId="10">
    <w:abstractNumId w:val="1"/>
  </w:num>
  <w:num w:numId="11">
    <w:abstractNumId w:val="8"/>
  </w:num>
  <w:num w:numId="12">
    <w:abstractNumId w:val="3"/>
  </w:num>
  <w:num w:numId="13">
    <w:abstractNumId w:val="12"/>
  </w:num>
  <w:num w:numId="14">
    <w:abstractNumId w:val="5"/>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ZjMyZmY4MDZlNmMyZjI0ZWFiN2YwZjNlYmQ4YTgifQ=="/>
    <w:docVar w:name="KGWebUrl" w:val="http://oa.gdguangye.com:80/defaultroot/public/iWebOfficeSign/attachmentServer.jsp"/>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412AC"/>
    <w:rsid w:val="00050466"/>
    <w:rsid w:val="00051141"/>
    <w:rsid w:val="0005119E"/>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03F0"/>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2F0A"/>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2A27"/>
    <w:rsid w:val="00174013"/>
    <w:rsid w:val="0017415F"/>
    <w:rsid w:val="00176D3E"/>
    <w:rsid w:val="00177951"/>
    <w:rsid w:val="00183430"/>
    <w:rsid w:val="00183FFE"/>
    <w:rsid w:val="00185517"/>
    <w:rsid w:val="00191578"/>
    <w:rsid w:val="001A018A"/>
    <w:rsid w:val="001A273E"/>
    <w:rsid w:val="001A3530"/>
    <w:rsid w:val="001A3637"/>
    <w:rsid w:val="001A4D52"/>
    <w:rsid w:val="001A79A6"/>
    <w:rsid w:val="001B2C33"/>
    <w:rsid w:val="001B2E6A"/>
    <w:rsid w:val="001B30F1"/>
    <w:rsid w:val="001B31EF"/>
    <w:rsid w:val="001B3BA4"/>
    <w:rsid w:val="001B653F"/>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2A16"/>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6CC"/>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87AFD"/>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4DB2"/>
    <w:rsid w:val="00307C56"/>
    <w:rsid w:val="0031116F"/>
    <w:rsid w:val="00312B59"/>
    <w:rsid w:val="003153F0"/>
    <w:rsid w:val="0031548F"/>
    <w:rsid w:val="003165FA"/>
    <w:rsid w:val="00320B15"/>
    <w:rsid w:val="00321F20"/>
    <w:rsid w:val="003227B9"/>
    <w:rsid w:val="00323F98"/>
    <w:rsid w:val="00326A9C"/>
    <w:rsid w:val="0033182F"/>
    <w:rsid w:val="003331E1"/>
    <w:rsid w:val="00333EC9"/>
    <w:rsid w:val="00334AB3"/>
    <w:rsid w:val="00336101"/>
    <w:rsid w:val="00340CCD"/>
    <w:rsid w:val="00342769"/>
    <w:rsid w:val="00342A27"/>
    <w:rsid w:val="00342CF8"/>
    <w:rsid w:val="003461DB"/>
    <w:rsid w:val="003464D1"/>
    <w:rsid w:val="00346B58"/>
    <w:rsid w:val="0035183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87C5F"/>
    <w:rsid w:val="003908DA"/>
    <w:rsid w:val="003925F0"/>
    <w:rsid w:val="003935E9"/>
    <w:rsid w:val="00395960"/>
    <w:rsid w:val="0039638A"/>
    <w:rsid w:val="003A05E2"/>
    <w:rsid w:val="003A157B"/>
    <w:rsid w:val="003A1886"/>
    <w:rsid w:val="003A37A9"/>
    <w:rsid w:val="003A4D5E"/>
    <w:rsid w:val="003A7511"/>
    <w:rsid w:val="003B1E2B"/>
    <w:rsid w:val="003B3A9F"/>
    <w:rsid w:val="003B5132"/>
    <w:rsid w:val="003B520C"/>
    <w:rsid w:val="003C01DE"/>
    <w:rsid w:val="003C0254"/>
    <w:rsid w:val="003C0C2F"/>
    <w:rsid w:val="003C260F"/>
    <w:rsid w:val="003C2A4A"/>
    <w:rsid w:val="003D0D9C"/>
    <w:rsid w:val="003D4230"/>
    <w:rsid w:val="003E03FD"/>
    <w:rsid w:val="003E05BF"/>
    <w:rsid w:val="003E0990"/>
    <w:rsid w:val="003E0D62"/>
    <w:rsid w:val="003E1734"/>
    <w:rsid w:val="003E1B79"/>
    <w:rsid w:val="003E2419"/>
    <w:rsid w:val="003E25F4"/>
    <w:rsid w:val="003E3060"/>
    <w:rsid w:val="003E319A"/>
    <w:rsid w:val="003E3CC6"/>
    <w:rsid w:val="003E46E8"/>
    <w:rsid w:val="003E51F1"/>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67B4A"/>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E74AE"/>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4579"/>
    <w:rsid w:val="005358F0"/>
    <w:rsid w:val="005378A4"/>
    <w:rsid w:val="00537DCD"/>
    <w:rsid w:val="00540F71"/>
    <w:rsid w:val="00541A9E"/>
    <w:rsid w:val="00544237"/>
    <w:rsid w:val="00547283"/>
    <w:rsid w:val="00547F21"/>
    <w:rsid w:val="0055028E"/>
    <w:rsid w:val="0055447C"/>
    <w:rsid w:val="00554F1F"/>
    <w:rsid w:val="00556B3C"/>
    <w:rsid w:val="00561ABA"/>
    <w:rsid w:val="00564861"/>
    <w:rsid w:val="00564B8E"/>
    <w:rsid w:val="005650FA"/>
    <w:rsid w:val="00577BDC"/>
    <w:rsid w:val="0058110F"/>
    <w:rsid w:val="005838C3"/>
    <w:rsid w:val="00584E59"/>
    <w:rsid w:val="005860CA"/>
    <w:rsid w:val="00586EB7"/>
    <w:rsid w:val="005872E8"/>
    <w:rsid w:val="005907E5"/>
    <w:rsid w:val="00590FD4"/>
    <w:rsid w:val="0059314F"/>
    <w:rsid w:val="00593660"/>
    <w:rsid w:val="00594BD5"/>
    <w:rsid w:val="005950DB"/>
    <w:rsid w:val="00596788"/>
    <w:rsid w:val="005A13E5"/>
    <w:rsid w:val="005A2443"/>
    <w:rsid w:val="005A2745"/>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06A0E"/>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36858"/>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65C1B"/>
    <w:rsid w:val="00670C44"/>
    <w:rsid w:val="00670F22"/>
    <w:rsid w:val="0067251A"/>
    <w:rsid w:val="006740B9"/>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C5CF0"/>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0B8"/>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7A8"/>
    <w:rsid w:val="007519F3"/>
    <w:rsid w:val="00754730"/>
    <w:rsid w:val="0075539A"/>
    <w:rsid w:val="007561BA"/>
    <w:rsid w:val="00760FF6"/>
    <w:rsid w:val="0076139E"/>
    <w:rsid w:val="00761693"/>
    <w:rsid w:val="0076416F"/>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02D8"/>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2909"/>
    <w:rsid w:val="0082304A"/>
    <w:rsid w:val="008272C9"/>
    <w:rsid w:val="00827D20"/>
    <w:rsid w:val="00832F9F"/>
    <w:rsid w:val="008331E4"/>
    <w:rsid w:val="00833B84"/>
    <w:rsid w:val="0083550D"/>
    <w:rsid w:val="00840BCE"/>
    <w:rsid w:val="008442B7"/>
    <w:rsid w:val="0084583C"/>
    <w:rsid w:val="00846283"/>
    <w:rsid w:val="00851192"/>
    <w:rsid w:val="00853182"/>
    <w:rsid w:val="00853875"/>
    <w:rsid w:val="00853C0D"/>
    <w:rsid w:val="00854CF1"/>
    <w:rsid w:val="00855E66"/>
    <w:rsid w:val="0085604C"/>
    <w:rsid w:val="00860738"/>
    <w:rsid w:val="00860E0D"/>
    <w:rsid w:val="00861638"/>
    <w:rsid w:val="0086490E"/>
    <w:rsid w:val="00866457"/>
    <w:rsid w:val="008704E9"/>
    <w:rsid w:val="00874658"/>
    <w:rsid w:val="00876297"/>
    <w:rsid w:val="00880DBC"/>
    <w:rsid w:val="00892CC9"/>
    <w:rsid w:val="008935DC"/>
    <w:rsid w:val="00896EA2"/>
    <w:rsid w:val="008A52C2"/>
    <w:rsid w:val="008A7212"/>
    <w:rsid w:val="008A7683"/>
    <w:rsid w:val="008B19C5"/>
    <w:rsid w:val="008B25CF"/>
    <w:rsid w:val="008B3C2D"/>
    <w:rsid w:val="008B4711"/>
    <w:rsid w:val="008B67DB"/>
    <w:rsid w:val="008C0028"/>
    <w:rsid w:val="008C139B"/>
    <w:rsid w:val="008C579A"/>
    <w:rsid w:val="008C6499"/>
    <w:rsid w:val="008C79AE"/>
    <w:rsid w:val="008D39AD"/>
    <w:rsid w:val="008D536C"/>
    <w:rsid w:val="008E42AA"/>
    <w:rsid w:val="008E523A"/>
    <w:rsid w:val="008E5CC1"/>
    <w:rsid w:val="008E6762"/>
    <w:rsid w:val="008E71F0"/>
    <w:rsid w:val="008F0AD8"/>
    <w:rsid w:val="008F4028"/>
    <w:rsid w:val="008F53A1"/>
    <w:rsid w:val="008F7B61"/>
    <w:rsid w:val="009009B3"/>
    <w:rsid w:val="00902584"/>
    <w:rsid w:val="00902D1D"/>
    <w:rsid w:val="00903197"/>
    <w:rsid w:val="00904594"/>
    <w:rsid w:val="0090711D"/>
    <w:rsid w:val="009138D0"/>
    <w:rsid w:val="00916935"/>
    <w:rsid w:val="00916D56"/>
    <w:rsid w:val="009222A3"/>
    <w:rsid w:val="00924C1E"/>
    <w:rsid w:val="009251D1"/>
    <w:rsid w:val="00925410"/>
    <w:rsid w:val="009254F7"/>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BDE"/>
    <w:rsid w:val="00962DA3"/>
    <w:rsid w:val="009654DC"/>
    <w:rsid w:val="00965D27"/>
    <w:rsid w:val="00971EA1"/>
    <w:rsid w:val="00972E08"/>
    <w:rsid w:val="009832D8"/>
    <w:rsid w:val="009833EE"/>
    <w:rsid w:val="00985B6D"/>
    <w:rsid w:val="00997DBF"/>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3066"/>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6E80"/>
    <w:rsid w:val="00B07532"/>
    <w:rsid w:val="00B16303"/>
    <w:rsid w:val="00B16800"/>
    <w:rsid w:val="00B17AB7"/>
    <w:rsid w:val="00B21FBD"/>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7EA"/>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568E"/>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95E9F"/>
    <w:rsid w:val="00C96A47"/>
    <w:rsid w:val="00CA25BD"/>
    <w:rsid w:val="00CA316A"/>
    <w:rsid w:val="00CA624B"/>
    <w:rsid w:val="00CA630E"/>
    <w:rsid w:val="00CA7F62"/>
    <w:rsid w:val="00CB0193"/>
    <w:rsid w:val="00CB443C"/>
    <w:rsid w:val="00CB72F8"/>
    <w:rsid w:val="00CB731D"/>
    <w:rsid w:val="00CC29ED"/>
    <w:rsid w:val="00CC4462"/>
    <w:rsid w:val="00CC6A28"/>
    <w:rsid w:val="00CC7FB3"/>
    <w:rsid w:val="00CD05D4"/>
    <w:rsid w:val="00CD1901"/>
    <w:rsid w:val="00CD43E9"/>
    <w:rsid w:val="00CD539A"/>
    <w:rsid w:val="00CD5CEC"/>
    <w:rsid w:val="00CD6FA0"/>
    <w:rsid w:val="00CD786E"/>
    <w:rsid w:val="00CE1DE7"/>
    <w:rsid w:val="00CE207F"/>
    <w:rsid w:val="00CE4924"/>
    <w:rsid w:val="00CE7BA1"/>
    <w:rsid w:val="00CF3BDD"/>
    <w:rsid w:val="00CF482B"/>
    <w:rsid w:val="00CF4C47"/>
    <w:rsid w:val="00CF4FD8"/>
    <w:rsid w:val="00CF715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365F7"/>
    <w:rsid w:val="00D4182B"/>
    <w:rsid w:val="00D422DD"/>
    <w:rsid w:val="00D468ED"/>
    <w:rsid w:val="00D475FA"/>
    <w:rsid w:val="00D55A76"/>
    <w:rsid w:val="00D56749"/>
    <w:rsid w:val="00D70136"/>
    <w:rsid w:val="00D7073E"/>
    <w:rsid w:val="00D71497"/>
    <w:rsid w:val="00D71785"/>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0CA1"/>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47540"/>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3983"/>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D72CB"/>
    <w:rsid w:val="00EE0B34"/>
    <w:rsid w:val="00EE3719"/>
    <w:rsid w:val="00EF0882"/>
    <w:rsid w:val="00EF1FFD"/>
    <w:rsid w:val="00EF26C3"/>
    <w:rsid w:val="00EF4842"/>
    <w:rsid w:val="00EF6B5D"/>
    <w:rsid w:val="00F04C18"/>
    <w:rsid w:val="00F05359"/>
    <w:rsid w:val="00F055C0"/>
    <w:rsid w:val="00F06A66"/>
    <w:rsid w:val="00F101F3"/>
    <w:rsid w:val="00F12098"/>
    <w:rsid w:val="00F2036F"/>
    <w:rsid w:val="00F21BAC"/>
    <w:rsid w:val="00F2273F"/>
    <w:rsid w:val="00F249B9"/>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6C36"/>
    <w:rsid w:val="00F9740B"/>
    <w:rsid w:val="00FA1920"/>
    <w:rsid w:val="00FA2D29"/>
    <w:rsid w:val="00FA3874"/>
    <w:rsid w:val="00FA49DF"/>
    <w:rsid w:val="00FB4958"/>
    <w:rsid w:val="00FB74C0"/>
    <w:rsid w:val="00FC11A2"/>
    <w:rsid w:val="00FC2FE3"/>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2707E5"/>
    <w:rsid w:val="014224F1"/>
    <w:rsid w:val="016519B8"/>
    <w:rsid w:val="01842E69"/>
    <w:rsid w:val="018819BD"/>
    <w:rsid w:val="01883468"/>
    <w:rsid w:val="01A0532E"/>
    <w:rsid w:val="01A33372"/>
    <w:rsid w:val="01B44181"/>
    <w:rsid w:val="01CB085B"/>
    <w:rsid w:val="01E069A9"/>
    <w:rsid w:val="01F27108"/>
    <w:rsid w:val="02181129"/>
    <w:rsid w:val="02287A18"/>
    <w:rsid w:val="02B74ED3"/>
    <w:rsid w:val="03006AC8"/>
    <w:rsid w:val="034158C5"/>
    <w:rsid w:val="036C58E1"/>
    <w:rsid w:val="039145E6"/>
    <w:rsid w:val="03F14361"/>
    <w:rsid w:val="03F661A5"/>
    <w:rsid w:val="045A52E5"/>
    <w:rsid w:val="047F20A7"/>
    <w:rsid w:val="049F5624"/>
    <w:rsid w:val="04C1532F"/>
    <w:rsid w:val="04EA21C0"/>
    <w:rsid w:val="04F574FF"/>
    <w:rsid w:val="051B62AB"/>
    <w:rsid w:val="05485881"/>
    <w:rsid w:val="05526CD3"/>
    <w:rsid w:val="055D40BD"/>
    <w:rsid w:val="05CC0E93"/>
    <w:rsid w:val="05D2621A"/>
    <w:rsid w:val="05DE64AF"/>
    <w:rsid w:val="05ED033B"/>
    <w:rsid w:val="05F35C4C"/>
    <w:rsid w:val="05FF324E"/>
    <w:rsid w:val="06104D0A"/>
    <w:rsid w:val="062015A1"/>
    <w:rsid w:val="062C117B"/>
    <w:rsid w:val="066F79D4"/>
    <w:rsid w:val="06773DD7"/>
    <w:rsid w:val="068A167F"/>
    <w:rsid w:val="06941FE9"/>
    <w:rsid w:val="06AD6630"/>
    <w:rsid w:val="06D82C3A"/>
    <w:rsid w:val="06F26483"/>
    <w:rsid w:val="06F82C20"/>
    <w:rsid w:val="06FF1D33"/>
    <w:rsid w:val="07131FA5"/>
    <w:rsid w:val="07321E6B"/>
    <w:rsid w:val="07421606"/>
    <w:rsid w:val="0786606E"/>
    <w:rsid w:val="07B5128A"/>
    <w:rsid w:val="07F81AFD"/>
    <w:rsid w:val="080C528C"/>
    <w:rsid w:val="08102AC9"/>
    <w:rsid w:val="08113BBE"/>
    <w:rsid w:val="08224B62"/>
    <w:rsid w:val="082913BF"/>
    <w:rsid w:val="082A752B"/>
    <w:rsid w:val="083D3697"/>
    <w:rsid w:val="084C32E2"/>
    <w:rsid w:val="086F5D79"/>
    <w:rsid w:val="087F66FC"/>
    <w:rsid w:val="089E4B8C"/>
    <w:rsid w:val="08F05960"/>
    <w:rsid w:val="0903400D"/>
    <w:rsid w:val="094D5FD8"/>
    <w:rsid w:val="0967096B"/>
    <w:rsid w:val="098103B5"/>
    <w:rsid w:val="099E2380"/>
    <w:rsid w:val="09A3791F"/>
    <w:rsid w:val="09AC777E"/>
    <w:rsid w:val="09BC0DBC"/>
    <w:rsid w:val="09C23F4B"/>
    <w:rsid w:val="09D65B51"/>
    <w:rsid w:val="09D96423"/>
    <w:rsid w:val="09E6487F"/>
    <w:rsid w:val="0A2B4526"/>
    <w:rsid w:val="0A4C0D5C"/>
    <w:rsid w:val="0A5E1D11"/>
    <w:rsid w:val="0A5E7AF6"/>
    <w:rsid w:val="0A6F5FF7"/>
    <w:rsid w:val="0A7D7D7B"/>
    <w:rsid w:val="0AAF1EFF"/>
    <w:rsid w:val="0AB37DFC"/>
    <w:rsid w:val="0AB57E50"/>
    <w:rsid w:val="0AD965E7"/>
    <w:rsid w:val="0AFE5E71"/>
    <w:rsid w:val="0AFF49FB"/>
    <w:rsid w:val="0B11432D"/>
    <w:rsid w:val="0B3C09F8"/>
    <w:rsid w:val="0B3D3456"/>
    <w:rsid w:val="0B8D5889"/>
    <w:rsid w:val="0B9720C3"/>
    <w:rsid w:val="0BAF4DBB"/>
    <w:rsid w:val="0BD21F87"/>
    <w:rsid w:val="0C1974A1"/>
    <w:rsid w:val="0C30697B"/>
    <w:rsid w:val="0C671530"/>
    <w:rsid w:val="0C7C3BA8"/>
    <w:rsid w:val="0CBD61E8"/>
    <w:rsid w:val="0CDE75C8"/>
    <w:rsid w:val="0D2D7316"/>
    <w:rsid w:val="0D305579"/>
    <w:rsid w:val="0DAE70B0"/>
    <w:rsid w:val="0DBE77D8"/>
    <w:rsid w:val="0DCD534C"/>
    <w:rsid w:val="0DE726DF"/>
    <w:rsid w:val="0DEB4D7C"/>
    <w:rsid w:val="0E0B7BA4"/>
    <w:rsid w:val="0E4C2497"/>
    <w:rsid w:val="0E576928"/>
    <w:rsid w:val="0E66388F"/>
    <w:rsid w:val="0E6E5D4B"/>
    <w:rsid w:val="0E8B4136"/>
    <w:rsid w:val="0E8B5194"/>
    <w:rsid w:val="0EA62364"/>
    <w:rsid w:val="0EC809FD"/>
    <w:rsid w:val="0F2A0401"/>
    <w:rsid w:val="0F363B2D"/>
    <w:rsid w:val="0F4252BD"/>
    <w:rsid w:val="0F4E351F"/>
    <w:rsid w:val="0F6C0FEE"/>
    <w:rsid w:val="0F796B71"/>
    <w:rsid w:val="0F862AA2"/>
    <w:rsid w:val="0F902AB4"/>
    <w:rsid w:val="0FA01876"/>
    <w:rsid w:val="0FDA4A81"/>
    <w:rsid w:val="100214D2"/>
    <w:rsid w:val="100D7863"/>
    <w:rsid w:val="102C272A"/>
    <w:rsid w:val="105E44E6"/>
    <w:rsid w:val="10606175"/>
    <w:rsid w:val="10615F2E"/>
    <w:rsid w:val="108252A3"/>
    <w:rsid w:val="108A3EC5"/>
    <w:rsid w:val="10B012D9"/>
    <w:rsid w:val="10B159D4"/>
    <w:rsid w:val="10BBB5E2"/>
    <w:rsid w:val="10C5613C"/>
    <w:rsid w:val="10D45F1A"/>
    <w:rsid w:val="111A7D34"/>
    <w:rsid w:val="11237BEA"/>
    <w:rsid w:val="1126246F"/>
    <w:rsid w:val="11301FEB"/>
    <w:rsid w:val="11692E07"/>
    <w:rsid w:val="117D4B05"/>
    <w:rsid w:val="11805965"/>
    <w:rsid w:val="11D12062"/>
    <w:rsid w:val="11E86BCE"/>
    <w:rsid w:val="120669D3"/>
    <w:rsid w:val="120F071E"/>
    <w:rsid w:val="121E07C1"/>
    <w:rsid w:val="12553C7F"/>
    <w:rsid w:val="126F0AA5"/>
    <w:rsid w:val="128919D4"/>
    <w:rsid w:val="129F4319"/>
    <w:rsid w:val="12C40361"/>
    <w:rsid w:val="130917CA"/>
    <w:rsid w:val="130D7E07"/>
    <w:rsid w:val="135A793F"/>
    <w:rsid w:val="138008DC"/>
    <w:rsid w:val="13D77C65"/>
    <w:rsid w:val="140727BD"/>
    <w:rsid w:val="141763E7"/>
    <w:rsid w:val="1424321C"/>
    <w:rsid w:val="144C26B2"/>
    <w:rsid w:val="14786D7E"/>
    <w:rsid w:val="14892EDF"/>
    <w:rsid w:val="148B0641"/>
    <w:rsid w:val="14C94128"/>
    <w:rsid w:val="14CF52C6"/>
    <w:rsid w:val="14D62F94"/>
    <w:rsid w:val="14F270F0"/>
    <w:rsid w:val="14F67239"/>
    <w:rsid w:val="15CB405B"/>
    <w:rsid w:val="15CB4CED"/>
    <w:rsid w:val="15CB6DD1"/>
    <w:rsid w:val="15CF7903"/>
    <w:rsid w:val="15FF47E9"/>
    <w:rsid w:val="162040C7"/>
    <w:rsid w:val="163461C9"/>
    <w:rsid w:val="163550F7"/>
    <w:rsid w:val="163C2586"/>
    <w:rsid w:val="164A53C7"/>
    <w:rsid w:val="1652472A"/>
    <w:rsid w:val="1663088C"/>
    <w:rsid w:val="166531EE"/>
    <w:rsid w:val="167F131F"/>
    <w:rsid w:val="16833FFF"/>
    <w:rsid w:val="16D42DBE"/>
    <w:rsid w:val="16D46A8E"/>
    <w:rsid w:val="16E00282"/>
    <w:rsid w:val="16F62E15"/>
    <w:rsid w:val="16FFB236"/>
    <w:rsid w:val="17056EE2"/>
    <w:rsid w:val="173827E5"/>
    <w:rsid w:val="173B7DB1"/>
    <w:rsid w:val="17557C22"/>
    <w:rsid w:val="17595843"/>
    <w:rsid w:val="176C6E18"/>
    <w:rsid w:val="17A55E6D"/>
    <w:rsid w:val="17AFBBA0"/>
    <w:rsid w:val="17BF56BE"/>
    <w:rsid w:val="17C34F36"/>
    <w:rsid w:val="17CF584C"/>
    <w:rsid w:val="180A4C18"/>
    <w:rsid w:val="18103F78"/>
    <w:rsid w:val="18191B17"/>
    <w:rsid w:val="18227589"/>
    <w:rsid w:val="182B26F5"/>
    <w:rsid w:val="18402552"/>
    <w:rsid w:val="18407CBF"/>
    <w:rsid w:val="185E06D1"/>
    <w:rsid w:val="186C142F"/>
    <w:rsid w:val="189554BC"/>
    <w:rsid w:val="18B20EC6"/>
    <w:rsid w:val="18BF4885"/>
    <w:rsid w:val="191EDFF4"/>
    <w:rsid w:val="192A29D8"/>
    <w:rsid w:val="19413440"/>
    <w:rsid w:val="19481C56"/>
    <w:rsid w:val="19797718"/>
    <w:rsid w:val="19A02C18"/>
    <w:rsid w:val="19A3296E"/>
    <w:rsid w:val="19E5585C"/>
    <w:rsid w:val="19F626D0"/>
    <w:rsid w:val="1A0228B4"/>
    <w:rsid w:val="1A18186E"/>
    <w:rsid w:val="1A3924B5"/>
    <w:rsid w:val="1A454E10"/>
    <w:rsid w:val="1A481C28"/>
    <w:rsid w:val="1AA56ACE"/>
    <w:rsid w:val="1AC63337"/>
    <w:rsid w:val="1B05152A"/>
    <w:rsid w:val="1B0803EE"/>
    <w:rsid w:val="1B1C5935"/>
    <w:rsid w:val="1B214453"/>
    <w:rsid w:val="1B2D2338"/>
    <w:rsid w:val="1B4E74CA"/>
    <w:rsid w:val="1B525270"/>
    <w:rsid w:val="1B5771AB"/>
    <w:rsid w:val="1B777821"/>
    <w:rsid w:val="1B9C337D"/>
    <w:rsid w:val="1BBB46D8"/>
    <w:rsid w:val="1BD61509"/>
    <w:rsid w:val="1BF76176"/>
    <w:rsid w:val="1BF7A622"/>
    <w:rsid w:val="1C203A9C"/>
    <w:rsid w:val="1C2403B8"/>
    <w:rsid w:val="1C443B15"/>
    <w:rsid w:val="1C554928"/>
    <w:rsid w:val="1C770EFC"/>
    <w:rsid w:val="1C8C2FD7"/>
    <w:rsid w:val="1CA67605"/>
    <w:rsid w:val="1CD1424B"/>
    <w:rsid w:val="1CDA332F"/>
    <w:rsid w:val="1CEE2407"/>
    <w:rsid w:val="1D49078F"/>
    <w:rsid w:val="1D556C86"/>
    <w:rsid w:val="1D596426"/>
    <w:rsid w:val="1D78638D"/>
    <w:rsid w:val="1D8C2CB0"/>
    <w:rsid w:val="1D9803B1"/>
    <w:rsid w:val="1DA722BE"/>
    <w:rsid w:val="1DB9F17C"/>
    <w:rsid w:val="1DE91F56"/>
    <w:rsid w:val="1DF61EC7"/>
    <w:rsid w:val="1E4871E8"/>
    <w:rsid w:val="1E551178"/>
    <w:rsid w:val="1E5708CA"/>
    <w:rsid w:val="1EE7444D"/>
    <w:rsid w:val="1EEA6266"/>
    <w:rsid w:val="1EEE5E4D"/>
    <w:rsid w:val="1EF856E7"/>
    <w:rsid w:val="1F434E10"/>
    <w:rsid w:val="1F5528BB"/>
    <w:rsid w:val="1F575EF7"/>
    <w:rsid w:val="1F66526C"/>
    <w:rsid w:val="1F755812"/>
    <w:rsid w:val="1F76E371"/>
    <w:rsid w:val="1F7B7E59"/>
    <w:rsid w:val="1F852113"/>
    <w:rsid w:val="1F9169E5"/>
    <w:rsid w:val="1FAE3FE5"/>
    <w:rsid w:val="1FBD1198"/>
    <w:rsid w:val="1FCEB65B"/>
    <w:rsid w:val="1FE15907"/>
    <w:rsid w:val="1FE737C0"/>
    <w:rsid w:val="1FEB0EE6"/>
    <w:rsid w:val="1FFB8D85"/>
    <w:rsid w:val="1FFF1224"/>
    <w:rsid w:val="1FFF2CF7"/>
    <w:rsid w:val="1FFF48A4"/>
    <w:rsid w:val="1FFF8A33"/>
    <w:rsid w:val="200243EE"/>
    <w:rsid w:val="20623B2B"/>
    <w:rsid w:val="20805C06"/>
    <w:rsid w:val="2086493C"/>
    <w:rsid w:val="20891F8B"/>
    <w:rsid w:val="209A66F7"/>
    <w:rsid w:val="20A0611A"/>
    <w:rsid w:val="20B46D0A"/>
    <w:rsid w:val="20CF5B84"/>
    <w:rsid w:val="20D939E0"/>
    <w:rsid w:val="211E4C1E"/>
    <w:rsid w:val="21207F9C"/>
    <w:rsid w:val="216929AF"/>
    <w:rsid w:val="21722CB8"/>
    <w:rsid w:val="21731E43"/>
    <w:rsid w:val="217810D3"/>
    <w:rsid w:val="217A8494"/>
    <w:rsid w:val="21871145"/>
    <w:rsid w:val="21A54CDA"/>
    <w:rsid w:val="21D31D23"/>
    <w:rsid w:val="221A2FEC"/>
    <w:rsid w:val="225A32C6"/>
    <w:rsid w:val="226F401E"/>
    <w:rsid w:val="229B291E"/>
    <w:rsid w:val="22AD5C0F"/>
    <w:rsid w:val="22DC1635"/>
    <w:rsid w:val="22EF441E"/>
    <w:rsid w:val="22FB7F7F"/>
    <w:rsid w:val="22FE14C9"/>
    <w:rsid w:val="23004747"/>
    <w:rsid w:val="23153C4E"/>
    <w:rsid w:val="231B5250"/>
    <w:rsid w:val="23402FC6"/>
    <w:rsid w:val="234778A3"/>
    <w:rsid w:val="2364421D"/>
    <w:rsid w:val="236D35A6"/>
    <w:rsid w:val="23A73626"/>
    <w:rsid w:val="23C9733B"/>
    <w:rsid w:val="23E97DD8"/>
    <w:rsid w:val="23FF05CA"/>
    <w:rsid w:val="23FF4399"/>
    <w:rsid w:val="240D7F6A"/>
    <w:rsid w:val="242354EF"/>
    <w:rsid w:val="24415E66"/>
    <w:rsid w:val="247510DB"/>
    <w:rsid w:val="24822C48"/>
    <w:rsid w:val="24895953"/>
    <w:rsid w:val="24F14CA9"/>
    <w:rsid w:val="25194790"/>
    <w:rsid w:val="251D6AF8"/>
    <w:rsid w:val="251F0E43"/>
    <w:rsid w:val="253C7A57"/>
    <w:rsid w:val="25401C79"/>
    <w:rsid w:val="25A12C23"/>
    <w:rsid w:val="25B6574E"/>
    <w:rsid w:val="25BD4D4B"/>
    <w:rsid w:val="25E44CFA"/>
    <w:rsid w:val="25F0089E"/>
    <w:rsid w:val="25F24998"/>
    <w:rsid w:val="260927D6"/>
    <w:rsid w:val="261E0421"/>
    <w:rsid w:val="264C6569"/>
    <w:rsid w:val="26553D2D"/>
    <w:rsid w:val="2691293C"/>
    <w:rsid w:val="272A62F6"/>
    <w:rsid w:val="274C3123"/>
    <w:rsid w:val="275A7300"/>
    <w:rsid w:val="27603B29"/>
    <w:rsid w:val="276E6B0C"/>
    <w:rsid w:val="27851515"/>
    <w:rsid w:val="27C57B24"/>
    <w:rsid w:val="27E95385"/>
    <w:rsid w:val="27FC4F79"/>
    <w:rsid w:val="27FD9EFD"/>
    <w:rsid w:val="27FFBA2E"/>
    <w:rsid w:val="283335E0"/>
    <w:rsid w:val="287B5F95"/>
    <w:rsid w:val="28846079"/>
    <w:rsid w:val="289C18BC"/>
    <w:rsid w:val="28AE2013"/>
    <w:rsid w:val="28B720F4"/>
    <w:rsid w:val="28CD048D"/>
    <w:rsid w:val="28CE5985"/>
    <w:rsid w:val="28D0156E"/>
    <w:rsid w:val="28E84965"/>
    <w:rsid w:val="292735EA"/>
    <w:rsid w:val="29323B7D"/>
    <w:rsid w:val="294471C1"/>
    <w:rsid w:val="29587535"/>
    <w:rsid w:val="29595FC5"/>
    <w:rsid w:val="296F37DC"/>
    <w:rsid w:val="297353B3"/>
    <w:rsid w:val="29A245D5"/>
    <w:rsid w:val="29B15EA9"/>
    <w:rsid w:val="29BF6B0B"/>
    <w:rsid w:val="29E7F281"/>
    <w:rsid w:val="2A1D6C10"/>
    <w:rsid w:val="2A2E6FCE"/>
    <w:rsid w:val="2A3C6EB3"/>
    <w:rsid w:val="2A7744A6"/>
    <w:rsid w:val="2ABFCA63"/>
    <w:rsid w:val="2ACA60C4"/>
    <w:rsid w:val="2ACD7D1B"/>
    <w:rsid w:val="2AD31D53"/>
    <w:rsid w:val="2AF66B88"/>
    <w:rsid w:val="2AFE5558"/>
    <w:rsid w:val="2B033FF4"/>
    <w:rsid w:val="2B1C0A93"/>
    <w:rsid w:val="2B2D7D72"/>
    <w:rsid w:val="2B8904D3"/>
    <w:rsid w:val="2B9B2B99"/>
    <w:rsid w:val="2BBA11DD"/>
    <w:rsid w:val="2BD5FC58"/>
    <w:rsid w:val="2BDD7C26"/>
    <w:rsid w:val="2BF1509E"/>
    <w:rsid w:val="2BFC1260"/>
    <w:rsid w:val="2C112F53"/>
    <w:rsid w:val="2C5C149A"/>
    <w:rsid w:val="2C6F4812"/>
    <w:rsid w:val="2C767EB4"/>
    <w:rsid w:val="2C8D144E"/>
    <w:rsid w:val="2CAF55A3"/>
    <w:rsid w:val="2CC8236D"/>
    <w:rsid w:val="2CCB3F36"/>
    <w:rsid w:val="2CED1241"/>
    <w:rsid w:val="2CF22587"/>
    <w:rsid w:val="2CF34C06"/>
    <w:rsid w:val="2CFC4834"/>
    <w:rsid w:val="2D173FF5"/>
    <w:rsid w:val="2D4B33DA"/>
    <w:rsid w:val="2D59417B"/>
    <w:rsid w:val="2D6231B9"/>
    <w:rsid w:val="2D6D4AD0"/>
    <w:rsid w:val="2D6E62FE"/>
    <w:rsid w:val="2D771BA2"/>
    <w:rsid w:val="2D7F3984"/>
    <w:rsid w:val="2D7F776F"/>
    <w:rsid w:val="2D9F330B"/>
    <w:rsid w:val="2DA408EE"/>
    <w:rsid w:val="2DC06478"/>
    <w:rsid w:val="2DCA0F48"/>
    <w:rsid w:val="2DCC589E"/>
    <w:rsid w:val="2DDD2EB3"/>
    <w:rsid w:val="2DDE5899"/>
    <w:rsid w:val="2DF12E3D"/>
    <w:rsid w:val="2DFF39E6"/>
    <w:rsid w:val="2E0C2AFF"/>
    <w:rsid w:val="2E0C4DEE"/>
    <w:rsid w:val="2E0D278E"/>
    <w:rsid w:val="2E232138"/>
    <w:rsid w:val="2E3C72BF"/>
    <w:rsid w:val="2E5C2A17"/>
    <w:rsid w:val="2E743FD4"/>
    <w:rsid w:val="2E777F6E"/>
    <w:rsid w:val="2E9A7984"/>
    <w:rsid w:val="2EB3F058"/>
    <w:rsid w:val="2EB61572"/>
    <w:rsid w:val="2EC7325C"/>
    <w:rsid w:val="2EDF56D6"/>
    <w:rsid w:val="2EDF6A78"/>
    <w:rsid w:val="2EFD353C"/>
    <w:rsid w:val="2EFECFD7"/>
    <w:rsid w:val="2F3E39FD"/>
    <w:rsid w:val="2F482DDF"/>
    <w:rsid w:val="2F5E7703"/>
    <w:rsid w:val="2F8E3967"/>
    <w:rsid w:val="2FAD19CD"/>
    <w:rsid w:val="2FC30697"/>
    <w:rsid w:val="2FDB716E"/>
    <w:rsid w:val="2FF24A22"/>
    <w:rsid w:val="2FF81B73"/>
    <w:rsid w:val="2FFD82A5"/>
    <w:rsid w:val="2FFF0652"/>
    <w:rsid w:val="2FFF3BCD"/>
    <w:rsid w:val="300667C6"/>
    <w:rsid w:val="301F3529"/>
    <w:rsid w:val="30207B0C"/>
    <w:rsid w:val="302E7DEC"/>
    <w:rsid w:val="304F3C5B"/>
    <w:rsid w:val="30555D5A"/>
    <w:rsid w:val="307D5A2C"/>
    <w:rsid w:val="30D870E4"/>
    <w:rsid w:val="31200821"/>
    <w:rsid w:val="31366FE9"/>
    <w:rsid w:val="31417402"/>
    <w:rsid w:val="31440550"/>
    <w:rsid w:val="3149002F"/>
    <w:rsid w:val="31634C13"/>
    <w:rsid w:val="31AF0699"/>
    <w:rsid w:val="31B715B0"/>
    <w:rsid w:val="31D26306"/>
    <w:rsid w:val="32222D43"/>
    <w:rsid w:val="322C6B63"/>
    <w:rsid w:val="32430FFB"/>
    <w:rsid w:val="324E7E72"/>
    <w:rsid w:val="326208FE"/>
    <w:rsid w:val="326F9E1B"/>
    <w:rsid w:val="32894441"/>
    <w:rsid w:val="329B46F8"/>
    <w:rsid w:val="32B278A0"/>
    <w:rsid w:val="32D55CEB"/>
    <w:rsid w:val="32D95B5A"/>
    <w:rsid w:val="32F52424"/>
    <w:rsid w:val="330919F5"/>
    <w:rsid w:val="33123701"/>
    <w:rsid w:val="33274A76"/>
    <w:rsid w:val="33301D0B"/>
    <w:rsid w:val="333A306D"/>
    <w:rsid w:val="33611979"/>
    <w:rsid w:val="33AA0EA2"/>
    <w:rsid w:val="33B201E6"/>
    <w:rsid w:val="33C050F4"/>
    <w:rsid w:val="33C839D1"/>
    <w:rsid w:val="33D457FF"/>
    <w:rsid w:val="33F61664"/>
    <w:rsid w:val="33FECBB6"/>
    <w:rsid w:val="34335418"/>
    <w:rsid w:val="34404ED7"/>
    <w:rsid w:val="344B1C77"/>
    <w:rsid w:val="344E2131"/>
    <w:rsid w:val="346A458F"/>
    <w:rsid w:val="346C2A8B"/>
    <w:rsid w:val="34863F18"/>
    <w:rsid w:val="349A6C85"/>
    <w:rsid w:val="34BA7658"/>
    <w:rsid w:val="34C44572"/>
    <w:rsid w:val="34FD633B"/>
    <w:rsid w:val="34FFEA9A"/>
    <w:rsid w:val="356615EF"/>
    <w:rsid w:val="35705820"/>
    <w:rsid w:val="35A4298E"/>
    <w:rsid w:val="35C51529"/>
    <w:rsid w:val="35D60BE7"/>
    <w:rsid w:val="35D82453"/>
    <w:rsid w:val="35FE0A9E"/>
    <w:rsid w:val="360355DB"/>
    <w:rsid w:val="363F5D8A"/>
    <w:rsid w:val="36436F6D"/>
    <w:rsid w:val="364662F4"/>
    <w:rsid w:val="365732C7"/>
    <w:rsid w:val="36B347FD"/>
    <w:rsid w:val="36EB27BA"/>
    <w:rsid w:val="36F71882"/>
    <w:rsid w:val="36FA2004"/>
    <w:rsid w:val="36FA43B9"/>
    <w:rsid w:val="371736C4"/>
    <w:rsid w:val="37766DC8"/>
    <w:rsid w:val="378102EA"/>
    <w:rsid w:val="37817173"/>
    <w:rsid w:val="37A663FD"/>
    <w:rsid w:val="37B4173F"/>
    <w:rsid w:val="37BA58E3"/>
    <w:rsid w:val="37D35566"/>
    <w:rsid w:val="37D5D9DC"/>
    <w:rsid w:val="37F7B6E0"/>
    <w:rsid w:val="37F850C7"/>
    <w:rsid w:val="37FB5CBB"/>
    <w:rsid w:val="38347A6F"/>
    <w:rsid w:val="38447F08"/>
    <w:rsid w:val="385E2BDF"/>
    <w:rsid w:val="388A546A"/>
    <w:rsid w:val="38A358CB"/>
    <w:rsid w:val="38C73460"/>
    <w:rsid w:val="38CF283F"/>
    <w:rsid w:val="38F37B57"/>
    <w:rsid w:val="3911492F"/>
    <w:rsid w:val="39172634"/>
    <w:rsid w:val="391E1E7A"/>
    <w:rsid w:val="392C7196"/>
    <w:rsid w:val="393A23DC"/>
    <w:rsid w:val="393B44CE"/>
    <w:rsid w:val="393F58CD"/>
    <w:rsid w:val="394C69E7"/>
    <w:rsid w:val="396024B0"/>
    <w:rsid w:val="396B1633"/>
    <w:rsid w:val="399763CA"/>
    <w:rsid w:val="39B52C68"/>
    <w:rsid w:val="39BC263E"/>
    <w:rsid w:val="39CE58C9"/>
    <w:rsid w:val="39EA559C"/>
    <w:rsid w:val="39F39E32"/>
    <w:rsid w:val="3A1161C8"/>
    <w:rsid w:val="3A137DCB"/>
    <w:rsid w:val="3A255BB6"/>
    <w:rsid w:val="3A2C3682"/>
    <w:rsid w:val="3A540343"/>
    <w:rsid w:val="3A5B0C48"/>
    <w:rsid w:val="3A81002D"/>
    <w:rsid w:val="3A9F58C9"/>
    <w:rsid w:val="3AEA6DAB"/>
    <w:rsid w:val="3AEFD451"/>
    <w:rsid w:val="3B255E69"/>
    <w:rsid w:val="3B3F6BC7"/>
    <w:rsid w:val="3B6C6D09"/>
    <w:rsid w:val="3B73155B"/>
    <w:rsid w:val="3B9D2E91"/>
    <w:rsid w:val="3BA0603B"/>
    <w:rsid w:val="3BA932EE"/>
    <w:rsid w:val="3BB73898"/>
    <w:rsid w:val="3BBBD1AF"/>
    <w:rsid w:val="3BCE1685"/>
    <w:rsid w:val="3BD34367"/>
    <w:rsid w:val="3BD808EC"/>
    <w:rsid w:val="3BF55114"/>
    <w:rsid w:val="3BFB3074"/>
    <w:rsid w:val="3BFFE60C"/>
    <w:rsid w:val="3C032918"/>
    <w:rsid w:val="3C0412CE"/>
    <w:rsid w:val="3C082B05"/>
    <w:rsid w:val="3C175640"/>
    <w:rsid w:val="3C222884"/>
    <w:rsid w:val="3C241864"/>
    <w:rsid w:val="3C2A31C7"/>
    <w:rsid w:val="3C5C5193"/>
    <w:rsid w:val="3C6E5853"/>
    <w:rsid w:val="3C9C7AF6"/>
    <w:rsid w:val="3CDF8FE5"/>
    <w:rsid w:val="3CE07B72"/>
    <w:rsid w:val="3CF96E86"/>
    <w:rsid w:val="3CFC4E24"/>
    <w:rsid w:val="3D1D1E0E"/>
    <w:rsid w:val="3D270F90"/>
    <w:rsid w:val="3D3F983E"/>
    <w:rsid w:val="3D485A92"/>
    <w:rsid w:val="3D4E29E8"/>
    <w:rsid w:val="3D806081"/>
    <w:rsid w:val="3D9F34C0"/>
    <w:rsid w:val="3DA17CA0"/>
    <w:rsid w:val="3DAE4842"/>
    <w:rsid w:val="3DC45F76"/>
    <w:rsid w:val="3DE5189F"/>
    <w:rsid w:val="3DEFB1BE"/>
    <w:rsid w:val="3DF5462E"/>
    <w:rsid w:val="3DFEC296"/>
    <w:rsid w:val="3DFF5C2F"/>
    <w:rsid w:val="3DFFD6AE"/>
    <w:rsid w:val="3E3B41B6"/>
    <w:rsid w:val="3E3F3A5C"/>
    <w:rsid w:val="3E5EA7CB"/>
    <w:rsid w:val="3E5F6809"/>
    <w:rsid w:val="3E84149D"/>
    <w:rsid w:val="3E9FA8A6"/>
    <w:rsid w:val="3EB209EE"/>
    <w:rsid w:val="3EB211B3"/>
    <w:rsid w:val="3EC16864"/>
    <w:rsid w:val="3ED27A5A"/>
    <w:rsid w:val="3EFBC147"/>
    <w:rsid w:val="3EFFA41F"/>
    <w:rsid w:val="3F073FB4"/>
    <w:rsid w:val="3F1C2FB7"/>
    <w:rsid w:val="3F1F13F8"/>
    <w:rsid w:val="3F334952"/>
    <w:rsid w:val="3F33E531"/>
    <w:rsid w:val="3F375D8E"/>
    <w:rsid w:val="3F4573BE"/>
    <w:rsid w:val="3F4D0EE6"/>
    <w:rsid w:val="3F50260F"/>
    <w:rsid w:val="3F5D2EFA"/>
    <w:rsid w:val="3F69B833"/>
    <w:rsid w:val="3F6A34AA"/>
    <w:rsid w:val="3F6C7034"/>
    <w:rsid w:val="3F77E74F"/>
    <w:rsid w:val="3F7C7CFA"/>
    <w:rsid w:val="3F7F1850"/>
    <w:rsid w:val="3F8E1B07"/>
    <w:rsid w:val="3FADB271"/>
    <w:rsid w:val="3FAFDECB"/>
    <w:rsid w:val="3FB25FE2"/>
    <w:rsid w:val="3FB61E96"/>
    <w:rsid w:val="3FBE31BC"/>
    <w:rsid w:val="3FBE5ADB"/>
    <w:rsid w:val="3FD74778"/>
    <w:rsid w:val="3FD7D256"/>
    <w:rsid w:val="3FDE812A"/>
    <w:rsid w:val="3FDEC8B9"/>
    <w:rsid w:val="3FDF0F15"/>
    <w:rsid w:val="3FE7B45C"/>
    <w:rsid w:val="3FED7125"/>
    <w:rsid w:val="3FEDD7C2"/>
    <w:rsid w:val="3FEF750E"/>
    <w:rsid w:val="3FF7137F"/>
    <w:rsid w:val="3FF75698"/>
    <w:rsid w:val="3FFB685E"/>
    <w:rsid w:val="3FFD42B0"/>
    <w:rsid w:val="3FFD8CC2"/>
    <w:rsid w:val="3FFE14FC"/>
    <w:rsid w:val="3FFE4568"/>
    <w:rsid w:val="3FFEB716"/>
    <w:rsid w:val="3FFF2999"/>
    <w:rsid w:val="3FFF729F"/>
    <w:rsid w:val="3FFFB4DD"/>
    <w:rsid w:val="40092ADD"/>
    <w:rsid w:val="40273E8A"/>
    <w:rsid w:val="40922B16"/>
    <w:rsid w:val="40F40A75"/>
    <w:rsid w:val="411B6C41"/>
    <w:rsid w:val="411D5008"/>
    <w:rsid w:val="414C19A2"/>
    <w:rsid w:val="414F52C6"/>
    <w:rsid w:val="41676AB4"/>
    <w:rsid w:val="417116E0"/>
    <w:rsid w:val="419B7A80"/>
    <w:rsid w:val="41E06866"/>
    <w:rsid w:val="41EC6815"/>
    <w:rsid w:val="41F02BD4"/>
    <w:rsid w:val="41F42F90"/>
    <w:rsid w:val="42154BAE"/>
    <w:rsid w:val="421B7BC4"/>
    <w:rsid w:val="422D3D55"/>
    <w:rsid w:val="424B5CB4"/>
    <w:rsid w:val="424C2FD9"/>
    <w:rsid w:val="42621029"/>
    <w:rsid w:val="4295453E"/>
    <w:rsid w:val="433B4132"/>
    <w:rsid w:val="433E3F6A"/>
    <w:rsid w:val="43487777"/>
    <w:rsid w:val="436770A3"/>
    <w:rsid w:val="43685EA2"/>
    <w:rsid w:val="437A791F"/>
    <w:rsid w:val="43CB0156"/>
    <w:rsid w:val="43CD56CA"/>
    <w:rsid w:val="43F72231"/>
    <w:rsid w:val="44400DB8"/>
    <w:rsid w:val="445A51BE"/>
    <w:rsid w:val="447D2290"/>
    <w:rsid w:val="447E1DFB"/>
    <w:rsid w:val="44AC5B32"/>
    <w:rsid w:val="44F521DC"/>
    <w:rsid w:val="45091C30"/>
    <w:rsid w:val="45176899"/>
    <w:rsid w:val="453212A8"/>
    <w:rsid w:val="45661279"/>
    <w:rsid w:val="45710FED"/>
    <w:rsid w:val="457F2A42"/>
    <w:rsid w:val="45B34BE2"/>
    <w:rsid w:val="45D64F27"/>
    <w:rsid w:val="45E52447"/>
    <w:rsid w:val="46515F03"/>
    <w:rsid w:val="469E62EA"/>
    <w:rsid w:val="46C2744B"/>
    <w:rsid w:val="46D5016E"/>
    <w:rsid w:val="46FD2E54"/>
    <w:rsid w:val="4710374A"/>
    <w:rsid w:val="47251A5B"/>
    <w:rsid w:val="47433F74"/>
    <w:rsid w:val="47602E94"/>
    <w:rsid w:val="476814B2"/>
    <w:rsid w:val="476E61AD"/>
    <w:rsid w:val="4777377B"/>
    <w:rsid w:val="478A0415"/>
    <w:rsid w:val="478F9AF1"/>
    <w:rsid w:val="47B31E12"/>
    <w:rsid w:val="47D72DED"/>
    <w:rsid w:val="47DD4117"/>
    <w:rsid w:val="47DED4A6"/>
    <w:rsid w:val="47EE32CC"/>
    <w:rsid w:val="47F96E1E"/>
    <w:rsid w:val="47FE0D7C"/>
    <w:rsid w:val="47FF24B1"/>
    <w:rsid w:val="481918C7"/>
    <w:rsid w:val="48274180"/>
    <w:rsid w:val="482A78A6"/>
    <w:rsid w:val="483646D6"/>
    <w:rsid w:val="48966425"/>
    <w:rsid w:val="489B1E35"/>
    <w:rsid w:val="48A867E8"/>
    <w:rsid w:val="48BD2B6B"/>
    <w:rsid w:val="48C2394B"/>
    <w:rsid w:val="48C62F74"/>
    <w:rsid w:val="48E54FA5"/>
    <w:rsid w:val="492B0EAD"/>
    <w:rsid w:val="492F72BF"/>
    <w:rsid w:val="495B6B96"/>
    <w:rsid w:val="497F5438"/>
    <w:rsid w:val="49B91E77"/>
    <w:rsid w:val="49E80EBE"/>
    <w:rsid w:val="49F423B8"/>
    <w:rsid w:val="49F7BE95"/>
    <w:rsid w:val="4A212085"/>
    <w:rsid w:val="4A2F4392"/>
    <w:rsid w:val="4A59469F"/>
    <w:rsid w:val="4A5C36A4"/>
    <w:rsid w:val="4AA76A98"/>
    <w:rsid w:val="4AC42FA7"/>
    <w:rsid w:val="4AD7F80D"/>
    <w:rsid w:val="4AFF81E1"/>
    <w:rsid w:val="4B1E48EB"/>
    <w:rsid w:val="4B3D0610"/>
    <w:rsid w:val="4B4C1DFC"/>
    <w:rsid w:val="4B59019E"/>
    <w:rsid w:val="4B5F0D20"/>
    <w:rsid w:val="4B6E641B"/>
    <w:rsid w:val="4B782CDC"/>
    <w:rsid w:val="4B7B4537"/>
    <w:rsid w:val="4B993044"/>
    <w:rsid w:val="4BAD7D32"/>
    <w:rsid w:val="4BF0258E"/>
    <w:rsid w:val="4C087364"/>
    <w:rsid w:val="4C1F59F2"/>
    <w:rsid w:val="4C684B59"/>
    <w:rsid w:val="4C871DB8"/>
    <w:rsid w:val="4C946A29"/>
    <w:rsid w:val="4CB569A3"/>
    <w:rsid w:val="4CC96874"/>
    <w:rsid w:val="4CCB647B"/>
    <w:rsid w:val="4D157B84"/>
    <w:rsid w:val="4D2A72F1"/>
    <w:rsid w:val="4D4975AE"/>
    <w:rsid w:val="4D68421D"/>
    <w:rsid w:val="4D6F4869"/>
    <w:rsid w:val="4D7F5D6A"/>
    <w:rsid w:val="4D900C6E"/>
    <w:rsid w:val="4D954D87"/>
    <w:rsid w:val="4D9D385D"/>
    <w:rsid w:val="4DBF2190"/>
    <w:rsid w:val="4DCB34AF"/>
    <w:rsid w:val="4DDBD736"/>
    <w:rsid w:val="4E141D71"/>
    <w:rsid w:val="4E3C13B9"/>
    <w:rsid w:val="4E492C3D"/>
    <w:rsid w:val="4E531BC0"/>
    <w:rsid w:val="4E697602"/>
    <w:rsid w:val="4E6BDAA4"/>
    <w:rsid w:val="4E7113B6"/>
    <w:rsid w:val="4EAD6D9C"/>
    <w:rsid w:val="4EB34E19"/>
    <w:rsid w:val="4EDF1907"/>
    <w:rsid w:val="4EEE58ED"/>
    <w:rsid w:val="4EFBC2F8"/>
    <w:rsid w:val="4F2935FA"/>
    <w:rsid w:val="4F3DAAA9"/>
    <w:rsid w:val="4F714FA1"/>
    <w:rsid w:val="4F763512"/>
    <w:rsid w:val="4F9D0377"/>
    <w:rsid w:val="4FB7769F"/>
    <w:rsid w:val="4FB87F18"/>
    <w:rsid w:val="4FBDA2D1"/>
    <w:rsid w:val="4FD35CAC"/>
    <w:rsid w:val="4FFDCE3A"/>
    <w:rsid w:val="503C5DA7"/>
    <w:rsid w:val="504A7CCC"/>
    <w:rsid w:val="504D12C9"/>
    <w:rsid w:val="506E16DE"/>
    <w:rsid w:val="507F159F"/>
    <w:rsid w:val="509B7E40"/>
    <w:rsid w:val="50D551D6"/>
    <w:rsid w:val="50FE1AA4"/>
    <w:rsid w:val="512114CB"/>
    <w:rsid w:val="51354413"/>
    <w:rsid w:val="513A5934"/>
    <w:rsid w:val="51710F06"/>
    <w:rsid w:val="518024E4"/>
    <w:rsid w:val="519D5EB9"/>
    <w:rsid w:val="51AA7DC4"/>
    <w:rsid w:val="51C35401"/>
    <w:rsid w:val="51EF2F63"/>
    <w:rsid w:val="51FF78DA"/>
    <w:rsid w:val="5206030D"/>
    <w:rsid w:val="521E1DC7"/>
    <w:rsid w:val="52832490"/>
    <w:rsid w:val="5285605E"/>
    <w:rsid w:val="52A55EF5"/>
    <w:rsid w:val="52A66ABC"/>
    <w:rsid w:val="52A73A47"/>
    <w:rsid w:val="52C6234B"/>
    <w:rsid w:val="52FE2DB6"/>
    <w:rsid w:val="530E5BC1"/>
    <w:rsid w:val="53232216"/>
    <w:rsid w:val="532D102F"/>
    <w:rsid w:val="53472AD6"/>
    <w:rsid w:val="536B5669"/>
    <w:rsid w:val="53760194"/>
    <w:rsid w:val="53AA6D84"/>
    <w:rsid w:val="53CE3D31"/>
    <w:rsid w:val="53DF44BB"/>
    <w:rsid w:val="53EB4884"/>
    <w:rsid w:val="53F1313B"/>
    <w:rsid w:val="53FF7731"/>
    <w:rsid w:val="54083235"/>
    <w:rsid w:val="54273E81"/>
    <w:rsid w:val="542B03F1"/>
    <w:rsid w:val="544814C3"/>
    <w:rsid w:val="544E4124"/>
    <w:rsid w:val="547D422D"/>
    <w:rsid w:val="54890277"/>
    <w:rsid w:val="5503471D"/>
    <w:rsid w:val="551D498C"/>
    <w:rsid w:val="556B43EC"/>
    <w:rsid w:val="556C606F"/>
    <w:rsid w:val="5588094F"/>
    <w:rsid w:val="55E702ED"/>
    <w:rsid w:val="55ED7671"/>
    <w:rsid w:val="56206C1D"/>
    <w:rsid w:val="5646342B"/>
    <w:rsid w:val="56556EAB"/>
    <w:rsid w:val="56B934B6"/>
    <w:rsid w:val="56CE36A4"/>
    <w:rsid w:val="56F3B731"/>
    <w:rsid w:val="56F55C7F"/>
    <w:rsid w:val="57297969"/>
    <w:rsid w:val="57684930"/>
    <w:rsid w:val="577109A5"/>
    <w:rsid w:val="57710F44"/>
    <w:rsid w:val="57731A2E"/>
    <w:rsid w:val="579D47B6"/>
    <w:rsid w:val="57B40121"/>
    <w:rsid w:val="57BA58AD"/>
    <w:rsid w:val="57BDD768"/>
    <w:rsid w:val="57BF7C8E"/>
    <w:rsid w:val="57E7B524"/>
    <w:rsid w:val="57F32C18"/>
    <w:rsid w:val="57F63332"/>
    <w:rsid w:val="57FF1022"/>
    <w:rsid w:val="582A331A"/>
    <w:rsid w:val="583A4AD3"/>
    <w:rsid w:val="586B44C0"/>
    <w:rsid w:val="58704048"/>
    <w:rsid w:val="588B4D68"/>
    <w:rsid w:val="58BA3FAB"/>
    <w:rsid w:val="58DC779F"/>
    <w:rsid w:val="58E568AC"/>
    <w:rsid w:val="5914170D"/>
    <w:rsid w:val="59232B6A"/>
    <w:rsid w:val="595D65F2"/>
    <w:rsid w:val="595E2319"/>
    <w:rsid w:val="59635CB4"/>
    <w:rsid w:val="59812CE5"/>
    <w:rsid w:val="59A34455"/>
    <w:rsid w:val="59AFD1EA"/>
    <w:rsid w:val="59D55714"/>
    <w:rsid w:val="59DF0E56"/>
    <w:rsid w:val="59FE7776"/>
    <w:rsid w:val="5A1756E7"/>
    <w:rsid w:val="5A4D6F36"/>
    <w:rsid w:val="5ACF7CF2"/>
    <w:rsid w:val="5ADF8AA5"/>
    <w:rsid w:val="5AF1D17B"/>
    <w:rsid w:val="5AFE9D97"/>
    <w:rsid w:val="5AFF2155"/>
    <w:rsid w:val="5AFF7BBE"/>
    <w:rsid w:val="5B251E87"/>
    <w:rsid w:val="5B4B3363"/>
    <w:rsid w:val="5B5A7907"/>
    <w:rsid w:val="5B600B20"/>
    <w:rsid w:val="5B677A20"/>
    <w:rsid w:val="5B6F2EC4"/>
    <w:rsid w:val="5B8D6974"/>
    <w:rsid w:val="5BB827B9"/>
    <w:rsid w:val="5BC379A3"/>
    <w:rsid w:val="5BCB9B03"/>
    <w:rsid w:val="5BCF63C7"/>
    <w:rsid w:val="5BE7C737"/>
    <w:rsid w:val="5BED6603"/>
    <w:rsid w:val="5BFF1E51"/>
    <w:rsid w:val="5BFF5C07"/>
    <w:rsid w:val="5C337866"/>
    <w:rsid w:val="5C4A0F7A"/>
    <w:rsid w:val="5C551EDA"/>
    <w:rsid w:val="5C62014C"/>
    <w:rsid w:val="5CAE15E3"/>
    <w:rsid w:val="5CC728D5"/>
    <w:rsid w:val="5CDC6150"/>
    <w:rsid w:val="5CDE0169"/>
    <w:rsid w:val="5CF243F8"/>
    <w:rsid w:val="5D2FB86A"/>
    <w:rsid w:val="5D3B79D9"/>
    <w:rsid w:val="5D43234C"/>
    <w:rsid w:val="5D472462"/>
    <w:rsid w:val="5D515621"/>
    <w:rsid w:val="5D66A3F9"/>
    <w:rsid w:val="5D72222B"/>
    <w:rsid w:val="5D80415D"/>
    <w:rsid w:val="5D804F27"/>
    <w:rsid w:val="5DB74A6C"/>
    <w:rsid w:val="5DB7AEB5"/>
    <w:rsid w:val="5DBD0569"/>
    <w:rsid w:val="5DBFF9E4"/>
    <w:rsid w:val="5DC7ABA2"/>
    <w:rsid w:val="5DCFCE96"/>
    <w:rsid w:val="5DD16441"/>
    <w:rsid w:val="5DEF9BFE"/>
    <w:rsid w:val="5DFF3E29"/>
    <w:rsid w:val="5E7D2194"/>
    <w:rsid w:val="5E841283"/>
    <w:rsid w:val="5EB12C39"/>
    <w:rsid w:val="5EF74DDD"/>
    <w:rsid w:val="5EFFD945"/>
    <w:rsid w:val="5F1B472A"/>
    <w:rsid w:val="5F2E4774"/>
    <w:rsid w:val="5F392C4F"/>
    <w:rsid w:val="5F3B6893"/>
    <w:rsid w:val="5F3D51CF"/>
    <w:rsid w:val="5F4553F7"/>
    <w:rsid w:val="5F4B3F80"/>
    <w:rsid w:val="5F5F2726"/>
    <w:rsid w:val="5F68F84C"/>
    <w:rsid w:val="5F6E6884"/>
    <w:rsid w:val="5F712A69"/>
    <w:rsid w:val="5F760B5E"/>
    <w:rsid w:val="5F7746EB"/>
    <w:rsid w:val="5F780178"/>
    <w:rsid w:val="5F789962"/>
    <w:rsid w:val="5F7B154F"/>
    <w:rsid w:val="5F7BACEA"/>
    <w:rsid w:val="5F8D1EE1"/>
    <w:rsid w:val="5FA600E8"/>
    <w:rsid w:val="5FAB3BB8"/>
    <w:rsid w:val="5FB380FB"/>
    <w:rsid w:val="5FB79DD2"/>
    <w:rsid w:val="5FBFF382"/>
    <w:rsid w:val="5FCB0C3C"/>
    <w:rsid w:val="5FD31193"/>
    <w:rsid w:val="5FDA06D7"/>
    <w:rsid w:val="5FE9635B"/>
    <w:rsid w:val="5FEDA6D6"/>
    <w:rsid w:val="5FEFA137"/>
    <w:rsid w:val="5FF00D75"/>
    <w:rsid w:val="5FF1A058"/>
    <w:rsid w:val="5FF3E5F1"/>
    <w:rsid w:val="5FF82345"/>
    <w:rsid w:val="5FF85214"/>
    <w:rsid w:val="5FF86FA2"/>
    <w:rsid w:val="5FF93EC6"/>
    <w:rsid w:val="5FF993CC"/>
    <w:rsid w:val="5FFAA313"/>
    <w:rsid w:val="5FFC747C"/>
    <w:rsid w:val="5FFE1560"/>
    <w:rsid w:val="5FFF1D69"/>
    <w:rsid w:val="5FFF3BED"/>
    <w:rsid w:val="5FFF78E1"/>
    <w:rsid w:val="60152D30"/>
    <w:rsid w:val="60207F04"/>
    <w:rsid w:val="602821CF"/>
    <w:rsid w:val="60310BBE"/>
    <w:rsid w:val="60453032"/>
    <w:rsid w:val="605468E7"/>
    <w:rsid w:val="606E56A4"/>
    <w:rsid w:val="607067D0"/>
    <w:rsid w:val="608636B3"/>
    <w:rsid w:val="60937A1B"/>
    <w:rsid w:val="60A45FA4"/>
    <w:rsid w:val="60A76232"/>
    <w:rsid w:val="60D159A5"/>
    <w:rsid w:val="60D932D3"/>
    <w:rsid w:val="60DE6B1A"/>
    <w:rsid w:val="60E70F31"/>
    <w:rsid w:val="60F15B83"/>
    <w:rsid w:val="61463107"/>
    <w:rsid w:val="614C4F26"/>
    <w:rsid w:val="61566485"/>
    <w:rsid w:val="615E1233"/>
    <w:rsid w:val="617156A9"/>
    <w:rsid w:val="61750BCA"/>
    <w:rsid w:val="619C0E57"/>
    <w:rsid w:val="61A30C10"/>
    <w:rsid w:val="61D00D3E"/>
    <w:rsid w:val="61D60947"/>
    <w:rsid w:val="61EC7E3E"/>
    <w:rsid w:val="61FFD1E4"/>
    <w:rsid w:val="624F32AC"/>
    <w:rsid w:val="62705C11"/>
    <w:rsid w:val="62945969"/>
    <w:rsid w:val="62A9E817"/>
    <w:rsid w:val="62AE4D58"/>
    <w:rsid w:val="62EA6C3F"/>
    <w:rsid w:val="62F127DE"/>
    <w:rsid w:val="630A578B"/>
    <w:rsid w:val="633D51DB"/>
    <w:rsid w:val="63483F0E"/>
    <w:rsid w:val="63556314"/>
    <w:rsid w:val="637B7760"/>
    <w:rsid w:val="638A135B"/>
    <w:rsid w:val="63936295"/>
    <w:rsid w:val="63FCECC0"/>
    <w:rsid w:val="641A55BD"/>
    <w:rsid w:val="6426273F"/>
    <w:rsid w:val="64275926"/>
    <w:rsid w:val="643563FA"/>
    <w:rsid w:val="645E7078"/>
    <w:rsid w:val="64836EB1"/>
    <w:rsid w:val="648C543B"/>
    <w:rsid w:val="64AD1EF0"/>
    <w:rsid w:val="64BA1892"/>
    <w:rsid w:val="64C65092"/>
    <w:rsid w:val="64CE7499"/>
    <w:rsid w:val="64FC0264"/>
    <w:rsid w:val="651D2487"/>
    <w:rsid w:val="653511FC"/>
    <w:rsid w:val="653D1756"/>
    <w:rsid w:val="654B3E73"/>
    <w:rsid w:val="656A7223"/>
    <w:rsid w:val="657E7F74"/>
    <w:rsid w:val="65897F55"/>
    <w:rsid w:val="658F129B"/>
    <w:rsid w:val="65BF6C45"/>
    <w:rsid w:val="65C63C68"/>
    <w:rsid w:val="65D72F0D"/>
    <w:rsid w:val="65DD5380"/>
    <w:rsid w:val="65F35721"/>
    <w:rsid w:val="65F71059"/>
    <w:rsid w:val="663F4F2A"/>
    <w:rsid w:val="66542198"/>
    <w:rsid w:val="667751E4"/>
    <w:rsid w:val="667F3388"/>
    <w:rsid w:val="66AB5C09"/>
    <w:rsid w:val="66B53CB9"/>
    <w:rsid w:val="66BE66DD"/>
    <w:rsid w:val="66C355CB"/>
    <w:rsid w:val="66F132BE"/>
    <w:rsid w:val="66FDBC8F"/>
    <w:rsid w:val="66FED14A"/>
    <w:rsid w:val="671E1113"/>
    <w:rsid w:val="672A6F11"/>
    <w:rsid w:val="67305992"/>
    <w:rsid w:val="673A497F"/>
    <w:rsid w:val="674E7C4A"/>
    <w:rsid w:val="676C1E7F"/>
    <w:rsid w:val="676E5BF7"/>
    <w:rsid w:val="67826FF1"/>
    <w:rsid w:val="679F4A2F"/>
    <w:rsid w:val="679F9AE5"/>
    <w:rsid w:val="67A36C5B"/>
    <w:rsid w:val="67B7EC08"/>
    <w:rsid w:val="67C61A4C"/>
    <w:rsid w:val="67EA5309"/>
    <w:rsid w:val="67EBC8F7"/>
    <w:rsid w:val="67FB10DE"/>
    <w:rsid w:val="684E58C1"/>
    <w:rsid w:val="685C1EF3"/>
    <w:rsid w:val="688569A2"/>
    <w:rsid w:val="68C937F3"/>
    <w:rsid w:val="68E61E93"/>
    <w:rsid w:val="68F03A86"/>
    <w:rsid w:val="68FF2D14"/>
    <w:rsid w:val="6906521C"/>
    <w:rsid w:val="693C2592"/>
    <w:rsid w:val="693C578C"/>
    <w:rsid w:val="696C11A5"/>
    <w:rsid w:val="696F7F93"/>
    <w:rsid w:val="697125DA"/>
    <w:rsid w:val="69792E00"/>
    <w:rsid w:val="699776AF"/>
    <w:rsid w:val="69BDF29E"/>
    <w:rsid w:val="69FF0E42"/>
    <w:rsid w:val="69FF7DF0"/>
    <w:rsid w:val="6A022064"/>
    <w:rsid w:val="6A1A6936"/>
    <w:rsid w:val="6A3C265A"/>
    <w:rsid w:val="6A626179"/>
    <w:rsid w:val="6AB15A99"/>
    <w:rsid w:val="6AC5684F"/>
    <w:rsid w:val="6ADFD70E"/>
    <w:rsid w:val="6AE674F0"/>
    <w:rsid w:val="6AEC301A"/>
    <w:rsid w:val="6AF1203B"/>
    <w:rsid w:val="6B261C24"/>
    <w:rsid w:val="6B4738DF"/>
    <w:rsid w:val="6B57C1D7"/>
    <w:rsid w:val="6B5F4D52"/>
    <w:rsid w:val="6B5F639D"/>
    <w:rsid w:val="6B6F5E18"/>
    <w:rsid w:val="6B726E90"/>
    <w:rsid w:val="6B7D28AC"/>
    <w:rsid w:val="6B7E1DAA"/>
    <w:rsid w:val="6B9A607B"/>
    <w:rsid w:val="6B9B5BF9"/>
    <w:rsid w:val="6BA10F3B"/>
    <w:rsid w:val="6BB35AC8"/>
    <w:rsid w:val="6BBB9C9A"/>
    <w:rsid w:val="6BD53B90"/>
    <w:rsid w:val="6BD5B7A7"/>
    <w:rsid w:val="6BD799E0"/>
    <w:rsid w:val="6BD97AFD"/>
    <w:rsid w:val="6BE2040C"/>
    <w:rsid w:val="6BE7BE23"/>
    <w:rsid w:val="6BF70BD1"/>
    <w:rsid w:val="6BF797C9"/>
    <w:rsid w:val="6BFD60F8"/>
    <w:rsid w:val="6C141DD0"/>
    <w:rsid w:val="6C15710A"/>
    <w:rsid w:val="6C3D6737"/>
    <w:rsid w:val="6C3E27AC"/>
    <w:rsid w:val="6C416D9E"/>
    <w:rsid w:val="6C443479"/>
    <w:rsid w:val="6C7C5D96"/>
    <w:rsid w:val="6C8B0FF9"/>
    <w:rsid w:val="6C8D581D"/>
    <w:rsid w:val="6CBF43E4"/>
    <w:rsid w:val="6CCC404E"/>
    <w:rsid w:val="6CE775FD"/>
    <w:rsid w:val="6CE94ACA"/>
    <w:rsid w:val="6CED2CBD"/>
    <w:rsid w:val="6CFA46F6"/>
    <w:rsid w:val="6D347F99"/>
    <w:rsid w:val="6D7076B8"/>
    <w:rsid w:val="6D7766A6"/>
    <w:rsid w:val="6D88547B"/>
    <w:rsid w:val="6D9433CF"/>
    <w:rsid w:val="6DA14AFA"/>
    <w:rsid w:val="6DAB24ED"/>
    <w:rsid w:val="6DAF3B3D"/>
    <w:rsid w:val="6DBDD794"/>
    <w:rsid w:val="6DC006B4"/>
    <w:rsid w:val="6DC24EEE"/>
    <w:rsid w:val="6DC78A6D"/>
    <w:rsid w:val="6DDF6DF6"/>
    <w:rsid w:val="6DE6D6A3"/>
    <w:rsid w:val="6DEC07A8"/>
    <w:rsid w:val="6DF58AB3"/>
    <w:rsid w:val="6DFDF7B8"/>
    <w:rsid w:val="6DFFCC2C"/>
    <w:rsid w:val="6E1113A9"/>
    <w:rsid w:val="6E517C93"/>
    <w:rsid w:val="6E684063"/>
    <w:rsid w:val="6E6AC245"/>
    <w:rsid w:val="6E7F1FFE"/>
    <w:rsid w:val="6E7FB0FE"/>
    <w:rsid w:val="6E9BBEB5"/>
    <w:rsid w:val="6ED01DC1"/>
    <w:rsid w:val="6ED36346"/>
    <w:rsid w:val="6EEBF9FC"/>
    <w:rsid w:val="6EEFC18D"/>
    <w:rsid w:val="6EF14CFB"/>
    <w:rsid w:val="6EF61A2E"/>
    <w:rsid w:val="6EF77BBA"/>
    <w:rsid w:val="6EF78253"/>
    <w:rsid w:val="6F065D13"/>
    <w:rsid w:val="6F0B1F3E"/>
    <w:rsid w:val="6F1D4BDA"/>
    <w:rsid w:val="6F2F413A"/>
    <w:rsid w:val="6F395C71"/>
    <w:rsid w:val="6F3B1E30"/>
    <w:rsid w:val="6F3B3687"/>
    <w:rsid w:val="6F3FA118"/>
    <w:rsid w:val="6F567934"/>
    <w:rsid w:val="6F6716DB"/>
    <w:rsid w:val="6F6CDF13"/>
    <w:rsid w:val="6F7B1BE5"/>
    <w:rsid w:val="6F7D77BE"/>
    <w:rsid w:val="6F8D1035"/>
    <w:rsid w:val="6F9786F1"/>
    <w:rsid w:val="6F9F6895"/>
    <w:rsid w:val="6FA80942"/>
    <w:rsid w:val="6FAE2A7D"/>
    <w:rsid w:val="6FAF4C24"/>
    <w:rsid w:val="6FBB6D7A"/>
    <w:rsid w:val="6FBBCADC"/>
    <w:rsid w:val="6FC41F27"/>
    <w:rsid w:val="6FC54822"/>
    <w:rsid w:val="6FCD7611"/>
    <w:rsid w:val="6FCF749A"/>
    <w:rsid w:val="6FDB0416"/>
    <w:rsid w:val="6FE2952F"/>
    <w:rsid w:val="6FE3E548"/>
    <w:rsid w:val="6FE51746"/>
    <w:rsid w:val="6FE6C8C6"/>
    <w:rsid w:val="6FE957C0"/>
    <w:rsid w:val="6FED2823"/>
    <w:rsid w:val="6FED3222"/>
    <w:rsid w:val="6FF7334A"/>
    <w:rsid w:val="6FF9BEA4"/>
    <w:rsid w:val="6FFC8A0D"/>
    <w:rsid w:val="6FFE1707"/>
    <w:rsid w:val="6FFE4203"/>
    <w:rsid w:val="6FFFE5A7"/>
    <w:rsid w:val="700554C7"/>
    <w:rsid w:val="70281198"/>
    <w:rsid w:val="70425F0C"/>
    <w:rsid w:val="70575B74"/>
    <w:rsid w:val="70951216"/>
    <w:rsid w:val="70B437C7"/>
    <w:rsid w:val="70BC19AB"/>
    <w:rsid w:val="70BF3441"/>
    <w:rsid w:val="70C22EAB"/>
    <w:rsid w:val="70D340EB"/>
    <w:rsid w:val="712F289B"/>
    <w:rsid w:val="71442507"/>
    <w:rsid w:val="716F5157"/>
    <w:rsid w:val="718E2F87"/>
    <w:rsid w:val="719A116C"/>
    <w:rsid w:val="719E1673"/>
    <w:rsid w:val="71B21C77"/>
    <w:rsid w:val="71C4033C"/>
    <w:rsid w:val="71C801FE"/>
    <w:rsid w:val="71CB3CCA"/>
    <w:rsid w:val="71DE2805"/>
    <w:rsid w:val="71F1119B"/>
    <w:rsid w:val="71FF3516"/>
    <w:rsid w:val="72482ECC"/>
    <w:rsid w:val="7263218B"/>
    <w:rsid w:val="726F7C81"/>
    <w:rsid w:val="7298446F"/>
    <w:rsid w:val="72B8241C"/>
    <w:rsid w:val="72EF7B9B"/>
    <w:rsid w:val="72F522E4"/>
    <w:rsid w:val="72F5DE0D"/>
    <w:rsid w:val="7304153C"/>
    <w:rsid w:val="733B7EA3"/>
    <w:rsid w:val="735FC296"/>
    <w:rsid w:val="73776286"/>
    <w:rsid w:val="737ED01A"/>
    <w:rsid w:val="737FA525"/>
    <w:rsid w:val="739F9F25"/>
    <w:rsid w:val="73A85AD2"/>
    <w:rsid w:val="73AE6E7A"/>
    <w:rsid w:val="73BFBE34"/>
    <w:rsid w:val="73D6189B"/>
    <w:rsid w:val="73E34FB6"/>
    <w:rsid w:val="73ED340A"/>
    <w:rsid w:val="73EE4CAB"/>
    <w:rsid w:val="745330CC"/>
    <w:rsid w:val="748527D2"/>
    <w:rsid w:val="74A0563A"/>
    <w:rsid w:val="74A40F3B"/>
    <w:rsid w:val="74CC462D"/>
    <w:rsid w:val="74DC38FB"/>
    <w:rsid w:val="74E7C241"/>
    <w:rsid w:val="74FED81F"/>
    <w:rsid w:val="7544F360"/>
    <w:rsid w:val="754F2CA7"/>
    <w:rsid w:val="75527EEC"/>
    <w:rsid w:val="755502BA"/>
    <w:rsid w:val="75927074"/>
    <w:rsid w:val="75A901DF"/>
    <w:rsid w:val="75BE41ED"/>
    <w:rsid w:val="75C21A89"/>
    <w:rsid w:val="75DD28A1"/>
    <w:rsid w:val="75DFAB22"/>
    <w:rsid w:val="75E21136"/>
    <w:rsid w:val="75EC274E"/>
    <w:rsid w:val="75F76012"/>
    <w:rsid w:val="75FD9784"/>
    <w:rsid w:val="75FE8252"/>
    <w:rsid w:val="75FF4668"/>
    <w:rsid w:val="76202734"/>
    <w:rsid w:val="76262F21"/>
    <w:rsid w:val="767FEB85"/>
    <w:rsid w:val="76B50E2E"/>
    <w:rsid w:val="76D034CA"/>
    <w:rsid w:val="76DA0090"/>
    <w:rsid w:val="76E50783"/>
    <w:rsid w:val="76EB54A5"/>
    <w:rsid w:val="76EF7DCC"/>
    <w:rsid w:val="76FB321F"/>
    <w:rsid w:val="76FB3D19"/>
    <w:rsid w:val="770A76EF"/>
    <w:rsid w:val="773C735C"/>
    <w:rsid w:val="773EDF55"/>
    <w:rsid w:val="773F6C53"/>
    <w:rsid w:val="774E3779"/>
    <w:rsid w:val="775A0047"/>
    <w:rsid w:val="775FEA5B"/>
    <w:rsid w:val="77680519"/>
    <w:rsid w:val="777D56B0"/>
    <w:rsid w:val="777DBF4D"/>
    <w:rsid w:val="77857AD3"/>
    <w:rsid w:val="7788023D"/>
    <w:rsid w:val="77984C34"/>
    <w:rsid w:val="779FFC4D"/>
    <w:rsid w:val="77A7A720"/>
    <w:rsid w:val="77A7A97C"/>
    <w:rsid w:val="77B34420"/>
    <w:rsid w:val="77BB15B9"/>
    <w:rsid w:val="77BB68B0"/>
    <w:rsid w:val="77CF78BB"/>
    <w:rsid w:val="77D45F4A"/>
    <w:rsid w:val="77D54BFA"/>
    <w:rsid w:val="77DF4C54"/>
    <w:rsid w:val="77EB8868"/>
    <w:rsid w:val="77F0288E"/>
    <w:rsid w:val="77FB89AA"/>
    <w:rsid w:val="77FF2740"/>
    <w:rsid w:val="77FF4B7E"/>
    <w:rsid w:val="780B2500"/>
    <w:rsid w:val="781607D3"/>
    <w:rsid w:val="78166004"/>
    <w:rsid w:val="783C6272"/>
    <w:rsid w:val="784334CD"/>
    <w:rsid w:val="78476440"/>
    <w:rsid w:val="78761CC6"/>
    <w:rsid w:val="787B5B51"/>
    <w:rsid w:val="78861966"/>
    <w:rsid w:val="78C72B09"/>
    <w:rsid w:val="78CD7DB8"/>
    <w:rsid w:val="78EF9FBA"/>
    <w:rsid w:val="793748BE"/>
    <w:rsid w:val="794C73BE"/>
    <w:rsid w:val="796F6CE8"/>
    <w:rsid w:val="797E03D3"/>
    <w:rsid w:val="79891112"/>
    <w:rsid w:val="798C97F9"/>
    <w:rsid w:val="79951709"/>
    <w:rsid w:val="7997BCA9"/>
    <w:rsid w:val="79AE689D"/>
    <w:rsid w:val="79B7D3D9"/>
    <w:rsid w:val="79BF5522"/>
    <w:rsid w:val="79DA2290"/>
    <w:rsid w:val="79E177C8"/>
    <w:rsid w:val="79EA3022"/>
    <w:rsid w:val="79EB922A"/>
    <w:rsid w:val="79EF6FD2"/>
    <w:rsid w:val="79F70682"/>
    <w:rsid w:val="79F94BD0"/>
    <w:rsid w:val="79FF1F73"/>
    <w:rsid w:val="79FF7911"/>
    <w:rsid w:val="7A3C7DD6"/>
    <w:rsid w:val="7A3D68A0"/>
    <w:rsid w:val="7A512DFD"/>
    <w:rsid w:val="7A5BAD62"/>
    <w:rsid w:val="7A747570"/>
    <w:rsid w:val="7A79E0BE"/>
    <w:rsid w:val="7A7BA58E"/>
    <w:rsid w:val="7A835D6F"/>
    <w:rsid w:val="7A8F5101"/>
    <w:rsid w:val="7ADA324A"/>
    <w:rsid w:val="7ADD8904"/>
    <w:rsid w:val="7AED06C1"/>
    <w:rsid w:val="7AF358B3"/>
    <w:rsid w:val="7AFBD948"/>
    <w:rsid w:val="7AFD175F"/>
    <w:rsid w:val="7B3479C7"/>
    <w:rsid w:val="7B6349AC"/>
    <w:rsid w:val="7B7D4B0E"/>
    <w:rsid w:val="7BBD4073"/>
    <w:rsid w:val="7BBFED80"/>
    <w:rsid w:val="7BC148A9"/>
    <w:rsid w:val="7BCB1412"/>
    <w:rsid w:val="7BCED24F"/>
    <w:rsid w:val="7BD8A1FA"/>
    <w:rsid w:val="7BE502F5"/>
    <w:rsid w:val="7BEB1F83"/>
    <w:rsid w:val="7BF479F3"/>
    <w:rsid w:val="7BF53DB9"/>
    <w:rsid w:val="7BFE2121"/>
    <w:rsid w:val="7BFF346A"/>
    <w:rsid w:val="7BFFD102"/>
    <w:rsid w:val="7C0D37D8"/>
    <w:rsid w:val="7C0EB610"/>
    <w:rsid w:val="7C0EBE5A"/>
    <w:rsid w:val="7C1156AC"/>
    <w:rsid w:val="7C490785"/>
    <w:rsid w:val="7C5A0DB1"/>
    <w:rsid w:val="7C6E6F4A"/>
    <w:rsid w:val="7C7F68F6"/>
    <w:rsid w:val="7CBF7CC9"/>
    <w:rsid w:val="7CEEB542"/>
    <w:rsid w:val="7CFD4D83"/>
    <w:rsid w:val="7CFF25E3"/>
    <w:rsid w:val="7CFFDB63"/>
    <w:rsid w:val="7D2528FB"/>
    <w:rsid w:val="7D3C986E"/>
    <w:rsid w:val="7D5790D3"/>
    <w:rsid w:val="7D6A026D"/>
    <w:rsid w:val="7D7E3EC6"/>
    <w:rsid w:val="7D7F2B46"/>
    <w:rsid w:val="7DA57A41"/>
    <w:rsid w:val="7DA95131"/>
    <w:rsid w:val="7DADE6E3"/>
    <w:rsid w:val="7DAFAE73"/>
    <w:rsid w:val="7DB17695"/>
    <w:rsid w:val="7DB40F9E"/>
    <w:rsid w:val="7DB9CCD7"/>
    <w:rsid w:val="7DBBCCE1"/>
    <w:rsid w:val="7DBC52CC"/>
    <w:rsid w:val="7DBCA6D7"/>
    <w:rsid w:val="7DBDA254"/>
    <w:rsid w:val="7DBDB4A3"/>
    <w:rsid w:val="7DBFB61D"/>
    <w:rsid w:val="7DBFD0B1"/>
    <w:rsid w:val="7DC2FED9"/>
    <w:rsid w:val="7DCD37EB"/>
    <w:rsid w:val="7DCF161B"/>
    <w:rsid w:val="7DCFD072"/>
    <w:rsid w:val="7DD2E458"/>
    <w:rsid w:val="7DD5785C"/>
    <w:rsid w:val="7DD710EA"/>
    <w:rsid w:val="7DDDF210"/>
    <w:rsid w:val="7DDF11A4"/>
    <w:rsid w:val="7DEFA1BC"/>
    <w:rsid w:val="7DFD238D"/>
    <w:rsid w:val="7DFD4350"/>
    <w:rsid w:val="7DFE8E38"/>
    <w:rsid w:val="7DFF738A"/>
    <w:rsid w:val="7DFF8C49"/>
    <w:rsid w:val="7E3F7995"/>
    <w:rsid w:val="7E5A5C46"/>
    <w:rsid w:val="7E6318C3"/>
    <w:rsid w:val="7E73BC16"/>
    <w:rsid w:val="7E79B72A"/>
    <w:rsid w:val="7E7B6C22"/>
    <w:rsid w:val="7E7D60F8"/>
    <w:rsid w:val="7E7F24CE"/>
    <w:rsid w:val="7E7FACE5"/>
    <w:rsid w:val="7E845069"/>
    <w:rsid w:val="7E9304BE"/>
    <w:rsid w:val="7E95DC25"/>
    <w:rsid w:val="7E9645F3"/>
    <w:rsid w:val="7E9741FD"/>
    <w:rsid w:val="7E9B9004"/>
    <w:rsid w:val="7EAB552B"/>
    <w:rsid w:val="7EAFF8EE"/>
    <w:rsid w:val="7EBAC4FF"/>
    <w:rsid w:val="7EBBB23E"/>
    <w:rsid w:val="7EBF67FA"/>
    <w:rsid w:val="7ED9BB2C"/>
    <w:rsid w:val="7EFBAF22"/>
    <w:rsid w:val="7EFBFE70"/>
    <w:rsid w:val="7EFCE776"/>
    <w:rsid w:val="7EFE7E7D"/>
    <w:rsid w:val="7EFEAF3A"/>
    <w:rsid w:val="7F0A1B96"/>
    <w:rsid w:val="7F130AD8"/>
    <w:rsid w:val="7F1D1A55"/>
    <w:rsid w:val="7F1E1C3B"/>
    <w:rsid w:val="7F2DBDED"/>
    <w:rsid w:val="7F3F0797"/>
    <w:rsid w:val="7F4F9FF4"/>
    <w:rsid w:val="7F514E35"/>
    <w:rsid w:val="7F657B78"/>
    <w:rsid w:val="7F6C5E22"/>
    <w:rsid w:val="7F6CFDC8"/>
    <w:rsid w:val="7F6FC2E9"/>
    <w:rsid w:val="7F7308DA"/>
    <w:rsid w:val="7F735DD1"/>
    <w:rsid w:val="7F73B421"/>
    <w:rsid w:val="7F7543EB"/>
    <w:rsid w:val="7F75DDCB"/>
    <w:rsid w:val="7F7DC82D"/>
    <w:rsid w:val="7F7EB9D3"/>
    <w:rsid w:val="7F8288CC"/>
    <w:rsid w:val="7F8414F9"/>
    <w:rsid w:val="7F9134E2"/>
    <w:rsid w:val="7F92C118"/>
    <w:rsid w:val="7F9DF193"/>
    <w:rsid w:val="7FB07C38"/>
    <w:rsid w:val="7FBB182C"/>
    <w:rsid w:val="7FBCEFA5"/>
    <w:rsid w:val="7FBEB7F1"/>
    <w:rsid w:val="7FBED7B7"/>
    <w:rsid w:val="7FC008E4"/>
    <w:rsid w:val="7FC7298D"/>
    <w:rsid w:val="7FCD2F70"/>
    <w:rsid w:val="7FD72E92"/>
    <w:rsid w:val="7FD77A59"/>
    <w:rsid w:val="7FDC9F4F"/>
    <w:rsid w:val="7FDEDC68"/>
    <w:rsid w:val="7FDF1F3B"/>
    <w:rsid w:val="7FDF9A1B"/>
    <w:rsid w:val="7FE53651"/>
    <w:rsid w:val="7FE70730"/>
    <w:rsid w:val="7FE71870"/>
    <w:rsid w:val="7FE7C9D6"/>
    <w:rsid w:val="7FEAD9E0"/>
    <w:rsid w:val="7FEB6F1E"/>
    <w:rsid w:val="7FED0D07"/>
    <w:rsid w:val="7FED70AB"/>
    <w:rsid w:val="7FF1BD29"/>
    <w:rsid w:val="7FF34818"/>
    <w:rsid w:val="7FF3EA35"/>
    <w:rsid w:val="7FF71247"/>
    <w:rsid w:val="7FF738E5"/>
    <w:rsid w:val="7FF7624A"/>
    <w:rsid w:val="7FF9875A"/>
    <w:rsid w:val="7FFB1DCF"/>
    <w:rsid w:val="7FFB9861"/>
    <w:rsid w:val="7FFB9B53"/>
    <w:rsid w:val="7FFB9FD9"/>
    <w:rsid w:val="7FFD5CAF"/>
    <w:rsid w:val="7FFDF964"/>
    <w:rsid w:val="7FFF1A6E"/>
    <w:rsid w:val="7FFF7216"/>
    <w:rsid w:val="7FFF8AD4"/>
    <w:rsid w:val="7FFFE2F5"/>
    <w:rsid w:val="7FFFFBF3"/>
    <w:rsid w:val="7FFFFF62"/>
    <w:rsid w:val="8F7FBB2D"/>
    <w:rsid w:val="8FFF231E"/>
    <w:rsid w:val="91DFE4A7"/>
    <w:rsid w:val="93FFB19C"/>
    <w:rsid w:val="96FEB60B"/>
    <w:rsid w:val="97DB491B"/>
    <w:rsid w:val="97DC44BC"/>
    <w:rsid w:val="99FEE58D"/>
    <w:rsid w:val="9BDE5EEB"/>
    <w:rsid w:val="9BEDA750"/>
    <w:rsid w:val="9F3F67C4"/>
    <w:rsid w:val="9F579F4D"/>
    <w:rsid w:val="9F6F93B6"/>
    <w:rsid w:val="9FD775EB"/>
    <w:rsid w:val="9FDFDEBE"/>
    <w:rsid w:val="A36FC6D8"/>
    <w:rsid w:val="A4BABD82"/>
    <w:rsid w:val="A9FECF3C"/>
    <w:rsid w:val="AD2BDDDC"/>
    <w:rsid w:val="AE7C2169"/>
    <w:rsid w:val="AEA7CE37"/>
    <w:rsid w:val="AEB6F1D0"/>
    <w:rsid w:val="AEF7D31F"/>
    <w:rsid w:val="AF366FA4"/>
    <w:rsid w:val="AFBFB118"/>
    <w:rsid w:val="AFDF8C99"/>
    <w:rsid w:val="AFEF7174"/>
    <w:rsid w:val="AFF9F81A"/>
    <w:rsid w:val="AFFAA7FC"/>
    <w:rsid w:val="AFFC60F1"/>
    <w:rsid w:val="AFFF2A95"/>
    <w:rsid w:val="B2B7214A"/>
    <w:rsid w:val="B2E5928D"/>
    <w:rsid w:val="B37DFF1C"/>
    <w:rsid w:val="B39FD7B4"/>
    <w:rsid w:val="B3C711B5"/>
    <w:rsid w:val="B3FEADA2"/>
    <w:rsid w:val="B4377788"/>
    <w:rsid w:val="B45A1CAD"/>
    <w:rsid w:val="B4F2E470"/>
    <w:rsid w:val="B595CA3D"/>
    <w:rsid w:val="B5AEEE72"/>
    <w:rsid w:val="B5CEA9B1"/>
    <w:rsid w:val="B5DB1421"/>
    <w:rsid w:val="B638ACA5"/>
    <w:rsid w:val="B79FC449"/>
    <w:rsid w:val="B7D7A9FB"/>
    <w:rsid w:val="B7EB5311"/>
    <w:rsid w:val="B7EFCEC8"/>
    <w:rsid w:val="B7FBE5D3"/>
    <w:rsid w:val="B7FCC37E"/>
    <w:rsid w:val="B7FEE161"/>
    <w:rsid w:val="B7FF79DD"/>
    <w:rsid w:val="B7FFD1C8"/>
    <w:rsid w:val="B8BDFAFF"/>
    <w:rsid w:val="B9A3B66C"/>
    <w:rsid w:val="BA7F66C3"/>
    <w:rsid w:val="BAFCFD15"/>
    <w:rsid w:val="BBA72DC4"/>
    <w:rsid w:val="BBAEF7E4"/>
    <w:rsid w:val="BBCFACFB"/>
    <w:rsid w:val="BBD7E1B3"/>
    <w:rsid w:val="BBE752B8"/>
    <w:rsid w:val="BBED73D5"/>
    <w:rsid w:val="BBFE0F70"/>
    <w:rsid w:val="BC7B9462"/>
    <w:rsid w:val="BCFF8628"/>
    <w:rsid w:val="BD9BF608"/>
    <w:rsid w:val="BDD42E4C"/>
    <w:rsid w:val="BDEC6BF9"/>
    <w:rsid w:val="BDF7C48B"/>
    <w:rsid w:val="BDFCB2A9"/>
    <w:rsid w:val="BE6FCB09"/>
    <w:rsid w:val="BEBA5D2B"/>
    <w:rsid w:val="BEEF2A6E"/>
    <w:rsid w:val="BEEFDD8A"/>
    <w:rsid w:val="BEF69ADB"/>
    <w:rsid w:val="BEF743B7"/>
    <w:rsid w:val="BEFE9CD2"/>
    <w:rsid w:val="BF311E66"/>
    <w:rsid w:val="BF3712CA"/>
    <w:rsid w:val="BF3F7276"/>
    <w:rsid w:val="BF7C85D6"/>
    <w:rsid w:val="BF88BAC8"/>
    <w:rsid w:val="BFB102EF"/>
    <w:rsid w:val="BFB3CC0A"/>
    <w:rsid w:val="BFB508F3"/>
    <w:rsid w:val="BFBFF47B"/>
    <w:rsid w:val="BFC962AA"/>
    <w:rsid w:val="BFDD8787"/>
    <w:rsid w:val="BFDF01D2"/>
    <w:rsid w:val="BFDFF39C"/>
    <w:rsid w:val="BFF70B40"/>
    <w:rsid w:val="BFFA4D6A"/>
    <w:rsid w:val="BFFD6411"/>
    <w:rsid w:val="BFFE0B82"/>
    <w:rsid w:val="BFFE9B67"/>
    <w:rsid w:val="BFFEC759"/>
    <w:rsid w:val="BFFF31F0"/>
    <w:rsid w:val="BFFF7A6D"/>
    <w:rsid w:val="BFFFF869"/>
    <w:rsid w:val="C1FE8927"/>
    <w:rsid w:val="C37F5B27"/>
    <w:rsid w:val="C37F7FEC"/>
    <w:rsid w:val="C5D694BC"/>
    <w:rsid w:val="C5FE3ACA"/>
    <w:rsid w:val="C9B7713D"/>
    <w:rsid w:val="CABF4AD0"/>
    <w:rsid w:val="CAF2883D"/>
    <w:rsid w:val="CB3F5FDC"/>
    <w:rsid w:val="CB7BC924"/>
    <w:rsid w:val="CC3F09D2"/>
    <w:rsid w:val="CCBB8C7A"/>
    <w:rsid w:val="CDFF8284"/>
    <w:rsid w:val="CEFBD7D3"/>
    <w:rsid w:val="CF6F58E7"/>
    <w:rsid w:val="CF7AEA66"/>
    <w:rsid w:val="CFB6CEC7"/>
    <w:rsid w:val="CFBF4C2E"/>
    <w:rsid w:val="CFCA35F2"/>
    <w:rsid w:val="CFEB1AB5"/>
    <w:rsid w:val="CFEFA308"/>
    <w:rsid w:val="CFF700B2"/>
    <w:rsid w:val="CFF788A0"/>
    <w:rsid w:val="CFFBA9A2"/>
    <w:rsid w:val="CFFF6AC4"/>
    <w:rsid w:val="CFFFF61C"/>
    <w:rsid w:val="D0FC8B10"/>
    <w:rsid w:val="D17FEEB1"/>
    <w:rsid w:val="D1E669B3"/>
    <w:rsid w:val="D3AD513A"/>
    <w:rsid w:val="D3BF9BBD"/>
    <w:rsid w:val="D3EFB0EC"/>
    <w:rsid w:val="D3FD8394"/>
    <w:rsid w:val="D5B3EE66"/>
    <w:rsid w:val="D5EE00D8"/>
    <w:rsid w:val="D5FF6395"/>
    <w:rsid w:val="D667A937"/>
    <w:rsid w:val="D67EC9F3"/>
    <w:rsid w:val="D6BF8D48"/>
    <w:rsid w:val="D6F366AC"/>
    <w:rsid w:val="D77FB0BF"/>
    <w:rsid w:val="D7BB6448"/>
    <w:rsid w:val="D7D70DA1"/>
    <w:rsid w:val="D7FC167E"/>
    <w:rsid w:val="D7FF0EEB"/>
    <w:rsid w:val="D9F35ED3"/>
    <w:rsid w:val="D9FF38B3"/>
    <w:rsid w:val="DA5C703D"/>
    <w:rsid w:val="DA9FDE42"/>
    <w:rsid w:val="DACF291A"/>
    <w:rsid w:val="DAFEFA05"/>
    <w:rsid w:val="DB1F8CEC"/>
    <w:rsid w:val="DBAF628B"/>
    <w:rsid w:val="DBBFC0D7"/>
    <w:rsid w:val="DBBFE74A"/>
    <w:rsid w:val="DBDCAA0A"/>
    <w:rsid w:val="DBDF9B3D"/>
    <w:rsid w:val="DBE2B270"/>
    <w:rsid w:val="DBF7748C"/>
    <w:rsid w:val="DBFF1B18"/>
    <w:rsid w:val="DBFF1F96"/>
    <w:rsid w:val="DBFF89D8"/>
    <w:rsid w:val="DCBAFC08"/>
    <w:rsid w:val="DCEA1CD8"/>
    <w:rsid w:val="DD5FE98E"/>
    <w:rsid w:val="DDBFFE8B"/>
    <w:rsid w:val="DDD09FB6"/>
    <w:rsid w:val="DDD93184"/>
    <w:rsid w:val="DDF8B6F9"/>
    <w:rsid w:val="DDFB6618"/>
    <w:rsid w:val="DDFD3505"/>
    <w:rsid w:val="DDFFD2E1"/>
    <w:rsid w:val="DDFFE3C8"/>
    <w:rsid w:val="DEB78B3F"/>
    <w:rsid w:val="DEBB165A"/>
    <w:rsid w:val="DECE5641"/>
    <w:rsid w:val="DEFD82CD"/>
    <w:rsid w:val="DEFF02CB"/>
    <w:rsid w:val="DEFF74D7"/>
    <w:rsid w:val="DF1F615E"/>
    <w:rsid w:val="DF731285"/>
    <w:rsid w:val="DF9E9960"/>
    <w:rsid w:val="DF9FC85E"/>
    <w:rsid w:val="DFAEAC62"/>
    <w:rsid w:val="DFB3A1F7"/>
    <w:rsid w:val="DFB93EBC"/>
    <w:rsid w:val="DFBFB63E"/>
    <w:rsid w:val="DFD9504C"/>
    <w:rsid w:val="DFE73673"/>
    <w:rsid w:val="DFE79BA2"/>
    <w:rsid w:val="DFEC77E9"/>
    <w:rsid w:val="DFEE82A6"/>
    <w:rsid w:val="DFEF31B1"/>
    <w:rsid w:val="DFF7C666"/>
    <w:rsid w:val="DFFD4A02"/>
    <w:rsid w:val="DFFDCD2F"/>
    <w:rsid w:val="DFFEC174"/>
    <w:rsid w:val="DFFF10B1"/>
    <w:rsid w:val="DFFFA6B5"/>
    <w:rsid w:val="E0A51DE2"/>
    <w:rsid w:val="E139C944"/>
    <w:rsid w:val="E2FF38A0"/>
    <w:rsid w:val="E53FC635"/>
    <w:rsid w:val="E5B34B2A"/>
    <w:rsid w:val="E5BB601E"/>
    <w:rsid w:val="E5FF712F"/>
    <w:rsid w:val="E5FFD3DD"/>
    <w:rsid w:val="E6391B28"/>
    <w:rsid w:val="E67FC9FC"/>
    <w:rsid w:val="E69DABE2"/>
    <w:rsid w:val="E77FDEC2"/>
    <w:rsid w:val="E7AE1A0A"/>
    <w:rsid w:val="E7C31062"/>
    <w:rsid w:val="E7DFA6C7"/>
    <w:rsid w:val="E7E76421"/>
    <w:rsid w:val="E7FA4DF7"/>
    <w:rsid w:val="E7FD21E7"/>
    <w:rsid w:val="E7FD7A18"/>
    <w:rsid w:val="E7FE8203"/>
    <w:rsid w:val="E7FECDA0"/>
    <w:rsid w:val="E7FF5234"/>
    <w:rsid w:val="E8D7F5AE"/>
    <w:rsid w:val="E8F7A474"/>
    <w:rsid w:val="E8FE35B8"/>
    <w:rsid w:val="E9C7A41D"/>
    <w:rsid w:val="EA1F6E00"/>
    <w:rsid w:val="EBBDC5DF"/>
    <w:rsid w:val="EBFA1A9B"/>
    <w:rsid w:val="EBFDD22E"/>
    <w:rsid w:val="EC3586EA"/>
    <w:rsid w:val="EC779E12"/>
    <w:rsid w:val="EC7F384E"/>
    <w:rsid w:val="ECFD69DB"/>
    <w:rsid w:val="ECFF7BF7"/>
    <w:rsid w:val="ED3B0DA5"/>
    <w:rsid w:val="ED5A6D74"/>
    <w:rsid w:val="ED73045D"/>
    <w:rsid w:val="ED77ED61"/>
    <w:rsid w:val="EDEE428F"/>
    <w:rsid w:val="EDFF4E80"/>
    <w:rsid w:val="EDFF7A4F"/>
    <w:rsid w:val="EE3F5948"/>
    <w:rsid w:val="EED7F92C"/>
    <w:rsid w:val="EEDD587E"/>
    <w:rsid w:val="EEFC93A3"/>
    <w:rsid w:val="EEFE7460"/>
    <w:rsid w:val="EEFF91AB"/>
    <w:rsid w:val="EF5654AF"/>
    <w:rsid w:val="EF7DCB62"/>
    <w:rsid w:val="EF7FDA2C"/>
    <w:rsid w:val="EF9F3210"/>
    <w:rsid w:val="EFAF3976"/>
    <w:rsid w:val="EFB729AB"/>
    <w:rsid w:val="EFCDF2DD"/>
    <w:rsid w:val="EFDBDEF2"/>
    <w:rsid w:val="EFDBF597"/>
    <w:rsid w:val="EFDF6EDB"/>
    <w:rsid w:val="EFE6E7E5"/>
    <w:rsid w:val="EFFB0746"/>
    <w:rsid w:val="EFFB0E19"/>
    <w:rsid w:val="EFFFA925"/>
    <w:rsid w:val="F188EE73"/>
    <w:rsid w:val="F1DFE219"/>
    <w:rsid w:val="F1EDA6E7"/>
    <w:rsid w:val="F2B7EB37"/>
    <w:rsid w:val="F2EE0070"/>
    <w:rsid w:val="F37F52C6"/>
    <w:rsid w:val="F3BFA106"/>
    <w:rsid w:val="F3ED4A9E"/>
    <w:rsid w:val="F3ED7215"/>
    <w:rsid w:val="F3F721D7"/>
    <w:rsid w:val="F3FD5ED0"/>
    <w:rsid w:val="F3FFDDA6"/>
    <w:rsid w:val="F42FEB0C"/>
    <w:rsid w:val="F4F7456C"/>
    <w:rsid w:val="F57E0D7D"/>
    <w:rsid w:val="F59587A2"/>
    <w:rsid w:val="F5A42B22"/>
    <w:rsid w:val="F5B55BE3"/>
    <w:rsid w:val="F5DDA473"/>
    <w:rsid w:val="F5ECC282"/>
    <w:rsid w:val="F5EFE895"/>
    <w:rsid w:val="F5FED9C0"/>
    <w:rsid w:val="F63F2891"/>
    <w:rsid w:val="F65703F9"/>
    <w:rsid w:val="F65B14F8"/>
    <w:rsid w:val="F676791B"/>
    <w:rsid w:val="F6DBE576"/>
    <w:rsid w:val="F6DDA5BE"/>
    <w:rsid w:val="F6FB894C"/>
    <w:rsid w:val="F6FF9BAD"/>
    <w:rsid w:val="F77583CE"/>
    <w:rsid w:val="F77DA42A"/>
    <w:rsid w:val="F77F3D49"/>
    <w:rsid w:val="F77F6EBA"/>
    <w:rsid w:val="F7DF28FF"/>
    <w:rsid w:val="F7EDA996"/>
    <w:rsid w:val="F7EFCDB7"/>
    <w:rsid w:val="F7F6EC97"/>
    <w:rsid w:val="F7F721B8"/>
    <w:rsid w:val="F7FB2C61"/>
    <w:rsid w:val="F7FBB22A"/>
    <w:rsid w:val="F7FE0675"/>
    <w:rsid w:val="F7FF8DC2"/>
    <w:rsid w:val="F7FF945E"/>
    <w:rsid w:val="F93F1583"/>
    <w:rsid w:val="F986EDAF"/>
    <w:rsid w:val="F9AC4863"/>
    <w:rsid w:val="F9BBE9F5"/>
    <w:rsid w:val="F9BBF56D"/>
    <w:rsid w:val="F9BF1B32"/>
    <w:rsid w:val="F9DD7C6F"/>
    <w:rsid w:val="F9DF7289"/>
    <w:rsid w:val="FA7D1609"/>
    <w:rsid w:val="FADFB6DA"/>
    <w:rsid w:val="FAE5F3AF"/>
    <w:rsid w:val="FAFD7840"/>
    <w:rsid w:val="FAFEBE49"/>
    <w:rsid w:val="FB2B63C6"/>
    <w:rsid w:val="FB3FB7D7"/>
    <w:rsid w:val="FB5FF48B"/>
    <w:rsid w:val="FB6E09AE"/>
    <w:rsid w:val="FB6F0C5D"/>
    <w:rsid w:val="FB6FD79E"/>
    <w:rsid w:val="FB7B8810"/>
    <w:rsid w:val="FB94598E"/>
    <w:rsid w:val="FB9E6200"/>
    <w:rsid w:val="FBB53E9E"/>
    <w:rsid w:val="FBB77B21"/>
    <w:rsid w:val="FBBF28BD"/>
    <w:rsid w:val="FBDBEE49"/>
    <w:rsid w:val="FBDE3403"/>
    <w:rsid w:val="FBEE9F85"/>
    <w:rsid w:val="FBF4BAF0"/>
    <w:rsid w:val="FBFC8E17"/>
    <w:rsid w:val="FBFC9F23"/>
    <w:rsid w:val="FBFEED14"/>
    <w:rsid w:val="FBFF2E22"/>
    <w:rsid w:val="FC3F41A8"/>
    <w:rsid w:val="FC9B0B0A"/>
    <w:rsid w:val="FCBEB8D8"/>
    <w:rsid w:val="FCBFC61E"/>
    <w:rsid w:val="FCC7E9F1"/>
    <w:rsid w:val="FCFD8F33"/>
    <w:rsid w:val="FD46A55D"/>
    <w:rsid w:val="FD58D8C3"/>
    <w:rsid w:val="FD5DAAC9"/>
    <w:rsid w:val="FD6F1A80"/>
    <w:rsid w:val="FD6FFA44"/>
    <w:rsid w:val="FD7F7DDE"/>
    <w:rsid w:val="FDBDF67E"/>
    <w:rsid w:val="FDD5B13B"/>
    <w:rsid w:val="FDDE2B2E"/>
    <w:rsid w:val="FDDF9359"/>
    <w:rsid w:val="FDE589A1"/>
    <w:rsid w:val="FDF36410"/>
    <w:rsid w:val="FDF5CBF7"/>
    <w:rsid w:val="FDF6A226"/>
    <w:rsid w:val="FDF6BC4F"/>
    <w:rsid w:val="FDF711D9"/>
    <w:rsid w:val="FDF72D66"/>
    <w:rsid w:val="FDFB2FCF"/>
    <w:rsid w:val="FDFB7954"/>
    <w:rsid w:val="FDFEDD3D"/>
    <w:rsid w:val="FDFF9383"/>
    <w:rsid w:val="FDFF9D34"/>
    <w:rsid w:val="FE39D532"/>
    <w:rsid w:val="FE4FA19A"/>
    <w:rsid w:val="FE5B5D08"/>
    <w:rsid w:val="FE5FDA3D"/>
    <w:rsid w:val="FE6D3C49"/>
    <w:rsid w:val="FE75BDEB"/>
    <w:rsid w:val="FE7DD2F4"/>
    <w:rsid w:val="FE7F1CC1"/>
    <w:rsid w:val="FE7F4AE4"/>
    <w:rsid w:val="FE7F6E04"/>
    <w:rsid w:val="FE7F8278"/>
    <w:rsid w:val="FE7FE423"/>
    <w:rsid w:val="FE95DD3D"/>
    <w:rsid w:val="FEA570EC"/>
    <w:rsid w:val="FEAF3663"/>
    <w:rsid w:val="FEBD117F"/>
    <w:rsid w:val="FEBF68C7"/>
    <w:rsid w:val="FEBF8CC0"/>
    <w:rsid w:val="FEBFA1DA"/>
    <w:rsid w:val="FED3158D"/>
    <w:rsid w:val="FED6009F"/>
    <w:rsid w:val="FEDBFA31"/>
    <w:rsid w:val="FEDDD53A"/>
    <w:rsid w:val="FEF5DD34"/>
    <w:rsid w:val="FEF790E0"/>
    <w:rsid w:val="FEFC0922"/>
    <w:rsid w:val="FEFF5E56"/>
    <w:rsid w:val="FEFFBAA5"/>
    <w:rsid w:val="FF2F3532"/>
    <w:rsid w:val="FF3E93F8"/>
    <w:rsid w:val="FF3EBDE4"/>
    <w:rsid w:val="FF3F6636"/>
    <w:rsid w:val="FF3FC0E8"/>
    <w:rsid w:val="FF47A444"/>
    <w:rsid w:val="FF4F4574"/>
    <w:rsid w:val="FF5DEEB1"/>
    <w:rsid w:val="FF5F5057"/>
    <w:rsid w:val="FF5F792E"/>
    <w:rsid w:val="FF6DCDF4"/>
    <w:rsid w:val="FF6FCFAE"/>
    <w:rsid w:val="FF7B393D"/>
    <w:rsid w:val="FF7BD2E9"/>
    <w:rsid w:val="FF7D65D1"/>
    <w:rsid w:val="FF7DB867"/>
    <w:rsid w:val="FF7E0093"/>
    <w:rsid w:val="FF7EBA9A"/>
    <w:rsid w:val="FF7F7B40"/>
    <w:rsid w:val="FF7F7F6C"/>
    <w:rsid w:val="FF7FD38B"/>
    <w:rsid w:val="FF9BBE2D"/>
    <w:rsid w:val="FF9EDDC5"/>
    <w:rsid w:val="FFAA219D"/>
    <w:rsid w:val="FFAB29B7"/>
    <w:rsid w:val="FFADBA5B"/>
    <w:rsid w:val="FFAE4393"/>
    <w:rsid w:val="FFAF8DED"/>
    <w:rsid w:val="FFBAD4A4"/>
    <w:rsid w:val="FFBB23F5"/>
    <w:rsid w:val="FFCB825D"/>
    <w:rsid w:val="FFD38FA5"/>
    <w:rsid w:val="FFD71105"/>
    <w:rsid w:val="FFD7E8C3"/>
    <w:rsid w:val="FFD9E6D8"/>
    <w:rsid w:val="FFDB6990"/>
    <w:rsid w:val="FFDEEC2E"/>
    <w:rsid w:val="FFE480EF"/>
    <w:rsid w:val="FFE78FE4"/>
    <w:rsid w:val="FFE7DACD"/>
    <w:rsid w:val="FFE9DBCA"/>
    <w:rsid w:val="FFEB58A4"/>
    <w:rsid w:val="FFED9C04"/>
    <w:rsid w:val="FFEE1A73"/>
    <w:rsid w:val="FFEE8343"/>
    <w:rsid w:val="FFEFF014"/>
    <w:rsid w:val="FFF2A5DF"/>
    <w:rsid w:val="FFF33773"/>
    <w:rsid w:val="FFF3408B"/>
    <w:rsid w:val="FFF7CD04"/>
    <w:rsid w:val="FFF7E3A5"/>
    <w:rsid w:val="FFF9CD5D"/>
    <w:rsid w:val="FFFA3650"/>
    <w:rsid w:val="FFFAF523"/>
    <w:rsid w:val="FFFD7BCD"/>
    <w:rsid w:val="FFFD924C"/>
    <w:rsid w:val="FFFD9DFF"/>
    <w:rsid w:val="FFFDD8E4"/>
    <w:rsid w:val="FFFE0D4B"/>
    <w:rsid w:val="FFFE2694"/>
    <w:rsid w:val="FFFE9655"/>
    <w:rsid w:val="FFFEA21B"/>
    <w:rsid w:val="FFFF4DAE"/>
    <w:rsid w:val="FFFF5993"/>
    <w:rsid w:val="FFFF61A5"/>
    <w:rsid w:val="FFFF649D"/>
    <w:rsid w:val="FFFF76ED"/>
    <w:rsid w:val="FFFF8C4C"/>
    <w:rsid w:val="FFFF8F19"/>
    <w:rsid w:val="FFFF9829"/>
    <w:rsid w:val="FFFFA2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qFormat="1" w:uiPriority="99"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4"/>
    <w:qFormat/>
    <w:uiPriority w:val="99"/>
    <w:pPr>
      <w:keepNext/>
      <w:keepLines/>
      <w:spacing w:before="340" w:after="330" w:line="576" w:lineRule="auto"/>
      <w:outlineLvl w:val="0"/>
    </w:pPr>
    <w:rPr>
      <w:b/>
      <w:bCs/>
      <w:kern w:val="44"/>
      <w:sz w:val="44"/>
      <w:szCs w:val="44"/>
    </w:rPr>
  </w:style>
  <w:style w:type="paragraph" w:styleId="3">
    <w:name w:val="heading 2"/>
    <w:basedOn w:val="1"/>
    <w:next w:val="4"/>
    <w:link w:val="65"/>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3"/>
    <w:basedOn w:val="1"/>
    <w:next w:val="1"/>
    <w:link w:val="67"/>
    <w:qFormat/>
    <w:uiPriority w:val="0"/>
    <w:pPr>
      <w:keepNext/>
      <w:keepLines/>
      <w:spacing w:before="260" w:after="260" w:line="416" w:lineRule="auto"/>
      <w:outlineLvl w:val="2"/>
    </w:pPr>
    <w:rPr>
      <w:b/>
      <w:bCs/>
      <w:sz w:val="32"/>
      <w:szCs w:val="32"/>
    </w:rPr>
  </w:style>
  <w:style w:type="paragraph" w:styleId="6">
    <w:name w:val="heading 4"/>
    <w:basedOn w:val="1"/>
    <w:next w:val="1"/>
    <w:link w:val="68"/>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7">
    <w:name w:val="heading 5"/>
    <w:basedOn w:val="1"/>
    <w:next w:val="1"/>
    <w:link w:val="69"/>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8">
    <w:name w:val="heading 6"/>
    <w:basedOn w:val="1"/>
    <w:next w:val="1"/>
    <w:link w:val="70"/>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9">
    <w:name w:val="heading 7"/>
    <w:basedOn w:val="1"/>
    <w:next w:val="1"/>
    <w:link w:val="71"/>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0">
    <w:name w:val="heading 8"/>
    <w:basedOn w:val="1"/>
    <w:next w:val="1"/>
    <w:link w:val="72"/>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1">
    <w:name w:val="heading 9"/>
    <w:basedOn w:val="1"/>
    <w:next w:val="1"/>
    <w:link w:val="73"/>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5">
    <w:name w:val="Default Paragraph Font"/>
    <w:semiHidden/>
    <w:unhideWhenUsed/>
    <w:uiPriority w:val="1"/>
  </w:style>
  <w:style w:type="table" w:default="1" w:styleId="53">
    <w:name w:val="Normal Table"/>
    <w:semiHidden/>
    <w:unhideWhenUsed/>
    <w:uiPriority w:val="99"/>
    <w:tblPr>
      <w:tblCellMar>
        <w:top w:w="0" w:type="dxa"/>
        <w:left w:w="108" w:type="dxa"/>
        <w:bottom w:w="0" w:type="dxa"/>
        <w:right w:w="108" w:type="dxa"/>
      </w:tblCellMar>
    </w:tblPr>
  </w:style>
  <w:style w:type="paragraph" w:styleId="4">
    <w:name w:val="Normal Indent"/>
    <w:basedOn w:val="1"/>
    <w:link w:val="66"/>
    <w:qFormat/>
    <w:uiPriority w:val="0"/>
    <w:pPr>
      <w:ind w:firstLine="420" w:firstLineChars="200"/>
    </w:pPr>
  </w:style>
  <w:style w:type="paragraph" w:styleId="12">
    <w:name w:val="List 3"/>
    <w:basedOn w:val="1"/>
    <w:qFormat/>
    <w:uiPriority w:val="0"/>
    <w:pPr>
      <w:spacing w:line="360" w:lineRule="auto"/>
      <w:ind w:left="100" w:leftChars="400" w:hanging="200" w:hangingChars="200"/>
    </w:pPr>
    <w:rPr>
      <w:rFonts w:ascii="Calibri" w:hAnsi="Calibri"/>
      <w:sz w:val="24"/>
      <w:szCs w:val="22"/>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table of authorities"/>
    <w:basedOn w:val="1"/>
    <w:next w:val="1"/>
    <w:unhideWhenUsed/>
    <w:qFormat/>
    <w:uiPriority w:val="99"/>
    <w:pPr>
      <w:ind w:left="420" w:leftChars="200"/>
    </w:pPr>
  </w:style>
  <w:style w:type="paragraph" w:styleId="15">
    <w:name w:val="caption"/>
    <w:basedOn w:val="1"/>
    <w:next w:val="1"/>
    <w:qFormat/>
    <w:uiPriority w:val="0"/>
    <w:pPr>
      <w:spacing w:line="360" w:lineRule="auto"/>
      <w:ind w:firstLine="200" w:firstLineChars="200"/>
    </w:pPr>
    <w:rPr>
      <w:rFonts w:ascii="Arial" w:hAnsi="Arial" w:eastAsia="黑体" w:cs="Arial"/>
      <w:sz w:val="20"/>
    </w:rPr>
  </w:style>
  <w:style w:type="paragraph" w:styleId="16">
    <w:name w:val="Document Map"/>
    <w:basedOn w:val="1"/>
    <w:link w:val="74"/>
    <w:qFormat/>
    <w:uiPriority w:val="99"/>
    <w:pPr>
      <w:shd w:val="clear" w:color="auto" w:fill="000080"/>
    </w:pPr>
    <w:rPr>
      <w:szCs w:val="21"/>
    </w:rPr>
  </w:style>
  <w:style w:type="paragraph" w:styleId="17">
    <w:name w:val="toa heading"/>
    <w:basedOn w:val="1"/>
    <w:next w:val="1"/>
    <w:unhideWhenUsed/>
    <w:qFormat/>
    <w:uiPriority w:val="99"/>
    <w:pPr>
      <w:spacing w:before="120"/>
    </w:pPr>
    <w:rPr>
      <w:rFonts w:ascii="Cambria" w:hAnsi="Cambria"/>
      <w:sz w:val="24"/>
      <w:szCs w:val="24"/>
    </w:rPr>
  </w:style>
  <w:style w:type="paragraph" w:styleId="18">
    <w:name w:val="annotation text"/>
    <w:basedOn w:val="1"/>
    <w:link w:val="75"/>
    <w:unhideWhenUsed/>
    <w:qFormat/>
    <w:uiPriority w:val="99"/>
    <w:pPr>
      <w:jc w:val="left"/>
    </w:pPr>
    <w:rPr>
      <w:szCs w:val="24"/>
    </w:rPr>
  </w:style>
  <w:style w:type="paragraph" w:styleId="19">
    <w:name w:val="Body Text 3"/>
    <w:basedOn w:val="1"/>
    <w:link w:val="76"/>
    <w:qFormat/>
    <w:uiPriority w:val="99"/>
    <w:pPr>
      <w:spacing w:after="120"/>
    </w:pPr>
    <w:rPr>
      <w:sz w:val="16"/>
      <w:szCs w:val="16"/>
    </w:rPr>
  </w:style>
  <w:style w:type="paragraph" w:styleId="20">
    <w:name w:val="Body Text"/>
    <w:basedOn w:val="1"/>
    <w:link w:val="77"/>
    <w:qFormat/>
    <w:uiPriority w:val="99"/>
    <w:pPr>
      <w:spacing w:after="120"/>
    </w:pPr>
    <w:rPr>
      <w:szCs w:val="24"/>
    </w:rPr>
  </w:style>
  <w:style w:type="paragraph" w:styleId="21">
    <w:name w:val="Body Text Indent"/>
    <w:basedOn w:val="1"/>
    <w:next w:val="22"/>
    <w:link w:val="78"/>
    <w:qFormat/>
    <w:uiPriority w:val="99"/>
    <w:pPr>
      <w:spacing w:after="120"/>
      <w:ind w:left="420" w:leftChars="200"/>
    </w:pPr>
    <w:rPr>
      <w:szCs w:val="24"/>
    </w:rPr>
  </w:style>
  <w:style w:type="paragraph" w:styleId="22">
    <w:name w:val="envelope return"/>
    <w:basedOn w:val="1"/>
    <w:qFormat/>
    <w:uiPriority w:val="0"/>
    <w:pPr>
      <w:snapToGrid w:val="0"/>
    </w:pPr>
    <w:rPr>
      <w:rFonts w:ascii="Arial" w:hAnsi="Arial"/>
      <w:szCs w:val="24"/>
    </w:rPr>
  </w:style>
  <w:style w:type="paragraph" w:styleId="23">
    <w:name w:val="List 2"/>
    <w:basedOn w:val="1"/>
    <w:qFormat/>
    <w:uiPriority w:val="0"/>
    <w:pPr>
      <w:ind w:left="100" w:leftChars="200" w:hanging="200" w:hangingChars="200"/>
    </w:pPr>
  </w:style>
  <w:style w:type="paragraph" w:styleId="24">
    <w:name w:val="toc 5"/>
    <w:basedOn w:val="1"/>
    <w:next w:val="1"/>
    <w:unhideWhenUsed/>
    <w:qFormat/>
    <w:uiPriority w:val="39"/>
    <w:pPr>
      <w:ind w:left="1680" w:leftChars="800"/>
    </w:pPr>
    <w:rPr>
      <w:rFonts w:ascii="Calibri" w:hAnsi="Calibri"/>
      <w:szCs w:val="22"/>
    </w:rPr>
  </w:style>
  <w:style w:type="paragraph" w:styleId="25">
    <w:name w:val="toc 3"/>
    <w:basedOn w:val="1"/>
    <w:next w:val="1"/>
    <w:unhideWhenUsed/>
    <w:qFormat/>
    <w:uiPriority w:val="39"/>
    <w:pPr>
      <w:ind w:left="420"/>
      <w:jc w:val="left"/>
    </w:pPr>
    <w:rPr>
      <w:sz w:val="24"/>
    </w:rPr>
  </w:style>
  <w:style w:type="paragraph" w:styleId="26">
    <w:name w:val="Plain Text"/>
    <w:basedOn w:val="1"/>
    <w:next w:val="1"/>
    <w:link w:val="79"/>
    <w:qFormat/>
    <w:uiPriority w:val="0"/>
    <w:rPr>
      <w:rFonts w:ascii="宋体" w:hAnsi="Courier New"/>
      <w:szCs w:val="24"/>
    </w:rPr>
  </w:style>
  <w:style w:type="paragraph" w:styleId="27">
    <w:name w:val="toc 8"/>
    <w:basedOn w:val="1"/>
    <w:next w:val="1"/>
    <w:unhideWhenUsed/>
    <w:qFormat/>
    <w:uiPriority w:val="39"/>
    <w:pPr>
      <w:ind w:left="2940" w:leftChars="1400"/>
    </w:pPr>
    <w:rPr>
      <w:rFonts w:ascii="Calibri" w:hAnsi="Calibri"/>
      <w:szCs w:val="22"/>
    </w:rPr>
  </w:style>
  <w:style w:type="paragraph" w:styleId="28">
    <w:name w:val="Date"/>
    <w:basedOn w:val="1"/>
    <w:next w:val="1"/>
    <w:link w:val="80"/>
    <w:qFormat/>
    <w:uiPriority w:val="99"/>
    <w:rPr>
      <w:rFonts w:ascii="宋体"/>
      <w:sz w:val="24"/>
      <w:szCs w:val="24"/>
    </w:rPr>
  </w:style>
  <w:style w:type="paragraph" w:styleId="29">
    <w:name w:val="Body Text Indent 2"/>
    <w:basedOn w:val="1"/>
    <w:link w:val="81"/>
    <w:unhideWhenUsed/>
    <w:qFormat/>
    <w:uiPriority w:val="99"/>
    <w:pPr>
      <w:spacing w:after="120" w:line="480" w:lineRule="auto"/>
      <w:ind w:left="420" w:leftChars="200"/>
    </w:pPr>
    <w:rPr>
      <w:szCs w:val="24"/>
    </w:rPr>
  </w:style>
  <w:style w:type="paragraph" w:styleId="30">
    <w:name w:val="Balloon Text"/>
    <w:basedOn w:val="1"/>
    <w:link w:val="82"/>
    <w:qFormat/>
    <w:uiPriority w:val="99"/>
    <w:rPr>
      <w:sz w:val="18"/>
      <w:szCs w:val="18"/>
    </w:rPr>
  </w:style>
  <w:style w:type="paragraph" w:styleId="31">
    <w:name w:val="footer"/>
    <w:basedOn w:val="1"/>
    <w:link w:val="83"/>
    <w:unhideWhenUsed/>
    <w:qFormat/>
    <w:uiPriority w:val="99"/>
    <w:pPr>
      <w:tabs>
        <w:tab w:val="center" w:pos="4153"/>
        <w:tab w:val="right" w:pos="8306"/>
      </w:tabs>
      <w:snapToGrid w:val="0"/>
      <w:jc w:val="left"/>
    </w:pPr>
    <w:rPr>
      <w:sz w:val="18"/>
      <w:szCs w:val="24"/>
    </w:rPr>
  </w:style>
  <w:style w:type="paragraph" w:styleId="32">
    <w:name w:val="header"/>
    <w:basedOn w:val="1"/>
    <w:link w:val="84"/>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3">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4">
    <w:name w:val="toc 4"/>
    <w:basedOn w:val="1"/>
    <w:next w:val="1"/>
    <w:unhideWhenUsed/>
    <w:qFormat/>
    <w:uiPriority w:val="39"/>
    <w:pPr>
      <w:ind w:left="1260" w:leftChars="600"/>
    </w:pPr>
    <w:rPr>
      <w:rFonts w:ascii="Calibri" w:hAnsi="Calibri"/>
      <w:szCs w:val="22"/>
    </w:rPr>
  </w:style>
  <w:style w:type="paragraph" w:styleId="35">
    <w:name w:val="index heading"/>
    <w:basedOn w:val="1"/>
    <w:next w:val="36"/>
    <w:unhideWhenUsed/>
    <w:qFormat/>
    <w:uiPriority w:val="99"/>
  </w:style>
  <w:style w:type="paragraph" w:styleId="36">
    <w:name w:val="index 1"/>
    <w:basedOn w:val="1"/>
    <w:next w:val="1"/>
    <w:unhideWhenUsed/>
    <w:qFormat/>
    <w:uiPriority w:val="99"/>
    <w:pPr>
      <w:spacing w:line="200" w:lineRule="atLeast"/>
      <w:jc w:val="center"/>
    </w:pPr>
    <w:rPr>
      <w:rFonts w:ascii="宋体" w:hAnsi="宋体"/>
    </w:rPr>
  </w:style>
  <w:style w:type="paragraph" w:styleId="37">
    <w:name w:val="Subtitle"/>
    <w:basedOn w:val="1"/>
    <w:next w:val="1"/>
    <w:link w:val="85"/>
    <w:qFormat/>
    <w:uiPriority w:val="11"/>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0"/>
    <w:pPr>
      <w:spacing w:line="360" w:lineRule="auto"/>
      <w:ind w:left="200" w:hanging="200" w:hangingChars="200"/>
    </w:pPr>
    <w:rPr>
      <w:rFonts w:ascii="Calibri" w:hAnsi="Calibri"/>
      <w:sz w:val="24"/>
      <w:szCs w:val="22"/>
    </w:rPr>
  </w:style>
  <w:style w:type="paragraph" w:styleId="39">
    <w:name w:val="toc 6"/>
    <w:basedOn w:val="1"/>
    <w:next w:val="1"/>
    <w:unhideWhenUsed/>
    <w:qFormat/>
    <w:uiPriority w:val="39"/>
    <w:pPr>
      <w:ind w:left="2100" w:leftChars="1000"/>
    </w:pPr>
    <w:rPr>
      <w:rFonts w:ascii="Calibri" w:hAnsi="Calibri"/>
      <w:szCs w:val="22"/>
    </w:rPr>
  </w:style>
  <w:style w:type="paragraph" w:styleId="40">
    <w:name w:val="List 5"/>
    <w:basedOn w:val="1"/>
    <w:qFormat/>
    <w:uiPriority w:val="0"/>
    <w:pPr>
      <w:spacing w:line="360" w:lineRule="auto"/>
      <w:ind w:left="100" w:leftChars="800" w:hanging="200" w:hangingChars="200"/>
    </w:pPr>
    <w:rPr>
      <w:rFonts w:ascii="Calibri" w:hAnsi="Calibri"/>
      <w:sz w:val="24"/>
      <w:szCs w:val="22"/>
    </w:rPr>
  </w:style>
  <w:style w:type="paragraph" w:styleId="41">
    <w:name w:val="Body Text Indent 3"/>
    <w:basedOn w:val="1"/>
    <w:link w:val="86"/>
    <w:unhideWhenUsed/>
    <w:qFormat/>
    <w:uiPriority w:val="0"/>
    <w:pPr>
      <w:spacing w:line="360" w:lineRule="auto"/>
      <w:ind w:firstLine="420"/>
    </w:pPr>
    <w:rPr>
      <w:rFonts w:ascii="宋体"/>
      <w:szCs w:val="24"/>
    </w:rPr>
  </w:style>
  <w:style w:type="paragraph" w:styleId="42">
    <w:name w:val="table of figures"/>
    <w:basedOn w:val="1"/>
    <w:next w:val="1"/>
    <w:qFormat/>
    <w:uiPriority w:val="0"/>
    <w:pPr>
      <w:ind w:left="200" w:leftChars="200" w:hanging="200" w:hangingChars="200"/>
    </w:pPr>
    <w:rPr>
      <w:rFonts w:ascii="Calibri" w:hAnsi="Calibri"/>
    </w:rPr>
  </w:style>
  <w:style w:type="paragraph" w:styleId="43">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4">
    <w:name w:val="toc 9"/>
    <w:basedOn w:val="1"/>
    <w:next w:val="1"/>
    <w:unhideWhenUsed/>
    <w:qFormat/>
    <w:uiPriority w:val="39"/>
    <w:pPr>
      <w:ind w:left="3360" w:leftChars="1600"/>
    </w:pPr>
    <w:rPr>
      <w:rFonts w:ascii="Calibri" w:hAnsi="Calibri"/>
      <w:szCs w:val="22"/>
    </w:rPr>
  </w:style>
  <w:style w:type="paragraph" w:styleId="45">
    <w:name w:val="Body Text 2"/>
    <w:basedOn w:val="1"/>
    <w:link w:val="87"/>
    <w:unhideWhenUsed/>
    <w:qFormat/>
    <w:uiPriority w:val="99"/>
    <w:pPr>
      <w:spacing w:after="120" w:line="480" w:lineRule="auto"/>
    </w:pPr>
    <w:rPr>
      <w:szCs w:val="24"/>
    </w:rPr>
  </w:style>
  <w:style w:type="paragraph" w:styleId="46">
    <w:name w:val="List 4"/>
    <w:basedOn w:val="1"/>
    <w:qFormat/>
    <w:uiPriority w:val="0"/>
    <w:pPr>
      <w:spacing w:line="360" w:lineRule="auto"/>
      <w:ind w:left="100" w:leftChars="600" w:hanging="200" w:hangingChars="200"/>
    </w:pPr>
    <w:rPr>
      <w:rFonts w:ascii="Calibri" w:hAnsi="Calibri"/>
      <w:sz w:val="24"/>
      <w:szCs w:val="22"/>
    </w:rPr>
  </w:style>
  <w:style w:type="paragraph" w:styleId="47">
    <w:name w:val="HTML Preformatted"/>
    <w:basedOn w:val="1"/>
    <w:link w:val="8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8">
    <w:name w:val="Normal (Web)"/>
    <w:basedOn w:val="1"/>
    <w:unhideWhenUsed/>
    <w:qFormat/>
    <w:uiPriority w:val="99"/>
    <w:rPr>
      <w:sz w:val="24"/>
      <w:szCs w:val="24"/>
    </w:rPr>
  </w:style>
  <w:style w:type="paragraph" w:styleId="49">
    <w:name w:val="Title"/>
    <w:basedOn w:val="1"/>
    <w:next w:val="1"/>
    <w:link w:val="89"/>
    <w:qFormat/>
    <w:uiPriority w:val="99"/>
    <w:pPr>
      <w:widowControl/>
      <w:spacing w:before="240" w:after="60"/>
      <w:jc w:val="center"/>
      <w:outlineLvl w:val="0"/>
    </w:pPr>
    <w:rPr>
      <w:rFonts w:ascii="Cambria" w:hAnsi="Cambria"/>
      <w:b/>
      <w:bCs/>
      <w:sz w:val="32"/>
      <w:szCs w:val="32"/>
    </w:rPr>
  </w:style>
  <w:style w:type="paragraph" w:styleId="50">
    <w:name w:val="annotation subject"/>
    <w:basedOn w:val="18"/>
    <w:next w:val="18"/>
    <w:link w:val="90"/>
    <w:qFormat/>
    <w:uiPriority w:val="99"/>
    <w:rPr>
      <w:b/>
      <w:bCs/>
    </w:rPr>
  </w:style>
  <w:style w:type="paragraph" w:styleId="51">
    <w:name w:val="Body Text First Indent"/>
    <w:basedOn w:val="20"/>
    <w:link w:val="91"/>
    <w:qFormat/>
    <w:uiPriority w:val="0"/>
    <w:pPr>
      <w:ind w:firstLine="420" w:firstLineChars="100"/>
    </w:pPr>
  </w:style>
  <w:style w:type="paragraph" w:styleId="52">
    <w:name w:val="Body Text First Indent 2"/>
    <w:basedOn w:val="21"/>
    <w:next w:val="20"/>
    <w:link w:val="92"/>
    <w:qFormat/>
    <w:uiPriority w:val="0"/>
    <w:pPr>
      <w:spacing w:line="360" w:lineRule="auto"/>
      <w:ind w:firstLine="420" w:firstLineChars="200"/>
    </w:pPr>
    <w:rPr>
      <w:kern w:val="0"/>
      <w:sz w:val="24"/>
      <w:szCs w:val="20"/>
    </w:rPr>
  </w:style>
  <w:style w:type="table" w:styleId="54">
    <w:name w:val="Table Grid"/>
    <w:basedOn w:val="53"/>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6">
    <w:name w:val="Strong"/>
    <w:qFormat/>
    <w:uiPriority w:val="0"/>
    <w:rPr>
      <w:rFonts w:eastAsia="仿宋"/>
      <w:b/>
      <w:bCs/>
      <w:sz w:val="30"/>
    </w:rPr>
  </w:style>
  <w:style w:type="character" w:styleId="57">
    <w:name w:val="page number"/>
    <w:unhideWhenUsed/>
    <w:qFormat/>
    <w:uiPriority w:val="0"/>
  </w:style>
  <w:style w:type="character" w:styleId="58">
    <w:name w:val="FollowedHyperlink"/>
    <w:unhideWhenUsed/>
    <w:qFormat/>
    <w:uiPriority w:val="99"/>
    <w:rPr>
      <w:rFonts w:ascii="Tahoma" w:hAnsi="Tahoma" w:eastAsia="Tahoma" w:cs="Tahoma"/>
      <w:color w:val="666666"/>
      <w:kern w:val="2"/>
      <w:sz w:val="18"/>
      <w:szCs w:val="18"/>
      <w:u w:val="none"/>
    </w:rPr>
  </w:style>
  <w:style w:type="character" w:styleId="59">
    <w:name w:val="Emphasis"/>
    <w:qFormat/>
    <w:uiPriority w:val="20"/>
    <w:rPr>
      <w:i/>
      <w:color w:val="1F2D3D"/>
      <w:kern w:val="2"/>
      <w:sz w:val="24"/>
      <w:szCs w:val="24"/>
      <w:bdr w:val="single" w:color="BFCBD9" w:sz="6" w:space="0"/>
      <w:shd w:val="clear" w:color="auto" w:fill="FFFFFF"/>
    </w:rPr>
  </w:style>
  <w:style w:type="character" w:styleId="60">
    <w:name w:val="Hyperlink"/>
    <w:unhideWhenUsed/>
    <w:qFormat/>
    <w:uiPriority w:val="99"/>
    <w:rPr>
      <w:rFonts w:hint="default" w:ascii="Tahoma" w:hAnsi="Tahoma" w:eastAsia="Tahoma" w:cs="Tahoma"/>
      <w:color w:val="666666"/>
      <w:kern w:val="2"/>
      <w:sz w:val="18"/>
      <w:szCs w:val="18"/>
      <w:u w:val="none"/>
    </w:rPr>
  </w:style>
  <w:style w:type="character" w:styleId="61">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2">
    <w:name w:val="annotation reference"/>
    <w:qFormat/>
    <w:uiPriority w:val="0"/>
    <w:rPr>
      <w:kern w:val="2"/>
      <w:sz w:val="21"/>
      <w:szCs w:val="21"/>
    </w:rPr>
  </w:style>
  <w:style w:type="character" w:styleId="63">
    <w:name w:val="HTML Cite"/>
    <w:unhideWhenUsed/>
    <w:qFormat/>
    <w:uiPriority w:val="99"/>
    <w:rPr>
      <w:kern w:val="2"/>
      <w:sz w:val="24"/>
      <w:szCs w:val="24"/>
    </w:rPr>
  </w:style>
  <w:style w:type="character" w:customStyle="1" w:styleId="64">
    <w:name w:val="标题 1 字符"/>
    <w:link w:val="2"/>
    <w:qFormat/>
    <w:uiPriority w:val="99"/>
    <w:rPr>
      <w:b/>
      <w:bCs/>
      <w:kern w:val="44"/>
      <w:sz w:val="44"/>
      <w:szCs w:val="44"/>
    </w:rPr>
  </w:style>
  <w:style w:type="character" w:customStyle="1" w:styleId="65">
    <w:name w:val="标题 2 字符"/>
    <w:link w:val="3"/>
    <w:qFormat/>
    <w:uiPriority w:val="0"/>
    <w:rPr>
      <w:rFonts w:ascii="宋体" w:hAnsi="Arial"/>
      <w:b/>
      <w:kern w:val="2"/>
      <w:sz w:val="28"/>
      <w:szCs w:val="28"/>
    </w:rPr>
  </w:style>
  <w:style w:type="character" w:customStyle="1" w:styleId="66">
    <w:name w:val="正文缩进 字符"/>
    <w:link w:val="4"/>
    <w:qFormat/>
    <w:uiPriority w:val="0"/>
    <w:rPr>
      <w:kern w:val="2"/>
      <w:sz w:val="21"/>
    </w:rPr>
  </w:style>
  <w:style w:type="character" w:customStyle="1" w:styleId="67">
    <w:name w:val="标题 3 字符"/>
    <w:link w:val="5"/>
    <w:qFormat/>
    <w:uiPriority w:val="0"/>
    <w:rPr>
      <w:b/>
      <w:bCs/>
      <w:kern w:val="2"/>
      <w:sz w:val="32"/>
      <w:szCs w:val="32"/>
    </w:rPr>
  </w:style>
  <w:style w:type="character" w:customStyle="1" w:styleId="68">
    <w:name w:val="标题 4 字符"/>
    <w:basedOn w:val="55"/>
    <w:link w:val="6"/>
    <w:qFormat/>
    <w:uiPriority w:val="0"/>
    <w:rPr>
      <w:rFonts w:ascii="Arial" w:hAnsi="Arial" w:eastAsia="黑体"/>
      <w:b/>
      <w:kern w:val="2"/>
      <w:sz w:val="28"/>
      <w:szCs w:val="24"/>
    </w:rPr>
  </w:style>
  <w:style w:type="character" w:customStyle="1" w:styleId="69">
    <w:name w:val="标题 5 字符"/>
    <w:link w:val="7"/>
    <w:qFormat/>
    <w:uiPriority w:val="0"/>
    <w:rPr>
      <w:b/>
      <w:kern w:val="2"/>
      <w:sz w:val="28"/>
      <w:szCs w:val="24"/>
    </w:rPr>
  </w:style>
  <w:style w:type="character" w:customStyle="1" w:styleId="70">
    <w:name w:val="标题 6 字符"/>
    <w:link w:val="8"/>
    <w:qFormat/>
    <w:uiPriority w:val="0"/>
    <w:rPr>
      <w:rFonts w:ascii="Arial" w:hAnsi="Arial" w:eastAsia="黑体"/>
      <w:b/>
      <w:kern w:val="2"/>
      <w:sz w:val="24"/>
      <w:szCs w:val="24"/>
    </w:rPr>
  </w:style>
  <w:style w:type="character" w:customStyle="1" w:styleId="71">
    <w:name w:val="标题 7 字符"/>
    <w:link w:val="9"/>
    <w:qFormat/>
    <w:uiPriority w:val="0"/>
    <w:rPr>
      <w:b/>
      <w:kern w:val="2"/>
      <w:sz w:val="24"/>
      <w:szCs w:val="24"/>
    </w:rPr>
  </w:style>
  <w:style w:type="character" w:customStyle="1" w:styleId="72">
    <w:name w:val="标题 8 字符"/>
    <w:link w:val="10"/>
    <w:qFormat/>
    <w:uiPriority w:val="0"/>
    <w:rPr>
      <w:rFonts w:ascii="Arial" w:hAnsi="Arial" w:eastAsia="黑体"/>
      <w:kern w:val="2"/>
      <w:sz w:val="24"/>
      <w:szCs w:val="24"/>
    </w:rPr>
  </w:style>
  <w:style w:type="character" w:customStyle="1" w:styleId="73">
    <w:name w:val="标题 9 字符"/>
    <w:link w:val="11"/>
    <w:qFormat/>
    <w:uiPriority w:val="0"/>
    <w:rPr>
      <w:rFonts w:ascii="Arial" w:hAnsi="Arial" w:eastAsia="黑体"/>
      <w:kern w:val="2"/>
      <w:sz w:val="21"/>
      <w:szCs w:val="24"/>
    </w:rPr>
  </w:style>
  <w:style w:type="character" w:customStyle="1" w:styleId="74">
    <w:name w:val="文档结构图 字符"/>
    <w:link w:val="16"/>
    <w:qFormat/>
    <w:uiPriority w:val="99"/>
    <w:rPr>
      <w:kern w:val="2"/>
      <w:sz w:val="21"/>
      <w:szCs w:val="21"/>
      <w:shd w:val="clear" w:color="auto" w:fill="000080"/>
    </w:rPr>
  </w:style>
  <w:style w:type="character" w:customStyle="1" w:styleId="75">
    <w:name w:val="批注文字 字符"/>
    <w:link w:val="18"/>
    <w:qFormat/>
    <w:uiPriority w:val="99"/>
    <w:rPr>
      <w:kern w:val="2"/>
      <w:sz w:val="21"/>
      <w:szCs w:val="24"/>
    </w:rPr>
  </w:style>
  <w:style w:type="character" w:customStyle="1" w:styleId="76">
    <w:name w:val="正文文本 3 字符"/>
    <w:link w:val="19"/>
    <w:qFormat/>
    <w:uiPriority w:val="99"/>
    <w:rPr>
      <w:kern w:val="2"/>
      <w:sz w:val="16"/>
      <w:szCs w:val="16"/>
    </w:rPr>
  </w:style>
  <w:style w:type="character" w:customStyle="1" w:styleId="77">
    <w:name w:val="正文文本 字符"/>
    <w:link w:val="20"/>
    <w:qFormat/>
    <w:uiPriority w:val="99"/>
    <w:rPr>
      <w:kern w:val="2"/>
      <w:sz w:val="21"/>
      <w:szCs w:val="24"/>
    </w:rPr>
  </w:style>
  <w:style w:type="character" w:customStyle="1" w:styleId="78">
    <w:name w:val="正文文本缩进 字符"/>
    <w:link w:val="21"/>
    <w:qFormat/>
    <w:uiPriority w:val="99"/>
    <w:rPr>
      <w:kern w:val="2"/>
      <w:sz w:val="21"/>
      <w:szCs w:val="24"/>
    </w:rPr>
  </w:style>
  <w:style w:type="character" w:customStyle="1" w:styleId="79">
    <w:name w:val="纯文本 字符"/>
    <w:link w:val="26"/>
    <w:qFormat/>
    <w:uiPriority w:val="0"/>
    <w:rPr>
      <w:rFonts w:ascii="宋体" w:hAnsi="Courier New"/>
      <w:kern w:val="2"/>
      <w:sz w:val="21"/>
      <w:szCs w:val="24"/>
    </w:rPr>
  </w:style>
  <w:style w:type="character" w:customStyle="1" w:styleId="80">
    <w:name w:val="日期 字符"/>
    <w:link w:val="28"/>
    <w:qFormat/>
    <w:uiPriority w:val="99"/>
    <w:rPr>
      <w:rFonts w:ascii="宋体"/>
      <w:kern w:val="2"/>
      <w:sz w:val="24"/>
      <w:szCs w:val="24"/>
    </w:rPr>
  </w:style>
  <w:style w:type="character" w:customStyle="1" w:styleId="81">
    <w:name w:val="正文文本缩进 2 字符"/>
    <w:link w:val="29"/>
    <w:qFormat/>
    <w:uiPriority w:val="99"/>
    <w:rPr>
      <w:kern w:val="2"/>
      <w:sz w:val="21"/>
      <w:szCs w:val="24"/>
    </w:rPr>
  </w:style>
  <w:style w:type="character" w:customStyle="1" w:styleId="82">
    <w:name w:val="批注框文本 字符"/>
    <w:link w:val="30"/>
    <w:qFormat/>
    <w:uiPriority w:val="99"/>
    <w:rPr>
      <w:kern w:val="2"/>
      <w:sz w:val="18"/>
      <w:szCs w:val="18"/>
    </w:rPr>
  </w:style>
  <w:style w:type="character" w:customStyle="1" w:styleId="83">
    <w:name w:val="页脚 字符"/>
    <w:link w:val="31"/>
    <w:qFormat/>
    <w:uiPriority w:val="99"/>
    <w:rPr>
      <w:kern w:val="2"/>
      <w:sz w:val="18"/>
      <w:szCs w:val="24"/>
    </w:rPr>
  </w:style>
  <w:style w:type="character" w:customStyle="1" w:styleId="84">
    <w:name w:val="页眉 字符"/>
    <w:link w:val="32"/>
    <w:qFormat/>
    <w:uiPriority w:val="99"/>
    <w:rPr>
      <w:kern w:val="2"/>
      <w:sz w:val="18"/>
    </w:rPr>
  </w:style>
  <w:style w:type="character" w:customStyle="1" w:styleId="85">
    <w:name w:val="副标题 字符"/>
    <w:link w:val="37"/>
    <w:qFormat/>
    <w:uiPriority w:val="11"/>
    <w:rPr>
      <w:rFonts w:ascii="Cambria" w:hAnsi="Cambria" w:cs="Times New Roman"/>
      <w:b/>
      <w:bCs/>
      <w:kern w:val="28"/>
      <w:sz w:val="32"/>
      <w:szCs w:val="32"/>
    </w:rPr>
  </w:style>
  <w:style w:type="character" w:customStyle="1" w:styleId="86">
    <w:name w:val="正文文本缩进 3 字符"/>
    <w:link w:val="41"/>
    <w:qFormat/>
    <w:uiPriority w:val="0"/>
    <w:rPr>
      <w:rFonts w:ascii="宋体"/>
      <w:kern w:val="2"/>
      <w:sz w:val="21"/>
      <w:szCs w:val="24"/>
    </w:rPr>
  </w:style>
  <w:style w:type="character" w:customStyle="1" w:styleId="87">
    <w:name w:val="正文文本 2 字符"/>
    <w:link w:val="45"/>
    <w:qFormat/>
    <w:uiPriority w:val="99"/>
    <w:rPr>
      <w:kern w:val="2"/>
      <w:sz w:val="21"/>
      <w:szCs w:val="24"/>
    </w:rPr>
  </w:style>
  <w:style w:type="character" w:customStyle="1" w:styleId="88">
    <w:name w:val="HTML 预设格式 字符"/>
    <w:link w:val="47"/>
    <w:qFormat/>
    <w:uiPriority w:val="99"/>
    <w:rPr>
      <w:rFonts w:ascii="宋体"/>
      <w:kern w:val="2"/>
      <w:sz w:val="24"/>
      <w:szCs w:val="24"/>
    </w:rPr>
  </w:style>
  <w:style w:type="character" w:customStyle="1" w:styleId="89">
    <w:name w:val="标题 字符"/>
    <w:link w:val="49"/>
    <w:qFormat/>
    <w:uiPriority w:val="99"/>
    <w:rPr>
      <w:rFonts w:ascii="Cambria" w:hAnsi="Cambria"/>
      <w:b/>
      <w:bCs/>
      <w:kern w:val="2"/>
      <w:sz w:val="32"/>
      <w:szCs w:val="32"/>
    </w:rPr>
  </w:style>
  <w:style w:type="character" w:customStyle="1" w:styleId="90">
    <w:name w:val="批注主题 字符"/>
    <w:link w:val="50"/>
    <w:qFormat/>
    <w:uiPriority w:val="99"/>
    <w:rPr>
      <w:b/>
      <w:bCs/>
      <w:kern w:val="2"/>
      <w:sz w:val="21"/>
      <w:szCs w:val="24"/>
    </w:rPr>
  </w:style>
  <w:style w:type="character" w:customStyle="1" w:styleId="91">
    <w:name w:val="正文文本首行缩进 字符"/>
    <w:link w:val="51"/>
    <w:qFormat/>
    <w:uiPriority w:val="0"/>
  </w:style>
  <w:style w:type="character" w:customStyle="1" w:styleId="92">
    <w:name w:val="正文文本首行缩进 2 字符"/>
    <w:link w:val="52"/>
    <w:qFormat/>
    <w:uiPriority w:val="0"/>
    <w:rPr>
      <w:rFonts w:ascii="Calibri" w:hAnsi="Calibri"/>
      <w:sz w:val="24"/>
    </w:rPr>
  </w:style>
  <w:style w:type="character" w:customStyle="1" w:styleId="93">
    <w:name w:val="纯文本 Char2"/>
    <w:qFormat/>
    <w:uiPriority w:val="0"/>
    <w:rPr>
      <w:rFonts w:ascii="宋体" w:hAnsi="Courier New"/>
      <w:szCs w:val="21"/>
    </w:rPr>
  </w:style>
  <w:style w:type="character" w:customStyle="1" w:styleId="94">
    <w:name w:val="map-site-country-active"/>
    <w:qFormat/>
    <w:uiPriority w:val="0"/>
  </w:style>
  <w:style w:type="character" w:customStyle="1" w:styleId="95">
    <w:name w:val="font51"/>
    <w:qFormat/>
    <w:uiPriority w:val="0"/>
    <w:rPr>
      <w:rFonts w:hint="default" w:ascii="Times New Roman" w:hAnsi="Times New Roman" w:cs="Times New Roman"/>
      <w:color w:val="000000"/>
      <w:sz w:val="22"/>
      <w:szCs w:val="22"/>
      <w:u w:val="none"/>
    </w:rPr>
  </w:style>
  <w:style w:type="character" w:customStyle="1" w:styleId="96">
    <w:name w:val="样式 表格文字 Char + 段前: 0.5 行 Char"/>
    <w:link w:val="97"/>
    <w:qFormat/>
    <w:uiPriority w:val="0"/>
    <w:rPr>
      <w:kern w:val="2"/>
      <w:sz w:val="24"/>
    </w:rPr>
  </w:style>
  <w:style w:type="paragraph" w:customStyle="1" w:styleId="97">
    <w:name w:val="样式 表格文字 Char + 段前: 0.5 行"/>
    <w:basedOn w:val="1"/>
    <w:link w:val="96"/>
    <w:qFormat/>
    <w:uiPriority w:val="0"/>
    <w:pPr>
      <w:spacing w:beforeLines="50"/>
      <w:jc w:val="center"/>
    </w:pPr>
    <w:rPr>
      <w:sz w:val="24"/>
    </w:rPr>
  </w:style>
  <w:style w:type="character" w:customStyle="1" w:styleId="98">
    <w:name w:val="p141_0"/>
    <w:qFormat/>
    <w:uiPriority w:val="0"/>
    <w:rPr>
      <w:rFonts w:ascii="Calibri" w:hAnsi="Calibri"/>
      <w:sz w:val="21"/>
      <w:szCs w:val="21"/>
    </w:rPr>
  </w:style>
  <w:style w:type="character" w:customStyle="1" w:styleId="99">
    <w:name w:val="he_font18px"/>
    <w:qFormat/>
    <w:uiPriority w:val="0"/>
  </w:style>
  <w:style w:type="character" w:customStyle="1" w:styleId="100">
    <w:name w:val="Heading 1 Char"/>
    <w:qFormat/>
    <w:uiPriority w:val="9"/>
    <w:rPr>
      <w:b/>
      <w:bCs/>
      <w:kern w:val="44"/>
      <w:sz w:val="44"/>
      <w:szCs w:val="44"/>
    </w:rPr>
  </w:style>
  <w:style w:type="character" w:customStyle="1" w:styleId="101">
    <w:name w:val="cityname"/>
    <w:qFormat/>
    <w:uiPriority w:val="0"/>
    <w:rPr>
      <w:b/>
      <w:kern w:val="2"/>
      <w:sz w:val="21"/>
      <w:szCs w:val="21"/>
    </w:rPr>
  </w:style>
  <w:style w:type="character" w:customStyle="1" w:styleId="102">
    <w:name w:val="Comment Subject Char"/>
    <w:semiHidden/>
    <w:qFormat/>
    <w:uiPriority w:val="99"/>
    <w:rPr>
      <w:rFonts w:eastAsia="宋体"/>
      <w:b/>
      <w:bCs/>
      <w:kern w:val="2"/>
      <w:sz w:val="21"/>
      <w:szCs w:val="21"/>
      <w:lang w:val="en-US" w:eastAsia="zh-CN"/>
    </w:rPr>
  </w:style>
  <w:style w:type="character" w:customStyle="1" w:styleId="103">
    <w:name w:val="标题 Char3"/>
    <w:qFormat/>
    <w:uiPriority w:val="10"/>
    <w:rPr>
      <w:rFonts w:ascii="Cambria" w:hAnsi="Cambria" w:eastAsia="宋体" w:cs="黑体"/>
      <w:b/>
      <w:bCs/>
      <w:sz w:val="32"/>
      <w:szCs w:val="32"/>
    </w:rPr>
  </w:style>
  <w:style w:type="character" w:customStyle="1" w:styleId="104">
    <w:name w:val="Document Map Char"/>
    <w:semiHidden/>
    <w:qFormat/>
    <w:uiPriority w:val="99"/>
    <w:rPr>
      <w:sz w:val="16"/>
      <w:szCs w:val="0"/>
    </w:rPr>
  </w:style>
  <w:style w:type="character" w:customStyle="1" w:styleId="105">
    <w:name w:val="map-site-country"/>
    <w:qFormat/>
    <w:uiPriority w:val="0"/>
  </w:style>
  <w:style w:type="character" w:customStyle="1" w:styleId="106">
    <w:name w:val="批注框文本 Char2"/>
    <w:semiHidden/>
    <w:qFormat/>
    <w:uiPriority w:val="99"/>
    <w:rPr>
      <w:rFonts w:ascii="Calibri" w:hAnsi="Calibri" w:eastAsia="宋体" w:cs="Times New Roman"/>
      <w:sz w:val="18"/>
      <w:szCs w:val="18"/>
    </w:rPr>
  </w:style>
  <w:style w:type="character" w:customStyle="1" w:styleId="107">
    <w:name w:val="纯文本 Char1"/>
    <w:link w:val="108"/>
    <w:qFormat/>
    <w:uiPriority w:val="99"/>
    <w:rPr>
      <w:rFonts w:ascii="宋体" w:hAnsi="Courier New"/>
      <w:szCs w:val="21"/>
    </w:rPr>
  </w:style>
  <w:style w:type="paragraph" w:customStyle="1" w:styleId="108">
    <w:name w:val="纯文本1"/>
    <w:basedOn w:val="1"/>
    <w:link w:val="107"/>
    <w:qFormat/>
    <w:uiPriority w:val="99"/>
    <w:pPr>
      <w:spacing w:afterLines="50" w:line="400" w:lineRule="exact"/>
      <w:ind w:left="284"/>
    </w:pPr>
    <w:rPr>
      <w:rFonts w:ascii="宋体" w:hAnsi="Courier New"/>
      <w:kern w:val="0"/>
      <w:sz w:val="20"/>
      <w:szCs w:val="21"/>
    </w:rPr>
  </w:style>
  <w:style w:type="character" w:customStyle="1" w:styleId="109">
    <w:name w:val="页脚 Char1"/>
    <w:qFormat/>
    <w:uiPriority w:val="99"/>
    <w:rPr>
      <w:sz w:val="18"/>
      <w:szCs w:val="18"/>
    </w:rPr>
  </w:style>
  <w:style w:type="character" w:customStyle="1" w:styleId="110">
    <w:name w:val="页眉 Char2"/>
    <w:semiHidden/>
    <w:qFormat/>
    <w:uiPriority w:val="99"/>
    <w:rPr>
      <w:rFonts w:ascii="Calibri" w:hAnsi="Calibri" w:eastAsia="宋体" w:cs="Times New Roman"/>
      <w:sz w:val="18"/>
      <w:szCs w:val="18"/>
    </w:rPr>
  </w:style>
  <w:style w:type="character" w:customStyle="1" w:styleId="111">
    <w:name w:val="def"/>
    <w:qFormat/>
    <w:uiPriority w:val="0"/>
  </w:style>
  <w:style w:type="character" w:customStyle="1" w:styleId="112">
    <w:name w:val="正文文本 Char1"/>
    <w:qFormat/>
    <w:uiPriority w:val="99"/>
    <w:rPr>
      <w:sz w:val="24"/>
    </w:rPr>
  </w:style>
  <w:style w:type="character" w:customStyle="1" w:styleId="113">
    <w:name w:val="Body Text Indent 3 Char"/>
    <w:semiHidden/>
    <w:qFormat/>
    <w:uiPriority w:val="99"/>
    <w:rPr>
      <w:sz w:val="16"/>
      <w:szCs w:val="16"/>
    </w:rPr>
  </w:style>
  <w:style w:type="character" w:customStyle="1" w:styleId="114">
    <w:name w:val="s21"/>
    <w:qFormat/>
    <w:uiPriority w:val="0"/>
    <w:rPr>
      <w:b/>
      <w:color w:val="000000"/>
    </w:rPr>
  </w:style>
  <w:style w:type="character" w:customStyle="1" w:styleId="115">
    <w:name w:val="hover16"/>
    <w:qFormat/>
    <w:uiPriority w:val="0"/>
    <w:rPr>
      <w:color w:val="FF0000"/>
      <w:kern w:val="2"/>
      <w:sz w:val="24"/>
      <w:szCs w:val="24"/>
    </w:rPr>
  </w:style>
  <w:style w:type="character" w:customStyle="1" w:styleId="116">
    <w:name w:val="批注文字 Char1"/>
    <w:qFormat/>
    <w:uiPriority w:val="0"/>
  </w:style>
  <w:style w:type="character" w:customStyle="1" w:styleId="117">
    <w:name w:val="Date Char"/>
    <w:semiHidden/>
    <w:qFormat/>
    <w:uiPriority w:val="99"/>
    <w:rPr>
      <w:szCs w:val="21"/>
    </w:rPr>
  </w:style>
  <w:style w:type="character" w:customStyle="1" w:styleId="118">
    <w:name w:val="批注主题 Char1"/>
    <w:semiHidden/>
    <w:qFormat/>
    <w:uiPriority w:val="99"/>
    <w:rPr>
      <w:rFonts w:ascii="Calibri" w:hAnsi="Calibri" w:eastAsia="宋体" w:cs="Times New Roman"/>
      <w:b/>
      <w:bCs/>
      <w:sz w:val="24"/>
    </w:rPr>
  </w:style>
  <w:style w:type="character" w:customStyle="1" w:styleId="119">
    <w:name w:val="Heading 3 Char"/>
    <w:semiHidden/>
    <w:qFormat/>
    <w:uiPriority w:val="9"/>
    <w:rPr>
      <w:b/>
      <w:bCs/>
      <w:sz w:val="32"/>
      <w:szCs w:val="32"/>
    </w:rPr>
  </w:style>
  <w:style w:type="character" w:customStyle="1" w:styleId="120">
    <w:name w:val="日期 Char1"/>
    <w:qFormat/>
    <w:uiPriority w:val="99"/>
    <w:rPr>
      <w:rFonts w:ascii="宋体"/>
      <w:kern w:val="2"/>
      <w:sz w:val="21"/>
      <w:szCs w:val="24"/>
    </w:rPr>
  </w:style>
  <w:style w:type="character" w:customStyle="1" w:styleId="121">
    <w:name w:val="15"/>
    <w:qFormat/>
    <w:uiPriority w:val="0"/>
    <w:rPr>
      <w:rFonts w:hint="default" w:ascii="Times New Roman" w:hAnsi="Times New Roman" w:cs="Times New Roman"/>
    </w:rPr>
  </w:style>
  <w:style w:type="character" w:customStyle="1" w:styleId="122">
    <w:name w:val="map-site"/>
    <w:qFormat/>
    <w:uiPriority w:val="0"/>
  </w:style>
  <w:style w:type="character" w:customStyle="1" w:styleId="123">
    <w:name w:val="Body Text Indent Char"/>
    <w:semiHidden/>
    <w:qFormat/>
    <w:uiPriority w:val="99"/>
    <w:rPr>
      <w:szCs w:val="21"/>
    </w:rPr>
  </w:style>
  <w:style w:type="character" w:customStyle="1" w:styleId="124">
    <w:name w:val="标题 Char1"/>
    <w:qFormat/>
    <w:uiPriority w:val="10"/>
    <w:rPr>
      <w:rFonts w:ascii="Cambria" w:hAnsi="Cambria" w:cs="Times New Roman"/>
      <w:b/>
      <w:bCs/>
      <w:kern w:val="2"/>
      <w:sz w:val="32"/>
      <w:szCs w:val="32"/>
    </w:rPr>
  </w:style>
  <w:style w:type="character" w:customStyle="1" w:styleId="125">
    <w:name w:val="Footer Char"/>
    <w:semiHidden/>
    <w:qFormat/>
    <w:uiPriority w:val="99"/>
    <w:rPr>
      <w:sz w:val="18"/>
      <w:szCs w:val="18"/>
    </w:rPr>
  </w:style>
  <w:style w:type="character" w:customStyle="1" w:styleId="126">
    <w:name w:val="16"/>
    <w:qFormat/>
    <w:uiPriority w:val="0"/>
    <w:rPr>
      <w:rFonts w:hint="default" w:ascii="Times New Roman" w:hAnsi="Times New Roman" w:cs="Times New Roman"/>
    </w:rPr>
  </w:style>
  <w:style w:type="character" w:customStyle="1" w:styleId="127">
    <w:name w:val="eng1"/>
    <w:qFormat/>
    <w:uiPriority w:val="0"/>
    <w:rPr>
      <w:rFonts w:hint="default" w:ascii="Tahoma" w:hAnsi="Tahoma" w:cs="Tahoma"/>
      <w:kern w:val="2"/>
      <w:sz w:val="16"/>
      <w:szCs w:val="16"/>
    </w:rPr>
  </w:style>
  <w:style w:type="character" w:customStyle="1" w:styleId="128">
    <w:name w:val="bbs_title1"/>
    <w:qFormat/>
    <w:uiPriority w:val="0"/>
    <w:rPr>
      <w:color w:val="0000CC"/>
      <w:sz w:val="23"/>
      <w:szCs w:val="23"/>
    </w:rPr>
  </w:style>
  <w:style w:type="character" w:customStyle="1" w:styleId="129">
    <w:name w:val="active7"/>
    <w:qFormat/>
    <w:uiPriority w:val="0"/>
    <w:rPr>
      <w:color w:val="FF0000"/>
      <w:kern w:val="2"/>
      <w:sz w:val="24"/>
      <w:szCs w:val="24"/>
    </w:rPr>
  </w:style>
  <w:style w:type="character" w:customStyle="1" w:styleId="130">
    <w:name w:val="文档结构图 Char1"/>
    <w:qFormat/>
    <w:uiPriority w:val="0"/>
    <w:rPr>
      <w:rFonts w:ascii="宋体"/>
      <w:kern w:val="2"/>
      <w:sz w:val="18"/>
      <w:szCs w:val="18"/>
    </w:rPr>
  </w:style>
  <w:style w:type="character" w:customStyle="1" w:styleId="131">
    <w:name w:val="正文文本缩进 Char2"/>
    <w:semiHidden/>
    <w:qFormat/>
    <w:uiPriority w:val="99"/>
    <w:rPr>
      <w:rFonts w:ascii="Calibri" w:hAnsi="Calibri" w:eastAsia="宋体" w:cs="Times New Roman"/>
      <w:sz w:val="24"/>
    </w:rPr>
  </w:style>
  <w:style w:type="character" w:customStyle="1" w:styleId="132">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33">
    <w:name w:val="正文文本缩进 Char3"/>
    <w:qFormat/>
    <w:uiPriority w:val="99"/>
    <w:rPr>
      <w:rFonts w:ascii="Calibri" w:hAnsi="Calibri" w:eastAsia="宋体" w:cs="Times New Roman"/>
      <w:sz w:val="24"/>
    </w:rPr>
  </w:style>
  <w:style w:type="character" w:customStyle="1" w:styleId="134">
    <w:name w:val="正文文本缩进 2 Char1"/>
    <w:link w:val="135"/>
    <w:qFormat/>
    <w:uiPriority w:val="99"/>
    <w:rPr>
      <w:szCs w:val="24"/>
    </w:rPr>
  </w:style>
  <w:style w:type="paragraph" w:customStyle="1" w:styleId="135">
    <w:name w:val="正文文本缩进 21"/>
    <w:basedOn w:val="1"/>
    <w:link w:val="134"/>
    <w:qFormat/>
    <w:uiPriority w:val="99"/>
    <w:pPr>
      <w:spacing w:after="120" w:line="480" w:lineRule="auto"/>
      <w:ind w:left="420" w:leftChars="200"/>
    </w:pPr>
    <w:rPr>
      <w:kern w:val="0"/>
      <w:sz w:val="20"/>
      <w:szCs w:val="24"/>
    </w:rPr>
  </w:style>
  <w:style w:type="character" w:customStyle="1" w:styleId="136">
    <w:name w:val="Heading 2 Char"/>
    <w:semiHidden/>
    <w:qFormat/>
    <w:uiPriority w:val="9"/>
    <w:rPr>
      <w:rFonts w:ascii="Cambria" w:hAnsi="Cambria" w:eastAsia="宋体" w:cs="Times New Roman"/>
      <w:b/>
      <w:bCs/>
      <w:sz w:val="32"/>
      <w:szCs w:val="32"/>
    </w:rPr>
  </w:style>
  <w:style w:type="character" w:customStyle="1" w:styleId="137">
    <w:name w:val="日期 Char3"/>
    <w:semiHidden/>
    <w:qFormat/>
    <w:uiPriority w:val="99"/>
    <w:rPr>
      <w:rFonts w:ascii="Calibri" w:hAnsi="Calibri" w:eastAsia="宋体" w:cs="Times New Roman"/>
      <w:sz w:val="24"/>
    </w:rPr>
  </w:style>
  <w:style w:type="character" w:customStyle="1" w:styleId="138">
    <w:name w:val="正文首行缩进 2 Char1"/>
    <w:semiHidden/>
    <w:qFormat/>
    <w:uiPriority w:val="99"/>
    <w:rPr>
      <w:rFonts w:ascii="Calibri" w:hAnsi="Calibri" w:eastAsia="宋体" w:cs="Times New Roman"/>
      <w:sz w:val="24"/>
    </w:rPr>
  </w:style>
  <w:style w:type="character" w:customStyle="1" w:styleId="139">
    <w:name w:val="Plain Text Char"/>
    <w:semiHidden/>
    <w:qFormat/>
    <w:uiPriority w:val="99"/>
    <w:rPr>
      <w:rFonts w:ascii="宋体" w:hAnsi="Courier New" w:cs="Courier New"/>
      <w:szCs w:val="21"/>
    </w:rPr>
  </w:style>
  <w:style w:type="character" w:customStyle="1" w:styleId="140">
    <w:name w:val="批注框文本 Char1"/>
    <w:semiHidden/>
    <w:qFormat/>
    <w:uiPriority w:val="99"/>
    <w:rPr>
      <w:rFonts w:ascii="Calibri" w:hAnsi="Calibri" w:eastAsia="宋体" w:cs="Times New Roman"/>
      <w:sz w:val="18"/>
      <w:szCs w:val="18"/>
    </w:rPr>
  </w:style>
  <w:style w:type="character" w:customStyle="1" w:styleId="141">
    <w:name w:val="正文文本缩进 3 Char1"/>
    <w:qFormat/>
    <w:uiPriority w:val="99"/>
    <w:rPr>
      <w:sz w:val="16"/>
      <w:szCs w:val="16"/>
    </w:rPr>
  </w:style>
  <w:style w:type="character" w:customStyle="1" w:styleId="142">
    <w:name w:val="font01"/>
    <w:qFormat/>
    <w:uiPriority w:val="0"/>
    <w:rPr>
      <w:rFonts w:hint="eastAsia" w:ascii="宋体" w:hAnsi="宋体" w:eastAsia="宋体" w:cs="宋体"/>
      <w:color w:val="000000"/>
      <w:sz w:val="22"/>
      <w:szCs w:val="22"/>
      <w:u w:val="none"/>
    </w:rPr>
  </w:style>
  <w:style w:type="character" w:customStyle="1" w:styleId="143">
    <w:name w:val="正文文本缩进 Char1"/>
    <w:qFormat/>
    <w:uiPriority w:val="99"/>
    <w:rPr>
      <w:sz w:val="24"/>
    </w:rPr>
  </w:style>
  <w:style w:type="character" w:customStyle="1" w:styleId="144">
    <w:name w:val="正文文本缩进 3 Char2"/>
    <w:qFormat/>
    <w:uiPriority w:val="0"/>
    <w:rPr>
      <w:sz w:val="16"/>
      <w:szCs w:val="16"/>
    </w:rPr>
  </w:style>
  <w:style w:type="character" w:customStyle="1" w:styleId="145">
    <w:name w:val="Body Text 2 Char"/>
    <w:semiHidden/>
    <w:qFormat/>
    <w:uiPriority w:val="99"/>
    <w:rPr>
      <w:szCs w:val="21"/>
    </w:rPr>
  </w:style>
  <w:style w:type="character" w:customStyle="1" w:styleId="146">
    <w:name w:val="Balloon Text Char"/>
    <w:semiHidden/>
    <w:qFormat/>
    <w:uiPriority w:val="99"/>
    <w:rPr>
      <w:sz w:val="16"/>
      <w:szCs w:val="0"/>
    </w:rPr>
  </w:style>
  <w:style w:type="character" w:customStyle="1" w:styleId="147">
    <w:name w:val="map-site-province-active"/>
    <w:qFormat/>
    <w:uiPriority w:val="0"/>
  </w:style>
  <w:style w:type="character" w:customStyle="1" w:styleId="148">
    <w:name w:val="Body Text Indent 2 Char"/>
    <w:semiHidden/>
    <w:qFormat/>
    <w:uiPriority w:val="99"/>
    <w:rPr>
      <w:szCs w:val="21"/>
    </w:rPr>
  </w:style>
  <w:style w:type="character" w:customStyle="1" w:styleId="149">
    <w:name w:val="content2"/>
    <w:qFormat/>
    <w:uiPriority w:val="0"/>
  </w:style>
  <w:style w:type="character" w:customStyle="1" w:styleId="150">
    <w:name w:val="font31"/>
    <w:qFormat/>
    <w:uiPriority w:val="0"/>
    <w:rPr>
      <w:rFonts w:hint="eastAsia" w:ascii="宋体" w:hAnsi="宋体" w:eastAsia="宋体" w:cs="宋体"/>
      <w:color w:val="000000"/>
      <w:sz w:val="24"/>
      <w:szCs w:val="24"/>
    </w:rPr>
  </w:style>
  <w:style w:type="character" w:customStyle="1" w:styleId="151">
    <w:name w:val="contenttitle"/>
    <w:qFormat/>
    <w:uiPriority w:val="0"/>
  </w:style>
  <w:style w:type="character" w:customStyle="1" w:styleId="152">
    <w:name w:val="批注文字 Char2"/>
    <w:qFormat/>
    <w:uiPriority w:val="99"/>
    <w:rPr>
      <w:rFonts w:ascii="Calibri" w:hAnsi="Calibri" w:eastAsia="宋体" w:cs="Times New Roman"/>
      <w:sz w:val="24"/>
    </w:rPr>
  </w:style>
  <w:style w:type="character" w:customStyle="1" w:styleId="153">
    <w:name w:val="页码1"/>
    <w:qFormat/>
    <w:uiPriority w:val="0"/>
  </w:style>
  <w:style w:type="character" w:customStyle="1" w:styleId="154">
    <w:name w:val="页脚 Char2"/>
    <w:semiHidden/>
    <w:qFormat/>
    <w:uiPriority w:val="99"/>
    <w:rPr>
      <w:rFonts w:ascii="Calibri" w:hAnsi="Calibri" w:eastAsia="宋体" w:cs="Times New Roman"/>
      <w:sz w:val="18"/>
      <w:szCs w:val="18"/>
    </w:rPr>
  </w:style>
  <w:style w:type="character" w:customStyle="1" w:styleId="155">
    <w:name w:val="Font Style17"/>
    <w:qFormat/>
    <w:uiPriority w:val="0"/>
    <w:rPr>
      <w:rFonts w:ascii="黑体" w:eastAsia="黑体" w:cs="黑体"/>
      <w:sz w:val="28"/>
      <w:szCs w:val="28"/>
    </w:rPr>
  </w:style>
  <w:style w:type="character" w:customStyle="1" w:styleId="156">
    <w:name w:val="正文文本缩进 2 Char3"/>
    <w:semiHidden/>
    <w:qFormat/>
    <w:uiPriority w:val="99"/>
    <w:rPr>
      <w:rFonts w:ascii="Calibri" w:hAnsi="Calibri" w:eastAsia="宋体" w:cs="Times New Roman"/>
      <w:sz w:val="24"/>
    </w:rPr>
  </w:style>
  <w:style w:type="character" w:customStyle="1" w:styleId="157">
    <w:name w:val="标题 2 Char1"/>
    <w:qFormat/>
    <w:uiPriority w:val="0"/>
    <w:rPr>
      <w:rFonts w:ascii="Arial" w:hAnsi="Arial" w:eastAsia="黑体" w:cs="Times New Roman"/>
      <w:b/>
      <w:kern w:val="0"/>
      <w:sz w:val="32"/>
      <w:szCs w:val="20"/>
    </w:rPr>
  </w:style>
  <w:style w:type="character" w:customStyle="1" w:styleId="158">
    <w:name w:val="标题 Char2"/>
    <w:qFormat/>
    <w:uiPriority w:val="0"/>
    <w:rPr>
      <w:rFonts w:ascii="Cambria" w:hAnsi="Cambria" w:cs="Times New Roman"/>
      <w:b/>
      <w:bCs/>
      <w:kern w:val="2"/>
      <w:sz w:val="32"/>
      <w:szCs w:val="32"/>
    </w:rPr>
  </w:style>
  <w:style w:type="character" w:customStyle="1" w:styleId="159">
    <w:name w:val="副标题 Char1"/>
    <w:qFormat/>
    <w:uiPriority w:val="11"/>
    <w:rPr>
      <w:rFonts w:ascii="Cambria" w:hAnsi="Cambria" w:eastAsia="宋体" w:cs="Times New Roman"/>
      <w:b/>
      <w:bCs/>
      <w:kern w:val="28"/>
      <w:sz w:val="32"/>
      <w:szCs w:val="32"/>
    </w:rPr>
  </w:style>
  <w:style w:type="character" w:customStyle="1" w:styleId="160">
    <w:name w:val="文档结构图 Char4"/>
    <w:semiHidden/>
    <w:qFormat/>
    <w:uiPriority w:val="99"/>
    <w:rPr>
      <w:rFonts w:ascii="宋体" w:eastAsia="宋体"/>
      <w:sz w:val="18"/>
      <w:szCs w:val="18"/>
    </w:rPr>
  </w:style>
  <w:style w:type="character" w:customStyle="1" w:styleId="161">
    <w:name w:val="font71"/>
    <w:qFormat/>
    <w:uiPriority w:val="0"/>
    <w:rPr>
      <w:rFonts w:ascii="Wingdings" w:hAnsi="Wingdings" w:cs="Wingdings"/>
      <w:color w:val="000000"/>
      <w:sz w:val="22"/>
      <w:szCs w:val="22"/>
      <w:u w:val="none"/>
    </w:rPr>
  </w:style>
  <w:style w:type="character" w:customStyle="1" w:styleId="162">
    <w:name w:val="Comment Text Char"/>
    <w:semiHidden/>
    <w:qFormat/>
    <w:uiPriority w:val="99"/>
    <w:rPr>
      <w:szCs w:val="21"/>
    </w:rPr>
  </w:style>
  <w:style w:type="character" w:customStyle="1" w:styleId="163">
    <w:name w:val="times"/>
    <w:qFormat/>
    <w:uiPriority w:val="0"/>
    <w:rPr>
      <w:color w:val="3399FF"/>
      <w:kern w:val="2"/>
      <w:sz w:val="24"/>
      <w:szCs w:val="24"/>
      <w:bdr w:val="single" w:color="D1EDF8" w:sz="6" w:space="0"/>
      <w:shd w:val="clear" w:color="auto" w:fill="EAF9FF"/>
    </w:rPr>
  </w:style>
  <w:style w:type="character" w:customStyle="1" w:styleId="164">
    <w:name w:val="页脚 Char Char"/>
    <w:qFormat/>
    <w:uiPriority w:val="0"/>
    <w:rPr>
      <w:rFonts w:ascii="Times New Roman" w:hAnsi="Times New Roman" w:eastAsia="宋体" w:cs="Times New Roman"/>
      <w:sz w:val="18"/>
      <w:szCs w:val="18"/>
    </w:rPr>
  </w:style>
  <w:style w:type="character" w:customStyle="1" w:styleId="165">
    <w:name w:val="Header Char"/>
    <w:semiHidden/>
    <w:qFormat/>
    <w:uiPriority w:val="99"/>
    <w:rPr>
      <w:sz w:val="18"/>
      <w:szCs w:val="18"/>
    </w:rPr>
  </w:style>
  <w:style w:type="character" w:customStyle="1" w:styleId="166">
    <w:name w:val="Body Text 3 Char"/>
    <w:semiHidden/>
    <w:qFormat/>
    <w:uiPriority w:val="99"/>
    <w:rPr>
      <w:sz w:val="16"/>
      <w:szCs w:val="16"/>
    </w:rPr>
  </w:style>
  <w:style w:type="character" w:customStyle="1" w:styleId="167">
    <w:name w:val="正文文本 2 Char1"/>
    <w:qFormat/>
    <w:uiPriority w:val="0"/>
    <w:rPr>
      <w:szCs w:val="24"/>
    </w:rPr>
  </w:style>
  <w:style w:type="character" w:customStyle="1" w:styleId="168">
    <w:name w:val="正文文本缩进 3 Char4"/>
    <w:semiHidden/>
    <w:qFormat/>
    <w:uiPriority w:val="99"/>
    <w:rPr>
      <w:sz w:val="16"/>
      <w:szCs w:val="16"/>
    </w:rPr>
  </w:style>
  <w:style w:type="character" w:customStyle="1" w:styleId="169">
    <w:name w:val="Char Char12"/>
    <w:qFormat/>
    <w:locked/>
    <w:uiPriority w:val="99"/>
    <w:rPr>
      <w:rFonts w:ascii="宋体" w:eastAsia="宋体" w:cs="宋体"/>
      <w:sz w:val="24"/>
      <w:szCs w:val="24"/>
    </w:rPr>
  </w:style>
  <w:style w:type="character" w:customStyle="1" w:styleId="170">
    <w:name w:val="标题 Char4"/>
    <w:qFormat/>
    <w:uiPriority w:val="10"/>
    <w:rPr>
      <w:rFonts w:ascii="Cambria" w:hAnsi="Cambria" w:eastAsia="宋体" w:cs="Times New Roman"/>
      <w:b/>
      <w:bCs/>
      <w:sz w:val="32"/>
      <w:szCs w:val="32"/>
    </w:rPr>
  </w:style>
  <w:style w:type="character" w:customStyle="1" w:styleId="171">
    <w:name w:val="日期 Char Char"/>
    <w:qFormat/>
    <w:uiPriority w:val="0"/>
    <w:rPr>
      <w:kern w:val="2"/>
      <w:sz w:val="21"/>
    </w:rPr>
  </w:style>
  <w:style w:type="character" w:customStyle="1" w:styleId="172">
    <w:name w:val="map-site-province"/>
    <w:qFormat/>
    <w:uiPriority w:val="0"/>
  </w:style>
  <w:style w:type="character" w:customStyle="1" w:styleId="173">
    <w:name w:val="HTML Preformatted Char"/>
    <w:semiHidden/>
    <w:qFormat/>
    <w:uiPriority w:val="99"/>
    <w:rPr>
      <w:rFonts w:ascii="Courier New" w:hAnsi="Courier New" w:cs="Courier New"/>
      <w:sz w:val="20"/>
      <w:szCs w:val="20"/>
    </w:rPr>
  </w:style>
  <w:style w:type="character" w:customStyle="1" w:styleId="174">
    <w:name w:val="正文文本缩进 2 Char2"/>
    <w:qFormat/>
    <w:uiPriority w:val="0"/>
    <w:rPr>
      <w:sz w:val="24"/>
    </w:rPr>
  </w:style>
  <w:style w:type="character" w:customStyle="1" w:styleId="175">
    <w:name w:val="日期 Char2"/>
    <w:qFormat/>
    <w:uiPriority w:val="0"/>
    <w:rPr>
      <w:rFonts w:ascii="Times New Roman" w:hAnsi="Times New Roman"/>
      <w:spacing w:val="30"/>
      <w:sz w:val="28"/>
      <w:szCs w:val="24"/>
    </w:rPr>
  </w:style>
  <w:style w:type="character" w:customStyle="1" w:styleId="176">
    <w:name w:val="纯文本 Char4"/>
    <w:qFormat/>
    <w:uiPriority w:val="0"/>
    <w:rPr>
      <w:rFonts w:ascii="宋体" w:hAnsi="Courier New" w:eastAsia="宋体" w:cs="Courier New"/>
      <w:szCs w:val="21"/>
    </w:rPr>
  </w:style>
  <w:style w:type="character" w:customStyle="1" w:styleId="177">
    <w:name w:val="正文文本 Char2"/>
    <w:semiHidden/>
    <w:qFormat/>
    <w:uiPriority w:val="99"/>
    <w:rPr>
      <w:rFonts w:ascii="Calibri" w:hAnsi="Calibri" w:eastAsia="宋体" w:cs="Times New Roman"/>
      <w:sz w:val="24"/>
    </w:rPr>
  </w:style>
  <w:style w:type="character" w:customStyle="1" w:styleId="178">
    <w:name w:val="纯文本 Char5"/>
    <w:semiHidden/>
    <w:qFormat/>
    <w:uiPriority w:val="99"/>
    <w:rPr>
      <w:rFonts w:ascii="宋体" w:hAnsi="Courier New" w:eastAsia="宋体" w:cs="Courier New"/>
      <w:szCs w:val="21"/>
    </w:rPr>
  </w:style>
  <w:style w:type="character" w:customStyle="1" w:styleId="179">
    <w:name w:val="font61"/>
    <w:qFormat/>
    <w:uiPriority w:val="0"/>
    <w:rPr>
      <w:rFonts w:hint="default" w:ascii="Calibri" w:hAnsi="Calibri" w:cs="Calibri"/>
      <w:color w:val="000000"/>
      <w:sz w:val="22"/>
      <w:szCs w:val="22"/>
      <w:u w:val="none"/>
    </w:rPr>
  </w:style>
  <w:style w:type="character" w:customStyle="1" w:styleId="180">
    <w:name w:val="font41"/>
    <w:qFormat/>
    <w:uiPriority w:val="0"/>
    <w:rPr>
      <w:rFonts w:hint="default" w:ascii="Times New Roman" w:hAnsi="Times New Roman" w:cs="Times New Roman"/>
      <w:color w:val="000000"/>
      <w:sz w:val="22"/>
      <w:szCs w:val="22"/>
      <w:u w:val="none"/>
      <w:vertAlign w:val="subscript"/>
    </w:rPr>
  </w:style>
  <w:style w:type="character" w:customStyle="1" w:styleId="181">
    <w:name w:val="font11"/>
    <w:qFormat/>
    <w:uiPriority w:val="0"/>
    <w:rPr>
      <w:rFonts w:hint="eastAsia" w:ascii="宋体" w:hAnsi="宋体" w:eastAsia="宋体" w:cs="宋体"/>
      <w:color w:val="000000"/>
      <w:sz w:val="22"/>
      <w:szCs w:val="22"/>
      <w:u w:val="none"/>
    </w:rPr>
  </w:style>
  <w:style w:type="character" w:customStyle="1" w:styleId="182">
    <w:name w:val="正文文本 2 Char3"/>
    <w:semiHidden/>
    <w:qFormat/>
    <w:uiPriority w:val="99"/>
    <w:rPr>
      <w:rFonts w:ascii="Calibri" w:hAnsi="Calibri" w:eastAsia="宋体" w:cs="Times New Roman"/>
      <w:sz w:val="24"/>
    </w:rPr>
  </w:style>
  <w:style w:type="character" w:customStyle="1" w:styleId="183">
    <w:name w:val="文档结构图 Char3"/>
    <w:semiHidden/>
    <w:qFormat/>
    <w:uiPriority w:val="99"/>
    <w:rPr>
      <w:rFonts w:ascii="宋体" w:hAnsi="Calibri" w:eastAsia="宋体" w:cs="Times New Roman"/>
      <w:sz w:val="18"/>
      <w:szCs w:val="18"/>
    </w:rPr>
  </w:style>
  <w:style w:type="character" w:customStyle="1" w:styleId="184">
    <w:name w:val="批注主题 Char2"/>
    <w:semiHidden/>
    <w:qFormat/>
    <w:uiPriority w:val="99"/>
    <w:rPr>
      <w:rFonts w:ascii="Calibri" w:hAnsi="Calibri" w:eastAsia="宋体" w:cs="Times New Roman"/>
      <w:b/>
      <w:bCs/>
      <w:sz w:val="24"/>
    </w:rPr>
  </w:style>
  <w:style w:type="character" w:customStyle="1" w:styleId="185">
    <w:name w:val="正文首行缩进 2 Char2"/>
    <w:semiHidden/>
    <w:qFormat/>
    <w:uiPriority w:val="99"/>
  </w:style>
  <w:style w:type="character" w:customStyle="1" w:styleId="186">
    <w:name w:val="Char Char"/>
    <w:qFormat/>
    <w:uiPriority w:val="0"/>
    <w:rPr>
      <w:rFonts w:ascii="楷体_GB2312" w:eastAsia="楷体_GB2312"/>
      <w:kern w:val="2"/>
      <w:sz w:val="28"/>
      <w:lang w:val="en-US" w:eastAsia="zh-CN" w:bidi="ar-SA"/>
    </w:rPr>
  </w:style>
  <w:style w:type="character" w:customStyle="1" w:styleId="187">
    <w:name w:val="正文文本 2 Char2"/>
    <w:qFormat/>
    <w:uiPriority w:val="0"/>
    <w:rPr>
      <w:sz w:val="24"/>
    </w:rPr>
  </w:style>
  <w:style w:type="character" w:customStyle="1" w:styleId="188">
    <w:name w:val="c-icon13"/>
    <w:qFormat/>
    <w:uiPriority w:val="0"/>
  </w:style>
  <w:style w:type="character" w:customStyle="1" w:styleId="189">
    <w:name w:val="Body Text Char"/>
    <w:semiHidden/>
    <w:qFormat/>
    <w:uiPriority w:val="99"/>
    <w:rPr>
      <w:szCs w:val="21"/>
    </w:rPr>
  </w:style>
  <w:style w:type="character" w:customStyle="1" w:styleId="190">
    <w:name w:val="纯文本 Char3"/>
    <w:qFormat/>
    <w:uiPriority w:val="0"/>
    <w:rPr>
      <w:rFonts w:ascii="宋体" w:hAnsi="Courier New" w:cs="Courier New"/>
      <w:kern w:val="2"/>
      <w:sz w:val="21"/>
      <w:szCs w:val="21"/>
    </w:rPr>
  </w:style>
  <w:style w:type="character" w:customStyle="1" w:styleId="191">
    <w:name w:val="ask-title"/>
    <w:qFormat/>
    <w:uiPriority w:val="99"/>
  </w:style>
  <w:style w:type="character" w:customStyle="1" w:styleId="192">
    <w:name w:val="文档结构图 Char2"/>
    <w:qFormat/>
    <w:uiPriority w:val="0"/>
    <w:rPr>
      <w:rFonts w:ascii="宋体" w:eastAsia="宋体"/>
      <w:sz w:val="18"/>
      <w:szCs w:val="18"/>
    </w:rPr>
  </w:style>
  <w:style w:type="character" w:customStyle="1" w:styleId="193">
    <w:name w:val="times1"/>
    <w:qFormat/>
    <w:uiPriority w:val="0"/>
    <w:rPr>
      <w:color w:val="CDCDCD"/>
      <w:kern w:val="2"/>
      <w:sz w:val="24"/>
      <w:szCs w:val="24"/>
      <w:bdr w:val="single" w:color="CDCDCD" w:sz="6" w:space="0"/>
      <w:shd w:val="clear" w:color="auto" w:fill="EFEFEF"/>
    </w:rPr>
  </w:style>
  <w:style w:type="character" w:customStyle="1" w:styleId="194">
    <w:name w:val="font21"/>
    <w:qFormat/>
    <w:uiPriority w:val="0"/>
    <w:rPr>
      <w:rFonts w:hint="default" w:ascii="Times New Roman" w:hAnsi="Times New Roman" w:cs="Times New Roman"/>
      <w:color w:val="000000"/>
      <w:sz w:val="22"/>
      <w:szCs w:val="22"/>
      <w:u w:val="none"/>
    </w:rPr>
  </w:style>
  <w:style w:type="character" w:customStyle="1" w:styleId="195">
    <w:name w:val="highlight"/>
    <w:qFormat/>
    <w:uiPriority w:val="0"/>
  </w:style>
  <w:style w:type="character" w:customStyle="1" w:styleId="196">
    <w:name w:val="正文文本缩进 3 Char3"/>
    <w:semiHidden/>
    <w:qFormat/>
    <w:uiPriority w:val="99"/>
    <w:rPr>
      <w:rFonts w:ascii="Calibri" w:hAnsi="Calibri" w:eastAsia="宋体" w:cs="Times New Roman"/>
      <w:sz w:val="16"/>
      <w:szCs w:val="16"/>
    </w:rPr>
  </w:style>
  <w:style w:type="character" w:customStyle="1" w:styleId="197">
    <w:name w:val="页眉 Char1"/>
    <w:qFormat/>
    <w:uiPriority w:val="99"/>
    <w:rPr>
      <w:sz w:val="18"/>
      <w:szCs w:val="18"/>
    </w:rPr>
  </w:style>
  <w:style w:type="character" w:customStyle="1" w:styleId="198">
    <w:name w:val="apple-converted-space"/>
    <w:qFormat/>
    <w:uiPriority w:val="0"/>
  </w:style>
  <w:style w:type="character" w:customStyle="1" w:styleId="199">
    <w:name w:val="样式 四号 加粗"/>
    <w:qFormat/>
    <w:uiPriority w:val="0"/>
    <w:rPr>
      <w:b/>
      <w:bCs/>
      <w:sz w:val="28"/>
    </w:rPr>
  </w:style>
  <w:style w:type="character" w:customStyle="1" w:styleId="200">
    <w:name w:val="书籍标题1"/>
    <w:qFormat/>
    <w:uiPriority w:val="0"/>
    <w:rPr>
      <w:b/>
      <w:bCs/>
      <w:smallCaps/>
      <w:spacing w:val="5"/>
      <w:kern w:val="2"/>
      <w:sz w:val="24"/>
      <w:szCs w:val="24"/>
    </w:rPr>
  </w:style>
  <w:style w:type="character" w:customStyle="1" w:styleId="201">
    <w:name w:val="纯文本 Char6"/>
    <w:semiHidden/>
    <w:qFormat/>
    <w:uiPriority w:val="99"/>
    <w:rPr>
      <w:rFonts w:ascii="宋体" w:hAnsi="Courier New" w:eastAsia="宋体" w:cs="Courier New"/>
      <w:szCs w:val="21"/>
    </w:rPr>
  </w:style>
  <w:style w:type="paragraph" w:customStyle="1" w:styleId="202">
    <w:name w:val="_Style 161"/>
    <w:basedOn w:val="1"/>
    <w:qFormat/>
    <w:uiPriority w:val="0"/>
    <w:rPr>
      <w:rFonts w:eastAsia="Times New Roman"/>
      <w:sz w:val="24"/>
      <w:szCs w:val="24"/>
    </w:rPr>
  </w:style>
  <w:style w:type="paragraph" w:customStyle="1" w:styleId="203">
    <w:name w:val="项目"/>
    <w:basedOn w:val="4"/>
    <w:qFormat/>
    <w:uiPriority w:val="0"/>
    <w:pPr>
      <w:keepNext/>
      <w:keepLines/>
      <w:numPr>
        <w:ilvl w:val="0"/>
        <w:numId w:val="2"/>
      </w:numPr>
    </w:pPr>
    <w:rPr>
      <w:sz w:val="24"/>
    </w:rPr>
  </w:style>
  <w:style w:type="paragraph" w:customStyle="1" w:styleId="204">
    <w:name w:val="Header 1"/>
    <w:basedOn w:val="1"/>
    <w:qFormat/>
    <w:uiPriority w:val="0"/>
    <w:pPr>
      <w:widowControl/>
      <w:spacing w:after="240"/>
    </w:pPr>
    <w:rPr>
      <w:kern w:val="0"/>
      <w:sz w:val="24"/>
      <w:lang w:val="en-GB"/>
    </w:rPr>
  </w:style>
  <w:style w:type="paragraph" w:customStyle="1" w:styleId="205">
    <w:name w:val="_Style 2"/>
    <w:basedOn w:val="1"/>
    <w:qFormat/>
    <w:uiPriority w:val="0"/>
    <w:pPr>
      <w:tabs>
        <w:tab w:val="left" w:pos="360"/>
      </w:tabs>
    </w:pPr>
    <w:rPr>
      <w:sz w:val="24"/>
      <w:szCs w:val="24"/>
    </w:rPr>
  </w:style>
  <w:style w:type="paragraph" w:customStyle="1" w:styleId="206">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07">
    <w:name w:val="Table Contents"/>
    <w:basedOn w:val="1"/>
    <w:qFormat/>
    <w:uiPriority w:val="0"/>
    <w:pPr>
      <w:suppressLineNumbers/>
    </w:pPr>
  </w:style>
  <w:style w:type="paragraph" w:customStyle="1" w:styleId="208">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0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0">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11">
    <w:name w:val="默认段落字体 Para Char"/>
    <w:basedOn w:val="1"/>
    <w:qFormat/>
    <w:uiPriority w:val="0"/>
    <w:rPr>
      <w:szCs w:val="24"/>
    </w:rPr>
  </w:style>
  <w:style w:type="paragraph" w:customStyle="1" w:styleId="212">
    <w:name w:val="_Style 16"/>
    <w:basedOn w:val="213"/>
    <w:qFormat/>
    <w:uiPriority w:val="0"/>
  </w:style>
  <w:style w:type="paragraph" w:customStyle="1" w:styleId="213">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14">
    <w:name w:val="CM11"/>
    <w:basedOn w:val="215"/>
    <w:next w:val="215"/>
    <w:qFormat/>
    <w:uiPriority w:val="0"/>
    <w:rPr>
      <w:rFonts w:cs="Times New Roman"/>
      <w:color w:val="auto"/>
    </w:rPr>
  </w:style>
  <w:style w:type="paragraph" w:customStyle="1" w:styleId="21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6">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7">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18">
    <w:name w:val="批注框文本 Char Char"/>
    <w:basedOn w:val="1"/>
    <w:qFormat/>
    <w:uiPriority w:val="0"/>
    <w:pPr>
      <w:widowControl/>
      <w:jc w:val="left"/>
    </w:pPr>
    <w:rPr>
      <w:kern w:val="0"/>
      <w:sz w:val="18"/>
    </w:rPr>
  </w:style>
  <w:style w:type="paragraph" w:customStyle="1" w:styleId="219">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20">
    <w:name w:val="列出段落11"/>
    <w:basedOn w:val="1"/>
    <w:qFormat/>
    <w:uiPriority w:val="0"/>
    <w:pPr>
      <w:ind w:firstLine="420" w:firstLineChars="200"/>
    </w:pPr>
    <w:rPr>
      <w:rFonts w:ascii="Calibri" w:hAnsi="Calibri"/>
      <w:szCs w:val="22"/>
    </w:rPr>
  </w:style>
  <w:style w:type="paragraph" w:customStyle="1" w:styleId="221">
    <w:name w:val="不缩进"/>
    <w:basedOn w:val="1"/>
    <w:qFormat/>
    <w:uiPriority w:val="0"/>
    <w:pPr>
      <w:snapToGrid w:val="0"/>
      <w:jc w:val="center"/>
      <w:textAlignment w:val="top"/>
    </w:pPr>
    <w:rPr>
      <w:rFonts w:eastAsia="楷体_GB2312"/>
      <w:sz w:val="28"/>
    </w:rPr>
  </w:style>
  <w:style w:type="paragraph" w:customStyle="1" w:styleId="222">
    <w:name w:val="表格文字"/>
    <w:basedOn w:val="1"/>
    <w:qFormat/>
    <w:uiPriority w:val="0"/>
    <w:pPr>
      <w:spacing w:before="25" w:after="25"/>
      <w:jc w:val="left"/>
    </w:pPr>
    <w:rPr>
      <w:bCs/>
      <w:spacing w:val="10"/>
      <w:kern w:val="0"/>
      <w:sz w:val="24"/>
    </w:rPr>
  </w:style>
  <w:style w:type="paragraph" w:customStyle="1" w:styleId="223">
    <w:name w:val="Char Char Char Char Char Char Char"/>
    <w:basedOn w:val="16"/>
    <w:qFormat/>
    <w:uiPriority w:val="99"/>
    <w:pPr>
      <w:spacing w:line="360" w:lineRule="auto"/>
    </w:pPr>
    <w:rPr>
      <w:rFonts w:ascii="Tahoma" w:hAnsi="Tahoma" w:cs="Tahoma"/>
      <w:sz w:val="24"/>
      <w:szCs w:val="24"/>
    </w:rPr>
  </w:style>
  <w:style w:type="paragraph" w:customStyle="1" w:styleId="224">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25">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2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7">
    <w:name w:val="00"/>
    <w:basedOn w:val="1"/>
    <w:qFormat/>
    <w:uiPriority w:val="0"/>
    <w:pPr>
      <w:spacing w:line="400" w:lineRule="exact"/>
    </w:pPr>
    <w:rPr>
      <w:rFonts w:ascii="宋体" w:hAnsi="宋体"/>
      <w:kern w:val="0"/>
      <w:sz w:val="24"/>
      <w:szCs w:val="24"/>
    </w:rPr>
  </w:style>
  <w:style w:type="paragraph" w:customStyle="1" w:styleId="228">
    <w:name w:val="_Style 12"/>
    <w:basedOn w:val="1"/>
    <w:qFormat/>
    <w:uiPriority w:val="0"/>
    <w:pPr>
      <w:spacing w:line="360" w:lineRule="auto"/>
    </w:pPr>
  </w:style>
  <w:style w:type="paragraph" w:customStyle="1" w:styleId="229">
    <w:name w:val="样式2"/>
    <w:basedOn w:val="1"/>
    <w:qFormat/>
    <w:uiPriority w:val="99"/>
    <w:pPr>
      <w:adjustRightInd w:val="0"/>
      <w:spacing w:line="410" w:lineRule="atLeast"/>
      <w:jc w:val="left"/>
      <w:textAlignment w:val="baseline"/>
    </w:pPr>
    <w:rPr>
      <w:kern w:val="0"/>
      <w:sz w:val="24"/>
    </w:rPr>
  </w:style>
  <w:style w:type="paragraph" w:customStyle="1" w:styleId="230">
    <w:name w:val="Char Char Char1 Char Char Char Char"/>
    <w:basedOn w:val="1"/>
    <w:qFormat/>
    <w:uiPriority w:val="99"/>
    <w:rPr>
      <w:sz w:val="30"/>
      <w:szCs w:val="30"/>
    </w:rPr>
  </w:style>
  <w:style w:type="paragraph" w:customStyle="1" w:styleId="231">
    <w:name w:val="Char"/>
    <w:basedOn w:val="1"/>
    <w:qFormat/>
    <w:uiPriority w:val="99"/>
    <w:pPr>
      <w:tabs>
        <w:tab w:val="left" w:pos="960"/>
      </w:tabs>
      <w:ind w:left="960" w:hanging="480"/>
    </w:pPr>
    <w:rPr>
      <w:szCs w:val="21"/>
    </w:rPr>
  </w:style>
  <w:style w:type="paragraph" w:customStyle="1" w:styleId="23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33">
    <w:name w:val="Char1 Char Char Char"/>
    <w:basedOn w:val="1"/>
    <w:qFormat/>
    <w:uiPriority w:val="0"/>
    <w:rPr>
      <w:rFonts w:eastAsia="Times New Roman"/>
      <w:kern w:val="0"/>
      <w:sz w:val="20"/>
    </w:rPr>
  </w:style>
  <w:style w:type="paragraph" w:styleId="234">
    <w:name w:val="List Paragraph"/>
    <w:basedOn w:val="1"/>
    <w:qFormat/>
    <w:uiPriority w:val="34"/>
    <w:pPr>
      <w:ind w:firstLine="420" w:firstLineChars="200"/>
    </w:pPr>
  </w:style>
  <w:style w:type="paragraph" w:customStyle="1" w:styleId="235">
    <w:name w:val="标书正文1"/>
    <w:basedOn w:val="1"/>
    <w:next w:val="236"/>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36">
    <w:name w:val="文档正文"/>
    <w:basedOn w:val="1"/>
    <w:qFormat/>
    <w:uiPriority w:val="0"/>
    <w:pPr>
      <w:spacing w:line="360" w:lineRule="auto"/>
    </w:pPr>
    <w:rPr>
      <w:rFonts w:ascii="Arial" w:hAnsi="Arial" w:cs="Arial"/>
    </w:rPr>
  </w:style>
  <w:style w:type="paragraph" w:customStyle="1" w:styleId="237">
    <w:name w:val="p0"/>
    <w:qFormat/>
    <w:uiPriority w:val="0"/>
    <w:rPr>
      <w:rFonts w:ascii="Times New Roman" w:hAnsi="Times New Roman" w:eastAsia="宋体" w:cs="Times New Roman"/>
      <w:szCs w:val="21"/>
      <w:lang w:val="en-US" w:eastAsia="zh-CN" w:bidi="ar-SA"/>
    </w:rPr>
  </w:style>
  <w:style w:type="paragraph" w:customStyle="1" w:styleId="238">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39">
    <w:name w:val="Char Char1 Char Char Char Char"/>
    <w:basedOn w:val="16"/>
    <w:qFormat/>
    <w:uiPriority w:val="0"/>
    <w:rPr>
      <w:rFonts w:ascii="Tahoma" w:hAnsi="Tahoma"/>
      <w:kern w:val="0"/>
      <w:sz w:val="24"/>
      <w:szCs w:val="24"/>
    </w:rPr>
  </w:style>
  <w:style w:type="paragraph" w:customStyle="1" w:styleId="240">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41">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customStyle="1" w:styleId="242">
    <w:name w:val="日期1"/>
    <w:basedOn w:val="1"/>
    <w:next w:val="1"/>
    <w:qFormat/>
    <w:uiPriority w:val="0"/>
    <w:rPr>
      <w:rFonts w:ascii="宋体" w:hAnsi="Calibri"/>
      <w:b/>
      <w:kern w:val="0"/>
      <w:sz w:val="44"/>
    </w:rPr>
  </w:style>
  <w:style w:type="paragraph" w:customStyle="1" w:styleId="243">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44">
    <w:name w:val="正文文本 21"/>
    <w:basedOn w:val="1"/>
    <w:qFormat/>
    <w:uiPriority w:val="0"/>
    <w:pPr>
      <w:spacing w:after="120" w:line="480" w:lineRule="auto"/>
    </w:pPr>
    <w:rPr>
      <w:rFonts w:ascii="Calibri" w:hAnsi="Calibri"/>
      <w:kern w:val="0"/>
      <w:sz w:val="20"/>
      <w:szCs w:val="24"/>
    </w:rPr>
  </w:style>
  <w:style w:type="paragraph" w:customStyle="1" w:styleId="245">
    <w:name w:val="Char Char Char Char Char Char Char1"/>
    <w:basedOn w:val="1"/>
    <w:qFormat/>
    <w:uiPriority w:val="0"/>
    <w:pPr>
      <w:tabs>
        <w:tab w:val="left" w:pos="0"/>
      </w:tabs>
      <w:outlineLvl w:val="0"/>
    </w:pPr>
    <w:rPr>
      <w:szCs w:val="24"/>
    </w:rPr>
  </w:style>
  <w:style w:type="paragraph" w:customStyle="1" w:styleId="246">
    <w:name w:val="Char1"/>
    <w:basedOn w:val="1"/>
    <w:qFormat/>
    <w:uiPriority w:val="0"/>
    <w:pPr>
      <w:tabs>
        <w:tab w:val="left" w:pos="360"/>
      </w:tabs>
    </w:pPr>
    <w:rPr>
      <w:sz w:val="24"/>
      <w:szCs w:val="24"/>
    </w:rPr>
  </w:style>
  <w:style w:type="paragraph" w:customStyle="1" w:styleId="247">
    <w:name w:val="正文 + 黑色"/>
    <w:basedOn w:val="1"/>
    <w:qFormat/>
    <w:uiPriority w:val="0"/>
    <w:pPr>
      <w:widowControl/>
      <w:jc w:val="left"/>
    </w:pPr>
    <w:rPr>
      <w:rFonts w:ascii="宋体" w:hAnsi="宋体"/>
      <w:kern w:val="0"/>
    </w:rPr>
  </w:style>
  <w:style w:type="paragraph" w:customStyle="1" w:styleId="248">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49">
    <w:name w:val="Char Char1"/>
    <w:basedOn w:val="1"/>
    <w:qFormat/>
    <w:uiPriority w:val="0"/>
    <w:pPr>
      <w:adjustRightInd w:val="0"/>
      <w:spacing w:line="360" w:lineRule="auto"/>
    </w:pPr>
  </w:style>
  <w:style w:type="paragraph" w:customStyle="1" w:styleId="250">
    <w:name w:val="正文文本缩进 31"/>
    <w:basedOn w:val="1"/>
    <w:qFormat/>
    <w:uiPriority w:val="0"/>
    <w:pPr>
      <w:spacing w:after="120"/>
      <w:ind w:left="420" w:leftChars="200"/>
    </w:pPr>
    <w:rPr>
      <w:rFonts w:ascii="Calibri" w:hAnsi="Calibri"/>
      <w:kern w:val="0"/>
      <w:sz w:val="16"/>
      <w:szCs w:val="16"/>
    </w:rPr>
  </w:style>
  <w:style w:type="paragraph" w:customStyle="1" w:styleId="251">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52">
    <w:name w:val="Char Char Char Char Char2"/>
    <w:basedOn w:val="1"/>
    <w:qFormat/>
    <w:uiPriority w:val="0"/>
    <w:pPr>
      <w:snapToGrid w:val="0"/>
      <w:spacing w:line="440" w:lineRule="atLeast"/>
    </w:pPr>
    <w:rPr>
      <w:rFonts w:ascii="宋体"/>
      <w:sz w:val="24"/>
      <w:szCs w:val="24"/>
    </w:rPr>
  </w:style>
  <w:style w:type="paragraph" w:customStyle="1" w:styleId="253">
    <w:name w:val="WPSOffice手动目录 1"/>
    <w:qFormat/>
    <w:uiPriority w:val="0"/>
    <w:rPr>
      <w:rFonts w:ascii="Times New Roman" w:hAnsi="Times New Roman" w:eastAsia="宋体" w:cs="Times New Roman"/>
      <w:lang w:val="en-US" w:eastAsia="zh-CN" w:bidi="ar-SA"/>
    </w:rPr>
  </w:style>
  <w:style w:type="paragraph" w:customStyle="1" w:styleId="254">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55">
    <w:name w:val="样式1"/>
    <w:basedOn w:val="1"/>
    <w:next w:val="4"/>
    <w:qFormat/>
    <w:uiPriority w:val="99"/>
    <w:rPr>
      <w:rFonts w:ascii="宋体" w:hAnsi="Arial Unicode MS" w:cs="宋体"/>
      <w:color w:val="000000"/>
      <w:kern w:val="0"/>
      <w:sz w:val="24"/>
      <w:szCs w:val="24"/>
    </w:rPr>
  </w:style>
  <w:style w:type="paragraph" w:customStyle="1" w:styleId="256">
    <w:name w:val="正文缩进1"/>
    <w:basedOn w:val="1"/>
    <w:qFormat/>
    <w:uiPriority w:val="0"/>
    <w:pPr>
      <w:ind w:firstLine="420"/>
    </w:pPr>
    <w:rPr>
      <w:sz w:val="24"/>
    </w:rPr>
  </w:style>
  <w:style w:type="paragraph" w:customStyle="1" w:styleId="257">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58">
    <w:name w:val="_Style 1"/>
    <w:basedOn w:val="1"/>
    <w:qFormat/>
    <w:uiPriority w:val="0"/>
    <w:pPr>
      <w:tabs>
        <w:tab w:val="left" w:pos="360"/>
      </w:tabs>
    </w:pPr>
    <w:rPr>
      <w:sz w:val="24"/>
      <w:szCs w:val="24"/>
    </w:rPr>
  </w:style>
  <w:style w:type="paragraph" w:customStyle="1" w:styleId="259">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60">
    <w:name w:val="目录"/>
    <w:basedOn w:val="1"/>
    <w:qFormat/>
    <w:uiPriority w:val="0"/>
    <w:pPr>
      <w:widowControl/>
      <w:spacing w:line="480" w:lineRule="auto"/>
      <w:jc w:val="center"/>
    </w:pPr>
    <w:rPr>
      <w:rFonts w:ascii="宋体"/>
      <w:b/>
      <w:kern w:val="0"/>
      <w:sz w:val="24"/>
    </w:rPr>
  </w:style>
  <w:style w:type="paragraph" w:customStyle="1" w:styleId="261">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62">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63">
    <w:name w:val="Char Char Char Char Char Char Char Char Char Char"/>
    <w:basedOn w:val="1"/>
    <w:qFormat/>
    <w:uiPriority w:val="0"/>
    <w:rPr>
      <w:rFonts w:ascii="Verdana" w:hAnsi="Verdana"/>
      <w:kern w:val="0"/>
      <w:lang w:eastAsia="en-US"/>
    </w:rPr>
  </w:style>
  <w:style w:type="paragraph" w:customStyle="1" w:styleId="264">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65">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66">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67">
    <w:name w:val="Char Char Char Char Char Char"/>
    <w:basedOn w:val="16"/>
    <w:qFormat/>
    <w:uiPriority w:val="99"/>
    <w:pPr>
      <w:adjustRightInd w:val="0"/>
      <w:spacing w:line="436" w:lineRule="exact"/>
      <w:ind w:left="357"/>
      <w:jc w:val="left"/>
      <w:outlineLvl w:val="3"/>
    </w:pPr>
    <w:rPr>
      <w:rFonts w:ascii="Tahoma" w:hAnsi="Tahoma" w:cs="Tahoma"/>
      <w:b/>
      <w:bCs/>
      <w:sz w:val="24"/>
      <w:szCs w:val="24"/>
    </w:rPr>
  </w:style>
  <w:style w:type="paragraph" w:customStyle="1" w:styleId="268">
    <w:name w:val="列出段落1"/>
    <w:basedOn w:val="1"/>
    <w:qFormat/>
    <w:uiPriority w:val="34"/>
    <w:pPr>
      <w:spacing w:line="360" w:lineRule="auto"/>
      <w:ind w:firstLine="420" w:firstLineChars="200"/>
    </w:pPr>
    <w:rPr>
      <w:rFonts w:ascii="Calibri" w:hAnsi="Calibri"/>
      <w:sz w:val="24"/>
      <w:szCs w:val="22"/>
    </w:rPr>
  </w:style>
  <w:style w:type="paragraph" w:customStyle="1" w:styleId="269">
    <w:name w:val="1"/>
    <w:basedOn w:val="1"/>
    <w:qFormat/>
    <w:uiPriority w:val="0"/>
    <w:pPr>
      <w:tabs>
        <w:tab w:val="left" w:pos="425"/>
      </w:tabs>
      <w:spacing w:line="360" w:lineRule="auto"/>
    </w:pPr>
    <w:rPr>
      <w:rFonts w:ascii="宋体"/>
      <w:sz w:val="24"/>
    </w:rPr>
  </w:style>
  <w:style w:type="paragraph" w:customStyle="1" w:styleId="270">
    <w:name w:val="TOC 标题11"/>
    <w:basedOn w:val="2"/>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71">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72">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73">
    <w:name w:val="默认段落字体 Para Char Char Char Char Char Char Char"/>
    <w:basedOn w:val="1"/>
    <w:qFormat/>
    <w:uiPriority w:val="0"/>
    <w:rPr>
      <w:rFonts w:eastAsia="仿宋_GB2312"/>
      <w:sz w:val="28"/>
      <w:szCs w:val="24"/>
    </w:rPr>
  </w:style>
  <w:style w:type="paragraph" w:customStyle="1" w:styleId="274">
    <w:name w:val="7"/>
    <w:basedOn w:val="1"/>
    <w:next w:val="41"/>
    <w:qFormat/>
    <w:uiPriority w:val="99"/>
    <w:pPr>
      <w:widowControl/>
      <w:spacing w:line="360" w:lineRule="auto"/>
      <w:ind w:left="784"/>
    </w:pPr>
    <w:rPr>
      <w:kern w:val="0"/>
      <w:szCs w:val="21"/>
    </w:rPr>
  </w:style>
  <w:style w:type="paragraph" w:customStyle="1" w:styleId="275">
    <w:name w:val="标题1"/>
    <w:basedOn w:val="1"/>
    <w:next w:val="1"/>
    <w:qFormat/>
    <w:uiPriority w:val="99"/>
    <w:pPr>
      <w:jc w:val="center"/>
    </w:pPr>
    <w:rPr>
      <w:b/>
      <w:bCs/>
      <w:sz w:val="44"/>
      <w:szCs w:val="44"/>
    </w:rPr>
  </w:style>
  <w:style w:type="paragraph" w:customStyle="1" w:styleId="276">
    <w:name w:val="列出段落2"/>
    <w:basedOn w:val="1"/>
    <w:qFormat/>
    <w:uiPriority w:val="34"/>
    <w:pPr>
      <w:ind w:firstLine="420" w:firstLineChars="200"/>
    </w:pPr>
    <w:rPr>
      <w:rFonts w:ascii="Calibri" w:hAnsi="Calibri"/>
      <w:szCs w:val="22"/>
    </w:rPr>
  </w:style>
  <w:style w:type="paragraph" w:customStyle="1" w:styleId="277">
    <w:name w:val="Char Char Char Char Char1"/>
    <w:basedOn w:val="1"/>
    <w:qFormat/>
    <w:uiPriority w:val="0"/>
    <w:pPr>
      <w:snapToGrid w:val="0"/>
      <w:spacing w:line="440" w:lineRule="atLeast"/>
    </w:pPr>
    <w:rPr>
      <w:rFonts w:ascii="宋体"/>
      <w:sz w:val="24"/>
      <w:szCs w:val="24"/>
    </w:rPr>
  </w:style>
  <w:style w:type="paragraph" w:styleId="278">
    <w:name w:val="No Spacing"/>
    <w:qFormat/>
    <w:uiPriority w:val="0"/>
    <w:rPr>
      <w:rFonts w:ascii="Times New Roman" w:hAnsi="Times New Roman" w:eastAsia="Calibri" w:cs="Times New Roman"/>
      <w:sz w:val="22"/>
      <w:szCs w:val="22"/>
      <w:lang w:val="en-US" w:eastAsia="en-US" w:bidi="ar-SA"/>
    </w:rPr>
  </w:style>
  <w:style w:type="paragraph" w:customStyle="1" w:styleId="279">
    <w:name w:val="修订1"/>
    <w:semiHidden/>
    <w:qFormat/>
    <w:uiPriority w:val="99"/>
    <w:rPr>
      <w:rFonts w:ascii="Times New Roman" w:hAnsi="Times New Roman" w:eastAsia="宋体" w:cs="Times New Roman"/>
      <w:kern w:val="2"/>
      <w:sz w:val="21"/>
      <w:szCs w:val="21"/>
      <w:lang w:val="en-US" w:eastAsia="zh-CN" w:bidi="ar-SA"/>
    </w:rPr>
  </w:style>
  <w:style w:type="paragraph" w:customStyle="1" w:styleId="280">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81">
    <w:name w:val="标题3"/>
    <w:basedOn w:val="3"/>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82">
    <w:name w:val="列表段落1"/>
    <w:basedOn w:val="1"/>
    <w:qFormat/>
    <w:uiPriority w:val="34"/>
    <w:pPr>
      <w:ind w:firstLine="420" w:firstLineChars="200"/>
    </w:pPr>
    <w:rPr>
      <w:szCs w:val="21"/>
    </w:rPr>
  </w:style>
  <w:style w:type="paragraph" w:customStyle="1" w:styleId="283">
    <w:name w:val="正文_0"/>
    <w:basedOn w:val="1"/>
    <w:qFormat/>
    <w:uiPriority w:val="0"/>
    <w:pPr>
      <w:spacing w:line="360" w:lineRule="auto"/>
    </w:pPr>
    <w:rPr>
      <w:rFonts w:eastAsia="仿宋_GB2312"/>
      <w:sz w:val="32"/>
      <w:szCs w:val="32"/>
    </w:rPr>
  </w:style>
  <w:style w:type="paragraph" w:customStyle="1" w:styleId="284">
    <w:name w:val="Char Char Char Char Char"/>
    <w:basedOn w:val="1"/>
    <w:qFormat/>
    <w:uiPriority w:val="0"/>
    <w:pPr>
      <w:snapToGrid w:val="0"/>
      <w:spacing w:line="440" w:lineRule="atLeast"/>
    </w:pPr>
    <w:rPr>
      <w:rFonts w:ascii="宋体"/>
      <w:sz w:val="24"/>
      <w:szCs w:val="24"/>
    </w:rPr>
  </w:style>
  <w:style w:type="paragraph" w:customStyle="1" w:styleId="285">
    <w:name w:val="Table Heading"/>
    <w:basedOn w:val="207"/>
    <w:qFormat/>
    <w:uiPriority w:val="0"/>
    <w:pPr>
      <w:jc w:val="center"/>
    </w:pPr>
    <w:rPr>
      <w:b/>
      <w:bCs/>
    </w:rPr>
  </w:style>
  <w:style w:type="paragraph" w:customStyle="1" w:styleId="286">
    <w:name w:val="投标文件3"/>
    <w:basedOn w:val="1"/>
    <w:qFormat/>
    <w:uiPriority w:val="0"/>
    <w:pPr>
      <w:widowControl/>
      <w:spacing w:line="360" w:lineRule="auto"/>
    </w:pPr>
    <w:rPr>
      <w:rFonts w:ascii="宋体" w:hAnsi="Courier New" w:eastAsia="黑体"/>
      <w:b/>
      <w:sz w:val="30"/>
    </w:rPr>
  </w:style>
  <w:style w:type="paragraph" w:customStyle="1" w:styleId="287">
    <w:name w:val="_Style 3"/>
    <w:basedOn w:val="1"/>
    <w:next w:val="41"/>
    <w:qFormat/>
    <w:uiPriority w:val="0"/>
    <w:pPr>
      <w:ind w:firstLine="420" w:firstLineChars="200"/>
    </w:pPr>
    <w:rPr>
      <w:sz w:val="20"/>
    </w:rPr>
  </w:style>
  <w:style w:type="paragraph" w:customStyle="1" w:styleId="288">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9">
    <w:name w:val="_Style 9"/>
    <w:basedOn w:val="213"/>
    <w:qFormat/>
    <w:uiPriority w:val="0"/>
    <w:rPr>
      <w:rFonts w:ascii="黑体" w:hAnsi="黑体" w:eastAsia="黑体"/>
      <w:b/>
      <w:spacing w:val="10"/>
      <w:kern w:val="44"/>
      <w:sz w:val="30"/>
    </w:rPr>
  </w:style>
  <w:style w:type="paragraph" w:customStyle="1" w:styleId="290">
    <w:name w:val="_Style 7"/>
    <w:basedOn w:val="2"/>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91">
    <w:name w:val="_Style 6"/>
    <w:basedOn w:val="1"/>
    <w:qFormat/>
    <w:uiPriority w:val="0"/>
    <w:pPr>
      <w:tabs>
        <w:tab w:val="left" w:pos="360"/>
      </w:tabs>
    </w:pPr>
    <w:rPr>
      <w:sz w:val="24"/>
      <w:szCs w:val="24"/>
    </w:rPr>
  </w:style>
  <w:style w:type="paragraph" w:customStyle="1" w:styleId="292">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93">
    <w:name w:val="表正文"/>
    <w:basedOn w:val="1"/>
    <w:next w:val="1"/>
    <w:qFormat/>
    <w:uiPriority w:val="0"/>
    <w:rPr>
      <w:rFonts w:ascii="宋体" w:hAnsi="Courier New"/>
    </w:rPr>
  </w:style>
  <w:style w:type="paragraph" w:customStyle="1" w:styleId="294">
    <w:name w:val="List Paragraph1"/>
    <w:basedOn w:val="1"/>
    <w:qFormat/>
    <w:uiPriority w:val="0"/>
    <w:pPr>
      <w:ind w:firstLine="420" w:firstLineChars="200"/>
    </w:pPr>
    <w:rPr>
      <w:rFonts w:cs="Tahoma"/>
      <w:kern w:val="0"/>
      <w:sz w:val="20"/>
    </w:rPr>
  </w:style>
  <w:style w:type="table" w:customStyle="1" w:styleId="295">
    <w:name w:val="Table Normal"/>
    <w:unhideWhenUsed/>
    <w:qFormat/>
    <w:uiPriority w:val="0"/>
    <w:tblPr>
      <w:tblCellMar>
        <w:top w:w="0" w:type="dxa"/>
        <w:left w:w="0" w:type="dxa"/>
        <w:bottom w:w="0" w:type="dxa"/>
        <w:right w:w="0" w:type="dxa"/>
      </w:tblCellMar>
    </w:tblPr>
  </w:style>
  <w:style w:type="table" w:customStyle="1" w:styleId="296">
    <w:name w:val="网格型1"/>
    <w:basedOn w:val="53"/>
    <w:qFormat/>
    <w:uiPriority w:val="0"/>
    <w:pPr>
      <w:widowControl w:val="0"/>
    </w:pPr>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Table Text"/>
    <w:basedOn w:val="1"/>
    <w:semiHidden/>
    <w:qFormat/>
    <w:uiPriority w:val="0"/>
    <w:rPr>
      <w:rFonts w:ascii="宋体" w:hAnsi="宋体" w:cs="宋体"/>
      <w:szCs w:val="21"/>
      <w:lang w:eastAsia="en-US"/>
    </w:rPr>
  </w:style>
  <w:style w:type="paragraph" w:customStyle="1" w:styleId="298">
    <w:name w:val="p18"/>
    <w:basedOn w:val="1"/>
    <w:qFormat/>
    <w:uiPriority w:val="0"/>
    <w:pPr>
      <w:widowControl/>
    </w:pPr>
    <w:rPr>
      <w:rFonts w:ascii="宋体" w:hAnsi="宋体" w:cs="宋体"/>
      <w:kern w:val="0"/>
      <w:szCs w:val="21"/>
    </w:rPr>
  </w:style>
  <w:style w:type="paragraph" w:customStyle="1" w:styleId="299">
    <w:name w:val="p20"/>
    <w:basedOn w:val="1"/>
    <w:qFormat/>
    <w:uiPriority w:val="0"/>
    <w:pPr>
      <w:widowControl/>
      <w:spacing w:after="120" w:line="480" w:lineRule="auto"/>
    </w:pPr>
    <w:rPr>
      <w:kern w:val="0"/>
      <w:szCs w:val="21"/>
    </w:rPr>
  </w:style>
  <w:style w:type="paragraph" w:customStyle="1" w:styleId="300">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301">
    <w:name w:val="缩2"/>
    <w:basedOn w:val="1"/>
    <w:qFormat/>
    <w:uiPriority w:val="0"/>
    <w:pPr>
      <w:spacing w:line="360" w:lineRule="auto"/>
      <w:ind w:firstLine="560" w:firstLineChars="200"/>
    </w:pPr>
    <w:rPr>
      <w:szCs w:val="28"/>
    </w:rPr>
  </w:style>
  <w:style w:type="paragraph" w:customStyle="1" w:styleId="302">
    <w:name w:val="Table Paragraph"/>
    <w:basedOn w:val="1"/>
    <w:qFormat/>
    <w:uiPriority w:val="1"/>
  </w:style>
  <w:style w:type="paragraph" w:customStyle="1" w:styleId="303">
    <w:name w:val="null3"/>
    <w:qFormat/>
    <w:uiPriority w:val="0"/>
    <w:rPr>
      <w:rFonts w:hint="eastAsia" w:ascii="Calibri" w:hAnsi="Calibri" w:eastAsia="宋体" w:cs="Times New Roman"/>
      <w:lang w:val="en-US" w:eastAsia="zh-Hans" w:bidi="ar-SA"/>
    </w:rPr>
  </w:style>
  <w:style w:type="paragraph" w:customStyle="1" w:styleId="304">
    <w:name w:val="修订2"/>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100</Pages>
  <Words>52663</Words>
  <Characters>56849</Characters>
  <Lines>84</Lines>
  <Paragraphs>125</Paragraphs>
  <TotalTime>30</TotalTime>
  <ScaleCrop>false</ScaleCrop>
  <LinksUpToDate>false</LinksUpToDate>
  <CharactersWithSpaces>58539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2024-11-18T22:03:00Z</dcterms:created>
  <dc:creator>lgy</dc:creator>
  <cp:lastModifiedBy>caiwxi</cp:lastModifiedBy>
  <cp:lastPrinted>2024-11-29T01:44:00Z</cp:lastPrinted>
  <dcterms:modified xsi:type="dcterms:W3CDTF">2024-12-04T10:08:35Z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CABC2104B55745D5A301562D2F8E8468</vt:lpwstr>
  </property>
</Properties>
</file>