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spacing w:line="360" w:lineRule="auto"/>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乡村教育公益视频摄制项目响应报价函</w:t>
      </w:r>
    </w:p>
    <w:p>
      <w:pPr>
        <w:spacing w:line="360" w:lineRule="auto"/>
        <w:rPr>
          <w:rFonts w:ascii="仿宋_GB2312" w:hAnsi="仿宋_GB2312" w:eastAsia="仿宋_GB2312" w:cs="仿宋_GB2312"/>
          <w:bCs/>
          <w:color w:val="000000" w:themeColor="text1"/>
          <w:sz w:val="28"/>
          <w:szCs w:val="28"/>
          <w14:textFill>
            <w14:solidFill>
              <w14:schemeClr w14:val="tx1"/>
            </w14:solidFill>
          </w14:textFill>
        </w:rPr>
      </w:pPr>
    </w:p>
    <w:p>
      <w:pPr>
        <w:spacing w:line="360" w:lineRule="auto"/>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广东南方周末经营有限公司：</w:t>
      </w:r>
    </w:p>
    <w:p>
      <w:pPr>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根据贵公司对于“乡村教育公益视频摄制项目”的采购文件要求，我司已完全了解相关内容，承诺按要求提供产品和服务，按人民币报价如下：</w:t>
      </w:r>
    </w:p>
    <w:tbl>
      <w:tblPr>
        <w:tblStyle w:val="12"/>
        <w:tblW w:w="10438"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839"/>
        <w:gridCol w:w="1701"/>
        <w:gridCol w:w="851"/>
        <w:gridCol w:w="850"/>
        <w:gridCol w:w="1134"/>
        <w:gridCol w:w="1276"/>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839"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要求</w:t>
            </w:r>
          </w:p>
        </w:tc>
        <w:tc>
          <w:tcPr>
            <w:tcW w:w="85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85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134"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单价（元）</w:t>
            </w:r>
          </w:p>
        </w:tc>
        <w:tc>
          <w:tcPr>
            <w:tcW w:w="1276"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总价（元）</w:t>
            </w:r>
          </w:p>
        </w:tc>
        <w:tc>
          <w:tcPr>
            <w:tcW w:w="3097"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39" w:type="dxa"/>
            <w:vMerge w:val="restart"/>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视频策划</w:t>
            </w: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4条故事短片的创意与内容策划，并撰写相关视频脚本方案</w:t>
            </w:r>
          </w:p>
        </w:tc>
        <w:tc>
          <w:tcPr>
            <w:tcW w:w="85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85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围绕乡村少年儿童的学习及成长展开，选取符合儿童特点的关键词，围绕不同关键词分别设定故事内容。单条成片时长3-6分钟。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839" w:type="dxa"/>
            <w:vMerge w:val="continue"/>
            <w:vAlign w:val="center"/>
          </w:tcPr>
          <w:p>
            <w:pPr>
              <w:pStyle w:val="5"/>
              <w:jc w:val="center"/>
              <w:rPr>
                <w:color w:val="000000" w:themeColor="text1"/>
                <w14:textFill>
                  <w14:solidFill>
                    <w14:schemeClr w14:val="tx1"/>
                  </w14:solidFill>
                </w14:textFill>
              </w:rPr>
            </w:pP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4条活动记录花絮视频内容简要规划</w:t>
            </w:r>
          </w:p>
        </w:tc>
        <w:tc>
          <w:tcPr>
            <w:tcW w:w="85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85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根据活动现场情况而定，不需详细脚本，但需事先确定拍摄内容，后期剪辑灵活使用。单条成片时长1-3分钟。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839" w:type="dxa"/>
            <w:vMerge w:val="restart"/>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摄制组员</w:t>
            </w: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导演</w:t>
            </w:r>
          </w:p>
        </w:tc>
        <w:tc>
          <w:tcPr>
            <w:tcW w:w="851"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位</w:t>
            </w:r>
          </w:p>
        </w:tc>
        <w:tc>
          <w:tcPr>
            <w:tcW w:w="850"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Merge w:val="restart"/>
            <w:vAlign w:val="center"/>
          </w:tcPr>
          <w:p>
            <w:pPr>
              <w:pStyle w:val="5"/>
              <w:spacing w:after="0"/>
            </w:pPr>
            <w:r>
              <w:rPr>
                <w:rFonts w:hint="eastAsia"/>
                <w:color w:val="000000" w:themeColor="text1"/>
                <w14:textFill>
                  <w14:solidFill>
                    <w14:schemeClr w14:val="tx1"/>
                  </w14:solidFill>
                </w14:textFill>
              </w:rPr>
              <w:t>基本拍摄团队需包含但不限于导演、摄像师、摄像助理、灯光师等；</w:t>
            </w:r>
          </w:p>
          <w:p>
            <w:pPr>
              <w:pStyle w:val="5"/>
              <w:spacing w:after="0"/>
            </w:pPr>
            <w:r>
              <w:rPr>
                <w:rFonts w:hint="eastAsia"/>
              </w:rPr>
              <w:t>需要提供团队过往案例，与本次视频内容形式有相似度的案例优先（视频时长在3-6分钟左右）。</w:t>
            </w:r>
          </w:p>
          <w:p>
            <w:pPr>
              <w:pStyle w:val="5"/>
              <w:rPr>
                <w:color w:val="000000" w:themeColor="text1"/>
                <w14:textFill>
                  <w14:solidFill>
                    <w14:schemeClr w14:val="tx1"/>
                  </w14:solidFill>
                </w14:textFill>
              </w:rPr>
            </w:pPr>
            <w:r>
              <w:rPr>
                <w:rFonts w:hint="eastAsia"/>
              </w:rPr>
              <w:t>其中2条活动花絮记录视频与故事短片拍摄地点相同。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839" w:type="dxa"/>
            <w:vMerge w:val="continue"/>
            <w:vAlign w:val="center"/>
          </w:tcPr>
          <w:p>
            <w:pPr>
              <w:pStyle w:val="5"/>
              <w:jc w:val="center"/>
              <w:rPr>
                <w:color w:val="000000" w:themeColor="text1"/>
                <w14:textFill>
                  <w14:solidFill>
                    <w14:schemeClr w14:val="tx1"/>
                  </w14:solidFill>
                </w14:textFill>
              </w:rPr>
            </w:pP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摄像师</w:t>
            </w:r>
          </w:p>
        </w:tc>
        <w:tc>
          <w:tcPr>
            <w:tcW w:w="851"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位</w:t>
            </w:r>
          </w:p>
        </w:tc>
        <w:tc>
          <w:tcPr>
            <w:tcW w:w="850"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839" w:type="dxa"/>
            <w:vMerge w:val="continue"/>
            <w:vAlign w:val="center"/>
          </w:tcPr>
          <w:p>
            <w:pPr>
              <w:pStyle w:val="5"/>
              <w:jc w:val="center"/>
              <w:rPr>
                <w:color w:val="000000" w:themeColor="text1"/>
                <w14:textFill>
                  <w14:solidFill>
                    <w14:schemeClr w14:val="tx1"/>
                  </w14:solidFill>
                </w14:textFill>
              </w:rPr>
            </w:pP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摄像助理</w:t>
            </w:r>
          </w:p>
        </w:tc>
        <w:tc>
          <w:tcPr>
            <w:tcW w:w="851"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位</w:t>
            </w:r>
          </w:p>
        </w:tc>
        <w:tc>
          <w:tcPr>
            <w:tcW w:w="850"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839" w:type="dxa"/>
            <w:vMerge w:val="continue"/>
            <w:vAlign w:val="center"/>
          </w:tcPr>
          <w:p>
            <w:pPr>
              <w:pStyle w:val="5"/>
              <w:jc w:val="center"/>
              <w:rPr>
                <w:color w:val="000000" w:themeColor="text1"/>
                <w14:textFill>
                  <w14:solidFill>
                    <w14:schemeClr w14:val="tx1"/>
                  </w14:solidFill>
                </w14:textFill>
              </w:rPr>
            </w:pP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灯光师</w:t>
            </w:r>
          </w:p>
        </w:tc>
        <w:tc>
          <w:tcPr>
            <w:tcW w:w="851"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位</w:t>
            </w:r>
          </w:p>
        </w:tc>
        <w:tc>
          <w:tcPr>
            <w:tcW w:w="850" w:type="dxa"/>
            <w:vAlign w:val="center"/>
          </w:tcPr>
          <w:p>
            <w:pPr>
              <w:pStyle w:val="5"/>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839" w:type="dxa"/>
            <w:vMerge w:val="continue"/>
            <w:vAlign w:val="center"/>
          </w:tcPr>
          <w:p>
            <w:pPr>
              <w:pStyle w:val="5"/>
              <w:jc w:val="center"/>
              <w:rPr>
                <w:color w:val="000000" w:themeColor="text1"/>
                <w14:textFill>
                  <w14:solidFill>
                    <w14:schemeClr w14:val="tx1"/>
                  </w14:solidFill>
                </w14:textFill>
              </w:rPr>
            </w:pPr>
          </w:p>
        </w:tc>
        <w:tc>
          <w:tcPr>
            <w:tcW w:w="1701" w:type="dxa"/>
            <w:vAlign w:val="center"/>
          </w:tcPr>
          <w:p>
            <w:pPr>
              <w:pStyle w:val="5"/>
              <w:jc w:val="center"/>
              <w:rPr>
                <w:color w:val="000000" w:themeColor="text1"/>
                <w14:textFill>
                  <w14:solidFill>
                    <w14:schemeClr w14:val="tx1"/>
                  </w14:solidFill>
                </w14:textFill>
              </w:rPr>
            </w:pPr>
          </w:p>
        </w:tc>
        <w:tc>
          <w:tcPr>
            <w:tcW w:w="851" w:type="dxa"/>
            <w:vAlign w:val="center"/>
          </w:tcPr>
          <w:p>
            <w:pPr>
              <w:pStyle w:val="5"/>
              <w:jc w:val="center"/>
              <w:rPr>
                <w:color w:val="000000" w:themeColor="text1"/>
                <w14:textFill>
                  <w14:solidFill>
                    <w14:schemeClr w14:val="tx1"/>
                  </w14:solidFill>
                </w14:textFill>
              </w:rPr>
            </w:pPr>
          </w:p>
        </w:tc>
        <w:tc>
          <w:tcPr>
            <w:tcW w:w="850" w:type="dxa"/>
            <w:vAlign w:val="center"/>
          </w:tcPr>
          <w:p>
            <w:pPr>
              <w:pStyle w:val="5"/>
              <w:jc w:val="center"/>
              <w:rPr>
                <w:color w:val="000000" w:themeColor="text1"/>
                <w14:textFill>
                  <w14:solidFill>
                    <w14:schemeClr w14:val="tx1"/>
                  </w14:solidFill>
                </w14:textFill>
              </w:rPr>
            </w:pP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839" w:type="dxa"/>
            <w:vMerge w:val="continue"/>
            <w:vAlign w:val="center"/>
          </w:tcPr>
          <w:p>
            <w:pPr>
              <w:pStyle w:val="5"/>
              <w:jc w:val="center"/>
              <w:rPr>
                <w:color w:val="000000" w:themeColor="text1"/>
                <w14:textFill>
                  <w14:solidFill>
                    <w14:schemeClr w14:val="tx1"/>
                  </w14:solidFill>
                </w14:textFill>
              </w:rPr>
            </w:pPr>
          </w:p>
        </w:tc>
        <w:tc>
          <w:tcPr>
            <w:tcW w:w="1701" w:type="dxa"/>
            <w:vAlign w:val="center"/>
          </w:tcPr>
          <w:p>
            <w:pPr>
              <w:pStyle w:val="5"/>
              <w:jc w:val="center"/>
              <w:rPr>
                <w:color w:val="000000" w:themeColor="text1"/>
                <w14:textFill>
                  <w14:solidFill>
                    <w14:schemeClr w14:val="tx1"/>
                  </w14:solidFill>
                </w14:textFill>
              </w:rPr>
            </w:pPr>
          </w:p>
        </w:tc>
        <w:tc>
          <w:tcPr>
            <w:tcW w:w="851" w:type="dxa"/>
            <w:vAlign w:val="center"/>
          </w:tcPr>
          <w:p>
            <w:pPr>
              <w:pStyle w:val="5"/>
              <w:jc w:val="center"/>
              <w:rPr>
                <w:color w:val="000000" w:themeColor="text1"/>
                <w14:textFill>
                  <w14:solidFill>
                    <w14:schemeClr w14:val="tx1"/>
                  </w14:solidFill>
                </w14:textFill>
              </w:rPr>
            </w:pPr>
          </w:p>
        </w:tc>
        <w:tc>
          <w:tcPr>
            <w:tcW w:w="850" w:type="dxa"/>
            <w:vAlign w:val="center"/>
          </w:tcPr>
          <w:p>
            <w:pPr>
              <w:pStyle w:val="5"/>
              <w:jc w:val="center"/>
              <w:rPr>
                <w:color w:val="000000" w:themeColor="text1"/>
                <w14:textFill>
                  <w14:solidFill>
                    <w14:schemeClr w14:val="tx1"/>
                  </w14:solidFill>
                </w14:textFill>
              </w:rPr>
            </w:pP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839" w:type="dxa"/>
            <w:vMerge w:val="restart"/>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摄影器材</w:t>
            </w: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拍摄器材</w:t>
            </w:r>
          </w:p>
        </w:tc>
        <w:tc>
          <w:tcPr>
            <w:tcW w:w="85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85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Merge w:val="restart"/>
            <w:vAlign w:val="center"/>
          </w:tcPr>
          <w:p>
            <w:pPr>
              <w:pStyle w:val="5"/>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需包含摄影器材、镜头、脚架、延长线、转接环、滑轨、稳定器、小监视器、灯光设备的租赁。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839" w:type="dxa"/>
            <w:vMerge w:val="continue"/>
            <w:vAlign w:val="center"/>
          </w:tcPr>
          <w:p>
            <w:pPr>
              <w:pStyle w:val="5"/>
              <w:jc w:val="center"/>
              <w:rPr>
                <w:color w:val="000000" w:themeColor="text1"/>
                <w14:textFill>
                  <w14:solidFill>
                    <w14:schemeClr w14:val="tx1"/>
                  </w14:solidFill>
                </w14:textFill>
              </w:rPr>
            </w:pP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灯光器材</w:t>
            </w:r>
          </w:p>
        </w:tc>
        <w:tc>
          <w:tcPr>
            <w:tcW w:w="85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85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Merge w:val="continue"/>
            <w:vAlign w:val="center"/>
          </w:tcPr>
          <w:p>
            <w:pPr>
              <w:pStyle w:val="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839" w:type="dxa"/>
            <w:vMerge w:val="restart"/>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后期制作</w:t>
            </w: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剪辑</w:t>
            </w:r>
          </w:p>
        </w:tc>
        <w:tc>
          <w:tcPr>
            <w:tcW w:w="85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85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素材整理及剪辑。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839" w:type="dxa"/>
            <w:vMerge w:val="continue"/>
            <w:vAlign w:val="center"/>
          </w:tcPr>
          <w:p>
            <w:pPr>
              <w:pStyle w:val="5"/>
              <w:jc w:val="center"/>
              <w:rPr>
                <w:color w:val="000000" w:themeColor="text1"/>
                <w14:textFill>
                  <w14:solidFill>
                    <w14:schemeClr w14:val="tx1"/>
                  </w14:solidFill>
                </w14:textFill>
              </w:rPr>
            </w:pP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包装</w:t>
            </w:r>
          </w:p>
        </w:tc>
        <w:tc>
          <w:tcPr>
            <w:tcW w:w="85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85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包括字幕制作、效果包装。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p>
        </w:tc>
        <w:tc>
          <w:tcPr>
            <w:tcW w:w="839" w:type="dxa"/>
            <w:vMerge w:val="continue"/>
            <w:vAlign w:val="center"/>
          </w:tcPr>
          <w:p>
            <w:pPr>
              <w:pStyle w:val="5"/>
              <w:jc w:val="center"/>
              <w:rPr>
                <w:color w:val="000000" w:themeColor="text1"/>
                <w14:textFill>
                  <w14:solidFill>
                    <w14:schemeClr w14:val="tx1"/>
                  </w14:solidFill>
                </w14:textFill>
              </w:rPr>
            </w:pP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调色</w:t>
            </w:r>
          </w:p>
        </w:tc>
        <w:tc>
          <w:tcPr>
            <w:tcW w:w="85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85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视频调色。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p>
        </w:tc>
        <w:tc>
          <w:tcPr>
            <w:tcW w:w="839" w:type="dxa"/>
            <w:vMerge w:val="continue"/>
            <w:vAlign w:val="center"/>
          </w:tcPr>
          <w:p>
            <w:pPr>
              <w:pStyle w:val="5"/>
              <w:jc w:val="center"/>
              <w:rPr>
                <w:color w:val="000000" w:themeColor="text1"/>
                <w14:textFill>
                  <w14:solidFill>
                    <w14:schemeClr w14:val="tx1"/>
                  </w14:solidFill>
                </w14:textFill>
              </w:rPr>
            </w:pPr>
          </w:p>
        </w:tc>
        <w:tc>
          <w:tcPr>
            <w:tcW w:w="170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音乐编辑</w:t>
            </w:r>
          </w:p>
        </w:tc>
        <w:tc>
          <w:tcPr>
            <w:tcW w:w="851"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条</w:t>
            </w:r>
          </w:p>
        </w:tc>
        <w:tc>
          <w:tcPr>
            <w:tcW w:w="850" w:type="dxa"/>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134" w:type="dxa"/>
            <w:vAlign w:val="center"/>
          </w:tcPr>
          <w:p>
            <w:pPr>
              <w:pStyle w:val="5"/>
              <w:jc w:val="center"/>
              <w:rPr>
                <w:color w:val="000000" w:themeColor="text1"/>
                <w14:textFill>
                  <w14:solidFill>
                    <w14:schemeClr w14:val="tx1"/>
                  </w14:solidFill>
                </w14:textFill>
              </w:rPr>
            </w:pPr>
          </w:p>
        </w:tc>
        <w:tc>
          <w:tcPr>
            <w:tcW w:w="1276" w:type="dxa"/>
            <w:vAlign w:val="center"/>
          </w:tcPr>
          <w:p>
            <w:pPr>
              <w:pStyle w:val="5"/>
              <w:jc w:val="center"/>
              <w:rPr>
                <w:color w:val="000000" w:themeColor="text1"/>
                <w14:textFill>
                  <w14:solidFill>
                    <w14:schemeClr w14:val="tx1"/>
                  </w14:solidFill>
                </w14:textFill>
              </w:rPr>
            </w:pPr>
          </w:p>
        </w:tc>
        <w:tc>
          <w:tcPr>
            <w:tcW w:w="3097" w:type="dxa"/>
            <w:vAlign w:val="center"/>
          </w:tcPr>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版权音乐购买、配乐剪辑。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8" w:type="dxa"/>
            <w:gridSpan w:val="8"/>
            <w:vAlign w:val="center"/>
          </w:tcPr>
          <w:p>
            <w:pPr>
              <w:pStyle w:val="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以上合计人民币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元（含税价），税率为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%（按实际税率填报）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0438" w:type="dxa"/>
            <w:gridSpan w:val="8"/>
            <w:vAlign w:val="center"/>
          </w:tcPr>
          <w:p>
            <w:pPr>
              <w:pStyle w:val="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报价单位名称：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（填写后并加盖公章） </w:t>
            </w:r>
          </w:p>
          <w:p>
            <w:pPr>
              <w:pStyle w:val="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w:t>
            </w:r>
            <w:r>
              <w:rPr>
                <w:rFonts w:ascii="宋体" w:hAnsi="宋体" w:cs="宋体"/>
                <w:color w:val="000000" w:themeColor="text1"/>
                <w:sz w:val="24"/>
                <w14:textFill>
                  <w14:solidFill>
                    <w14:schemeClr w14:val="tx1"/>
                  </w14:solidFill>
                </w14:textFill>
              </w:rPr>
              <w:t xml:space="preserve">负责⼈： </w:t>
            </w:r>
          </w:p>
          <w:p>
            <w:pPr>
              <w:pStyle w:val="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联系</w:t>
            </w:r>
            <w:r>
              <w:rPr>
                <w:rFonts w:hint="eastAsia" w:ascii="宋体" w:hAnsi="宋体" w:cs="宋体"/>
                <w:color w:val="000000" w:themeColor="text1"/>
                <w:sz w:val="24"/>
                <w14:textFill>
                  <w14:solidFill>
                    <w14:schemeClr w14:val="tx1"/>
                  </w14:solidFill>
                </w14:textFill>
              </w:rPr>
              <w:t>方式</w:t>
            </w:r>
            <w:r>
              <w:rPr>
                <w:rFonts w:ascii="宋体" w:hAnsi="宋体" w:cs="宋体"/>
                <w:color w:val="000000" w:themeColor="text1"/>
                <w:sz w:val="24"/>
                <w14:textFill>
                  <w14:solidFill>
                    <w14:schemeClr w14:val="tx1"/>
                  </w14:solidFill>
                </w14:textFill>
              </w:rPr>
              <w:t xml:space="preserve"> ： </w:t>
            </w:r>
          </w:p>
          <w:p>
            <w:pPr>
              <w:pStyle w:val="5"/>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报价</w:t>
            </w:r>
            <w:r>
              <w:rPr>
                <w:rFonts w:hint="eastAsia" w:ascii="宋体" w:hAnsi="宋体" w:cs="宋体"/>
                <w:color w:val="000000" w:themeColor="text1"/>
                <w:sz w:val="24"/>
                <w14:textFill>
                  <w14:solidFill>
                    <w14:schemeClr w14:val="tx1"/>
                  </w14:solidFill>
                </w14:textFill>
              </w:rPr>
              <w:t>日期</w:t>
            </w:r>
            <w:r>
              <w:rPr>
                <w:rFonts w:ascii="宋体" w:hAnsi="宋体" w:cs="宋体"/>
                <w:color w:val="000000" w:themeColor="text1"/>
                <w:sz w:val="24"/>
                <w14:textFill>
                  <w14:solidFill>
                    <w14:schemeClr w14:val="tx1"/>
                  </w14:solidFill>
                </w14:textFill>
              </w:rPr>
              <w:t xml:space="preserve">：2025年 </w:t>
            </w:r>
            <w:r>
              <w:rPr>
                <w:rFonts w:hint="eastAsia" w:ascii="宋体" w:hAnsi="宋体" w:cs="宋体"/>
                <w:color w:val="000000" w:themeColor="text1"/>
                <w:sz w:val="24"/>
                <w14:textFill>
                  <w14:solidFill>
                    <w14:schemeClr w14:val="tx1"/>
                  </w14:solidFill>
                </w14:textFill>
              </w:rPr>
              <w:t xml:space="preserve"> 月</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0438" w:type="dxa"/>
            <w:gridSpan w:val="8"/>
            <w:vAlign w:val="center"/>
          </w:tcPr>
          <w:p>
            <w:pPr>
              <w:pStyle w:val="5"/>
              <w:numPr>
                <w:ilvl w:val="0"/>
                <w:numId w:val="1"/>
              </w:num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报价为</w:t>
            </w:r>
            <w:r>
              <w:rPr>
                <w:rFonts w:hint="eastAsia" w:ascii="宋体" w:hAnsi="宋体" w:cs="宋体"/>
                <w:color w:val="000000" w:themeColor="text1"/>
                <w:sz w:val="24"/>
                <w14:textFill>
                  <w14:solidFill>
                    <w14:schemeClr w14:val="tx1"/>
                  </w14:solidFill>
                </w14:textFill>
              </w:rPr>
              <w:t>含税</w:t>
            </w:r>
            <w:r>
              <w:rPr>
                <w:rFonts w:ascii="宋体" w:hAnsi="宋体" w:cs="宋体"/>
                <w:color w:val="000000" w:themeColor="text1"/>
                <w:sz w:val="24"/>
                <w14:textFill>
                  <w14:solidFill>
                    <w14:schemeClr w14:val="tx1"/>
                  </w14:solidFill>
                </w14:textFill>
              </w:rPr>
              <w:t>全包价，</w:t>
            </w:r>
            <w:r>
              <w:rPr>
                <w:rFonts w:hint="eastAsia" w:ascii="宋体" w:hAnsi="宋体" w:cs="宋体"/>
                <w:color w:val="000000" w:themeColor="text1"/>
                <w:sz w:val="24"/>
                <w14:textFill>
                  <w14:solidFill>
                    <w14:schemeClr w14:val="tx1"/>
                  </w14:solidFill>
                </w14:textFill>
              </w:rPr>
              <w:t>包括但不限于现场拍摄、后期制作、人工劳务、设备耗材、市内交通（城市大交通除外）等费用。</w:t>
            </w:r>
            <w:r>
              <w:rPr>
                <w:rFonts w:ascii="宋体" w:hAnsi="宋体" w:cs="宋体"/>
                <w:color w:val="000000" w:themeColor="text1"/>
                <w:sz w:val="24"/>
                <w14:textFill>
                  <w14:solidFill>
                    <w14:schemeClr w14:val="tx1"/>
                  </w14:solidFill>
                </w14:textFill>
              </w:rPr>
              <w:t xml:space="preserve"> </w:t>
            </w:r>
          </w:p>
          <w:p>
            <w:pPr>
              <w:pStyle w:val="5"/>
              <w:numPr>
                <w:ilvl w:val="0"/>
                <w:numId w:val="1"/>
              </w:num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视频</w:t>
            </w:r>
            <w:r>
              <w:rPr>
                <w:rFonts w:hint="eastAsia" w:ascii="宋体" w:hAnsi="宋体" w:cs="宋体"/>
                <w:color w:val="000000" w:themeColor="text1"/>
                <w:sz w:val="24"/>
                <w14:textFill>
                  <w14:solidFill>
                    <w14:schemeClr w14:val="tx1"/>
                  </w14:solidFill>
                </w14:textFill>
              </w:rPr>
              <w:t>成片</w:t>
            </w:r>
            <w:r>
              <w:rPr>
                <w:rFonts w:ascii="宋体" w:hAnsi="宋体" w:cs="宋体"/>
                <w:color w:val="000000" w:themeColor="text1"/>
                <w:sz w:val="24"/>
                <w14:textFill>
                  <w14:solidFill>
                    <w14:schemeClr w14:val="tx1"/>
                  </w14:solidFill>
                </w14:textFill>
              </w:rPr>
              <w:t>提交格式为 MP4 格式，视频分辨率为 1920×1080（HD），具体制作参数需根据</w:t>
            </w:r>
            <w:r>
              <w:rPr>
                <w:rFonts w:hint="eastAsia" w:ascii="宋体" w:hAnsi="宋体" w:cs="宋体"/>
                <w:color w:val="000000" w:themeColor="text1"/>
                <w:sz w:val="24"/>
                <w14:textFill>
                  <w14:solidFill>
                    <w14:schemeClr w14:val="tx1"/>
                  </w14:solidFill>
                </w14:textFill>
              </w:rPr>
              <w:t>甲方</w:t>
            </w:r>
            <w:r>
              <w:rPr>
                <w:rFonts w:ascii="宋体" w:hAnsi="宋体" w:cs="宋体"/>
                <w:color w:val="000000" w:themeColor="text1"/>
                <w:sz w:val="24"/>
                <w14:textFill>
                  <w14:solidFill>
                    <w14:schemeClr w14:val="tx1"/>
                  </w14:solidFill>
                </w14:textFill>
              </w:rPr>
              <w:t xml:space="preserve">实际需求可以轻微调整。 </w:t>
            </w:r>
          </w:p>
          <w:p>
            <w:pPr>
              <w:pStyle w:val="5"/>
              <w:numPr>
                <w:ilvl w:val="0"/>
                <w:numId w:val="1"/>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中文</w:t>
            </w:r>
            <w:r>
              <w:rPr>
                <w:rFonts w:ascii="宋体" w:hAnsi="宋体" w:cs="宋体"/>
                <w:color w:val="000000" w:themeColor="text1"/>
                <w:sz w:val="24"/>
                <w14:textFill>
                  <w14:solidFill>
                    <w14:schemeClr w14:val="tx1"/>
                  </w14:solidFill>
                </w14:textFill>
              </w:rPr>
              <w:t>字幕，提供</w:t>
            </w:r>
            <w:r>
              <w:rPr>
                <w:rFonts w:hint="eastAsia" w:ascii="宋体" w:hAnsi="宋体" w:cs="宋体"/>
                <w:color w:val="000000" w:themeColor="text1"/>
                <w:sz w:val="24"/>
                <w14:textFill>
                  <w14:solidFill>
                    <w14:schemeClr w14:val="tx1"/>
                  </w14:solidFill>
                </w14:textFill>
              </w:rPr>
              <w:t>中文</w:t>
            </w:r>
            <w:r>
              <w:rPr>
                <w:rFonts w:ascii="宋体" w:hAnsi="宋体" w:cs="宋体"/>
                <w:color w:val="000000" w:themeColor="text1"/>
                <w:sz w:val="24"/>
                <w14:textFill>
                  <w14:solidFill>
                    <w14:schemeClr w14:val="tx1"/>
                  </w14:solidFill>
                </w14:textFill>
              </w:rPr>
              <w:t>普通话</w:t>
            </w:r>
            <w:r>
              <w:rPr>
                <w:rFonts w:hint="eastAsia" w:ascii="宋体" w:hAnsi="宋体" w:cs="宋体"/>
                <w:color w:val="000000" w:themeColor="text1"/>
                <w:sz w:val="24"/>
                <w14:textFill>
                  <w14:solidFill>
                    <w14:schemeClr w14:val="tx1"/>
                  </w14:solidFill>
                </w14:textFill>
              </w:rPr>
              <w:t>配音</w:t>
            </w:r>
            <w:r>
              <w:rPr>
                <w:rFonts w:ascii="宋体" w:hAnsi="宋体" w:cs="宋体"/>
                <w:color w:val="000000" w:themeColor="text1"/>
                <w:sz w:val="24"/>
                <w14:textFill>
                  <w14:solidFill>
                    <w14:schemeClr w14:val="tx1"/>
                  </w14:solidFill>
                </w14:textFill>
              </w:rPr>
              <w:t xml:space="preserve">版。 </w:t>
            </w:r>
          </w:p>
          <w:p>
            <w:pPr>
              <w:pStyle w:val="5"/>
              <w:numPr>
                <w:ilvl w:val="0"/>
                <w:numId w:val="1"/>
              </w:num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质量标准：结构完整、制作精良</w:t>
            </w:r>
            <w:r>
              <w:rPr>
                <w:rFonts w:hint="eastAsia" w:ascii="宋体" w:hAnsi="宋体" w:cs="宋体"/>
                <w:color w:val="000000" w:themeColor="text1"/>
                <w:sz w:val="24"/>
                <w14:textFill>
                  <w14:solidFill>
                    <w14:schemeClr w14:val="tx1"/>
                  </w14:solidFill>
                </w14:textFill>
              </w:rPr>
              <w:t>、画面</w:t>
            </w:r>
            <w:r>
              <w:rPr>
                <w:rFonts w:ascii="宋体" w:hAnsi="宋体" w:cs="宋体"/>
                <w:color w:val="000000" w:themeColor="text1"/>
                <w:sz w:val="24"/>
                <w14:textFill>
                  <w14:solidFill>
                    <w14:schemeClr w14:val="tx1"/>
                  </w14:solidFill>
                </w14:textFill>
              </w:rPr>
              <w:t>清晰，衔接流畅、不得出现较明显差错和失误，</w:t>
            </w:r>
            <w:r>
              <w:rPr>
                <w:rFonts w:hint="eastAsia" w:ascii="宋体" w:hAnsi="宋体" w:cs="宋体"/>
                <w:color w:val="000000" w:themeColor="text1"/>
                <w:sz w:val="24"/>
                <w14:textFill>
                  <w14:solidFill>
                    <w14:schemeClr w14:val="tx1"/>
                  </w14:solidFill>
                </w14:textFill>
              </w:rPr>
              <w:t>画面</w:t>
            </w:r>
            <w:r>
              <w:rPr>
                <w:rFonts w:ascii="宋体" w:hAnsi="宋体" w:cs="宋体"/>
                <w:color w:val="000000" w:themeColor="text1"/>
                <w:sz w:val="24"/>
                <w14:textFill>
                  <w14:solidFill>
                    <w14:schemeClr w14:val="tx1"/>
                  </w14:solidFill>
                </w14:textFill>
              </w:rPr>
              <w:t>精美细腻、</w:t>
            </w:r>
            <w:r>
              <w:rPr>
                <w:rFonts w:hint="eastAsia" w:ascii="宋体" w:hAnsi="宋体" w:cs="宋体"/>
                <w:color w:val="000000" w:themeColor="text1"/>
                <w:sz w:val="24"/>
                <w14:textFill>
                  <w14:solidFill>
                    <w14:schemeClr w14:val="tx1"/>
                  </w14:solidFill>
                </w14:textFill>
              </w:rPr>
              <w:t>色彩</w:t>
            </w:r>
            <w:r>
              <w:rPr>
                <w:rFonts w:ascii="宋体" w:hAnsi="宋体" w:cs="宋体"/>
                <w:color w:val="000000" w:themeColor="text1"/>
                <w:sz w:val="24"/>
                <w14:textFill>
                  <w14:solidFill>
                    <w14:schemeClr w14:val="tx1"/>
                  </w14:solidFill>
                </w14:textFill>
              </w:rPr>
              <w:t>和过渡</w:t>
            </w:r>
            <w:r>
              <w:rPr>
                <w:rFonts w:hint="eastAsia" w:ascii="宋体" w:hAnsi="宋体" w:cs="宋体"/>
                <w:color w:val="000000" w:themeColor="text1"/>
                <w:sz w:val="24"/>
                <w14:textFill>
                  <w14:solidFill>
                    <w14:schemeClr w14:val="tx1"/>
                  </w14:solidFill>
                </w14:textFill>
              </w:rPr>
              <w:t>自</w:t>
            </w:r>
            <w:r>
              <w:rPr>
                <w:rFonts w:ascii="宋体" w:hAnsi="宋体" w:cs="宋体"/>
                <w:color w:val="000000" w:themeColor="text1"/>
                <w:sz w:val="24"/>
                <w14:textFill>
                  <w14:solidFill>
                    <w14:schemeClr w14:val="tx1"/>
                  </w14:solidFill>
                </w14:textFill>
              </w:rPr>
              <w:t>然、剪辑 得当、</w:t>
            </w:r>
            <w:r>
              <w:rPr>
                <w:rFonts w:hint="eastAsia" w:ascii="宋体" w:hAnsi="宋体" w:cs="宋体"/>
                <w:color w:val="000000" w:themeColor="text1"/>
                <w:sz w:val="24"/>
                <w14:textFill>
                  <w14:solidFill>
                    <w14:schemeClr w14:val="tx1"/>
                  </w14:solidFill>
                </w14:textFill>
              </w:rPr>
              <w:t>文案</w:t>
            </w:r>
            <w:r>
              <w:rPr>
                <w:rFonts w:ascii="宋体" w:hAnsi="宋体" w:cs="宋体"/>
                <w:color w:val="000000" w:themeColor="text1"/>
                <w:sz w:val="24"/>
                <w14:textFill>
                  <w14:solidFill>
                    <w14:schemeClr w14:val="tx1"/>
                  </w14:solidFill>
                </w14:textFill>
              </w:rPr>
              <w:t>优美、</w:t>
            </w:r>
            <w:r>
              <w:rPr>
                <w:rFonts w:hint="eastAsia" w:ascii="宋体" w:hAnsi="宋体" w:cs="宋体"/>
                <w:color w:val="000000" w:themeColor="text1"/>
                <w:sz w:val="24"/>
                <w14:textFill>
                  <w14:solidFill>
                    <w14:schemeClr w14:val="tx1"/>
                  </w14:solidFill>
                </w14:textFill>
              </w:rPr>
              <w:t>配音配乐</w:t>
            </w:r>
            <w:r>
              <w:rPr>
                <w:rFonts w:ascii="宋体" w:hAnsi="宋体" w:cs="宋体"/>
                <w:color w:val="000000" w:themeColor="text1"/>
                <w:sz w:val="24"/>
                <w14:textFill>
                  <w14:solidFill>
                    <w14:schemeClr w14:val="tx1"/>
                  </w14:solidFill>
                </w14:textFill>
              </w:rPr>
              <w:t>和</w:t>
            </w:r>
            <w:r>
              <w:rPr>
                <w:rFonts w:hint="eastAsia" w:ascii="宋体" w:hAnsi="宋体" w:cs="宋体"/>
                <w:color w:val="000000" w:themeColor="text1"/>
                <w:sz w:val="24"/>
                <w14:textFill>
                  <w14:solidFill>
                    <w14:schemeClr w14:val="tx1"/>
                  </w14:solidFill>
                </w14:textFill>
              </w:rPr>
              <w:t>音</w:t>
            </w:r>
            <w:r>
              <w:rPr>
                <w:rFonts w:ascii="宋体" w:hAnsi="宋体" w:cs="宋体"/>
                <w:color w:val="000000" w:themeColor="text1"/>
                <w:sz w:val="24"/>
                <w14:textFill>
                  <w14:solidFill>
                    <w14:schemeClr w14:val="tx1"/>
                  </w14:solidFill>
                </w14:textFill>
              </w:rPr>
              <w:t>效</w:t>
            </w:r>
            <w:r>
              <w:rPr>
                <w:rFonts w:hint="eastAsia" w:ascii="宋体" w:hAnsi="宋体" w:cs="宋体"/>
                <w:color w:val="000000" w:themeColor="text1"/>
                <w:sz w:val="24"/>
                <w14:textFill>
                  <w14:solidFill>
                    <w14:schemeClr w14:val="tx1"/>
                  </w14:solidFill>
                </w14:textFill>
              </w:rPr>
              <w:t>悦耳</w:t>
            </w:r>
            <w:r>
              <w:rPr>
                <w:rFonts w:ascii="宋体" w:hAnsi="宋体" w:cs="宋体"/>
                <w:color w:val="000000" w:themeColor="text1"/>
                <w:sz w:val="24"/>
                <w14:textFill>
                  <w14:solidFill>
                    <w14:schemeClr w14:val="tx1"/>
                  </w14:solidFill>
                </w14:textFill>
              </w:rPr>
              <w:t>、观影感受佳。</w:t>
            </w:r>
          </w:p>
          <w:p>
            <w:pPr>
              <w:pStyle w:val="5"/>
              <w:numPr>
                <w:ilvl w:val="0"/>
                <w:numId w:val="1"/>
              </w:num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制作过程中涉及相关历史素材的购买和征集，</w:t>
            </w:r>
            <w:r>
              <w:rPr>
                <w:rFonts w:hint="eastAsia" w:ascii="宋体" w:hAnsi="宋体" w:cs="宋体"/>
                <w:color w:val="000000" w:themeColor="text1"/>
                <w:sz w:val="24"/>
                <w14:textFill>
                  <w14:solidFill>
                    <w14:schemeClr w14:val="tx1"/>
                  </w14:solidFill>
                </w14:textFill>
              </w:rPr>
              <w:t>乙方自行</w:t>
            </w:r>
            <w:r>
              <w:rPr>
                <w:rFonts w:ascii="宋体" w:hAnsi="宋体" w:cs="宋体"/>
                <w:color w:val="000000" w:themeColor="text1"/>
                <w:sz w:val="24"/>
                <w14:textFill>
                  <w14:solidFill>
                    <w14:schemeClr w14:val="tx1"/>
                  </w14:solidFill>
                </w14:textFill>
              </w:rPr>
              <w:t>解决。</w:t>
            </w:r>
          </w:p>
          <w:p>
            <w:pPr>
              <w:pStyle w:val="5"/>
              <w:numPr>
                <w:ilvl w:val="0"/>
                <w:numId w:val="1"/>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拍摄器材及稳定器，需包含以下指定设备或同等级别设备的使用</w:t>
            </w:r>
          </w:p>
          <w:p>
            <w:pPr>
              <w:pStyle w:val="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摄影器材：RED Komodo-X 6K电影机 或 阿莱mini（2台以上）</w:t>
            </w:r>
          </w:p>
          <w:p>
            <w:pPr>
              <w:pStyle w:val="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电影镜头：Cooke电影镜头 25mm 32mm 50mm 75mm 100mm</w:t>
            </w:r>
          </w:p>
          <w:p>
            <w:pPr>
              <w:pStyle w:val="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航拍：大疆御3PROx</w:t>
            </w:r>
            <w:r>
              <w:rPr>
                <w:rFonts w:ascii="宋体" w:hAnsi="宋体" w:cs="宋体"/>
                <w:color w:val="000000" w:themeColor="text1"/>
                <w:sz w:val="24"/>
                <w14:textFill>
                  <w14:solidFill>
                    <w14:schemeClr w14:val="tx1"/>
                  </w14:solidFill>
                </w14:textFill>
              </w:rPr>
              <w:t xml:space="preserve"> </w:t>
            </w:r>
          </w:p>
          <w:p>
            <w:pPr>
              <w:pStyle w:val="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穿越机：大疆avata</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Apex5或 怪象3.5穿越机x1台 </w:t>
            </w:r>
          </w:p>
          <w:p>
            <w:pPr>
              <w:pStyle w:val="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稳定器：如影RONIN 2</w:t>
            </w:r>
          </w:p>
        </w:tc>
      </w:tr>
    </w:tbl>
    <w:p>
      <w:pPr>
        <w:pStyle w:val="14"/>
        <w:spacing w:line="360" w:lineRule="auto"/>
        <w:ind w:firstLine="0" w:firstLineChars="0"/>
        <w:rPr>
          <w:rFonts w:ascii="仿宋_GB2312" w:hAnsi="仿宋_GB2312" w:eastAsia="仿宋_GB2312" w:cs="仿宋_GB2312"/>
          <w:bCs/>
          <w:color w:val="000000" w:themeColor="text1"/>
          <w:sz w:val="28"/>
          <w:szCs w:val="28"/>
          <w14:textFill>
            <w14:solidFill>
              <w14:schemeClr w14:val="tx1"/>
            </w14:solidFill>
          </w14:textFill>
        </w:rPr>
      </w:pPr>
    </w:p>
    <w:p>
      <w:pPr>
        <w:spacing w:line="360" w:lineRule="auto"/>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4"/>
        <w:ind w:firstLine="643"/>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4"/>
        <w:ind w:firstLine="643"/>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4"/>
        <w:ind w:firstLine="643"/>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pStyle w:val="5"/>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spacing w:after="120" w:line="360" w:lineRule="atLeas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bookmarkStart w:id="2" w:name="_GoBack"/>
      <w:bookmarkEnd w:id="2"/>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报价承诺书</w:t>
      </w:r>
    </w:p>
    <w:p>
      <w:pPr>
        <w:pStyle w:val="9"/>
        <w:spacing w:before="200" w:after="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广东南方周末经营有限公司：</w:t>
      </w:r>
    </w:p>
    <w:p>
      <w:pPr>
        <w:pStyle w:val="9"/>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我方参与本项目采购活动，承诺做到：</w:t>
      </w:r>
    </w:p>
    <w:p>
      <w:pPr>
        <w:pStyle w:val="9"/>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1.我方已经详细地阅读了全部采购文件及其附件，已完全清晰理解采购文件的要求，不存在任何含糊不清和误解之处，同意放弃对这些文件所提出的异议和质疑的权利。</w:t>
      </w:r>
    </w:p>
    <w:p>
      <w:pPr>
        <w:pStyle w:val="9"/>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2.我方为本次报价所提交的所有证明其合格和资格的文件是真实的和正确的，并愿为其真实性和正确性承担法律责任。</w:t>
      </w:r>
    </w:p>
    <w:p>
      <w:pPr>
        <w:pStyle w:val="9"/>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3.我方为中华人民共和国境内的合法经营主体，具有独立的民事行为能力；我方具备履行合同所必需的设备和专业技术能力；我方有依法缴纳税收和社会保障资金的良好记录。</w:t>
      </w:r>
    </w:p>
    <w:p>
      <w:pPr>
        <w:pStyle w:val="9"/>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4.我方承诺不向第三方透露与本项目报价相关的所有信息。</w:t>
      </w:r>
    </w:p>
    <w:p>
      <w:pPr>
        <w:pStyle w:val="9"/>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5.我方承诺不存在财产被接管或冻结或破产清算状况，遵守国家有关的法律、法令和条例。</w:t>
      </w:r>
    </w:p>
    <w:p>
      <w:pPr>
        <w:pStyle w:val="9"/>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6.我方承诺未与单位负责人为同一人或者具有直接控股、管理关系的不同供应商同时参加本次采购活动。</w:t>
      </w:r>
    </w:p>
    <w:p>
      <w:pPr>
        <w:pStyle w:val="9"/>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7.我方承诺配合贵方要求及时签署合同，不分包、转包项目，为本项目开具增值税专用发票。</w:t>
      </w:r>
    </w:p>
    <w:p>
      <w:pPr>
        <w:ind w:firstLine="3780" w:firstLineChars="1350"/>
        <w:rPr>
          <w:rFonts w:ascii="仿宋" w:hAnsi="仿宋" w:eastAsia="仿宋" w:cs="仿宋"/>
          <w:color w:val="000000" w:themeColor="text1"/>
          <w:sz w:val="28"/>
          <w:szCs w:val="28"/>
          <w14:textFill>
            <w14:solidFill>
              <w14:schemeClr w14:val="tx1"/>
            </w14:solidFill>
          </w14:textFill>
        </w:rPr>
      </w:pPr>
    </w:p>
    <w:p>
      <w:pPr>
        <w:ind w:firstLine="3780" w:firstLineChars="1350"/>
        <w:rPr>
          <w:rFonts w:ascii="仿宋" w:hAnsi="仿宋" w:eastAsia="仿宋" w:cs="仿宋"/>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供应商名称：                        （加盖公章）</w:t>
      </w: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法定代表人或者其委托代理人：         （签字）</w:t>
      </w:r>
    </w:p>
    <w:p>
      <w:pPr>
        <w:topLinePunct/>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    年   月   日</w:t>
      </w:r>
    </w:p>
    <w:p>
      <w:pPr>
        <w:pStyle w:val="10"/>
        <w:tabs>
          <w:tab w:val="left" w:pos="588"/>
        </w:tabs>
        <w:snapToGrid w:val="0"/>
        <w:spacing w:before="120" w:after="120" w:line="440" w:lineRule="exact"/>
        <w:jc w:val="left"/>
        <w:rPr>
          <w:rFonts w:ascii="仿宋" w:hAnsi="仿宋" w:eastAsia="仿宋" w:cs="仿宋"/>
          <w:color w:val="000000" w:themeColor="text1"/>
          <w:sz w:val="28"/>
          <w:szCs w:val="28"/>
          <w14:textFill>
            <w14:solidFill>
              <w14:schemeClr w14:val="tx1"/>
            </w14:solidFill>
          </w14:textFill>
        </w:rPr>
      </w:pPr>
      <w:bookmarkStart w:id="0" w:name="_Toc1651923"/>
      <w:bookmarkStart w:id="1" w:name="_Toc54357675"/>
    </w:p>
    <w:bookmarkEnd w:id="0"/>
    <w:bookmarkEnd w:id="1"/>
    <w:p>
      <w:pPr>
        <w:pStyle w:val="4"/>
        <w:ind w:firstLine="0" w:firstLineChars="0"/>
        <w:rPr>
          <w:color w:val="000000" w:themeColor="text1"/>
          <w14:textFill>
            <w14:solidFill>
              <w14:schemeClr w14:val="tx1"/>
            </w14:solidFill>
          </w14:textFill>
        </w:rPr>
      </w:pPr>
    </w:p>
    <w:p>
      <w:pPr>
        <w:adjustRightInd w:val="0"/>
        <w:snapToGrid w:val="0"/>
        <w:spacing w:line="52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法人代表授权书</w:t>
      </w:r>
    </w:p>
    <w:p>
      <w:pPr>
        <w:adjustRightInd w:val="0"/>
        <w:snapToGrid w:val="0"/>
        <w:spacing w:line="520" w:lineRule="exact"/>
        <w:rPr>
          <w:rFonts w:ascii="仿宋_GB2312" w:hAnsi="仿宋_GB2312" w:eastAsia="仿宋_GB2312" w:cs="仿宋_GB2312"/>
          <w:b/>
          <w:color w:val="000000" w:themeColor="text1"/>
          <w:sz w:val="32"/>
          <w:szCs w:val="32"/>
          <w14:textFill>
            <w14:solidFill>
              <w14:schemeClr w14:val="tx1"/>
            </w14:solidFill>
          </w14:textFill>
        </w:rPr>
      </w:pPr>
    </w:p>
    <w:p>
      <w:pPr>
        <w:pStyle w:val="15"/>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兹授权【***先生/女士，身份证号码***，职务为我单位***】为我方委托代理人，全权代表我单位</w:t>
      </w:r>
      <w:r>
        <w:rPr>
          <w:rFonts w:hint="eastAsia" w:ascii="仿宋" w:hAnsi="仿宋" w:eastAsia="仿宋" w:cs="仿宋"/>
          <w:color w:val="000000" w:themeColor="text1"/>
          <w:sz w:val="28"/>
          <w:szCs w:val="28"/>
          <w14:textFill>
            <w14:solidFill>
              <w14:schemeClr w14:val="tx1"/>
            </w14:solidFill>
          </w14:textFill>
        </w:rPr>
        <w:t>办理【**项目】的一切事宜。</w:t>
      </w:r>
    </w:p>
    <w:p>
      <w:pPr>
        <w:pStyle w:val="15"/>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本授权书在项目全周期内有效</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其法律后果由我方承担，</w:t>
      </w:r>
      <w:r>
        <w:rPr>
          <w:rFonts w:hint="eastAsia" w:ascii="仿宋" w:hAnsi="仿宋" w:eastAsia="仿宋" w:cs="仿宋"/>
          <w:color w:val="000000" w:themeColor="text1"/>
          <w:sz w:val="28"/>
          <w:szCs w:val="28"/>
          <w14:textFill>
            <w14:solidFill>
              <w14:schemeClr w14:val="tx1"/>
            </w14:solidFill>
          </w14:textFill>
        </w:rPr>
        <w:t>自法定代表人签字之日起生效。</w:t>
      </w:r>
    </w:p>
    <w:p>
      <w:pPr>
        <w:pStyle w:val="15"/>
        <w:spacing w:line="360" w:lineRule="auto"/>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委托代理人无转委托权。</w:t>
      </w:r>
    </w:p>
    <w:p>
      <w:pPr>
        <w:adjustRightInd w:val="0"/>
        <w:snapToGrid w:val="0"/>
        <w:spacing w:line="520" w:lineRule="exact"/>
        <w:rPr>
          <w:rFonts w:ascii="仿宋_GB2312" w:hAnsi="仿宋_GB2312" w:eastAsia="仿宋_GB2312" w:cs="仿宋_GB2312"/>
          <w:b/>
          <w:color w:val="000000" w:themeColor="text1"/>
          <w:sz w:val="32"/>
          <w:szCs w:val="32"/>
          <w14:textFill>
            <w14:solidFill>
              <w14:schemeClr w14:val="tx1"/>
            </w14:solidFill>
          </w14:textFill>
        </w:rPr>
      </w:pP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授权单位名称（公章）</w:t>
      </w: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法定代表人签字：</w:t>
      </w: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授权代表人签字：</w:t>
      </w: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日期：</w:t>
      </w: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p>
    <w:p>
      <w:pPr>
        <w:adjustRightInd w:val="0"/>
        <w:snapToGrid w:val="0"/>
        <w:spacing w:line="520" w:lineRule="exac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附授权代表人身份证正反面复印件：</w:t>
      </w:r>
    </w:p>
    <w:p>
      <w:pPr>
        <w:pStyle w:val="4"/>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2665730</wp:posOffset>
            </wp:positionH>
            <wp:positionV relativeFrom="paragraph">
              <wp:posOffset>143510</wp:posOffset>
            </wp:positionV>
            <wp:extent cx="3314700" cy="2124075"/>
            <wp:effectExtent l="0" t="0" r="0" b="9525"/>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4"/>
                    <a:stretch>
                      <a:fillRect/>
                    </a:stretch>
                  </pic:blipFill>
                  <pic:spPr>
                    <a:xfrm>
                      <a:off x="0" y="0"/>
                      <a:ext cx="3314700" cy="2124075"/>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-668020</wp:posOffset>
            </wp:positionH>
            <wp:positionV relativeFrom="paragraph">
              <wp:posOffset>160655</wp:posOffset>
            </wp:positionV>
            <wp:extent cx="3314700" cy="2124075"/>
            <wp:effectExtent l="0" t="0" r="0" b="9525"/>
            <wp:wrapTopAndBottom/>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3314700" cy="2124075"/>
                    </a:xfrm>
                    <a:prstGeom prst="rect">
                      <a:avLst/>
                    </a:prstGeom>
                    <a:noFill/>
                    <a:ln>
                      <a:noFill/>
                    </a:ln>
                  </pic:spPr>
                </pic:pic>
              </a:graphicData>
            </a:graphic>
          </wp:anchor>
        </w:drawing>
      </w: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05CF"/>
    <w:multiLevelType w:val="singleLevel"/>
    <w:tmpl w:val="123705C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zkwZjQxYWY1NmFlMTZmZTkzYTc3NDI3OTI2MDAifQ=="/>
  </w:docVars>
  <w:rsids>
    <w:rsidRoot w:val="1F4D0597"/>
    <w:rsid w:val="00012524"/>
    <w:rsid w:val="00056FAD"/>
    <w:rsid w:val="00155844"/>
    <w:rsid w:val="002A2A82"/>
    <w:rsid w:val="00466646"/>
    <w:rsid w:val="00471EA8"/>
    <w:rsid w:val="00484F07"/>
    <w:rsid w:val="00A347EC"/>
    <w:rsid w:val="00A94676"/>
    <w:rsid w:val="00AB3EF8"/>
    <w:rsid w:val="00B84E94"/>
    <w:rsid w:val="00BE7533"/>
    <w:rsid w:val="00D776CF"/>
    <w:rsid w:val="00E72887"/>
    <w:rsid w:val="00E94AE3"/>
    <w:rsid w:val="00F35D07"/>
    <w:rsid w:val="02777BFD"/>
    <w:rsid w:val="041339B7"/>
    <w:rsid w:val="06B82CC6"/>
    <w:rsid w:val="09FF5812"/>
    <w:rsid w:val="0ADD4CBE"/>
    <w:rsid w:val="0E6174B2"/>
    <w:rsid w:val="12F85CAD"/>
    <w:rsid w:val="14CD2E60"/>
    <w:rsid w:val="181B7FF4"/>
    <w:rsid w:val="1BD75EBE"/>
    <w:rsid w:val="1ECD2DC0"/>
    <w:rsid w:val="1F4D0597"/>
    <w:rsid w:val="21222FD3"/>
    <w:rsid w:val="22DE117B"/>
    <w:rsid w:val="25092299"/>
    <w:rsid w:val="268166B9"/>
    <w:rsid w:val="26C0409D"/>
    <w:rsid w:val="29D66CD8"/>
    <w:rsid w:val="2A4673EC"/>
    <w:rsid w:val="32854EA9"/>
    <w:rsid w:val="32893FC8"/>
    <w:rsid w:val="33EF2F44"/>
    <w:rsid w:val="34EC20F0"/>
    <w:rsid w:val="356B3DA9"/>
    <w:rsid w:val="35EFFF0A"/>
    <w:rsid w:val="367C1490"/>
    <w:rsid w:val="38E73F35"/>
    <w:rsid w:val="392F3091"/>
    <w:rsid w:val="3DDF1873"/>
    <w:rsid w:val="3ECD735E"/>
    <w:rsid w:val="3F8BFD8D"/>
    <w:rsid w:val="3FFF2966"/>
    <w:rsid w:val="47580EE7"/>
    <w:rsid w:val="50587AD2"/>
    <w:rsid w:val="5060696B"/>
    <w:rsid w:val="512C73D2"/>
    <w:rsid w:val="52081BED"/>
    <w:rsid w:val="53B67427"/>
    <w:rsid w:val="565C42B5"/>
    <w:rsid w:val="56B952F1"/>
    <w:rsid w:val="5B9036BC"/>
    <w:rsid w:val="62782E37"/>
    <w:rsid w:val="646D3B32"/>
    <w:rsid w:val="66CDF66C"/>
    <w:rsid w:val="6BB3525B"/>
    <w:rsid w:val="6E357008"/>
    <w:rsid w:val="6E4C5E49"/>
    <w:rsid w:val="6F2A4BB2"/>
    <w:rsid w:val="71FF7043"/>
    <w:rsid w:val="73FC91BA"/>
    <w:rsid w:val="74DC038E"/>
    <w:rsid w:val="760D2525"/>
    <w:rsid w:val="77FE09B4"/>
    <w:rsid w:val="79C21681"/>
    <w:rsid w:val="79D754E9"/>
    <w:rsid w:val="7B292109"/>
    <w:rsid w:val="7B322072"/>
    <w:rsid w:val="7B5D9D92"/>
    <w:rsid w:val="7BFBB895"/>
    <w:rsid w:val="7CD831F7"/>
    <w:rsid w:val="7F5E9F7A"/>
    <w:rsid w:val="7FEC0642"/>
    <w:rsid w:val="7FFDC235"/>
    <w:rsid w:val="7FFF1E2A"/>
    <w:rsid w:val="8FFF2EEC"/>
    <w:rsid w:val="CDCC103F"/>
    <w:rsid w:val="EAFB9393"/>
    <w:rsid w:val="EEEF7BF4"/>
    <w:rsid w:val="EF6F154B"/>
    <w:rsid w:val="EFAC6F56"/>
    <w:rsid w:val="EFDD75EB"/>
    <w:rsid w:val="FD3B8CB5"/>
    <w:rsid w:val="FFBD2FC4"/>
    <w:rsid w:val="FFDDB414"/>
    <w:rsid w:val="FFED83FA"/>
    <w:rsid w:val="FFF3E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Body Text First Indent 21"/>
    <w:basedOn w:val="3"/>
    <w:next w:val="1"/>
    <w:qFormat/>
    <w:uiPriority w:val="0"/>
  </w:style>
  <w:style w:type="paragraph" w:customStyle="1" w:styleId="3">
    <w:name w:val="Body Text Indent1"/>
    <w:basedOn w:val="1"/>
    <w:qFormat/>
    <w:uiPriority w:val="0"/>
    <w:pPr>
      <w:autoSpaceDE w:val="0"/>
      <w:autoSpaceDN w:val="0"/>
      <w:spacing w:line="360" w:lineRule="auto"/>
      <w:ind w:firstLine="420" w:firstLineChars="200"/>
    </w:pPr>
    <w:rPr>
      <w:rFonts w:ascii="宋体" w:hAnsi="宋体"/>
      <w:szCs w:val="21"/>
    </w:rPr>
  </w:style>
  <w:style w:type="paragraph" w:styleId="4">
    <w:name w:val="Normal Indent"/>
    <w:basedOn w:val="1"/>
    <w:next w:val="1"/>
    <w:qFormat/>
    <w:uiPriority w:val="0"/>
    <w:pPr>
      <w:ind w:firstLine="420" w:firstLineChars="200"/>
    </w:pPr>
  </w:style>
  <w:style w:type="paragraph" w:styleId="5">
    <w:name w:val="Body Text"/>
    <w:basedOn w:val="1"/>
    <w:qFormat/>
    <w:uiPriority w:val="99"/>
    <w:pPr>
      <w:spacing w:after="120"/>
    </w:p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left" w:pos="567"/>
        <w:tab w:val="left" w:pos="709"/>
        <w:tab w:val="right" w:leader="dot" w:pos="8505"/>
      </w:tabs>
      <w:snapToGrid w:val="0"/>
      <w:spacing w:line="440" w:lineRule="exact"/>
      <w:jc w:val="left"/>
    </w:pPr>
    <w:rPr>
      <w:rFonts w:ascii="宋体" w:hAnsi="宋体"/>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List Paragraph1"/>
    <w:basedOn w:val="1"/>
    <w:qFormat/>
    <w:uiPriority w:val="99"/>
    <w:pPr>
      <w:ind w:firstLine="420" w:firstLineChars="200"/>
    </w:pPr>
  </w:style>
  <w:style w:type="paragraph" w:customStyle="1" w:styleId="15">
    <w:name w:val="1"/>
    <w:basedOn w:val="1"/>
    <w:next w:val="16"/>
    <w:qFormat/>
    <w:uiPriority w:val="0"/>
    <w:rPr>
      <w:rFonts w:ascii="宋体" w:hAnsi="Courier New"/>
      <w:szCs w:val="20"/>
    </w:rPr>
  </w:style>
  <w:style w:type="paragraph" w:customStyle="1" w:styleId="16">
    <w:name w:val="纯文本1"/>
    <w:basedOn w:val="1"/>
    <w:qFormat/>
    <w:uiPriority w:val="0"/>
    <w:rPr>
      <w:rFonts w:ascii="宋体" w:hAnsi="Courier New"/>
      <w:szCs w:val="22"/>
    </w:rPr>
  </w:style>
  <w:style w:type="character" w:customStyle="1" w:styleId="17">
    <w:name w:val="页眉 字符"/>
    <w:basedOn w:val="13"/>
    <w:link w:val="8"/>
    <w:qFormat/>
    <w:uiPriority w:val="0"/>
    <w:rPr>
      <w:rFonts w:ascii="Times New Roman" w:hAnsi="Times New Roman" w:eastAsia="宋体" w:cs="Times New Roman"/>
      <w:kern w:val="2"/>
      <w:sz w:val="18"/>
      <w:szCs w:val="18"/>
    </w:rPr>
  </w:style>
  <w:style w:type="character" w:customStyle="1" w:styleId="18">
    <w:name w:val="页脚 字符"/>
    <w:basedOn w:val="13"/>
    <w:link w:val="6"/>
    <w:qFormat/>
    <w:uiPriority w:val="0"/>
    <w:rPr>
      <w:rFonts w:ascii="Times New Roman" w:hAnsi="Times New Roman" w:eastAsia="宋体" w:cs="Times New Roman"/>
      <w:kern w:val="2"/>
      <w:sz w:val="18"/>
      <w:szCs w:val="18"/>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280</Words>
  <Characters>1597</Characters>
  <Lines>13</Lines>
  <Paragraphs>3</Paragraphs>
  <TotalTime>35</TotalTime>
  <ScaleCrop>false</ScaleCrop>
  <LinksUpToDate>false</LinksUpToDate>
  <CharactersWithSpaces>1874</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2023-07-28T02:13:00Z</dcterms:created>
  <dc:creator>刘洁娴</dc:creator>
  <cp:lastModifiedBy>曹晓瑾</cp:lastModifiedBy>
  <dcterms:modified xsi:type="dcterms:W3CDTF">2025-04-24T03:01:24Z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F80025F1E13840568036BACC7A0371AB</vt:lpwstr>
  </property>
</Properties>
</file>