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44"/>
          <w:szCs w:val="44"/>
          <w:highlight w:val="none"/>
          <w:shd w:val="clear" w:color="auto" w:fill="FFFFFF"/>
          <w:lang w:val="en-US" w:eastAsia="zh-CN"/>
        </w:rPr>
      </w:pPr>
      <w:r>
        <w:rPr>
          <w:rFonts w:hint="eastAsia" w:ascii="仿宋" w:hAnsi="仿宋" w:eastAsia="仿宋" w:cs="仿宋"/>
          <w:b/>
          <w:bCs/>
          <w:sz w:val="44"/>
          <w:szCs w:val="44"/>
          <w:highlight w:val="none"/>
          <w:shd w:val="clear" w:color="auto" w:fill="FFFFFF"/>
          <w:lang w:val="en-US" w:eastAsia="zh-CN"/>
        </w:rPr>
        <w:t>2025清远西牛麻竹笋尝鲜季活动执行服务</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bCs/>
          <w:sz w:val="44"/>
          <w:szCs w:val="44"/>
          <w:highlight w:val="none"/>
          <w:shd w:val="clear" w:color="auto" w:fill="FFFFFF"/>
          <w:lang w:val="en-US" w:eastAsia="zh-CN"/>
        </w:rPr>
      </w:pPr>
      <w:r>
        <w:rPr>
          <w:rFonts w:hint="eastAsia" w:ascii="仿宋" w:hAnsi="仿宋" w:eastAsia="仿宋" w:cs="仿宋"/>
          <w:b/>
          <w:bCs/>
          <w:sz w:val="44"/>
          <w:szCs w:val="44"/>
          <w:highlight w:val="none"/>
          <w:shd w:val="clear" w:color="auto" w:fill="FFFFFF"/>
          <w:lang w:val="en-US" w:eastAsia="zh-CN"/>
        </w:rPr>
        <w:t>项目</w:t>
      </w:r>
    </w:p>
    <w:p>
      <w:pPr>
        <w:spacing w:line="276" w:lineRule="auto"/>
        <w:jc w:val="center"/>
        <w:rPr>
          <w:rFonts w:hint="eastAsia" w:ascii="仿宋" w:hAnsi="仿宋" w:eastAsia="仿宋" w:cs="仿宋"/>
          <w:b/>
          <w:bCs/>
          <w:sz w:val="44"/>
          <w:szCs w:val="44"/>
          <w:highlight w:val="none"/>
          <w:shd w:val="clear" w:color="auto" w:fill="FFFFFF"/>
        </w:rPr>
      </w:pPr>
    </w:p>
    <w:p>
      <w:pPr>
        <w:pStyle w:val="7"/>
        <w:rPr>
          <w:rFonts w:hint="eastAsia" w:ascii="仿宋" w:hAnsi="仿宋" w:eastAsia="仿宋" w:cs="仿宋"/>
          <w:b/>
          <w:bCs/>
          <w:sz w:val="44"/>
          <w:szCs w:val="44"/>
          <w:highlight w:val="none"/>
          <w:shd w:val="clear" w:color="auto" w:fill="FFFFFF"/>
        </w:rPr>
      </w:pPr>
    </w:p>
    <w:p>
      <w:pPr>
        <w:pStyle w:val="7"/>
        <w:rPr>
          <w:rFonts w:hint="eastAsia"/>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pPr>
        <w:spacing w:line="480" w:lineRule="exact"/>
        <w:jc w:val="left"/>
        <w:rPr>
          <w:bCs/>
          <w:sz w:val="28"/>
          <w:szCs w:val="28"/>
          <w:highlight w:val="none"/>
        </w:rPr>
        <w:sectPr>
          <w:headerReference r:id="rId3" w:type="default"/>
          <w:footerReference r:id="rId4" w:type="default"/>
          <w:pgSz w:w="11906" w:h="16838"/>
          <w:pgMar w:top="1440" w:right="1486" w:bottom="1440" w:left="1800" w:header="851" w:footer="992" w:gutter="0"/>
          <w:pgNumType w:fmt="decimal"/>
          <w:cols w:space="425" w:num="1"/>
          <w:titlePg/>
          <w:docGrid w:type="lines" w:linePitch="312" w:charSpace="0"/>
        </w:sectPr>
      </w:pPr>
      <w:bookmarkStart w:id="0" w:name="_Toc1651923"/>
      <w:bookmarkStart w:id="1" w:name="_Toc54357675"/>
    </w:p>
    <w:bookmarkEnd w:id="0"/>
    <w:bookmarkEnd w:id="1"/>
    <w:p>
      <w:pPr>
        <w:pStyle w:val="13"/>
        <w:widowControl/>
        <w:spacing w:beforeAutospacing="0" w:afterAutospacing="0" w:line="480" w:lineRule="exact"/>
        <w:ind w:firstLine="560" w:firstLineChars="200"/>
        <w:jc w:val="both"/>
        <w:rPr>
          <w:rFonts w:hint="eastAsia" w:ascii="仿宋" w:hAnsi="仿宋" w:eastAsia="仿宋" w:cs="仿宋"/>
          <w:color w:val="000000"/>
          <w:sz w:val="28"/>
          <w:szCs w:val="28"/>
          <w:highlight w:val="none"/>
        </w:rPr>
      </w:pPr>
      <w:bookmarkStart w:id="5" w:name="_GoBack"/>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val="en-US" w:eastAsia="zh-CN"/>
        </w:rPr>
        <w:t>2025清远西牛麻竹笋尝鲜季活动执行服务项目</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pPr>
        <w:numPr>
          <w:ilvl w:val="0"/>
          <w:numId w:val="1"/>
        </w:numPr>
        <w:spacing w:after="200" w:line="400" w:lineRule="exact"/>
        <w:jc w:val="center"/>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报价表</w:t>
      </w:r>
    </w:p>
    <w:tbl>
      <w:tblPr>
        <w:tblStyle w:val="16"/>
        <w:tblW w:w="1062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5"/>
        <w:gridCol w:w="1721"/>
        <w:gridCol w:w="3685"/>
        <w:gridCol w:w="825"/>
        <w:gridCol w:w="1065"/>
        <w:gridCol w:w="1260"/>
        <w:gridCol w:w="1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序号</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项目类别</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具体内容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数量</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单位</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单价</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总价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调研用车</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行程路线暂定前往西牛镇、英红镇不同的麻竹笋加工企业及展示中心调研，提供38座中巴，配司机，含油费和过路费，服务时长不少于12小时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辆</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酒店门口主视觉背景</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桁架+黑底灯布</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35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平方米</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7"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3</w:t>
            </w:r>
          </w:p>
        </w:tc>
        <w:tc>
          <w:tcPr>
            <w:tcW w:w="17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主会场签到处</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签到处背景，桁架+黑底灯布</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30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平方米</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9"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4</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观众证件，8cm*12cmPYC硬卡，双面印刷，配挂绳，含嘉宾证、工作证、媒体证。</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400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5</w:t>
            </w:r>
          </w:p>
        </w:tc>
        <w:tc>
          <w:tcPr>
            <w:tcW w:w="17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周边氛围</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宣传展板，桁架+黑底灯布</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50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平方米</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6</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主会场竖幅，不少于11米</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条</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7</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会议指引：立屏0.8m*1.8m，箭头单独做背胶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8</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注水道旗5m高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9</w:t>
            </w:r>
          </w:p>
        </w:tc>
        <w:tc>
          <w:tcPr>
            <w:tcW w:w="17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启动仪式舞台设备</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led屏幕 P3高清屏，侧屏2个，斜坡屏1个，增加s3服务器+处理器（控制场地的主屏），含控屏师傅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45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平方米</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9"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10</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户外音响，单15音箱，配套麦克风、调音台，满足不少于300㎡规模使用，含音响技术人员。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11</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灯光设备，5米灯光架（包黑绒布）2组、1000w大功率切割灯4个、室外4米灯光架2个、4眼面光灯、老虎灯光控台，满足不少于300㎡规模使用，含灯光师</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7"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12</w:t>
            </w:r>
          </w:p>
        </w:tc>
        <w:tc>
          <w:tcPr>
            <w:tcW w:w="17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舞台搭建</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舞台加高扩展，钢木结构舞台，夹板找平，含地毯</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80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平方米</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13</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舞台台阶3m，两侧2级楼梯，木结构，含地毯</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14</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讲台</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演讲台，含KT包边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15</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启动道具</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启动道具（款式待定），不少于9人使用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16</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电子道具</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电子签约台（含系统），不少于8人使用，使用4次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台</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17</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授牌</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授牌牌匾（60cm*40cm），不锈钢哑光材质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18</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笋王争霸赛支票道具</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一二三等奖，支票道具（KT版，75cm*120cm）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9</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9"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19</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笋王争霸赛奖座</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暂定水晶+实木底材质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9</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20</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笋王争霸赛奖状</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参与奖奖状A4，含封面</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21</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笋王争霸赛奖金</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仿宋" w:hAnsi="仿宋" w:eastAsia="仿宋" w:cs="仿宋"/>
                <w:i w:val="0"/>
                <w:iCs w:val="0"/>
                <w:color w:val="auto"/>
                <w:kern w:val="0"/>
                <w:sz w:val="28"/>
                <w:szCs w:val="28"/>
                <w:u w:val="none"/>
                <w:lang w:val="en-US" w:eastAsia="zh-CN" w:bidi="ar"/>
              </w:rPr>
            </w:pPr>
            <w:r>
              <w:rPr>
                <w:rFonts w:hint="eastAsia" w:ascii="仿宋" w:hAnsi="仿宋" w:eastAsia="仿宋" w:cs="仿宋"/>
                <w:i w:val="0"/>
                <w:iCs w:val="0"/>
                <w:color w:val="auto"/>
                <w:kern w:val="0"/>
                <w:sz w:val="28"/>
                <w:szCs w:val="28"/>
                <w:u w:val="none"/>
                <w:lang w:val="en-US" w:eastAsia="zh-CN" w:bidi="ar"/>
              </w:rPr>
              <w:t>一等奖1万元，1个;</w:t>
            </w:r>
            <w:r>
              <w:rPr>
                <w:rFonts w:hint="eastAsia" w:ascii="仿宋" w:hAnsi="仿宋" w:eastAsia="仿宋" w:cs="仿宋"/>
                <w:i w:val="0"/>
                <w:iCs w:val="0"/>
                <w:color w:val="auto"/>
                <w:kern w:val="0"/>
                <w:sz w:val="28"/>
                <w:szCs w:val="28"/>
                <w:u w:val="none"/>
                <w:lang w:val="en-US" w:eastAsia="zh-CN" w:bidi="ar"/>
              </w:rPr>
              <w:br w:type="textWrapping"/>
            </w:r>
            <w:r>
              <w:rPr>
                <w:rFonts w:hint="eastAsia" w:ascii="仿宋" w:hAnsi="仿宋" w:eastAsia="仿宋" w:cs="仿宋"/>
                <w:i w:val="0"/>
                <w:iCs w:val="0"/>
                <w:color w:val="auto"/>
                <w:kern w:val="0"/>
                <w:sz w:val="28"/>
                <w:szCs w:val="28"/>
                <w:u w:val="none"/>
                <w:lang w:val="en-US" w:eastAsia="zh-CN" w:bidi="ar"/>
              </w:rPr>
              <w:t>二等奖5000元，2个;</w:t>
            </w:r>
            <w:r>
              <w:rPr>
                <w:rFonts w:hint="eastAsia" w:ascii="仿宋" w:hAnsi="仿宋" w:eastAsia="仿宋" w:cs="仿宋"/>
                <w:i w:val="0"/>
                <w:iCs w:val="0"/>
                <w:color w:val="auto"/>
                <w:kern w:val="0"/>
                <w:sz w:val="28"/>
                <w:szCs w:val="28"/>
                <w:u w:val="none"/>
                <w:lang w:val="en-US" w:eastAsia="zh-CN" w:bidi="ar"/>
              </w:rPr>
              <w:br w:type="textWrapping"/>
            </w:r>
            <w:r>
              <w:rPr>
                <w:rFonts w:hint="eastAsia" w:ascii="仿宋" w:hAnsi="仿宋" w:eastAsia="仿宋" w:cs="仿宋"/>
                <w:i w:val="0"/>
                <w:iCs w:val="0"/>
                <w:color w:val="auto"/>
                <w:kern w:val="0"/>
                <w:sz w:val="28"/>
                <w:szCs w:val="28"/>
                <w:u w:val="none"/>
                <w:lang w:val="en-US" w:eastAsia="zh-CN" w:bidi="ar"/>
              </w:rPr>
              <w:t>三等奖2000元，3个;</w:t>
            </w:r>
            <w:r>
              <w:rPr>
                <w:rFonts w:hint="eastAsia" w:ascii="仿宋" w:hAnsi="仿宋" w:eastAsia="仿宋" w:cs="仿宋"/>
                <w:i w:val="0"/>
                <w:iCs w:val="0"/>
                <w:color w:val="auto"/>
                <w:kern w:val="0"/>
                <w:sz w:val="28"/>
                <w:szCs w:val="28"/>
                <w:u w:val="none"/>
                <w:lang w:val="en-US" w:eastAsia="zh-CN" w:bidi="ar"/>
              </w:rPr>
              <w:br w:type="textWrapping"/>
            </w:r>
            <w:r>
              <w:rPr>
                <w:rFonts w:hint="eastAsia" w:ascii="仿宋" w:hAnsi="仿宋" w:eastAsia="仿宋" w:cs="仿宋"/>
                <w:i w:val="0"/>
                <w:iCs w:val="0"/>
                <w:color w:val="auto"/>
                <w:kern w:val="0"/>
                <w:sz w:val="28"/>
                <w:szCs w:val="28"/>
                <w:u w:val="none"/>
                <w:lang w:val="en-US" w:eastAsia="zh-CN" w:bidi="ar"/>
              </w:rPr>
              <w:t>参与奖200元，20个;</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以上奖金为税后金额</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22</w:t>
            </w:r>
          </w:p>
        </w:tc>
        <w:tc>
          <w:tcPr>
            <w:tcW w:w="17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嘉宾、观众席</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1.5m桌子，含桌布</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30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张</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23</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椅子，含椅套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350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张</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24</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观众席嘉宾台牌，8cm*10cm,亚克力台牌+彩色内页印刷</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60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25</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饮用水</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单箱24支装瓶装水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40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箱</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26</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麦牌</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8cm*6cm，麦克风盒</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27</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主持人手卡</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A5大小</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张</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7"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28</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主持人</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市级及以上主持人，含服饰、化妆、彩排+正式活动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名</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4"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29</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礼仪</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负责指引嘉宾就坐、上台等，含服饰、化妆、彩排+正式活动，人均限价不超过500元</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名</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30</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节目表演</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包含但不限于独唱、舞蹈节目，表演人次不少于8人，总表演时长不少于4分钟，含服饰、化妆、彩排+正式活动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4"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31</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粤菜师傅</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邀请一名省级粤菜师傅，讲解麻竹笋以及现场烹饪推介清远西牛麻竹笋一桌菜</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名</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32</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直播台</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4m*2m*0.6m，雷亚舞台板，含加厚地毯、直播设备、电脑、手机等</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79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33</w:t>
            </w:r>
          </w:p>
        </w:tc>
        <w:tc>
          <w:tcPr>
            <w:tcW w:w="17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纸巾</w:t>
            </w:r>
          </w:p>
        </w:tc>
        <w:tc>
          <w:tcPr>
            <w:tcW w:w="368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活动所需用纸，约30包抽纸、350张湿纸巾、350报纸巾</w:t>
            </w:r>
          </w:p>
        </w:tc>
        <w:tc>
          <w:tcPr>
            <w:tcW w:w="82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eastAsia="zh-CN"/>
              </w:rPr>
            </w:pPr>
            <w:r>
              <w:rPr>
                <w:rFonts w:hint="eastAsia" w:ascii="仿宋" w:hAnsi="仿宋" w:eastAsia="仿宋" w:cs="仿宋"/>
                <w:i w:val="0"/>
                <w:iCs w:val="0"/>
                <w:color w:val="auto"/>
                <w:sz w:val="28"/>
                <w:szCs w:val="28"/>
                <w:u w:val="none"/>
                <w:lang w:val="en-US" w:eastAsia="zh-CN"/>
              </w:rPr>
              <w:t>项</w:t>
            </w:r>
          </w:p>
        </w:tc>
        <w:tc>
          <w:tcPr>
            <w:tcW w:w="126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p>
        </w:tc>
        <w:tc>
          <w:tcPr>
            <w:tcW w:w="127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79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p>
        </w:tc>
        <w:tc>
          <w:tcPr>
            <w:tcW w:w="82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06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6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79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p>
        </w:tc>
        <w:tc>
          <w:tcPr>
            <w:tcW w:w="82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06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6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34</w:t>
            </w:r>
          </w:p>
        </w:tc>
        <w:tc>
          <w:tcPr>
            <w:tcW w:w="17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户外广场物料</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舞台背景：桁架+黑底灯布</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平方米</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35</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舞台地毯</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54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平方米</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36</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户外广场长条桌5张+贵宾椅10张租赁</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7"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37</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嘉宾台牌，8cm*10cm,亚克力台牌+彩色内页印刷</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eastAsia="zh-CN"/>
              </w:rPr>
            </w:pPr>
            <w:r>
              <w:rPr>
                <w:rFonts w:hint="eastAsia" w:ascii="仿宋" w:hAnsi="仿宋" w:eastAsia="仿宋" w:cs="仿宋"/>
                <w:i w:val="0"/>
                <w:iCs w:val="0"/>
                <w:color w:val="auto"/>
                <w:sz w:val="28"/>
                <w:szCs w:val="28"/>
                <w:u w:val="none"/>
                <w:lang w:val="en-US" w:eastAsia="zh-CN"/>
              </w:rPr>
              <w:t>38</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观众区，含5个帐篷、50张椅子</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eastAsia="zh-CN"/>
              </w:rPr>
            </w:pPr>
            <w:r>
              <w:rPr>
                <w:rFonts w:hint="eastAsia" w:ascii="仿宋" w:hAnsi="仿宋" w:eastAsia="仿宋" w:cs="仿宋"/>
                <w:i w:val="0"/>
                <w:iCs w:val="0"/>
                <w:color w:val="auto"/>
                <w:sz w:val="28"/>
                <w:szCs w:val="28"/>
                <w:u w:val="none"/>
                <w:lang w:val="en-US" w:eastAsia="zh-CN"/>
              </w:rPr>
              <w:t>39</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争霸赛主持人</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县级主持人，含服饰、化妆、彩排+正式活动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名</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eastAsia="zh-CN"/>
              </w:rPr>
            </w:pPr>
            <w:r>
              <w:rPr>
                <w:rFonts w:hint="eastAsia" w:ascii="仿宋" w:hAnsi="仿宋" w:eastAsia="仿宋" w:cs="仿宋"/>
                <w:i w:val="0"/>
                <w:iCs w:val="0"/>
                <w:color w:val="auto"/>
                <w:sz w:val="28"/>
                <w:szCs w:val="28"/>
                <w:u w:val="none"/>
                <w:lang w:val="en-US" w:eastAsia="zh-CN"/>
              </w:rPr>
              <w:t>40</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产品台牌</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产品台牌（6cm*9cm）+彩色打印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50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eastAsia="zh-CN"/>
              </w:rPr>
            </w:pPr>
            <w:r>
              <w:rPr>
                <w:rFonts w:hint="eastAsia" w:ascii="仿宋" w:hAnsi="仿宋" w:eastAsia="仿宋" w:cs="仿宋"/>
                <w:i w:val="0"/>
                <w:iCs w:val="0"/>
                <w:color w:val="auto"/>
                <w:sz w:val="28"/>
                <w:szCs w:val="28"/>
                <w:u w:val="none"/>
                <w:lang w:val="en-US" w:eastAsia="zh-CN"/>
              </w:rPr>
              <w:t>41</w:t>
            </w:r>
          </w:p>
        </w:tc>
        <w:tc>
          <w:tcPr>
            <w:tcW w:w="17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展览展示区</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企业展位（含kt画面），1.5m长*2m高，木结构制作+kt画面</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42</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20个展位垃圾桶，配套垃圾袋</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43</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展板长臂射灯</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44</w:t>
            </w:r>
          </w:p>
        </w:tc>
        <w:tc>
          <w:tcPr>
            <w:tcW w:w="17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品鉴区</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2桌4椅，含桌布</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45</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一次性碗筷，满足不少于300人使用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7"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46</w:t>
            </w:r>
          </w:p>
        </w:tc>
        <w:tc>
          <w:tcPr>
            <w:tcW w:w="17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打卡点</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打卡点造型，桁架包KT板装饰，300cm*100cm*300cm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47</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异形手持kt卡，约50cm*30cm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5"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eastAsia="zh-CN"/>
              </w:rPr>
            </w:pPr>
            <w:r>
              <w:rPr>
                <w:rFonts w:hint="eastAsia" w:ascii="仿宋" w:hAnsi="仿宋" w:eastAsia="仿宋" w:cs="仿宋"/>
                <w:i w:val="0"/>
                <w:iCs w:val="0"/>
                <w:color w:val="auto"/>
                <w:sz w:val="28"/>
                <w:szCs w:val="28"/>
                <w:u w:val="none"/>
                <w:lang w:val="en-US" w:eastAsia="zh-CN"/>
              </w:rPr>
              <w:t>48</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有奖互动</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以抽奖形式进行，奖品为笋产品和文创产品（包括但不限于定制钥匙扣、公仔），不少于200份，含抽奖道具</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eastAsia="zh-CN"/>
              </w:rPr>
            </w:pPr>
            <w:r>
              <w:rPr>
                <w:rFonts w:hint="eastAsia" w:ascii="仿宋" w:hAnsi="仿宋" w:eastAsia="仿宋" w:cs="仿宋"/>
                <w:i w:val="0"/>
                <w:iCs w:val="0"/>
                <w:color w:val="auto"/>
                <w:sz w:val="28"/>
                <w:szCs w:val="28"/>
                <w:u w:val="none"/>
                <w:lang w:val="en-US" w:eastAsia="zh-CN"/>
              </w:rPr>
              <w:t>49</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打印服务</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提供打印机、打印纸等，负责打印会议议程等会议资料</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9"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eastAsia="zh-CN"/>
              </w:rPr>
            </w:pPr>
            <w:r>
              <w:rPr>
                <w:rFonts w:hint="eastAsia" w:ascii="仿宋" w:hAnsi="仿宋" w:eastAsia="仿宋" w:cs="仿宋"/>
                <w:i w:val="0"/>
                <w:iCs w:val="0"/>
                <w:color w:val="auto"/>
                <w:sz w:val="28"/>
                <w:szCs w:val="28"/>
                <w:u w:val="none"/>
                <w:lang w:val="en-US" w:eastAsia="zh-CN"/>
              </w:rPr>
              <w:t>50</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工作人员</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工作人员，负责活动统筹、物料统筹、活动道具上下台、指引互动、维持秩序，服务为期1天，人均限价不超过550元</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人次</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51</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设计服务</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活动KV设计、3D展区设计、定制奖品、施工图及延展物料设计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3"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52</w:t>
            </w:r>
          </w:p>
        </w:tc>
        <w:tc>
          <w:tcPr>
            <w:tcW w:w="17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搭建和运输</w:t>
            </w: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主会场活动、户外广场笋王争霸赛人工搭建，含安装12人、撤场12人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7"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lang w:val="en-US"/>
              </w:rPr>
            </w:pPr>
            <w:r>
              <w:rPr>
                <w:rFonts w:hint="eastAsia" w:ascii="仿宋" w:hAnsi="仿宋" w:eastAsia="仿宋" w:cs="仿宋"/>
                <w:i w:val="0"/>
                <w:iCs w:val="0"/>
                <w:color w:val="auto"/>
                <w:kern w:val="0"/>
                <w:sz w:val="28"/>
                <w:szCs w:val="28"/>
                <w:u w:val="none"/>
                <w:lang w:val="en-US" w:eastAsia="zh-CN" w:bidi="ar"/>
              </w:rPr>
              <w:t>53</w:t>
            </w:r>
          </w:p>
        </w:tc>
        <w:tc>
          <w:tcPr>
            <w:tcW w:w="17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i w:val="0"/>
                <w:iCs w:val="0"/>
                <w:color w:val="auto"/>
                <w:sz w:val="28"/>
                <w:szCs w:val="28"/>
                <w:u w:val="none"/>
              </w:rPr>
            </w:pPr>
          </w:p>
        </w:tc>
        <w:tc>
          <w:tcPr>
            <w:tcW w:w="3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主会场活动、户外广场笋王争霸赛物料运输</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jc w:val="center"/>
        </w:trPr>
        <w:tc>
          <w:tcPr>
            <w:tcW w:w="935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auto"/>
                <w:sz w:val="28"/>
                <w:szCs w:val="28"/>
                <w:u w:val="none"/>
              </w:rPr>
            </w:pPr>
            <w:r>
              <w:rPr>
                <w:rFonts w:hint="eastAsia" w:ascii="仿宋" w:hAnsi="仿宋" w:eastAsia="仿宋" w:cs="仿宋"/>
                <w:i w:val="0"/>
                <w:iCs w:val="0"/>
                <w:color w:val="auto"/>
                <w:kern w:val="0"/>
                <w:sz w:val="28"/>
                <w:szCs w:val="28"/>
                <w:u w:val="none"/>
                <w:lang w:val="en-US" w:eastAsia="zh-CN" w:bidi="ar"/>
              </w:rPr>
              <w:t>合计</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仿宋" w:hAnsi="仿宋" w:eastAsia="仿宋" w:cs="仿宋"/>
                <w:i w:val="0"/>
                <w:iCs w:val="0"/>
                <w:color w:val="auto"/>
                <w:sz w:val="28"/>
                <w:szCs w:val="28"/>
                <w:u w:val="none"/>
              </w:rPr>
            </w:pPr>
          </w:p>
        </w:tc>
      </w:tr>
    </w:tbl>
    <w:p>
      <w:pPr>
        <w:pStyle w:val="12"/>
        <w:spacing w:line="570" w:lineRule="exact"/>
        <w:ind w:firstLine="562" w:firstLineChars="200"/>
        <w:jc w:val="left"/>
        <w:rPr>
          <w:rFonts w:hint="eastAsia" w:ascii="仿宋" w:hAnsi="仿宋" w:eastAsia="仿宋" w:cs="仿宋"/>
          <w:b/>
          <w:color w:val="000000"/>
          <w:kern w:val="0"/>
          <w:sz w:val="28"/>
          <w:szCs w:val="28"/>
          <w:highlight w:val="none"/>
        </w:rPr>
      </w:pPr>
    </w:p>
    <w:p>
      <w:pPr>
        <w:pStyle w:val="12"/>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pPr>
        <w:snapToGrid w:val="0"/>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w:t>
      </w:r>
      <w:bookmarkEnd w:id="5"/>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pPr>
        <w:spacing w:line="570" w:lineRule="exact"/>
        <w:jc w:val="left"/>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pPr>
        <w:spacing w:after="200" w:line="400" w:lineRule="exact"/>
        <w:jc w:val="center"/>
        <w:rPr>
          <w:rFonts w:hint="eastAsia" w:ascii="仿宋" w:hAnsi="仿宋" w:eastAsia="仿宋" w:cs="仿宋"/>
          <w:b/>
          <w:color w:val="000000"/>
          <w:sz w:val="28"/>
          <w:szCs w:val="28"/>
          <w:highlight w:val="none"/>
        </w:rPr>
        <w:sectPr>
          <w:footerReference r:id="rId5" w:type="default"/>
          <w:pgSz w:w="11906" w:h="16838"/>
          <w:pgMar w:top="1440" w:right="1800" w:bottom="1440" w:left="1800" w:header="851" w:footer="992" w:gutter="0"/>
          <w:pgNumType w:fmt="decimal" w:start="1"/>
          <w:cols w:space="720" w:num="1"/>
          <w:docGrid w:type="lines" w:linePitch="312" w:charSpace="0"/>
        </w:sectPr>
      </w:pPr>
      <w:bookmarkStart w:id="2" w:name="_Toc34146941"/>
      <w:bookmarkStart w:id="3" w:name="_Toc475472676"/>
      <w:bookmarkStart w:id="4" w:name="_Toc1651903"/>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3</w:t>
      </w:r>
      <w:r>
        <w:rPr>
          <w:rFonts w:hint="eastAsia" w:ascii="仿宋" w:hAnsi="仿宋" w:eastAsia="仿宋" w:cs="仿宋"/>
          <w:color w:val="000000"/>
          <w:sz w:val="28"/>
          <w:szCs w:val="28"/>
          <w:highlight w:val="none"/>
        </w:rPr>
        <w:t>、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4</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val="en-US" w:eastAsia="zh-CN"/>
        </w:rPr>
        <w:t>提供2022年以来同类业绩（活动搭建或执行）案例两项（附合同关键页）</w:t>
      </w:r>
      <w:r>
        <w:rPr>
          <w:rFonts w:hint="eastAsia" w:ascii="仿宋" w:hAnsi="仿宋" w:eastAsia="仿宋" w:cs="仿宋"/>
          <w:color w:val="000000"/>
          <w:sz w:val="28"/>
          <w:szCs w:val="28"/>
          <w:highlight w:val="none"/>
        </w:rPr>
        <w:t>。</w:t>
      </w:r>
    </w:p>
    <w:p>
      <w:pPr>
        <w:pStyle w:val="4"/>
        <w:rPr>
          <w:rFonts w:ascii="仿宋" w:hAnsi="仿宋" w:eastAsia="仿宋" w:cs="仿宋"/>
          <w:kern w:val="0"/>
          <w:sz w:val="28"/>
          <w:szCs w:val="28"/>
          <w:highlight w:val="none"/>
        </w:rPr>
      </w:pPr>
    </w:p>
    <w:bookmarkEnd w:id="2"/>
    <w:bookmarkEnd w:id="3"/>
    <w:bookmarkEnd w:id="4"/>
    <w:p>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w:t>
      </w:r>
      <w:r>
        <w:rPr>
          <w:rFonts w:hint="eastAsia" w:ascii="仿宋" w:hAnsi="仿宋" w:eastAsia="仿宋" w:cs="仿宋"/>
          <w:color w:val="000000"/>
          <w:kern w:val="2"/>
          <w:sz w:val="28"/>
          <w:szCs w:val="28"/>
          <w:highlight w:val="none"/>
          <w:lang w:val="en-US" w:eastAsia="zh-CN" w:bidi="ar-SA"/>
        </w:rPr>
        <w:t>资金</w:t>
      </w:r>
      <w:r>
        <w:rPr>
          <w:rFonts w:hint="eastAsia" w:ascii="仿宋" w:hAnsi="仿宋" w:eastAsia="仿宋" w:cs="仿宋"/>
          <w:bCs/>
          <w:color w:val="000000"/>
          <w:sz w:val="28"/>
          <w:szCs w:val="28"/>
          <w:highlight w:val="none"/>
        </w:rPr>
        <w:t>的良好记录。</w:t>
      </w: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pPr>
        <w:pStyle w:val="12"/>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pPr>
        <w:spacing w:after="200" w:line="276" w:lineRule="auto"/>
        <w:jc w:val="center"/>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四</w:t>
      </w:r>
      <w:r>
        <w:rPr>
          <w:rFonts w:hint="eastAsia" w:ascii="仿宋" w:hAnsi="仿宋" w:eastAsia="仿宋" w:cs="仿宋"/>
          <w:b/>
          <w:color w:val="000000"/>
          <w:sz w:val="28"/>
          <w:szCs w:val="28"/>
          <w:highlight w:val="none"/>
          <w:lang w:val="en-US" w:eastAsia="zh-CN"/>
        </w:rPr>
        <w:t>、</w:t>
      </w:r>
      <w:r>
        <w:rPr>
          <w:rFonts w:hint="eastAsia" w:ascii="仿宋" w:hAnsi="仿宋" w:eastAsia="仿宋" w:cs="仿宋"/>
          <w:b/>
          <w:color w:val="000000"/>
          <w:sz w:val="28"/>
          <w:szCs w:val="28"/>
          <w:highlight w:val="none"/>
        </w:rPr>
        <w:t>法定代表人证明书</w:t>
      </w:r>
    </w:p>
    <w:p>
      <w:pPr>
        <w:spacing w:line="276" w:lineRule="auto"/>
        <w:jc w:val="center"/>
        <w:rPr>
          <w:rFonts w:ascii="宋体" w:hAnsi="宋体" w:cs="宋体"/>
          <w:b/>
          <w:sz w:val="24"/>
          <w:highlight w:val="none"/>
        </w:rPr>
      </w:pPr>
    </w:p>
    <w:p>
      <w:pPr>
        <w:tabs>
          <w:tab w:val="left" w:pos="8364"/>
        </w:tabs>
        <w:snapToGrid w:val="0"/>
        <w:spacing w:line="360" w:lineRule="auto"/>
        <w:ind w:right="-58"/>
        <w:rPr>
          <w:rFonts w:ascii="宋体" w:hAnsi="宋体" w:cs="宋体"/>
          <w:sz w:val="24"/>
          <w:highlight w:val="none"/>
          <w:u w:val="single"/>
        </w:rPr>
      </w:pPr>
    </w:p>
    <w:p>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276" w:lineRule="auto"/>
        <w:jc w:val="center"/>
        <w:rPr>
          <w:rFonts w:hint="eastAsia" w:ascii="仿宋" w:hAnsi="仿宋" w:eastAsia="仿宋" w:cs="仿宋"/>
          <w:b/>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color w:val="000000"/>
          <w:sz w:val="28"/>
          <w:szCs w:val="28"/>
          <w:highlight w:val="none"/>
          <w:lang w:val="en-US" w:eastAsia="zh-CN"/>
        </w:rPr>
        <w:t>五</w:t>
      </w:r>
      <w:r>
        <w:rPr>
          <w:rFonts w:hint="eastAsia" w:ascii="仿宋" w:hAnsi="仿宋" w:eastAsia="仿宋" w:cs="仿宋"/>
          <w:b/>
          <w:color w:val="000000"/>
          <w:sz w:val="28"/>
          <w:szCs w:val="28"/>
          <w:highlight w:val="none"/>
          <w:lang w:val="en-GB"/>
        </w:rPr>
        <w:t>、</w:t>
      </w:r>
      <w:r>
        <w:rPr>
          <w:rFonts w:hint="eastAsia" w:ascii="仿宋" w:hAnsi="仿宋" w:eastAsia="仿宋" w:cs="仿宋"/>
          <w:b/>
          <w:color w:val="000000"/>
          <w:sz w:val="28"/>
          <w:szCs w:val="28"/>
          <w:highlight w:val="none"/>
        </w:rPr>
        <w:t>法定代表人</w:t>
      </w:r>
      <w:r>
        <w:rPr>
          <w:rFonts w:hint="eastAsia" w:ascii="仿宋" w:hAnsi="仿宋" w:eastAsia="仿宋" w:cs="仿宋"/>
          <w:b/>
          <w:color w:val="000000"/>
          <w:sz w:val="28"/>
          <w:szCs w:val="28"/>
          <w:highlight w:val="none"/>
          <w:lang w:val="en-GB"/>
        </w:rPr>
        <w:t>授权委托书</w:t>
      </w:r>
    </w:p>
    <w:p>
      <w:pPr>
        <w:pStyle w:val="13"/>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w:t>
      </w:r>
      <w:r>
        <w:rPr>
          <w:rFonts w:hint="eastAsia" w:ascii="仿宋" w:hAnsi="仿宋" w:eastAsia="仿宋" w:cs="仿宋"/>
          <w:bCs/>
          <w:color w:val="000000"/>
          <w:sz w:val="28"/>
          <w:szCs w:val="28"/>
          <w:highlight w:val="none"/>
          <w:lang w:val="en-US" w:eastAsia="zh-CN"/>
        </w:rPr>
        <w:t>2025清远西牛麻竹笋尝鲜季活动执行服务项目</w:t>
      </w:r>
      <w:r>
        <w:rPr>
          <w:rFonts w:hint="eastAsia" w:ascii="仿宋" w:hAnsi="仿宋" w:eastAsia="仿宋" w:cs="仿宋"/>
          <w:bCs/>
          <w:color w:val="000000"/>
          <w:sz w:val="28"/>
          <w:szCs w:val="28"/>
          <w:highlight w:val="none"/>
        </w:rPr>
        <w:t>】的【洽谈、签约、项目服务联络等】事宜。</w:t>
      </w:r>
    </w:p>
    <w:p>
      <w:pPr>
        <w:pStyle w:val="13"/>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pPr>
        <w:pStyle w:val="13"/>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pPr>
        <w:pStyle w:val="13"/>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pPr>
        <w:pStyle w:val="13"/>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pPr>
        <w:pStyle w:val="13"/>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13"/>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13"/>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pPr>
        <w:pStyle w:val="13"/>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13"/>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pPr>
        <w:pStyle w:val="13"/>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13"/>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tabs>
          <w:tab w:val="left" w:pos="917"/>
        </w:tabs>
        <w:spacing w:after="200" w:line="276" w:lineRule="auto"/>
        <w:jc w:val="left"/>
        <w:rPr>
          <w:rFonts w:hint="eastAsia" w:ascii="宋体" w:hAnsi="宋体" w:cs="宋体"/>
          <w:b/>
          <w:bCs/>
          <w:sz w:val="24"/>
          <w:highlight w:val="none"/>
        </w:rPr>
      </w:pPr>
      <w:r>
        <w:rPr>
          <w:rFonts w:hint="eastAsia" w:ascii="宋体" w:hAnsi="宋体" w:cs="宋体"/>
          <w:b/>
          <w:bCs/>
          <w:sz w:val="24"/>
          <w:highlight w:val="none"/>
        </w:rPr>
        <w:br w:type="page"/>
      </w:r>
    </w:p>
    <w:p>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pPr>
        <w:pStyle w:val="7"/>
        <w:rPr>
          <w:highlight w:val="none"/>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5"/>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pPr>
              <w:pStyle w:val="15"/>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pPr>
              <w:pStyle w:val="15"/>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pPr>
              <w:pStyle w:val="15"/>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5"/>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pPr>
              <w:pStyle w:val="15"/>
              <w:ind w:firstLine="0"/>
              <w:jc w:val="center"/>
              <w:rPr>
                <w:rFonts w:ascii="仿宋" w:hAnsi="仿宋" w:eastAsia="仿宋" w:cs="仿宋"/>
                <w:sz w:val="28"/>
                <w:szCs w:val="28"/>
                <w:highlight w:val="none"/>
              </w:rPr>
            </w:pPr>
          </w:p>
        </w:tc>
        <w:tc>
          <w:tcPr>
            <w:tcW w:w="2200" w:type="dxa"/>
          </w:tcPr>
          <w:p>
            <w:pPr>
              <w:pStyle w:val="15"/>
              <w:ind w:firstLine="0"/>
              <w:jc w:val="center"/>
              <w:rPr>
                <w:rFonts w:ascii="仿宋" w:hAnsi="仿宋" w:eastAsia="仿宋" w:cs="仿宋"/>
                <w:sz w:val="28"/>
                <w:szCs w:val="28"/>
                <w:highlight w:val="none"/>
              </w:rPr>
            </w:pPr>
          </w:p>
        </w:tc>
        <w:tc>
          <w:tcPr>
            <w:tcW w:w="3350" w:type="dxa"/>
          </w:tcPr>
          <w:p>
            <w:pPr>
              <w:pStyle w:val="15"/>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5"/>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pPr>
              <w:pStyle w:val="15"/>
              <w:ind w:firstLine="0"/>
              <w:jc w:val="center"/>
              <w:rPr>
                <w:rFonts w:ascii="仿宋" w:hAnsi="仿宋" w:eastAsia="仿宋" w:cs="仿宋"/>
                <w:sz w:val="28"/>
                <w:szCs w:val="28"/>
                <w:highlight w:val="none"/>
              </w:rPr>
            </w:pPr>
          </w:p>
        </w:tc>
        <w:tc>
          <w:tcPr>
            <w:tcW w:w="2200" w:type="dxa"/>
          </w:tcPr>
          <w:p>
            <w:pPr>
              <w:pStyle w:val="15"/>
              <w:ind w:firstLine="0"/>
              <w:jc w:val="center"/>
              <w:rPr>
                <w:rFonts w:ascii="仿宋" w:hAnsi="仿宋" w:eastAsia="仿宋" w:cs="仿宋"/>
                <w:sz w:val="28"/>
                <w:szCs w:val="28"/>
                <w:highlight w:val="none"/>
              </w:rPr>
            </w:pPr>
          </w:p>
        </w:tc>
        <w:tc>
          <w:tcPr>
            <w:tcW w:w="3350" w:type="dxa"/>
          </w:tcPr>
          <w:p>
            <w:pPr>
              <w:pStyle w:val="15"/>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5"/>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pPr>
              <w:pStyle w:val="15"/>
              <w:ind w:firstLine="0"/>
              <w:jc w:val="center"/>
              <w:rPr>
                <w:rFonts w:ascii="仿宋" w:hAnsi="仿宋" w:eastAsia="仿宋" w:cs="仿宋"/>
                <w:sz w:val="28"/>
                <w:szCs w:val="28"/>
                <w:highlight w:val="none"/>
              </w:rPr>
            </w:pPr>
          </w:p>
        </w:tc>
        <w:tc>
          <w:tcPr>
            <w:tcW w:w="2200" w:type="dxa"/>
          </w:tcPr>
          <w:p>
            <w:pPr>
              <w:pStyle w:val="15"/>
              <w:ind w:firstLine="0"/>
              <w:jc w:val="center"/>
              <w:rPr>
                <w:rFonts w:ascii="仿宋" w:hAnsi="仿宋" w:eastAsia="仿宋" w:cs="仿宋"/>
                <w:sz w:val="28"/>
                <w:szCs w:val="28"/>
                <w:highlight w:val="none"/>
              </w:rPr>
            </w:pPr>
          </w:p>
        </w:tc>
        <w:tc>
          <w:tcPr>
            <w:tcW w:w="3350" w:type="dxa"/>
          </w:tcPr>
          <w:p>
            <w:pPr>
              <w:pStyle w:val="15"/>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5"/>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pPr>
              <w:pStyle w:val="15"/>
              <w:ind w:firstLine="0"/>
              <w:jc w:val="center"/>
              <w:rPr>
                <w:rFonts w:ascii="仿宋" w:hAnsi="仿宋" w:eastAsia="仿宋" w:cs="仿宋"/>
                <w:sz w:val="28"/>
                <w:szCs w:val="28"/>
                <w:highlight w:val="none"/>
              </w:rPr>
            </w:pPr>
          </w:p>
        </w:tc>
        <w:tc>
          <w:tcPr>
            <w:tcW w:w="2200" w:type="dxa"/>
          </w:tcPr>
          <w:p>
            <w:pPr>
              <w:pStyle w:val="15"/>
              <w:ind w:firstLine="0"/>
              <w:jc w:val="center"/>
              <w:rPr>
                <w:rFonts w:ascii="仿宋" w:hAnsi="仿宋" w:eastAsia="仿宋" w:cs="仿宋"/>
                <w:sz w:val="28"/>
                <w:szCs w:val="28"/>
                <w:highlight w:val="none"/>
              </w:rPr>
            </w:pPr>
          </w:p>
        </w:tc>
        <w:tc>
          <w:tcPr>
            <w:tcW w:w="3350" w:type="dxa"/>
          </w:tcPr>
          <w:p>
            <w:pPr>
              <w:pStyle w:val="15"/>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5"/>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pPr>
              <w:pStyle w:val="15"/>
              <w:ind w:firstLine="0"/>
              <w:jc w:val="center"/>
              <w:rPr>
                <w:rFonts w:ascii="仿宋" w:hAnsi="仿宋" w:eastAsia="仿宋" w:cs="仿宋"/>
                <w:sz w:val="28"/>
                <w:szCs w:val="28"/>
                <w:highlight w:val="none"/>
              </w:rPr>
            </w:pPr>
          </w:p>
        </w:tc>
        <w:tc>
          <w:tcPr>
            <w:tcW w:w="2200" w:type="dxa"/>
          </w:tcPr>
          <w:p>
            <w:pPr>
              <w:pStyle w:val="15"/>
              <w:ind w:firstLine="0"/>
              <w:jc w:val="center"/>
              <w:rPr>
                <w:rFonts w:ascii="仿宋" w:hAnsi="仿宋" w:eastAsia="仿宋" w:cs="仿宋"/>
                <w:sz w:val="28"/>
                <w:szCs w:val="28"/>
                <w:highlight w:val="none"/>
              </w:rPr>
            </w:pPr>
          </w:p>
        </w:tc>
        <w:tc>
          <w:tcPr>
            <w:tcW w:w="3350" w:type="dxa"/>
          </w:tcPr>
          <w:p>
            <w:pPr>
              <w:pStyle w:val="15"/>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5"/>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pPr>
              <w:pStyle w:val="15"/>
              <w:ind w:firstLine="0"/>
              <w:jc w:val="center"/>
              <w:rPr>
                <w:rFonts w:ascii="仿宋" w:hAnsi="仿宋" w:eastAsia="仿宋" w:cs="仿宋"/>
                <w:sz w:val="28"/>
                <w:szCs w:val="28"/>
                <w:highlight w:val="none"/>
              </w:rPr>
            </w:pPr>
          </w:p>
        </w:tc>
        <w:tc>
          <w:tcPr>
            <w:tcW w:w="2200" w:type="dxa"/>
          </w:tcPr>
          <w:p>
            <w:pPr>
              <w:pStyle w:val="15"/>
              <w:ind w:firstLine="0"/>
              <w:jc w:val="center"/>
              <w:rPr>
                <w:rFonts w:ascii="仿宋" w:hAnsi="仿宋" w:eastAsia="仿宋" w:cs="仿宋"/>
                <w:sz w:val="28"/>
                <w:szCs w:val="28"/>
                <w:highlight w:val="none"/>
              </w:rPr>
            </w:pPr>
          </w:p>
        </w:tc>
        <w:tc>
          <w:tcPr>
            <w:tcW w:w="3350" w:type="dxa"/>
          </w:tcPr>
          <w:p>
            <w:pPr>
              <w:pStyle w:val="15"/>
              <w:ind w:firstLine="0"/>
              <w:jc w:val="center"/>
              <w:rPr>
                <w:rFonts w:ascii="仿宋" w:hAnsi="仿宋" w:eastAsia="仿宋" w:cs="仿宋"/>
                <w:sz w:val="28"/>
                <w:szCs w:val="28"/>
                <w:highlight w:val="none"/>
              </w:rPr>
            </w:pPr>
          </w:p>
        </w:tc>
      </w:tr>
    </w:tbl>
    <w:p>
      <w:pPr>
        <w:pStyle w:val="14"/>
        <w:spacing w:after="200" w:line="276" w:lineRule="auto"/>
        <w:ind w:firstLine="0" w:firstLineChars="0"/>
        <w:jc w:val="left"/>
        <w:rPr>
          <w:rFonts w:ascii="仿宋" w:hAnsi="仿宋" w:eastAsia="仿宋" w:cs="仿宋"/>
          <w:b/>
          <w:kern w:val="0"/>
          <w:sz w:val="28"/>
          <w:szCs w:val="28"/>
          <w:highlight w:val="none"/>
        </w:rPr>
      </w:pPr>
    </w:p>
    <w:p>
      <w:pPr>
        <w:pStyle w:val="14"/>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r>
        <w:rPr>
          <w:rFonts w:hint="eastAsia" w:ascii="仿宋" w:hAnsi="仿宋" w:eastAsia="仿宋" w:cs="仿宋"/>
          <w:b/>
          <w:kern w:val="0"/>
          <w:sz w:val="28"/>
          <w:szCs w:val="28"/>
          <w:highlight w:val="none"/>
          <w:lang w:eastAsia="zh-CN"/>
        </w:rPr>
        <w:t>】</w:t>
      </w:r>
    </w:p>
    <w:p>
      <w:pPr>
        <w:pStyle w:val="14"/>
        <w:spacing w:after="0"/>
        <w:ind w:firstLine="0" w:firstLineChars="0"/>
        <w:jc w:val="center"/>
        <w:rPr>
          <w:rFonts w:hint="eastAsia" w:ascii="仿宋" w:hAnsi="仿宋" w:eastAsia="仿宋" w:cs="仿宋"/>
          <w:b/>
          <w:bCs/>
          <w:sz w:val="28"/>
          <w:szCs w:val="28"/>
          <w:highlight w:val="none"/>
        </w:rPr>
        <w:sectPr>
          <w:pgSz w:w="11906" w:h="16838"/>
          <w:pgMar w:top="1440" w:right="1800" w:bottom="1440" w:left="1800" w:header="851" w:footer="992" w:gutter="0"/>
          <w:pgNumType w:fmt="decimal"/>
          <w:cols w:space="425" w:num="1"/>
          <w:docGrid w:type="lines" w:linePitch="312" w:charSpace="0"/>
        </w:sectPr>
      </w:pPr>
    </w:p>
    <w:p>
      <w:pPr>
        <w:pStyle w:val="14"/>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w:t>
      </w:r>
      <w:r>
        <w:rPr>
          <w:rFonts w:hint="eastAsia" w:ascii="仿宋" w:hAnsi="仿宋" w:eastAsia="仿宋" w:cs="仿宋"/>
          <w:bCs/>
          <w:kern w:val="0"/>
          <w:sz w:val="28"/>
          <w:szCs w:val="28"/>
          <w:highlight w:val="none"/>
          <w:lang w:eastAsia="zh-CN"/>
        </w:rPr>
        <w:t>，</w:t>
      </w:r>
      <w:r>
        <w:rPr>
          <w:rFonts w:hint="eastAsia" w:ascii="仿宋" w:hAnsi="仿宋" w:eastAsia="仿宋" w:cs="仿宋"/>
          <w:bCs/>
          <w:kern w:val="0"/>
          <w:sz w:val="28"/>
          <w:szCs w:val="28"/>
          <w:highlight w:val="none"/>
          <w:lang w:val="en-US" w:eastAsia="zh-CN"/>
        </w:rPr>
        <w:t>格式自拟</w:t>
      </w:r>
      <w:r>
        <w:rPr>
          <w:rFonts w:hint="eastAsia" w:ascii="仿宋" w:hAnsi="仿宋" w:eastAsia="仿宋" w:cs="仿宋"/>
          <w:bCs/>
          <w:kern w:val="0"/>
          <w:sz w:val="28"/>
          <w:szCs w:val="28"/>
          <w:highlight w:val="none"/>
        </w:rPr>
        <w:t>）</w:t>
      </w:r>
    </w:p>
    <w:p>
      <w:pPr>
        <w:pStyle w:val="6"/>
        <w:rPr>
          <w:rFonts w:hint="eastAsia"/>
          <w:lang w:val="en-US" w:eastAsia="zh-CN"/>
        </w:rPr>
        <w:sectPr>
          <w:pgSz w:w="11906" w:h="16838"/>
          <w:pgMar w:top="1440" w:right="1800" w:bottom="1440" w:left="1800" w:header="851" w:footer="992" w:gutter="0"/>
          <w:pgNumType w:fmt="decimal"/>
          <w:cols w:space="425" w:num="1"/>
          <w:docGrid w:type="lines" w:linePitch="312" w:charSpace="0"/>
        </w:sectPr>
      </w:pPr>
    </w:p>
    <w:p>
      <w:pPr>
        <w:pStyle w:val="14"/>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九、报价人认为需要补充的其他资料</w:t>
      </w:r>
    </w:p>
    <w:p>
      <w:pPr>
        <w:rPr>
          <w:rFonts w:hint="eastAsia"/>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heme="minorEastAsia" w:hAnsiTheme="minorEastAsia"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7D29EE"/>
    <w:multiLevelType w:val="singleLevel"/>
    <w:tmpl w:val="357D29E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 w:name="KSO_WPS_MARK_KEY" w:val="bb9682b2-9e9a-4f79-8ae2-b36a7f3673af"/>
  </w:docVars>
  <w:rsids>
    <w:rsidRoot w:val="00172A27"/>
    <w:rsid w:val="00B514E9"/>
    <w:rsid w:val="014D325C"/>
    <w:rsid w:val="02AB4C3E"/>
    <w:rsid w:val="057E6B02"/>
    <w:rsid w:val="06B96089"/>
    <w:rsid w:val="07DB2536"/>
    <w:rsid w:val="0F8A2F0C"/>
    <w:rsid w:val="12D70244"/>
    <w:rsid w:val="1C676ADD"/>
    <w:rsid w:val="1FAC6014"/>
    <w:rsid w:val="2D7C088F"/>
    <w:rsid w:val="2F92180C"/>
    <w:rsid w:val="31C64990"/>
    <w:rsid w:val="338D6E29"/>
    <w:rsid w:val="364B6993"/>
    <w:rsid w:val="394E537D"/>
    <w:rsid w:val="3CB83652"/>
    <w:rsid w:val="3F391D4B"/>
    <w:rsid w:val="427F7E2D"/>
    <w:rsid w:val="43030A5E"/>
    <w:rsid w:val="449328CD"/>
    <w:rsid w:val="47697B58"/>
    <w:rsid w:val="4C132817"/>
    <w:rsid w:val="4E9F0761"/>
    <w:rsid w:val="4EEE4370"/>
    <w:rsid w:val="517D4052"/>
    <w:rsid w:val="557B22A8"/>
    <w:rsid w:val="55C817C9"/>
    <w:rsid w:val="57B40D6A"/>
    <w:rsid w:val="59287FF3"/>
    <w:rsid w:val="59F878CF"/>
    <w:rsid w:val="5F0517A2"/>
    <w:rsid w:val="62194CB0"/>
    <w:rsid w:val="68CD5437"/>
    <w:rsid w:val="6F7F2737"/>
    <w:rsid w:val="70447E3C"/>
    <w:rsid w:val="72F559FA"/>
    <w:rsid w:val="74103D21"/>
    <w:rsid w:val="74A23B6A"/>
    <w:rsid w:val="760B6407"/>
    <w:rsid w:val="76BC1447"/>
    <w:rsid w:val="7C537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b/>
      <w:bCs/>
      <w:sz w:val="32"/>
      <w:szCs w:val="32"/>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rPr>
      <w:rFonts w:ascii="宋体" w:hAnsi="宋体" w:cs="宋体"/>
      <w:sz w:val="28"/>
      <w:szCs w:val="28"/>
    </w:rPr>
  </w:style>
  <w:style w:type="paragraph" w:styleId="4">
    <w:name w:val="Normal Indent"/>
    <w:basedOn w:val="1"/>
    <w:next w:val="5"/>
    <w:qFormat/>
    <w:uiPriority w:val="0"/>
    <w:pPr>
      <w:ind w:firstLine="420" w:firstLineChars="200"/>
    </w:pPr>
    <w:rPr>
      <w:rFonts w:ascii="Times New Roman" w:hAnsi="Times New Roman" w:eastAsia="宋体" w:cs="Times New Roman"/>
      <w:sz w:val="33"/>
      <w:szCs w:val="33"/>
    </w:rPr>
  </w:style>
  <w:style w:type="paragraph" w:styleId="5">
    <w:name w:val="toc 4"/>
    <w:basedOn w:val="1"/>
    <w:next w:val="1"/>
    <w:qFormat/>
    <w:uiPriority w:val="39"/>
    <w:pPr>
      <w:spacing w:line="360" w:lineRule="auto"/>
      <w:ind w:left="720" w:firstLine="425"/>
      <w:jc w:val="left"/>
    </w:pPr>
    <w:rPr>
      <w:spacing w:val="10"/>
      <w:kern w:val="0"/>
      <w:sz w:val="18"/>
      <w:szCs w:val="18"/>
    </w:rPr>
  </w:style>
  <w:style w:type="paragraph" w:styleId="6">
    <w:name w:val="index 8"/>
    <w:basedOn w:val="1"/>
    <w:next w:val="1"/>
    <w:unhideWhenUsed/>
    <w:qFormat/>
    <w:uiPriority w:val="99"/>
    <w:pPr>
      <w:ind w:left="2940"/>
      <w:jc w:val="left"/>
    </w:pPr>
  </w:style>
  <w:style w:type="paragraph" w:styleId="7">
    <w:name w:val="Body Text"/>
    <w:basedOn w:val="1"/>
    <w:next w:val="8"/>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8">
    <w:name w:val="Title"/>
    <w:basedOn w:val="1"/>
    <w:next w:val="9"/>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9">
    <w:name w:val="Body Text Indent"/>
    <w:basedOn w:val="1"/>
    <w:next w:val="1"/>
    <w:qFormat/>
    <w:uiPriority w:val="0"/>
    <w:pPr>
      <w:autoSpaceDE w:val="0"/>
      <w:autoSpaceDN w:val="0"/>
      <w:spacing w:line="360" w:lineRule="auto"/>
      <w:ind w:firstLine="420" w:firstLineChars="200"/>
    </w:pPr>
    <w:rPr>
      <w:rFonts w:ascii="宋体" w:hAnsi="宋体"/>
      <w:szCs w:val="21"/>
    </w:rPr>
  </w:style>
  <w:style w:type="paragraph" w:styleId="10">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13">
    <w:name w:val="Normal (Web)"/>
    <w:basedOn w:val="1"/>
    <w:qFormat/>
    <w:uiPriority w:val="0"/>
    <w:pPr>
      <w:spacing w:beforeAutospacing="1" w:afterAutospacing="1"/>
      <w:jc w:val="left"/>
    </w:pPr>
    <w:rPr>
      <w:rFonts w:cs="Times New Roman"/>
      <w:kern w:val="0"/>
      <w:sz w:val="24"/>
    </w:rPr>
  </w:style>
  <w:style w:type="paragraph" w:styleId="14">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5">
    <w:name w:val="Body Text First Indent 2"/>
    <w:basedOn w:val="9"/>
    <w:next w:val="1"/>
    <w:qFormat/>
    <w:uiPriority w:val="0"/>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font41"/>
    <w:basedOn w:val="18"/>
    <w:qFormat/>
    <w:uiPriority w:val="0"/>
    <w:rPr>
      <w:rFonts w:hint="eastAsia" w:ascii="宋体" w:hAnsi="宋体" w:eastAsia="宋体" w:cs="宋体"/>
      <w:color w:val="000000"/>
      <w:sz w:val="22"/>
      <w:szCs w:val="22"/>
      <w:u w:val="none"/>
    </w:rPr>
  </w:style>
  <w:style w:type="character" w:customStyle="1" w:styleId="20">
    <w:name w:val="font121"/>
    <w:basedOn w:val="18"/>
    <w:qFormat/>
    <w:uiPriority w:val="0"/>
    <w:rPr>
      <w:rFonts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2923</Words>
  <Characters>3228</Characters>
  <Lines>0</Lines>
  <Paragraphs>0</Paragraphs>
  <TotalTime>1</TotalTime>
  <ScaleCrop>false</ScaleCrop>
  <LinksUpToDate>false</LinksUpToDate>
  <CharactersWithSpaces>3436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2024-09-27T09:37:00Z</dcterms:created>
  <dc:creator>玉婷</dc:creator>
  <cp:lastModifiedBy>玉婷</cp:lastModifiedBy>
  <dcterms:modified xsi:type="dcterms:W3CDTF">2025-07-15T02:04:56Z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ABD2A60F99F94ED78743448A2EEB0337</vt:lpwstr>
  </property>
  <property fmtid="{D5CDD505-2E9C-101B-9397-08002B2CF9AE}" pid="4" name="KSOTemplateDocerSaveRecord">
    <vt:lpwstr>eyJoZGlkIjoiNjZmM2VhMmU5ZWE0ODFjYTkyODgzY2M2NjBmY2MyMTUiLCJ1c2VySWQiOiI1Njg3NTMzODkifQ==</vt:lpwstr>
  </property>
</Properties>
</file>