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adjustRightInd/>
        <w:snapToGrid/>
        <w:spacing w:after="0" w:line="240" w:lineRule="auto"/>
        <w:jc w:val="center"/>
        <w:rPr>
          <w:rFonts w:hint="eastAsia" w:ascii="方正小标宋简体" w:hAnsi="方正小标宋简体" w:eastAsia="方正小标宋简体" w:cs="方正小标宋简体"/>
          <w:kern w:val="2"/>
          <w:sz w:val="44"/>
          <w:szCs w:val="44"/>
          <w:lang w:val="en-US" w:eastAsia="zh-CN" w:bidi="ar-SA"/>
        </w:rPr>
      </w:pPr>
      <w:r>
        <w:rPr>
          <w:rFonts w:hint="eastAsia" w:ascii="方正小标宋简体" w:hAnsi="方正小标宋简体" w:eastAsia="方正小标宋简体" w:cs="方正小标宋简体"/>
          <w:kern w:val="2"/>
          <w:sz w:val="44"/>
          <w:szCs w:val="44"/>
          <w:lang w:val="en-US" w:eastAsia="zh-CN" w:bidi="ar-SA"/>
        </w:rPr>
        <w:t>珠海市疾病预防控制中心简介</w:t>
      </w:r>
    </w:p>
    <w:p>
      <w:pPr>
        <w:pStyle w:val="2"/>
        <w:rPr>
          <w:rFonts w:hint="eastAsia"/>
          <w:lang w:val="en-US" w:eastAsia="zh-CN"/>
        </w:rPr>
      </w:pPr>
    </w:p>
    <w:p>
      <w:pPr>
        <w:keepNext w:val="0"/>
        <w:keepLines w:val="0"/>
        <w:pageBreakBefore w:val="0"/>
        <w:widowControl/>
        <w:kinsoku/>
        <w:wordWrap/>
        <w:overflowPunct/>
        <w:topLinePunct w:val="0"/>
        <w:autoSpaceDE/>
        <w:autoSpaceDN/>
        <w:bidi w:val="0"/>
        <w:adjustRightInd w:val="0"/>
        <w:snapToGrid w:val="0"/>
        <w:spacing w:line="579" w:lineRule="exact"/>
        <w:ind w:firstLine="640" w:firstLineChars="200"/>
        <w:textAlignment w:val="auto"/>
        <w:rPr>
          <w:rFonts w:hint="eastAsia" w:ascii="仿宋" w:hAnsi="仿宋" w:eastAsia="仿宋" w:cs="仿宋"/>
          <w:color w:val="000000"/>
          <w:kern w:val="2"/>
          <w:sz w:val="32"/>
          <w:szCs w:val="32"/>
          <w:lang w:val="en-US" w:eastAsia="zh-CN" w:bidi="ar-SA"/>
        </w:rPr>
      </w:pPr>
      <w:r>
        <w:rPr>
          <w:rFonts w:hint="eastAsia" w:ascii="仿宋" w:hAnsi="仿宋" w:eastAsia="仿宋" w:cs="仿宋"/>
          <w:color w:val="000000"/>
          <w:kern w:val="2"/>
          <w:sz w:val="32"/>
          <w:szCs w:val="32"/>
          <w:lang w:val="en-US" w:eastAsia="zh-CN" w:bidi="ar-SA"/>
        </w:rPr>
        <w:t>珠海市疾病预防控制中心（珠海市卫生检验中心，以下简称“中心”）是隶属于珠海市卫生健康局的公益I类、五级卫生健康事业单位，集疾病预防控制、突发公共卫生事件应急处置、疫情与健康相关信息管理、健康危害因素监测与干预、实验室分析检测与评价、技术管理与技术应用研究指导等职能为一体。</w:t>
      </w:r>
    </w:p>
    <w:p>
      <w:pPr>
        <w:keepNext w:val="0"/>
        <w:keepLines w:val="0"/>
        <w:pageBreakBefore w:val="0"/>
        <w:widowControl/>
        <w:kinsoku/>
        <w:wordWrap/>
        <w:overflowPunct/>
        <w:topLinePunct w:val="0"/>
        <w:autoSpaceDE/>
        <w:autoSpaceDN/>
        <w:bidi w:val="0"/>
        <w:adjustRightInd w:val="0"/>
        <w:snapToGrid w:val="0"/>
        <w:spacing w:line="579" w:lineRule="exact"/>
        <w:textAlignment w:val="auto"/>
        <w:rPr>
          <w:rFonts w:hint="eastAsia" w:ascii="仿宋" w:hAnsi="仿宋" w:eastAsia="仿宋" w:cs="仿宋"/>
          <w:color w:val="000000"/>
          <w:kern w:val="2"/>
          <w:sz w:val="32"/>
          <w:szCs w:val="32"/>
          <w:lang w:val="en-US" w:eastAsia="zh-CN" w:bidi="ar-SA"/>
        </w:rPr>
      </w:pPr>
      <w:r>
        <w:rPr>
          <w:rFonts w:hint="eastAsia" w:ascii="仿宋" w:hAnsi="仿宋" w:eastAsia="仿宋" w:cs="仿宋"/>
          <w:color w:val="000000"/>
          <w:kern w:val="2"/>
          <w:sz w:val="32"/>
          <w:szCs w:val="32"/>
          <w:lang w:val="en-US" w:eastAsia="zh-CN" w:bidi="ar-SA"/>
        </w:rPr>
        <w:t xml:space="preserve">　  中心现有核定事业编制134人，合同制职员编制32人。其中正高职称27人，副高职称47人，博士7人，硕士43人。中心是广东省博士工作站、暨南大学基础医学与公共卫生学院、南方医科大学公共卫生学院、中南大学公共卫生学院、华中科技大学同济医学院研究生培养基地，也是中山大学公共卫生学院、四川大学华西公共卫生学院、广东医科大学公共卫生学院、广东药科大学公共卫生学院等多所高等院校实习教学基地，同时是广东省卫生健康委首批“现场流行病学培训基地”。现有受聘兼职博士生导师1人，在职硕士生导师8人，兼职硕士生导师7人，兼职教授、副教授7人。 </w:t>
      </w:r>
    </w:p>
    <w:p>
      <w:pPr>
        <w:keepNext w:val="0"/>
        <w:keepLines w:val="0"/>
        <w:pageBreakBefore w:val="0"/>
        <w:widowControl/>
        <w:kinsoku/>
        <w:wordWrap/>
        <w:overflowPunct/>
        <w:topLinePunct w:val="0"/>
        <w:autoSpaceDE/>
        <w:autoSpaceDN/>
        <w:bidi w:val="0"/>
        <w:adjustRightInd w:val="0"/>
        <w:snapToGrid w:val="0"/>
        <w:spacing w:line="579" w:lineRule="exact"/>
        <w:textAlignment w:val="auto"/>
        <w:rPr>
          <w:rFonts w:hint="eastAsia" w:ascii="仿宋" w:hAnsi="仿宋" w:eastAsia="仿宋" w:cs="仿宋"/>
          <w:color w:val="000000"/>
          <w:kern w:val="2"/>
          <w:sz w:val="32"/>
          <w:szCs w:val="32"/>
          <w:lang w:val="en-US" w:eastAsia="zh-CN" w:bidi="ar-SA"/>
        </w:rPr>
      </w:pPr>
      <w:r>
        <w:rPr>
          <w:rFonts w:hint="eastAsia" w:ascii="仿宋" w:hAnsi="仿宋" w:eastAsia="仿宋" w:cs="仿宋"/>
          <w:color w:val="000000"/>
          <w:kern w:val="2"/>
          <w:sz w:val="32"/>
          <w:szCs w:val="32"/>
          <w:lang w:val="en-US" w:eastAsia="zh-CN" w:bidi="ar-SA"/>
        </w:rPr>
        <w:t>　　中心通过了CNAS认可和实验室资质认定，是国家级流感监测网络实验室、艾滋病检测确证实验室和筛查中心、国家盐碘和尿碘监测网络实验室、广东省病原微生物监测和应急检测合作实验室、国家食品安全风险监测网成员实验室、广东省化学污染物违禁药物检测合作实验室。珠海市病原微生物实验室生物安全质量控制中心挂靠于本中心。</w:t>
      </w:r>
    </w:p>
    <w:p>
      <w:pPr>
        <w:keepNext w:val="0"/>
        <w:keepLines w:val="0"/>
        <w:pageBreakBefore w:val="0"/>
        <w:widowControl/>
        <w:kinsoku/>
        <w:wordWrap/>
        <w:overflowPunct/>
        <w:topLinePunct w:val="0"/>
        <w:autoSpaceDE/>
        <w:autoSpaceDN/>
        <w:bidi w:val="0"/>
        <w:adjustRightInd w:val="0"/>
        <w:snapToGrid w:val="0"/>
        <w:spacing w:line="579" w:lineRule="exact"/>
        <w:textAlignment w:val="auto"/>
        <w:rPr>
          <w:rFonts w:hint="eastAsia" w:ascii="仿宋" w:hAnsi="仿宋" w:eastAsia="仿宋" w:cs="仿宋"/>
          <w:color w:val="000000"/>
          <w:kern w:val="2"/>
          <w:sz w:val="32"/>
          <w:szCs w:val="32"/>
          <w:lang w:val="en-US" w:eastAsia="zh-CN" w:bidi="ar-SA"/>
        </w:rPr>
      </w:pPr>
      <w:r>
        <w:rPr>
          <w:rFonts w:hint="eastAsia" w:ascii="仿宋" w:hAnsi="仿宋" w:eastAsia="仿宋" w:cs="仿宋"/>
          <w:color w:val="000000"/>
          <w:kern w:val="2"/>
          <w:sz w:val="32"/>
          <w:szCs w:val="32"/>
          <w:lang w:val="en-US" w:eastAsia="zh-CN" w:bidi="ar-SA"/>
        </w:rPr>
        <w:t>　　中心目前在建的“珠海市生物安全P3实验室及疾病预防能力提升工程项目”占地面积2416平方米，建筑面积8299平方米，项目概算总投资18554.9万元。该项目已纳入国家高等级生物安全实验室“十四五”规划清单，且通过了国家科技部建设审查，目前成为全国地市级疾控机构中唯一一间拥有P3实验室的疾控中心。</w:t>
      </w:r>
    </w:p>
    <w:p>
      <w:pPr>
        <w:keepNext w:val="0"/>
        <w:keepLines w:val="0"/>
        <w:pageBreakBefore w:val="0"/>
        <w:widowControl/>
        <w:kinsoku/>
        <w:wordWrap/>
        <w:overflowPunct/>
        <w:topLinePunct w:val="0"/>
        <w:autoSpaceDE/>
        <w:autoSpaceDN/>
        <w:bidi w:val="0"/>
        <w:adjustRightInd w:val="0"/>
        <w:snapToGrid w:val="0"/>
        <w:spacing w:line="579" w:lineRule="exact"/>
        <w:ind w:firstLine="640" w:firstLineChars="200"/>
        <w:textAlignment w:val="auto"/>
        <w:rPr>
          <w:rFonts w:hint="eastAsia" w:ascii="仿宋" w:hAnsi="仿宋" w:eastAsia="仿宋" w:cs="仿宋"/>
          <w:color w:val="000000"/>
          <w:kern w:val="2"/>
          <w:sz w:val="32"/>
          <w:szCs w:val="32"/>
          <w:lang w:val="en-US" w:eastAsia="zh-CN" w:bidi="ar-SA"/>
        </w:rPr>
      </w:pPr>
      <w:r>
        <w:rPr>
          <w:rFonts w:hint="eastAsia" w:ascii="仿宋" w:hAnsi="仿宋" w:eastAsia="仿宋" w:cs="仿宋"/>
          <w:color w:val="000000"/>
          <w:kern w:val="2"/>
          <w:sz w:val="32"/>
          <w:szCs w:val="32"/>
          <w:lang w:val="en-US" w:eastAsia="zh-CN" w:bidi="ar-SA"/>
        </w:rPr>
        <w:t>近年来，市委市政府高度重视公共卫生工作，我市疾病预防控制事业和机构改革发展迎来了新的机遇。机构和业务管理的各项创新实践将在着力提高中心重大公共卫生问题确定和决策支持能力、传染病监测预警和突发公共卫生事件应急处置能力、流行病学调查和实验室检测检验“一锤定音”的能力、疾病与健康危害因素监测及信息管理应用能力、针对社会关注公共卫生问题及时反应与解疑释惑能力这五大核心能力建设方面更上台阶。2023年被省委省政府确定为建设省级区域公共卫生中心的6个地区疾病预防控制中心之一。</w:t>
      </w:r>
    </w:p>
    <w:p>
      <w:pPr>
        <w:pStyle w:val="2"/>
        <w:keepNext w:val="0"/>
        <w:keepLines w:val="0"/>
        <w:pageBreakBefore w:val="0"/>
        <w:widowControl/>
        <w:kinsoku/>
        <w:wordWrap/>
        <w:overflowPunct/>
        <w:topLinePunct w:val="0"/>
        <w:autoSpaceDE/>
        <w:autoSpaceDN/>
        <w:bidi w:val="0"/>
        <w:adjustRightInd w:val="0"/>
        <w:snapToGrid w:val="0"/>
        <w:spacing w:line="579" w:lineRule="exact"/>
        <w:textAlignment w:val="auto"/>
        <w:rPr>
          <w:rFonts w:hint="eastAsia"/>
          <w:lang w:val="en-US" w:eastAsia="zh-CN"/>
        </w:rPr>
      </w:pPr>
      <w:r>
        <w:rPr>
          <w:rFonts w:hint="eastAsia"/>
          <w:lang w:val="en-US" w:eastAsia="zh-CN"/>
        </w:rPr>
        <w:drawing>
          <wp:anchor distT="0" distB="0" distL="114300" distR="114300" simplePos="0" relativeHeight="251659264" behindDoc="1" locked="0" layoutInCell="1" allowOverlap="1">
            <wp:simplePos x="0" y="0"/>
            <wp:positionH relativeFrom="column">
              <wp:posOffset>3184525</wp:posOffset>
            </wp:positionH>
            <wp:positionV relativeFrom="paragraph">
              <wp:posOffset>192405</wp:posOffset>
            </wp:positionV>
            <wp:extent cx="1189990" cy="1189990"/>
            <wp:effectExtent l="0" t="0" r="10160" b="10160"/>
            <wp:wrapTight wrapText="bothSides">
              <wp:wrapPolygon>
                <wp:start x="0" y="0"/>
                <wp:lineTo x="0" y="21093"/>
                <wp:lineTo x="21093" y="21093"/>
                <wp:lineTo x="21093" y="0"/>
                <wp:lineTo x="0" y="0"/>
              </wp:wrapPolygon>
            </wp:wrapTight>
            <wp:docPr id="1" name="图片 1" descr="“珠海疾控”微信公众号"/>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 name="图片 1" descr="“珠海疾控”微信公众号"/>
                    <pic:cNvPicPr>
                      <a:picLocks noChangeAspect="true"/>
                    </pic:cNvPicPr>
                  </pic:nvPicPr>
                  <pic:blipFill>
                    <a:blip r:embed="rId6"/>
                    <a:stretch>
                      <a:fillRect/>
                    </a:stretch>
                  </pic:blipFill>
                  <pic:spPr>
                    <a:xfrm>
                      <a:off x="0" y="0"/>
                      <a:ext cx="1189990" cy="1189990"/>
                    </a:xfrm>
                    <a:prstGeom prst="rect">
                      <a:avLst/>
                    </a:prstGeom>
                  </pic:spPr>
                </pic:pic>
              </a:graphicData>
            </a:graphic>
          </wp:anchor>
        </w:drawing>
      </w:r>
    </w:p>
    <w:p>
      <w:pPr>
        <w:pStyle w:val="2"/>
        <w:rPr>
          <w:rFonts w:hint="eastAsia"/>
          <w:lang w:val="en-US" w:eastAsia="zh-CN"/>
        </w:rPr>
      </w:pPr>
      <w:r>
        <w:rPr>
          <w:rFonts w:hint="eastAsia" w:ascii="仿宋" w:hAnsi="仿宋" w:eastAsia="仿宋" w:cs="仿宋"/>
          <w:color w:val="000000"/>
          <w:kern w:val="2"/>
          <w:sz w:val="32"/>
          <w:szCs w:val="32"/>
          <w:lang w:val="en-US" w:eastAsia="zh-CN" w:bidi="ar-SA"/>
        </w:rPr>
        <w:t>公众微信平台：“珠海疾控”</w:t>
      </w:r>
      <w:bookmarkStart w:id="0" w:name="_GoBack"/>
      <w:bookmarkEnd w:id="0"/>
    </w:p>
    <w:p>
      <w:pPr>
        <w:pStyle w:val="2"/>
        <w:rPr>
          <w:rFonts w:hint="eastAsia"/>
          <w:lang w:val="en-US" w:eastAsia="zh-CN"/>
        </w:rPr>
      </w:pPr>
    </w:p>
    <w:p>
      <w:pPr>
        <w:pStyle w:val="2"/>
        <w:rPr>
          <w:rFonts w:hint="eastAsia"/>
          <w:lang w:val="en-US" w:eastAsia="zh-CN"/>
        </w:rPr>
      </w:pPr>
    </w:p>
    <w:p>
      <w:pPr>
        <w:pStyle w:val="2"/>
        <w:rPr>
          <w:rFonts w:hint="eastAsia"/>
          <w:lang w:val="en-US" w:eastAsia="zh-CN"/>
        </w:rPr>
      </w:pPr>
    </w:p>
    <w:p>
      <w:pPr>
        <w:pStyle w:val="2"/>
        <w:rPr>
          <w:rFonts w:hint="eastAsia"/>
          <w:lang w:val="en-US" w:eastAsia="zh-CN"/>
        </w:rPr>
      </w:pPr>
    </w:p>
    <w:p>
      <w:pPr>
        <w:pStyle w:val="2"/>
        <w:rPr>
          <w:rFonts w:hint="eastAsia"/>
          <w:lang w:val="en-US" w:eastAsia="zh-CN"/>
        </w:rPr>
      </w:pPr>
    </w:p>
    <w:p>
      <w:pPr>
        <w:pStyle w:val="2"/>
        <w:rPr>
          <w:rFonts w:hint="eastAsia"/>
          <w:lang w:val="en-US" w:eastAsia="zh-CN"/>
        </w:rPr>
      </w:pPr>
    </w:p>
    <w:p>
      <w:pPr>
        <w:pStyle w:val="2"/>
        <w:rPr>
          <w:rFonts w:hint="eastAsia"/>
          <w:lang w:val="en-US" w:eastAsia="zh-CN"/>
        </w:rPr>
      </w:pPr>
    </w:p>
    <w:p>
      <w:pPr>
        <w:pStyle w:val="2"/>
        <w:rPr>
          <w:rFonts w:hint="eastAsia"/>
          <w:lang w:val="en-US" w:eastAsia="zh-CN"/>
        </w:rPr>
      </w:pPr>
    </w:p>
    <w:p>
      <w:pPr>
        <w:pStyle w:val="2"/>
        <w:rPr>
          <w:rFonts w:hint="eastAsia"/>
          <w:lang w:val="en-US" w:eastAsia="zh-CN"/>
        </w:rPr>
      </w:pPr>
    </w:p>
    <w:p>
      <w:pPr>
        <w:pStyle w:val="2"/>
        <w:rPr>
          <w:rFonts w:hint="eastAsia"/>
          <w:lang w:val="en-US" w:eastAsia="zh-CN"/>
        </w:rPr>
        <w:sectPr>
          <w:pgSz w:w="11906" w:h="16838"/>
          <w:pgMar w:top="1440" w:right="1800" w:bottom="1440" w:left="1800" w:header="708" w:footer="708" w:gutter="0"/>
          <w:cols w:space="708" w:num="1"/>
          <w:docGrid w:linePitch="360" w:charSpace="0"/>
        </w:sectPr>
      </w:pPr>
    </w:p>
    <w:p>
      <w:pPr>
        <w:pStyle w:val="2"/>
        <w:jc w:val="center"/>
        <w:rPr>
          <w:rFonts w:hint="eastAsia" w:ascii="方正小标宋简体" w:hAnsi="方正小标宋简体" w:eastAsia="方正小标宋简体" w:cs="方正小标宋简体"/>
          <w:kern w:val="2"/>
          <w:sz w:val="44"/>
          <w:szCs w:val="44"/>
          <w:lang w:val="en-US" w:eastAsia="zh-CN" w:bidi="ar-SA"/>
        </w:rPr>
      </w:pPr>
      <w:r>
        <w:rPr>
          <w:rFonts w:hint="eastAsia" w:ascii="方正小标宋简体" w:hAnsi="方正小标宋简体" w:eastAsia="方正小标宋简体" w:cs="方正小标宋简体"/>
          <w:kern w:val="2"/>
          <w:sz w:val="44"/>
          <w:szCs w:val="44"/>
          <w:lang w:val="en-US" w:eastAsia="zh-CN" w:bidi="ar-SA"/>
        </w:rPr>
        <w:t>珠海市疾病预防控制中心招聘岗位</w:t>
      </w:r>
    </w:p>
    <w:p>
      <w:pPr>
        <w:pStyle w:val="2"/>
        <w:ind w:left="0" w:leftChars="0" w:firstLine="0" w:firstLineChars="0"/>
        <w:jc w:val="center"/>
        <w:rPr>
          <w:rFonts w:hint="eastAsia" w:ascii="仿宋" w:hAnsi="仿宋" w:eastAsia="仿宋" w:cs="仿宋"/>
          <w:color w:val="000000"/>
          <w:kern w:val="2"/>
          <w:sz w:val="32"/>
          <w:szCs w:val="32"/>
          <w:lang w:val="en-US" w:eastAsia="zh-CN" w:bidi="ar-SA"/>
        </w:rPr>
      </w:pPr>
    </w:p>
    <w:tbl>
      <w:tblPr>
        <w:tblStyle w:val="4"/>
        <w:tblW w:w="141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15"/>
        <w:gridCol w:w="1095"/>
        <w:gridCol w:w="2548"/>
        <w:gridCol w:w="4425"/>
        <w:gridCol w:w="45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9" w:hRule="atLeast"/>
        </w:trPr>
        <w:tc>
          <w:tcPr>
            <w:tcW w:w="1515" w:type="dxa"/>
            <w:vAlign w:val="top"/>
          </w:tcPr>
          <w:p>
            <w:pPr>
              <w:pStyle w:val="2"/>
              <w:widowControl w:val="0"/>
              <w:ind w:left="0" w:leftChars="0" w:firstLine="0" w:firstLineChars="0"/>
              <w:jc w:val="center"/>
              <w:rPr>
                <w:rFonts w:hint="eastAsia" w:ascii="宋体" w:hAnsi="宋体" w:eastAsia="宋体" w:cs="宋体"/>
                <w:i w:val="0"/>
                <w:iCs w:val="0"/>
                <w:color w:val="000000"/>
                <w:kern w:val="0"/>
                <w:sz w:val="21"/>
                <w:szCs w:val="21"/>
                <w:u w:val="none"/>
                <w:lang w:val="en-US" w:eastAsia="zh-CN" w:bidi="ar"/>
              </w:rPr>
            </w:pPr>
          </w:p>
          <w:p>
            <w:pPr>
              <w:pStyle w:val="2"/>
              <w:widowControl w:val="0"/>
              <w:ind w:left="0" w:leftChars="0" w:firstLine="0" w:firstLineChars="0"/>
              <w:jc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职位名称</w:t>
            </w:r>
          </w:p>
        </w:tc>
        <w:tc>
          <w:tcPr>
            <w:tcW w:w="1095" w:type="dxa"/>
            <w:vAlign w:val="top"/>
          </w:tcPr>
          <w:p>
            <w:pPr>
              <w:pStyle w:val="2"/>
              <w:widowControl w:val="0"/>
              <w:ind w:left="0" w:leftChars="0" w:firstLine="0" w:firstLineChars="0"/>
              <w:jc w:val="center"/>
              <w:rPr>
                <w:rFonts w:hint="eastAsia" w:ascii="宋体" w:hAnsi="宋体" w:eastAsia="宋体" w:cs="宋体"/>
                <w:i w:val="0"/>
                <w:iCs w:val="0"/>
                <w:color w:val="000000"/>
                <w:kern w:val="0"/>
                <w:sz w:val="21"/>
                <w:szCs w:val="21"/>
                <w:u w:val="none"/>
                <w:lang w:val="en-US" w:eastAsia="zh-CN" w:bidi="ar"/>
              </w:rPr>
            </w:pPr>
          </w:p>
          <w:p>
            <w:pPr>
              <w:pStyle w:val="2"/>
              <w:widowControl w:val="0"/>
              <w:ind w:left="0" w:leftChars="0" w:firstLine="0" w:firstLineChars="0"/>
              <w:jc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招聘人数</w:t>
            </w:r>
          </w:p>
        </w:tc>
        <w:tc>
          <w:tcPr>
            <w:tcW w:w="2548" w:type="dxa"/>
          </w:tcPr>
          <w:p>
            <w:pPr>
              <w:pStyle w:val="2"/>
              <w:widowControl w:val="0"/>
              <w:ind w:left="0" w:leftChars="0" w:firstLine="0" w:firstLineChars="0"/>
              <w:jc w:val="center"/>
              <w:rPr>
                <w:rFonts w:hint="eastAsia" w:ascii="宋体" w:hAnsi="宋体" w:eastAsia="宋体" w:cs="宋体"/>
                <w:i w:val="0"/>
                <w:iCs w:val="0"/>
                <w:color w:val="000000"/>
                <w:kern w:val="0"/>
                <w:sz w:val="21"/>
                <w:szCs w:val="21"/>
                <w:u w:val="none"/>
                <w:lang w:val="en-US" w:eastAsia="zh-CN" w:bidi="ar"/>
              </w:rPr>
            </w:pPr>
          </w:p>
          <w:p>
            <w:pPr>
              <w:pStyle w:val="2"/>
              <w:widowControl w:val="0"/>
              <w:ind w:left="0" w:leftChars="0" w:firstLine="0" w:firstLineChars="0"/>
              <w:jc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学历学位要求</w:t>
            </w:r>
          </w:p>
        </w:tc>
        <w:tc>
          <w:tcPr>
            <w:tcW w:w="4425" w:type="dxa"/>
          </w:tcPr>
          <w:p>
            <w:pPr>
              <w:pStyle w:val="2"/>
              <w:widowControl w:val="0"/>
              <w:ind w:left="0" w:leftChars="0" w:firstLine="0" w:firstLineChars="0"/>
              <w:jc w:val="center"/>
              <w:rPr>
                <w:rFonts w:hint="eastAsia" w:ascii="宋体" w:hAnsi="宋体" w:eastAsia="宋体" w:cs="宋体"/>
                <w:i w:val="0"/>
                <w:iCs w:val="0"/>
                <w:color w:val="000000"/>
                <w:kern w:val="0"/>
                <w:sz w:val="21"/>
                <w:szCs w:val="21"/>
                <w:u w:val="none"/>
                <w:lang w:val="en-US" w:eastAsia="zh-CN" w:bidi="ar"/>
              </w:rPr>
            </w:pPr>
          </w:p>
          <w:p>
            <w:pPr>
              <w:pStyle w:val="2"/>
              <w:widowControl w:val="0"/>
              <w:ind w:left="0" w:leftChars="0" w:firstLine="0" w:firstLineChars="0"/>
              <w:jc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专业要求</w:t>
            </w:r>
          </w:p>
        </w:tc>
        <w:tc>
          <w:tcPr>
            <w:tcW w:w="4539" w:type="dxa"/>
          </w:tcPr>
          <w:p>
            <w:pPr>
              <w:pStyle w:val="2"/>
              <w:widowControl w:val="0"/>
              <w:ind w:left="0" w:leftChars="0" w:firstLine="0" w:firstLineChars="0"/>
              <w:jc w:val="center"/>
              <w:rPr>
                <w:rFonts w:hint="eastAsia" w:ascii="宋体" w:hAnsi="宋体" w:eastAsia="宋体" w:cs="宋体"/>
                <w:i w:val="0"/>
                <w:iCs w:val="0"/>
                <w:color w:val="000000"/>
                <w:kern w:val="0"/>
                <w:sz w:val="21"/>
                <w:szCs w:val="21"/>
                <w:u w:val="none"/>
                <w:lang w:val="en-US" w:eastAsia="zh-CN" w:bidi="ar"/>
              </w:rPr>
            </w:pPr>
          </w:p>
          <w:p>
            <w:pPr>
              <w:pStyle w:val="2"/>
              <w:widowControl w:val="0"/>
              <w:ind w:left="0" w:leftChars="0" w:firstLine="0" w:firstLineChars="0"/>
              <w:jc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岗位职责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5" w:type="dxa"/>
            <w:vMerge w:val="restart"/>
          </w:tcPr>
          <w:p>
            <w:pPr>
              <w:pStyle w:val="2"/>
              <w:widowControl w:val="0"/>
              <w:ind w:left="0" w:leftChars="0" w:firstLine="0" w:firstLineChars="0"/>
              <w:jc w:val="center"/>
              <w:rPr>
                <w:rFonts w:hint="eastAsia" w:ascii="宋体" w:hAnsi="宋体" w:eastAsia="宋体" w:cs="宋体"/>
                <w:i w:val="0"/>
                <w:iCs w:val="0"/>
                <w:color w:val="000000"/>
                <w:kern w:val="0"/>
                <w:sz w:val="21"/>
                <w:szCs w:val="21"/>
                <w:u w:val="none"/>
                <w:lang w:val="en-US" w:eastAsia="zh-CN" w:bidi="ar"/>
              </w:rPr>
            </w:pPr>
          </w:p>
          <w:p>
            <w:pPr>
              <w:pStyle w:val="2"/>
              <w:widowControl w:val="0"/>
              <w:ind w:left="0" w:leftChars="0" w:firstLine="0" w:firstLineChars="0"/>
              <w:jc w:val="center"/>
              <w:rPr>
                <w:rFonts w:hint="eastAsia" w:ascii="宋体" w:hAnsi="宋体" w:eastAsia="宋体" w:cs="宋体"/>
                <w:i w:val="0"/>
                <w:iCs w:val="0"/>
                <w:color w:val="000000"/>
                <w:kern w:val="0"/>
                <w:sz w:val="21"/>
                <w:szCs w:val="21"/>
                <w:u w:val="none"/>
                <w:lang w:val="en-US" w:eastAsia="zh-CN" w:bidi="ar"/>
              </w:rPr>
            </w:pPr>
          </w:p>
          <w:p>
            <w:pPr>
              <w:pStyle w:val="2"/>
              <w:widowControl w:val="0"/>
              <w:ind w:left="0" w:leftChars="0" w:firstLine="0" w:firstLineChars="0"/>
              <w:jc w:val="center"/>
              <w:rPr>
                <w:rFonts w:hint="eastAsia" w:ascii="宋体" w:hAnsi="宋体" w:eastAsia="宋体" w:cs="宋体"/>
                <w:i w:val="0"/>
                <w:iCs w:val="0"/>
                <w:color w:val="000000"/>
                <w:kern w:val="0"/>
                <w:sz w:val="21"/>
                <w:szCs w:val="21"/>
                <w:u w:val="none"/>
                <w:lang w:val="en-US" w:eastAsia="zh-CN" w:bidi="ar"/>
              </w:rPr>
            </w:pPr>
          </w:p>
          <w:p>
            <w:pPr>
              <w:pStyle w:val="2"/>
              <w:widowControl w:val="0"/>
              <w:ind w:left="0" w:leftChars="0" w:firstLine="0" w:firstLineChars="0"/>
              <w:jc w:val="center"/>
              <w:rPr>
                <w:rFonts w:hint="eastAsia" w:ascii="宋体" w:hAnsi="宋体" w:eastAsia="宋体" w:cs="宋体"/>
                <w:i w:val="0"/>
                <w:iCs w:val="0"/>
                <w:color w:val="000000"/>
                <w:kern w:val="0"/>
                <w:sz w:val="21"/>
                <w:szCs w:val="21"/>
                <w:u w:val="none"/>
                <w:lang w:val="en-US" w:eastAsia="zh-CN" w:bidi="ar"/>
              </w:rPr>
            </w:pPr>
          </w:p>
          <w:p>
            <w:pPr>
              <w:pStyle w:val="2"/>
              <w:widowControl w:val="0"/>
              <w:ind w:left="0" w:leftChars="0" w:firstLine="0" w:firstLineChars="0"/>
              <w:jc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P3实验室</w:t>
            </w:r>
          </w:p>
        </w:tc>
        <w:tc>
          <w:tcPr>
            <w:tcW w:w="1095" w:type="dxa"/>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3</w:t>
            </w:r>
          </w:p>
        </w:tc>
        <w:tc>
          <w:tcPr>
            <w:tcW w:w="2548" w:type="dxa"/>
            <w:vMerge w:val="restart"/>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研究生学历，博士学位</w:t>
            </w:r>
          </w:p>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4425" w:type="dxa"/>
            <w:vAlign w:val="center"/>
          </w:tcPr>
          <w:p>
            <w:pPr>
              <w:keepNext w:val="0"/>
              <w:keepLines w:val="0"/>
              <w:widowControl/>
              <w:suppressLineNumbers w:val="0"/>
              <w:jc w:val="center"/>
              <w:textAlignment w:val="center"/>
              <w:rPr>
                <w:rFonts w:hint="eastAsia" w:ascii="仿宋" w:hAnsi="仿宋" w:eastAsia="仿宋" w:cs="仿宋"/>
                <w:color w:val="000000"/>
                <w:kern w:val="2"/>
                <w:sz w:val="40"/>
                <w:szCs w:val="40"/>
                <w:lang w:val="en-US" w:eastAsia="zh-CN" w:bidi="ar-SA"/>
              </w:rPr>
            </w:pPr>
            <w:r>
              <w:rPr>
                <w:rFonts w:hint="eastAsia" w:ascii="宋体" w:hAnsi="宋体" w:eastAsia="宋体" w:cs="宋体"/>
                <w:i w:val="0"/>
                <w:iCs w:val="0"/>
                <w:color w:val="000000"/>
                <w:kern w:val="0"/>
                <w:sz w:val="21"/>
                <w:szCs w:val="21"/>
                <w:u w:val="none"/>
                <w:lang w:val="en-US" w:eastAsia="zh-CN" w:bidi="ar"/>
              </w:rPr>
              <w:t>病原生物学(A100103)、微生物学(A071005)、生物化学与分子生物学(A071010)</w:t>
            </w:r>
          </w:p>
        </w:tc>
        <w:tc>
          <w:tcPr>
            <w:tcW w:w="4539" w:type="dxa"/>
            <w:vAlign w:val="center"/>
          </w:tcPr>
          <w:p>
            <w:pPr>
              <w:keepNext w:val="0"/>
              <w:keepLines w:val="0"/>
              <w:widowControl/>
              <w:suppressLineNumbers w:val="0"/>
              <w:jc w:val="center"/>
              <w:textAlignment w:val="center"/>
              <w:rPr>
                <w:rFonts w:hint="eastAsia" w:ascii="仿宋" w:hAnsi="仿宋" w:eastAsia="仿宋" w:cs="仿宋"/>
                <w:color w:val="000000"/>
                <w:kern w:val="2"/>
                <w:sz w:val="40"/>
                <w:szCs w:val="40"/>
                <w:lang w:val="en-US" w:eastAsia="zh-CN" w:bidi="ar-SA"/>
              </w:rPr>
            </w:pPr>
            <w:r>
              <w:rPr>
                <w:rFonts w:hint="eastAsia" w:ascii="宋体" w:hAnsi="宋体" w:eastAsia="宋体" w:cs="宋体"/>
                <w:i w:val="0"/>
                <w:iCs w:val="0"/>
                <w:color w:val="000000"/>
                <w:kern w:val="0"/>
                <w:sz w:val="21"/>
                <w:szCs w:val="21"/>
                <w:u w:val="none"/>
                <w:lang w:val="en-US" w:eastAsia="zh-CN" w:bidi="ar"/>
              </w:rPr>
              <w:t>高致病性病原微生物新型冠状病毒、艾滋病毒（I型和II型）、高致病性禽流感等病毒的分离、培养、鉴定以及致病机制的研究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5" w:type="dxa"/>
            <w:vMerge w:val="continue"/>
          </w:tcPr>
          <w:p>
            <w:pPr>
              <w:pStyle w:val="2"/>
              <w:widowControl w:val="0"/>
              <w:ind w:left="0" w:leftChars="0" w:firstLine="0" w:firstLineChars="0"/>
              <w:jc w:val="center"/>
              <w:rPr>
                <w:rFonts w:hint="eastAsia" w:ascii="宋体" w:hAnsi="宋体" w:eastAsia="宋体" w:cs="宋体"/>
                <w:i w:val="0"/>
                <w:iCs w:val="0"/>
                <w:color w:val="000000"/>
                <w:kern w:val="0"/>
                <w:sz w:val="21"/>
                <w:szCs w:val="21"/>
                <w:u w:val="none"/>
                <w:lang w:val="en-US" w:eastAsia="zh-CN" w:bidi="ar"/>
              </w:rPr>
            </w:pPr>
          </w:p>
        </w:tc>
        <w:tc>
          <w:tcPr>
            <w:tcW w:w="1095" w:type="dxa"/>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3</w:t>
            </w:r>
          </w:p>
        </w:tc>
        <w:tc>
          <w:tcPr>
            <w:tcW w:w="2548" w:type="dxa"/>
            <w:vMerge w:val="continue"/>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4425" w:type="dxa"/>
            <w:vAlign w:val="center"/>
          </w:tcPr>
          <w:p>
            <w:pPr>
              <w:keepNext w:val="0"/>
              <w:keepLines w:val="0"/>
              <w:widowControl/>
              <w:suppressLineNumbers w:val="0"/>
              <w:jc w:val="center"/>
              <w:textAlignment w:val="center"/>
              <w:rPr>
                <w:rFonts w:hint="eastAsia" w:ascii="仿宋" w:hAnsi="仿宋" w:eastAsia="仿宋" w:cs="仿宋"/>
                <w:color w:val="000000"/>
                <w:kern w:val="2"/>
                <w:sz w:val="40"/>
                <w:szCs w:val="40"/>
                <w:lang w:val="en-US" w:eastAsia="zh-CN" w:bidi="ar-SA"/>
              </w:rPr>
            </w:pPr>
            <w:r>
              <w:rPr>
                <w:rFonts w:hint="eastAsia" w:ascii="宋体" w:hAnsi="宋体" w:eastAsia="宋体" w:cs="宋体"/>
                <w:i w:val="0"/>
                <w:iCs w:val="0"/>
                <w:color w:val="000000"/>
                <w:kern w:val="0"/>
                <w:sz w:val="21"/>
                <w:szCs w:val="21"/>
                <w:u w:val="none"/>
                <w:lang w:val="en-US" w:eastAsia="zh-CN" w:bidi="ar"/>
              </w:rPr>
              <w:t>病原生物学(A100103)、微生物学(A071005)、生物化学与分子生物学(A071010)</w:t>
            </w:r>
          </w:p>
        </w:tc>
        <w:tc>
          <w:tcPr>
            <w:tcW w:w="4539" w:type="dxa"/>
            <w:vAlign w:val="center"/>
          </w:tcPr>
          <w:p>
            <w:pPr>
              <w:keepNext w:val="0"/>
              <w:keepLines w:val="0"/>
              <w:widowControl/>
              <w:suppressLineNumbers w:val="0"/>
              <w:jc w:val="center"/>
              <w:textAlignment w:val="center"/>
              <w:rPr>
                <w:rFonts w:hint="eastAsia" w:ascii="仿宋" w:hAnsi="仿宋" w:eastAsia="仿宋" w:cs="仿宋"/>
                <w:color w:val="000000"/>
                <w:kern w:val="2"/>
                <w:sz w:val="40"/>
                <w:szCs w:val="40"/>
                <w:lang w:val="en-US" w:eastAsia="zh-CN" w:bidi="ar-SA"/>
              </w:rPr>
            </w:pPr>
            <w:r>
              <w:rPr>
                <w:rFonts w:hint="eastAsia" w:ascii="宋体" w:hAnsi="宋体" w:eastAsia="宋体" w:cs="宋体"/>
                <w:i w:val="0"/>
                <w:iCs w:val="0"/>
                <w:color w:val="000000"/>
                <w:kern w:val="0"/>
                <w:sz w:val="21"/>
                <w:szCs w:val="21"/>
                <w:u w:val="none"/>
                <w:lang w:val="en-US" w:eastAsia="zh-CN" w:bidi="ar"/>
              </w:rPr>
              <w:t>高致病性病原微生物布鲁氏菌属、炭疽芽孢杆菌、鼠疫耶尔森菌等细菌的分离、培养、鉴定、耐药性以及致病机制研究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5" w:type="dxa"/>
            <w:vMerge w:val="continue"/>
          </w:tcPr>
          <w:p>
            <w:pPr>
              <w:pStyle w:val="2"/>
              <w:widowControl w:val="0"/>
              <w:ind w:left="0" w:leftChars="0" w:firstLine="0" w:firstLineChars="0"/>
              <w:jc w:val="center"/>
              <w:rPr>
                <w:rFonts w:hint="eastAsia" w:ascii="宋体" w:hAnsi="宋体" w:eastAsia="宋体" w:cs="宋体"/>
                <w:i w:val="0"/>
                <w:iCs w:val="0"/>
                <w:color w:val="000000"/>
                <w:kern w:val="0"/>
                <w:sz w:val="21"/>
                <w:szCs w:val="21"/>
                <w:u w:val="none"/>
                <w:lang w:val="en-US" w:eastAsia="zh-CN" w:bidi="ar"/>
              </w:rPr>
            </w:pPr>
          </w:p>
        </w:tc>
        <w:tc>
          <w:tcPr>
            <w:tcW w:w="1095" w:type="dxa"/>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3</w:t>
            </w:r>
          </w:p>
        </w:tc>
        <w:tc>
          <w:tcPr>
            <w:tcW w:w="2548" w:type="dxa"/>
            <w:vMerge w:val="continue"/>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4425" w:type="dxa"/>
            <w:vAlign w:val="center"/>
          </w:tcPr>
          <w:p>
            <w:pPr>
              <w:keepNext w:val="0"/>
              <w:keepLines w:val="0"/>
              <w:widowControl/>
              <w:suppressLineNumbers w:val="0"/>
              <w:jc w:val="center"/>
              <w:textAlignment w:val="center"/>
              <w:rPr>
                <w:rFonts w:hint="eastAsia" w:ascii="仿宋" w:hAnsi="仿宋" w:eastAsia="仿宋" w:cs="仿宋"/>
                <w:color w:val="000000"/>
                <w:kern w:val="2"/>
                <w:sz w:val="40"/>
                <w:szCs w:val="40"/>
                <w:lang w:val="en-US" w:eastAsia="zh-CN" w:bidi="ar-SA"/>
              </w:rPr>
            </w:pPr>
            <w:r>
              <w:rPr>
                <w:rFonts w:hint="eastAsia" w:ascii="宋体" w:hAnsi="宋体" w:eastAsia="宋体" w:cs="宋体"/>
                <w:i w:val="0"/>
                <w:iCs w:val="0"/>
                <w:color w:val="000000"/>
                <w:kern w:val="0"/>
                <w:sz w:val="21"/>
                <w:szCs w:val="21"/>
                <w:u w:val="none"/>
                <w:lang w:val="en-US" w:eastAsia="zh-CN" w:bidi="ar"/>
              </w:rPr>
              <w:t>卫生毒理学(A100405)、基础兽医学(A091101)、预防兽医学(A091102)</w:t>
            </w:r>
          </w:p>
        </w:tc>
        <w:tc>
          <w:tcPr>
            <w:tcW w:w="4539" w:type="dxa"/>
            <w:vAlign w:val="center"/>
          </w:tcPr>
          <w:p>
            <w:pPr>
              <w:keepNext w:val="0"/>
              <w:keepLines w:val="0"/>
              <w:widowControl/>
              <w:suppressLineNumbers w:val="0"/>
              <w:jc w:val="center"/>
              <w:textAlignment w:val="center"/>
              <w:rPr>
                <w:rFonts w:hint="eastAsia" w:ascii="仿宋" w:hAnsi="仿宋" w:eastAsia="仿宋" w:cs="仿宋"/>
                <w:color w:val="000000"/>
                <w:kern w:val="2"/>
                <w:sz w:val="40"/>
                <w:szCs w:val="40"/>
                <w:lang w:val="en-US" w:eastAsia="zh-CN" w:bidi="ar-SA"/>
              </w:rPr>
            </w:pPr>
            <w:r>
              <w:rPr>
                <w:rFonts w:hint="eastAsia" w:ascii="宋体" w:hAnsi="宋体" w:eastAsia="宋体" w:cs="宋体"/>
                <w:i w:val="0"/>
                <w:iCs w:val="0"/>
                <w:color w:val="000000"/>
                <w:kern w:val="0"/>
                <w:sz w:val="21"/>
                <w:szCs w:val="21"/>
                <w:u w:val="none"/>
                <w:lang w:val="en-US" w:eastAsia="zh-CN" w:bidi="ar"/>
              </w:rPr>
              <w:t>雪貂、小鼠等动物感染实验、病理学及致病机制研究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5" w:type="dxa"/>
            <w:vMerge w:val="continue"/>
          </w:tcPr>
          <w:p>
            <w:pPr>
              <w:pStyle w:val="2"/>
              <w:widowControl w:val="0"/>
              <w:ind w:left="0" w:leftChars="0" w:firstLine="0" w:firstLineChars="0"/>
              <w:jc w:val="center"/>
              <w:rPr>
                <w:rFonts w:hint="eastAsia" w:ascii="宋体" w:hAnsi="宋体" w:eastAsia="宋体" w:cs="宋体"/>
                <w:i w:val="0"/>
                <w:iCs w:val="0"/>
                <w:color w:val="000000"/>
                <w:kern w:val="0"/>
                <w:sz w:val="21"/>
                <w:szCs w:val="21"/>
                <w:u w:val="none"/>
                <w:lang w:val="en-US" w:eastAsia="zh-CN" w:bidi="ar"/>
              </w:rPr>
            </w:pPr>
          </w:p>
        </w:tc>
        <w:tc>
          <w:tcPr>
            <w:tcW w:w="1095" w:type="dxa"/>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w:t>
            </w:r>
          </w:p>
        </w:tc>
        <w:tc>
          <w:tcPr>
            <w:tcW w:w="2548" w:type="dxa"/>
            <w:vMerge w:val="continue"/>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4425" w:type="dxa"/>
            <w:vAlign w:val="center"/>
          </w:tcPr>
          <w:p>
            <w:pPr>
              <w:keepNext w:val="0"/>
              <w:keepLines w:val="0"/>
              <w:widowControl/>
              <w:suppressLineNumbers w:val="0"/>
              <w:jc w:val="center"/>
              <w:textAlignment w:val="center"/>
              <w:rPr>
                <w:rFonts w:hint="eastAsia" w:ascii="仿宋" w:hAnsi="仿宋" w:eastAsia="仿宋" w:cs="仿宋"/>
                <w:color w:val="000000"/>
                <w:kern w:val="2"/>
                <w:sz w:val="40"/>
                <w:szCs w:val="40"/>
                <w:lang w:val="en-US" w:eastAsia="zh-CN" w:bidi="ar-SA"/>
              </w:rPr>
            </w:pPr>
            <w:r>
              <w:rPr>
                <w:rFonts w:hint="eastAsia" w:ascii="宋体" w:hAnsi="宋体" w:eastAsia="宋体" w:cs="宋体"/>
                <w:i w:val="0"/>
                <w:iCs w:val="0"/>
                <w:color w:val="000000"/>
                <w:kern w:val="0"/>
                <w:sz w:val="21"/>
                <w:szCs w:val="21"/>
                <w:u w:val="none"/>
                <w:lang w:val="en-US" w:eastAsia="zh-CN" w:bidi="ar"/>
              </w:rPr>
              <w:t>病原生物学(A100103)、微生物学(A071005)、生物化学与分子生物学(A071010)、遗传学(A071007)</w:t>
            </w:r>
          </w:p>
        </w:tc>
        <w:tc>
          <w:tcPr>
            <w:tcW w:w="4539" w:type="dxa"/>
            <w:vAlign w:val="center"/>
          </w:tcPr>
          <w:p>
            <w:pPr>
              <w:keepNext w:val="0"/>
              <w:keepLines w:val="0"/>
              <w:widowControl/>
              <w:suppressLineNumbers w:val="0"/>
              <w:jc w:val="center"/>
              <w:textAlignment w:val="center"/>
              <w:rPr>
                <w:rFonts w:hint="eastAsia" w:ascii="仿宋" w:hAnsi="仿宋" w:eastAsia="仿宋" w:cs="仿宋"/>
                <w:color w:val="000000"/>
                <w:kern w:val="2"/>
                <w:sz w:val="40"/>
                <w:szCs w:val="40"/>
                <w:lang w:val="en-US" w:eastAsia="zh-CN" w:bidi="ar-SA"/>
              </w:rPr>
            </w:pPr>
            <w:r>
              <w:rPr>
                <w:rFonts w:hint="eastAsia" w:ascii="宋体" w:hAnsi="宋体" w:eastAsia="宋体" w:cs="宋体"/>
                <w:i w:val="0"/>
                <w:iCs w:val="0"/>
                <w:color w:val="000000"/>
                <w:kern w:val="0"/>
                <w:sz w:val="21"/>
                <w:szCs w:val="21"/>
                <w:u w:val="none"/>
                <w:lang w:val="en-US" w:eastAsia="zh-CN" w:bidi="ar"/>
              </w:rPr>
              <w:t>高致病性病原微生物的基因突变、耐药基因、分子流行病溯源、转录组及基因组数据分析等生物信息内容研究。</w:t>
            </w:r>
          </w:p>
        </w:tc>
      </w:tr>
    </w:tbl>
    <w:p>
      <w:pPr>
        <w:pStyle w:val="2"/>
        <w:jc w:val="center"/>
        <w:rPr>
          <w:rFonts w:hint="eastAsia" w:ascii="方正小标宋简体" w:hAnsi="方正小标宋简体" w:eastAsia="方正小标宋简体" w:cs="方正小标宋简体"/>
          <w:kern w:val="2"/>
          <w:sz w:val="44"/>
          <w:szCs w:val="44"/>
          <w:lang w:val="en-US" w:eastAsia="zh-CN" w:bidi="ar-SA"/>
        </w:rPr>
      </w:pPr>
    </w:p>
    <w:sectPr>
      <w:pgSz w:w="16838" w:h="11906" w:orient="landscape"/>
      <w:pgMar w:top="1800" w:right="1440" w:bottom="1800" w:left="1440"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Tahoma">
    <w:altName w:val="DejaVu Sans"/>
    <w:panose1 w:val="020B0604030504040204"/>
    <w:charset w:val="00"/>
    <w:family w:val="swiss"/>
    <w:pitch w:val="default"/>
    <w:sig w:usb0="00000000" w:usb1="00000000" w:usb2="00000029" w:usb3="00000000" w:csb0="200101FF" w:csb1="20280000"/>
  </w:font>
  <w:font w:name="微软雅黑">
    <w:altName w:val="方正黑体_GBK"/>
    <w:panose1 w:val="020B0503020204020204"/>
    <w:charset w:val="86"/>
    <w:family w:val="swiss"/>
    <w:pitch w:val="default"/>
    <w:sig w:usb0="00000000" w:usb1="00000000" w:usb2="00000016" w:usb3="00000000" w:csb0="0004001F" w:csb1="00000000"/>
  </w:font>
  <w:font w:name="方正小标宋简体">
    <w:panose1 w:val="02000000000000000000"/>
    <w:charset w:val="86"/>
    <w:family w:val="script"/>
    <w:pitch w:val="default"/>
    <w:sig w:usb0="A00002BF" w:usb1="184F6CFA" w:usb2="00000012" w:usb3="00000000" w:csb0="00040001" w:csb1="00000000"/>
  </w:font>
  <w:font w:name="仿宋">
    <w:altName w:val="方正仿宋_GBK"/>
    <w:panose1 w:val="02010609060101010101"/>
    <w:charset w:val="86"/>
    <w:family w:val="auto"/>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仿宋_GBK">
    <w:panose1 w:val="02000000000000000000"/>
    <w:charset w:val="86"/>
    <w:family w:val="auto"/>
    <w:pitch w:val="default"/>
    <w:sig w:usb0="00000001" w:usb1="0800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false"/>
  <w:bordersDoNotSurroundFooter w:val="false"/>
  <w:documentProtection w:enforcement="0"/>
  <w:defaultTabStop w:val="720"/>
  <w:displayHorizontalDrawingGridEvery w:val="1"/>
  <w:displayVerticalDrawingGridEvery w:val="1"/>
  <w:noPunctuationKerning w:val="true"/>
  <w:characterSpacingControl w:val="doNotCompress"/>
  <w:footnotePr>
    <w:footnote w:id="0"/>
    <w:footnote w:id="1"/>
  </w:footnotePr>
  <w:endnotePr>
    <w:endnote w:id="0"/>
    <w:endnote w:id="1"/>
  </w:endnotePr>
  <w:compat>
    <w:doNotExpandShiftReturn/>
    <w:doNotWrapTextWithPunct/>
    <w:doNotUseEastAsianBreakRules/>
    <w:useFELayout/>
    <w:doNotUseIndentAsNumberingTabStop/>
    <w:compatSetting w:name="compatibilityMode" w:uri="http://schemas.microsoft.com/office/word" w:val="12"/>
  </w:compat>
  <w:rsids>
    <w:rsidRoot w:val="00D31D50"/>
    <w:rsid w:val="00323B43"/>
    <w:rsid w:val="003D37D8"/>
    <w:rsid w:val="00426133"/>
    <w:rsid w:val="004358AB"/>
    <w:rsid w:val="008B7726"/>
    <w:rsid w:val="00D31D50"/>
    <w:rsid w:val="02FA7C1D"/>
    <w:rsid w:val="4A581227"/>
    <w:rsid w:val="65B54487"/>
    <w:rsid w:val="69D675CC"/>
    <w:rsid w:val="7D6F6C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5">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0"/>
    <w:pPr>
      <w:ind w:firstLine="420" w:firstLineChars="200"/>
    </w:pPr>
    <w:rPr>
      <w:rFonts w:ascii="Calibri" w:hAnsi="Calibri" w:eastAsia="宋体" w:cs="Times New Roman"/>
    </w:rPr>
  </w:style>
  <w:style w:type="table" w:styleId="4">
    <w:name w:val="Table Grid"/>
    <w:basedOn w:val="3"/>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1</Lines>
  <Paragraphs>1</Paragraphs>
  <TotalTime>3</TotalTime>
  <ScaleCrop>false</ScaleCrop>
  <LinksUpToDate>false</LinksUpToDate>
  <CharactersWithSpaces>0</CharactersWithSpaces>
  <Application>WPS Office_11.8.2.10505_F1E327BC-269C-435d-A152-05C5408002CA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2008-09-12T01:20:00Z</dcterms:created>
  <dc:creator>Administrator</dc:creator>
  <cp:lastModifiedBy>ht706</cp:lastModifiedBy>
  <dcterms:modified xsi:type="dcterms:W3CDTF">2023-10-27T17:31:35Z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2052-11.8.2.10505</vt:lpwstr>
  </property>
  <property fmtid="{D5CDD505-2E9C-101B-9397-08002B2CF9AE}" pid="3" name="ICV">
    <vt:lpwstr>1796C4EB47FD479D91D24A9A522B96BD</vt:lpwstr>
  </property>
</Properties>
</file>