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仿宋" w:hAnsi="仿宋" w:eastAsia="仿宋" w:cs="仿宋"/>
          <w:b/>
          <w:bCs/>
          <w:sz w:val="44"/>
          <w:szCs w:val="44"/>
          <w:highlight w:val="none"/>
          <w:shd w:val="clear" w:color="auto" w:fill="FFFFFF"/>
          <w:lang w:eastAsia="zh-CN"/>
        </w:rPr>
      </w:pPr>
      <w:bookmarkStart w:id="5" w:name="_GoBack"/>
      <w:bookmarkEnd w:id="5"/>
      <w:r>
        <w:rPr>
          <w:rFonts w:hint="eastAsia" w:ascii="仿宋" w:hAnsi="仿宋" w:eastAsia="仿宋" w:cs="仿宋"/>
          <w:b/>
          <w:bCs/>
          <w:sz w:val="44"/>
          <w:szCs w:val="44"/>
          <w:highlight w:val="none"/>
          <w:shd w:val="clear" w:color="auto" w:fill="FFFFFF"/>
          <w:lang w:eastAsia="zh-CN"/>
        </w:rPr>
        <w:t>广东消费帮扶交易中心推介活动搭建执行项目</w:t>
      </w:r>
    </w:p>
    <w:p>
      <w:pPr>
        <w:spacing w:line="276" w:lineRule="auto"/>
        <w:jc w:val="center"/>
        <w:rPr>
          <w:rFonts w:hint="eastAsia"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（加盖公章）</w:t>
      </w:r>
    </w:p>
    <w:p>
      <w:pPr>
        <w:spacing w:line="480" w:lineRule="exact"/>
        <w:jc w:val="left"/>
        <w:rPr>
          <w:bCs/>
          <w:sz w:val="28"/>
          <w:szCs w:val="28"/>
          <w:highlight w:val="none"/>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bookmarkStart w:id="0" w:name="_Toc1651923"/>
      <w:bookmarkStart w:id="1" w:name="_Toc54357675"/>
    </w:p>
    <w:bookmarkEnd w:id="0"/>
    <w:bookmarkEnd w:id="1"/>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ascii="仿宋" w:hAnsi="仿宋" w:eastAsia="仿宋" w:cs="仿宋"/>
          <w:bCs/>
          <w:color w:val="000000"/>
          <w:kern w:val="0"/>
          <w:sz w:val="24"/>
          <w:szCs w:val="24"/>
          <w:highlight w:val="none"/>
        </w:rPr>
      </w:pPr>
      <w:r>
        <w:rPr>
          <w:rFonts w:hint="eastAsia" w:ascii="仿宋" w:hAnsi="仿宋" w:eastAsia="仿宋" w:cs="仿宋"/>
          <w:color w:val="000000"/>
          <w:sz w:val="28"/>
          <w:szCs w:val="28"/>
          <w:highlight w:val="none"/>
        </w:rPr>
        <w:t>经认真阅读“</w:t>
      </w:r>
      <w:r>
        <w:rPr>
          <w:rFonts w:hint="eastAsia" w:ascii="仿宋" w:hAnsi="仿宋" w:eastAsia="仿宋" w:cs="仿宋"/>
          <w:color w:val="000000"/>
          <w:sz w:val="28"/>
          <w:szCs w:val="28"/>
          <w:highlight w:val="none"/>
          <w:lang w:eastAsia="zh-CN"/>
        </w:rPr>
        <w:t>广东消费帮扶交易中心推介活动搭建执行项目</w:t>
      </w:r>
      <w:r>
        <w:rPr>
          <w:rFonts w:hint="eastAsia" w:ascii="仿宋" w:hAnsi="仿宋" w:eastAsia="仿宋" w:cs="仿宋"/>
          <w:color w:val="000000"/>
          <w:sz w:val="28"/>
          <w:szCs w:val="28"/>
          <w:highlight w:val="none"/>
        </w:rPr>
        <w:t>”采购公告，我司符合本项目的资格条件，已完全了解采购公告相关内容，承诺按照采购公告的要求提供产品和服务。分项明细报价与总报价（单位：人民币元）如下：</w:t>
      </w:r>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一、报价表</w:t>
      </w:r>
    </w:p>
    <w:tbl>
      <w:tblPr>
        <w:tblStyle w:val="13"/>
        <w:tblW w:w="8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876"/>
        <w:gridCol w:w="2764"/>
        <w:gridCol w:w="807"/>
        <w:gridCol w:w="996"/>
        <w:gridCol w:w="1107"/>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序号</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内容</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具体说明</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单位</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单价</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物料设计、租赁及搭建</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开业仪式舞台高清LED,P2.5屏,配服务器、线材、控屏师，总计不少于80平方米</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平方米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舞台搭建，铁制脚架铺合成木板，舞台面积不少于200平方米，拉绒厚地毯含舞台包边，以及特装阶梯</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平方米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线阵音响系统，含12个全频线阵、4个次低音阵列，8个监听设备，专业有线话筒2支，无线手持话筒6支，数码音频处理器1台等，满足不少于1000平方米场地使用，不少于2场活动</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灯光及设备，长把射灯不少于4套，追光灯不少于1台（功率2000W，待带两档切换），直播专用补光灯不少于2套，含灯光师、配套电源、电线，使用不少于2天</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讲话台及三面包边kt板，包边尺寸约2m长*1m高，含垫高板</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麦盒，8cm长*6cm高</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控台及围挡，桁架+黑底灯布</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展位搭建及氛围布置，含特色农产品、特色小吃展示、桌子1张、椅子2张、3天用电及供应用水，不少于15套</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氛围展板，桁架+黑底灯布，不少于300平方米</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平方米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kt板氛围装饰，不少于60平方米</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平方米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站位贴，数字1-10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地贴，直径约1m，不少于20个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易拉宝，1m长*2m高，不少于15个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大众福利引流产品，含特色农产品、文创产品等，不少于2500份</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份</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异形打卡点，6m长*3m高，桁架+kt板，分层，不少于2套</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彩旗，画面尺寸0.4m长*1.2m高，配竹竿</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注水道旗，画面尺寸0.5m长*1.5m高，双面印刷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证件制作，PVC硬卡，含挂绳，双面印刷，8cm长*12cm高</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参会手册，不少于20P，全书双面彩印，A4，铜版纸，含装订</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打印机、电脑租赁，参会议程等材料现场印刷，含会议用纸不少于2打</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亚克力透明台牌，18cm长*10cm高，含内页，满足不少于2场活动</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瓶装矿泉水350ml，3天</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长条桌+桌布租赁，约1.5m长，满足不少于2场活动</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背靠椅+弹力椅套租赁，满足不少于2场活动</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揭幕用品或剪彩用品，不少于2套，满足不少于2个500平方米场馆使用，包括移动音响、地毯、绒布</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活动现场3D效果图设计及施工图导出、全场延伸氛围设计</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运输费</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搭建费</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嘉宾邀请、执行人员组织</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省级专业主持人，含服装、彩排、正式演出、往返交通、餐饮、住宿，1天，满足不少于2场活动</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名</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专业礼仪，含服装、彩排、正式演出、往返交通、餐饮、住宿，1天，满足不少于2场活动</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名</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22"/>
                <w:szCs w:val="22"/>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表演节目，不少于2个，节目类型暂定民族舞蹈、广东醒狮，含服装、彩排、正式演出、往返交通、餐饮、住宿</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22"/>
                <w:szCs w:val="22"/>
                <w:u w:val="none"/>
              </w:rPr>
            </w:pPr>
          </w:p>
        </w:tc>
      </w:tr>
    </w:tbl>
    <w:p>
      <w:pPr>
        <w:pStyle w:val="8"/>
        <w:spacing w:line="570" w:lineRule="exact"/>
        <w:ind w:firstLine="562" w:firstLineChars="200"/>
        <w:jc w:val="left"/>
        <w:rPr>
          <w:rFonts w:hint="eastAsia" w:ascii="仿宋" w:hAnsi="仿宋" w:eastAsia="仿宋" w:cs="仿宋"/>
          <w:b/>
          <w:color w:val="000000"/>
          <w:kern w:val="0"/>
          <w:sz w:val="28"/>
          <w:szCs w:val="28"/>
          <w:highlight w:val="none"/>
        </w:rPr>
      </w:pPr>
    </w:p>
    <w:p>
      <w:pPr>
        <w:pStyle w:val="8"/>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pPr>
        <w:snapToGrid w:val="0"/>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pPr>
        <w:spacing w:line="570" w:lineRule="exact"/>
        <w:jc w:val="left"/>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pPr>
        <w:spacing w:after="200" w:line="400" w:lineRule="exact"/>
        <w:jc w:val="center"/>
        <w:rPr>
          <w:rFonts w:hint="eastAsia" w:ascii="仿宋" w:hAnsi="仿宋" w:eastAsia="仿宋" w:cs="仿宋"/>
          <w:b/>
          <w:color w:val="000000"/>
          <w:sz w:val="28"/>
          <w:szCs w:val="28"/>
          <w:highlight w:val="none"/>
        </w:rPr>
        <w:sectPr>
          <w:pgSz w:w="11906" w:h="16838"/>
          <w:pgMar w:top="1440" w:right="1800" w:bottom="1440" w:left="1800" w:header="851" w:footer="992" w:gutter="0"/>
          <w:cols w:space="720" w:num="1"/>
          <w:docGrid w:type="lines" w:linePitch="312" w:charSpace="0"/>
        </w:sectPr>
      </w:pPr>
      <w:bookmarkStart w:id="2" w:name="_Toc34146941"/>
      <w:bookmarkStart w:id="3" w:name="_Toc475472676"/>
      <w:bookmarkStart w:id="4" w:name="_Toc1651903"/>
    </w:p>
    <w:p>
      <w:pPr>
        <w:spacing w:after="200" w:line="40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4、提供自2021年以来同类项目（搭建/会议服务）业绩两项（附合同关键页）。</w:t>
      </w:r>
    </w:p>
    <w:p>
      <w:pPr>
        <w:pStyle w:val="4"/>
        <w:rPr>
          <w:rFonts w:ascii="仿宋" w:hAnsi="仿宋" w:eastAsia="仿宋" w:cs="仿宋"/>
          <w:kern w:val="0"/>
          <w:sz w:val="28"/>
          <w:szCs w:val="28"/>
          <w:highlight w:val="none"/>
        </w:rPr>
      </w:pPr>
    </w:p>
    <w:bookmarkEnd w:id="2"/>
    <w:bookmarkEnd w:id="3"/>
    <w:bookmarkEnd w:id="4"/>
    <w:p>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pPr>
        <w:pStyle w:val="11"/>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pPr>
        <w:spacing w:line="276" w:lineRule="auto"/>
        <w:jc w:val="center"/>
        <w:rPr>
          <w:rFonts w:ascii="宋体" w:hAnsi="宋体" w:cs="宋体"/>
          <w:b/>
          <w:sz w:val="24"/>
          <w:highlight w:val="none"/>
        </w:rPr>
      </w:pPr>
    </w:p>
    <w:p>
      <w:pPr>
        <w:tabs>
          <w:tab w:val="left" w:pos="8364"/>
        </w:tabs>
        <w:snapToGrid w:val="0"/>
        <w:spacing w:line="360" w:lineRule="auto"/>
        <w:ind w:right="-58"/>
        <w:rPr>
          <w:rFonts w:ascii="宋体" w:hAnsi="宋体" w:cs="宋体"/>
          <w:sz w:val="24"/>
          <w:highlight w:val="none"/>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pPr>
        <w:widowControl/>
        <w:spacing w:after="200" w:line="480" w:lineRule="exact"/>
        <w:ind w:firstLine="480" w:firstLineChars="200"/>
        <w:rPr>
          <w:rFonts w:ascii="宋体" w:hAnsi="宋体" w:cs="宋体"/>
          <w:bCs/>
          <w:kern w:val="0"/>
          <w:sz w:val="24"/>
          <w:highlight w:val="none"/>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 w:hAnsi="仿宋" w:eastAsia="仿宋" w:cs="仿宋"/>
          <w:bCs/>
          <w:color w:val="000000"/>
          <w:sz w:val="28"/>
          <w:szCs w:val="28"/>
          <w:highlight w:val="none"/>
          <w:lang w:eastAsia="zh-CN"/>
        </w:rPr>
        <w:t>广东消费帮扶交易中心推介活动搭建执行项目</w:t>
      </w:r>
      <w:r>
        <w:rPr>
          <w:rFonts w:hint="eastAsia" w:ascii="仿宋" w:hAnsi="仿宋" w:eastAsia="仿宋" w:cs="仿宋"/>
          <w:bCs/>
          <w:color w:val="000000"/>
          <w:sz w:val="28"/>
          <w:szCs w:val="28"/>
          <w:highlight w:val="none"/>
        </w:rPr>
        <w:t>】的【洽谈、签约、项目服务联络等】事宜。</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pPr>
        <w:pStyle w:val="10"/>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pPr>
        <w:pStyle w:val="10"/>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pPr>
        <w:pStyle w:val="10"/>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10"/>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10"/>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pPr>
        <w:pStyle w:val="10"/>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10"/>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pPr>
        <w:pStyle w:val="10"/>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10"/>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tabs>
          <w:tab w:val="left" w:pos="917"/>
        </w:tabs>
        <w:spacing w:after="200" w:line="276" w:lineRule="auto"/>
        <w:jc w:val="left"/>
        <w:rPr>
          <w:rFonts w:ascii="宋体" w:hAnsi="宋体" w:cs="宋体"/>
          <w:b/>
          <w:bCs/>
          <w:sz w:val="24"/>
          <w:highlight w:val="none"/>
        </w:rPr>
      </w:pPr>
      <w:r>
        <w:rPr>
          <w:rFonts w:hint="eastAsia" w:ascii="宋体" w:hAnsi="宋体" w:cs="宋体"/>
          <w:b/>
          <w:bCs/>
          <w:sz w:val="24"/>
          <w:highlight w:val="none"/>
        </w:rPr>
        <w:br w:type="page"/>
      </w:r>
    </w:p>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pPr>
        <w:pStyle w:val="6"/>
        <w:rPr>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pPr>
              <w:pStyle w:val="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pPr>
              <w:pStyle w:val="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pPr>
              <w:pStyle w:val="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pPr>
              <w:pStyle w:val="2"/>
              <w:ind w:firstLine="0"/>
              <w:jc w:val="center"/>
              <w:rPr>
                <w:rFonts w:ascii="仿宋" w:hAnsi="仿宋" w:eastAsia="仿宋" w:cs="仿宋"/>
                <w:sz w:val="28"/>
                <w:szCs w:val="28"/>
                <w:highlight w:val="none"/>
              </w:rPr>
            </w:pPr>
          </w:p>
        </w:tc>
        <w:tc>
          <w:tcPr>
            <w:tcW w:w="2200" w:type="dxa"/>
          </w:tcPr>
          <w:p>
            <w:pPr>
              <w:pStyle w:val="2"/>
              <w:ind w:left="0" w:leftChars="0" w:firstLine="0" w:firstLineChars="0"/>
              <w:jc w:val="center"/>
              <w:rPr>
                <w:rFonts w:ascii="仿宋" w:hAnsi="仿宋" w:eastAsia="仿宋" w:cs="仿宋"/>
                <w:sz w:val="28"/>
                <w:szCs w:val="28"/>
                <w:highlight w:val="none"/>
              </w:rPr>
            </w:pPr>
          </w:p>
        </w:tc>
        <w:tc>
          <w:tcPr>
            <w:tcW w:w="3350" w:type="dxa"/>
          </w:tcPr>
          <w:p>
            <w:pPr>
              <w:pStyle w:val="2"/>
              <w:ind w:left="0" w:leftChars="0" w:firstLine="0" w:firstLineChars="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pPr>
              <w:pStyle w:val="2"/>
              <w:ind w:firstLine="0"/>
              <w:jc w:val="center"/>
              <w:rPr>
                <w:rFonts w:ascii="仿宋" w:hAnsi="仿宋" w:eastAsia="仿宋" w:cs="仿宋"/>
                <w:sz w:val="28"/>
                <w:szCs w:val="28"/>
                <w:highlight w:val="none"/>
              </w:rPr>
            </w:pPr>
          </w:p>
        </w:tc>
        <w:tc>
          <w:tcPr>
            <w:tcW w:w="2200" w:type="dxa"/>
          </w:tcPr>
          <w:p>
            <w:pPr>
              <w:pStyle w:val="2"/>
              <w:ind w:left="0" w:leftChars="0" w:firstLine="0" w:firstLineChars="0"/>
              <w:jc w:val="center"/>
              <w:rPr>
                <w:rFonts w:ascii="仿宋" w:hAnsi="仿宋" w:eastAsia="仿宋" w:cs="仿宋"/>
                <w:sz w:val="28"/>
                <w:szCs w:val="28"/>
                <w:highlight w:val="none"/>
              </w:rPr>
            </w:pPr>
          </w:p>
        </w:tc>
        <w:tc>
          <w:tcPr>
            <w:tcW w:w="3350" w:type="dxa"/>
          </w:tcPr>
          <w:p>
            <w:pPr>
              <w:pStyle w:val="2"/>
              <w:ind w:left="0" w:leftChars="0" w:firstLine="0" w:firstLineChars="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pPr>
              <w:pStyle w:val="2"/>
              <w:ind w:firstLine="0"/>
              <w:jc w:val="center"/>
              <w:rPr>
                <w:rFonts w:ascii="仿宋" w:hAnsi="仿宋" w:eastAsia="仿宋" w:cs="仿宋"/>
                <w:sz w:val="28"/>
                <w:szCs w:val="28"/>
                <w:highlight w:val="none"/>
              </w:rPr>
            </w:pPr>
          </w:p>
        </w:tc>
        <w:tc>
          <w:tcPr>
            <w:tcW w:w="2200" w:type="dxa"/>
          </w:tcPr>
          <w:p>
            <w:pPr>
              <w:pStyle w:val="2"/>
              <w:ind w:left="0" w:leftChars="0" w:firstLine="0" w:firstLineChars="0"/>
              <w:jc w:val="center"/>
              <w:rPr>
                <w:rFonts w:ascii="仿宋" w:hAnsi="仿宋" w:eastAsia="仿宋" w:cs="仿宋"/>
                <w:sz w:val="28"/>
                <w:szCs w:val="28"/>
                <w:highlight w:val="none"/>
              </w:rPr>
            </w:pPr>
          </w:p>
        </w:tc>
        <w:tc>
          <w:tcPr>
            <w:tcW w:w="3350" w:type="dxa"/>
          </w:tcPr>
          <w:p>
            <w:pPr>
              <w:pStyle w:val="2"/>
              <w:ind w:left="0" w:leftChars="0" w:firstLine="0" w:firstLineChars="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pPr>
              <w:pStyle w:val="2"/>
              <w:ind w:firstLine="0"/>
              <w:jc w:val="center"/>
              <w:rPr>
                <w:rFonts w:ascii="仿宋" w:hAnsi="仿宋" w:eastAsia="仿宋" w:cs="仿宋"/>
                <w:sz w:val="28"/>
                <w:szCs w:val="28"/>
                <w:highlight w:val="none"/>
              </w:rPr>
            </w:pPr>
          </w:p>
        </w:tc>
        <w:tc>
          <w:tcPr>
            <w:tcW w:w="2200" w:type="dxa"/>
          </w:tcPr>
          <w:p>
            <w:pPr>
              <w:pStyle w:val="2"/>
              <w:ind w:left="0" w:leftChars="0" w:firstLine="0" w:firstLineChars="0"/>
              <w:jc w:val="center"/>
              <w:rPr>
                <w:rFonts w:ascii="仿宋" w:hAnsi="仿宋" w:eastAsia="仿宋" w:cs="仿宋"/>
                <w:sz w:val="28"/>
                <w:szCs w:val="28"/>
                <w:highlight w:val="none"/>
              </w:rPr>
            </w:pPr>
          </w:p>
        </w:tc>
        <w:tc>
          <w:tcPr>
            <w:tcW w:w="3350" w:type="dxa"/>
          </w:tcPr>
          <w:p>
            <w:pPr>
              <w:pStyle w:val="2"/>
              <w:ind w:left="0" w:leftChars="0" w:firstLine="0" w:firstLineChars="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pPr>
              <w:pStyle w:val="2"/>
              <w:jc w:val="center"/>
              <w:rPr>
                <w:rFonts w:ascii="仿宋" w:hAnsi="仿宋" w:eastAsia="仿宋" w:cs="仿宋"/>
                <w:sz w:val="28"/>
                <w:szCs w:val="28"/>
                <w:highlight w:val="none"/>
              </w:rPr>
            </w:pPr>
          </w:p>
        </w:tc>
        <w:tc>
          <w:tcPr>
            <w:tcW w:w="2200" w:type="dxa"/>
          </w:tcPr>
          <w:p>
            <w:pPr>
              <w:pStyle w:val="2"/>
              <w:ind w:left="0" w:leftChars="0" w:firstLine="0" w:firstLineChars="0"/>
              <w:jc w:val="center"/>
              <w:rPr>
                <w:rFonts w:ascii="仿宋" w:hAnsi="仿宋" w:eastAsia="仿宋" w:cs="仿宋"/>
                <w:sz w:val="28"/>
                <w:szCs w:val="28"/>
                <w:highlight w:val="none"/>
              </w:rPr>
            </w:pPr>
          </w:p>
        </w:tc>
        <w:tc>
          <w:tcPr>
            <w:tcW w:w="3350" w:type="dxa"/>
          </w:tcPr>
          <w:p>
            <w:pPr>
              <w:pStyle w:val="2"/>
              <w:ind w:left="0" w:leftChars="0" w:firstLine="0" w:firstLineChars="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pPr>
              <w:pStyle w:val="2"/>
              <w:ind w:left="0" w:leftChars="0" w:firstLine="0" w:firstLineChars="0"/>
              <w:jc w:val="center"/>
              <w:rPr>
                <w:rFonts w:ascii="仿宋" w:hAnsi="仿宋" w:eastAsia="仿宋" w:cs="仿宋"/>
                <w:sz w:val="28"/>
                <w:szCs w:val="28"/>
                <w:highlight w:val="none"/>
              </w:rPr>
            </w:pPr>
          </w:p>
        </w:tc>
        <w:tc>
          <w:tcPr>
            <w:tcW w:w="2200" w:type="dxa"/>
          </w:tcPr>
          <w:p>
            <w:pPr>
              <w:pStyle w:val="2"/>
              <w:ind w:left="0" w:leftChars="0" w:firstLine="0" w:firstLineChars="0"/>
              <w:jc w:val="center"/>
              <w:rPr>
                <w:rFonts w:ascii="仿宋" w:hAnsi="仿宋" w:eastAsia="仿宋" w:cs="仿宋"/>
                <w:sz w:val="28"/>
                <w:szCs w:val="28"/>
                <w:highlight w:val="none"/>
              </w:rPr>
            </w:pPr>
          </w:p>
        </w:tc>
        <w:tc>
          <w:tcPr>
            <w:tcW w:w="3350" w:type="dxa"/>
          </w:tcPr>
          <w:p>
            <w:pPr>
              <w:pStyle w:val="2"/>
              <w:ind w:left="0" w:leftChars="0" w:firstLine="0" w:firstLineChars="0"/>
              <w:jc w:val="center"/>
              <w:rPr>
                <w:rFonts w:ascii="仿宋" w:hAnsi="仿宋" w:eastAsia="仿宋" w:cs="仿宋"/>
                <w:sz w:val="28"/>
                <w:szCs w:val="28"/>
                <w:highlight w:val="none"/>
              </w:rPr>
            </w:pPr>
          </w:p>
        </w:tc>
      </w:tr>
    </w:tbl>
    <w:p>
      <w:pPr>
        <w:pStyle w:val="12"/>
        <w:spacing w:after="200" w:line="276" w:lineRule="auto"/>
        <w:ind w:firstLine="0" w:firstLineChars="0"/>
        <w:jc w:val="left"/>
        <w:rPr>
          <w:rFonts w:ascii="仿宋" w:hAnsi="仿宋" w:eastAsia="仿宋" w:cs="仿宋"/>
          <w:b/>
          <w:kern w:val="0"/>
          <w:sz w:val="28"/>
          <w:szCs w:val="28"/>
          <w:highlight w:val="none"/>
        </w:rPr>
      </w:pPr>
    </w:p>
    <w:p>
      <w:pPr>
        <w:pStyle w:val="12"/>
        <w:ind w:left="0" w:leftChars="0" w:firstLine="0" w:firstLineChars="0"/>
        <w:jc w:val="left"/>
        <w:rPr>
          <w:rFonts w:hint="eastAsia" w:ascii="仿宋" w:hAnsi="仿宋" w:eastAsia="仿宋" w:cs="仿宋"/>
          <w:b/>
          <w:color w:val="auto"/>
          <w:kern w:val="0"/>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color w:val="auto"/>
          <w:kern w:val="0"/>
          <w:sz w:val="28"/>
          <w:szCs w:val="28"/>
          <w:lang w:val="en-US" w:eastAsia="zh-CN" w:bidi="ar-SA"/>
        </w:rPr>
        <w:t>【提供人员经社保局盖章的2023年10月至今至少1个月的本单位缴纳社保的证明材料，否则不得分。】</w:t>
      </w:r>
    </w:p>
    <w:p>
      <w:pPr>
        <w:pStyle w:val="12"/>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pPr>
        <w:spacing w:after="200" w:line="340" w:lineRule="exact"/>
        <w:jc w:val="center"/>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（提供项目服务方案，格式自拟）</w:t>
      </w:r>
    </w:p>
    <w:p>
      <w:pPr>
        <w:pStyle w:val="6"/>
        <w:rPr>
          <w:highlight w:val="none"/>
        </w:rPr>
      </w:pPr>
    </w:p>
    <w:p>
      <w:pPr>
        <w:pStyle w:val="12"/>
        <w:spacing w:after="0"/>
        <w:ind w:firstLine="0" w:firstLineChars="0"/>
        <w:jc w:val="center"/>
        <w:rPr>
          <w:rFonts w:hint="eastAsia" w:ascii="仿宋" w:hAnsi="仿宋" w:eastAsia="仿宋" w:cs="仿宋"/>
          <w:b/>
          <w:bCs/>
          <w:sz w:val="28"/>
          <w:szCs w:val="28"/>
          <w:highlight w:val="none"/>
        </w:rPr>
      </w:pPr>
    </w:p>
    <w:p>
      <w:pPr>
        <w:pStyle w:val="12"/>
        <w:spacing w:after="0"/>
        <w:ind w:firstLine="0" w:firstLineChars="0"/>
        <w:jc w:val="center"/>
      </w:pPr>
      <w:r>
        <w:rPr>
          <w:rFonts w:hint="eastAsia" w:ascii="仿宋" w:hAnsi="仿宋" w:eastAsia="仿宋" w:cs="仿宋"/>
          <w:b/>
          <w:bCs/>
          <w:sz w:val="28"/>
          <w:szCs w:val="28"/>
          <w:highlight w:val="none"/>
        </w:rPr>
        <w:t>九、报价人认为需要补充的其他资料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jkwYzk3NmNiNDM3NGRjMjkwMjlhMmRhOTk1Y2YifQ=="/>
    <w:docVar w:name="KSO_WPS_MARK_KEY" w:val="bb9682b2-9e9a-4f79-8ae2-b36a7f3673af"/>
  </w:docVars>
  <w:rsids>
    <w:rsidRoot w:val="2F92180C"/>
    <w:rsid w:val="08FDEA0D"/>
    <w:rsid w:val="09EFBF67"/>
    <w:rsid w:val="0CAEA94D"/>
    <w:rsid w:val="13EB732F"/>
    <w:rsid w:val="1EFC4527"/>
    <w:rsid w:val="1F3FCE12"/>
    <w:rsid w:val="1F7F90A0"/>
    <w:rsid w:val="1FE30A1D"/>
    <w:rsid w:val="1FEFCEBE"/>
    <w:rsid w:val="23FE8819"/>
    <w:rsid w:val="267D73F3"/>
    <w:rsid w:val="278B375A"/>
    <w:rsid w:val="27EF6CFC"/>
    <w:rsid w:val="2AED97C9"/>
    <w:rsid w:val="2AF72A74"/>
    <w:rsid w:val="2AFFCF5A"/>
    <w:rsid w:val="2B5F5CB3"/>
    <w:rsid w:val="2ED2E93F"/>
    <w:rsid w:val="2EFF04F0"/>
    <w:rsid w:val="2F92180C"/>
    <w:rsid w:val="2FE741A2"/>
    <w:rsid w:val="2FFF3D18"/>
    <w:rsid w:val="3AFF2EAC"/>
    <w:rsid w:val="3B7C1E44"/>
    <w:rsid w:val="3CF3447F"/>
    <w:rsid w:val="3D576A84"/>
    <w:rsid w:val="3F7BA659"/>
    <w:rsid w:val="3F7DCD4F"/>
    <w:rsid w:val="3FCA1C41"/>
    <w:rsid w:val="3FEF43F7"/>
    <w:rsid w:val="3FFFDEEF"/>
    <w:rsid w:val="46A40006"/>
    <w:rsid w:val="4BDBC3EE"/>
    <w:rsid w:val="4DEF08CB"/>
    <w:rsid w:val="4EE41536"/>
    <w:rsid w:val="4FA6D909"/>
    <w:rsid w:val="53F48DC0"/>
    <w:rsid w:val="56C58ECD"/>
    <w:rsid w:val="5783173F"/>
    <w:rsid w:val="57F3A0F9"/>
    <w:rsid w:val="57FF12E4"/>
    <w:rsid w:val="59FFDDC7"/>
    <w:rsid w:val="5A7E7C79"/>
    <w:rsid w:val="5BD1F9A7"/>
    <w:rsid w:val="5BDE2579"/>
    <w:rsid w:val="5BF989C1"/>
    <w:rsid w:val="5C1F3D6A"/>
    <w:rsid w:val="5DBF4520"/>
    <w:rsid w:val="5DFF7D15"/>
    <w:rsid w:val="5FF5F104"/>
    <w:rsid w:val="637D5757"/>
    <w:rsid w:val="63BEE056"/>
    <w:rsid w:val="677FF26F"/>
    <w:rsid w:val="69FD2B04"/>
    <w:rsid w:val="6AFE67AC"/>
    <w:rsid w:val="6B37646A"/>
    <w:rsid w:val="6BB9B174"/>
    <w:rsid w:val="6CBEBC44"/>
    <w:rsid w:val="6CF25E1F"/>
    <w:rsid w:val="6DE53013"/>
    <w:rsid w:val="6DEF672B"/>
    <w:rsid w:val="6EDA2107"/>
    <w:rsid w:val="6EF7FCFF"/>
    <w:rsid w:val="6F6E7B74"/>
    <w:rsid w:val="6F775526"/>
    <w:rsid w:val="6FBFF41B"/>
    <w:rsid w:val="6FCF5555"/>
    <w:rsid w:val="6FDBA084"/>
    <w:rsid w:val="6FDD06C4"/>
    <w:rsid w:val="6FDF5C9C"/>
    <w:rsid w:val="6FFC70DA"/>
    <w:rsid w:val="6FFFA593"/>
    <w:rsid w:val="75EF1661"/>
    <w:rsid w:val="75FE2E38"/>
    <w:rsid w:val="762A60AE"/>
    <w:rsid w:val="76DA857F"/>
    <w:rsid w:val="7739F044"/>
    <w:rsid w:val="774FFE6C"/>
    <w:rsid w:val="77CF75E1"/>
    <w:rsid w:val="787DCAC5"/>
    <w:rsid w:val="78FD204A"/>
    <w:rsid w:val="7979295C"/>
    <w:rsid w:val="797B7DD1"/>
    <w:rsid w:val="797D4631"/>
    <w:rsid w:val="799D7628"/>
    <w:rsid w:val="79EE8D61"/>
    <w:rsid w:val="7A3E5372"/>
    <w:rsid w:val="7B19CDC5"/>
    <w:rsid w:val="7B675F7A"/>
    <w:rsid w:val="7BFA8B74"/>
    <w:rsid w:val="7BFF84C8"/>
    <w:rsid w:val="7C7F3461"/>
    <w:rsid w:val="7CBD4238"/>
    <w:rsid w:val="7D5740DD"/>
    <w:rsid w:val="7D73353D"/>
    <w:rsid w:val="7DBD9C22"/>
    <w:rsid w:val="7DD705AC"/>
    <w:rsid w:val="7DFB551A"/>
    <w:rsid w:val="7DFEFD63"/>
    <w:rsid w:val="7E8FD4F2"/>
    <w:rsid w:val="7EABD7EA"/>
    <w:rsid w:val="7EBB0FD9"/>
    <w:rsid w:val="7EFDB909"/>
    <w:rsid w:val="7EFFD52B"/>
    <w:rsid w:val="7F1722E5"/>
    <w:rsid w:val="7F2B96D8"/>
    <w:rsid w:val="7F2F401A"/>
    <w:rsid w:val="7F6301AE"/>
    <w:rsid w:val="7F7FBBE4"/>
    <w:rsid w:val="7FCB7A16"/>
    <w:rsid w:val="7FD7EB0F"/>
    <w:rsid w:val="7FE51980"/>
    <w:rsid w:val="7FEAB6A4"/>
    <w:rsid w:val="7FEF680A"/>
    <w:rsid w:val="7FF93E44"/>
    <w:rsid w:val="7FFF32F4"/>
    <w:rsid w:val="7FFFD044"/>
    <w:rsid w:val="8537EE4F"/>
    <w:rsid w:val="8F5B087E"/>
    <w:rsid w:val="93FB5223"/>
    <w:rsid w:val="94CE6786"/>
    <w:rsid w:val="94FCD9EA"/>
    <w:rsid w:val="96FFDF7D"/>
    <w:rsid w:val="97FEE3E8"/>
    <w:rsid w:val="997C8081"/>
    <w:rsid w:val="9ABD67F3"/>
    <w:rsid w:val="9DDFCE8D"/>
    <w:rsid w:val="9EAB4CDA"/>
    <w:rsid w:val="9EBFE23B"/>
    <w:rsid w:val="9EDC5BFA"/>
    <w:rsid w:val="9F67DEDD"/>
    <w:rsid w:val="9FFD92C0"/>
    <w:rsid w:val="AB822D57"/>
    <w:rsid w:val="AD7BE082"/>
    <w:rsid w:val="AEF716A5"/>
    <w:rsid w:val="AF6F0FC6"/>
    <w:rsid w:val="B34E81E4"/>
    <w:rsid w:val="B3DFB690"/>
    <w:rsid w:val="B4DBE126"/>
    <w:rsid w:val="B5FF3B3B"/>
    <w:rsid w:val="B65F4C32"/>
    <w:rsid w:val="B6DE488F"/>
    <w:rsid w:val="BCDC398E"/>
    <w:rsid w:val="BCFF86E3"/>
    <w:rsid w:val="BDFB86A1"/>
    <w:rsid w:val="BEF75983"/>
    <w:rsid w:val="BF7540F1"/>
    <w:rsid w:val="BF7B8B4A"/>
    <w:rsid w:val="BF7E8008"/>
    <w:rsid w:val="BFBF24FE"/>
    <w:rsid w:val="BFDF071F"/>
    <w:rsid w:val="BFEF8BE2"/>
    <w:rsid w:val="BFF7CD90"/>
    <w:rsid w:val="BFFFD6A4"/>
    <w:rsid w:val="C3B69C12"/>
    <w:rsid w:val="C3DF0C2D"/>
    <w:rsid w:val="C7EF6111"/>
    <w:rsid w:val="CD93BF89"/>
    <w:rsid w:val="D3FFBC33"/>
    <w:rsid w:val="DBED4E1D"/>
    <w:rsid w:val="DCDC45D4"/>
    <w:rsid w:val="DCFEA5FA"/>
    <w:rsid w:val="DDBC15AC"/>
    <w:rsid w:val="DDDE9221"/>
    <w:rsid w:val="DE3DDEFD"/>
    <w:rsid w:val="DEFD95FB"/>
    <w:rsid w:val="DF1F247E"/>
    <w:rsid w:val="DF7D2C49"/>
    <w:rsid w:val="DFFE2DCC"/>
    <w:rsid w:val="DFFE7426"/>
    <w:rsid w:val="DFFE9790"/>
    <w:rsid w:val="E6F48015"/>
    <w:rsid w:val="E6FF9E32"/>
    <w:rsid w:val="E7FB7D9F"/>
    <w:rsid w:val="E7FD325A"/>
    <w:rsid w:val="E7FF9A67"/>
    <w:rsid w:val="E9733D61"/>
    <w:rsid w:val="E9EF0F23"/>
    <w:rsid w:val="EB6B0436"/>
    <w:rsid w:val="ED3708A5"/>
    <w:rsid w:val="ED8F61CB"/>
    <w:rsid w:val="EDDBF6E3"/>
    <w:rsid w:val="EEBE76E1"/>
    <w:rsid w:val="EEDF3FD4"/>
    <w:rsid w:val="EEED0504"/>
    <w:rsid w:val="EF330FFD"/>
    <w:rsid w:val="EF7C953F"/>
    <w:rsid w:val="EFBFD99F"/>
    <w:rsid w:val="EFCFED84"/>
    <w:rsid w:val="EFEB7889"/>
    <w:rsid w:val="EFFF3AA8"/>
    <w:rsid w:val="EFFF4A7E"/>
    <w:rsid w:val="EFFF646F"/>
    <w:rsid w:val="F17B153D"/>
    <w:rsid w:val="F2EDC2D2"/>
    <w:rsid w:val="F3FC35D4"/>
    <w:rsid w:val="F5CFC631"/>
    <w:rsid w:val="F65D5A43"/>
    <w:rsid w:val="F7AD17C9"/>
    <w:rsid w:val="F7BE1A48"/>
    <w:rsid w:val="F7EA8E22"/>
    <w:rsid w:val="F963C201"/>
    <w:rsid w:val="FAB98D60"/>
    <w:rsid w:val="FADC5641"/>
    <w:rsid w:val="FB9FAA6F"/>
    <w:rsid w:val="FBDF491C"/>
    <w:rsid w:val="FBEBA6F6"/>
    <w:rsid w:val="FBFD2A17"/>
    <w:rsid w:val="FBFF3E4B"/>
    <w:rsid w:val="FC1F3CB1"/>
    <w:rsid w:val="FDBF4118"/>
    <w:rsid w:val="FDD989DC"/>
    <w:rsid w:val="FDE38871"/>
    <w:rsid w:val="FDFF3D2F"/>
    <w:rsid w:val="FEC5DB03"/>
    <w:rsid w:val="FEDF76EC"/>
    <w:rsid w:val="FEFB7202"/>
    <w:rsid w:val="FEFBD35D"/>
    <w:rsid w:val="FF1F03C1"/>
    <w:rsid w:val="FF2FDD93"/>
    <w:rsid w:val="FF762769"/>
    <w:rsid w:val="FFDFDF53"/>
    <w:rsid w:val="FFDFFADD"/>
    <w:rsid w:val="FFDFFE8B"/>
    <w:rsid w:val="FFEDD8D1"/>
    <w:rsid w:val="FFF302C0"/>
    <w:rsid w:val="FFF902AA"/>
    <w:rsid w:val="FFFB00CA"/>
    <w:rsid w:val="FFFB1269"/>
    <w:rsid w:val="FFFDF3CC"/>
    <w:rsid w:val="FFFFA640"/>
    <w:rsid w:val="FFFFC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style>
  <w:style w:type="paragraph" w:styleId="3">
    <w:name w:val="Body Text Indent"/>
    <w:basedOn w:val="1"/>
    <w:next w:val="4"/>
    <w:qFormat/>
    <w:uiPriority w:val="0"/>
    <w:pPr>
      <w:autoSpaceDE w:val="0"/>
      <w:autoSpaceDN w:val="0"/>
      <w:spacing w:line="360" w:lineRule="auto"/>
      <w:ind w:firstLine="420" w:firstLineChars="200"/>
    </w:pPr>
    <w:rPr>
      <w:rFonts w:ascii="宋体" w:hAnsi="宋体"/>
      <w:szCs w:val="21"/>
    </w:rPr>
  </w:style>
  <w:style w:type="paragraph" w:styleId="4">
    <w:name w:val="Normal Indent"/>
    <w:basedOn w:val="1"/>
    <w:next w:val="1"/>
    <w:qFormat/>
    <w:uiPriority w:val="0"/>
    <w:pPr>
      <w:ind w:firstLine="420" w:firstLineChars="200"/>
    </w:pPr>
    <w:rPr>
      <w:rFonts w:ascii="Times New Roman" w:hAnsi="Times New Roman" w:eastAsia="宋体" w:cs="Times New Roman"/>
      <w:sz w:val="33"/>
      <w:szCs w:val="33"/>
    </w:rPr>
  </w:style>
  <w:style w:type="paragraph" w:styleId="6">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7">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8">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9">
    <w:name w:val="toc 6"/>
    <w:basedOn w:val="1"/>
    <w:next w:val="1"/>
    <w:qFormat/>
    <w:uiPriority w:val="0"/>
    <w:pPr>
      <w:ind w:left="2100" w:leftChars="1000"/>
    </w:p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2">
    <w:name w:val="Body Text First Indent"/>
    <w:basedOn w:val="6"/>
    <w:next w:val="9"/>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3620</Words>
  <Characters>3897</Characters>
  <Lines>0</Lines>
  <Paragraphs>0</Paragraphs>
  <TotalTime>4</TotalTime>
  <ScaleCrop>false</ScaleCrop>
  <LinksUpToDate>false</LinksUpToDate>
  <CharactersWithSpaces>4104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2024-09-28T01:37:00Z</dcterms:created>
  <dc:creator>玉婷</dc:creator>
  <cp:lastModifiedBy>玉婷</cp:lastModifiedBy>
  <dcterms:modified xsi:type="dcterms:W3CDTF">2024-10-28T09:04:58Z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DC6E69CD4C5049209920502FD6550D90_13</vt:lpwstr>
  </property>
</Properties>
</file>