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hint="eastAsia" w:ascii="黑体" w:hAnsi="黑体" w:eastAsia="黑体"/>
          <w:spacing w:val="40"/>
          <w:sz w:val="36"/>
        </w:rPr>
      </w:pPr>
      <w:r>
        <w:rPr>
          <w:rFonts w:hint="eastAsia" w:ascii="黑体" w:hAnsi="黑体" w:eastAsia="黑体"/>
          <w:spacing w:val="40"/>
          <w:sz w:val="36"/>
          <w:lang w:eastAsia="zh-CN"/>
        </w:rPr>
        <w:t>信息监测配套服务项目</w:t>
      </w:r>
      <w:r>
        <w:rPr>
          <w:rFonts w:hint="eastAsia" w:ascii="黑体" w:hAnsi="黑体" w:eastAsia="黑体"/>
          <w:spacing w:val="40"/>
          <w:sz w:val="36"/>
        </w:rPr>
        <w:t xml:space="preserve">                           </w:t>
      </w:r>
    </w:p>
    <w:p>
      <w:pPr>
        <w:jc w:val="center"/>
        <w:rPr>
          <w:rFonts w:ascii="黑体" w:hAnsi="黑体" w:eastAsia="黑体"/>
          <w:spacing w:val="40"/>
          <w:sz w:val="52"/>
        </w:rPr>
      </w:pP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w:t>
      </w:r>
      <w:bookmarkStart w:id="1" w:name="_Hlk106982349"/>
      <w:r>
        <w:rPr>
          <w:rFonts w:hint="eastAsia" w:ascii="黑体" w:hAnsi="黑体" w:eastAsia="黑体"/>
          <w:sz w:val="32"/>
        </w:rPr>
        <w:t>ND</w:t>
      </w:r>
      <w:bookmarkEnd w:id="1"/>
      <w:r>
        <w:rPr>
          <w:rFonts w:hint="eastAsia" w:ascii="黑体" w:hAnsi="黑体" w:eastAsia="黑体"/>
          <w:sz w:val="32"/>
          <w:lang w:eastAsia="zh-CN"/>
        </w:rPr>
        <w:t>22080055GZ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b/>
          <w:bCs/>
          <w:sz w:val="24"/>
        </w:rPr>
      </w:pPr>
      <w:r>
        <w:rPr>
          <w:rFonts w:hint="eastAsia" w:ascii="黑体" w:hAnsi="黑体" w:eastAsia="黑体"/>
          <w:b/>
          <w:bCs/>
          <w:sz w:val="24"/>
        </w:rPr>
        <w:t>（每页加盖公章）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2" w:name="_Toc54357675"/>
      <w:bookmarkStart w:id="3" w:name="_Toc1651923"/>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信息监测配套服务项目</w:t>
      </w:r>
      <w:r>
        <w:rPr>
          <w:rFonts w:hint="eastAsia"/>
          <w:bCs/>
          <w:sz w:val="20"/>
          <w:szCs w:val="22"/>
        </w:rPr>
        <w:t>采购公告及附件（项目编号：</w:t>
      </w:r>
      <w:r>
        <w:rPr>
          <w:rFonts w:hint="eastAsia"/>
          <w:bCs/>
          <w:sz w:val="20"/>
          <w:szCs w:val="22"/>
          <w:u w:val="single"/>
        </w:rPr>
        <w:t>ND</w:t>
      </w:r>
      <w:r>
        <w:rPr>
          <w:rFonts w:hint="eastAsia"/>
          <w:bCs/>
          <w:sz w:val="20"/>
          <w:szCs w:val="22"/>
          <w:u w:val="single"/>
          <w:lang w:eastAsia="zh-CN"/>
        </w:rPr>
        <w:t>22080055GZ</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2"/>
      <w:bookmarkEnd w:id="3"/>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信息监测配套服务项目</w:t>
      </w:r>
      <w:r>
        <w:rPr>
          <w:rFonts w:hint="eastAsia"/>
          <w:bCs/>
          <w:sz w:val="20"/>
          <w:szCs w:val="22"/>
        </w:rPr>
        <w:t>采购公告及附件（项目编号：ND</w:t>
      </w:r>
      <w:r>
        <w:rPr>
          <w:rFonts w:hint="eastAsia"/>
          <w:bCs/>
          <w:sz w:val="20"/>
          <w:szCs w:val="22"/>
          <w:lang w:eastAsia="zh-CN"/>
        </w:rPr>
        <w:t>22080055GZ</w:t>
      </w:r>
      <w:r>
        <w:rPr>
          <w:rFonts w:hint="eastAsia"/>
          <w:bCs/>
          <w:sz w:val="20"/>
          <w:szCs w:val="22"/>
        </w:rPr>
        <w:t>）我方已完全了解本项目的商务与技术要求，承诺按照采购文件的要求提供产品和服务，报价如下。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w:t>
      </w:r>
      <w:bookmarkStart w:id="10" w:name="_GoBack"/>
      <w:bookmarkEnd w:id="10"/>
      <w:r>
        <w:rPr>
          <w:rFonts w:hint="eastAsia"/>
          <w:bCs/>
          <w:sz w:val="20"/>
          <w:szCs w:val="22"/>
        </w:rPr>
        <w:t>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p>
      <w:pPr>
        <w:numPr>
          <w:ilvl w:val="255"/>
          <w:numId w:val="0"/>
        </w:numPr>
      </w:pPr>
    </w:p>
    <w:tbl>
      <w:tblPr>
        <w:tblStyle w:val="38"/>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675"/>
        <w:gridCol w:w="4635"/>
        <w:gridCol w:w="875"/>
        <w:gridCol w:w="102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70" w:type="dxa"/>
            <w:shd w:val="clear" w:color="auto" w:fill="auto"/>
            <w:vAlign w:val="center"/>
          </w:tcPr>
          <w:p>
            <w:pPr>
              <w:widowControl/>
              <w:spacing w:line="360" w:lineRule="auto"/>
              <w:jc w:val="center"/>
              <w:rPr>
                <w:rFonts w:cs="宋体"/>
                <w:szCs w:val="21"/>
              </w:rPr>
            </w:pPr>
            <w:r>
              <w:rPr>
                <w:rFonts w:hint="eastAsia" w:cs="宋体"/>
                <w:szCs w:val="21"/>
              </w:rPr>
              <w:t>分类</w:t>
            </w:r>
          </w:p>
        </w:tc>
        <w:tc>
          <w:tcPr>
            <w:tcW w:w="675" w:type="dxa"/>
            <w:shd w:val="clear" w:color="auto" w:fill="auto"/>
            <w:vAlign w:val="center"/>
          </w:tcPr>
          <w:p>
            <w:pPr>
              <w:widowControl/>
              <w:spacing w:line="360" w:lineRule="auto"/>
              <w:jc w:val="center"/>
              <w:rPr>
                <w:rFonts w:cs="宋体"/>
                <w:szCs w:val="21"/>
              </w:rPr>
            </w:pPr>
            <w:r>
              <w:rPr>
                <w:rFonts w:hint="eastAsia" w:cs="宋体"/>
                <w:szCs w:val="21"/>
              </w:rPr>
              <w:t>序号</w:t>
            </w:r>
          </w:p>
        </w:tc>
        <w:tc>
          <w:tcPr>
            <w:tcW w:w="4635" w:type="dxa"/>
            <w:shd w:val="clear" w:color="auto" w:fill="auto"/>
            <w:vAlign w:val="center"/>
          </w:tcPr>
          <w:p>
            <w:pPr>
              <w:widowControl/>
              <w:spacing w:line="360" w:lineRule="auto"/>
              <w:jc w:val="center"/>
              <w:rPr>
                <w:rFonts w:cs="宋体"/>
                <w:szCs w:val="21"/>
              </w:rPr>
            </w:pPr>
            <w:r>
              <w:rPr>
                <w:rFonts w:hint="eastAsia" w:cs="宋体"/>
                <w:szCs w:val="21"/>
              </w:rPr>
              <w:t>服务内容</w:t>
            </w:r>
          </w:p>
        </w:tc>
        <w:tc>
          <w:tcPr>
            <w:tcW w:w="875" w:type="dxa"/>
            <w:shd w:val="clear" w:color="auto" w:fill="auto"/>
            <w:vAlign w:val="center"/>
          </w:tcPr>
          <w:p>
            <w:pPr>
              <w:widowControl/>
              <w:spacing w:line="360" w:lineRule="auto"/>
              <w:jc w:val="center"/>
              <w:rPr>
                <w:rFonts w:cs="宋体"/>
                <w:szCs w:val="21"/>
              </w:rPr>
            </w:pPr>
            <w:r>
              <w:rPr>
                <w:rFonts w:hint="eastAsia" w:cs="宋体"/>
                <w:szCs w:val="21"/>
              </w:rPr>
              <w:t>数量</w:t>
            </w:r>
          </w:p>
        </w:tc>
        <w:tc>
          <w:tcPr>
            <w:tcW w:w="1020" w:type="dxa"/>
            <w:vAlign w:val="center"/>
          </w:tcPr>
          <w:p>
            <w:pPr>
              <w:widowControl/>
              <w:spacing w:line="360" w:lineRule="auto"/>
              <w:jc w:val="center"/>
              <w:rPr>
                <w:rFonts w:cs="宋体"/>
                <w:szCs w:val="21"/>
              </w:rPr>
            </w:pPr>
            <w:r>
              <w:rPr>
                <w:rFonts w:hint="eastAsia" w:cs="宋体"/>
                <w:szCs w:val="21"/>
              </w:rPr>
              <w:t>单价/元</w:t>
            </w:r>
          </w:p>
        </w:tc>
        <w:tc>
          <w:tcPr>
            <w:tcW w:w="1110" w:type="dxa"/>
            <w:shd w:val="clear" w:color="auto" w:fill="auto"/>
            <w:vAlign w:val="center"/>
          </w:tcPr>
          <w:p>
            <w:pPr>
              <w:widowControl/>
              <w:spacing w:line="360" w:lineRule="auto"/>
              <w:jc w:val="center"/>
              <w:rPr>
                <w:rFonts w:hint="default" w:eastAsia="宋体" w:cs="宋体"/>
                <w:szCs w:val="21"/>
                <w:lang w:val="en-US" w:eastAsia="zh-CN"/>
              </w:rPr>
            </w:pPr>
            <w:r>
              <w:rPr>
                <w:rFonts w:hint="eastAsia" w:cs="宋体"/>
                <w:szCs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shd w:val="clear" w:color="auto" w:fill="auto"/>
            <w:vAlign w:val="center"/>
          </w:tcPr>
          <w:p>
            <w:pPr>
              <w:widowControl/>
              <w:spacing w:line="360" w:lineRule="auto"/>
              <w:jc w:val="center"/>
              <w:rPr>
                <w:rFonts w:cs="宋体"/>
                <w:szCs w:val="21"/>
              </w:rPr>
            </w:pPr>
            <w:r>
              <w:rPr>
                <w:rFonts w:hint="eastAsia" w:cs="宋体"/>
                <w:color w:val="000000"/>
                <w:szCs w:val="21"/>
                <w:lang w:val="en-US" w:eastAsia="zh-CN" w:bidi="ar"/>
              </w:rPr>
              <w:t>信息</w:t>
            </w:r>
            <w:r>
              <w:rPr>
                <w:rFonts w:hint="eastAsia" w:cs="宋体"/>
                <w:color w:val="000000"/>
                <w:szCs w:val="21"/>
                <w:lang w:bidi="ar"/>
              </w:rPr>
              <w:t>监测/体验服务</w:t>
            </w:r>
          </w:p>
        </w:tc>
        <w:tc>
          <w:tcPr>
            <w:tcW w:w="675" w:type="dxa"/>
            <w:shd w:val="clear" w:color="auto" w:fill="auto"/>
            <w:vAlign w:val="center"/>
          </w:tcPr>
          <w:p>
            <w:pPr>
              <w:widowControl/>
              <w:spacing w:line="360" w:lineRule="auto"/>
              <w:jc w:val="center"/>
              <w:rPr>
                <w:rFonts w:cs="宋体"/>
                <w:szCs w:val="21"/>
              </w:rPr>
            </w:pPr>
            <w:r>
              <w:rPr>
                <w:rFonts w:hint="eastAsia" w:cs="宋体"/>
                <w:szCs w:val="21"/>
              </w:rPr>
              <w:t>1</w:t>
            </w:r>
          </w:p>
        </w:tc>
        <w:tc>
          <w:tcPr>
            <w:tcW w:w="4635" w:type="dxa"/>
            <w:shd w:val="clear" w:color="auto" w:fill="auto"/>
            <w:vAlign w:val="center"/>
          </w:tcPr>
          <w:p>
            <w:pPr>
              <w:widowControl/>
              <w:spacing w:line="360" w:lineRule="auto"/>
              <w:jc w:val="left"/>
              <w:rPr>
                <w:rFonts w:hint="default" w:eastAsia="宋体" w:cs="宋体"/>
                <w:color w:val="000000"/>
                <w:szCs w:val="21"/>
                <w:lang w:val="en-US" w:eastAsia="zh-CN" w:bidi="ar"/>
              </w:rPr>
            </w:pPr>
            <w:r>
              <w:rPr>
                <w:rFonts w:hint="eastAsia" w:cs="宋体"/>
                <w:color w:val="000000"/>
                <w:szCs w:val="21"/>
                <w:lang w:val="en-US" w:eastAsia="zh-CN" w:bidi="ar"/>
              </w:rPr>
              <w:t>提供</w:t>
            </w:r>
            <w:r>
              <w:rPr>
                <w:rFonts w:hint="eastAsia" w:cs="宋体"/>
                <w:color w:val="000000"/>
                <w:szCs w:val="21"/>
                <w:lang w:bidi="ar"/>
              </w:rPr>
              <w:t>监测道具</w:t>
            </w:r>
            <w:r>
              <w:rPr>
                <w:rFonts w:hint="eastAsia" w:cs="宋体"/>
                <w:color w:val="000000"/>
                <w:szCs w:val="21"/>
                <w:lang w:eastAsia="zh-CN" w:bidi="ar"/>
              </w:rPr>
              <w:t>，</w:t>
            </w:r>
            <w:r>
              <w:rPr>
                <w:rFonts w:hint="eastAsia" w:cs="宋体"/>
                <w:color w:val="000000"/>
                <w:szCs w:val="21"/>
                <w:lang w:bidi="ar"/>
              </w:rPr>
              <w:t>包括但不限于代理ip、流量包、话费包等</w:t>
            </w:r>
            <w:r>
              <w:rPr>
                <w:rFonts w:hint="eastAsia" w:cs="宋体"/>
                <w:color w:val="000000"/>
                <w:szCs w:val="21"/>
                <w:lang w:eastAsia="zh-CN" w:bidi="ar"/>
              </w:rPr>
              <w:t>，</w:t>
            </w:r>
            <w:r>
              <w:rPr>
                <w:rFonts w:hint="eastAsia" w:cs="宋体"/>
                <w:color w:val="000000"/>
                <w:szCs w:val="21"/>
                <w:lang w:val="en-US" w:eastAsia="zh-CN" w:bidi="ar"/>
              </w:rPr>
              <w:t>用于使用到如下平台：</w:t>
            </w:r>
          </w:p>
          <w:p>
            <w:pPr>
              <w:widowControl/>
              <w:spacing w:line="360" w:lineRule="auto"/>
              <w:jc w:val="left"/>
              <w:rPr>
                <w:rFonts w:hint="eastAsia" w:cs="宋体"/>
                <w:color w:val="000000"/>
                <w:szCs w:val="21"/>
                <w:lang w:eastAsia="zh-CN" w:bidi="ar"/>
              </w:rPr>
            </w:pPr>
            <w:r>
              <w:rPr>
                <w:rFonts w:hint="eastAsia" w:cs="宋体"/>
                <w:color w:val="000000"/>
                <w:szCs w:val="21"/>
                <w:lang w:bidi="ar"/>
              </w:rPr>
              <w:t>监测社交平台（微信、QQ），搜索引擎（夸克、神马），网络文学平台（UC、微信读书、宜搜小说、书旗小说），网络游戏（腾讯游戏、网易游戏、三七互娱、九游），音视频网络平台（微信视频号、QQ音乐、酷狗音乐、全民K歌、荔枝、腾讯视频），网络直播平台（YY直播、虎牙直播、网易CC直播、TT语音）等平台有害信息（涉黄、赌、毒，未成年人有害信息等）</w:t>
            </w:r>
            <w:r>
              <w:rPr>
                <w:rFonts w:hint="eastAsia" w:cs="宋体"/>
                <w:color w:val="000000"/>
                <w:szCs w:val="21"/>
                <w:lang w:eastAsia="zh-CN" w:bidi="ar"/>
              </w:rPr>
              <w:t>。</w:t>
            </w:r>
          </w:p>
          <w:p>
            <w:pPr>
              <w:widowControl/>
              <w:spacing w:line="360" w:lineRule="auto"/>
              <w:jc w:val="left"/>
              <w:rPr>
                <w:rFonts w:cs="宋体"/>
                <w:szCs w:val="21"/>
              </w:rPr>
            </w:pPr>
            <w:r>
              <w:rPr>
                <w:rFonts w:hint="eastAsia" w:cs="宋体"/>
                <w:color w:val="000000"/>
                <w:szCs w:val="21"/>
                <w:lang w:bidi="ar"/>
              </w:rPr>
              <w:t>费用包含取证过程中平台体验付费等。每期监测不少于5个平台，7天/期，共3</w:t>
            </w:r>
            <w:r>
              <w:rPr>
                <w:rFonts w:cs="宋体"/>
                <w:color w:val="000000"/>
                <w:szCs w:val="21"/>
                <w:lang w:bidi="ar"/>
              </w:rPr>
              <w:t>5</w:t>
            </w:r>
            <w:r>
              <w:rPr>
                <w:rFonts w:hint="eastAsia" w:cs="宋体"/>
                <w:color w:val="000000"/>
                <w:szCs w:val="21"/>
                <w:lang w:bidi="ar"/>
              </w:rPr>
              <w:t>期。</w:t>
            </w:r>
          </w:p>
        </w:tc>
        <w:tc>
          <w:tcPr>
            <w:tcW w:w="875" w:type="dxa"/>
            <w:shd w:val="clear" w:color="auto" w:fill="auto"/>
            <w:vAlign w:val="center"/>
          </w:tcPr>
          <w:p>
            <w:pPr>
              <w:widowControl/>
              <w:spacing w:line="360" w:lineRule="auto"/>
              <w:jc w:val="center"/>
              <w:rPr>
                <w:rFonts w:cs="宋体"/>
                <w:szCs w:val="21"/>
              </w:rPr>
            </w:pPr>
            <w:r>
              <w:rPr>
                <w:rFonts w:hint="eastAsia" w:cs="宋体"/>
                <w:color w:val="000000"/>
                <w:szCs w:val="21"/>
                <w:lang w:bidi="ar"/>
              </w:rPr>
              <w:t>35期</w:t>
            </w:r>
          </w:p>
        </w:tc>
        <w:tc>
          <w:tcPr>
            <w:tcW w:w="1020" w:type="dxa"/>
            <w:vAlign w:val="center"/>
          </w:tcPr>
          <w:p>
            <w:pPr>
              <w:widowControl/>
              <w:spacing w:line="360" w:lineRule="auto"/>
              <w:jc w:val="center"/>
              <w:rPr>
                <w:rFonts w:cs="宋体"/>
                <w:szCs w:val="21"/>
              </w:rPr>
            </w:pPr>
          </w:p>
        </w:tc>
        <w:tc>
          <w:tcPr>
            <w:tcW w:w="1110" w:type="dxa"/>
            <w:shd w:val="clear" w:color="auto" w:fill="auto"/>
            <w:vAlign w:val="center"/>
          </w:tcPr>
          <w:p>
            <w:pPr>
              <w:widowControl/>
              <w:spacing w:line="360" w:lineRule="auto"/>
              <w:jc w:val="center"/>
              <w:rPr>
                <w:rFonts w:cs="宋体"/>
                <w:szCs w:val="21"/>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（每页加盖公章）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法人/授权代表</w:t>
      </w:r>
      <w:r>
        <w:rPr>
          <w:rFonts w:asciiTheme="minorEastAsia" w:hAnsiTheme="minorEastAsia" w:eastAsiaTheme="minorEastAsia" w:cstheme="minorEastAsia"/>
          <w:b/>
          <w:bCs/>
          <w:sz w:val="20"/>
          <w:szCs w:val="20"/>
        </w:rPr>
        <w:t>(签字或盖章)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（加盖公章）：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5、项目服务团队及技术资质</w:t>
      </w:r>
      <w:r>
        <w:rPr>
          <w:rFonts w:hint="eastAsia" w:asciiTheme="minorEastAsia" w:hAnsiTheme="minorEastAsia" w:eastAsiaTheme="minorEastAsia" w:cstheme="minorEastAsia"/>
          <w:sz w:val="20"/>
          <w:szCs w:val="20"/>
          <w:lang w:val="en-US" w:eastAsia="zh-CN"/>
        </w:rPr>
        <w:t>；</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4" w:name="_Toc1651899"/>
      <w:bookmarkStart w:id="5" w:name="_Toc475472674"/>
      <w:bookmarkStart w:id="6" w:name="_Toc54357656"/>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4"/>
      <w:bookmarkEnd w:id="5"/>
      <w:bookmarkEnd w:id="6"/>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信息监测配套服务项目</w:t>
                      </w:r>
                      <w:r>
                        <w:rPr>
                          <w:rFonts w:hint="eastAsia" w:ascii="微软雅黑" w:hAnsi="微软雅黑" w:eastAsia="微软雅黑"/>
                          <w:b/>
                          <w:sz w:val="22"/>
                          <w:szCs w:val="22"/>
                          <w:u w:val="single"/>
                        </w:rPr>
                        <w:t xml:space="preserve">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22080055GZ</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w:t>
      </w:r>
      <w:r>
        <w:rPr>
          <w:rFonts w:hint="eastAsia" w:hAnsi="宋体"/>
          <w:b/>
          <w:bCs/>
          <w:sz w:val="20"/>
        </w:rPr>
        <w:t>（签名或盖章）</w:t>
      </w:r>
      <w:r>
        <w:rPr>
          <w:rFonts w:hint="eastAsia" w:hAnsi="宋体"/>
          <w:sz w:val="20"/>
        </w:rPr>
        <w:t>：</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w:t>
      </w:r>
      <w:r>
        <w:rPr>
          <w:rFonts w:hint="eastAsia" w:hAnsi="宋体"/>
          <w:b/>
          <w:bCs/>
          <w:sz w:val="20"/>
        </w:rPr>
        <w:t>（加盖公章）</w:t>
      </w:r>
      <w:r>
        <w:rPr>
          <w:rFonts w:hint="eastAsia" w:hAnsi="宋体"/>
          <w:sz w:val="20"/>
        </w:rPr>
        <w:t>：</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b/>
          <w:bCs/>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7" w:name="_Toc1651903"/>
      <w:bookmarkStart w:id="8" w:name="_Toc34146941"/>
      <w:bookmarkStart w:id="9" w:name="_Toc475472676"/>
      <w:r>
        <w:rPr>
          <w:rFonts w:hint="eastAsia" w:ascii="黑体" w:hAnsi="黑体" w:eastAsia="黑体" w:cs="黑体"/>
          <w:b/>
          <w:kern w:val="0"/>
          <w:sz w:val="28"/>
          <w:szCs w:val="28"/>
        </w:rPr>
        <w:t>五、供应商资格条件证明资料</w:t>
      </w:r>
    </w:p>
    <w:bookmarkEnd w:id="7"/>
    <w:bookmarkEnd w:id="8"/>
    <w:bookmarkEnd w:id="9"/>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信息监测配套服务项目</w:t>
    </w:r>
    <w:r>
      <w:rPr>
        <w:rFonts w:hint="eastAsia"/>
      </w:rPr>
      <w:t>（项目编号：</w:t>
    </w:r>
    <w:r>
      <w:t>ND</w:t>
    </w:r>
    <w:r>
      <w:rPr>
        <w:rFonts w:hint="eastAsia"/>
        <w:lang w:eastAsia="zh-CN"/>
      </w:rPr>
      <w:t>22080055GZ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CE739D5"/>
    <w:rsid w:val="0D937566"/>
    <w:rsid w:val="0D982403"/>
    <w:rsid w:val="0E156D3A"/>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0A563D"/>
    <w:rsid w:val="25450FC9"/>
    <w:rsid w:val="25823461"/>
    <w:rsid w:val="25CB11E0"/>
    <w:rsid w:val="25F85394"/>
    <w:rsid w:val="272D31B5"/>
    <w:rsid w:val="27EA6957"/>
    <w:rsid w:val="282801C7"/>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425585"/>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4C310C"/>
    <w:rsid w:val="3E76470F"/>
    <w:rsid w:val="3EB910C1"/>
    <w:rsid w:val="3ED85C6D"/>
    <w:rsid w:val="3F886276"/>
    <w:rsid w:val="405B13A1"/>
    <w:rsid w:val="40EA2BF4"/>
    <w:rsid w:val="410C2F71"/>
    <w:rsid w:val="41352DD4"/>
    <w:rsid w:val="413952AD"/>
    <w:rsid w:val="41744039"/>
    <w:rsid w:val="419049AE"/>
    <w:rsid w:val="41A52A87"/>
    <w:rsid w:val="429F43E5"/>
    <w:rsid w:val="430739E7"/>
    <w:rsid w:val="43EB501D"/>
    <w:rsid w:val="446261AD"/>
    <w:rsid w:val="45097338"/>
    <w:rsid w:val="45180705"/>
    <w:rsid w:val="46331B9A"/>
    <w:rsid w:val="467D083E"/>
    <w:rsid w:val="46D63AEC"/>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5A46DC"/>
    <w:rsid w:val="52D05BD0"/>
    <w:rsid w:val="52D6665D"/>
    <w:rsid w:val="533B5338"/>
    <w:rsid w:val="535610E6"/>
    <w:rsid w:val="53C07BE7"/>
    <w:rsid w:val="53C85BD0"/>
    <w:rsid w:val="544F7C39"/>
    <w:rsid w:val="56230387"/>
    <w:rsid w:val="56DF6C36"/>
    <w:rsid w:val="57672288"/>
    <w:rsid w:val="57B510CE"/>
    <w:rsid w:val="57BD0B53"/>
    <w:rsid w:val="58105EEE"/>
    <w:rsid w:val="588F648C"/>
    <w:rsid w:val="58C02270"/>
    <w:rsid w:val="59332823"/>
    <w:rsid w:val="593A090E"/>
    <w:rsid w:val="59577C3B"/>
    <w:rsid w:val="59A861F5"/>
    <w:rsid w:val="59DE2766"/>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0FF2E52"/>
    <w:rsid w:val="61695CA6"/>
    <w:rsid w:val="61863A23"/>
    <w:rsid w:val="62606EB4"/>
    <w:rsid w:val="6338711F"/>
    <w:rsid w:val="63FE7B94"/>
    <w:rsid w:val="640E33BA"/>
    <w:rsid w:val="64FC117B"/>
    <w:rsid w:val="657C2EA7"/>
    <w:rsid w:val="659870B5"/>
    <w:rsid w:val="65A75C0C"/>
    <w:rsid w:val="65DB7995"/>
    <w:rsid w:val="660A378F"/>
    <w:rsid w:val="668C3CDE"/>
    <w:rsid w:val="66A41664"/>
    <w:rsid w:val="66DB70DA"/>
    <w:rsid w:val="67106648"/>
    <w:rsid w:val="671F28A7"/>
    <w:rsid w:val="6736758C"/>
    <w:rsid w:val="677219C2"/>
    <w:rsid w:val="67744189"/>
    <w:rsid w:val="67870E88"/>
    <w:rsid w:val="678E4F5D"/>
    <w:rsid w:val="67D93482"/>
    <w:rsid w:val="68064D0F"/>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CE077C6"/>
    <w:rsid w:val="6D9C1C86"/>
    <w:rsid w:val="6DCC3312"/>
    <w:rsid w:val="6E572E03"/>
    <w:rsid w:val="6E7C4919"/>
    <w:rsid w:val="6F5B358B"/>
    <w:rsid w:val="6F695EDB"/>
    <w:rsid w:val="6FA33CA2"/>
    <w:rsid w:val="70EC1636"/>
    <w:rsid w:val="72B12A11"/>
    <w:rsid w:val="72B76139"/>
    <w:rsid w:val="72C165D1"/>
    <w:rsid w:val="72D8767B"/>
    <w:rsid w:val="72E94EAC"/>
    <w:rsid w:val="72F319A1"/>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427</Words>
  <Characters>2439</Characters>
  <Lines>20</Lines>
  <Paragraphs>5</Paragraphs>
  <TotalTime>23</TotalTime>
  <ScaleCrop>false</ScaleCrop>
  <LinksUpToDate>false</LinksUpToDate>
  <CharactersWithSpaces>2861</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2021-06-11T08:09:00Z</cp:lastPrinted>
  <dcterms:modified xsi:type="dcterms:W3CDTF">2022-08-05T01:46:21Z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