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cs="Times New Roman"/>
          <w:spacing w:val="40"/>
          <w:sz w:val="52"/>
          <w:lang w:val="en-US" w:eastAsia="zh-CN"/>
        </w:rPr>
      </w:pPr>
      <w:r>
        <w:rPr>
          <w:rFonts w:hint="eastAsia" w:ascii="黑体" w:hAnsi="黑体" w:eastAsia="黑体" w:cs="Times New Roman"/>
          <w:spacing w:val="40"/>
          <w:sz w:val="52"/>
          <w:lang w:val="en-US" w:eastAsia="zh-CN"/>
        </w:rPr>
        <w:t>2024年颁奖礼执行项目</w:t>
      </w:r>
    </w:p>
    <w:p>
      <w:pPr>
        <w:jc w:val="center"/>
        <w:rPr>
          <w:rFonts w:hint="eastAsia" w:ascii="黑体" w:hAnsi="黑体" w:eastAsia="黑体"/>
          <w:spacing w:val="40"/>
          <w:sz w:val="52"/>
          <w:lang w:eastAsia="zh-CN"/>
        </w:rPr>
      </w:pPr>
      <w:r>
        <w:rPr>
          <w:rFonts w:hint="eastAsia" w:ascii="黑体" w:hAnsi="黑体" w:eastAsia="黑体"/>
          <w:spacing w:val="40"/>
          <w:sz w:val="52"/>
          <w:lang w:eastAsia="zh-CN"/>
        </w:rPr>
        <w:t>（</w:t>
      </w:r>
      <w:r>
        <w:rPr>
          <w:rFonts w:hint="eastAsia" w:ascii="黑体" w:hAnsi="黑体" w:eastAsia="黑体"/>
          <w:spacing w:val="40"/>
          <w:sz w:val="52"/>
          <w:lang w:val="en-US" w:eastAsia="zh-CN"/>
        </w:rPr>
        <w:t>包组一</w:t>
      </w:r>
      <w:r>
        <w:rPr>
          <w:rFonts w:hint="eastAsia" w:ascii="黑体" w:hAnsi="黑体" w:eastAsia="黑体"/>
          <w:spacing w:val="40"/>
          <w:sz w:val="52"/>
          <w:lang w:eastAsia="zh-CN"/>
        </w:rPr>
        <w:t>）</w:t>
      </w:r>
    </w:p>
    <w:p>
      <w:pPr>
        <w:jc w:val="center"/>
        <w:rPr>
          <w:rFonts w:ascii="黑体" w:hAnsi="黑体" w:eastAsia="黑体"/>
          <w:spacing w:val="40"/>
          <w:sz w:val="52"/>
        </w:rPr>
      </w:pP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项目编号：ND24110125GZ</w:t>
      </w:r>
    </w:p>
    <w:p>
      <w:pPr>
        <w:jc w:val="center"/>
        <w:rPr>
          <w:rFonts w:hint="eastAsia" w:ascii="黑体" w:hAnsi="黑体" w:eastAsia="黑体"/>
          <w:spacing w:val="40"/>
          <w:sz w:val="44"/>
          <w:szCs w:val="4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经认真阅读2024年</w:t>
      </w:r>
      <w:r>
        <w:rPr>
          <w:rFonts w:hint="eastAsia"/>
          <w:bCs/>
          <w:sz w:val="24"/>
          <w:lang w:eastAsia="zh-CN"/>
        </w:rPr>
        <w:t>颁奖礼</w:t>
      </w:r>
      <w:r>
        <w:rPr>
          <w:rFonts w:hint="eastAsia"/>
          <w:bCs/>
          <w:sz w:val="24"/>
        </w:rPr>
        <w:t>执行项目（包组一）采购公告及附件（项目编号：</w:t>
      </w:r>
      <w:r>
        <w:rPr>
          <w:rFonts w:hint="eastAsia"/>
          <w:bCs/>
          <w:sz w:val="24"/>
          <w:u w:val="single"/>
        </w:rPr>
        <w:t>ND24110125GZ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sz w:val="24"/>
              </w:rPr>
              <w:t>1.服</w:t>
            </w:r>
            <w:r>
              <w:rPr>
                <w:rFonts w:hint="eastAsia" w:ascii="宋体" w:hAnsi="宋体" w:cs="仿宋"/>
                <w:color w:val="auto"/>
                <w:sz w:val="24"/>
              </w:rPr>
              <w:t>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经认真阅读2024年</w:t>
      </w:r>
      <w:r>
        <w:rPr>
          <w:rFonts w:hint="eastAsia" w:cs="宋体"/>
          <w:bCs/>
          <w:sz w:val="24"/>
          <w:lang w:eastAsia="zh-CN"/>
        </w:rPr>
        <w:t>颁奖礼</w:t>
      </w:r>
      <w:r>
        <w:rPr>
          <w:rFonts w:hint="eastAsia" w:cs="宋体"/>
          <w:bCs/>
          <w:sz w:val="24"/>
        </w:rPr>
        <w:t>执行项目（包组一）采购公告及附件（项目编号：ND24110125GZ）我方已完全了解本项目的商务与技术要求，承诺按照采购文件的要求提供产品和服务，报价如下。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w:t>
      </w:r>
    </w:p>
    <w:p>
      <w:pPr>
        <w:numPr>
          <w:ilvl w:val="255"/>
          <w:numId w:val="0"/>
        </w:numPr>
      </w:pPr>
    </w:p>
    <w:tbl>
      <w:tblPr>
        <w:tblStyle w:val="38"/>
        <w:tblW w:w="8134" w:type="dxa"/>
        <w:jc w:val="center"/>
        <w:tblLayout w:type="autofit"/>
        <w:tblCellMar>
          <w:top w:w="15" w:type="dxa"/>
          <w:left w:w="15" w:type="dxa"/>
          <w:bottom w:w="15" w:type="dxa"/>
          <w:right w:w="15" w:type="dxa"/>
        </w:tblCellMar>
      </w:tblPr>
      <w:tblGrid>
        <w:gridCol w:w="752"/>
        <w:gridCol w:w="1671"/>
        <w:gridCol w:w="3672"/>
        <w:gridCol w:w="80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sz w:val="24"/>
                <w:szCs w:val="24"/>
                <w:lang w:eastAsia="zh-Hans"/>
              </w:rPr>
            </w:pPr>
            <w:r>
              <w:rPr>
                <w:rFonts w:hint="eastAsia" w:ascii="仿宋" w:hAnsi="仿宋" w:eastAsia="仿宋" w:cs="仿宋"/>
                <w:b w:val="0"/>
                <w:bCs w:val="0"/>
                <w:color w:val="000000"/>
                <w:sz w:val="24"/>
                <w:szCs w:val="24"/>
              </w:rPr>
              <w:t>戏剧创作及呈现服务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jc w:val="left"/>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rPr>
              <w:t>聘请国家级院团导演，具备创作完成大型舞台艺术作品能力，导演团队</w:t>
            </w:r>
            <w:r>
              <w:rPr>
                <w:rFonts w:hint="eastAsia" w:ascii="仿宋" w:hAnsi="仿宋" w:eastAsia="仿宋" w:cs="仿宋"/>
                <w:b w:val="0"/>
                <w:bCs w:val="0"/>
                <w:color w:val="000000"/>
                <w:sz w:val="24"/>
                <w:szCs w:val="24"/>
                <w:highlight w:val="none"/>
              </w:rPr>
              <w:t>不得少于10人，需</w:t>
            </w:r>
            <w:r>
              <w:rPr>
                <w:rFonts w:hint="eastAsia" w:ascii="仿宋" w:hAnsi="仿宋" w:eastAsia="仿宋" w:cs="仿宋"/>
                <w:b w:val="0"/>
                <w:bCs w:val="0"/>
                <w:color w:val="000000"/>
                <w:sz w:val="24"/>
                <w:szCs w:val="24"/>
                <w:highlight w:val="none"/>
                <w:lang w:val="en-US" w:eastAsia="zh-CN"/>
              </w:rPr>
              <w:t>有</w:t>
            </w:r>
            <w:r>
              <w:rPr>
                <w:rFonts w:hint="eastAsia" w:ascii="仿宋" w:hAnsi="仿宋" w:eastAsia="仿宋" w:cs="仿宋"/>
                <w:b w:val="0"/>
                <w:bCs w:val="0"/>
                <w:color w:val="000000"/>
                <w:sz w:val="24"/>
                <w:szCs w:val="24"/>
                <w:highlight w:val="none"/>
              </w:rPr>
              <w:t>过往承办过戏剧相关活动</w:t>
            </w:r>
            <w:r>
              <w:rPr>
                <w:rFonts w:hint="eastAsia" w:ascii="仿宋" w:hAnsi="仿宋" w:eastAsia="仿宋" w:cs="仿宋"/>
                <w:b w:val="0"/>
                <w:bCs w:val="0"/>
                <w:color w:val="000000"/>
                <w:sz w:val="24"/>
                <w:szCs w:val="24"/>
                <w:highlight w:val="none"/>
                <w:lang w:val="en-US" w:eastAsia="zh-CN"/>
              </w:rPr>
              <w:t>或活动策划执行类项目的经验</w:t>
            </w:r>
            <w:r>
              <w:rPr>
                <w:rFonts w:hint="eastAsia" w:ascii="仿宋" w:hAnsi="仿宋" w:eastAsia="仿宋" w:cs="仿宋"/>
                <w:b w:val="0"/>
                <w:bCs w:val="0"/>
                <w:color w:val="000000"/>
                <w:sz w:val="24"/>
                <w:szCs w:val="24"/>
                <w:highlight w:val="none"/>
                <w:lang w:eastAsia="zh-CN"/>
              </w:rPr>
              <w:t>。</w:t>
            </w:r>
          </w:p>
          <w:p>
            <w:pPr>
              <w:widowControl/>
              <w:numPr>
                <w:ilvl w:val="0"/>
                <w:numId w:val="0"/>
              </w:numPr>
              <w:jc w:val="left"/>
              <w:textAlignment w:val="center"/>
              <w:rPr>
                <w:rFonts w:hint="eastAsia" w:ascii="仿宋" w:hAnsi="仿宋" w:eastAsia="仿宋" w:cs="仿宋"/>
                <w:b/>
                <w:color w:val="000000"/>
                <w:kern w:val="0"/>
                <w:sz w:val="24"/>
                <w:szCs w:val="24"/>
                <w:lang w:bidi="ar"/>
              </w:rPr>
            </w:pPr>
            <w:r>
              <w:rPr>
                <w:rFonts w:hint="eastAsia" w:ascii="仿宋" w:hAnsi="仿宋" w:eastAsia="仿宋" w:cs="仿宋"/>
                <w:b w:val="0"/>
                <w:bCs w:val="0"/>
                <w:color w:val="000000"/>
                <w:sz w:val="24"/>
                <w:szCs w:val="24"/>
                <w:highlight w:val="none"/>
                <w:lang w:val="en-US" w:eastAsia="zh-CN"/>
              </w:rPr>
              <w:t>*请在服务方案</w:t>
            </w:r>
            <w:r>
              <w:rPr>
                <w:rFonts w:hint="eastAsia" w:ascii="仿宋" w:hAnsi="仿宋" w:eastAsia="仿宋" w:cs="仿宋"/>
                <w:b w:val="0"/>
                <w:bCs w:val="0"/>
                <w:color w:val="000000"/>
                <w:sz w:val="24"/>
                <w:szCs w:val="24"/>
                <w:lang w:val="en-US" w:eastAsia="zh-CN"/>
              </w:rPr>
              <w:t>内</w:t>
            </w:r>
            <w:r>
              <w:rPr>
                <w:rFonts w:hint="eastAsia" w:ascii="仿宋" w:hAnsi="仿宋" w:eastAsia="仿宋" w:cs="仿宋"/>
                <w:b w:val="0"/>
                <w:bCs w:val="0"/>
                <w:color w:val="000000"/>
                <w:sz w:val="24"/>
                <w:szCs w:val="24"/>
              </w:rPr>
              <w:t>附上作品及团队介绍；</w:t>
            </w:r>
          </w:p>
        </w:tc>
        <w:tc>
          <w:tcPr>
            <w:tcW w:w="804" w:type="dxa"/>
            <w:vMerge w:val="restart"/>
            <w:tcBorders>
              <w:top w:val="single" w:color="auto" w:sz="4" w:space="0"/>
              <w:left w:val="single" w:color="auto" w:sz="4" w:space="0"/>
              <w:right w:val="single" w:color="auto" w:sz="4" w:space="0"/>
            </w:tcBorders>
            <w:shd w:val="clear" w:color="auto" w:fill="auto"/>
            <w:vAlign w:val="center"/>
          </w:tcPr>
          <w:p>
            <w:pPr>
              <w:widowControl/>
              <w:tabs>
                <w:tab w:val="left" w:pos="275"/>
              </w:tabs>
              <w:jc w:val="center"/>
              <w:textAlignment w:val="center"/>
              <w:rPr>
                <w:rFonts w:hint="eastAsia" w:ascii="仿宋" w:hAnsi="仿宋" w:eastAsia="仿宋" w:cs="仿宋"/>
                <w:b/>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1项</w:t>
            </w:r>
          </w:p>
        </w:tc>
        <w:tc>
          <w:tcPr>
            <w:tcW w:w="123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kern w:val="0"/>
                <w:sz w:val="24"/>
                <w:szCs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val="0"/>
                <w:bCs w:val="0"/>
                <w:color w:val="000000"/>
                <w:sz w:val="24"/>
                <w:szCs w:val="24"/>
              </w:rPr>
              <w:t>（2）完成盛典颁奖礼剧本创作和撰写，典礼表现形式以戏剧、音乐、舞蹈、多媒体</w:t>
            </w:r>
            <w:bookmarkStart w:id="9" w:name="_GoBack"/>
            <w:bookmarkEnd w:id="9"/>
            <w:r>
              <w:rPr>
                <w:rFonts w:hint="eastAsia" w:ascii="仿宋" w:hAnsi="仿宋" w:eastAsia="仿宋" w:cs="仿宋"/>
                <w:b w:val="0"/>
                <w:bCs w:val="0"/>
                <w:color w:val="000000"/>
                <w:sz w:val="24"/>
                <w:szCs w:val="24"/>
              </w:rPr>
              <w:t>等多种艺术形式融合呈现，创作内容有沉浸式体验感</w:t>
            </w:r>
            <w:r>
              <w:rPr>
                <w:rFonts w:hint="eastAsia" w:ascii="仿宋" w:hAnsi="仿宋" w:eastAsia="仿宋" w:cs="仿宋"/>
                <w:b w:val="0"/>
                <w:bCs w:val="0"/>
                <w:color w:val="000000"/>
                <w:sz w:val="24"/>
                <w:szCs w:val="24"/>
                <w:lang w:eastAsia="zh-CN"/>
              </w:rPr>
              <w:t>；</w:t>
            </w:r>
          </w:p>
        </w:tc>
        <w:tc>
          <w:tcPr>
            <w:tcW w:w="804"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kern w:val="0"/>
                <w:sz w:val="24"/>
                <w:szCs w:val="24"/>
                <w:lang w:bidi="ar"/>
              </w:rPr>
            </w:pPr>
          </w:p>
        </w:tc>
        <w:tc>
          <w:tcPr>
            <w:tcW w:w="1235"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kern w:val="0"/>
                <w:sz w:val="24"/>
                <w:szCs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color w:val="000000"/>
                <w:kern w:val="0"/>
                <w:sz w:val="24"/>
                <w:szCs w:val="24"/>
                <w:lang w:bidi="ar"/>
              </w:rPr>
            </w:pPr>
            <w:r>
              <w:rPr>
                <w:rFonts w:hint="eastAsia" w:ascii="仿宋" w:hAnsi="仿宋" w:eastAsia="仿宋" w:cs="仿宋"/>
                <w:b w:val="0"/>
                <w:bCs w:val="0"/>
                <w:color w:val="000000"/>
                <w:sz w:val="24"/>
                <w:szCs w:val="24"/>
              </w:rPr>
              <w:t>（3）舞台多媒体设计和制作。</w:t>
            </w:r>
          </w:p>
        </w:tc>
        <w:tc>
          <w:tcPr>
            <w:tcW w:w="804"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kern w:val="0"/>
                <w:sz w:val="24"/>
                <w:szCs w:val="24"/>
                <w:lang w:bidi="ar"/>
              </w:rPr>
            </w:pPr>
          </w:p>
        </w:tc>
        <w:tc>
          <w:tcPr>
            <w:tcW w:w="123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000000"/>
                <w:kern w:val="0"/>
                <w:sz w:val="24"/>
                <w:szCs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2024年</w:t>
                      </w:r>
                      <w:r>
                        <w:rPr>
                          <w:rFonts w:hint="eastAsia" w:hAnsi="宋体"/>
                          <w:b/>
                          <w:sz w:val="24"/>
                          <w:szCs w:val="24"/>
                          <w:u w:val="single"/>
                          <w:lang w:eastAsia="zh-CN"/>
                        </w:rPr>
                        <w:t>颁奖礼</w:t>
                      </w:r>
                      <w:r>
                        <w:rPr>
                          <w:rFonts w:hint="eastAsia" w:hAnsi="宋体"/>
                          <w:b/>
                          <w:sz w:val="24"/>
                          <w:szCs w:val="24"/>
                          <w:u w:val="single"/>
                        </w:rPr>
                        <w:t>执行项目（包组一）</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：ND24110125GZ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34146941"/>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2024年</w:t>
    </w:r>
    <w:r>
      <w:rPr>
        <w:rFonts w:hint="eastAsia" w:ascii="宋体" w:hAnsi="宋体" w:cs="宋体"/>
        <w:lang w:eastAsia="zh-CN"/>
      </w:rPr>
      <w:t>颁奖礼</w:t>
    </w:r>
    <w:r>
      <w:rPr>
        <w:rFonts w:hint="eastAsia" w:ascii="宋体" w:hAnsi="宋体" w:cs="宋体"/>
      </w:rPr>
      <w:t>执行项目</w:t>
    </w:r>
    <w:r>
      <w:rPr>
        <w:rFonts w:hint="eastAsia" w:ascii="宋体" w:hAnsi="宋体" w:cs="宋体"/>
        <w:lang w:eastAsia="zh-CN"/>
      </w:rPr>
      <w:t>（</w:t>
    </w:r>
    <w:r>
      <w:rPr>
        <w:rFonts w:hint="eastAsia" w:ascii="宋体" w:hAnsi="宋体" w:cs="宋体"/>
        <w:lang w:val="en-US" w:eastAsia="zh-CN"/>
      </w:rPr>
      <w:t>包组一</w:t>
    </w:r>
    <w:r>
      <w:rPr>
        <w:rFonts w:hint="eastAsia" w:ascii="宋体" w:hAnsi="宋体" w:cs="宋体"/>
        <w:lang w:eastAsia="zh-CN"/>
      </w:rPr>
      <w:t>）</w:t>
    </w:r>
    <w:r>
      <w:rPr>
        <w:rFonts w:hint="eastAsia" w:ascii="宋体" w:hAnsi="宋体" w:cs="宋体"/>
      </w:rPr>
      <w:t>（项目编号：ND24110125GZ）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D86130CD"/>
    <w:multiLevelType w:val="singleLevel"/>
    <w:tmpl w:val="D86130CD"/>
    <w:lvl w:ilvl="0" w:tentative="0">
      <w:start w:val="1"/>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8D2E52"/>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6E1F2E"/>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4C6D20"/>
    <w:rsid w:val="29B040AC"/>
    <w:rsid w:val="29BE43EE"/>
    <w:rsid w:val="2A072476"/>
    <w:rsid w:val="2A1C5B04"/>
    <w:rsid w:val="2AB52485"/>
    <w:rsid w:val="2ABF5232"/>
    <w:rsid w:val="2AC47B11"/>
    <w:rsid w:val="2AD920D9"/>
    <w:rsid w:val="2C1B4065"/>
    <w:rsid w:val="2C561B55"/>
    <w:rsid w:val="2D005A04"/>
    <w:rsid w:val="2D303E4C"/>
    <w:rsid w:val="2E1E536D"/>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65116"/>
    <w:rsid w:val="4DBB65F5"/>
    <w:rsid w:val="4ECC2059"/>
    <w:rsid w:val="4F4C2886"/>
    <w:rsid w:val="4F500B2B"/>
    <w:rsid w:val="4F600955"/>
    <w:rsid w:val="4F73032A"/>
    <w:rsid w:val="4FB92AA5"/>
    <w:rsid w:val="4FD556F6"/>
    <w:rsid w:val="4FF1626F"/>
    <w:rsid w:val="505C43F2"/>
    <w:rsid w:val="514F762F"/>
    <w:rsid w:val="52045EA5"/>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2567</Words>
  <Characters>2632</Characters>
  <Lines>23</Lines>
  <Paragraphs>6</Paragraphs>
  <TotalTime>10</TotalTime>
  <ScaleCrop>false</ScaleCrop>
  <LinksUpToDate>false</LinksUpToDate>
  <CharactersWithSpaces>2632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2024-11-14T06:19:28Z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1A8BE09EFEC74D54A062D9B352E31732</vt:lpwstr>
  </property>
</Properties>
</file>