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color w:val="auto"/>
          <w:sz w:val="44"/>
          <w:szCs w:val="44"/>
          <w:lang w:eastAsia="zh-CN"/>
        </w:rPr>
        <w:t>2025道地新会陈皮全国交易会活动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eastAsia="zh-CN"/>
        </w:rPr>
        <w:t>执行服务项目</w:t>
      </w:r>
    </w:p>
    <w:p>
      <w:pPr>
        <w:pStyle w:val="2"/>
        <w:rPr>
          <w:rFonts w:hint="eastAsia" w:ascii="仿宋" w:hAnsi="仿宋" w:eastAsia="仿宋" w:cs="仿宋"/>
          <w:b/>
          <w:bCs/>
          <w:sz w:val="44"/>
          <w:szCs w:val="44"/>
          <w:highlight w:val="none"/>
          <w:shd w:val="clear" w:color="auto" w:fill="FFFFFF"/>
        </w:rPr>
      </w:pPr>
    </w:p>
    <w:p>
      <w:pPr>
        <w:pStyle w:val="2"/>
        <w:rPr>
          <w:rFonts w:hint="eastAsia"/>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pPr>
        <w:spacing w:line="276" w:lineRule="auto"/>
        <w:jc w:val="center"/>
        <w:rPr>
          <w:rFonts w:ascii="方正小标宋简体" w:hAnsi="方正小标宋简体" w:eastAsia="方正小标宋简体" w:cs="方正小标宋简体"/>
          <w:color w:val="000000"/>
          <w:spacing w:val="40"/>
          <w:sz w:val="96"/>
          <w:szCs w:val="96"/>
          <w:highlight w:val="none"/>
        </w:rPr>
      </w:pPr>
    </w:p>
    <w:p>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pPr>
        <w:spacing w:line="480" w:lineRule="exact"/>
        <w:jc w:val="left"/>
        <w:rPr>
          <w:bCs/>
          <w:sz w:val="28"/>
          <w:szCs w:val="28"/>
          <w:highlight w:val="none"/>
        </w:rPr>
        <w:sectPr>
          <w:headerReference r:id="rId3" w:type="default"/>
          <w:footerReference r:id="rId4" w:type="default"/>
          <w:pgSz w:w="11906" w:h="16838"/>
          <w:pgMar w:top="1440" w:right="1286" w:bottom="1440" w:left="960" w:header="851" w:footer="992" w:gutter="0"/>
          <w:pgNumType w:fmt="decimal"/>
          <w:cols w:space="425" w:num="1"/>
          <w:titlePg/>
          <w:docGrid w:type="lines" w:linePitch="312" w:charSpace="0"/>
        </w:sectPr>
      </w:pPr>
      <w:bookmarkStart w:id="0" w:name="_Toc54357675"/>
      <w:bookmarkStart w:id="1" w:name="_Toc1651923"/>
    </w:p>
    <w:bookmarkEnd w:id="0"/>
    <w:bookmarkEnd w:id="1"/>
    <w:p>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color w:val="000000"/>
          <w:sz w:val="28"/>
          <w:szCs w:val="28"/>
          <w:highlight w:val="none"/>
          <w:lang w:val="en-US" w:eastAsia="zh-CN"/>
        </w:rPr>
        <w:t>2025道地新会陈皮全国交易会活动执行服务项目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pPr>
        <w:pStyle w:val="13"/>
        <w:widowControl/>
        <w:spacing w:beforeAutospacing="0" w:afterAutospacing="0" w:line="480" w:lineRule="exact"/>
        <w:ind w:firstLine="560" w:firstLineChars="200"/>
        <w:jc w:val="both"/>
        <w:rPr>
          <w:rFonts w:hint="eastAsia" w:ascii="仿宋" w:hAnsi="仿宋" w:eastAsia="仿宋" w:cs="仿宋"/>
          <w:color w:val="000000"/>
          <w:sz w:val="28"/>
          <w:szCs w:val="28"/>
          <w:highlight w:val="none"/>
        </w:rPr>
      </w:pPr>
    </w:p>
    <w:p>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7"/>
        <w:tblW w:w="1001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6"/>
        <w:gridCol w:w="1076"/>
        <w:gridCol w:w="4338"/>
        <w:gridCol w:w="667"/>
        <w:gridCol w:w="1159"/>
        <w:gridCol w:w="929"/>
        <w:gridCol w:w="11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3"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default" w:ascii="仿宋_GB2312" w:hAnsi="宋体" w:eastAsia="仿宋_GB2312" w:cs="仿宋_GB2312"/>
                <w:i w:val="0"/>
                <w:iCs w:val="0"/>
                <w:color w:val="000000"/>
                <w:sz w:val="30"/>
                <w:szCs w:val="30"/>
                <w:u w:val="none"/>
              </w:rPr>
            </w:pPr>
            <w:r>
              <w:rPr>
                <w:rFonts w:hint="eastAsia" w:ascii="仿宋_GB2312" w:hAnsi="宋体" w:eastAsia="仿宋_GB2312" w:cs="仿宋_GB2312"/>
                <w:i w:val="0"/>
                <w:iCs w:val="0"/>
                <w:color w:val="000000"/>
                <w:kern w:val="0"/>
                <w:sz w:val="30"/>
                <w:szCs w:val="30"/>
                <w:u w:val="none"/>
                <w:lang w:val="en-US" w:eastAsia="zh-CN" w:bidi="ar"/>
              </w:rPr>
              <w:t>序号</w:t>
            </w: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30"/>
                <w:szCs w:val="30"/>
                <w:u w:val="none"/>
              </w:rPr>
            </w:pPr>
            <w:r>
              <w:rPr>
                <w:rFonts w:hint="eastAsia" w:ascii="仿宋_GB2312" w:hAnsi="宋体" w:eastAsia="仿宋_GB2312" w:cs="仿宋_GB2312"/>
                <w:i w:val="0"/>
                <w:iCs w:val="0"/>
                <w:color w:val="000000"/>
                <w:kern w:val="0"/>
                <w:sz w:val="30"/>
                <w:szCs w:val="30"/>
                <w:u w:val="none"/>
                <w:lang w:val="en-US" w:eastAsia="zh-CN" w:bidi="ar"/>
              </w:rPr>
              <w:t>项目类别</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30"/>
                <w:szCs w:val="30"/>
                <w:u w:val="none"/>
              </w:rPr>
            </w:pPr>
            <w:r>
              <w:rPr>
                <w:rFonts w:hint="eastAsia" w:ascii="仿宋_GB2312" w:hAnsi="宋体" w:eastAsia="仿宋_GB2312" w:cs="仿宋_GB2312"/>
                <w:i w:val="0"/>
                <w:iCs w:val="0"/>
                <w:color w:val="000000"/>
                <w:kern w:val="0"/>
                <w:sz w:val="30"/>
                <w:szCs w:val="30"/>
                <w:u w:val="none"/>
                <w:lang w:val="en-US" w:eastAsia="zh-CN" w:bidi="ar"/>
              </w:rPr>
              <w:t>具体内容</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30"/>
                <w:szCs w:val="30"/>
                <w:u w:val="none"/>
              </w:rPr>
            </w:pPr>
            <w:r>
              <w:rPr>
                <w:rFonts w:hint="eastAsia" w:ascii="仿宋_GB2312" w:hAnsi="宋体" w:eastAsia="仿宋_GB2312" w:cs="仿宋_GB2312"/>
                <w:i w:val="0"/>
                <w:iCs w:val="0"/>
                <w:color w:val="000000"/>
                <w:kern w:val="0"/>
                <w:sz w:val="30"/>
                <w:szCs w:val="30"/>
                <w:u w:val="none"/>
                <w:lang w:val="en-US" w:eastAsia="zh-CN" w:bidi="ar"/>
              </w:rPr>
              <w:t>数量</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30"/>
                <w:szCs w:val="30"/>
                <w:u w:val="none"/>
              </w:rPr>
            </w:pPr>
            <w:r>
              <w:rPr>
                <w:rFonts w:hint="eastAsia" w:ascii="仿宋_GB2312" w:hAnsi="宋体" w:eastAsia="仿宋_GB2312" w:cs="仿宋_GB2312"/>
                <w:i w:val="0"/>
                <w:iCs w:val="0"/>
                <w:color w:val="000000"/>
                <w:kern w:val="0"/>
                <w:sz w:val="30"/>
                <w:szCs w:val="30"/>
                <w:u w:val="none"/>
                <w:lang w:val="en-US" w:eastAsia="zh-CN" w:bidi="ar"/>
              </w:rPr>
              <w:t>单位</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30"/>
                <w:szCs w:val="30"/>
                <w:u w:val="none"/>
              </w:rPr>
            </w:pPr>
            <w:r>
              <w:rPr>
                <w:rFonts w:hint="eastAsia" w:ascii="仿宋_GB2312" w:hAnsi="宋体" w:eastAsia="仿宋_GB2312" w:cs="仿宋_GB2312"/>
                <w:i w:val="0"/>
                <w:iCs w:val="0"/>
                <w:color w:val="000000"/>
                <w:kern w:val="0"/>
                <w:sz w:val="30"/>
                <w:szCs w:val="30"/>
                <w:u w:val="none"/>
                <w:lang w:val="en-US" w:eastAsia="zh-CN" w:bidi="ar"/>
              </w:rPr>
              <w:t>单价（元）</w:t>
            </w: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30"/>
                <w:szCs w:val="30"/>
                <w:u w:val="none"/>
              </w:rPr>
            </w:pPr>
            <w:r>
              <w:rPr>
                <w:rFonts w:hint="eastAsia" w:ascii="仿宋_GB2312" w:hAnsi="宋体" w:eastAsia="仿宋_GB2312" w:cs="仿宋_GB2312"/>
                <w:i w:val="0"/>
                <w:iCs w:val="0"/>
                <w:color w:val="000000"/>
                <w:kern w:val="0"/>
                <w:sz w:val="30"/>
                <w:szCs w:val="30"/>
                <w:u w:val="none"/>
                <w:lang w:val="en-US" w:eastAsia="zh-CN" w:bidi="ar"/>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第七届中国·新会陈皮文化节系列活动发布会暨2025道地新会陈皮全国交易会开幕式</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活动现场3D效果图设计及施工图导出、全场延伸氛围设计、流程PPT等。</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启动仪式舞台高清LED屏，配服务器、线材、控屏师，总计不少于60平方米，累计使用不少于12天（含彩排时间）</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60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平方米</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舞台搭建，铁制脚架铺合成木板，舞台面积不少于120平方米，拉绒厚地毯含舞台包边，以及阶梯，累计使用不少于12天（含彩排时间）</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120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平方米</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线阵音响系统，含1全频线阵音响，专业有线话筒不少于2支，无线手持话筒不少于6支，数码音频处理器1台等，满足不少于1500平方米场地使用，麦标等，累计使用不少于12天（含彩排时间）</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5</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活动打卡点装饰，以桁架+灯布+异形KT板，多层结构安装，宽度不少于8米，高度不低于4米，累计使用不少于12天（含搭建时间）。</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6</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“规范经营示范卖场”牌匾，不锈钢，60cm*40cm</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个</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7</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“规范经营示范店”认证荣誉证书，彩色内页+亚克力透明外壳</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个</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8</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签约仪式设备，电子签约，不少于10台</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9</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启动道具，不少于8米，推杆台，可满足8-10人使用</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“新会陈皮国家地理标志证明商标咨询处”揭牌道具，不锈钢，60cm*40cm+移动揭牌架</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个</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11</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广东广播电视台电视节目主持人，含服装、彩排、正式演出、往返交通、餐饮、住宿</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r>
              <w:rPr>
                <w:rFonts w:hint="eastAsia" w:ascii="仿宋_GB2312" w:hAnsi="宋体" w:eastAsia="仿宋_GB2312" w:cs="仿宋_GB2312"/>
                <w:i w:val="0"/>
                <w:iCs w:val="0"/>
                <w:color w:val="000000"/>
                <w:kern w:val="0"/>
                <w:sz w:val="28"/>
                <w:szCs w:val="28"/>
                <w:highlight w:val="none"/>
                <w:u w:val="none"/>
                <w:lang w:val="en-US" w:eastAsia="zh-CN" w:bidi="ar"/>
              </w:rPr>
              <w:t>名</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专业礼仪，含服装、彩排、正式演出、往返交通、餐饮、住宿，人均限价不超过450元</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名</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13</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亚克力透明台牌，18cm*10cm，含内页</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个</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14</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可移不干胶姓名贴，18cm*10cm</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250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个</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15</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长条桌+桌布租赁，不少于1.8米的长桌</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套</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16</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背靠椅+弹力椅套租赁</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套</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17</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会场氛围展板，桁架+黑底灯布，总计不少于120平方米，累计使用不少于12天（含彩排时间）</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平方米</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18</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瓶装水250ml，不少于400瓶</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19</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活动拱门，内径跨度7m长，外径跨度不少于10m，总高不少于5m，钢架结构，外型KT板包边，累计使用不少于12天（含彩排时间）</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20</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“新会陈皮+”国庆、中秋消费集市</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农产品展销摊位，3m*3m标准规格、kt板包边装饰，含特色农产品、特色小吃展示、桌子1张、椅子2张，通水通电，使用不少于10天。</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16</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套</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2"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21</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“溯源打卡·集章兑礼”互动体验打卡点，预计3m*2m，桁架+灯布+异性KT板，多层制作，含集章打卡物料，使用不少于10天。</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7</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套</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22</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氛围展板，桁架+黑底灯布，含加固件</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平方米</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23</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现场指引示意图，A4折页。彩色铜版纸印刷，过膜。</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5500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张</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24</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游客休息区，含露营桌椅（每套1张桌+4张椅+1个遮阳伞），使用不少于10天</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套</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25</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非遗节目表演，1-4日，每日2场，每场30分钟，预计不少于30人次，含服饰、妆造、差旅。或非遗手工制作现场教学，每场含专业老师1名、满足不少于20人使用的非遗体验物料、座位等</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8</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场</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26</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彩旗，画面尺寸0.4m*1.2m，配1.5m竹竿，使用不少于10天</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套</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27</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注水道旗，画面尺寸0.5m*1.5m，双面印刷，配1.5m竹竿，使用不少于10天</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50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套</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28</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活动拱门，内径跨度7m长，外径跨度不少于10m，总高不少于5m，钢架结构，外型KT板包边，使用不少于10天</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29</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粤港澳大湾区新会陈皮交易汇拍卖</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持证专业拍卖师，拍卖拍品不少于10款</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位</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30</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拍卖锤</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个</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31</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号码票，KT板，不小于20cm*30cm</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12</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个</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3"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32</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“品质溯源”新会陈皮电商直播大促</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直播间搭建，含主背景（桁架+黑底灯布，不少于4平方米）、道具（茶台、茶椅、茶具等一套）、直播间灯管、直播所需设备、产品展示架、桶装水等</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21"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33</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pageBreakBefore w:val="0"/>
              <w:suppressLineNumbers w:val="0"/>
              <w:kinsoku/>
              <w:wordWrap/>
              <w:overflowPunct/>
              <w:topLinePunct w:val="0"/>
              <w:autoSpaceDE/>
              <w:autoSpaceDN/>
              <w:bidi w:val="0"/>
              <w:adjustRightInd/>
              <w:snapToGrid/>
              <w:spacing w:before="0" w:beforeAutospacing="0" w:afterAutospacing="0" w:line="360" w:lineRule="exact"/>
              <w:ind w:left="0" w:right="0"/>
              <w:jc w:val="left"/>
              <w:rPr>
                <w:rFonts w:hint="eastAsia"/>
              </w:rPr>
            </w:pPr>
            <w:r>
              <w:rPr>
                <w:rFonts w:hint="eastAsia" w:ascii="仿宋_GB2312" w:hAnsi="宋体" w:eastAsia="仿宋_GB2312" w:cs="仿宋_GB2312"/>
                <w:i w:val="0"/>
                <w:iCs w:val="0"/>
                <w:color w:val="000000"/>
                <w:kern w:val="0"/>
                <w:sz w:val="28"/>
                <w:szCs w:val="28"/>
                <w:u w:val="none"/>
                <w:lang w:val="en-US" w:eastAsia="zh-CN" w:bidi="ar"/>
              </w:rPr>
              <w:t>邀请不少于1位主播(直播平台粉丝超30万)，进行直播2个专场，不少于90分钟。团队不少于5人，含差旅交通、住宿、妆造等费用</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34</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摄影摄像</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启动仪式舞台特效视频，不少于2条，含修改至可交付</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35</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系列活动周期内，直播活动摄影1次，预计不少于1.5小时，含不少于1名摄影师、拍摄设备等。</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3"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36</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系列周期短视频拍摄、制作。预计约1分钟系列短视频10条，含特效包装制作、配音、约1位摄影师差旅费用等</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10</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37</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媒体投放</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省级媒体邀请分发宣传，不少于8家</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0"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38</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项目执行期间，抖音、小红书、腾讯短视频话题运营、内容投放。主题涵盖活动预热、陈皮知识科普、“体验陈皮非遗制作”、“陈皮宴品尝”等选题，累计不少于150篇次，累计浏览量不少于3000万。</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1</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5"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39</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活动接待</w:t>
            </w: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工作人员工作餐，主要用于搭建+活动期间的午餐+晚餐，总计不少于200餐次，人均限价不超过35元</w:t>
            </w:r>
          </w:p>
        </w:tc>
        <w:tc>
          <w:tcPr>
            <w:tcW w:w="6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200</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餐次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jc w:val="center"/>
        </w:trPr>
        <w:tc>
          <w:tcPr>
            <w:tcW w:w="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40</w:t>
            </w: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rPr>
                <w:rFonts w:hint="eastAsia" w:ascii="仿宋_GB2312" w:hAnsi="宋体" w:eastAsia="仿宋_GB2312" w:cs="仿宋_GB2312"/>
                <w:i w:val="0"/>
                <w:iCs w:val="0"/>
                <w:color w:val="000000"/>
                <w:sz w:val="28"/>
                <w:szCs w:val="28"/>
                <w:u w:val="none"/>
              </w:rPr>
            </w:pPr>
          </w:p>
        </w:tc>
        <w:tc>
          <w:tcPr>
            <w:tcW w:w="43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活动期间，接待嘉宾，人均限价不超过150元/餐</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85</w:t>
            </w:r>
          </w:p>
        </w:tc>
        <w:tc>
          <w:tcPr>
            <w:tcW w:w="11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人次</w:t>
            </w:r>
          </w:p>
        </w:tc>
        <w:tc>
          <w:tcPr>
            <w:tcW w:w="9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jc w:val="center"/>
        </w:trPr>
        <w:tc>
          <w:tcPr>
            <w:tcW w:w="88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合计（元）</w:t>
            </w:r>
          </w:p>
        </w:tc>
        <w:tc>
          <w:tcPr>
            <w:tcW w:w="11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center"/>
              <w:rPr>
                <w:rFonts w:hint="eastAsia" w:ascii="仿宋_GB2312" w:hAnsi="宋体" w:eastAsia="仿宋_GB2312" w:cs="仿宋_GB2312"/>
                <w:i w:val="0"/>
                <w:iCs w:val="0"/>
                <w:color w:val="000000"/>
                <w:sz w:val="28"/>
                <w:szCs w:val="28"/>
                <w:u w:val="none"/>
              </w:rPr>
            </w:pPr>
          </w:p>
        </w:tc>
      </w:tr>
    </w:tbl>
    <w:p>
      <w:pPr>
        <w:pStyle w:val="2"/>
        <w:rPr>
          <w:rFonts w:hint="eastAsia"/>
        </w:rPr>
      </w:pPr>
    </w:p>
    <w:p>
      <w:pPr>
        <w:pStyle w:val="2"/>
        <w:rPr>
          <w:rFonts w:hint="eastAsia"/>
        </w:rPr>
      </w:pPr>
    </w:p>
    <w:p>
      <w:pPr>
        <w:pStyle w:val="12"/>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pPr>
        <w:spacing w:after="200" w:line="400" w:lineRule="exact"/>
        <w:jc w:val="center"/>
        <w:rPr>
          <w:rFonts w:hint="eastAsia" w:ascii="仿宋" w:hAnsi="仿宋" w:eastAsia="仿宋" w:cs="仿宋"/>
          <w:b/>
          <w:color w:val="000000"/>
          <w:sz w:val="28"/>
          <w:szCs w:val="28"/>
          <w:highlight w:val="none"/>
        </w:rPr>
        <w:sectPr>
          <w:footerReference r:id="rId5" w:type="default"/>
          <w:pgSz w:w="11906" w:h="16838"/>
          <w:pgMar w:top="1440" w:right="1800" w:bottom="1440" w:left="1800" w:header="851" w:footer="992" w:gutter="0"/>
          <w:pgNumType w:fmt="decimal" w:start="1"/>
          <w:cols w:space="720" w:num="1"/>
          <w:docGrid w:type="lines" w:linePitch="312" w:charSpace="0"/>
        </w:sectPr>
      </w:pPr>
      <w:bookmarkStart w:id="2" w:name="_Toc34146941"/>
      <w:bookmarkStart w:id="3" w:name="_Toc1651903"/>
      <w:bookmarkStart w:id="4" w:name="_Toc475472676"/>
    </w:p>
    <w:p>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 w:hAnsi="仿宋" w:eastAsia="仿宋" w:cs="仿宋"/>
          <w:color w:val="000000"/>
          <w:sz w:val="28"/>
          <w:szCs w:val="28"/>
          <w:highlight w:val="none"/>
          <w:lang w:val="en-US" w:eastAsia="zh-CN"/>
        </w:rPr>
        <w:t>提供2022年以来同类业绩(搭建或执行)案例不少于两项(附合同关键页)。</w:t>
      </w:r>
    </w:p>
    <w:p>
      <w:pPr>
        <w:pStyle w:val="5"/>
        <w:rPr>
          <w:rFonts w:ascii="仿宋" w:hAnsi="仿宋" w:eastAsia="仿宋" w:cs="仿宋"/>
          <w:kern w:val="0"/>
          <w:sz w:val="28"/>
          <w:szCs w:val="28"/>
          <w:highlight w:val="none"/>
        </w:rPr>
      </w:pPr>
    </w:p>
    <w:bookmarkEnd w:id="2"/>
    <w:bookmarkEnd w:id="3"/>
    <w:bookmarkEnd w:id="4"/>
    <w:p>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w:t>
      </w:r>
      <w:bookmarkStart w:id="5" w:name="_GoBack"/>
      <w:bookmarkEnd w:id="5"/>
      <w:r>
        <w:rPr>
          <w:rFonts w:hint="eastAsia" w:ascii="仿宋" w:hAnsi="仿宋" w:eastAsia="仿宋" w:cs="仿宋"/>
          <w:bCs/>
          <w:color w:val="000000"/>
          <w:sz w:val="28"/>
          <w:szCs w:val="28"/>
          <w:highlight w:val="none"/>
        </w:rPr>
        <w:t>件，已完全清晰理解采购文件的要求，不存在任何含糊不清和误解之处，同意放弃对这些文件所提出的异议和质疑的权利。</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w:t>
      </w:r>
      <w:r>
        <w:rPr>
          <w:rFonts w:hint="eastAsia" w:ascii="仿宋" w:hAnsi="仿宋" w:eastAsia="仿宋" w:cs="仿宋"/>
          <w:color w:val="000000"/>
          <w:kern w:val="2"/>
          <w:sz w:val="28"/>
          <w:szCs w:val="28"/>
          <w:highlight w:val="none"/>
          <w:lang w:val="en-US" w:eastAsia="zh-CN" w:bidi="ar-SA"/>
        </w:rPr>
        <w:t>资金</w:t>
      </w:r>
      <w:r>
        <w:rPr>
          <w:rFonts w:hint="eastAsia" w:ascii="仿宋" w:hAnsi="仿宋" w:eastAsia="仿宋" w:cs="仿宋"/>
          <w:bCs/>
          <w:color w:val="000000"/>
          <w:sz w:val="28"/>
          <w:szCs w:val="28"/>
          <w:highlight w:val="none"/>
        </w:rPr>
        <w:t>的良好记录。</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pPr>
        <w:pStyle w:val="12"/>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pPr>
        <w:spacing w:after="200" w:line="276" w:lineRule="auto"/>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四</w:t>
      </w:r>
      <w:r>
        <w:rPr>
          <w:rFonts w:hint="eastAsia" w:ascii="仿宋" w:hAnsi="仿宋" w:eastAsia="仿宋" w:cs="仿宋"/>
          <w:b/>
          <w:color w:val="000000"/>
          <w:sz w:val="28"/>
          <w:szCs w:val="28"/>
          <w:highlight w:val="none"/>
          <w:lang w:val="en-US" w:eastAsia="zh-CN"/>
        </w:rPr>
        <w:t>、</w:t>
      </w:r>
      <w:r>
        <w:rPr>
          <w:rFonts w:hint="eastAsia" w:ascii="仿宋" w:hAnsi="仿宋" w:eastAsia="仿宋" w:cs="仿宋"/>
          <w:b/>
          <w:color w:val="000000"/>
          <w:sz w:val="28"/>
          <w:szCs w:val="28"/>
          <w:highlight w:val="none"/>
        </w:rPr>
        <w:t>法定代表人证明书</w:t>
      </w:r>
    </w:p>
    <w:p>
      <w:pPr>
        <w:spacing w:line="276" w:lineRule="auto"/>
        <w:jc w:val="center"/>
        <w:rPr>
          <w:rFonts w:ascii="宋体" w:hAnsi="宋体" w:cs="宋体"/>
          <w:b/>
          <w:sz w:val="24"/>
          <w:highlight w:val="none"/>
        </w:rPr>
      </w:pPr>
    </w:p>
    <w:p>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pPr>
        <w:tabs>
          <w:tab w:val="left" w:pos="8364"/>
        </w:tabs>
        <w:snapToGrid w:val="0"/>
        <w:spacing w:line="360" w:lineRule="auto"/>
        <w:ind w:right="-58"/>
        <w:rPr>
          <w:rFonts w:ascii="仿宋" w:hAnsi="仿宋" w:eastAsia="仿宋" w:cs="仿宋"/>
          <w:color w:val="000000"/>
          <w:sz w:val="28"/>
          <w:szCs w:val="28"/>
          <w:highlight w:val="none"/>
        </w:rPr>
      </w:pPr>
    </w:p>
    <w:p>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500" w:lineRule="exact"/>
        <w:rPr>
          <w:rFonts w:ascii="宋体" w:hAnsi="宋体" w:cs="宋体"/>
          <w:sz w:val="24"/>
          <w:highlight w:val="none"/>
        </w:rPr>
      </w:pPr>
    </w:p>
    <w:p>
      <w:pPr>
        <w:spacing w:line="440" w:lineRule="exact"/>
        <w:rPr>
          <w:rFonts w:ascii="宋体" w:hAnsi="宋体" w:cs="宋体"/>
          <w:sz w:val="24"/>
          <w:highlight w:val="none"/>
        </w:rPr>
      </w:pPr>
    </w:p>
    <w:p>
      <w:pPr>
        <w:spacing w:line="440" w:lineRule="exact"/>
        <w:rPr>
          <w:rFonts w:ascii="宋体" w:hAnsi="宋体" w:cs="宋体"/>
          <w:sz w:val="24"/>
          <w:highlight w:val="none"/>
        </w:rPr>
      </w:pPr>
      <w:r>
        <w:rPr>
          <w:rFonts w:hint="eastAsia" w:ascii="宋体" w:hAnsi="宋体" w:cs="宋体"/>
          <w:sz w:val="24"/>
          <w:highlight w:val="none"/>
        </w:rPr>
        <w:t xml:space="preserve">                          </w:t>
      </w:r>
    </w:p>
    <w:p>
      <w:pPr>
        <w:spacing w:line="276" w:lineRule="auto"/>
        <w:jc w:val="center"/>
        <w:rPr>
          <w:rFonts w:hint="eastAsia" w:ascii="仿宋" w:hAnsi="仿宋" w:eastAsia="仿宋" w:cs="仿宋"/>
          <w:b/>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color w:val="000000"/>
          <w:sz w:val="28"/>
          <w:szCs w:val="28"/>
          <w:highlight w:val="none"/>
          <w:lang w:val="en-US" w:eastAsia="zh-CN"/>
        </w:rPr>
        <w:t>五</w:t>
      </w:r>
      <w:r>
        <w:rPr>
          <w:rFonts w:hint="eastAsia" w:ascii="仿宋" w:hAnsi="仿宋" w:eastAsia="仿宋" w:cs="仿宋"/>
          <w:b/>
          <w:color w:val="000000"/>
          <w:sz w:val="28"/>
          <w:szCs w:val="28"/>
          <w:highlight w:val="none"/>
          <w:lang w:val="en-GB"/>
        </w:rPr>
        <w:t>、</w:t>
      </w:r>
      <w:r>
        <w:rPr>
          <w:rFonts w:hint="eastAsia" w:ascii="仿宋" w:hAnsi="仿宋" w:eastAsia="仿宋" w:cs="仿宋"/>
          <w:b/>
          <w:color w:val="000000"/>
          <w:sz w:val="28"/>
          <w:szCs w:val="28"/>
          <w:highlight w:val="none"/>
        </w:rPr>
        <w:t>法定代表人</w:t>
      </w:r>
      <w:r>
        <w:rPr>
          <w:rFonts w:hint="eastAsia" w:ascii="仿宋" w:hAnsi="仿宋" w:eastAsia="仿宋" w:cs="仿宋"/>
          <w:b/>
          <w:color w:val="000000"/>
          <w:sz w:val="28"/>
          <w:szCs w:val="28"/>
          <w:highlight w:val="none"/>
          <w:lang w:val="en-GB"/>
        </w:rPr>
        <w:t>授权委托书</w:t>
      </w:r>
    </w:p>
    <w:p>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p>
    <w:p>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 w:hAnsi="仿宋" w:eastAsia="仿宋" w:cs="仿宋"/>
          <w:bCs/>
          <w:color w:val="000000"/>
          <w:sz w:val="28"/>
          <w:szCs w:val="28"/>
          <w:highlight w:val="none"/>
          <w:lang w:val="en-US" w:eastAsia="zh-CN"/>
        </w:rPr>
        <w:t>2025道地新会陈皮全国交易会活动执行服务项目</w:t>
      </w:r>
      <w:r>
        <w:rPr>
          <w:rFonts w:hint="eastAsia" w:ascii="仿宋" w:hAnsi="仿宋" w:eastAsia="仿宋" w:cs="仿宋"/>
          <w:bCs/>
          <w:color w:val="000000"/>
          <w:sz w:val="28"/>
          <w:szCs w:val="28"/>
          <w:highlight w:val="none"/>
        </w:rPr>
        <w:t>】的【洽谈、签约、项目服务联络等】事宜。</w:t>
      </w:r>
    </w:p>
    <w:p>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pPr>
        <w:pStyle w:val="13"/>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pPr>
        <w:pStyle w:val="13"/>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pPr>
        <w:pStyle w:val="13"/>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pPr>
        <w:pStyle w:val="13"/>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pPr>
        <w:pStyle w:val="13"/>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pPr>
                        <w:spacing w:after="200" w:line="276" w:lineRule="auto"/>
                        <w:jc w:val="center"/>
                        <w:rPr>
                          <w:rFonts w:cs="宋体"/>
                        </w:rPr>
                      </w:pPr>
                    </w:p>
                  </w:txbxContent>
                </v:textbox>
              </v:shape>
            </w:pict>
          </mc:Fallback>
        </mc:AlternateContent>
      </w: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spacing w:after="200" w:line="276" w:lineRule="auto"/>
        <w:rPr>
          <w:rFonts w:ascii="宋体" w:hAnsi="宋体" w:cs="宋体"/>
          <w:sz w:val="24"/>
          <w:highlight w:val="none"/>
        </w:rPr>
      </w:pPr>
    </w:p>
    <w:p>
      <w:pPr>
        <w:tabs>
          <w:tab w:val="left" w:pos="917"/>
        </w:tabs>
        <w:spacing w:after="200" w:line="276" w:lineRule="auto"/>
        <w:jc w:val="left"/>
        <w:rPr>
          <w:rFonts w:hint="eastAsia" w:ascii="宋体" w:hAnsi="宋体" w:cs="宋体"/>
          <w:b/>
          <w:bCs/>
          <w:sz w:val="24"/>
          <w:highlight w:val="none"/>
        </w:rPr>
      </w:pPr>
      <w:r>
        <w:rPr>
          <w:rFonts w:hint="eastAsia" w:ascii="宋体" w:hAnsi="宋体" w:cs="宋体"/>
          <w:b/>
          <w:bCs/>
          <w:sz w:val="24"/>
          <w:highlight w:val="none"/>
        </w:rPr>
        <w:br w:type="page"/>
      </w:r>
    </w:p>
    <w:p>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pPr>
        <w:pStyle w:val="2"/>
        <w:rPr>
          <w:highlight w:val="none"/>
        </w:rP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pPr>
              <w:pStyle w:val="16"/>
              <w:ind w:firstLine="0"/>
              <w:jc w:val="center"/>
              <w:rPr>
                <w:rFonts w:ascii="仿宋" w:hAnsi="仿宋" w:eastAsia="仿宋" w:cs="仿宋"/>
                <w:sz w:val="28"/>
                <w:szCs w:val="28"/>
                <w:highlight w:val="none"/>
              </w:rPr>
            </w:pPr>
          </w:p>
        </w:tc>
        <w:tc>
          <w:tcPr>
            <w:tcW w:w="2200" w:type="dxa"/>
          </w:tcPr>
          <w:p>
            <w:pPr>
              <w:pStyle w:val="16"/>
              <w:ind w:firstLine="0"/>
              <w:jc w:val="center"/>
              <w:rPr>
                <w:rFonts w:ascii="仿宋" w:hAnsi="仿宋" w:eastAsia="仿宋" w:cs="仿宋"/>
                <w:sz w:val="28"/>
                <w:szCs w:val="28"/>
                <w:highlight w:val="none"/>
              </w:rPr>
            </w:pPr>
          </w:p>
        </w:tc>
        <w:tc>
          <w:tcPr>
            <w:tcW w:w="3350" w:type="dxa"/>
          </w:tcPr>
          <w:p>
            <w:pPr>
              <w:pStyle w:val="16"/>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pPr>
              <w:pStyle w:val="16"/>
              <w:ind w:firstLine="0"/>
              <w:jc w:val="center"/>
              <w:rPr>
                <w:rFonts w:ascii="仿宋" w:hAnsi="仿宋" w:eastAsia="仿宋" w:cs="仿宋"/>
                <w:sz w:val="28"/>
                <w:szCs w:val="28"/>
                <w:highlight w:val="none"/>
              </w:rPr>
            </w:pPr>
          </w:p>
        </w:tc>
        <w:tc>
          <w:tcPr>
            <w:tcW w:w="2200" w:type="dxa"/>
          </w:tcPr>
          <w:p>
            <w:pPr>
              <w:pStyle w:val="16"/>
              <w:ind w:firstLine="0"/>
              <w:jc w:val="center"/>
              <w:rPr>
                <w:rFonts w:ascii="仿宋" w:hAnsi="仿宋" w:eastAsia="仿宋" w:cs="仿宋"/>
                <w:sz w:val="28"/>
                <w:szCs w:val="28"/>
                <w:highlight w:val="none"/>
              </w:rPr>
            </w:pPr>
          </w:p>
        </w:tc>
        <w:tc>
          <w:tcPr>
            <w:tcW w:w="3350" w:type="dxa"/>
          </w:tcPr>
          <w:p>
            <w:pPr>
              <w:pStyle w:val="16"/>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pPr>
              <w:pStyle w:val="16"/>
              <w:ind w:firstLine="0"/>
              <w:jc w:val="center"/>
              <w:rPr>
                <w:rFonts w:ascii="仿宋" w:hAnsi="仿宋" w:eastAsia="仿宋" w:cs="仿宋"/>
                <w:sz w:val="28"/>
                <w:szCs w:val="28"/>
                <w:highlight w:val="none"/>
              </w:rPr>
            </w:pPr>
          </w:p>
        </w:tc>
        <w:tc>
          <w:tcPr>
            <w:tcW w:w="2200" w:type="dxa"/>
          </w:tcPr>
          <w:p>
            <w:pPr>
              <w:pStyle w:val="16"/>
              <w:ind w:firstLine="0"/>
              <w:jc w:val="center"/>
              <w:rPr>
                <w:rFonts w:ascii="仿宋" w:hAnsi="仿宋" w:eastAsia="仿宋" w:cs="仿宋"/>
                <w:sz w:val="28"/>
                <w:szCs w:val="28"/>
                <w:highlight w:val="none"/>
              </w:rPr>
            </w:pPr>
          </w:p>
        </w:tc>
        <w:tc>
          <w:tcPr>
            <w:tcW w:w="3350" w:type="dxa"/>
          </w:tcPr>
          <w:p>
            <w:pPr>
              <w:pStyle w:val="16"/>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pPr>
              <w:pStyle w:val="16"/>
              <w:ind w:firstLine="0"/>
              <w:jc w:val="center"/>
              <w:rPr>
                <w:rFonts w:ascii="仿宋" w:hAnsi="仿宋" w:eastAsia="仿宋" w:cs="仿宋"/>
                <w:sz w:val="28"/>
                <w:szCs w:val="28"/>
                <w:highlight w:val="none"/>
              </w:rPr>
            </w:pPr>
          </w:p>
        </w:tc>
        <w:tc>
          <w:tcPr>
            <w:tcW w:w="2200" w:type="dxa"/>
          </w:tcPr>
          <w:p>
            <w:pPr>
              <w:pStyle w:val="16"/>
              <w:ind w:firstLine="0"/>
              <w:jc w:val="center"/>
              <w:rPr>
                <w:rFonts w:ascii="仿宋" w:hAnsi="仿宋" w:eastAsia="仿宋" w:cs="仿宋"/>
                <w:sz w:val="28"/>
                <w:szCs w:val="28"/>
                <w:highlight w:val="none"/>
              </w:rPr>
            </w:pPr>
          </w:p>
        </w:tc>
        <w:tc>
          <w:tcPr>
            <w:tcW w:w="3350" w:type="dxa"/>
          </w:tcPr>
          <w:p>
            <w:pPr>
              <w:pStyle w:val="16"/>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pPr>
              <w:pStyle w:val="16"/>
              <w:ind w:firstLine="0"/>
              <w:jc w:val="center"/>
              <w:rPr>
                <w:rFonts w:ascii="仿宋" w:hAnsi="仿宋" w:eastAsia="仿宋" w:cs="仿宋"/>
                <w:sz w:val="28"/>
                <w:szCs w:val="28"/>
                <w:highlight w:val="none"/>
              </w:rPr>
            </w:pPr>
          </w:p>
        </w:tc>
        <w:tc>
          <w:tcPr>
            <w:tcW w:w="2200" w:type="dxa"/>
          </w:tcPr>
          <w:p>
            <w:pPr>
              <w:pStyle w:val="16"/>
              <w:ind w:firstLine="0"/>
              <w:jc w:val="center"/>
              <w:rPr>
                <w:rFonts w:ascii="仿宋" w:hAnsi="仿宋" w:eastAsia="仿宋" w:cs="仿宋"/>
                <w:sz w:val="28"/>
                <w:szCs w:val="28"/>
                <w:highlight w:val="none"/>
              </w:rPr>
            </w:pPr>
          </w:p>
        </w:tc>
        <w:tc>
          <w:tcPr>
            <w:tcW w:w="3350" w:type="dxa"/>
          </w:tcPr>
          <w:p>
            <w:pPr>
              <w:pStyle w:val="16"/>
              <w:ind w:firstLine="0"/>
              <w:jc w:val="center"/>
              <w:rPr>
                <w:rFonts w:ascii="仿宋" w:hAnsi="仿宋" w:eastAsia="仿宋" w:cs="仿宋"/>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pStyle w:val="16"/>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pPr>
              <w:pStyle w:val="16"/>
              <w:ind w:firstLine="0"/>
              <w:jc w:val="center"/>
              <w:rPr>
                <w:rFonts w:ascii="仿宋" w:hAnsi="仿宋" w:eastAsia="仿宋" w:cs="仿宋"/>
                <w:sz w:val="28"/>
                <w:szCs w:val="28"/>
                <w:highlight w:val="none"/>
              </w:rPr>
            </w:pPr>
          </w:p>
        </w:tc>
        <w:tc>
          <w:tcPr>
            <w:tcW w:w="2200" w:type="dxa"/>
          </w:tcPr>
          <w:p>
            <w:pPr>
              <w:pStyle w:val="16"/>
              <w:ind w:firstLine="0"/>
              <w:jc w:val="center"/>
              <w:rPr>
                <w:rFonts w:ascii="仿宋" w:hAnsi="仿宋" w:eastAsia="仿宋" w:cs="仿宋"/>
                <w:sz w:val="28"/>
                <w:szCs w:val="28"/>
                <w:highlight w:val="none"/>
              </w:rPr>
            </w:pPr>
          </w:p>
        </w:tc>
        <w:tc>
          <w:tcPr>
            <w:tcW w:w="3350" w:type="dxa"/>
          </w:tcPr>
          <w:p>
            <w:pPr>
              <w:pStyle w:val="16"/>
              <w:ind w:firstLine="0"/>
              <w:jc w:val="center"/>
              <w:rPr>
                <w:rFonts w:ascii="仿宋" w:hAnsi="仿宋" w:eastAsia="仿宋" w:cs="仿宋"/>
                <w:sz w:val="28"/>
                <w:szCs w:val="28"/>
                <w:highlight w:val="none"/>
              </w:rPr>
            </w:pPr>
          </w:p>
        </w:tc>
      </w:tr>
    </w:tbl>
    <w:p>
      <w:pPr>
        <w:pStyle w:val="15"/>
        <w:spacing w:after="200" w:line="276" w:lineRule="auto"/>
        <w:ind w:firstLine="0" w:firstLineChars="0"/>
        <w:jc w:val="left"/>
        <w:rPr>
          <w:rFonts w:ascii="仿宋" w:hAnsi="仿宋" w:eastAsia="仿宋" w:cs="仿宋"/>
          <w:b/>
          <w:kern w:val="0"/>
          <w:sz w:val="28"/>
          <w:szCs w:val="28"/>
          <w:highlight w:val="none"/>
        </w:rPr>
      </w:pPr>
    </w:p>
    <w:p>
      <w:pPr>
        <w:pStyle w:val="15"/>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r>
        <w:rPr>
          <w:rFonts w:hint="eastAsia" w:ascii="仿宋" w:hAnsi="仿宋" w:eastAsia="仿宋" w:cs="仿宋"/>
          <w:b/>
          <w:kern w:val="0"/>
          <w:sz w:val="28"/>
          <w:szCs w:val="28"/>
          <w:highlight w:val="none"/>
          <w:lang w:eastAsia="zh-CN"/>
        </w:rPr>
        <w:t>】</w:t>
      </w:r>
    </w:p>
    <w:p>
      <w:pPr>
        <w:pStyle w:val="15"/>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pgNumType w:fmt="decimal"/>
          <w:cols w:space="425" w:num="1"/>
          <w:docGrid w:type="lines" w:linePitch="312" w:charSpace="0"/>
        </w:sectPr>
      </w:pPr>
    </w:p>
    <w:p>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eastAsia="zh-CN"/>
        </w:rPr>
        <w:t>，</w:t>
      </w:r>
      <w:r>
        <w:rPr>
          <w:rFonts w:hint="eastAsia" w:ascii="仿宋" w:hAnsi="仿宋" w:eastAsia="仿宋" w:cs="仿宋"/>
          <w:bCs/>
          <w:kern w:val="0"/>
          <w:sz w:val="28"/>
          <w:szCs w:val="28"/>
          <w:highlight w:val="none"/>
          <w:lang w:val="en-US" w:eastAsia="zh-CN"/>
        </w:rPr>
        <w:t>格式自拟</w:t>
      </w:r>
      <w:r>
        <w:rPr>
          <w:rFonts w:hint="eastAsia" w:ascii="仿宋" w:hAnsi="仿宋" w:eastAsia="仿宋" w:cs="仿宋"/>
          <w:bCs/>
          <w:kern w:val="0"/>
          <w:sz w:val="28"/>
          <w:szCs w:val="28"/>
          <w:highlight w:val="none"/>
        </w:rPr>
        <w:t>）</w:t>
      </w:r>
    </w:p>
    <w:p>
      <w:pPr>
        <w:pStyle w:val="7"/>
        <w:rPr>
          <w:rFonts w:hint="eastAsia"/>
          <w:lang w:val="en-US" w:eastAsia="zh-CN"/>
        </w:rPr>
        <w:sectPr>
          <w:pgSz w:w="11906" w:h="16838"/>
          <w:pgMar w:top="1440" w:right="1800" w:bottom="1440" w:left="1800" w:header="851" w:footer="992" w:gutter="0"/>
          <w:pgNumType w:fmt="decimal"/>
          <w:cols w:space="425" w:num="1"/>
          <w:docGrid w:type="lines" w:linePitch="312" w:charSpace="0"/>
        </w:sectPr>
      </w:pPr>
    </w:p>
    <w:p>
      <w:pPr>
        <w:pStyle w:val="15"/>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九、报价人认为需要补充的其他资料</w:t>
      </w:r>
    </w:p>
    <w:p>
      <w:pPr>
        <w:rPr>
          <w:rFonts w:hint="eastAsia"/>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2</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7D29EE"/>
    <w:multiLevelType w:val="singleLevel"/>
    <w:tmpl w:val="357D29E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00172A27"/>
    <w:rsid w:val="00B514E9"/>
    <w:rsid w:val="014D325C"/>
    <w:rsid w:val="02AB4C3E"/>
    <w:rsid w:val="057E6B02"/>
    <w:rsid w:val="06B96089"/>
    <w:rsid w:val="07DB2536"/>
    <w:rsid w:val="086B2B28"/>
    <w:rsid w:val="0F8A2F0C"/>
    <w:rsid w:val="12D70244"/>
    <w:rsid w:val="13713FD4"/>
    <w:rsid w:val="162718A6"/>
    <w:rsid w:val="179F7DE1"/>
    <w:rsid w:val="1C676ADD"/>
    <w:rsid w:val="1FAC6014"/>
    <w:rsid w:val="2D7C088F"/>
    <w:rsid w:val="2F92180C"/>
    <w:rsid w:val="31C64990"/>
    <w:rsid w:val="338D6E29"/>
    <w:rsid w:val="364B6993"/>
    <w:rsid w:val="394E537D"/>
    <w:rsid w:val="3CB83652"/>
    <w:rsid w:val="3F391D4B"/>
    <w:rsid w:val="427F7E2D"/>
    <w:rsid w:val="43030A5E"/>
    <w:rsid w:val="449328CD"/>
    <w:rsid w:val="47697B58"/>
    <w:rsid w:val="48D2429A"/>
    <w:rsid w:val="4C132817"/>
    <w:rsid w:val="4E9F0761"/>
    <w:rsid w:val="4EEE4370"/>
    <w:rsid w:val="517D4052"/>
    <w:rsid w:val="52B34B7F"/>
    <w:rsid w:val="557B22A8"/>
    <w:rsid w:val="55C817C9"/>
    <w:rsid w:val="57B40D6A"/>
    <w:rsid w:val="59287FF3"/>
    <w:rsid w:val="59F878CF"/>
    <w:rsid w:val="5E123FC8"/>
    <w:rsid w:val="5F0517A2"/>
    <w:rsid w:val="62194CB0"/>
    <w:rsid w:val="68CD5437"/>
    <w:rsid w:val="6F7F2737"/>
    <w:rsid w:val="70447E3C"/>
    <w:rsid w:val="72F559FA"/>
    <w:rsid w:val="73D53C52"/>
    <w:rsid w:val="74103D21"/>
    <w:rsid w:val="74A23B6A"/>
    <w:rsid w:val="760B6407"/>
    <w:rsid w:val="76BC1447"/>
    <w:rsid w:val="7C537674"/>
    <w:rsid w:val="7FCE1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5"/>
    <w:qFormat/>
    <w:uiPriority w:val="0"/>
    <w:pPr>
      <w:keepNext/>
      <w:keepLines/>
      <w:spacing w:before="260" w:after="260" w:line="416" w:lineRule="auto"/>
      <w:outlineLvl w:val="1"/>
    </w:pPr>
    <w:rPr>
      <w:rFonts w:ascii="Arial" w:hAnsi="Arial" w:eastAsia="黑体"/>
      <w:b/>
      <w:bCs/>
      <w:sz w:val="32"/>
      <w:szCs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3">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5">
    <w:name w:val="Normal Indent"/>
    <w:basedOn w:val="1"/>
    <w:next w:val="6"/>
    <w:qFormat/>
    <w:uiPriority w:val="0"/>
    <w:pPr>
      <w:ind w:firstLine="420" w:firstLineChars="200"/>
    </w:pPr>
    <w:rPr>
      <w:rFonts w:ascii="Times New Roman" w:hAnsi="Times New Roman" w:eastAsia="宋体" w:cs="Times New Roman"/>
      <w:sz w:val="33"/>
      <w:szCs w:val="33"/>
    </w:rPr>
  </w:style>
  <w:style w:type="paragraph" w:styleId="6">
    <w:name w:val="toc 4"/>
    <w:basedOn w:val="1"/>
    <w:next w:val="1"/>
    <w:qFormat/>
    <w:uiPriority w:val="39"/>
    <w:pPr>
      <w:spacing w:line="360" w:lineRule="auto"/>
      <w:ind w:left="720" w:firstLine="425"/>
      <w:jc w:val="left"/>
    </w:pPr>
    <w:rPr>
      <w:spacing w:val="10"/>
      <w:kern w:val="0"/>
      <w:sz w:val="18"/>
      <w:szCs w:val="18"/>
    </w:rPr>
  </w:style>
  <w:style w:type="paragraph" w:styleId="7">
    <w:name w:val="index 8"/>
    <w:basedOn w:val="1"/>
    <w:next w:val="1"/>
    <w:unhideWhenUsed/>
    <w:qFormat/>
    <w:uiPriority w:val="99"/>
    <w:pPr>
      <w:ind w:left="2940"/>
      <w:jc w:val="left"/>
    </w:pPr>
  </w:style>
  <w:style w:type="paragraph" w:styleId="8">
    <w:name w:val="Salutation"/>
    <w:basedOn w:val="1"/>
    <w:next w:val="1"/>
    <w:qFormat/>
    <w:uiPriority w:val="0"/>
    <w:rPr>
      <w:rFonts w:ascii="宋体" w:hAnsi="宋体" w:cs="宋体"/>
      <w:sz w:val="28"/>
      <w:szCs w:val="28"/>
    </w:rPr>
  </w:style>
  <w:style w:type="paragraph" w:styleId="9">
    <w:name w:val="Body Text Indent"/>
    <w:basedOn w:val="1"/>
    <w:next w:val="1"/>
    <w:qFormat/>
    <w:uiPriority w:val="0"/>
    <w:pPr>
      <w:autoSpaceDE w:val="0"/>
      <w:autoSpaceDN w:val="0"/>
      <w:spacing w:line="360" w:lineRule="auto"/>
      <w:ind w:firstLine="420" w:firstLineChars="200"/>
    </w:pPr>
    <w:rPr>
      <w:rFonts w:ascii="宋体" w:hAnsi="宋体"/>
      <w:szCs w:val="21"/>
    </w:rPr>
  </w:style>
  <w:style w:type="paragraph" w:styleId="10">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13">
    <w:name w:val="Normal (Web)"/>
    <w:basedOn w:val="1"/>
    <w:qFormat/>
    <w:uiPriority w:val="0"/>
    <w:pPr>
      <w:spacing w:beforeAutospacing="1" w:afterAutospacing="1"/>
      <w:jc w:val="left"/>
    </w:pPr>
    <w:rPr>
      <w:rFonts w:cs="Times New Roman"/>
      <w:kern w:val="0"/>
      <w:sz w:val="24"/>
    </w:rPr>
  </w:style>
  <w:style w:type="paragraph" w:styleId="14">
    <w:name w:val="Title"/>
    <w:basedOn w:val="1"/>
    <w:next w:val="9"/>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5">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6">
    <w:name w:val="Body Text First Indent 2"/>
    <w:basedOn w:val="9"/>
    <w:next w:val="1"/>
    <w:qFormat/>
    <w:uiPriority w:val="0"/>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font41"/>
    <w:basedOn w:val="19"/>
    <w:qFormat/>
    <w:uiPriority w:val="0"/>
    <w:rPr>
      <w:rFonts w:hint="eastAsia" w:ascii="宋体" w:hAnsi="宋体" w:eastAsia="宋体" w:cs="宋体"/>
      <w:color w:val="000000"/>
      <w:sz w:val="22"/>
      <w:szCs w:val="22"/>
      <w:u w:val="none"/>
    </w:rPr>
  </w:style>
  <w:style w:type="character" w:customStyle="1" w:styleId="21">
    <w:name w:val="font121"/>
    <w:basedOn w:val="19"/>
    <w:qFormat/>
    <w:uiPriority w:val="0"/>
    <w:rPr>
      <w:rFonts w:ascii="宋体" w:hAnsi="宋体" w:eastAsia="宋体" w:cs="宋体"/>
      <w:color w:val="000000"/>
      <w:sz w:val="22"/>
      <w:szCs w:val="22"/>
      <w:u w:val="none"/>
    </w:rPr>
  </w:style>
  <w:style w:type="character" w:customStyle="1" w:styleId="22">
    <w:name w:val="font61"/>
    <w:basedOn w:val="19"/>
    <w:qFormat/>
    <w:uiPriority w:val="0"/>
    <w:rPr>
      <w:rFonts w:hint="default" w:ascii="Times New Roman" w:hAnsi="Times New Roman" w:cs="Times New Roman"/>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2923</Words>
  <Characters>3228</Characters>
  <Lines>0</Lines>
  <Paragraphs>0</Paragraphs>
  <TotalTime>2</TotalTime>
  <ScaleCrop>false</ScaleCrop>
  <LinksUpToDate>false</LinksUpToDate>
  <CharactersWithSpaces>3436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吴建君</cp:lastModifiedBy>
  <dcterms:modified xsi:type="dcterms:W3CDTF">2025-09-19T07:59:03Z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ABD2A60F99F94ED78743448A2EEB0337</vt:lpwstr>
  </property>
  <property fmtid="{D5CDD505-2E9C-101B-9397-08002B2CF9AE}" pid="4" name="KSOTemplateDocerSaveRecord">
    <vt:lpwstr>eyJoZGlkIjoiNjZmM2VhMmU5ZWE0ODFjYTkyODgzY2M2NjBmY2MyMTUiLCJ1c2VySWQiOiI1Njg3NTMzODkifQ==</vt:lpwstr>
  </property>
</Properties>
</file>