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Times New Roman" w:hAnsi="Times New Roman" w:eastAsia="宋体" w:cs="Times New Roman"/>
          <w:b/>
          <w:bCs/>
          <w:spacing w:val="40"/>
          <w:sz w:val="44"/>
          <w:szCs w:val="44"/>
        </w:rPr>
      </w:pPr>
    </w:p>
    <w:p>
      <w:pPr>
        <w:pStyle w:val="47"/>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66"/>
          <w:szCs w:val="66"/>
          <w:lang w:val="en-US" w:eastAsia="zh-CN"/>
        </w:rPr>
      </w:pPr>
      <w:r>
        <w:rPr>
          <w:rFonts w:hint="eastAsia" w:ascii="宋体" w:hAnsi="宋体" w:eastAsia="宋体" w:cs="宋体"/>
          <w:b/>
          <w:bCs/>
          <w:sz w:val="66"/>
          <w:szCs w:val="66"/>
          <w:lang w:val="en-US" w:eastAsia="zh-CN"/>
        </w:rPr>
        <w:t>南方报业传媒大厦电梯更换项目</w:t>
      </w:r>
    </w:p>
    <w:p>
      <w:pPr>
        <w:spacing w:line="360" w:lineRule="auto"/>
        <w:ind w:left="359" w:leftChars="171"/>
        <w:jc w:val="center"/>
        <w:rPr>
          <w:rFonts w:hint="eastAsia" w:ascii="Times New Roman" w:hAnsi="Times New Roman" w:eastAsia="宋体" w:cs="Times New Roman"/>
          <w:sz w:val="36"/>
          <w:u w:val="single"/>
          <w:lang w:val="en-US" w:eastAsia="zh-CN"/>
        </w:rPr>
      </w:pPr>
      <w:r>
        <w:rPr>
          <w:rFonts w:hint="eastAsia" w:ascii="Times New Roman" w:hAnsi="Times New Roman" w:eastAsia="宋体" w:cs="Times New Roman"/>
          <w:sz w:val="36"/>
          <w:u w:val="single"/>
          <w:lang w:val="en-US" w:eastAsia="zh-CN"/>
        </w:rPr>
        <w:t>-</w:t>
      </w:r>
    </w:p>
    <w:p>
      <w:pPr>
        <w:spacing w:line="360" w:lineRule="auto"/>
        <w:ind w:left="359" w:leftChars="171"/>
        <w:jc w:val="center"/>
        <w:rPr>
          <w:rFonts w:ascii="Times New Roman" w:hAnsi="Times New Roman" w:eastAsia="宋体" w:cs="Times New Roman"/>
          <w:sz w:val="36"/>
          <w:u w:val="single"/>
        </w:rPr>
      </w:pPr>
    </w:p>
    <w:p>
      <w:pPr>
        <w:spacing w:line="360" w:lineRule="auto"/>
        <w:ind w:left="359" w:leftChars="171"/>
        <w:jc w:val="center"/>
        <w:rPr>
          <w:rFonts w:ascii="Times New Roman" w:hAnsi="Times New Roman" w:eastAsia="宋体" w:cs="Times New Roman"/>
          <w:sz w:val="36"/>
          <w:u w:val="single"/>
        </w:rPr>
      </w:pPr>
    </w:p>
    <w:p>
      <w:pPr>
        <w:spacing w:line="360" w:lineRule="auto"/>
        <w:ind w:left="359" w:leftChars="171"/>
        <w:jc w:val="center"/>
        <w:rPr>
          <w:rFonts w:ascii="Times New Roman" w:hAnsi="Times New Roman" w:eastAsia="宋体" w:cs="Times New Roman"/>
          <w:sz w:val="36"/>
          <w:u w:val="single"/>
        </w:rPr>
      </w:pPr>
    </w:p>
    <w:p>
      <w:pPr>
        <w:spacing w:line="360" w:lineRule="auto"/>
        <w:jc w:val="center"/>
        <w:rPr>
          <w:rFonts w:ascii="Times New Roman" w:hAnsi="Times New Roman" w:eastAsia="宋体" w:cs="Times New Roman"/>
          <w:sz w:val="36"/>
          <w:u w:val="single"/>
        </w:rPr>
      </w:pPr>
    </w:p>
    <w:p>
      <w:pPr>
        <w:spacing w:line="360" w:lineRule="auto"/>
        <w:jc w:val="center"/>
        <w:rPr>
          <w:rFonts w:ascii="Times New Roman" w:hAnsi="Times New Roman" w:eastAsia="楷体_GB2312" w:cs="Times New Roman"/>
          <w:b/>
          <w:bCs/>
          <w:spacing w:val="26"/>
          <w:sz w:val="110"/>
          <w:szCs w:val="110"/>
        </w:rPr>
      </w:pPr>
      <w:r>
        <w:rPr>
          <w:rFonts w:ascii="Times New Roman" w:hAnsi="Times New Roman" w:eastAsia="楷体_GB2312" w:cs="Times New Roman"/>
          <w:b/>
          <w:bCs/>
          <w:spacing w:val="26"/>
          <w:sz w:val="110"/>
          <w:szCs w:val="110"/>
        </w:rPr>
        <w:t>招标文件</w:t>
      </w:r>
    </w:p>
    <w:p>
      <w:pPr>
        <w:spacing w:line="360" w:lineRule="auto"/>
        <w:jc w:val="center"/>
        <w:rPr>
          <w:rFonts w:ascii="Times New Roman" w:hAnsi="Times New Roman" w:eastAsia="宋体" w:cs="Times New Roman"/>
          <w:sz w:val="32"/>
        </w:rPr>
      </w:pPr>
    </w:p>
    <w:p>
      <w:pPr>
        <w:spacing w:line="360" w:lineRule="auto"/>
        <w:ind w:firstLine="2560" w:firstLineChars="800"/>
        <w:rPr>
          <w:rFonts w:ascii="Times New Roman" w:hAnsi="Times New Roman" w:eastAsia="宋体" w:cs="Times New Roman"/>
          <w:sz w:val="32"/>
        </w:rPr>
      </w:pPr>
    </w:p>
    <w:p>
      <w:pPr>
        <w:spacing w:line="360" w:lineRule="auto"/>
        <w:rPr>
          <w:rFonts w:ascii="Times New Roman" w:hAnsi="Times New Roman" w:eastAsia="宋体" w:cs="Times New Roman"/>
          <w:sz w:val="52"/>
        </w:rPr>
      </w:pPr>
    </w:p>
    <w:p>
      <w:pPr>
        <w:spacing w:line="360" w:lineRule="auto"/>
        <w:ind w:firstLine="900" w:firstLineChars="300"/>
        <w:rPr>
          <w:rFonts w:hint="eastAsia" w:ascii="Times New Roman" w:hAnsi="Times New Roman" w:eastAsia="宋体" w:cs="Times New Roman"/>
          <w:color w:val="auto"/>
          <w:sz w:val="30"/>
          <w:szCs w:val="30"/>
          <w:lang w:eastAsia="zh-CN"/>
        </w:rPr>
      </w:pPr>
      <w:r>
        <w:rPr>
          <w:rFonts w:ascii="Times New Roman" w:hAnsi="Times New Roman" w:eastAsia="宋体" w:cs="Times New Roman"/>
          <w:color w:val="auto"/>
          <w:sz w:val="30"/>
          <w:szCs w:val="30"/>
        </w:rPr>
        <w:t>招  标 单 位：</w:t>
      </w:r>
      <w:r>
        <w:rPr>
          <w:rFonts w:hint="eastAsia" w:ascii="Times New Roman" w:hAnsi="Times New Roman" w:eastAsia="宋体" w:cs="Times New Roman"/>
          <w:color w:val="auto"/>
          <w:sz w:val="30"/>
          <w:szCs w:val="30"/>
        </w:rPr>
        <w:t>广东南方报业传媒集团物业管理有限公司</w:t>
      </w:r>
    </w:p>
    <w:p>
      <w:pPr>
        <w:spacing w:line="360" w:lineRule="auto"/>
        <w:ind w:firstLine="900" w:firstLineChars="300"/>
        <w:rPr>
          <w:rFonts w:ascii="Times New Roman" w:hAnsi="Times New Roman" w:eastAsia="宋体" w:cs="Times New Roman"/>
          <w:color w:val="auto"/>
          <w:sz w:val="30"/>
          <w:szCs w:val="30"/>
        </w:rPr>
      </w:pPr>
      <w:r>
        <w:rPr>
          <w:rFonts w:ascii="Times New Roman" w:hAnsi="Times New Roman" w:eastAsia="宋体" w:cs="Times New Roman"/>
          <w:color w:val="auto"/>
          <w:sz w:val="30"/>
          <w:szCs w:val="30"/>
        </w:rPr>
        <w:t>招标代理单位：广东有德招标采购有限公司</w:t>
      </w:r>
    </w:p>
    <w:p>
      <w:pPr>
        <w:spacing w:line="360" w:lineRule="auto"/>
        <w:ind w:firstLine="960" w:firstLineChars="300"/>
        <w:rPr>
          <w:rFonts w:hint="default" w:ascii="Times New Roman" w:hAnsi="Times New Roman" w:eastAsia="宋体" w:cs="Times New Roman"/>
          <w:b/>
          <w:bCs/>
          <w:color w:val="auto"/>
          <w:sz w:val="36"/>
          <w:szCs w:val="36"/>
          <w:lang w:val="en-US" w:eastAsia="zh-CN"/>
        </w:rPr>
        <w:sectPr>
          <w:headerReference r:id="rId5" w:type="first"/>
          <w:headerReference r:id="rId3" w:type="default"/>
          <w:headerReference r:id="rId4" w:type="even"/>
          <w:footerReference r:id="rId6" w:type="even"/>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color w:val="auto"/>
          <w:sz w:val="32"/>
        </w:rPr>
        <w:t>日      期：</w:t>
      </w:r>
      <w:r>
        <w:rPr>
          <w:rFonts w:hint="eastAsia" w:ascii="宋体" w:hAnsi="宋体" w:eastAsia="宋体" w:cs="宋体"/>
          <w:color w:val="auto"/>
          <w:sz w:val="32"/>
        </w:rPr>
        <w:t>202</w:t>
      </w:r>
      <w:r>
        <w:rPr>
          <w:rFonts w:hint="eastAsia" w:ascii="宋体" w:hAnsi="宋体" w:eastAsia="宋体" w:cs="宋体"/>
          <w:color w:val="auto"/>
          <w:sz w:val="32"/>
          <w:lang w:val="en-US" w:eastAsia="zh-CN"/>
        </w:rPr>
        <w:t>3</w:t>
      </w:r>
      <w:r>
        <w:rPr>
          <w:rFonts w:hint="eastAsia" w:ascii="宋体" w:hAnsi="宋体" w:eastAsia="宋体" w:cs="宋体"/>
          <w:color w:val="auto"/>
          <w:sz w:val="32"/>
        </w:rPr>
        <w:t>年</w:t>
      </w:r>
      <w:r>
        <w:rPr>
          <w:rFonts w:hint="eastAsia" w:ascii="宋体" w:hAnsi="宋体" w:eastAsia="宋体" w:cs="宋体"/>
          <w:color w:val="auto"/>
          <w:sz w:val="32"/>
          <w:lang w:val="en-US" w:eastAsia="zh-CN"/>
        </w:rPr>
        <w:t>2</w:t>
      </w:r>
      <w:r>
        <w:rPr>
          <w:rFonts w:hint="eastAsia" w:ascii="宋体" w:hAnsi="宋体" w:eastAsia="宋体" w:cs="宋体"/>
          <w:color w:val="auto"/>
          <w:sz w:val="32"/>
        </w:rPr>
        <w:t>月</w:t>
      </w: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pStyle w:val="26"/>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bookmarkStart w:id="0" w:name="_Toc2272545"/>
      <w:r>
        <w:rPr>
          <w:rFonts w:hint="eastAsia" w:ascii="宋体" w:hAnsi="宋体" w:eastAsia="宋体" w:cs="宋体"/>
          <w:caps/>
          <w:kern w:val="0"/>
          <w:sz w:val="24"/>
          <w:szCs w:val="24"/>
        </w:rPr>
        <w:fldChar w:fldCharType="begin"/>
      </w:r>
      <w:r>
        <w:rPr>
          <w:rFonts w:hint="eastAsia" w:ascii="宋体" w:hAnsi="宋体" w:eastAsia="宋体" w:cs="宋体"/>
          <w:caps/>
          <w:kern w:val="0"/>
          <w:sz w:val="24"/>
          <w:szCs w:val="24"/>
        </w:rPr>
        <w:instrText xml:space="preserve">TOC \o "1-4" \h \u </w:instrText>
      </w:r>
      <w:r>
        <w:rPr>
          <w:rFonts w:hint="eastAsia" w:ascii="宋体" w:hAnsi="宋体" w:eastAsia="宋体" w:cs="宋体"/>
          <w:caps/>
          <w:kern w:val="0"/>
          <w:sz w:val="24"/>
          <w:szCs w:val="24"/>
        </w:rPr>
        <w:fldChar w:fldCharType="separate"/>
      </w:r>
      <w:r>
        <w:rPr>
          <w:rFonts w:hint="eastAsia" w:ascii="宋体" w:hAnsi="宋体" w:eastAsia="宋体" w:cs="宋体"/>
          <w:caps/>
          <w:kern w:val="0"/>
          <w:sz w:val="24"/>
          <w:szCs w:val="24"/>
        </w:rPr>
        <w:fldChar w:fldCharType="begin"/>
      </w:r>
      <w:r>
        <w:rPr>
          <w:rFonts w:hint="eastAsia" w:ascii="宋体" w:hAnsi="宋体" w:eastAsia="宋体" w:cs="宋体"/>
          <w:caps/>
          <w:kern w:val="0"/>
          <w:sz w:val="24"/>
          <w:szCs w:val="24"/>
        </w:rPr>
        <w:instrText xml:space="preserve"> HYPERLINK \l _Toc16174 </w:instrText>
      </w:r>
      <w:r>
        <w:rPr>
          <w:rFonts w:hint="eastAsia" w:ascii="宋体" w:hAnsi="宋体" w:eastAsia="宋体" w:cs="宋体"/>
          <w:caps/>
          <w:kern w:val="0"/>
          <w:sz w:val="24"/>
          <w:szCs w:val="24"/>
        </w:rPr>
        <w:fldChar w:fldCharType="separate"/>
      </w:r>
      <w:r>
        <w:rPr>
          <w:rFonts w:hint="eastAsia" w:ascii="宋体" w:hAnsi="宋体" w:eastAsia="宋体" w:cs="宋体"/>
          <w:kern w:val="44"/>
          <w:sz w:val="24"/>
          <w:szCs w:val="24"/>
        </w:rPr>
        <w:t>第一章 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_Toc16174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aps/>
          <w:kern w:val="0"/>
          <w:sz w:val="24"/>
          <w:szCs w:val="24"/>
        </w:rPr>
        <w:fldChar w:fldCharType="end"/>
      </w:r>
    </w:p>
    <w:p>
      <w:pPr>
        <w:pStyle w:val="26"/>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_Toc30008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第二章 投标须知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_Toc30008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2"/>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_Toc7933 </w:instrText>
      </w:r>
      <w:r>
        <w:rPr>
          <w:rFonts w:hint="eastAsia" w:ascii="宋体" w:hAnsi="宋体" w:eastAsia="宋体" w:cs="宋体"/>
          <w:sz w:val="24"/>
          <w:szCs w:val="24"/>
        </w:rPr>
        <w:fldChar w:fldCharType="separate"/>
      </w:r>
      <w:r>
        <w:rPr>
          <w:rFonts w:hint="eastAsia" w:ascii="宋体" w:hAnsi="宋体" w:eastAsia="宋体" w:cs="宋体"/>
          <w:sz w:val="24"/>
          <w:szCs w:val="24"/>
        </w:rPr>
        <w:t>一、投标须知前附表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_Toc7933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2"/>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_Toc18612 </w:instrText>
      </w:r>
      <w:r>
        <w:rPr>
          <w:rFonts w:hint="eastAsia" w:ascii="宋体" w:hAnsi="宋体" w:eastAsia="宋体" w:cs="宋体"/>
          <w:sz w:val="24"/>
          <w:szCs w:val="24"/>
        </w:rPr>
        <w:fldChar w:fldCharType="separate"/>
      </w:r>
      <w:r>
        <w:rPr>
          <w:rFonts w:hint="eastAsia" w:ascii="宋体" w:hAnsi="宋体" w:eastAsia="宋体" w:cs="宋体"/>
          <w:sz w:val="24"/>
          <w:szCs w:val="24"/>
        </w:rPr>
        <w:t>二、投标须知条款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_Toc30312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_Toc30312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_Toc19694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_Toc19694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_Toc18922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（三）投标文件的编制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_Toc18922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_Toc13056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（四）投标文件的提交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_Toc13056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_Toc29329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（五）开标、评标、定标及合同签定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_Toc29329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_Toc12951 </w:instrText>
      </w:r>
      <w:r>
        <w:rPr>
          <w:rFonts w:hint="eastAsia" w:ascii="宋体" w:hAnsi="宋体" w:eastAsia="宋体" w:cs="宋体"/>
          <w:sz w:val="24"/>
          <w:szCs w:val="24"/>
        </w:rPr>
        <w:fldChar w:fldCharType="separate"/>
      </w:r>
      <w:r>
        <w:rPr>
          <w:rFonts w:hint="eastAsia" w:ascii="宋体" w:hAnsi="宋体" w:eastAsia="宋体" w:cs="宋体"/>
          <w:bCs/>
          <w:kern w:val="44"/>
          <w:sz w:val="24"/>
          <w:szCs w:val="24"/>
        </w:rPr>
        <w:t>第三章 开标、评标及定标办法条款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_Toc12951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_Toc26823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（一）总则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_Toc26823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_Toc19486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（二）开标评标办法程序和细则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_Toc19486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_Toc5711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（三）附表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_Toc5711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_Toc2380 </w:instrText>
      </w:r>
      <w:r>
        <w:rPr>
          <w:rFonts w:hint="eastAsia" w:ascii="宋体" w:hAnsi="宋体" w:eastAsia="宋体" w:cs="宋体"/>
          <w:sz w:val="24"/>
          <w:szCs w:val="24"/>
        </w:rPr>
        <w:fldChar w:fldCharType="separate"/>
      </w:r>
      <w:r>
        <w:rPr>
          <w:rFonts w:hint="eastAsia" w:ascii="宋体" w:hAnsi="宋体" w:eastAsia="宋体" w:cs="宋体"/>
          <w:sz w:val="24"/>
          <w:szCs w:val="24"/>
        </w:rPr>
        <w:t>附表一：资格审查表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_Toc2380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_Toc28953 </w:instrText>
      </w:r>
      <w:r>
        <w:rPr>
          <w:rFonts w:hint="eastAsia" w:ascii="宋体" w:hAnsi="宋体" w:eastAsia="宋体" w:cs="宋体"/>
          <w:sz w:val="24"/>
          <w:szCs w:val="24"/>
        </w:rPr>
        <w:fldChar w:fldCharType="separate"/>
      </w:r>
      <w:r>
        <w:rPr>
          <w:rFonts w:hint="eastAsia" w:ascii="宋体" w:hAnsi="宋体" w:eastAsia="宋体" w:cs="宋体"/>
          <w:sz w:val="24"/>
          <w:szCs w:val="24"/>
        </w:rPr>
        <w:t>附表二：技术标有效性审查表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_Toc28953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_Toc5910 </w:instrText>
      </w:r>
      <w:r>
        <w:rPr>
          <w:rFonts w:hint="eastAsia" w:ascii="宋体" w:hAnsi="宋体" w:eastAsia="宋体" w:cs="宋体"/>
          <w:sz w:val="24"/>
          <w:szCs w:val="24"/>
        </w:rPr>
        <w:fldChar w:fldCharType="separate"/>
      </w:r>
      <w:r>
        <w:rPr>
          <w:rFonts w:hint="eastAsia" w:ascii="宋体" w:hAnsi="宋体" w:eastAsia="宋体" w:cs="宋体"/>
          <w:sz w:val="24"/>
          <w:szCs w:val="24"/>
        </w:rPr>
        <w:t>附表三：经济标有效性审查表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_Toc5910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_Toc28131 </w:instrText>
      </w:r>
      <w:r>
        <w:rPr>
          <w:rFonts w:hint="eastAsia" w:ascii="宋体" w:hAnsi="宋体" w:eastAsia="宋体" w:cs="宋体"/>
          <w:sz w:val="24"/>
          <w:szCs w:val="24"/>
        </w:rPr>
        <w:fldChar w:fldCharType="separate"/>
      </w:r>
      <w:r>
        <w:rPr>
          <w:rFonts w:hint="eastAsia" w:ascii="宋体" w:hAnsi="宋体" w:eastAsia="宋体" w:cs="宋体"/>
          <w:sz w:val="24"/>
          <w:szCs w:val="24"/>
        </w:rPr>
        <w:t>附表四：技术标详细审查评分表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_Toc28131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_Toc11355 </w:instrText>
      </w:r>
      <w:r>
        <w:rPr>
          <w:rFonts w:hint="eastAsia" w:ascii="宋体" w:hAnsi="宋体" w:eastAsia="宋体" w:cs="宋体"/>
          <w:sz w:val="24"/>
          <w:szCs w:val="24"/>
        </w:rPr>
        <w:fldChar w:fldCharType="separate"/>
      </w:r>
      <w:r>
        <w:rPr>
          <w:rFonts w:hint="eastAsia" w:ascii="宋体" w:hAnsi="宋体" w:eastAsia="宋体" w:cs="宋体"/>
          <w:sz w:val="24"/>
          <w:szCs w:val="24"/>
        </w:rPr>
        <w:t>附表五：经济标评分表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_Toc11355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_Toc4293 </w:instrText>
      </w:r>
      <w:r>
        <w:rPr>
          <w:rFonts w:hint="eastAsia" w:ascii="宋体" w:hAnsi="宋体" w:eastAsia="宋体" w:cs="宋体"/>
          <w:sz w:val="24"/>
          <w:szCs w:val="24"/>
        </w:rPr>
        <w:fldChar w:fldCharType="separate"/>
      </w:r>
      <w:r>
        <w:rPr>
          <w:rFonts w:hint="eastAsia" w:ascii="宋体" w:hAnsi="宋体" w:eastAsia="宋体" w:cs="宋体"/>
          <w:sz w:val="24"/>
          <w:szCs w:val="24"/>
        </w:rPr>
        <w:t>附表六：算术复核表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_Toc4293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_Toc2754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第四章 合同条款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_Toc2754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_Toc21260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第五章 用户需求书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_Toc21260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6"/>
        <w:keepNext w:val="0"/>
        <w:keepLines w:val="0"/>
        <w:pageBreakBefore w:val="0"/>
        <w:widowControl w:val="0"/>
        <w:tabs>
          <w:tab w:val="right" w:leader="dot" w:pos="8305"/>
          <w:tab w:val="clear" w:pos="9060"/>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_Toc5019 </w:instrText>
      </w:r>
      <w:r>
        <w:rPr>
          <w:rFonts w:hint="eastAsia" w:ascii="宋体" w:hAnsi="宋体" w:eastAsia="宋体" w:cs="宋体"/>
          <w:sz w:val="24"/>
          <w:szCs w:val="24"/>
        </w:rPr>
        <w:fldChar w:fldCharType="separate"/>
      </w:r>
      <w:r>
        <w:rPr>
          <w:rFonts w:hint="eastAsia" w:ascii="宋体" w:hAnsi="宋体" w:eastAsia="宋体" w:cs="宋体"/>
          <w:kern w:val="44"/>
          <w:sz w:val="24"/>
          <w:szCs w:val="24"/>
        </w:rPr>
        <w:t>第</w:t>
      </w:r>
      <w:r>
        <w:rPr>
          <w:rFonts w:hint="eastAsia" w:ascii="宋体" w:hAnsi="宋体" w:eastAsia="宋体" w:cs="宋体"/>
          <w:kern w:val="44"/>
          <w:sz w:val="24"/>
          <w:szCs w:val="24"/>
          <w:lang w:val="en-US" w:eastAsia="zh-CN"/>
        </w:rPr>
        <w:t>六</w:t>
      </w:r>
      <w:r>
        <w:rPr>
          <w:rFonts w:hint="eastAsia" w:ascii="宋体" w:hAnsi="宋体" w:eastAsia="宋体" w:cs="宋体"/>
          <w:kern w:val="44"/>
          <w:sz w:val="24"/>
          <w:szCs w:val="24"/>
        </w:rPr>
        <w:t>章 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_Toc5019 \h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_Toc4378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（一） 自查表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_Toc4378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_Toc30920 </w:instrText>
      </w:r>
      <w:r>
        <w:rPr>
          <w:rFonts w:hint="eastAsia" w:ascii="宋体" w:hAnsi="宋体" w:eastAsia="宋体" w:cs="宋体"/>
          <w:sz w:val="24"/>
          <w:szCs w:val="24"/>
        </w:rPr>
        <w:fldChar w:fldCharType="separate"/>
      </w:r>
      <w:r>
        <w:rPr>
          <w:rFonts w:hint="eastAsia" w:ascii="宋体" w:hAnsi="宋体" w:eastAsia="宋体" w:cs="宋体"/>
          <w:bCs/>
          <w:sz w:val="24"/>
          <w:szCs w:val="24"/>
        </w:rPr>
        <w:t>1.1 资格审查自查表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_Toc30920 \h </w:instrText>
      </w:r>
      <w:r>
        <w:rPr>
          <w:rFonts w:hint="eastAsia" w:ascii="宋体" w:hAnsi="宋体" w:eastAsia="宋体" w:cs="宋体"/>
          <w:sz w:val="24"/>
          <w:szCs w:val="24"/>
        </w:rPr>
        <w:fldChar w:fldCharType="separate"/>
      </w:r>
      <w:r>
        <w:rPr>
          <w:rFonts w:hint="eastAsia" w:ascii="宋体" w:hAnsi="宋体" w:eastAsia="宋体" w:cs="宋体"/>
          <w:sz w:val="24"/>
          <w:szCs w:val="24"/>
        </w:rPr>
        <w:t>58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_Toc2088 </w:instrText>
      </w:r>
      <w:r>
        <w:rPr>
          <w:rFonts w:hint="eastAsia" w:ascii="宋体" w:hAnsi="宋体" w:eastAsia="宋体" w:cs="宋体"/>
          <w:sz w:val="24"/>
          <w:szCs w:val="24"/>
        </w:rPr>
        <w:fldChar w:fldCharType="separate"/>
      </w:r>
      <w:r>
        <w:rPr>
          <w:rFonts w:hint="eastAsia" w:ascii="宋体" w:hAnsi="宋体" w:eastAsia="宋体" w:cs="宋体"/>
          <w:bCs/>
          <w:sz w:val="24"/>
          <w:szCs w:val="24"/>
        </w:rPr>
        <w:t>1.2 技术标有效性审查自查表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_Toc2088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_Toc4604 </w:instrText>
      </w:r>
      <w:r>
        <w:rPr>
          <w:rFonts w:hint="eastAsia" w:ascii="宋体" w:hAnsi="宋体" w:eastAsia="宋体" w:cs="宋体"/>
          <w:sz w:val="24"/>
          <w:szCs w:val="24"/>
        </w:rPr>
        <w:fldChar w:fldCharType="separate"/>
      </w:r>
      <w:r>
        <w:rPr>
          <w:rFonts w:hint="eastAsia" w:ascii="宋体" w:hAnsi="宋体" w:eastAsia="宋体" w:cs="宋体"/>
          <w:bCs/>
          <w:sz w:val="24"/>
          <w:szCs w:val="24"/>
        </w:rPr>
        <w:t>1.3经济标有效性审查自查表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_Toc4604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_Toc27410 </w:instrText>
      </w:r>
      <w:r>
        <w:rPr>
          <w:rFonts w:hint="eastAsia" w:ascii="宋体" w:hAnsi="宋体" w:eastAsia="宋体" w:cs="宋体"/>
          <w:sz w:val="24"/>
          <w:szCs w:val="24"/>
        </w:rPr>
        <w:fldChar w:fldCharType="separate"/>
      </w:r>
      <w:r>
        <w:rPr>
          <w:rFonts w:hint="eastAsia" w:ascii="宋体" w:hAnsi="宋体" w:eastAsia="宋体" w:cs="宋体"/>
          <w:bCs/>
          <w:sz w:val="24"/>
          <w:szCs w:val="24"/>
        </w:rPr>
        <w:t>1.4技术标详细审查评分自查表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_Toc27410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_Toc24780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（二） 资格文件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_Toc24780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_Toc3741 </w:instrText>
      </w:r>
      <w:r>
        <w:rPr>
          <w:rFonts w:hint="eastAsia" w:ascii="宋体" w:hAnsi="宋体" w:eastAsia="宋体" w:cs="宋体"/>
          <w:sz w:val="24"/>
          <w:szCs w:val="24"/>
        </w:rPr>
        <w:fldChar w:fldCharType="separate"/>
      </w:r>
      <w:r>
        <w:rPr>
          <w:rFonts w:hint="eastAsia" w:ascii="宋体" w:hAnsi="宋体" w:eastAsia="宋体" w:cs="宋体"/>
          <w:bCs/>
          <w:sz w:val="24"/>
          <w:szCs w:val="24"/>
        </w:rPr>
        <w:t>1.1投标函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_Toc3741 \h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_Toc25186 </w:instrText>
      </w:r>
      <w:r>
        <w:rPr>
          <w:rFonts w:hint="eastAsia" w:ascii="宋体" w:hAnsi="宋体" w:eastAsia="宋体" w:cs="宋体"/>
          <w:sz w:val="24"/>
          <w:szCs w:val="24"/>
        </w:rPr>
        <w:fldChar w:fldCharType="separate"/>
      </w:r>
      <w:r>
        <w:rPr>
          <w:rFonts w:hint="eastAsia" w:ascii="宋体" w:hAnsi="宋体" w:eastAsia="宋体" w:cs="宋体"/>
          <w:bCs/>
          <w:sz w:val="24"/>
          <w:szCs w:val="24"/>
        </w:rPr>
        <w:t>1.4资格声明的文件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_Toc25186 \h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_Toc28885 </w:instrText>
      </w:r>
      <w:r>
        <w:rPr>
          <w:rFonts w:hint="eastAsia" w:ascii="宋体" w:hAnsi="宋体" w:eastAsia="宋体" w:cs="宋体"/>
          <w:sz w:val="24"/>
          <w:szCs w:val="24"/>
        </w:rPr>
        <w:fldChar w:fldCharType="separate"/>
      </w:r>
      <w:r>
        <w:rPr>
          <w:rFonts w:hint="eastAsia" w:ascii="宋体" w:hAnsi="宋体" w:eastAsia="宋体" w:cs="宋体"/>
          <w:bCs/>
          <w:sz w:val="24"/>
          <w:szCs w:val="24"/>
        </w:rPr>
        <w:t>1.5退还投标保证金说明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_Toc28885 \h </w:instrText>
      </w:r>
      <w:r>
        <w:rPr>
          <w:rFonts w:hint="eastAsia" w:ascii="宋体" w:hAnsi="宋体" w:eastAsia="宋体" w:cs="宋体"/>
          <w:sz w:val="24"/>
          <w:szCs w:val="24"/>
        </w:rPr>
        <w:fldChar w:fldCharType="separate"/>
      </w:r>
      <w:r>
        <w:rPr>
          <w:rFonts w:hint="eastAsia" w:ascii="宋体" w:hAnsi="宋体" w:eastAsia="宋体" w:cs="宋体"/>
          <w:sz w:val="24"/>
          <w:szCs w:val="24"/>
        </w:rPr>
        <w:t>66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_Toc995 </w:instrText>
      </w:r>
      <w:r>
        <w:rPr>
          <w:rFonts w:hint="eastAsia" w:ascii="宋体" w:hAnsi="宋体" w:eastAsia="宋体" w:cs="宋体"/>
          <w:sz w:val="24"/>
          <w:szCs w:val="24"/>
        </w:rPr>
        <w:fldChar w:fldCharType="separate"/>
      </w:r>
      <w:r>
        <w:rPr>
          <w:rFonts w:hint="eastAsia" w:ascii="宋体" w:hAnsi="宋体" w:eastAsia="宋体" w:cs="宋体"/>
          <w:bCs/>
          <w:sz w:val="24"/>
          <w:szCs w:val="24"/>
        </w:rPr>
        <w:t>1.6投标保证金凭证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_Toc995 \h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_Toc15479 </w:instrText>
      </w:r>
      <w:r>
        <w:rPr>
          <w:rFonts w:hint="eastAsia" w:ascii="宋体" w:hAnsi="宋体" w:eastAsia="宋体" w:cs="宋体"/>
          <w:sz w:val="24"/>
          <w:szCs w:val="24"/>
        </w:rPr>
        <w:fldChar w:fldCharType="separate"/>
      </w:r>
      <w:r>
        <w:rPr>
          <w:rFonts w:hint="eastAsia" w:ascii="宋体" w:hAnsi="宋体" w:eastAsia="宋体" w:cs="宋体"/>
          <w:bCs/>
          <w:sz w:val="24"/>
          <w:szCs w:val="24"/>
        </w:rPr>
        <w:t>1.7招标代理服务费支付承诺书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_Toc15479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_Toc30388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（三） 技术标文件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_Toc30388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_Toc12415 </w:instrText>
      </w:r>
      <w:r>
        <w:rPr>
          <w:rFonts w:hint="eastAsia" w:ascii="宋体" w:hAnsi="宋体" w:eastAsia="宋体" w:cs="宋体"/>
          <w:sz w:val="24"/>
          <w:szCs w:val="24"/>
        </w:rPr>
        <w:fldChar w:fldCharType="separate"/>
      </w:r>
      <w:r>
        <w:rPr>
          <w:rFonts w:hint="eastAsia" w:ascii="宋体" w:hAnsi="宋体" w:eastAsia="宋体" w:cs="宋体"/>
          <w:bCs/>
          <w:sz w:val="24"/>
          <w:szCs w:val="24"/>
        </w:rPr>
        <w:t>1.1投标人基本情况表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_Toc12415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_Toc19530 </w:instrText>
      </w:r>
      <w:r>
        <w:rPr>
          <w:rFonts w:hint="eastAsia" w:ascii="宋体" w:hAnsi="宋体" w:eastAsia="宋体" w:cs="宋体"/>
          <w:sz w:val="24"/>
          <w:szCs w:val="24"/>
        </w:rPr>
        <w:fldChar w:fldCharType="separate"/>
      </w:r>
      <w:r>
        <w:rPr>
          <w:rFonts w:hint="eastAsia" w:ascii="宋体" w:hAnsi="宋体" w:eastAsia="宋体" w:cs="宋体"/>
          <w:bCs/>
          <w:sz w:val="24"/>
          <w:szCs w:val="24"/>
        </w:rPr>
        <w:t>1.2</w:t>
      </w:r>
      <w:r>
        <w:rPr>
          <w:rFonts w:hint="eastAsia" w:ascii="宋体" w:hAnsi="宋体" w:cs="宋体"/>
          <w:bCs/>
          <w:sz w:val="24"/>
          <w:szCs w:val="24"/>
          <w:lang w:val="en-US" w:eastAsia="zh-CN"/>
        </w:rPr>
        <w:t>电梯制造商</w:t>
      </w:r>
      <w:r>
        <w:rPr>
          <w:rFonts w:hint="eastAsia" w:ascii="宋体" w:hAnsi="宋体" w:eastAsia="宋体" w:cs="宋体"/>
          <w:bCs/>
          <w:sz w:val="24"/>
          <w:szCs w:val="24"/>
        </w:rPr>
        <w:t>近年完成的类似项目情况表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_Toc19530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_Toc21843 </w:instrText>
      </w:r>
      <w:r>
        <w:rPr>
          <w:rFonts w:hint="eastAsia" w:ascii="宋体" w:hAnsi="宋体" w:eastAsia="宋体" w:cs="宋体"/>
          <w:sz w:val="24"/>
          <w:szCs w:val="24"/>
        </w:rPr>
        <w:fldChar w:fldCharType="separate"/>
      </w:r>
      <w:r>
        <w:rPr>
          <w:rFonts w:hint="eastAsia" w:ascii="宋体" w:hAnsi="宋体" w:eastAsia="宋体" w:cs="宋体"/>
          <w:bCs/>
          <w:sz w:val="24"/>
          <w:szCs w:val="24"/>
        </w:rPr>
        <w:t>1.3 企业管理体系认证情况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_Toc21843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_Toc15663 </w:instrText>
      </w:r>
      <w:r>
        <w:rPr>
          <w:rFonts w:hint="eastAsia" w:ascii="宋体" w:hAnsi="宋体" w:eastAsia="宋体" w:cs="宋体"/>
          <w:sz w:val="24"/>
          <w:szCs w:val="24"/>
        </w:rPr>
        <w:fldChar w:fldCharType="separate"/>
      </w:r>
      <w:r>
        <w:rPr>
          <w:rFonts w:hint="eastAsia" w:ascii="宋体" w:hAnsi="宋体" w:eastAsia="宋体" w:cs="宋体"/>
          <w:bCs/>
          <w:sz w:val="24"/>
          <w:szCs w:val="24"/>
        </w:rPr>
        <w:t>1.4项目管理机构组成表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_Toc15663 \h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_Toc29731 </w:instrText>
      </w:r>
      <w:r>
        <w:rPr>
          <w:rFonts w:hint="eastAsia" w:ascii="宋体" w:hAnsi="宋体" w:eastAsia="宋体" w:cs="宋体"/>
          <w:sz w:val="24"/>
          <w:szCs w:val="24"/>
        </w:rPr>
        <w:fldChar w:fldCharType="separate"/>
      </w:r>
      <w:r>
        <w:rPr>
          <w:rFonts w:hint="eastAsia" w:ascii="宋体" w:hAnsi="宋体" w:eastAsia="宋体" w:cs="宋体"/>
          <w:bCs/>
          <w:sz w:val="24"/>
          <w:szCs w:val="24"/>
        </w:rPr>
        <w:t>1.5主要人员简历表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_Toc29731 \h </w:instrText>
      </w:r>
      <w:r>
        <w:rPr>
          <w:rFonts w:hint="eastAsia" w:ascii="宋体" w:hAnsi="宋体" w:eastAsia="宋体" w:cs="宋体"/>
          <w:sz w:val="24"/>
          <w:szCs w:val="24"/>
        </w:rPr>
        <w:fldChar w:fldCharType="separate"/>
      </w:r>
      <w:r>
        <w:rPr>
          <w:rFonts w:hint="eastAsia" w:ascii="宋体" w:hAnsi="宋体" w:eastAsia="宋体" w:cs="宋体"/>
          <w:sz w:val="24"/>
          <w:szCs w:val="24"/>
        </w:rPr>
        <w:t>72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_Toc23896 </w:instrText>
      </w:r>
      <w:r>
        <w:rPr>
          <w:rFonts w:hint="eastAsia" w:ascii="宋体" w:hAnsi="宋体" w:eastAsia="宋体" w:cs="宋体"/>
          <w:sz w:val="24"/>
          <w:szCs w:val="24"/>
        </w:rPr>
        <w:fldChar w:fldCharType="separate"/>
      </w:r>
      <w:r>
        <w:rPr>
          <w:rFonts w:hint="eastAsia" w:ascii="宋体" w:hAnsi="宋体" w:eastAsia="宋体" w:cs="宋体"/>
          <w:bCs/>
          <w:sz w:val="24"/>
          <w:szCs w:val="24"/>
        </w:rPr>
        <w:t>1.6 施工组织设计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_Toc23896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_Toc10875 </w:instrText>
      </w:r>
      <w:r>
        <w:rPr>
          <w:rFonts w:hint="eastAsia" w:ascii="宋体" w:hAnsi="宋体" w:eastAsia="宋体" w:cs="宋体"/>
          <w:sz w:val="24"/>
          <w:szCs w:val="24"/>
        </w:rPr>
        <w:fldChar w:fldCharType="separate"/>
      </w:r>
      <w:r>
        <w:rPr>
          <w:rFonts w:hint="eastAsia" w:ascii="宋体" w:hAnsi="宋体" w:eastAsia="宋体" w:cs="宋体"/>
          <w:bCs/>
          <w:kern w:val="0"/>
          <w:sz w:val="24"/>
          <w:szCs w:val="24"/>
        </w:rPr>
        <w:t>（四） 经济标文件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_Toc10875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7"/>
        <w:keepNext w:val="0"/>
        <w:keepLines w:val="0"/>
        <w:pageBreakBefore w:val="0"/>
        <w:widowControl w:val="0"/>
        <w:tabs>
          <w:tab w:val="right" w:leader="dot" w:pos="8305"/>
        </w:tabs>
        <w:kinsoku/>
        <w:wordWrap/>
        <w:overflowPunct/>
        <w:topLinePunct w:val="0"/>
        <w:autoSpaceDE/>
        <w:autoSpaceDN/>
        <w:bidi w:val="0"/>
        <w:spacing w:line="30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_Toc20481 </w:instrText>
      </w:r>
      <w:r>
        <w:rPr>
          <w:rFonts w:hint="eastAsia" w:ascii="宋体" w:hAnsi="宋体" w:eastAsia="宋体" w:cs="宋体"/>
          <w:sz w:val="24"/>
          <w:szCs w:val="24"/>
        </w:rPr>
        <w:fldChar w:fldCharType="separate"/>
      </w:r>
      <w:r>
        <w:rPr>
          <w:rFonts w:hint="eastAsia" w:ascii="宋体" w:hAnsi="宋体" w:eastAsia="宋体" w:cs="宋体"/>
          <w:bCs/>
          <w:sz w:val="24"/>
          <w:szCs w:val="24"/>
        </w:rPr>
        <w:t>1.1报价表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_Toc10875 \h </w:instrText>
      </w:r>
      <w:r>
        <w:rPr>
          <w:rFonts w:hint="eastAsia" w:ascii="宋体" w:hAnsi="宋体" w:eastAsia="宋体" w:cs="宋体"/>
          <w:sz w:val="24"/>
          <w:szCs w:val="24"/>
        </w:rPr>
        <w:fldChar w:fldCharType="separate"/>
      </w:r>
      <w:r>
        <w:rPr>
          <w:rFonts w:hint="eastAsia" w:ascii="宋体" w:hAnsi="宋体" w:eastAsia="宋体" w:cs="宋体"/>
          <w:sz w:val="24"/>
          <w:szCs w:val="24"/>
        </w:rPr>
        <w:t>74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spacing w:line="300" w:lineRule="exact"/>
        <w:rPr>
          <w:rFonts w:ascii="Times New Roman" w:hAnsi="Times New Roman" w:eastAsia="宋体" w:cs="Times New Roman"/>
          <w:b/>
          <w:kern w:val="44"/>
          <w:sz w:val="28"/>
          <w:szCs w:val="28"/>
        </w:rPr>
        <w:sectPr>
          <w:headerReference r:id="rId8" w:type="first"/>
          <w:footerReference r:id="rId10" w:type="first"/>
          <w:headerReference r:id="rId7" w:type="default"/>
          <w:footerReference r:id="rId9" w:type="default"/>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pgNumType w:start="1"/>
          <w:cols w:space="720" w:num="1"/>
          <w:docGrid w:linePitch="318" w:charSpace="0"/>
        </w:sectPr>
      </w:pPr>
      <w:r>
        <w:rPr>
          <w:rFonts w:hint="eastAsia" w:ascii="宋体" w:hAnsi="宋体" w:eastAsia="宋体" w:cs="宋体"/>
          <w:sz w:val="24"/>
          <w:szCs w:val="24"/>
        </w:rPr>
        <w:fldChar w:fldCharType="end"/>
      </w:r>
      <w:bookmarkStart w:id="1" w:name="_Toc17543"/>
    </w:p>
    <w:p>
      <w:pPr>
        <w:keepNext/>
        <w:keepLines/>
        <w:spacing w:after="120" w:line="360" w:lineRule="auto"/>
        <w:jc w:val="center"/>
        <w:outlineLvl w:val="0"/>
        <w:rPr>
          <w:rFonts w:ascii="宋体" w:hAnsi="宋体" w:eastAsia="宋体" w:cs="宋体"/>
          <w:b/>
          <w:color w:val="auto"/>
          <w:kern w:val="44"/>
          <w:sz w:val="28"/>
          <w:szCs w:val="28"/>
          <w:highlight w:val="none"/>
        </w:rPr>
      </w:pPr>
      <w:bookmarkStart w:id="2" w:name="_Toc16174"/>
      <w:bookmarkStart w:id="3" w:name="_Toc4098"/>
      <w:r>
        <w:rPr>
          <w:rFonts w:hint="eastAsia" w:ascii="宋体" w:hAnsi="宋体" w:eastAsia="宋体" w:cs="宋体"/>
          <w:b/>
          <w:color w:val="auto"/>
          <w:kern w:val="44"/>
          <w:sz w:val="28"/>
          <w:szCs w:val="28"/>
          <w:highlight w:val="none"/>
        </w:rPr>
        <w:t>第一章 招标公告</w:t>
      </w:r>
      <w:bookmarkEnd w:id="1"/>
      <w:bookmarkEnd w:id="2"/>
      <w:bookmarkEnd w:id="3"/>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广东有德招标采购有限公司受</w:t>
      </w:r>
      <w:r>
        <w:rPr>
          <w:rFonts w:hint="eastAsia" w:ascii="宋体" w:hAnsi="宋体" w:eastAsia="宋体" w:cs="宋体"/>
          <w:color w:val="auto"/>
          <w:sz w:val="24"/>
          <w:highlight w:val="none"/>
          <w:lang w:eastAsia="zh-CN"/>
        </w:rPr>
        <w:t>广东南方报业传媒集团物业管理有限公司</w:t>
      </w:r>
      <w:r>
        <w:rPr>
          <w:rFonts w:hint="eastAsia" w:ascii="宋体" w:hAnsi="宋体" w:eastAsia="宋体" w:cs="宋体"/>
          <w:color w:val="auto"/>
          <w:sz w:val="24"/>
          <w:highlight w:val="none"/>
        </w:rPr>
        <w:t>的委托，就</w:t>
      </w:r>
      <w:r>
        <w:rPr>
          <w:rFonts w:hint="eastAsia" w:ascii="宋体" w:hAnsi="宋体" w:eastAsia="宋体" w:cs="宋体"/>
          <w:color w:val="auto"/>
          <w:sz w:val="24"/>
          <w:highlight w:val="none"/>
          <w:lang w:val="en-US" w:eastAsia="zh-CN"/>
        </w:rPr>
        <w:t>南方报业传媒大厦电梯更换项目</w:t>
      </w:r>
      <w:r>
        <w:rPr>
          <w:rFonts w:hint="eastAsia" w:ascii="宋体" w:hAnsi="宋体" w:eastAsia="宋体" w:cs="宋体"/>
          <w:color w:val="auto"/>
          <w:sz w:val="24"/>
          <w:highlight w:val="none"/>
        </w:rPr>
        <w:t>进行施工专业承包公开招标，选定承包人。</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val="en-US" w:eastAsia="zh-CN"/>
        </w:rPr>
        <w:t>1210-2340YDZB5909</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w:t>
      </w:r>
      <w:r>
        <w:rPr>
          <w:rFonts w:hint="eastAsia" w:ascii="宋体" w:hAnsi="宋体" w:eastAsia="宋体" w:cs="宋体"/>
          <w:color w:val="auto"/>
          <w:sz w:val="24"/>
          <w:highlight w:val="none"/>
          <w:lang w:val="en-US" w:eastAsia="zh-CN"/>
        </w:rPr>
        <w:t>南方报业传媒大厦电梯更换项目</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招标单位：</w:t>
      </w:r>
      <w:r>
        <w:rPr>
          <w:rFonts w:hint="eastAsia" w:ascii="宋体" w:hAnsi="宋体" w:eastAsia="宋体" w:cs="宋体"/>
          <w:color w:val="auto"/>
          <w:sz w:val="24"/>
          <w:highlight w:val="none"/>
          <w:lang w:eastAsia="zh-CN"/>
        </w:rPr>
        <w:t>广东南方报业传媒集团物业管理有限公司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宋体" w:hAnsi="宋体" w:cs="宋体" w:eastAsiaTheme="minorEastAsia"/>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邓先生</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15602389467</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招标代理机构：广东有德招标采购有限公司</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李</w:t>
      </w:r>
      <w:r>
        <w:rPr>
          <w:rFonts w:hint="eastAsia" w:ascii="宋体" w:hAnsi="宋体" w:eastAsia="宋体" w:cs="宋体"/>
          <w:color w:val="auto"/>
          <w:sz w:val="24"/>
          <w:highlight w:val="none"/>
          <w:lang w:eastAsia="zh-CN"/>
        </w:rPr>
        <w:t>小姐</w:t>
      </w:r>
      <w:r>
        <w:rPr>
          <w:rFonts w:hint="eastAsia" w:ascii="宋体" w:hAnsi="宋体" w:eastAsia="宋体" w:cs="宋体"/>
          <w:color w:val="auto"/>
          <w:sz w:val="24"/>
          <w:highlight w:val="none"/>
        </w:rPr>
        <w:t>、倪小姐     联系电话：</w:t>
      </w:r>
      <w:r>
        <w:rPr>
          <w:rFonts w:hint="eastAsia" w:ascii="宋体" w:hAnsi="宋体" w:eastAsia="宋体" w:cs="宋体"/>
          <w:color w:val="auto"/>
          <w:sz w:val="24"/>
          <w:highlight w:val="none"/>
          <w:lang w:eastAsia="zh-CN"/>
        </w:rPr>
        <w:t>020-83627862</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建设地点：广州大道中289号</w:t>
      </w:r>
      <w:r>
        <w:rPr>
          <w:rFonts w:hint="eastAsia" w:ascii="宋体" w:hAnsi="宋体" w:eastAsia="宋体" w:cs="宋体"/>
          <w:color w:val="auto"/>
          <w:sz w:val="24"/>
          <w:highlight w:val="none"/>
          <w:lang w:val="en-US" w:eastAsia="zh-CN"/>
        </w:rPr>
        <w:t>南方报业传媒集团</w:t>
      </w:r>
      <w:r>
        <w:rPr>
          <w:rFonts w:hint="eastAsia" w:ascii="宋体" w:hAnsi="宋体" w:eastAsia="宋体" w:cs="宋体"/>
          <w:color w:val="auto"/>
          <w:sz w:val="24"/>
          <w:highlight w:val="none"/>
        </w:rPr>
        <w:t>1号楼</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项目概况：本项目包含4台旧电梯的报废手续办理、拆除、回收，4台新电梯的采购、安装、质检验收，以及井道和楼层厅门土建装饰修复等，详见</w:t>
      </w:r>
      <w:r>
        <w:rPr>
          <w:rFonts w:hint="eastAsia" w:ascii="宋体" w:hAnsi="宋体" w:eastAsia="宋体" w:cs="宋体"/>
          <w:color w:val="auto"/>
          <w:sz w:val="24"/>
          <w:highlight w:val="none"/>
          <w:lang w:val="en-US" w:eastAsia="zh-CN"/>
        </w:rPr>
        <w:t>井道图纸。</w:t>
      </w:r>
      <w:r>
        <w:rPr>
          <w:rFonts w:hint="eastAsia" w:ascii="宋体" w:hAnsi="宋体" w:eastAsia="宋体" w:cs="宋体"/>
          <w:b w:val="0"/>
          <w:bCs w:val="0"/>
          <w:color w:val="auto"/>
          <w:sz w:val="24"/>
          <w:highlight w:val="none"/>
          <w:lang w:val="en-US" w:eastAsia="zh-CN"/>
        </w:rPr>
        <w:t>新</w:t>
      </w:r>
      <w:r>
        <w:rPr>
          <w:rFonts w:hint="eastAsia" w:ascii="宋体" w:hAnsi="宋体" w:eastAsia="宋体" w:cs="宋体"/>
          <w:b w:val="0"/>
          <w:bCs w:val="0"/>
          <w:color w:val="auto"/>
          <w:sz w:val="24"/>
          <w:szCs w:val="24"/>
          <w:highlight w:val="none"/>
          <w:lang w:val="en-US" w:eastAsia="zh-CN"/>
        </w:rPr>
        <w:t>电梯应能完全兼容接入现有4、5号电梯的∑AI-22智能群控运行系统。</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rPr>
        <w:t>标段划分及各标段招标内容、规模和最高投标限价：</w:t>
      </w:r>
    </w:p>
    <w:p>
      <w:pPr>
        <w:keepNext w:val="0"/>
        <w:keepLines w:val="0"/>
        <w:pageBreakBefore w:val="0"/>
        <w:numPr>
          <w:ilvl w:val="0"/>
          <w:numId w:val="2"/>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本工程划分为1个标段。</w:t>
      </w:r>
    </w:p>
    <w:p>
      <w:pPr>
        <w:keepNext w:val="0"/>
        <w:keepLines w:val="0"/>
        <w:pageBreakBefore w:val="0"/>
        <w:numPr>
          <w:ilvl w:val="0"/>
          <w:numId w:val="2"/>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招标内容、规模和招标控制价：</w:t>
      </w:r>
    </w:p>
    <w:p>
      <w:pPr>
        <w:keepNext w:val="0"/>
        <w:keepLines w:val="0"/>
        <w:pageBreakBefore w:val="0"/>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本项目包含4台旧电梯的报废手续办理、拆除、回收，4台新电梯的采购、安装、质检验收，以及井道和楼层厅门土建装饰修复等，招标控制价为350万元，</w:t>
      </w:r>
      <w:r>
        <w:rPr>
          <w:rFonts w:hint="eastAsia" w:ascii="宋体" w:hAnsi="宋体" w:eastAsia="宋体" w:cs="宋体"/>
          <w:color w:val="auto"/>
          <w:sz w:val="24"/>
          <w:szCs w:val="24"/>
          <w:highlight w:val="none"/>
          <w:lang w:val="en-US" w:eastAsia="zh-CN"/>
        </w:rPr>
        <w:t>上述预算金额为含税价，投标人须自行承担相应的税费</w:t>
      </w:r>
      <w:r>
        <w:rPr>
          <w:rFonts w:hint="eastAsia" w:ascii="宋体" w:hAnsi="宋体" w:eastAsia="宋体" w:cs="宋体"/>
          <w:color w:val="auto"/>
          <w:sz w:val="24"/>
          <w:szCs w:val="24"/>
          <w:highlight w:val="none"/>
          <w:lang w:eastAsia="zh-CN"/>
        </w:rPr>
        <w:t>。</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rPr>
        <w:t>资金来源：</w:t>
      </w:r>
      <w:r>
        <w:rPr>
          <w:rFonts w:hint="eastAsia" w:ascii="宋体" w:hAnsi="宋体" w:eastAsia="宋体" w:cs="宋体"/>
          <w:color w:val="auto"/>
          <w:sz w:val="24"/>
          <w:lang w:eastAsia="zh-CN"/>
        </w:rPr>
        <w:t>自筹</w:t>
      </w:r>
      <w:r>
        <w:rPr>
          <w:rFonts w:hint="eastAsia" w:ascii="宋体" w:hAnsi="宋体" w:eastAsia="宋体" w:cs="宋体"/>
          <w:color w:val="auto"/>
          <w:sz w:val="24"/>
        </w:rPr>
        <w:t>资金</w:t>
      </w:r>
    </w:p>
    <w:p>
      <w:pPr>
        <w:keepNext w:val="0"/>
        <w:keepLines w:val="0"/>
        <w:pageBreakBefore w:val="0"/>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递交投标文件时间、地点及开标时间：</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递交投标文件起始时间：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时30分。</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递交投标文件</w:t>
      </w:r>
      <w:r>
        <w:rPr>
          <w:rFonts w:hint="eastAsia" w:ascii="宋体" w:hAnsi="宋体" w:eastAsia="宋体" w:cs="宋体"/>
          <w:color w:val="auto"/>
          <w:sz w:val="24"/>
        </w:rPr>
        <w:t>地点：</w:t>
      </w:r>
      <w:r>
        <w:rPr>
          <w:rFonts w:hint="eastAsia" w:ascii="宋体" w:hAnsi="宋体" w:eastAsia="宋体" w:cs="宋体"/>
          <w:color w:val="auto"/>
          <w:sz w:val="24"/>
          <w:szCs w:val="24"/>
        </w:rPr>
        <w:t>广州市天河北路626号保利中宇广场A座25楼。</w:t>
      </w: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开标开始时间：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3</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时30分。</w:t>
      </w:r>
    </w:p>
    <w:p>
      <w:pPr>
        <w:keepNext w:val="0"/>
        <w:keepLines w:val="0"/>
        <w:pageBreakBefore w:val="0"/>
        <w:widowControl/>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招标文件获取：</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凡有意参加投标者，应当在</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至</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3</w:t>
      </w:r>
      <w:bookmarkStart w:id="285" w:name="_GoBack"/>
      <w:bookmarkEnd w:id="285"/>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期间（上午09:00至12:00,下午14:30至17:30，法定节假日除外）到广东有德招标采购有限公司（详细地址：</w:t>
      </w:r>
      <w:r>
        <w:rPr>
          <w:rFonts w:hint="eastAsia" w:ascii="宋体" w:hAnsi="宋体" w:eastAsia="宋体" w:cs="宋体"/>
          <w:color w:val="auto"/>
          <w:sz w:val="24"/>
          <w:szCs w:val="24"/>
        </w:rPr>
        <w:t>广州市天河北路626号保利中宇广场A座25楼；联系方式：邓小姐，020-88260060</w:t>
      </w:r>
      <w:r>
        <w:rPr>
          <w:rFonts w:hint="eastAsia" w:ascii="宋体" w:hAnsi="宋体" w:eastAsia="宋体" w:cs="宋体"/>
          <w:color w:val="auto"/>
          <w:kern w:val="0"/>
          <w:sz w:val="24"/>
          <w:szCs w:val="24"/>
        </w:rPr>
        <w:t>）现场领购或线上领购招标文件，招标文件每套售价人民币</w:t>
      </w:r>
      <w:r>
        <w:rPr>
          <w:rFonts w:hint="eastAsia" w:ascii="宋体" w:hAnsi="宋体" w:eastAsia="宋体" w:cs="宋体"/>
          <w:color w:val="auto"/>
          <w:kern w:val="0"/>
          <w:sz w:val="24"/>
          <w:szCs w:val="24"/>
          <w:highlight w:val="none"/>
          <w:lang w:val="en-US" w:eastAsia="zh-CN"/>
        </w:rPr>
        <w:t>150</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rPr>
        <w:t>售后不退。</w:t>
      </w:r>
    </w:p>
    <w:p>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备注：</w:t>
      </w:r>
    </w:p>
    <w:p>
      <w:pPr>
        <w:keepNext w:val="0"/>
        <w:keepLines w:val="0"/>
        <w:pageBreakBefore w:val="0"/>
        <w:numPr>
          <w:ilvl w:val="0"/>
          <w:numId w:val="4"/>
        </w:numPr>
        <w:tabs>
          <w:tab w:val="left" w:pos="840"/>
          <w:tab w:val="left" w:pos="1092"/>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现场领购招标文件者，供应商登陆广东有德招标采购有限公司（http://www.youde.net）下载《投标登记表》，填写相关信息并加盖供应商公章到采购代理机构处登记，并领购招标文件。</w:t>
      </w:r>
    </w:p>
    <w:p>
      <w:pPr>
        <w:keepNext w:val="0"/>
        <w:keepLines w:val="0"/>
        <w:pageBreakBefore w:val="0"/>
        <w:numPr>
          <w:ilvl w:val="0"/>
          <w:numId w:val="4"/>
        </w:numPr>
        <w:tabs>
          <w:tab w:val="left" w:pos="840"/>
          <w:tab w:val="left" w:pos="1092"/>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线上领购招标文件者，供应商登陆广东有德招标采购有限公司（http://www.youde.net）下载《投标登记表》，填写相关信息并加盖供应商公章后扫描发至采购代理机构邮箱（E－mail：</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"mailto:youde@163.com），经采购代理机构工作人员确认后办理相关手续。" </w:instrText>
      </w:r>
      <w:r>
        <w:rPr>
          <w:rFonts w:hint="eastAsia" w:ascii="宋体" w:hAnsi="宋体" w:eastAsia="宋体" w:cs="宋体"/>
          <w:color w:val="auto"/>
          <w:sz w:val="24"/>
        </w:rPr>
        <w:fldChar w:fldCharType="separate"/>
      </w:r>
      <w:r>
        <w:rPr>
          <w:rFonts w:hint="eastAsia" w:ascii="宋体" w:hAnsi="宋体" w:eastAsia="宋体" w:cs="宋体"/>
          <w:color w:val="auto"/>
          <w:sz w:val="24"/>
        </w:rPr>
        <w:t>youde_zb@163.com），经采购代理机构工作人员确认后办理相关手续。</w:t>
      </w:r>
      <w:r>
        <w:rPr>
          <w:rFonts w:hint="eastAsia" w:ascii="宋体" w:hAnsi="宋体" w:eastAsia="宋体" w:cs="宋体"/>
          <w:color w:val="auto"/>
          <w:sz w:val="24"/>
        </w:rPr>
        <w:fldChar w:fldCharType="end"/>
      </w:r>
    </w:p>
    <w:p>
      <w:pPr>
        <w:keepNext w:val="0"/>
        <w:keepLines w:val="0"/>
        <w:pageBreakBefore w:val="0"/>
        <w:numPr>
          <w:ilvl w:val="0"/>
          <w:numId w:val="4"/>
        </w:numPr>
        <w:tabs>
          <w:tab w:val="left" w:pos="840"/>
          <w:tab w:val="left" w:pos="1092"/>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领购</w:t>
      </w:r>
      <w:r>
        <w:rPr>
          <w:rFonts w:hint="eastAsia" w:ascii="宋体" w:hAnsi="宋体" w:eastAsia="宋体" w:cs="宋体"/>
          <w:color w:val="auto"/>
          <w:sz w:val="24"/>
        </w:rPr>
        <w:t>招标文件账户信息（招标代理机构只接受以投标人名义的汇款，不接受个人的汇款及其它款项）：</w:t>
      </w:r>
    </w:p>
    <w:p>
      <w:pPr>
        <w:keepNext w:val="0"/>
        <w:keepLines w:val="0"/>
        <w:pageBreakBefore w:val="0"/>
        <w:numPr>
          <w:ilvl w:val="0"/>
          <w:numId w:val="5"/>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开户银行名称：中国光大银行广州分行</w:t>
      </w:r>
    </w:p>
    <w:p>
      <w:pPr>
        <w:keepNext w:val="0"/>
        <w:keepLines w:val="0"/>
        <w:pageBreakBefore w:val="0"/>
        <w:numPr>
          <w:ilvl w:val="0"/>
          <w:numId w:val="5"/>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Cs/>
          <w:color w:val="auto"/>
          <w:sz w:val="24"/>
        </w:rPr>
      </w:pPr>
      <w:r>
        <w:rPr>
          <w:rFonts w:hint="eastAsia" w:ascii="宋体" w:hAnsi="宋体" w:eastAsia="宋体" w:cs="宋体"/>
          <w:bCs/>
          <w:color w:val="auto"/>
          <w:sz w:val="24"/>
        </w:rPr>
        <w:t>单位名称：</w:t>
      </w:r>
      <w:r>
        <w:rPr>
          <w:rFonts w:hint="eastAsia" w:ascii="宋体" w:hAnsi="宋体" w:eastAsia="宋体" w:cs="宋体"/>
          <w:color w:val="auto"/>
          <w:sz w:val="24"/>
        </w:rPr>
        <w:t>广东有德招标采购有限公司</w:t>
      </w:r>
    </w:p>
    <w:p>
      <w:pPr>
        <w:keepNext w:val="0"/>
        <w:keepLines w:val="0"/>
        <w:pageBreakBefore w:val="0"/>
        <w:numPr>
          <w:ilvl w:val="0"/>
          <w:numId w:val="5"/>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bCs/>
          <w:color w:val="auto"/>
          <w:sz w:val="24"/>
        </w:rPr>
        <w:t>账号：38610188000123567</w:t>
      </w:r>
    </w:p>
    <w:p>
      <w:pPr>
        <w:keepNext w:val="0"/>
        <w:keepLines w:val="0"/>
        <w:pageBreakBefore w:val="0"/>
        <w:widowControl/>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投标人合格条件：</w:t>
      </w:r>
    </w:p>
    <w:p>
      <w:pPr>
        <w:numPr>
          <w:ilvl w:val="0"/>
          <w:numId w:val="6"/>
        </w:numPr>
        <w:spacing w:line="360" w:lineRule="auto"/>
        <w:ind w:left="-60" w:firstLine="480"/>
        <w:rPr>
          <w:rFonts w:ascii="宋体" w:hAnsi="宋体" w:cs="宋体"/>
          <w:color w:val="auto"/>
          <w:sz w:val="24"/>
          <w:highlight w:val="none"/>
        </w:rPr>
      </w:pPr>
      <w:r>
        <w:rPr>
          <w:rFonts w:hint="eastAsia" w:ascii="宋体" w:hAnsi="宋体" w:cs="宋体"/>
          <w:color w:val="auto"/>
          <w:sz w:val="24"/>
          <w:highlight w:val="none"/>
        </w:rPr>
        <w:t>具有独立承担民事责任能力的在中华人民共和国境内注册的法人或其他组织营业执照（或登记证书），提供证书副本复印件；</w:t>
      </w:r>
    </w:p>
    <w:p>
      <w:pPr>
        <w:numPr>
          <w:ilvl w:val="0"/>
          <w:numId w:val="6"/>
        </w:numPr>
        <w:spacing w:line="360" w:lineRule="auto"/>
        <w:ind w:left="-60" w:firstLine="480"/>
        <w:rPr>
          <w:rFonts w:ascii="宋体" w:hAnsi="宋体" w:cs="宋体"/>
          <w:color w:val="auto"/>
          <w:sz w:val="24"/>
          <w:highlight w:val="none"/>
        </w:rPr>
      </w:pPr>
      <w:r>
        <w:rPr>
          <w:rFonts w:hint="eastAsia" w:ascii="宋体" w:hAnsi="宋体" w:cs="宋体"/>
          <w:color w:val="auto"/>
          <w:sz w:val="24"/>
          <w:highlight w:val="none"/>
        </w:rPr>
        <w:t>提供2021年财务状况报告（若新成立的，提供成立至今的月或季度财务状况报告复印件并加盖公章）或者基本户开户银行出具的资信证明复印件；</w:t>
      </w:r>
    </w:p>
    <w:p>
      <w:pPr>
        <w:numPr>
          <w:ilvl w:val="0"/>
          <w:numId w:val="6"/>
        </w:numPr>
        <w:spacing w:line="360" w:lineRule="auto"/>
        <w:ind w:left="-60" w:firstLine="480"/>
        <w:rPr>
          <w:rFonts w:ascii="宋体" w:hAnsi="宋体" w:cs="宋体"/>
          <w:color w:val="auto"/>
          <w:sz w:val="24"/>
          <w:highlight w:val="none"/>
        </w:rPr>
      </w:pPr>
      <w:r>
        <w:rPr>
          <w:rFonts w:hint="eastAsia" w:ascii="宋体" w:hAnsi="宋体" w:cs="宋体"/>
          <w:color w:val="auto"/>
          <w:sz w:val="24"/>
          <w:highlight w:val="none"/>
        </w:rPr>
        <w:t>参加招标活动前3年内在经营活动中没有重大违法记录的书面声明；</w:t>
      </w:r>
    </w:p>
    <w:p>
      <w:pPr>
        <w:numPr>
          <w:ilvl w:val="0"/>
          <w:numId w:val="6"/>
        </w:numPr>
        <w:spacing w:line="360" w:lineRule="auto"/>
        <w:ind w:left="-60" w:firstLine="480"/>
        <w:rPr>
          <w:rFonts w:ascii="宋体" w:hAnsi="宋体" w:cs="宋体"/>
          <w:color w:val="auto"/>
          <w:sz w:val="24"/>
          <w:highlight w:val="none"/>
        </w:rPr>
      </w:pPr>
      <w:r>
        <w:rPr>
          <w:rFonts w:hint="eastAsia" w:ascii="宋体" w:hAnsi="宋体" w:cs="宋体"/>
          <w:color w:val="auto"/>
          <w:sz w:val="24"/>
          <w:highlight w:val="none"/>
        </w:rPr>
        <w:t>单位负责人为同一人或者存在直接控股、管理关系的不同供应商，不得参加同一合同项下的采购活动的书面声明；</w:t>
      </w:r>
    </w:p>
    <w:p>
      <w:pPr>
        <w:numPr>
          <w:ilvl w:val="0"/>
          <w:numId w:val="6"/>
        </w:numPr>
        <w:spacing w:line="360" w:lineRule="auto"/>
        <w:ind w:left="-60" w:firstLine="480"/>
        <w:rPr>
          <w:rFonts w:ascii="宋体" w:hAnsi="宋体" w:cs="宋体"/>
          <w:color w:val="auto"/>
          <w:sz w:val="24"/>
          <w:highlight w:val="none"/>
        </w:rPr>
      </w:pPr>
      <w:r>
        <w:rPr>
          <w:rFonts w:hint="eastAsia" w:ascii="宋体" w:hAnsi="宋体" w:cs="宋体"/>
          <w:color w:val="auto"/>
          <w:sz w:val="24"/>
          <w:highlight w:val="none"/>
        </w:rPr>
        <w:t>本项目不接受联合体投标；</w:t>
      </w:r>
    </w:p>
    <w:p>
      <w:pPr>
        <w:numPr>
          <w:ilvl w:val="0"/>
          <w:numId w:val="6"/>
        </w:numPr>
        <w:spacing w:line="360" w:lineRule="auto"/>
        <w:ind w:left="-60" w:firstLine="480"/>
        <w:rPr>
          <w:rFonts w:ascii="宋体" w:hAnsi="宋体" w:cs="宋体"/>
          <w:color w:val="auto"/>
          <w:sz w:val="24"/>
          <w:highlight w:val="none"/>
        </w:rPr>
      </w:pPr>
      <w:r>
        <w:rPr>
          <w:rFonts w:hint="eastAsia" w:ascii="宋体" w:hAnsi="宋体" w:cs="宋体"/>
          <w:color w:val="auto"/>
          <w:sz w:val="24"/>
          <w:highlight w:val="none"/>
        </w:rPr>
        <w:t>本项目不允许分包或转包；</w:t>
      </w:r>
    </w:p>
    <w:p>
      <w:pPr>
        <w:keepNext w:val="0"/>
        <w:keepLines w:val="0"/>
        <w:pageBreakBefore w:val="0"/>
        <w:widowControl/>
        <w:numPr>
          <w:ilvl w:val="0"/>
          <w:numId w:val="6"/>
        </w:numPr>
        <w:kinsoku/>
        <w:wordWrap/>
        <w:overflowPunct/>
        <w:topLinePunct w:val="0"/>
        <w:autoSpaceDE/>
        <w:autoSpaceDN/>
        <w:bidi w:val="0"/>
        <w:spacing w:line="360" w:lineRule="auto"/>
        <w:ind w:left="-60" w:firstLine="480" w:firstLineChars="0"/>
        <w:textAlignment w:val="auto"/>
        <w:rPr>
          <w:rFonts w:ascii="宋体" w:hAnsi="宋体" w:cs="宋体"/>
          <w:color w:val="auto"/>
          <w:sz w:val="24"/>
          <w:highlight w:val="none"/>
        </w:rPr>
      </w:pPr>
      <w:r>
        <w:rPr>
          <w:rFonts w:hint="eastAsia" w:ascii="宋体" w:hAnsi="宋体" w:cs="宋体"/>
          <w:color w:val="auto"/>
          <w:sz w:val="24"/>
          <w:highlight w:val="none"/>
        </w:rPr>
        <w:t>已领购本项目招标文件。</w:t>
      </w:r>
    </w:p>
    <w:p>
      <w:pPr>
        <w:numPr>
          <w:ilvl w:val="0"/>
          <w:numId w:val="6"/>
        </w:numPr>
        <w:spacing w:line="360" w:lineRule="auto"/>
        <w:ind w:left="-60" w:firstLine="480"/>
        <w:rPr>
          <w:rFonts w:hint="eastAsia" w:ascii="宋体" w:hAnsi="宋体" w:cs="宋体" w:eastAsiaTheme="minorEastAsia"/>
          <w:color w:val="auto"/>
          <w:sz w:val="24"/>
          <w:szCs w:val="22"/>
          <w:highlight w:val="none"/>
        </w:rPr>
      </w:pPr>
      <w:r>
        <w:rPr>
          <w:rFonts w:hint="eastAsia" w:ascii="宋体" w:hAnsi="宋体" w:cs="宋体"/>
          <w:color w:val="auto"/>
          <w:sz w:val="24"/>
          <w:highlight w:val="none"/>
          <w:lang w:val="en-US" w:eastAsia="zh-CN"/>
        </w:rPr>
        <w:t>投标人具有有效期内的《中华人民共和国特种设备生产许可证》电梯安装（含修理）资质（B级或以上）或《中华人民共和国特种设备生产许可证》电梯制造（含安装、修理、改造）资质。</w:t>
      </w:r>
    </w:p>
    <w:p>
      <w:pPr>
        <w:keepNext w:val="0"/>
        <w:keepLines w:val="0"/>
        <w:pageBreakBefore w:val="0"/>
        <w:tabs>
          <w:tab w:val="left" w:pos="738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注：未在招标公告第</w:t>
      </w:r>
      <w:r>
        <w:rPr>
          <w:rFonts w:hint="eastAsia" w:ascii="宋体" w:hAnsi="宋体" w:eastAsia="宋体" w:cs="宋体"/>
          <w:color w:val="auto"/>
          <w:sz w:val="24"/>
          <w:szCs w:val="20"/>
          <w:lang w:eastAsia="zh-CN"/>
        </w:rPr>
        <w:t>九</w:t>
      </w:r>
      <w:r>
        <w:rPr>
          <w:rFonts w:hint="eastAsia" w:ascii="宋体" w:hAnsi="宋体" w:eastAsia="宋体" w:cs="宋体"/>
          <w:color w:val="auto"/>
          <w:sz w:val="24"/>
          <w:szCs w:val="20"/>
        </w:rPr>
        <w:t>条单列的资审合格条件，不作为资审不合格的依据。</w:t>
      </w:r>
    </w:p>
    <w:p>
      <w:pPr>
        <w:keepNext w:val="0"/>
        <w:keepLines w:val="0"/>
        <w:pageBreakBefore w:val="0"/>
        <w:widowControl/>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资格审查方式：本工程采用资格后审方式，由评标委员会负责资格审查。</w:t>
      </w:r>
    </w:p>
    <w:p>
      <w:pPr>
        <w:keepNext w:val="0"/>
        <w:keepLines w:val="0"/>
        <w:pageBreakBefore w:val="0"/>
        <w:widowControl/>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满足资格审查合格条件的投标人不足3名或通过有效性审查的投标人不足3名时为招标失败。招标人分析招标失败原因，修正招标方案，重新组织招标。</w:t>
      </w:r>
    </w:p>
    <w:p>
      <w:pPr>
        <w:keepNext w:val="0"/>
        <w:keepLines w:val="0"/>
        <w:pageBreakBefore w:val="0"/>
        <w:widowControl/>
        <w:numPr>
          <w:ilvl w:val="0"/>
          <w:numId w:val="1"/>
        </w:numPr>
        <w:tabs>
          <w:tab w:val="center" w:pos="4415"/>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本公告在中国招投标公共服务平台（www.cebpubservice.com）</w:t>
      </w:r>
      <w:r>
        <w:rPr>
          <w:rFonts w:hint="eastAsia" w:ascii="宋体" w:hAnsi="宋体" w:eastAsia="宋体" w:cs="宋体"/>
          <w:color w:val="auto"/>
          <w:sz w:val="24"/>
          <w:lang w:eastAsia="zh-CN"/>
        </w:rPr>
        <w:t>、</w:t>
      </w:r>
      <w:r>
        <w:rPr>
          <w:rFonts w:hint="eastAsia" w:ascii="宋体" w:hAnsi="宋体" w:eastAsia="宋体" w:cs="宋体"/>
          <w:color w:val="auto"/>
          <w:sz w:val="24"/>
        </w:rPr>
        <w:t>中国采购与招标网（www.chinabidding.com.cn)</w:t>
      </w:r>
      <w:r>
        <w:rPr>
          <w:rFonts w:hint="eastAsia" w:ascii="宋体" w:hAnsi="宋体" w:eastAsia="宋体" w:cs="宋体"/>
          <w:color w:val="auto"/>
          <w:sz w:val="24"/>
          <w:lang w:eastAsia="zh-CN"/>
        </w:rPr>
        <w:t>、</w:t>
      </w:r>
      <w:r>
        <w:rPr>
          <w:rFonts w:hint="eastAsia" w:ascii="宋体" w:hAnsi="宋体" w:eastAsia="宋体" w:cs="宋体"/>
          <w:color w:val="auto"/>
          <w:sz w:val="24"/>
        </w:rPr>
        <w:t>中国招投标网（www.infobidding.com）</w:t>
      </w:r>
      <w:r>
        <w:rPr>
          <w:rFonts w:hint="eastAsia" w:ascii="宋体" w:hAnsi="宋体" w:eastAsia="宋体" w:cs="宋体"/>
          <w:color w:val="auto"/>
          <w:sz w:val="24"/>
          <w:lang w:eastAsia="zh-CN"/>
        </w:rPr>
        <w:t>、</w:t>
      </w:r>
      <w:r>
        <w:rPr>
          <w:rFonts w:hint="eastAsia" w:ascii="宋体" w:hAnsi="宋体" w:eastAsia="宋体" w:cs="宋体"/>
          <w:color w:val="auto"/>
          <w:sz w:val="24"/>
        </w:rPr>
        <w:t>广东有德招标采购有限公司网站（www.youde.net）</w:t>
      </w:r>
      <w:r>
        <w:rPr>
          <w:rFonts w:hint="eastAsia" w:ascii="宋体" w:hAnsi="宋体" w:eastAsia="宋体" w:cs="宋体"/>
          <w:color w:val="auto"/>
          <w:sz w:val="24"/>
          <w:lang w:eastAsia="zh-CN"/>
        </w:rPr>
        <w:t>、南方网（www.southcn.com/zbtb/zbgg/node_374095.htm)、</w:t>
      </w:r>
      <w:r>
        <w:rPr>
          <w:rFonts w:hint="eastAsia" w:ascii="宋体" w:hAnsi="宋体" w:eastAsia="宋体" w:cs="宋体"/>
          <w:color w:val="auto"/>
          <w:sz w:val="24"/>
        </w:rPr>
        <w:t>《南方日报》发布，本公告的修改、补充，均在上述网站发布。</w:t>
      </w:r>
    </w:p>
    <w:p>
      <w:pPr>
        <w:adjustRightInd w:val="0"/>
        <w:snapToGrid w:val="0"/>
        <w:spacing w:line="360" w:lineRule="auto"/>
        <w:ind w:right="29" w:rightChars="14" w:firstLine="480"/>
        <w:jc w:val="right"/>
        <w:rPr>
          <w:rFonts w:ascii="Times New Roman" w:hAnsi="Times New Roman" w:eastAsia="宋体" w:cs="Times New Roman"/>
          <w:color w:val="auto"/>
          <w:sz w:val="24"/>
        </w:rPr>
      </w:pPr>
    </w:p>
    <w:p>
      <w:pPr>
        <w:adjustRightInd w:val="0"/>
        <w:snapToGrid w:val="0"/>
        <w:spacing w:line="360" w:lineRule="auto"/>
        <w:ind w:right="29" w:rightChars="14" w:firstLine="480"/>
        <w:jc w:val="right"/>
        <w:rPr>
          <w:rFonts w:ascii="Times New Roman" w:hAnsi="Times New Roman" w:eastAsia="宋体" w:cs="Times New Roman"/>
          <w:color w:val="auto"/>
          <w:sz w:val="24"/>
        </w:rPr>
      </w:pPr>
    </w:p>
    <w:p>
      <w:pPr>
        <w:adjustRightInd w:val="0"/>
        <w:snapToGrid w:val="0"/>
        <w:spacing w:line="360" w:lineRule="auto"/>
        <w:ind w:right="29" w:rightChars="14" w:firstLine="480"/>
        <w:jc w:val="right"/>
        <w:rPr>
          <w:rFonts w:ascii="Times New Roman" w:hAnsi="Times New Roman" w:eastAsia="宋体" w:cs="Times New Roman"/>
          <w:color w:val="auto"/>
          <w:sz w:val="24"/>
        </w:rPr>
      </w:pPr>
      <w:r>
        <w:rPr>
          <w:rFonts w:ascii="Times New Roman" w:hAnsi="Times New Roman" w:eastAsia="宋体" w:cs="Times New Roman"/>
          <w:color w:val="auto"/>
          <w:sz w:val="24"/>
        </w:rPr>
        <w:t>广东有德招标采购有限公司</w:t>
      </w:r>
    </w:p>
    <w:p>
      <w:pPr>
        <w:adjustRightInd w:val="0"/>
        <w:snapToGrid w:val="0"/>
        <w:spacing w:line="360" w:lineRule="auto"/>
        <w:ind w:right="29" w:rightChars="14" w:firstLine="480"/>
        <w:jc w:val="right"/>
        <w:rPr>
          <w:rFonts w:ascii="宋体" w:hAnsi="宋体" w:eastAsia="宋体" w:cs="宋体"/>
          <w:color w:val="auto"/>
          <w:sz w:val="24"/>
        </w:rPr>
      </w:pPr>
      <w:r>
        <w:rPr>
          <w:rFonts w:hint="eastAsia" w:ascii="宋体" w:hAnsi="宋体" w:eastAsia="宋体" w:cs="宋体"/>
          <w:color w:val="auto"/>
          <w:sz w:val="24"/>
        </w:rPr>
        <w:t>202</w:t>
      </w:r>
      <w:r>
        <w:rPr>
          <w:rFonts w:hint="eastAsia" w:ascii="宋体" w:hAnsi="宋体" w:eastAsia="宋体" w:cs="宋体"/>
          <w:color w:val="auto"/>
          <w:sz w:val="24"/>
          <w:lang w:val="en-US" w:eastAsia="zh-CN"/>
        </w:rPr>
        <w:t>3</w:t>
      </w:r>
      <w:r>
        <w:rPr>
          <w:rFonts w:hint="eastAsia" w:ascii="宋体" w:hAnsi="宋体" w:eastAsia="宋体" w:cs="宋体"/>
          <w:color w:val="auto"/>
          <w:sz w:val="24"/>
        </w:rPr>
        <w:t>年</w:t>
      </w:r>
      <w:r>
        <w:rPr>
          <w:rFonts w:hint="eastAsia" w:ascii="宋体" w:hAnsi="宋体" w:eastAsia="宋体" w:cs="宋体"/>
          <w:color w:val="auto"/>
          <w:sz w:val="24"/>
          <w:lang w:val="en-US" w:eastAsia="zh-CN"/>
        </w:rPr>
        <w:t>2</w:t>
      </w:r>
      <w:r>
        <w:rPr>
          <w:rFonts w:hint="eastAsia" w:ascii="宋体" w:hAnsi="宋体" w:eastAsia="宋体" w:cs="宋体"/>
          <w:color w:val="auto"/>
          <w:sz w:val="24"/>
        </w:rPr>
        <w:t>月</w:t>
      </w:r>
      <w:r>
        <w:rPr>
          <w:rFonts w:hint="eastAsia" w:ascii="宋体" w:hAnsi="宋体" w:eastAsia="宋体" w:cs="宋体"/>
          <w:color w:val="auto"/>
          <w:sz w:val="24"/>
          <w:lang w:val="en-US" w:eastAsia="zh-CN"/>
        </w:rPr>
        <w:t>21</w:t>
      </w:r>
      <w:r>
        <w:rPr>
          <w:rFonts w:hint="eastAsia" w:ascii="宋体" w:hAnsi="宋体" w:eastAsia="宋体" w:cs="宋体"/>
          <w:color w:val="auto"/>
          <w:sz w:val="24"/>
        </w:rPr>
        <w:t>日</w:t>
      </w:r>
    </w:p>
    <w:p>
      <w:pPr>
        <w:keepNext/>
        <w:keepLines/>
        <w:spacing w:after="120" w:line="360" w:lineRule="auto"/>
        <w:jc w:val="center"/>
        <w:outlineLvl w:val="0"/>
        <w:rPr>
          <w:rFonts w:ascii="Times New Roman" w:hAnsi="Times New Roman" w:eastAsia="宋体" w:cs="Times New Roman"/>
          <w:b/>
          <w:kern w:val="44"/>
          <w:sz w:val="28"/>
          <w:szCs w:val="28"/>
        </w:rPr>
      </w:pPr>
      <w:r>
        <w:rPr>
          <w:rFonts w:ascii="Times New Roman" w:hAnsi="Times New Roman" w:eastAsia="宋体" w:cs="Times New Roman"/>
          <w:kern w:val="44"/>
          <w:sz w:val="28"/>
          <w:szCs w:val="28"/>
        </w:rPr>
        <w:br w:type="page"/>
      </w:r>
      <w:bookmarkStart w:id="4" w:name="_Toc30008"/>
      <w:bookmarkStart w:id="5" w:name="_Toc19471"/>
      <w:bookmarkStart w:id="6" w:name="_Toc30130"/>
      <w:r>
        <w:rPr>
          <w:rFonts w:ascii="Times New Roman" w:hAnsi="Times New Roman" w:eastAsia="宋体" w:cs="Times New Roman"/>
          <w:b/>
          <w:kern w:val="44"/>
          <w:sz w:val="28"/>
          <w:szCs w:val="28"/>
        </w:rPr>
        <w:t>第二章 投标须知</w:t>
      </w:r>
      <w:bookmarkEnd w:id="4"/>
      <w:bookmarkEnd w:id="5"/>
      <w:bookmarkEnd w:id="6"/>
    </w:p>
    <w:p>
      <w:pPr>
        <w:keepNext/>
        <w:keepLines/>
        <w:numPr>
          <w:ilvl w:val="1"/>
          <w:numId w:val="0"/>
        </w:numPr>
        <w:spacing w:before="120" w:after="120" w:line="415" w:lineRule="auto"/>
        <w:ind w:left="454"/>
        <w:jc w:val="center"/>
        <w:outlineLvl w:val="1"/>
        <w:rPr>
          <w:rFonts w:ascii="Times New Roman" w:hAnsi="Times New Roman" w:eastAsia="宋体" w:cs="Times New Roman"/>
          <w:b/>
          <w:sz w:val="24"/>
          <w:szCs w:val="24"/>
        </w:rPr>
      </w:pPr>
      <w:bookmarkStart w:id="7" w:name="_Toc30446"/>
      <w:bookmarkStart w:id="8" w:name="_Toc2272546"/>
      <w:bookmarkStart w:id="9" w:name="_Toc9723"/>
      <w:bookmarkStart w:id="10" w:name="_Toc7933"/>
      <w:r>
        <w:rPr>
          <w:rFonts w:ascii="Times New Roman" w:hAnsi="Times New Roman" w:eastAsia="宋体" w:cs="Times New Roman"/>
          <w:b/>
          <w:sz w:val="24"/>
          <w:szCs w:val="24"/>
        </w:rPr>
        <w:t>一、投标须知前附表</w:t>
      </w:r>
      <w:bookmarkEnd w:id="7"/>
      <w:bookmarkEnd w:id="8"/>
      <w:bookmarkEnd w:id="9"/>
      <w:bookmarkEnd w:id="10"/>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本表的条款项号是与本章《投标人须知》条款项号对应的，或增加的条款，是对本章的补充、修改和完善，均已在本表中注明</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若有矛盾，以此表为准。</w:t>
      </w:r>
    </w:p>
    <w:tbl>
      <w:tblPr>
        <w:tblStyle w:val="37"/>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958"/>
        <w:gridCol w:w="1367"/>
        <w:gridCol w:w="5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402" w:type="pct"/>
            <w:tcBorders>
              <w:top w:val="double" w:color="auto" w:sz="4" w:space="0"/>
              <w:left w:val="double" w:color="auto" w:sz="4" w:space="0"/>
              <w:bottom w:val="single" w:color="auto" w:sz="4" w:space="0"/>
              <w:right w:val="single" w:color="auto" w:sz="4" w:space="0"/>
            </w:tcBorders>
            <w:shd w:val="clear" w:color="auto" w:fill="D7D7D7"/>
            <w:vAlign w:val="center"/>
          </w:tcPr>
          <w:p>
            <w:pPr>
              <w:adjustRightInd w:val="0"/>
              <w:snapToGrid w:val="0"/>
              <w:spacing w:line="400" w:lineRule="exact"/>
              <w:rPr>
                <w:rFonts w:ascii="Times New Roman" w:hAnsi="Times New Roman" w:eastAsia="宋体" w:cs="Times New Roman"/>
                <w:b/>
                <w:bCs/>
                <w:color w:val="auto"/>
                <w:sz w:val="22"/>
              </w:rPr>
            </w:pPr>
            <w:r>
              <w:rPr>
                <w:rFonts w:ascii="Times New Roman" w:hAnsi="Times New Roman" w:eastAsia="宋体" w:cs="Times New Roman"/>
                <w:b/>
                <w:bCs/>
                <w:color w:val="auto"/>
                <w:sz w:val="22"/>
              </w:rPr>
              <w:t>项目</w:t>
            </w:r>
          </w:p>
        </w:tc>
        <w:tc>
          <w:tcPr>
            <w:tcW w:w="562" w:type="pct"/>
            <w:tcBorders>
              <w:top w:val="double" w:color="auto" w:sz="4" w:space="0"/>
              <w:left w:val="single" w:color="auto" w:sz="4" w:space="0"/>
              <w:bottom w:val="single" w:color="auto" w:sz="4" w:space="0"/>
              <w:right w:val="single" w:color="auto" w:sz="4" w:space="0"/>
            </w:tcBorders>
            <w:shd w:val="clear" w:color="auto" w:fill="D7D7D7"/>
            <w:vAlign w:val="center"/>
          </w:tcPr>
          <w:p>
            <w:pPr>
              <w:adjustRightInd w:val="0"/>
              <w:snapToGrid w:val="0"/>
              <w:spacing w:line="400" w:lineRule="exact"/>
              <w:rPr>
                <w:rFonts w:ascii="Times New Roman" w:hAnsi="Times New Roman" w:eastAsia="宋体" w:cs="Times New Roman"/>
                <w:b/>
                <w:bCs/>
                <w:color w:val="auto"/>
                <w:sz w:val="22"/>
              </w:rPr>
            </w:pPr>
            <w:r>
              <w:rPr>
                <w:rFonts w:ascii="Times New Roman" w:hAnsi="Times New Roman" w:eastAsia="宋体" w:cs="Times New Roman"/>
                <w:b/>
                <w:bCs/>
                <w:color w:val="auto"/>
                <w:sz w:val="22"/>
              </w:rPr>
              <w:t>条款号</w:t>
            </w:r>
          </w:p>
        </w:tc>
        <w:tc>
          <w:tcPr>
            <w:tcW w:w="802" w:type="pct"/>
            <w:tcBorders>
              <w:top w:val="double" w:color="auto" w:sz="4" w:space="0"/>
              <w:left w:val="single" w:color="auto" w:sz="4" w:space="0"/>
              <w:bottom w:val="single" w:color="auto" w:sz="4" w:space="0"/>
              <w:right w:val="single" w:color="auto" w:sz="4" w:space="0"/>
            </w:tcBorders>
            <w:shd w:val="clear" w:color="auto" w:fill="D7D7D7"/>
            <w:vAlign w:val="center"/>
          </w:tcPr>
          <w:p>
            <w:pPr>
              <w:adjustRightInd w:val="0"/>
              <w:snapToGrid w:val="0"/>
              <w:spacing w:line="400" w:lineRule="exact"/>
              <w:ind w:firstLine="458"/>
              <w:rPr>
                <w:rFonts w:ascii="Times New Roman" w:hAnsi="Times New Roman" w:eastAsia="宋体" w:cs="Times New Roman"/>
                <w:b/>
                <w:bCs/>
                <w:color w:val="auto"/>
                <w:sz w:val="22"/>
              </w:rPr>
            </w:pPr>
            <w:r>
              <w:rPr>
                <w:rFonts w:ascii="Times New Roman" w:hAnsi="Times New Roman" w:eastAsia="宋体" w:cs="Times New Roman"/>
                <w:b/>
                <w:bCs/>
                <w:color w:val="auto"/>
                <w:sz w:val="22"/>
              </w:rPr>
              <w:t>内容</w:t>
            </w:r>
          </w:p>
        </w:tc>
        <w:tc>
          <w:tcPr>
            <w:tcW w:w="3232" w:type="pct"/>
            <w:tcBorders>
              <w:top w:val="double" w:color="auto" w:sz="4" w:space="0"/>
              <w:left w:val="single" w:color="auto" w:sz="4" w:space="0"/>
              <w:bottom w:val="single" w:color="auto" w:sz="4" w:space="0"/>
              <w:right w:val="double" w:color="auto" w:sz="4" w:space="0"/>
            </w:tcBorders>
            <w:shd w:val="clear" w:color="auto" w:fill="D7D7D7"/>
            <w:vAlign w:val="center"/>
          </w:tcPr>
          <w:p>
            <w:pPr>
              <w:adjustRightInd w:val="0"/>
              <w:snapToGrid w:val="0"/>
              <w:spacing w:line="400" w:lineRule="exact"/>
              <w:ind w:firstLine="458"/>
              <w:jc w:val="center"/>
              <w:rPr>
                <w:rFonts w:ascii="Times New Roman" w:hAnsi="Times New Roman" w:eastAsia="宋体" w:cs="Times New Roman"/>
                <w:b/>
                <w:bCs/>
                <w:color w:val="auto"/>
                <w:sz w:val="22"/>
              </w:rPr>
            </w:pPr>
            <w:r>
              <w:rPr>
                <w:rFonts w:ascii="Times New Roman" w:hAnsi="Times New Roman" w:eastAsia="宋体" w:cs="Times New Roman"/>
                <w:b/>
                <w:bCs/>
                <w:color w:val="auto"/>
                <w:sz w:val="22"/>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定义</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eastAsia" w:ascii="Times New Roman" w:hAnsi="Times New Roman" w:eastAsia="宋体" w:cs="Times New Roman"/>
                <w:color w:val="auto"/>
                <w:sz w:val="22"/>
                <w:lang w:eastAsia="zh-CN"/>
              </w:rPr>
            </w:pPr>
            <w:r>
              <w:rPr>
                <w:rFonts w:ascii="Times New Roman" w:hAnsi="Times New Roman" w:eastAsia="宋体" w:cs="Times New Roman"/>
                <w:color w:val="auto"/>
                <w:sz w:val="22"/>
              </w:rPr>
              <w:t>招标人（即发包人）：</w:t>
            </w:r>
            <w:r>
              <w:rPr>
                <w:rFonts w:hint="eastAsia" w:ascii="Times New Roman" w:hAnsi="Times New Roman" w:eastAsia="宋体" w:cs="Times New Roman"/>
                <w:color w:val="auto"/>
                <w:sz w:val="22"/>
                <w:u w:val="single"/>
                <w:lang w:eastAsia="zh-CN"/>
              </w:rPr>
              <w:t>广东南方报业传媒集团物业管理有限公司</w:t>
            </w:r>
          </w:p>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招标代理：</w:t>
            </w:r>
            <w:r>
              <w:rPr>
                <w:rFonts w:ascii="Times New Roman" w:hAnsi="Times New Roman" w:eastAsia="宋体" w:cs="Times New Roman"/>
                <w:color w:val="auto"/>
                <w:sz w:val="22"/>
                <w:u w:val="single"/>
              </w:rPr>
              <w:t>广东有德招标采购有限公司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工程名称</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default" w:ascii="Times New Roman" w:hAnsi="Times New Roman" w:eastAsia="宋体" w:cs="Times New Roman"/>
                <w:color w:val="auto"/>
                <w:sz w:val="22"/>
                <w:u w:val="single"/>
                <w:lang w:val="en-US" w:eastAsia="zh-CN"/>
              </w:rPr>
            </w:pPr>
            <w:r>
              <w:rPr>
                <w:rFonts w:hint="eastAsia" w:ascii="Times New Roman" w:hAnsi="Times New Roman" w:eastAsia="宋体" w:cs="Times New Roman"/>
                <w:color w:val="auto"/>
                <w:sz w:val="22"/>
                <w:u w:val="single"/>
                <w:lang w:val="en-US" w:eastAsia="zh-CN"/>
              </w:rPr>
              <w:t>南方报业传媒大厦电梯更换项目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3</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建设地点</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eastAsia" w:ascii="Times New Roman" w:hAnsi="Times New Roman" w:eastAsia="宋体" w:cs="Times New Roman"/>
                <w:color w:val="auto"/>
                <w:sz w:val="22"/>
                <w:highlight w:val="none"/>
                <w:u w:val="single"/>
                <w:lang w:eastAsia="zh-CN"/>
              </w:rPr>
            </w:pPr>
            <w:r>
              <w:rPr>
                <w:rFonts w:hint="eastAsia" w:ascii="Times New Roman" w:hAnsi="Times New Roman" w:eastAsia="宋体" w:cs="Times New Roman"/>
                <w:color w:val="auto"/>
                <w:sz w:val="22"/>
                <w:highlight w:val="none"/>
                <w:u w:val="single"/>
                <w:lang w:eastAsia="zh-CN"/>
              </w:rPr>
              <w:t>广州大道中289号南方报业传媒集团1号楼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4</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建设规模</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eastAsia" w:ascii="Times New Roman" w:hAnsi="Times New Roman" w:eastAsia="宋体" w:cs="Times New Roman"/>
                <w:color w:val="auto"/>
                <w:sz w:val="22"/>
                <w:u w:val="single"/>
                <w:lang w:eastAsia="zh-CN"/>
              </w:rPr>
            </w:pPr>
            <w:r>
              <w:rPr>
                <w:rFonts w:hint="eastAsia" w:ascii="宋体" w:hAnsi="宋体" w:eastAsia="宋体" w:cs="宋体"/>
                <w:color w:val="auto"/>
                <w:sz w:val="24"/>
              </w:rPr>
              <w:t>本项目包含4台旧电梯的报废手续办理、拆除、回收，4台新电梯的采购、安装、质检验收，以及井道和楼层厅门土建装饰修复等</w:t>
            </w: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井道</w:t>
            </w:r>
            <w:r>
              <w:rPr>
                <w:rFonts w:hint="eastAsia" w:ascii="宋体" w:hAnsi="宋体" w:eastAsia="宋体" w:cs="宋体"/>
                <w:color w:val="auto"/>
                <w:sz w:val="24"/>
                <w:highlight w:val="none"/>
              </w:rPr>
              <w:t>图纸</w:t>
            </w:r>
            <w:r>
              <w:rPr>
                <w:rFonts w:hint="eastAsia" w:ascii="宋体" w:hAnsi="宋体" w:eastAsia="宋体" w:cs="宋体"/>
                <w:color w:val="auto"/>
                <w:sz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5</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承包方式</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eastAsia" w:ascii="Times New Roman" w:hAnsi="Times New Roman" w:eastAsia="宋体" w:cs="Times New Roman"/>
                <w:color w:val="auto"/>
                <w:sz w:val="22"/>
                <w:lang w:val="en-US" w:eastAsia="zh-CN"/>
              </w:rPr>
            </w:pPr>
            <w:r>
              <w:rPr>
                <w:rFonts w:ascii="Times New Roman" w:hAnsi="Times New Roman" w:eastAsia="宋体" w:cs="Times New Roman"/>
                <w:color w:val="auto"/>
                <w:sz w:val="22"/>
                <w:u w:val="single"/>
              </w:rPr>
              <w:t>即</w:t>
            </w:r>
            <w:r>
              <w:rPr>
                <w:rFonts w:hint="eastAsia" w:ascii="Times New Roman" w:hAnsi="Times New Roman" w:eastAsia="宋体" w:cs="Times New Roman"/>
                <w:color w:val="auto"/>
                <w:sz w:val="22"/>
                <w:u w:val="single"/>
                <w:lang w:val="en-US" w:eastAsia="zh-CN"/>
              </w:rPr>
              <w:t>包</w:t>
            </w:r>
            <w:r>
              <w:rPr>
                <w:rFonts w:hint="eastAsia" w:ascii="Times New Roman" w:hAnsi="Times New Roman" w:eastAsia="宋体" w:cs="Times New Roman"/>
                <w:color w:val="auto"/>
                <w:sz w:val="22"/>
                <w:u w:val="single"/>
              </w:rPr>
              <w:t>折旧回收旧</w:t>
            </w:r>
            <w:r>
              <w:rPr>
                <w:rFonts w:hint="eastAsia" w:ascii="Times New Roman" w:hAnsi="Times New Roman" w:eastAsia="宋体" w:cs="Times New Roman"/>
                <w:color w:val="auto"/>
                <w:sz w:val="22"/>
                <w:u w:val="single"/>
                <w:lang w:val="en-US" w:eastAsia="zh-CN"/>
              </w:rPr>
              <w:t>电</w:t>
            </w:r>
            <w:r>
              <w:rPr>
                <w:rFonts w:hint="eastAsia" w:ascii="Times New Roman" w:hAnsi="Times New Roman" w:eastAsia="宋体" w:cs="Times New Roman"/>
                <w:color w:val="auto"/>
                <w:sz w:val="22"/>
                <w:u w:val="single"/>
              </w:rPr>
              <w:t>梯、设备金额、包装费、运输费、保险费、设备装卸费、保管费、质保维护费、拆除安装费、绿色施工安全防护措施费、调试费、电梯监督检验费以及税费等与项目相关的包括但不限于上述的所有</w:t>
            </w:r>
            <w:r>
              <w:rPr>
                <w:rFonts w:hint="eastAsia" w:ascii="Times New Roman" w:hAnsi="Times New Roman" w:eastAsia="宋体" w:cs="Times New Roman"/>
                <w:color w:val="auto"/>
                <w:sz w:val="22"/>
                <w:u w:val="single"/>
                <w:lang w:eastAsia="zh-CN"/>
              </w:rPr>
              <w:t>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6</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质量标准</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u w:val="single"/>
              </w:rPr>
            </w:pPr>
            <w:r>
              <w:rPr>
                <w:rFonts w:ascii="Times New Roman" w:hAnsi="Times New Roman" w:eastAsia="宋体" w:cs="Times New Roman"/>
                <w:color w:val="auto"/>
                <w:sz w:val="22"/>
                <w:u w:val="single"/>
              </w:rPr>
              <w:t>工程质量符合国家现行施工质量验收规范，达到合格标准。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7</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招标范围</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u w:val="single"/>
              </w:rPr>
            </w:pPr>
            <w:r>
              <w:rPr>
                <w:rFonts w:hint="eastAsia" w:ascii="宋体" w:hAnsi="宋体" w:eastAsia="宋体" w:cs="宋体"/>
                <w:color w:val="auto"/>
                <w:sz w:val="24"/>
              </w:rPr>
              <w:t>本项目包含4台旧电梯的报废手续办理、拆除、回收，4台新电梯的采购、安装、质检验收，以及井道和楼层厅门土建装饰修复等</w:t>
            </w: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井道</w:t>
            </w:r>
            <w:r>
              <w:rPr>
                <w:rFonts w:hint="eastAsia" w:ascii="宋体" w:hAnsi="宋体" w:eastAsia="宋体" w:cs="宋体"/>
                <w:color w:val="auto"/>
                <w:sz w:val="24"/>
                <w:highlight w:val="none"/>
              </w:rPr>
              <w:t>图纸</w:t>
            </w:r>
            <w:r>
              <w:rPr>
                <w:rFonts w:hint="eastAsia" w:ascii="宋体" w:hAnsi="宋体" w:eastAsia="宋体" w:cs="宋体"/>
                <w:color w:val="auto"/>
                <w:sz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8</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工期要求</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hint="eastAsia" w:ascii="Times New Roman" w:hAnsi="Times New Roman" w:eastAsia="宋体" w:cs="Times New Roman"/>
                <w:color w:val="auto"/>
                <w:sz w:val="22"/>
                <w:highlight w:val="none"/>
                <w:u w:val="single"/>
                <w:lang w:val="en-US" w:eastAsia="zh-CN"/>
              </w:rPr>
              <w:t xml:space="preserve"> 每台电梯的施工期不能够超过30天</w:t>
            </w:r>
            <w:r>
              <w:rPr>
                <w:rFonts w:ascii="Times New Roman" w:hAnsi="Times New Roman" w:eastAsia="宋体" w:cs="Times New Roman"/>
                <w:color w:val="auto"/>
                <w:sz w:val="22"/>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9</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3.1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资金来源</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u w:val="single"/>
              </w:rPr>
            </w:pPr>
            <w:r>
              <w:rPr>
                <w:rFonts w:hint="eastAsia" w:ascii="Times New Roman" w:hAnsi="Times New Roman" w:eastAsia="宋体" w:cs="Times New Roman"/>
                <w:color w:val="auto"/>
                <w:sz w:val="22"/>
                <w:highlight w:val="none"/>
                <w:u w:val="single"/>
                <w:lang w:eastAsia="zh-CN"/>
              </w:rPr>
              <w:t>自筹</w:t>
            </w:r>
            <w:r>
              <w:rPr>
                <w:rFonts w:ascii="Times New Roman" w:hAnsi="Times New Roman" w:eastAsia="宋体" w:cs="Times New Roman"/>
                <w:color w:val="auto"/>
                <w:sz w:val="22"/>
                <w:highlight w:val="none"/>
                <w:u w:val="singl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10</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4.1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投标人资质等级及项目负责人等级要求</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11</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58"/>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资格审查方式</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12</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13.1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报价以及单价和总价计算方式</w:t>
            </w:r>
          </w:p>
        </w:tc>
        <w:tc>
          <w:tcPr>
            <w:tcW w:w="3232" w:type="pct"/>
            <w:tcBorders>
              <w:top w:val="single" w:color="auto" w:sz="4" w:space="0"/>
              <w:left w:val="single" w:color="auto" w:sz="4" w:space="0"/>
              <w:bottom w:val="single" w:color="auto" w:sz="4" w:space="0"/>
              <w:right w:val="double" w:color="auto" w:sz="4" w:space="0"/>
            </w:tcBorders>
            <w:vAlign w:val="center"/>
          </w:tcPr>
          <w:p>
            <w:pPr>
              <w:pStyle w:val="14"/>
              <w:rPr>
                <w:rFonts w:ascii="Times New Roman" w:hAnsi="Times New Roman" w:eastAsia="宋体" w:cs="Times New Roman"/>
                <w:color w:val="auto"/>
                <w:sz w:val="22"/>
              </w:rPr>
            </w:pPr>
            <w:r>
              <w:rPr>
                <w:rFonts w:hint="eastAsia"/>
                <w:lang w:val="en-US" w:eastAsia="zh-CN"/>
              </w:rPr>
              <w:t>详见报价表。</w:t>
            </w:r>
            <w:r>
              <w:rPr>
                <w:rFonts w:hint="eastAsia"/>
                <w:lang w:eastAsia="zh-CN"/>
              </w:rPr>
              <w:t>按招标方合同要求完成整体。</w:t>
            </w:r>
            <w:r>
              <w:rPr>
                <w:rFonts w:hint="eastAsia" w:ascii="宋体" w:hAnsi="宋体" w:eastAsia="宋体" w:cs="宋体"/>
                <w:color w:val="auto"/>
                <w:sz w:val="24"/>
                <w:szCs w:val="24"/>
                <w:lang w:eastAsia="zh-CN"/>
              </w:rPr>
              <w:t>整改、改造、修复等</w:t>
            </w:r>
            <w:r>
              <w:rPr>
                <w:rFonts w:hint="eastAsia" w:ascii="宋体" w:hAnsi="宋体" w:eastAsia="宋体" w:cs="宋体"/>
                <w:color w:val="auto"/>
                <w:sz w:val="24"/>
                <w:szCs w:val="24"/>
              </w:rPr>
              <w:t>问题，</w:t>
            </w:r>
            <w:r>
              <w:rPr>
                <w:rFonts w:hint="eastAsia" w:ascii="宋体" w:hAnsi="宋体" w:eastAsia="宋体" w:cs="宋体"/>
                <w:color w:val="auto"/>
                <w:sz w:val="24"/>
                <w:szCs w:val="24"/>
                <w:lang w:eastAsia="zh-CN"/>
              </w:rPr>
              <w:t>一切</w:t>
            </w:r>
            <w:r>
              <w:rPr>
                <w:rFonts w:hint="eastAsia" w:ascii="宋体" w:hAnsi="宋体" w:eastAsia="宋体" w:cs="宋体"/>
                <w:color w:val="auto"/>
                <w:sz w:val="24"/>
                <w:szCs w:val="24"/>
              </w:rPr>
              <w:t>由</w:t>
            </w:r>
            <w:r>
              <w:rPr>
                <w:rFonts w:ascii="Times New Roman" w:hAnsi="Times New Roman" w:eastAsia="宋体" w:cs="Times New Roman"/>
                <w:color w:val="auto"/>
                <w:sz w:val="24"/>
              </w:rPr>
              <w:t>投标人</w:t>
            </w:r>
            <w:r>
              <w:rPr>
                <w:rFonts w:hint="eastAsia" w:ascii="宋体" w:hAnsi="宋体" w:eastAsia="宋体" w:cs="宋体"/>
                <w:color w:val="auto"/>
                <w:sz w:val="24"/>
                <w:szCs w:val="24"/>
              </w:rPr>
              <w:t>负责</w:t>
            </w:r>
            <w:r>
              <w:rPr>
                <w:rFonts w:hint="eastAsia" w:cs="宋体"/>
                <w:color w:val="auto"/>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13</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15.1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投标有效期</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u w:val="single"/>
              </w:rPr>
            </w:pPr>
            <w:r>
              <w:rPr>
                <w:rFonts w:ascii="Times New Roman" w:hAnsi="Times New Roman" w:eastAsia="宋体" w:cs="Times New Roman"/>
                <w:color w:val="auto"/>
                <w:sz w:val="22"/>
                <w:u w:val="single"/>
              </w:rPr>
              <w:t xml:space="preserve"> 90 </w:t>
            </w:r>
            <w:r>
              <w:rPr>
                <w:rFonts w:ascii="Times New Roman" w:hAnsi="Times New Roman" w:eastAsia="宋体" w:cs="Times New Roman"/>
                <w:color w:val="auto"/>
                <w:sz w:val="22"/>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14</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16.1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投标保证金</w:t>
            </w:r>
          </w:p>
        </w:tc>
        <w:tc>
          <w:tcPr>
            <w:tcW w:w="3232" w:type="pct"/>
            <w:tcBorders>
              <w:top w:val="single" w:color="auto" w:sz="4" w:space="0"/>
              <w:left w:val="single" w:color="auto" w:sz="4" w:space="0"/>
              <w:bottom w:val="single" w:color="auto" w:sz="4" w:space="0"/>
              <w:right w:val="double" w:color="auto" w:sz="4" w:space="0"/>
            </w:tcBorders>
            <w:vAlign w:val="center"/>
          </w:tcPr>
          <w:p>
            <w:pPr>
              <w:numPr>
                <w:ilvl w:val="0"/>
                <w:numId w:val="7"/>
              </w:num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本项目投标保证金：</w:t>
            </w:r>
            <w:r>
              <w:rPr>
                <w:rFonts w:hint="eastAsia" w:ascii="Times New Roman" w:hAnsi="Times New Roman" w:eastAsia="宋体" w:cs="Times New Roman"/>
                <w:color w:val="auto"/>
                <w:sz w:val="22"/>
                <w:highlight w:val="none"/>
                <w:u w:val="single"/>
                <w:lang w:val="en-US" w:eastAsia="zh-CN"/>
              </w:rPr>
              <w:t>人民币柒万元整</w:t>
            </w:r>
            <w:r>
              <w:rPr>
                <w:rFonts w:hint="eastAsia" w:ascii="Times New Roman" w:hAnsi="Times New Roman" w:eastAsia="宋体" w:cs="Times New Roman"/>
                <w:color w:val="auto"/>
                <w:sz w:val="22"/>
                <w:highlight w:val="none"/>
                <w:lang w:val="en-US" w:eastAsia="zh-CN"/>
              </w:rPr>
              <w:t xml:space="preserve">     </w:t>
            </w:r>
          </w:p>
          <w:p>
            <w:pPr>
              <w:numPr>
                <w:ilvl w:val="0"/>
                <w:numId w:val="7"/>
              </w:num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投标保证金作为供应商投标的组成部分，与投标文件一同递交。</w:t>
            </w:r>
          </w:p>
          <w:p>
            <w:pPr>
              <w:numPr>
                <w:ilvl w:val="0"/>
                <w:numId w:val="7"/>
              </w:num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投标保证金应当以支票、汇票、本票或者金融机构、担保机构出具的保函等非现金形式提交。</w:t>
            </w:r>
          </w:p>
          <w:p>
            <w:pPr>
              <w:numPr>
                <w:ilvl w:val="0"/>
                <w:numId w:val="7"/>
              </w:num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投标保证金以转账形式递交的，请务必按以下信息填写汇款单</w:t>
            </w:r>
            <w:r>
              <w:rPr>
                <w:rFonts w:ascii="Times New Roman" w:hAnsi="Times New Roman" w:eastAsia="宋体" w:cs="Times New Roman"/>
                <w:color w:val="auto"/>
                <w:sz w:val="22"/>
                <w:lang w:val="zh-CN"/>
              </w:rPr>
              <w:t>：</w:t>
            </w:r>
          </w:p>
          <w:p>
            <w:pPr>
              <w:adjustRightInd w:val="0"/>
              <w:snapToGrid w:val="0"/>
              <w:spacing w:line="400" w:lineRule="exact"/>
              <w:ind w:left="448" w:leftChars="180" w:hanging="70" w:hangingChars="32"/>
              <w:rPr>
                <w:rFonts w:ascii="Times New Roman" w:hAnsi="Times New Roman" w:eastAsia="宋体" w:cs="Times New Roman"/>
                <w:color w:val="auto"/>
                <w:sz w:val="22"/>
              </w:rPr>
            </w:pPr>
            <w:r>
              <w:rPr>
                <w:rFonts w:ascii="Times New Roman" w:hAnsi="Times New Roman" w:eastAsia="宋体" w:cs="Times New Roman"/>
                <w:color w:val="auto"/>
                <w:sz w:val="22"/>
              </w:rPr>
              <w:t>收款单位名称：广东有德招标采购有限公司</w:t>
            </w:r>
          </w:p>
          <w:p>
            <w:pPr>
              <w:adjustRightInd w:val="0"/>
              <w:snapToGrid w:val="0"/>
              <w:spacing w:line="400" w:lineRule="exact"/>
              <w:ind w:left="448" w:leftChars="180" w:hanging="70" w:hangingChars="32"/>
              <w:rPr>
                <w:rFonts w:ascii="Times New Roman" w:hAnsi="Times New Roman" w:eastAsia="宋体" w:cs="Times New Roman"/>
                <w:color w:val="auto"/>
                <w:sz w:val="22"/>
              </w:rPr>
            </w:pPr>
            <w:r>
              <w:rPr>
                <w:rFonts w:ascii="Times New Roman" w:hAnsi="Times New Roman" w:eastAsia="宋体" w:cs="Times New Roman"/>
                <w:color w:val="auto"/>
                <w:sz w:val="22"/>
              </w:rPr>
              <w:t>开户银行：招商银行广州天润路支行</w:t>
            </w:r>
          </w:p>
          <w:p>
            <w:pPr>
              <w:adjustRightInd w:val="0"/>
              <w:snapToGrid w:val="0"/>
              <w:spacing w:line="400" w:lineRule="exact"/>
              <w:ind w:left="448" w:leftChars="180" w:hanging="70" w:hangingChars="32"/>
              <w:rPr>
                <w:rFonts w:ascii="Times New Roman" w:hAnsi="Times New Roman" w:eastAsia="宋体" w:cs="Times New Roman"/>
                <w:color w:val="auto"/>
                <w:sz w:val="22"/>
              </w:rPr>
            </w:pPr>
            <w:r>
              <w:rPr>
                <w:rFonts w:ascii="Times New Roman" w:hAnsi="Times New Roman" w:eastAsia="宋体" w:cs="Times New Roman"/>
                <w:color w:val="auto"/>
                <w:sz w:val="22"/>
              </w:rPr>
              <w:t>账号：120906120910101</w:t>
            </w:r>
          </w:p>
          <w:p>
            <w:pPr>
              <w:adjustRightInd w:val="0"/>
              <w:snapToGrid w:val="0"/>
              <w:spacing w:line="400" w:lineRule="exact"/>
              <w:ind w:left="448" w:leftChars="180" w:hanging="70" w:hangingChars="32"/>
              <w:rPr>
                <w:rFonts w:ascii="Times New Roman" w:hAnsi="Times New Roman" w:eastAsia="宋体" w:cs="Times New Roman"/>
                <w:color w:val="auto"/>
                <w:sz w:val="22"/>
              </w:rPr>
            </w:pPr>
            <w:r>
              <w:rPr>
                <w:rFonts w:ascii="Times New Roman" w:hAnsi="Times New Roman" w:eastAsia="宋体" w:cs="Times New Roman"/>
                <w:color w:val="auto"/>
                <w:sz w:val="22"/>
              </w:rPr>
              <w:t>联系人：江小姐、余小姐</w:t>
            </w:r>
          </w:p>
          <w:p>
            <w:pPr>
              <w:adjustRightInd w:val="0"/>
              <w:snapToGrid w:val="0"/>
              <w:spacing w:line="400" w:lineRule="exact"/>
              <w:ind w:left="448" w:leftChars="180" w:hanging="70" w:hangingChars="32"/>
              <w:rPr>
                <w:rFonts w:ascii="Times New Roman" w:hAnsi="Times New Roman" w:eastAsia="宋体" w:cs="Times New Roman"/>
                <w:color w:val="auto"/>
                <w:sz w:val="22"/>
              </w:rPr>
            </w:pPr>
            <w:r>
              <w:rPr>
                <w:rFonts w:ascii="Times New Roman" w:hAnsi="Times New Roman" w:eastAsia="宋体" w:cs="Times New Roman"/>
                <w:color w:val="auto"/>
                <w:sz w:val="22"/>
              </w:rPr>
              <w:t>联系电话：</w:t>
            </w:r>
            <w:r>
              <w:rPr>
                <w:rFonts w:hint="eastAsia" w:ascii="Times New Roman" w:hAnsi="Times New Roman" w:eastAsia="宋体" w:cs="Times New Roman"/>
                <w:color w:val="auto"/>
                <w:sz w:val="22"/>
              </w:rPr>
              <w:t>020-</w:t>
            </w:r>
            <w:r>
              <w:rPr>
                <w:rFonts w:ascii="Times New Roman" w:hAnsi="Times New Roman" w:eastAsia="宋体" w:cs="Times New Roman"/>
                <w:color w:val="auto"/>
                <w:sz w:val="22"/>
              </w:rPr>
              <w:t>87595661、</w:t>
            </w:r>
            <w:r>
              <w:rPr>
                <w:rFonts w:hint="eastAsia" w:ascii="Times New Roman" w:hAnsi="Times New Roman" w:eastAsia="宋体" w:cs="Times New Roman"/>
                <w:color w:val="auto"/>
                <w:sz w:val="22"/>
              </w:rPr>
              <w:t>020-</w:t>
            </w:r>
            <w:r>
              <w:rPr>
                <w:rFonts w:ascii="Times New Roman" w:hAnsi="Times New Roman" w:eastAsia="宋体" w:cs="Times New Roman"/>
                <w:color w:val="auto"/>
                <w:sz w:val="22"/>
              </w:rPr>
              <w:t>87595690</w:t>
            </w:r>
          </w:p>
          <w:p>
            <w:pPr>
              <w:wordWrap w:val="0"/>
              <w:adjustRightInd w:val="0"/>
              <w:snapToGrid w:val="0"/>
              <w:spacing w:line="400" w:lineRule="exact"/>
              <w:ind w:left="319" w:leftChars="152"/>
              <w:rPr>
                <w:rFonts w:ascii="Times New Roman" w:hAnsi="Times New Roman" w:eastAsia="宋体" w:cs="Times New Roman"/>
                <w:b/>
                <w:color w:val="auto"/>
                <w:sz w:val="22"/>
              </w:rPr>
            </w:pPr>
            <w:r>
              <w:rPr>
                <w:rFonts w:ascii="Times New Roman" w:hAnsi="Times New Roman" w:eastAsia="宋体" w:cs="Times New Roman"/>
                <w:b/>
                <w:color w:val="auto"/>
                <w:sz w:val="22"/>
              </w:rPr>
              <w:t>注：</w:t>
            </w:r>
            <w:r>
              <w:rPr>
                <w:rFonts w:ascii="Times New Roman" w:hAnsi="Times New Roman" w:eastAsia="宋体" w:cs="Times New Roman"/>
                <w:b/>
                <w:color w:val="auto"/>
                <w:sz w:val="22"/>
                <w:lang w:val="zh-CN"/>
              </w:rPr>
              <w:t>投标人请在缴款凭证备注栏写明“</w:t>
            </w:r>
            <w:r>
              <w:rPr>
                <w:rFonts w:ascii="Times New Roman" w:hAnsi="Times New Roman" w:eastAsia="宋体" w:cs="Times New Roman"/>
                <w:b/>
                <w:color w:val="auto"/>
                <w:sz w:val="22"/>
                <w:u w:val="single"/>
                <w:lang w:val="zh-CN"/>
              </w:rPr>
              <w:t>项目编号：</w:t>
            </w:r>
            <w:r>
              <w:rPr>
                <w:rFonts w:hint="eastAsia" w:ascii="Times New Roman" w:hAnsi="Times New Roman" w:eastAsia="宋体" w:cs="Times New Roman"/>
                <w:b/>
                <w:color w:val="auto"/>
                <w:sz w:val="22"/>
                <w:u w:val="single"/>
                <w:lang w:val="en-US" w:eastAsia="zh-CN"/>
              </w:rPr>
              <w:t>1210-2340YDZB5909</w:t>
            </w:r>
            <w:r>
              <w:rPr>
                <w:rFonts w:ascii="Times New Roman" w:hAnsi="Times New Roman" w:eastAsia="宋体" w:cs="Times New Roman"/>
                <w:b/>
                <w:color w:val="auto"/>
                <w:sz w:val="22"/>
                <w:lang w:val="zh-CN"/>
              </w:rPr>
              <w:t>投标保证金”，以便查询。</w:t>
            </w:r>
            <w:r>
              <w:rPr>
                <w:rFonts w:ascii="Times New Roman" w:hAnsi="Times New Roman" w:eastAsia="宋体" w:cs="Times New Roman"/>
                <w:b/>
                <w:color w:val="auto"/>
                <w:sz w:val="22"/>
              </w:rPr>
              <w:t>（上述账号只接受以投标人名义的转账，不接受以个人名义及其他款项的转账）</w:t>
            </w:r>
          </w:p>
          <w:p>
            <w:pPr>
              <w:numPr>
                <w:ilvl w:val="0"/>
                <w:numId w:val="7"/>
              </w:numPr>
              <w:adjustRightInd w:val="0"/>
              <w:snapToGrid w:val="0"/>
              <w:spacing w:line="400" w:lineRule="exact"/>
              <w:rPr>
                <w:rFonts w:ascii="Times New Roman" w:hAnsi="Times New Roman" w:eastAsia="宋体" w:cs="Times New Roman"/>
                <w:color w:val="auto"/>
                <w:sz w:val="22"/>
                <w:u w:val="single"/>
              </w:rPr>
            </w:pPr>
            <w:r>
              <w:rPr>
                <w:rFonts w:ascii="Times New Roman" w:hAnsi="Times New Roman" w:eastAsia="宋体" w:cs="Times New Roman"/>
                <w:color w:val="auto"/>
                <w:sz w:val="22"/>
                <w:lang w:val="zh-CN"/>
              </w:rPr>
              <w:t>有效期：投标保证金应在投标有效期内有效。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15</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5</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踏勘现场</w:t>
            </w:r>
          </w:p>
        </w:tc>
        <w:tc>
          <w:tcPr>
            <w:tcW w:w="3232" w:type="pct"/>
            <w:tcBorders>
              <w:top w:val="single" w:color="auto" w:sz="4" w:space="0"/>
              <w:left w:val="single" w:color="auto" w:sz="4" w:space="0"/>
              <w:bottom w:val="single" w:color="auto" w:sz="4" w:space="0"/>
              <w:right w:val="double" w:color="auto" w:sz="4" w:space="0"/>
            </w:tcBorders>
            <w:vAlign w:val="center"/>
          </w:tcPr>
          <w:p>
            <w:pPr>
              <w:pStyle w:val="14"/>
              <w:adjustRightInd w:val="0"/>
              <w:snapToGrid w:val="0"/>
              <w:spacing w:line="400" w:lineRule="exact"/>
              <w:ind w:firstLine="0" w:firstLineChars="0"/>
              <w:rPr>
                <w:rFonts w:ascii="Times New Roman" w:hAnsi="Times New Roman" w:eastAsia="宋体" w:cs="Times New Roman"/>
                <w:color w:val="auto"/>
                <w:sz w:val="22"/>
                <w:szCs w:val="22"/>
              </w:rPr>
            </w:pPr>
            <w:r>
              <w:rPr>
                <w:rFonts w:hint="default" w:ascii="Times New Roman" w:hAnsi="Times New Roman"/>
                <w:color w:val="auto"/>
                <w:sz w:val="22"/>
                <w:szCs w:val="22"/>
                <w:highlight w:val="none"/>
                <w:lang w:eastAsia="zh-CN"/>
              </w:rPr>
              <w:t>招标公告有效期内</w:t>
            </w:r>
            <w:r>
              <w:rPr>
                <w:rFonts w:hint="default" w:ascii="Times New Roman" w:hAnsi="Times New Roman"/>
                <w:color w:val="auto"/>
                <w:sz w:val="22"/>
                <w:szCs w:val="22"/>
                <w:lang w:eastAsia="zh-CN"/>
              </w:rPr>
              <w:t>，工作时间周一至五上午</w:t>
            </w:r>
            <w:r>
              <w:rPr>
                <w:rFonts w:hint="default" w:ascii="Times New Roman" w:hAnsi="Times New Roman"/>
                <w:color w:val="auto"/>
                <w:sz w:val="22"/>
                <w:szCs w:val="22"/>
                <w:lang w:val="en-US" w:eastAsia="zh-CN"/>
              </w:rPr>
              <w:t>9:00-11:00，下午14：30-16:30，</w:t>
            </w:r>
            <w:r>
              <w:rPr>
                <w:rFonts w:hint="default" w:ascii="Times New Roman" w:hAnsi="Times New Roman" w:eastAsia="宋体" w:cs="Times New Roman"/>
                <w:color w:val="auto"/>
                <w:sz w:val="22"/>
                <w:szCs w:val="22"/>
              </w:rPr>
              <w:t>由投标人自行选择</w:t>
            </w:r>
            <w:r>
              <w:rPr>
                <w:rFonts w:hint="default" w:ascii="Times New Roman" w:hAnsi="Times New Roman" w:cs="Times New Roman"/>
                <w:color w:val="auto"/>
                <w:sz w:val="22"/>
                <w:szCs w:val="22"/>
                <w:lang w:val="en-US" w:eastAsia="zh-CN"/>
              </w:rPr>
              <w:t>现场</w:t>
            </w:r>
            <w:r>
              <w:rPr>
                <w:rFonts w:hint="default" w:ascii="Times New Roman" w:hAnsi="Times New Roman" w:eastAsia="宋体" w:cs="Times New Roman"/>
                <w:color w:val="auto"/>
                <w:sz w:val="22"/>
                <w:szCs w:val="22"/>
              </w:rPr>
              <w:t>勘查</w:t>
            </w:r>
            <w:r>
              <w:rPr>
                <w:rFonts w:hint="default" w:ascii="Times New Roman" w:hAnsi="Times New Roman"/>
                <w:color w:val="auto"/>
                <w:sz w:val="22"/>
                <w:szCs w:val="22"/>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16</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8</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投标答疑</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招标人不集中组织，若投标人对招标文件有异议，可在递交投标文件截止</w:t>
            </w:r>
            <w:r>
              <w:rPr>
                <w:rFonts w:hint="eastAsia" w:ascii="Times New Roman" w:hAnsi="Times New Roman" w:eastAsia="宋体" w:cs="Times New Roman"/>
                <w:color w:val="auto"/>
                <w:sz w:val="22"/>
              </w:rPr>
              <w:t>时间</w:t>
            </w:r>
            <w:r>
              <w:rPr>
                <w:rFonts w:hint="eastAsia" w:ascii="Times New Roman" w:hAnsi="Times New Roman" w:eastAsia="宋体" w:cs="Times New Roman"/>
                <w:color w:val="auto"/>
                <w:sz w:val="22"/>
                <w:u w:val="single"/>
              </w:rPr>
              <w:t>16</w:t>
            </w:r>
            <w:r>
              <w:rPr>
                <w:rFonts w:ascii="Times New Roman" w:hAnsi="Times New Roman" w:eastAsia="宋体" w:cs="Times New Roman"/>
                <w:color w:val="auto"/>
                <w:sz w:val="22"/>
              </w:rPr>
              <w:t>日</w:t>
            </w:r>
            <w:r>
              <w:rPr>
                <w:rFonts w:hint="eastAsia" w:ascii="Times New Roman" w:hAnsi="Times New Roman" w:eastAsia="宋体" w:cs="Times New Roman"/>
                <w:color w:val="auto"/>
                <w:sz w:val="22"/>
              </w:rPr>
              <w:t>前</w:t>
            </w:r>
            <w:r>
              <w:rPr>
                <w:rFonts w:ascii="Times New Roman" w:hAnsi="Times New Roman" w:eastAsia="宋体" w:cs="Times New Roman"/>
                <w:color w:val="auto"/>
                <w:sz w:val="22"/>
              </w:rPr>
              <w:t>提出，并发扫描件至招标代理机构邮箱（</w:t>
            </w:r>
            <w:r>
              <w:rPr>
                <w:rFonts w:hint="eastAsia" w:ascii="Times New Roman" w:hAnsi="Times New Roman" w:eastAsia="宋体" w:cs="Times New Roman"/>
                <w:color w:val="auto"/>
                <w:sz w:val="22"/>
              </w:rPr>
              <w:t>E－mail：youde_zb@163.com</w:t>
            </w:r>
            <w:r>
              <w:rPr>
                <w:rFonts w:ascii="Times New Roman" w:hAnsi="Times New Roman" w:eastAsia="宋体" w:cs="Times New Roman"/>
                <w:color w:val="auto"/>
                <w:sz w:val="22"/>
              </w:rPr>
              <w:t xml:space="preserve"> </w:t>
            </w:r>
            <w:r>
              <w:rPr>
                <w:rFonts w:hint="eastAsia" w:ascii="Times New Roman" w:hAnsi="Times New Roman" w:eastAsia="宋体" w:cs="Times New Roman"/>
                <w:color w:val="auto"/>
                <w:sz w:val="22"/>
              </w:rPr>
              <w:t>）</w:t>
            </w:r>
            <w:r>
              <w:rPr>
                <w:rFonts w:ascii="Times New Roman" w:hAnsi="Times New Roman" w:eastAsia="宋体" w:cs="Times New Roman"/>
                <w:color w:val="auto"/>
                <w:sz w:val="22"/>
              </w:rPr>
              <w:t>，逾期不予受理。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17</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18.1</w:t>
            </w:r>
          </w:p>
        </w:tc>
        <w:tc>
          <w:tcPr>
            <w:tcW w:w="802" w:type="pct"/>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投标文件份数</w:t>
            </w:r>
          </w:p>
        </w:tc>
        <w:tc>
          <w:tcPr>
            <w:tcW w:w="3232" w:type="pct"/>
            <w:tcBorders>
              <w:top w:val="single" w:color="auto" w:sz="4" w:space="0"/>
              <w:left w:val="single" w:color="auto" w:sz="4" w:space="0"/>
              <w:bottom w:val="single" w:color="auto" w:sz="4" w:space="0"/>
              <w:right w:val="double" w:color="auto" w:sz="4" w:space="0"/>
            </w:tcBorders>
            <w:vAlign w:val="center"/>
          </w:tcPr>
          <w:p>
            <w:pPr>
              <w:snapToGrid w:val="0"/>
              <w:spacing w:line="44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投标文件正本</w:t>
            </w:r>
            <w:r>
              <w:rPr>
                <w:rFonts w:ascii="Times New Roman" w:hAnsi="Times New Roman" w:eastAsia="宋体" w:cs="Times New Roman"/>
                <w:b/>
                <w:bCs/>
                <w:color w:val="auto"/>
                <w:sz w:val="22"/>
                <w:u w:val="single"/>
              </w:rPr>
              <w:t xml:space="preserve"> 1</w:t>
            </w:r>
            <w:r>
              <w:rPr>
                <w:rFonts w:ascii="Times New Roman" w:hAnsi="Times New Roman" w:eastAsia="宋体" w:cs="Times New Roman"/>
                <w:color w:val="auto"/>
                <w:sz w:val="22"/>
                <w:u w:val="single"/>
              </w:rPr>
              <w:t xml:space="preserve"> </w:t>
            </w:r>
            <w:r>
              <w:rPr>
                <w:rFonts w:ascii="Times New Roman" w:hAnsi="Times New Roman" w:eastAsia="宋体" w:cs="Times New Roman"/>
                <w:color w:val="auto"/>
                <w:sz w:val="22"/>
              </w:rPr>
              <w:t>套，副本</w:t>
            </w:r>
            <w:r>
              <w:rPr>
                <w:rFonts w:ascii="Times New Roman" w:hAnsi="Times New Roman" w:eastAsia="宋体" w:cs="Times New Roman"/>
                <w:color w:val="auto"/>
                <w:sz w:val="22"/>
                <w:u w:val="single"/>
              </w:rPr>
              <w:t xml:space="preserve"> </w:t>
            </w:r>
            <w:r>
              <w:rPr>
                <w:rFonts w:ascii="Times New Roman" w:hAnsi="Times New Roman" w:eastAsia="宋体" w:cs="Times New Roman"/>
                <w:b/>
                <w:bCs/>
                <w:color w:val="auto"/>
                <w:sz w:val="22"/>
                <w:u w:val="single"/>
              </w:rPr>
              <w:t>5</w:t>
            </w:r>
            <w:r>
              <w:rPr>
                <w:rFonts w:ascii="Times New Roman" w:hAnsi="Times New Roman" w:eastAsia="宋体" w:cs="Times New Roman"/>
                <w:color w:val="auto"/>
                <w:sz w:val="22"/>
                <w:u w:val="single"/>
              </w:rPr>
              <w:t xml:space="preserve"> </w:t>
            </w:r>
            <w:r>
              <w:rPr>
                <w:rFonts w:ascii="Times New Roman" w:hAnsi="Times New Roman" w:eastAsia="宋体" w:cs="Times New Roman"/>
                <w:color w:val="auto"/>
                <w:sz w:val="22"/>
              </w:rPr>
              <w:t>套，开标信封</w:t>
            </w:r>
            <w:r>
              <w:rPr>
                <w:rFonts w:ascii="Times New Roman" w:hAnsi="Times New Roman" w:eastAsia="宋体" w:cs="Times New Roman"/>
                <w:b/>
                <w:bCs/>
                <w:color w:val="auto"/>
                <w:sz w:val="22"/>
                <w:u w:val="single"/>
              </w:rPr>
              <w:t>1</w:t>
            </w:r>
            <w:r>
              <w:rPr>
                <w:rFonts w:ascii="Times New Roman" w:hAnsi="Times New Roman" w:eastAsia="宋体" w:cs="Times New Roman"/>
                <w:color w:val="auto"/>
                <w:sz w:val="22"/>
              </w:rPr>
              <w:t>份，电子文件</w:t>
            </w:r>
            <w:r>
              <w:rPr>
                <w:rFonts w:ascii="Times New Roman" w:hAnsi="Times New Roman" w:eastAsia="宋体" w:cs="Times New Roman"/>
                <w:b/>
                <w:bCs/>
                <w:color w:val="auto"/>
                <w:sz w:val="22"/>
                <w:u w:val="single"/>
              </w:rPr>
              <w:t>1</w:t>
            </w:r>
            <w:r>
              <w:rPr>
                <w:rFonts w:ascii="Times New Roman" w:hAnsi="Times New Roman" w:eastAsia="宋体" w:cs="Times New Roman"/>
                <w:color w:val="auto"/>
                <w:sz w:val="22"/>
              </w:rPr>
              <w:t>份</w:t>
            </w:r>
            <w:r>
              <w:rPr>
                <w:rFonts w:ascii="Times New Roman" w:hAnsi="Times New Roman" w:eastAsia="宋体" w:cs="Times New Roman"/>
                <w:color w:val="auto"/>
                <w:sz w:val="22"/>
                <w:lang w:val="zh-CN"/>
              </w:rPr>
              <w:t>（电子文件为光盘或者U盘介质，采用Word和PDF格式，</w:t>
            </w:r>
            <w:r>
              <w:rPr>
                <w:rFonts w:ascii="Times New Roman" w:hAnsi="Times New Roman" w:eastAsia="宋体" w:cs="Times New Roman"/>
                <w:b/>
                <w:bCs/>
                <w:color w:val="auto"/>
                <w:sz w:val="22"/>
                <w:lang w:val="zh-CN"/>
              </w:rPr>
              <w:t>PDF中内容必须是投标文件正本扫描件（含签名、盖章），投标报价清单另需提供一份</w:t>
            </w:r>
            <w:r>
              <w:rPr>
                <w:rFonts w:ascii="Times New Roman" w:hAnsi="Times New Roman" w:eastAsia="宋体" w:cs="Times New Roman"/>
                <w:b/>
                <w:bCs/>
                <w:color w:val="auto"/>
                <w:sz w:val="22"/>
              </w:rPr>
              <w:t>EXCEL格式文件，</w:t>
            </w:r>
            <w:r>
              <w:rPr>
                <w:rFonts w:ascii="Times New Roman" w:hAnsi="Times New Roman" w:eastAsia="宋体" w:cs="Times New Roman"/>
                <w:color w:val="auto"/>
                <w:sz w:val="22"/>
                <w:lang w:val="zh-CN"/>
              </w:rPr>
              <w:t>不留密码，无病毒，不压缩）</w:t>
            </w:r>
            <w:r>
              <w:rPr>
                <w:rFonts w:ascii="Times New Roman" w:hAnsi="Times New Roman" w:eastAsia="宋体" w:cs="Times New Roman"/>
                <w:color w:val="auto"/>
                <w:sz w:val="22"/>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18</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20.1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投标截止时间</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strike/>
                <w:color w:val="auto"/>
                <w:sz w:val="22"/>
                <w:highlight w:val="none"/>
              </w:rPr>
            </w:pPr>
            <w:r>
              <w:rPr>
                <w:rFonts w:hint="eastAsia" w:ascii="Times New Roman" w:hAnsi="Times New Roman" w:eastAsia="宋体" w:cs="Times New Roman"/>
                <w:color w:val="auto"/>
                <w:sz w:val="22"/>
                <w:highlight w:val="none"/>
              </w:rPr>
              <w:t>202</w:t>
            </w:r>
            <w:r>
              <w:rPr>
                <w:rFonts w:hint="eastAsia" w:ascii="Times New Roman" w:hAnsi="Times New Roman" w:eastAsia="宋体" w:cs="Times New Roman"/>
                <w:color w:val="auto"/>
                <w:sz w:val="22"/>
                <w:highlight w:val="none"/>
                <w:lang w:val="en-US" w:eastAsia="zh-CN"/>
              </w:rPr>
              <w:t>3</w:t>
            </w:r>
            <w:r>
              <w:rPr>
                <w:rFonts w:ascii="Times New Roman" w:hAnsi="Times New Roman" w:eastAsia="宋体" w:cs="Times New Roman"/>
                <w:color w:val="auto"/>
                <w:sz w:val="22"/>
                <w:highlight w:val="none"/>
              </w:rPr>
              <w:t>年</w:t>
            </w:r>
            <w:r>
              <w:rPr>
                <w:rFonts w:hint="eastAsia" w:ascii="Times New Roman" w:hAnsi="Times New Roman" w:eastAsia="宋体" w:cs="Times New Roman"/>
                <w:color w:val="auto"/>
                <w:sz w:val="22"/>
                <w:highlight w:val="none"/>
                <w:lang w:val="en-US" w:eastAsia="zh-CN"/>
              </w:rPr>
              <w:t>3</w:t>
            </w:r>
            <w:r>
              <w:rPr>
                <w:rFonts w:ascii="Times New Roman" w:hAnsi="Times New Roman" w:eastAsia="宋体" w:cs="Times New Roman"/>
                <w:color w:val="auto"/>
                <w:sz w:val="22"/>
                <w:highlight w:val="none"/>
              </w:rPr>
              <w:t>月</w:t>
            </w:r>
            <w:r>
              <w:rPr>
                <w:rFonts w:hint="eastAsia" w:ascii="Times New Roman" w:hAnsi="Times New Roman" w:eastAsia="宋体" w:cs="Times New Roman"/>
                <w:color w:val="auto"/>
                <w:sz w:val="22"/>
                <w:highlight w:val="none"/>
                <w:lang w:val="en-US" w:eastAsia="zh-CN"/>
              </w:rPr>
              <w:t>14</w:t>
            </w:r>
            <w:r>
              <w:rPr>
                <w:rFonts w:ascii="Times New Roman" w:hAnsi="Times New Roman" w:eastAsia="宋体" w:cs="Times New Roman"/>
                <w:color w:val="auto"/>
                <w:sz w:val="22"/>
                <w:highlight w:val="none"/>
              </w:rPr>
              <w:t>日</w:t>
            </w:r>
            <w:r>
              <w:rPr>
                <w:rFonts w:hint="eastAsia" w:ascii="Times New Roman" w:hAnsi="Times New Roman" w:eastAsia="宋体" w:cs="Times New Roman"/>
                <w:color w:val="auto"/>
                <w:sz w:val="22"/>
                <w:highlight w:val="none"/>
                <w:lang w:val="en-US" w:eastAsia="zh-CN"/>
              </w:rPr>
              <w:t>09</w:t>
            </w:r>
            <w:r>
              <w:rPr>
                <w:rFonts w:ascii="Times New Roman" w:hAnsi="Times New Roman" w:eastAsia="宋体" w:cs="Times New Roman"/>
                <w:color w:val="auto"/>
                <w:sz w:val="22"/>
                <w:highlight w:val="none"/>
              </w:rPr>
              <w:t>时</w:t>
            </w:r>
            <w:r>
              <w:rPr>
                <w:rFonts w:hint="eastAsia" w:ascii="Times New Roman" w:hAnsi="Times New Roman" w:eastAsia="宋体" w:cs="Times New Roman"/>
                <w:color w:val="auto"/>
                <w:sz w:val="22"/>
                <w:highlight w:val="none"/>
              </w:rPr>
              <w:t>30分（</w:t>
            </w:r>
            <w:r>
              <w:rPr>
                <w:rFonts w:ascii="Times New Roman" w:hAnsi="Times New Roman" w:eastAsia="宋体" w:cs="Times New Roman"/>
                <w:color w:val="auto"/>
                <w:sz w:val="22"/>
                <w:highlight w:val="none"/>
              </w:rPr>
              <w:t>投标文件递交开始时间：</w:t>
            </w:r>
            <w:r>
              <w:rPr>
                <w:rFonts w:hint="eastAsia" w:ascii="Times New Roman" w:hAnsi="Times New Roman" w:eastAsia="宋体" w:cs="Times New Roman"/>
                <w:color w:val="auto"/>
                <w:sz w:val="22"/>
                <w:highlight w:val="none"/>
              </w:rPr>
              <w:t>202</w:t>
            </w:r>
            <w:r>
              <w:rPr>
                <w:rFonts w:hint="eastAsia" w:ascii="Times New Roman" w:hAnsi="Times New Roman" w:eastAsia="宋体" w:cs="Times New Roman"/>
                <w:color w:val="auto"/>
                <w:sz w:val="22"/>
                <w:highlight w:val="none"/>
                <w:lang w:val="en-US" w:eastAsia="zh-CN"/>
              </w:rPr>
              <w:t>3</w:t>
            </w:r>
            <w:r>
              <w:rPr>
                <w:rFonts w:ascii="Times New Roman" w:hAnsi="Times New Roman" w:eastAsia="宋体" w:cs="Times New Roman"/>
                <w:color w:val="auto"/>
                <w:sz w:val="22"/>
                <w:highlight w:val="none"/>
              </w:rPr>
              <w:t>年</w:t>
            </w:r>
            <w:r>
              <w:rPr>
                <w:rFonts w:hint="eastAsia" w:ascii="Times New Roman" w:hAnsi="Times New Roman" w:eastAsia="宋体" w:cs="Times New Roman"/>
                <w:color w:val="auto"/>
                <w:sz w:val="22"/>
                <w:highlight w:val="none"/>
                <w:lang w:val="en-US" w:eastAsia="zh-CN"/>
              </w:rPr>
              <w:t>3</w:t>
            </w:r>
            <w:r>
              <w:rPr>
                <w:rFonts w:ascii="Times New Roman" w:hAnsi="Times New Roman" w:eastAsia="宋体" w:cs="Times New Roman"/>
                <w:color w:val="auto"/>
                <w:sz w:val="22"/>
                <w:highlight w:val="none"/>
              </w:rPr>
              <w:t>月</w:t>
            </w:r>
            <w:r>
              <w:rPr>
                <w:rFonts w:hint="eastAsia" w:ascii="Times New Roman" w:hAnsi="Times New Roman" w:eastAsia="宋体" w:cs="Times New Roman"/>
                <w:color w:val="auto"/>
                <w:sz w:val="22"/>
                <w:highlight w:val="none"/>
                <w:lang w:val="en-US" w:eastAsia="zh-CN"/>
              </w:rPr>
              <w:t>14</w:t>
            </w:r>
            <w:r>
              <w:rPr>
                <w:rFonts w:ascii="Times New Roman" w:hAnsi="Times New Roman" w:eastAsia="宋体" w:cs="Times New Roman"/>
                <w:color w:val="auto"/>
                <w:sz w:val="22"/>
                <w:highlight w:val="none"/>
              </w:rPr>
              <w:t>日</w:t>
            </w:r>
            <w:r>
              <w:rPr>
                <w:rFonts w:hint="eastAsia" w:ascii="Times New Roman" w:hAnsi="Times New Roman" w:eastAsia="宋体" w:cs="Times New Roman"/>
                <w:color w:val="auto"/>
                <w:sz w:val="22"/>
                <w:highlight w:val="none"/>
                <w:lang w:val="en-US" w:eastAsia="zh-CN"/>
              </w:rPr>
              <w:t>09</w:t>
            </w:r>
            <w:r>
              <w:rPr>
                <w:rFonts w:ascii="Times New Roman" w:hAnsi="Times New Roman" w:eastAsia="宋体" w:cs="Times New Roman"/>
                <w:color w:val="auto"/>
                <w:sz w:val="22"/>
                <w:highlight w:val="none"/>
              </w:rPr>
              <w:t>时0</w:t>
            </w:r>
            <w:r>
              <w:rPr>
                <w:rFonts w:hint="eastAsia" w:ascii="Times New Roman" w:hAnsi="Times New Roman" w:eastAsia="宋体" w:cs="Times New Roman"/>
                <w:color w:val="auto"/>
                <w:sz w:val="22"/>
                <w:highlight w:val="none"/>
              </w:rPr>
              <w:t>0分</w:t>
            </w:r>
            <w:r>
              <w:rPr>
                <w:rFonts w:ascii="Times New Roman" w:hAnsi="Times New Roman" w:eastAsia="宋体" w:cs="Times New Roman"/>
                <w:color w:val="auto"/>
                <w:sz w:val="22"/>
                <w:highlight w:val="none"/>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19</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20.1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开标开始时间和地点</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开标开始时间：</w:t>
            </w:r>
            <w:r>
              <w:rPr>
                <w:rFonts w:hint="eastAsia" w:ascii="Times New Roman" w:hAnsi="Times New Roman" w:eastAsia="宋体" w:cs="Times New Roman"/>
                <w:color w:val="auto"/>
                <w:sz w:val="22"/>
                <w:highlight w:val="none"/>
              </w:rPr>
              <w:t>202</w:t>
            </w:r>
            <w:r>
              <w:rPr>
                <w:rFonts w:hint="eastAsia" w:ascii="Times New Roman" w:hAnsi="Times New Roman" w:eastAsia="宋体" w:cs="Times New Roman"/>
                <w:color w:val="auto"/>
                <w:sz w:val="22"/>
                <w:highlight w:val="none"/>
                <w:lang w:val="en-US" w:eastAsia="zh-CN"/>
              </w:rPr>
              <w:t>3</w:t>
            </w:r>
            <w:r>
              <w:rPr>
                <w:rFonts w:ascii="Times New Roman" w:hAnsi="Times New Roman" w:eastAsia="宋体" w:cs="Times New Roman"/>
                <w:color w:val="auto"/>
                <w:sz w:val="22"/>
                <w:highlight w:val="none"/>
              </w:rPr>
              <w:t>年</w:t>
            </w:r>
            <w:r>
              <w:rPr>
                <w:rFonts w:hint="eastAsia" w:ascii="Times New Roman" w:hAnsi="Times New Roman" w:eastAsia="宋体" w:cs="Times New Roman"/>
                <w:color w:val="auto"/>
                <w:sz w:val="22"/>
                <w:highlight w:val="none"/>
                <w:lang w:val="en-US" w:eastAsia="zh-CN"/>
              </w:rPr>
              <w:t xml:space="preserve">  </w:t>
            </w:r>
            <w:r>
              <w:rPr>
                <w:rFonts w:ascii="Times New Roman" w:hAnsi="Times New Roman" w:eastAsia="宋体" w:cs="Times New Roman"/>
                <w:color w:val="auto"/>
                <w:sz w:val="22"/>
                <w:highlight w:val="none"/>
              </w:rPr>
              <w:t>月</w:t>
            </w:r>
            <w:r>
              <w:rPr>
                <w:rFonts w:hint="eastAsia" w:ascii="Times New Roman" w:hAnsi="Times New Roman" w:eastAsia="宋体" w:cs="Times New Roman"/>
                <w:color w:val="auto"/>
                <w:sz w:val="22"/>
                <w:highlight w:val="none"/>
                <w:lang w:val="en-US" w:eastAsia="zh-CN"/>
              </w:rPr>
              <w:t xml:space="preserve">  </w:t>
            </w:r>
            <w:r>
              <w:rPr>
                <w:rFonts w:ascii="Times New Roman" w:hAnsi="Times New Roman" w:eastAsia="宋体" w:cs="Times New Roman"/>
                <w:color w:val="auto"/>
                <w:sz w:val="22"/>
                <w:highlight w:val="none"/>
              </w:rPr>
              <w:t>日</w:t>
            </w:r>
            <w:r>
              <w:rPr>
                <w:rFonts w:hint="eastAsia" w:ascii="Times New Roman" w:hAnsi="Times New Roman" w:eastAsia="宋体" w:cs="Times New Roman"/>
                <w:color w:val="auto"/>
                <w:sz w:val="22"/>
                <w:highlight w:val="none"/>
                <w:lang w:val="en-US" w:eastAsia="zh-CN"/>
              </w:rPr>
              <w:t>14</w:t>
            </w:r>
            <w:r>
              <w:rPr>
                <w:rFonts w:ascii="Times New Roman" w:hAnsi="Times New Roman" w:eastAsia="宋体" w:cs="Times New Roman"/>
                <w:color w:val="auto"/>
                <w:sz w:val="22"/>
                <w:highlight w:val="none"/>
              </w:rPr>
              <w:t>时</w:t>
            </w:r>
            <w:r>
              <w:rPr>
                <w:rFonts w:hint="eastAsia" w:ascii="Times New Roman" w:hAnsi="Times New Roman" w:eastAsia="宋体" w:cs="Times New Roman"/>
                <w:color w:val="auto"/>
                <w:sz w:val="22"/>
                <w:highlight w:val="none"/>
              </w:rPr>
              <w:t>30分</w:t>
            </w:r>
            <w:r>
              <w:rPr>
                <w:rFonts w:ascii="Times New Roman" w:hAnsi="Times New Roman" w:eastAsia="宋体" w:cs="Times New Roman"/>
                <w:color w:val="auto"/>
                <w:sz w:val="22"/>
                <w:highlight w:val="none"/>
              </w:rPr>
              <w:t>（与投标截止时间为同一时间）</w:t>
            </w:r>
          </w:p>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地点：</w:t>
            </w:r>
            <w:r>
              <w:rPr>
                <w:rFonts w:hint="eastAsia" w:ascii="Times New Roman" w:hAnsi="Times New Roman" w:eastAsia="宋体" w:cs="Times New Roman"/>
                <w:color w:val="auto"/>
                <w:sz w:val="22"/>
                <w:highlight w:val="none"/>
              </w:rPr>
              <w:t>广州市天河北路626号保利中宇广场A座25楼</w:t>
            </w:r>
          </w:p>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20</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26</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开标评标办法</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21</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29.1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履约担保</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szCs w:val="22"/>
                <w:lang w:val="en-US" w:eastAsia="zh-CN"/>
              </w:rPr>
              <w:t>中标人收到招标人预付款时，提供相应的为期6个月的银行履约保函</w:t>
            </w:r>
            <w:r>
              <w:rPr>
                <w:rFonts w:hint="eastAsia" w:ascii="Times New Roman" w:hAnsi="Times New Roman" w:eastAsia="宋体" w:cs="Times New Roman"/>
                <w:color w:val="auto"/>
                <w:sz w:val="22"/>
                <w:szCs w:val="22"/>
                <w:lang w:val="en-US" w:eastAsia="zh-CN"/>
              </w:rPr>
              <w:t>，保函金额按中标价10%计算</w:t>
            </w:r>
            <w:r>
              <w:rPr>
                <w:rFonts w:hint="eastAsia"/>
                <w:color w:val="auto"/>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22</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最高投标限价</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hint="eastAsia" w:ascii="Times New Roman" w:hAnsi="Times New Roman" w:eastAsia="宋体" w:cs="Times New Roman"/>
                <w:color w:val="auto"/>
                <w:sz w:val="22"/>
              </w:rPr>
              <w:t>人民币</w:t>
            </w:r>
            <w:r>
              <w:rPr>
                <w:rFonts w:hint="eastAsia" w:ascii="Times New Roman" w:hAnsi="Times New Roman" w:eastAsia="宋体" w:cs="Times New Roman"/>
                <w:color w:val="auto"/>
                <w:sz w:val="22"/>
                <w:lang w:val="en-US" w:eastAsia="zh-CN"/>
              </w:rPr>
              <w:t>350万</w:t>
            </w:r>
            <w:r>
              <w:rPr>
                <w:rFonts w:hint="eastAsia" w:ascii="Times New Roman" w:hAnsi="Times New Roman" w:eastAsia="宋体" w:cs="Times New Roman"/>
                <w:color w:val="auto"/>
                <w:sz w:val="22"/>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23</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非竞争费用</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hint="eastAsia" w:ascii="Times New Roman" w:hAnsi="Times New Roman" w:eastAsia="宋体" w:cs="Times New Roman"/>
                <w:color w:val="auto"/>
                <w:sz w:val="22"/>
              </w:rPr>
              <w:t>本项目绿色施工安全防护</w:t>
            </w:r>
            <w:r>
              <w:rPr>
                <w:rFonts w:hint="eastAsia" w:ascii="Times New Roman" w:hAnsi="Times New Roman" w:eastAsia="宋体" w:cs="Times New Roman"/>
                <w:color w:val="auto"/>
                <w:sz w:val="22"/>
                <w:highlight w:val="none"/>
              </w:rPr>
              <w:t>措施费</w:t>
            </w:r>
            <w:r>
              <w:rPr>
                <w:rFonts w:hint="eastAsia" w:ascii="Times New Roman" w:hAnsi="Times New Roman" w:eastAsia="宋体" w:cs="Times New Roman"/>
                <w:color w:val="auto"/>
                <w:sz w:val="22"/>
                <w:highlight w:val="none"/>
                <w:lang w:val="en-US" w:eastAsia="zh-CN"/>
              </w:rPr>
              <w:t>包含在安装费报价中</w:t>
            </w:r>
            <w:r>
              <w:rPr>
                <w:rFonts w:hint="eastAsia" w:ascii="Times New Roman" w:hAnsi="Times New Roman" w:eastAsia="宋体" w:cs="Times New Roman"/>
                <w:color w:val="auto"/>
                <w:sz w:val="22"/>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24</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保修期</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25</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进入第二阶段评审的家数</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通过技术有效性审查的投标人均进入第二阶段。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6</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分值分配</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技术</w:t>
            </w:r>
            <w:r>
              <w:rPr>
                <w:rFonts w:hint="eastAsia" w:ascii="Times New Roman" w:hAnsi="Times New Roman" w:eastAsia="宋体" w:cs="Times New Roman"/>
                <w:color w:val="auto"/>
                <w:sz w:val="22"/>
                <w:highlight w:val="none"/>
              </w:rPr>
              <w:t>标</w:t>
            </w:r>
            <w:r>
              <w:rPr>
                <w:rFonts w:ascii="Times New Roman" w:hAnsi="Times New Roman" w:eastAsia="宋体" w:cs="Times New Roman"/>
                <w:color w:val="auto"/>
                <w:sz w:val="22"/>
                <w:highlight w:val="none"/>
              </w:rPr>
              <w:t>为</w:t>
            </w:r>
            <w:r>
              <w:rPr>
                <w:rFonts w:hint="eastAsia" w:ascii="Times New Roman" w:hAnsi="Times New Roman" w:eastAsia="宋体" w:cs="Times New Roman"/>
                <w:color w:val="auto"/>
                <w:sz w:val="22"/>
                <w:highlight w:val="none"/>
                <w:u w:val="single"/>
                <w:lang w:val="en-US" w:eastAsia="zh-CN"/>
              </w:rPr>
              <w:t>80</w:t>
            </w:r>
            <w:r>
              <w:rPr>
                <w:rFonts w:ascii="Times New Roman" w:hAnsi="Times New Roman" w:eastAsia="宋体" w:cs="Times New Roman"/>
                <w:color w:val="auto"/>
                <w:sz w:val="22"/>
                <w:highlight w:val="none"/>
                <w:u w:val="single"/>
              </w:rPr>
              <w:t xml:space="preserve"> </w:t>
            </w:r>
            <w:r>
              <w:rPr>
                <w:rFonts w:ascii="Times New Roman" w:hAnsi="Times New Roman" w:eastAsia="宋体" w:cs="Times New Roman"/>
                <w:color w:val="auto"/>
                <w:sz w:val="22"/>
                <w:highlight w:val="none"/>
              </w:rPr>
              <w:t>分，经济标为</w:t>
            </w:r>
            <w:r>
              <w:rPr>
                <w:rFonts w:hint="eastAsia" w:ascii="Times New Roman" w:hAnsi="Times New Roman" w:eastAsia="宋体" w:cs="Times New Roman"/>
                <w:color w:val="auto"/>
                <w:sz w:val="22"/>
                <w:highlight w:val="none"/>
                <w:u w:val="single"/>
                <w:lang w:val="en-US" w:eastAsia="zh-CN"/>
              </w:rPr>
              <w:t>20</w:t>
            </w:r>
            <w:r>
              <w:rPr>
                <w:rFonts w:ascii="Times New Roman" w:hAnsi="Times New Roman" w:eastAsia="宋体" w:cs="Times New Roman"/>
                <w:color w:val="auto"/>
                <w:sz w:val="22"/>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7</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58"/>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highlight w:val="none"/>
              </w:rPr>
            </w:pPr>
            <w:r>
              <w:rPr>
                <w:rFonts w:ascii="Times New Roman" w:hAnsi="Times New Roman" w:eastAsia="宋体" w:cs="Times New Roman"/>
                <w:color w:val="auto"/>
                <w:sz w:val="22"/>
                <w:highlight w:val="none"/>
              </w:rPr>
              <w:t>评标委员会人数</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highlight w:val="none"/>
              </w:rPr>
            </w:pPr>
            <w:r>
              <w:rPr>
                <w:rFonts w:hint="eastAsia" w:ascii="Times New Roman" w:hAnsi="Times New Roman" w:eastAsia="宋体" w:cs="Times New Roman"/>
                <w:color w:val="auto"/>
                <w:sz w:val="22"/>
                <w:highlight w:val="none"/>
              </w:rPr>
              <w:t>评标委员会由</w:t>
            </w:r>
            <w:r>
              <w:rPr>
                <w:rFonts w:hint="eastAsia" w:ascii="Times New Roman" w:hAnsi="Times New Roman" w:eastAsia="宋体" w:cs="Times New Roman"/>
                <w:b/>
                <w:bCs/>
                <w:color w:val="auto"/>
                <w:sz w:val="22"/>
                <w:highlight w:val="none"/>
                <w:u w:val="single"/>
              </w:rPr>
              <w:t xml:space="preserve"> 5 </w:t>
            </w:r>
            <w:r>
              <w:rPr>
                <w:rFonts w:hint="eastAsia" w:ascii="Times New Roman" w:hAnsi="Times New Roman" w:eastAsia="宋体" w:cs="Times New Roman"/>
                <w:color w:val="auto"/>
                <w:sz w:val="22"/>
                <w:highlight w:val="none"/>
              </w:rPr>
              <w:t>名单数组成，其中</w:t>
            </w:r>
            <w:r>
              <w:rPr>
                <w:rFonts w:hint="eastAsia" w:ascii="Times New Roman" w:hAnsi="Times New Roman" w:eastAsia="宋体" w:cs="Times New Roman"/>
                <w:color w:val="auto"/>
                <w:sz w:val="22"/>
                <w:highlight w:val="none"/>
                <w:lang w:eastAsia="zh-CN"/>
              </w:rPr>
              <w:t>招标人</w:t>
            </w:r>
            <w:r>
              <w:rPr>
                <w:rFonts w:hint="eastAsia" w:ascii="Times New Roman" w:hAnsi="Times New Roman" w:eastAsia="宋体" w:cs="Times New Roman"/>
                <w:color w:val="auto"/>
                <w:sz w:val="22"/>
                <w:highlight w:val="none"/>
              </w:rPr>
              <w:t>代表</w:t>
            </w:r>
            <w:r>
              <w:rPr>
                <w:rFonts w:hint="eastAsia" w:ascii="Times New Roman" w:hAnsi="Times New Roman" w:eastAsia="宋体" w:cs="Times New Roman"/>
                <w:color w:val="auto"/>
                <w:sz w:val="22"/>
                <w:highlight w:val="none"/>
                <w:u w:val="single"/>
                <w:lang w:val="en-US" w:eastAsia="zh-CN"/>
              </w:rPr>
              <w:t xml:space="preserve"> </w:t>
            </w:r>
            <w:r>
              <w:rPr>
                <w:rFonts w:hint="eastAsia" w:ascii="Times New Roman" w:hAnsi="Times New Roman" w:eastAsia="宋体" w:cs="Times New Roman"/>
                <w:color w:val="auto"/>
                <w:sz w:val="22"/>
                <w:highlight w:val="none"/>
                <w:u w:val="single"/>
              </w:rPr>
              <w:t>1</w:t>
            </w:r>
            <w:r>
              <w:rPr>
                <w:rFonts w:hint="eastAsia" w:ascii="Times New Roman" w:hAnsi="Times New Roman" w:eastAsia="宋体" w:cs="Times New Roman"/>
                <w:color w:val="auto"/>
                <w:sz w:val="22"/>
                <w:highlight w:val="none"/>
                <w:u w:val="single"/>
                <w:lang w:val="en-US" w:eastAsia="zh-CN"/>
              </w:rPr>
              <w:t xml:space="preserve"> </w:t>
            </w:r>
            <w:r>
              <w:rPr>
                <w:rFonts w:hint="eastAsia" w:ascii="Times New Roman" w:hAnsi="Times New Roman" w:eastAsia="宋体" w:cs="Times New Roman"/>
                <w:color w:val="auto"/>
                <w:sz w:val="22"/>
                <w:highlight w:val="none"/>
              </w:rPr>
              <w:t>名，其余</w:t>
            </w:r>
            <w:r>
              <w:rPr>
                <w:rFonts w:hint="eastAsia" w:ascii="Times New Roman" w:hAnsi="Times New Roman" w:eastAsia="宋体" w:cs="Times New Roman"/>
                <w:color w:val="auto"/>
                <w:sz w:val="22"/>
                <w:highlight w:val="none"/>
                <w:u w:val="single"/>
                <w:lang w:val="en-US" w:eastAsia="zh-CN"/>
              </w:rPr>
              <w:t xml:space="preserve"> 4 </w:t>
            </w:r>
            <w:r>
              <w:rPr>
                <w:rFonts w:hint="eastAsia" w:ascii="Times New Roman" w:hAnsi="Times New Roman" w:eastAsia="宋体" w:cs="Times New Roman"/>
                <w:color w:val="auto"/>
                <w:sz w:val="22"/>
                <w:highlight w:val="none"/>
              </w:rPr>
              <w:t>名专家均从专家库随机抽取产生。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2</w:t>
            </w:r>
            <w:r>
              <w:rPr>
                <w:rFonts w:hint="eastAsia" w:ascii="Times New Roman" w:hAnsi="Times New Roman" w:eastAsia="宋体" w:cs="Times New Roman"/>
                <w:color w:val="auto"/>
                <w:sz w:val="22"/>
              </w:rPr>
              <w:t>8</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13.4、13.5.2</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合同价款的调整办法</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sz w:val="22"/>
                <w:u w:val="single"/>
              </w:rPr>
            </w:pPr>
            <w:r>
              <w:rPr>
                <w:rFonts w:ascii="Times New Roman" w:hAnsi="Times New Roman" w:eastAsia="宋体" w:cs="Times New Roman"/>
                <w:color w:val="auto"/>
                <w:sz w:val="22"/>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hint="eastAsia" w:ascii="Times New Roman" w:hAnsi="Times New Roman" w:eastAsia="宋体" w:cs="Times New Roman"/>
                <w:color w:val="auto"/>
                <w:sz w:val="22"/>
              </w:rPr>
              <w:t>29</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kern w:val="0"/>
                <w:sz w:val="22"/>
                <w:lang w:val="zh-CN"/>
              </w:rPr>
            </w:pPr>
            <w:r>
              <w:rPr>
                <w:rFonts w:ascii="Times New Roman" w:hAnsi="Times New Roman" w:eastAsia="宋体" w:cs="Times New Roman"/>
                <w:color w:val="auto"/>
                <w:kern w:val="0"/>
                <w:sz w:val="22"/>
                <w:lang w:val="zh-CN"/>
              </w:rPr>
              <w:t>分包</w:t>
            </w:r>
          </w:p>
        </w:tc>
        <w:tc>
          <w:tcPr>
            <w:tcW w:w="3232" w:type="pct"/>
            <w:tcBorders>
              <w:top w:val="single" w:color="auto" w:sz="4" w:space="0"/>
              <w:left w:val="single" w:color="auto" w:sz="4" w:space="0"/>
              <w:bottom w:val="single" w:color="auto" w:sz="4" w:space="0"/>
              <w:right w:val="double" w:color="auto" w:sz="4" w:space="0"/>
            </w:tcBorders>
            <w:vAlign w:val="center"/>
          </w:tcPr>
          <w:p>
            <w:pPr>
              <w:adjustRightInd w:val="0"/>
              <w:snapToGrid w:val="0"/>
              <w:spacing w:line="400" w:lineRule="exact"/>
              <w:rPr>
                <w:rFonts w:ascii="Times New Roman" w:hAnsi="Times New Roman" w:eastAsia="宋体" w:cs="Times New Roman"/>
                <w:color w:val="auto"/>
                <w:kern w:val="0"/>
                <w:sz w:val="22"/>
                <w:lang w:val="zh-CN"/>
              </w:rPr>
            </w:pPr>
            <w:r>
              <w:rPr>
                <w:rFonts w:hint="eastAsia" w:ascii="Times New Roman" w:hAnsi="Times New Roman" w:eastAsia="宋体" w:cs="Times New Roman"/>
                <w:color w:val="auto"/>
                <w:kern w:val="0"/>
                <w:sz w:val="22"/>
                <w:lang w:val="zh-CN"/>
              </w:rPr>
              <w:t>☑</w:t>
            </w:r>
            <w:r>
              <w:rPr>
                <w:rFonts w:ascii="Times New Roman" w:hAnsi="Times New Roman" w:eastAsia="宋体" w:cs="Times New Roman"/>
                <w:color w:val="auto"/>
                <w:kern w:val="0"/>
                <w:sz w:val="22"/>
                <w:lang w:val="zh-CN"/>
              </w:rPr>
              <w:t>不允许；</w:t>
            </w:r>
          </w:p>
          <w:p>
            <w:pPr>
              <w:adjustRightInd w:val="0"/>
              <w:snapToGrid w:val="0"/>
              <w:spacing w:line="400" w:lineRule="exact"/>
              <w:rPr>
                <w:rFonts w:ascii="Times New Roman" w:hAnsi="Times New Roman" w:eastAsia="宋体" w:cs="Times New Roman"/>
                <w:color w:val="auto"/>
                <w:kern w:val="0"/>
                <w:sz w:val="22"/>
                <w:lang w:val="zh-CN"/>
              </w:rPr>
            </w:pPr>
            <w:r>
              <w:rPr>
                <w:rFonts w:hint="eastAsia" w:ascii="Times New Roman" w:hAnsi="Times New Roman" w:eastAsia="宋体" w:cs="Times New Roman"/>
                <w:color w:val="auto"/>
                <w:kern w:val="0"/>
                <w:sz w:val="22"/>
                <w:lang w:val="zh-CN"/>
              </w:rPr>
              <w:t>□</w:t>
            </w:r>
            <w:r>
              <w:rPr>
                <w:rFonts w:ascii="Times New Roman" w:hAnsi="Times New Roman" w:eastAsia="宋体" w:cs="Times New Roman"/>
                <w:color w:val="auto"/>
                <w:kern w:val="0"/>
                <w:sz w:val="22"/>
                <w:lang w:val="zh-CN"/>
              </w:rPr>
              <w:t>允许：分包内容要要求：</w:t>
            </w:r>
          </w:p>
          <w:p>
            <w:pPr>
              <w:adjustRightInd w:val="0"/>
              <w:snapToGrid w:val="0"/>
              <w:spacing w:line="400" w:lineRule="exact"/>
              <w:rPr>
                <w:rFonts w:ascii="Times New Roman" w:hAnsi="Times New Roman" w:eastAsia="宋体" w:cs="Times New Roman"/>
                <w:color w:val="auto"/>
                <w:kern w:val="0"/>
                <w:sz w:val="22"/>
                <w:lang w:val="zh-CN"/>
              </w:rPr>
            </w:pPr>
            <w:r>
              <w:rPr>
                <w:rFonts w:ascii="Times New Roman" w:hAnsi="Times New Roman" w:eastAsia="宋体" w:cs="Times New Roman"/>
                <w:color w:val="auto"/>
                <w:kern w:val="0"/>
                <w:sz w:val="22"/>
                <w:lang w:val="zh-CN"/>
              </w:rPr>
              <w:t xml:space="preserve">        分包金额要求：</w:t>
            </w:r>
          </w:p>
          <w:p>
            <w:pPr>
              <w:adjustRightInd w:val="0"/>
              <w:snapToGrid w:val="0"/>
              <w:spacing w:line="400" w:lineRule="exact"/>
              <w:rPr>
                <w:rFonts w:ascii="Times New Roman" w:hAnsi="Times New Roman" w:eastAsia="宋体" w:cs="Times New Roman"/>
                <w:color w:val="auto"/>
                <w:kern w:val="0"/>
                <w:sz w:val="22"/>
                <w:lang w:val="zh-CN"/>
              </w:rPr>
            </w:pPr>
            <w:r>
              <w:rPr>
                <w:rFonts w:ascii="Times New Roman" w:hAnsi="Times New Roman" w:eastAsia="宋体" w:cs="Times New Roman"/>
                <w:color w:val="auto"/>
                <w:kern w:val="0"/>
                <w:sz w:val="22"/>
                <w:lang w:val="zh-CN"/>
              </w:rPr>
              <w:t xml:space="preserve">        对分包人的资质要求：</w:t>
            </w:r>
          </w:p>
          <w:p>
            <w:pPr>
              <w:adjustRightInd w:val="0"/>
              <w:snapToGrid w:val="0"/>
              <w:spacing w:line="400" w:lineRule="exact"/>
              <w:rPr>
                <w:rFonts w:ascii="Times New Roman" w:hAnsi="Times New Roman" w:eastAsia="宋体" w:cs="Times New Roman"/>
                <w:color w:val="auto"/>
                <w:kern w:val="0"/>
                <w:sz w:val="22"/>
                <w:lang w:val="zh-CN"/>
              </w:rPr>
            </w:pPr>
            <w:r>
              <w:rPr>
                <w:rFonts w:ascii="Times New Roman" w:hAnsi="Times New Roman" w:eastAsia="宋体" w:cs="Times New Roman"/>
                <w:color w:val="auto"/>
                <w:kern w:val="0"/>
                <w:sz w:val="22"/>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3</w:t>
            </w:r>
            <w:r>
              <w:rPr>
                <w:rFonts w:hint="eastAsia" w:ascii="Times New Roman" w:hAnsi="Times New Roman" w:eastAsia="宋体" w:cs="Times New Roman"/>
                <w:color w:val="auto"/>
                <w:sz w:val="22"/>
              </w:rPr>
              <w:t>0</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31.1</w:t>
            </w: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kern w:val="0"/>
                <w:sz w:val="22"/>
                <w:lang w:val="zh-CN"/>
              </w:rPr>
            </w:pPr>
            <w:r>
              <w:rPr>
                <w:rFonts w:ascii="Times New Roman" w:hAnsi="Times New Roman" w:eastAsia="宋体" w:cs="Times New Roman"/>
                <w:color w:val="auto"/>
                <w:sz w:val="22"/>
              </w:rPr>
              <w:t>招标代理服务费</w:t>
            </w:r>
          </w:p>
        </w:tc>
        <w:tc>
          <w:tcPr>
            <w:tcW w:w="3232" w:type="pct"/>
            <w:tcBorders>
              <w:top w:val="single" w:color="auto" w:sz="4" w:space="0"/>
              <w:left w:val="single" w:color="auto" w:sz="4" w:space="0"/>
              <w:bottom w:val="single" w:color="auto" w:sz="4" w:space="0"/>
              <w:right w:val="double" w:color="auto" w:sz="4" w:space="0"/>
            </w:tcBorders>
            <w:vAlign w:val="center"/>
          </w:tcPr>
          <w:p>
            <w:pPr>
              <w:numPr>
                <w:ilvl w:val="0"/>
                <w:numId w:val="8"/>
              </w:numPr>
              <w:tabs>
                <w:tab w:val="left" w:pos="425"/>
              </w:tabs>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中标人须向招标代理机构按如下标准和规定交纳招标代理服务费：</w:t>
            </w:r>
          </w:p>
          <w:p>
            <w:pPr>
              <w:numPr>
                <w:ilvl w:val="0"/>
                <w:numId w:val="9"/>
              </w:numPr>
              <w:adjustRightInd w:val="0"/>
              <w:snapToGrid w:val="0"/>
              <w:spacing w:line="400" w:lineRule="exact"/>
              <w:ind w:left="680" w:hanging="680"/>
              <w:rPr>
                <w:rFonts w:ascii="Times New Roman" w:hAnsi="Times New Roman" w:eastAsia="宋体" w:cs="Times New Roman"/>
                <w:color w:val="auto"/>
                <w:sz w:val="22"/>
              </w:rPr>
            </w:pPr>
            <w:r>
              <w:rPr>
                <w:rFonts w:hint="eastAsia" w:ascii="Times New Roman" w:hAnsi="Times New Roman" w:eastAsia="宋体" w:cs="Times New Roman"/>
                <w:color w:val="auto"/>
                <w:sz w:val="22"/>
              </w:rPr>
              <w:t>招标代理服务费以招标控制价作为计算基数</w:t>
            </w:r>
            <w:r>
              <w:rPr>
                <w:rFonts w:hint="eastAsia" w:ascii="Times New Roman" w:hAnsi="Times New Roman" w:eastAsia="宋体" w:cs="Times New Roman"/>
                <w:color w:val="auto"/>
                <w:sz w:val="22"/>
                <w:lang w:val="en-US" w:eastAsia="zh-CN"/>
              </w:rPr>
              <w:t>下浮40%计算</w:t>
            </w:r>
            <w:r>
              <w:rPr>
                <w:rFonts w:hint="eastAsia" w:ascii="Times New Roman" w:hAnsi="Times New Roman" w:eastAsia="宋体" w:cs="Times New Roman"/>
                <w:color w:val="auto"/>
                <w:sz w:val="22"/>
              </w:rPr>
              <w:t>，收费费率如下：</w:t>
            </w:r>
          </w:p>
          <w:tbl>
            <w:tblPr>
              <w:tblStyle w:val="37"/>
              <w:tblpPr w:leftFromText="180" w:rightFromText="180" w:vertAnchor="text" w:horzAnchor="page" w:tblpX="426" w:tblpY="14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86" w:type="pct"/>
                </w:tcPr>
                <w:p>
                  <w:pPr>
                    <w:adjustRightInd w:val="0"/>
                    <w:snapToGrid w:val="0"/>
                    <w:spacing w:line="400" w:lineRule="exact"/>
                    <w:jc w:val="right"/>
                    <w:rPr>
                      <w:rFonts w:ascii="Times New Roman" w:hAnsi="Times New Roman" w:eastAsia="宋体" w:cs="Times New Roman"/>
                      <w:color w:val="auto"/>
                      <w:sz w:val="22"/>
                    </w:rPr>
                  </w:pPr>
                  <w:r>
                    <w:rPr>
                      <w:rFonts w:ascii="Times New Roman" w:hAnsi="Times New Roman" w:eastAsia="宋体" w:cs="Times New Roman"/>
                      <w:color w:val="auto"/>
                      <w:sz w:val="22"/>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0</wp:posOffset>
                            </wp:positionV>
                            <wp:extent cx="1694180" cy="629285"/>
                            <wp:effectExtent l="1905" t="4445" r="18415" b="13970"/>
                            <wp:wrapNone/>
                            <wp:docPr id="11" name="直接连接符 11"/>
                            <wp:cNvGraphicFramePr/>
                            <a:graphic xmlns:a="http://schemas.openxmlformats.org/drawingml/2006/main">
                              <a:graphicData uri="http://schemas.microsoft.com/office/word/2010/wordprocessingShape">
                                <wps:wsp>
                                  <wps:cNvCnPr/>
                                  <wps:spPr>
                                    <a:xfrm>
                                      <a:off x="0" y="0"/>
                                      <a:ext cx="1694180" cy="629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pt;margin-top:0pt;height:49.55pt;width:133.4pt;z-index:251662336;mso-width-relative:page;mso-height-relative:page;" filled="f" stroked="t" coordsize="21600,21600" o:gfxdata="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9EtvVAAAA&#10;BgEAAA8AAAAAAAAAAQAgAAAAIgAAAGRycy9kb3ducmV2LnhtbFBLAQIUABQAAAAIAIdO4kABtguT&#10;5wEAALgDAAAOAAAAAAAAAAEAIAAAACQBAABkcnMvZTJvRG9jLnhtbFBLBQYAAAAABgAGAFkBAAB9&#10;BQ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color w:val="auto"/>
                      <w:sz w:val="22"/>
                    </w:rPr>
                    <w:t>费率类别</w:t>
                  </w:r>
                </w:p>
                <w:p>
                  <w:pPr>
                    <w:adjustRightInd w:val="0"/>
                    <w:snapToGrid w:val="0"/>
                    <w:spacing w:line="400" w:lineRule="exact"/>
                    <w:jc w:val="left"/>
                    <w:rPr>
                      <w:rFonts w:ascii="Times New Roman" w:hAnsi="Times New Roman" w:eastAsia="宋体" w:cs="Times New Roman"/>
                      <w:color w:val="auto"/>
                      <w:sz w:val="22"/>
                    </w:rPr>
                  </w:pPr>
                  <w:r>
                    <w:rPr>
                      <w:rFonts w:ascii="Times New Roman" w:hAnsi="Times New Roman" w:eastAsia="宋体" w:cs="Times New Roman"/>
                      <w:color w:val="auto"/>
                      <w:sz w:val="22"/>
                    </w:rPr>
                    <w:t>金额（万元）</w:t>
                  </w:r>
                </w:p>
              </w:tc>
              <w:tc>
                <w:tcPr>
                  <w:tcW w:w="2413" w:type="pct"/>
                  <w:vAlign w:val="center"/>
                </w:tcPr>
                <w:p>
                  <w:pPr>
                    <w:adjustRightInd w:val="0"/>
                    <w:snapToGrid w:val="0"/>
                    <w:spacing w:line="400" w:lineRule="exact"/>
                    <w:jc w:val="center"/>
                    <w:rPr>
                      <w:rFonts w:ascii="Times New Roman" w:hAnsi="Times New Roman" w:eastAsia="宋体" w:cs="Times New Roman"/>
                      <w:color w:val="auto"/>
                      <w:sz w:val="22"/>
                    </w:rPr>
                  </w:pPr>
                  <w:r>
                    <w:rPr>
                      <w:rFonts w:ascii="Times New Roman" w:hAnsi="Times New Roman" w:eastAsia="宋体" w:cs="Times New Roman"/>
                      <w:color w:val="auto"/>
                      <w:sz w:val="22"/>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86" w:type="pct"/>
                  <w:vAlign w:val="center"/>
                </w:tcPr>
                <w:p>
                  <w:pPr>
                    <w:adjustRightInd w:val="0"/>
                    <w:snapToGrid w:val="0"/>
                    <w:spacing w:line="400" w:lineRule="exact"/>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100万元以下</w:t>
                  </w:r>
                </w:p>
              </w:tc>
              <w:tc>
                <w:tcPr>
                  <w:tcW w:w="2413" w:type="pct"/>
                  <w:vAlign w:val="center"/>
                </w:tcPr>
                <w:p>
                  <w:pPr>
                    <w:adjustRightInd w:val="0"/>
                    <w:snapToGrid w:val="0"/>
                    <w:spacing w:line="400" w:lineRule="exact"/>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586" w:type="pct"/>
                  <w:vAlign w:val="center"/>
                </w:tcPr>
                <w:p>
                  <w:pPr>
                    <w:adjustRightInd w:val="0"/>
                    <w:snapToGrid w:val="0"/>
                    <w:spacing w:line="400" w:lineRule="exact"/>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100-500万元</w:t>
                  </w:r>
                </w:p>
              </w:tc>
              <w:tc>
                <w:tcPr>
                  <w:tcW w:w="2413" w:type="pct"/>
                  <w:vAlign w:val="center"/>
                </w:tcPr>
                <w:p>
                  <w:pPr>
                    <w:adjustRightInd w:val="0"/>
                    <w:snapToGrid w:val="0"/>
                    <w:spacing w:line="400" w:lineRule="exact"/>
                    <w:jc w:val="center"/>
                    <w:rPr>
                      <w:rFonts w:ascii="Times New Roman" w:hAnsi="Times New Roman" w:eastAsia="宋体" w:cs="Times New Roman"/>
                      <w:color w:val="auto"/>
                      <w:sz w:val="22"/>
                    </w:rPr>
                  </w:pPr>
                  <w:r>
                    <w:rPr>
                      <w:rFonts w:hint="eastAsia" w:ascii="Times New Roman" w:hAnsi="Times New Roman" w:eastAsia="宋体" w:cs="Times New Roman"/>
                      <w:color w:val="auto"/>
                      <w:sz w:val="22"/>
                    </w:rPr>
                    <w:t>0.7%</w:t>
                  </w:r>
                </w:p>
              </w:tc>
            </w:tr>
          </w:tbl>
          <w:p>
            <w:pPr>
              <w:numPr>
                <w:ilvl w:val="0"/>
                <w:numId w:val="9"/>
              </w:numPr>
              <w:adjustRightInd w:val="0"/>
              <w:snapToGrid w:val="0"/>
              <w:spacing w:line="400" w:lineRule="exact"/>
              <w:ind w:left="680" w:hanging="680"/>
              <w:rPr>
                <w:rFonts w:ascii="Times New Roman" w:hAnsi="Times New Roman" w:eastAsia="宋体" w:cs="Times New Roman"/>
                <w:color w:val="auto"/>
                <w:sz w:val="22"/>
              </w:rPr>
            </w:pPr>
            <w:r>
              <w:rPr>
                <w:rFonts w:ascii="Times New Roman" w:hAnsi="Times New Roman" w:eastAsia="宋体" w:cs="Times New Roman"/>
                <w:color w:val="auto"/>
                <w:sz w:val="22"/>
                <w:highlight w:val="none"/>
              </w:rPr>
              <w:t>招标代理服务费的交纳形式：采用现金或转账</w:t>
            </w:r>
            <w:r>
              <w:rPr>
                <w:rFonts w:ascii="Times New Roman" w:hAnsi="Times New Roman" w:eastAsia="宋体" w:cs="Times New Roman"/>
                <w:color w:val="auto"/>
                <w:sz w:val="22"/>
              </w:rPr>
              <w:t>付款方式。</w:t>
            </w:r>
          </w:p>
          <w:p>
            <w:pPr>
              <w:numPr>
                <w:ilvl w:val="0"/>
                <w:numId w:val="9"/>
              </w:numPr>
              <w:adjustRightInd w:val="0"/>
              <w:snapToGrid w:val="0"/>
              <w:spacing w:line="400" w:lineRule="exact"/>
              <w:ind w:left="680" w:hanging="680"/>
              <w:rPr>
                <w:rFonts w:ascii="Times New Roman" w:hAnsi="Times New Roman" w:eastAsia="宋体" w:cs="Times New Roman"/>
                <w:color w:val="auto"/>
                <w:sz w:val="22"/>
              </w:rPr>
            </w:pPr>
            <w:r>
              <w:rPr>
                <w:rFonts w:ascii="Times New Roman" w:hAnsi="Times New Roman" w:eastAsia="宋体" w:cs="Times New Roman"/>
                <w:color w:val="auto"/>
                <w:sz w:val="22"/>
              </w:rPr>
              <w:t>招标代理服务费付至：</w:t>
            </w:r>
          </w:p>
          <w:p>
            <w:pPr>
              <w:adjustRightInd w:val="0"/>
              <w:snapToGrid w:val="0"/>
              <w:spacing w:line="400" w:lineRule="exact"/>
              <w:ind w:firstLine="640" w:firstLineChars="291"/>
              <w:rPr>
                <w:rFonts w:ascii="Times New Roman" w:hAnsi="Times New Roman" w:eastAsia="宋体" w:cs="Times New Roman"/>
                <w:color w:val="auto"/>
                <w:sz w:val="22"/>
              </w:rPr>
            </w:pPr>
            <w:r>
              <w:rPr>
                <w:rFonts w:ascii="Times New Roman" w:hAnsi="Times New Roman" w:eastAsia="宋体" w:cs="Times New Roman"/>
                <w:color w:val="auto"/>
                <w:sz w:val="22"/>
              </w:rPr>
              <w:t>收款人名称：广东有德招标采购有限公司</w:t>
            </w:r>
          </w:p>
          <w:p>
            <w:pPr>
              <w:adjustRightInd w:val="0"/>
              <w:snapToGrid w:val="0"/>
              <w:spacing w:line="400" w:lineRule="exact"/>
              <w:ind w:firstLine="640" w:firstLineChars="291"/>
              <w:rPr>
                <w:rFonts w:ascii="Times New Roman" w:hAnsi="Times New Roman" w:eastAsia="宋体" w:cs="Times New Roman"/>
                <w:color w:val="auto"/>
                <w:sz w:val="22"/>
              </w:rPr>
            </w:pPr>
            <w:r>
              <w:rPr>
                <w:rFonts w:ascii="Times New Roman" w:hAnsi="Times New Roman" w:eastAsia="宋体" w:cs="Times New Roman"/>
                <w:color w:val="auto"/>
                <w:sz w:val="22"/>
              </w:rPr>
              <w:t>开户银行：中国光大银行广州分行</w:t>
            </w:r>
          </w:p>
          <w:p>
            <w:pPr>
              <w:adjustRightInd w:val="0"/>
              <w:snapToGrid w:val="0"/>
              <w:spacing w:line="400" w:lineRule="exact"/>
              <w:ind w:firstLine="640" w:firstLineChars="291"/>
              <w:rPr>
                <w:rFonts w:ascii="Times New Roman" w:hAnsi="Times New Roman" w:eastAsia="宋体" w:cs="Times New Roman"/>
                <w:color w:val="auto"/>
                <w:sz w:val="22"/>
              </w:rPr>
            </w:pPr>
            <w:r>
              <w:rPr>
                <w:rFonts w:ascii="Times New Roman" w:hAnsi="Times New Roman" w:eastAsia="宋体" w:cs="Times New Roman"/>
                <w:color w:val="auto"/>
                <w:sz w:val="22"/>
              </w:rPr>
              <w:t>账    号：38610188000123567</w:t>
            </w:r>
          </w:p>
          <w:p>
            <w:pPr>
              <w:numPr>
                <w:ilvl w:val="0"/>
                <w:numId w:val="10"/>
              </w:numPr>
              <w:adjustRightInd w:val="0"/>
              <w:snapToGrid w:val="0"/>
              <w:spacing w:line="400" w:lineRule="exact"/>
              <w:rPr>
                <w:rFonts w:ascii="Times New Roman" w:hAnsi="Times New Roman" w:eastAsia="宋体" w:cs="Times New Roman"/>
                <w:color w:val="auto"/>
                <w:kern w:val="0"/>
                <w:sz w:val="22"/>
                <w:lang w:val="zh-CN"/>
              </w:rPr>
            </w:pPr>
            <w:r>
              <w:rPr>
                <w:rFonts w:ascii="Times New Roman" w:hAnsi="Times New Roman" w:eastAsia="宋体" w:cs="Times New Roman"/>
                <w:color w:val="auto"/>
                <w:sz w:val="22"/>
              </w:rPr>
              <w:t>中标人向招标代理机构交纳招标代理服务费后，凭授权委托书和领取人身份证复印件并加盖公司公章领取《中标通知书》。如采用银行转账的，须同时递交招标代理服务费缴费凭证复印件并加盖公章。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02" w:type="pct"/>
            <w:tcBorders>
              <w:top w:val="single" w:color="auto" w:sz="4" w:space="0"/>
              <w:left w:val="doub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rPr>
              <w:t>3</w:t>
            </w:r>
            <w:r>
              <w:rPr>
                <w:rFonts w:hint="eastAsia" w:ascii="Times New Roman" w:hAnsi="Times New Roman" w:eastAsia="宋体" w:cs="Times New Roman"/>
                <w:color w:val="auto"/>
                <w:sz w:val="22"/>
              </w:rPr>
              <w:t>1</w:t>
            </w:r>
          </w:p>
        </w:tc>
        <w:tc>
          <w:tcPr>
            <w:tcW w:w="5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宋体" w:cs="Times New Roman"/>
                <w:color w:val="auto"/>
                <w:sz w:val="22"/>
              </w:rPr>
            </w:pPr>
          </w:p>
        </w:tc>
        <w:tc>
          <w:tcPr>
            <w:tcW w:w="80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宋体" w:cs="Times New Roman"/>
                <w:color w:val="auto"/>
                <w:sz w:val="22"/>
              </w:rPr>
            </w:pPr>
            <w:r>
              <w:rPr>
                <w:rFonts w:ascii="Times New Roman" w:hAnsi="Times New Roman" w:eastAsia="宋体" w:cs="Times New Roman"/>
                <w:bCs/>
                <w:color w:val="auto"/>
                <w:sz w:val="22"/>
              </w:rPr>
              <w:t>开标信封</w:t>
            </w:r>
          </w:p>
        </w:tc>
        <w:tc>
          <w:tcPr>
            <w:tcW w:w="3232" w:type="pct"/>
            <w:tcBorders>
              <w:top w:val="single" w:color="auto" w:sz="4" w:space="0"/>
              <w:left w:val="single" w:color="auto" w:sz="4" w:space="0"/>
              <w:bottom w:val="single" w:color="auto" w:sz="4" w:space="0"/>
              <w:right w:val="double" w:color="auto" w:sz="4" w:space="0"/>
            </w:tcBorders>
            <w:vAlign w:val="center"/>
          </w:tcPr>
          <w:p>
            <w:pPr>
              <w:tabs>
                <w:tab w:val="left" w:pos="1180"/>
              </w:tabs>
              <w:adjustRightInd w:val="0"/>
              <w:snapToGrid w:val="0"/>
              <w:spacing w:line="400" w:lineRule="exact"/>
              <w:rPr>
                <w:rFonts w:ascii="Times New Roman" w:hAnsi="Times New Roman" w:eastAsia="宋体" w:cs="Times New Roman"/>
                <w:color w:val="auto"/>
                <w:sz w:val="22"/>
              </w:rPr>
            </w:pPr>
            <w:r>
              <w:rPr>
                <w:rFonts w:ascii="Times New Roman" w:hAnsi="Times New Roman" w:eastAsia="宋体" w:cs="Times New Roman"/>
                <w:color w:val="auto"/>
                <w:sz w:val="22"/>
                <w:u w:val="single"/>
                <w:lang w:val="zh-CN" w:eastAsia="zh-TW"/>
              </w:rPr>
              <w:t>为方便开标唱标，投标人应将</w:t>
            </w:r>
            <w:r>
              <w:rPr>
                <w:rFonts w:ascii="Times New Roman" w:hAnsi="Times New Roman" w:eastAsia="宋体" w:cs="Times New Roman"/>
                <w:b/>
                <w:bCs/>
                <w:color w:val="auto"/>
                <w:sz w:val="22"/>
                <w:u w:val="single"/>
                <w:lang w:val="zh-CN" w:eastAsia="zh-TW"/>
              </w:rPr>
              <w:t>报价表、投标保证金交纳凭证、退还投标保证金说明</w:t>
            </w:r>
            <w:r>
              <w:rPr>
                <w:rFonts w:ascii="Times New Roman" w:hAnsi="Times New Roman" w:eastAsia="宋体" w:cs="Times New Roman"/>
                <w:color w:val="auto"/>
                <w:sz w:val="22"/>
                <w:u w:val="single"/>
                <w:lang w:val="zh-CN" w:eastAsia="zh-TW"/>
              </w:rPr>
              <w:t>单独密封提交，并在封套上标明“开标信封”字样。“开标信封”份数及签章等要求与投标文件正本相同。</w:t>
            </w:r>
          </w:p>
        </w:tc>
      </w:tr>
    </w:tbl>
    <w:p>
      <w:pPr>
        <w:keepNext/>
        <w:keepLines/>
        <w:numPr>
          <w:ilvl w:val="1"/>
          <w:numId w:val="0"/>
        </w:numPr>
        <w:spacing w:before="120" w:after="120" w:line="415" w:lineRule="auto"/>
        <w:ind w:left="454"/>
        <w:jc w:val="center"/>
        <w:outlineLvl w:val="1"/>
        <w:rPr>
          <w:rFonts w:ascii="Times New Roman" w:hAnsi="Times New Roman" w:eastAsia="宋体" w:cs="Times New Roman"/>
          <w:b/>
          <w:sz w:val="24"/>
          <w:szCs w:val="24"/>
        </w:rPr>
      </w:pPr>
      <w:r>
        <w:rPr>
          <w:rFonts w:ascii="Times New Roman" w:hAnsi="Times New Roman" w:eastAsia="宋体" w:cs="Times New Roman"/>
          <w:b/>
          <w:sz w:val="24"/>
          <w:szCs w:val="24"/>
        </w:rPr>
        <w:br w:type="page"/>
      </w:r>
      <w:bookmarkStart w:id="11" w:name="_Toc18612"/>
      <w:bookmarkStart w:id="12" w:name="_Toc2272548"/>
      <w:bookmarkStart w:id="13" w:name="_Toc16943"/>
      <w:bookmarkStart w:id="14" w:name="_Toc27765"/>
      <w:r>
        <w:rPr>
          <w:rFonts w:ascii="Times New Roman" w:hAnsi="Times New Roman" w:eastAsia="宋体" w:cs="Times New Roman"/>
          <w:b/>
          <w:sz w:val="24"/>
          <w:szCs w:val="24"/>
        </w:rPr>
        <w:t>二、投标须知条款</w:t>
      </w:r>
      <w:bookmarkEnd w:id="11"/>
      <w:bookmarkEnd w:id="12"/>
      <w:bookmarkEnd w:id="13"/>
      <w:bookmarkEnd w:id="14"/>
    </w:p>
    <w:p>
      <w:pPr>
        <w:widowControl/>
        <w:spacing w:before="156" w:beforeAutospacing="1" w:after="156" w:afterAutospacing="1"/>
        <w:jc w:val="center"/>
        <w:outlineLvl w:val="2"/>
        <w:rPr>
          <w:rFonts w:ascii="Times New Roman" w:hAnsi="Times New Roman" w:eastAsia="宋体" w:cs="Times New Roman"/>
          <w:b/>
          <w:bCs/>
          <w:kern w:val="0"/>
          <w:sz w:val="27"/>
          <w:szCs w:val="27"/>
        </w:rPr>
      </w:pPr>
      <w:bookmarkStart w:id="15" w:name="_Toc2272549"/>
      <w:bookmarkStart w:id="16" w:name="_Toc509"/>
      <w:bookmarkStart w:id="17" w:name="_Toc27383"/>
      <w:bookmarkStart w:id="18" w:name="_Toc30312"/>
      <w:r>
        <w:rPr>
          <w:rFonts w:ascii="Times New Roman" w:hAnsi="Times New Roman" w:eastAsia="宋体" w:cs="Times New Roman"/>
          <w:b/>
          <w:bCs/>
          <w:kern w:val="0"/>
          <w:sz w:val="27"/>
          <w:szCs w:val="27"/>
        </w:rPr>
        <w:t>（一）总则</w:t>
      </w:r>
      <w:bookmarkEnd w:id="15"/>
      <w:bookmarkEnd w:id="16"/>
      <w:bookmarkEnd w:id="17"/>
      <w:bookmarkEnd w:id="18"/>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1、定义</w:t>
      </w:r>
    </w:p>
    <w:p>
      <w:pPr>
        <w:spacing w:line="360" w:lineRule="auto"/>
        <w:ind w:firstLine="480" w:firstLineChars="200"/>
        <w:rPr>
          <w:rFonts w:ascii="Times New Roman" w:hAnsi="Times New Roman" w:eastAsia="宋体" w:cs="Times New Roman"/>
          <w:b/>
          <w:bCs/>
          <w:sz w:val="24"/>
          <w:szCs w:val="20"/>
        </w:rPr>
      </w:pPr>
      <w:r>
        <w:rPr>
          <w:rFonts w:ascii="Times New Roman" w:hAnsi="Times New Roman" w:eastAsia="宋体" w:cs="Times New Roman"/>
          <w:sz w:val="24"/>
          <w:szCs w:val="20"/>
        </w:rPr>
        <w:t>本招标文件使用的下列词语具有如下规定的意义：</w:t>
      </w:r>
    </w:p>
    <w:p>
      <w:pPr>
        <w:spacing w:line="360" w:lineRule="auto"/>
        <w:ind w:firstLine="480" w:firstLineChars="200"/>
        <w:rPr>
          <w:rFonts w:ascii="Times New Roman" w:hAnsi="Times New Roman" w:eastAsia="宋体" w:cs="Times New Roman"/>
          <w:b/>
          <w:bCs/>
          <w:sz w:val="24"/>
          <w:szCs w:val="20"/>
          <w:u w:val="single"/>
        </w:rPr>
      </w:pPr>
      <w:r>
        <w:rPr>
          <w:rFonts w:ascii="Times New Roman" w:hAnsi="Times New Roman" w:eastAsia="宋体" w:cs="Times New Roman"/>
          <w:sz w:val="24"/>
          <w:szCs w:val="20"/>
        </w:rPr>
        <w:t>（1）“招标人”（即发包人）、“招标代理”均已在投标须知前附表中列明。</w:t>
      </w:r>
    </w:p>
    <w:p>
      <w:pPr>
        <w:spacing w:line="360" w:lineRule="auto"/>
        <w:ind w:firstLine="480" w:firstLineChars="200"/>
        <w:rPr>
          <w:rFonts w:ascii="Times New Roman" w:hAnsi="Times New Roman" w:eastAsia="宋体" w:cs="Times New Roman"/>
          <w:sz w:val="24"/>
          <w:szCs w:val="20"/>
          <w:u w:val="single"/>
        </w:rPr>
      </w:pPr>
      <w:r>
        <w:rPr>
          <w:rFonts w:ascii="Times New Roman" w:hAnsi="Times New Roman" w:eastAsia="宋体" w:cs="Times New Roman"/>
          <w:sz w:val="24"/>
          <w:szCs w:val="20"/>
        </w:rPr>
        <w:t xml:space="preserve">（2）“投标人”指向招标人提交投标文件的当事人。   </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（3）“承包人”指其投标被招标人接受并与其签订承包合同的当事人。</w:t>
      </w:r>
    </w:p>
    <w:p>
      <w:pPr>
        <w:spacing w:line="360" w:lineRule="auto"/>
        <w:ind w:firstLine="480" w:firstLineChars="200"/>
        <w:rPr>
          <w:rFonts w:ascii="Times New Roman" w:hAnsi="Times New Roman" w:eastAsia="宋体" w:cs="Times New Roman"/>
          <w:sz w:val="24"/>
          <w:szCs w:val="20"/>
          <w:u w:val="single"/>
        </w:rPr>
      </w:pPr>
      <w:r>
        <w:rPr>
          <w:rFonts w:ascii="Times New Roman" w:hAnsi="Times New Roman" w:eastAsia="宋体" w:cs="Times New Roman"/>
          <w:sz w:val="24"/>
          <w:szCs w:val="20"/>
        </w:rPr>
        <w:t>（4）“招标文件”指由招标代理发出的本文件（包括全部章节、附件）及招标答疑会会议纪要和</w:t>
      </w:r>
      <w:r>
        <w:rPr>
          <w:rFonts w:ascii="Times New Roman" w:hAnsi="Times New Roman" w:eastAsia="宋体" w:cs="Times New Roman"/>
          <w:bCs/>
          <w:sz w:val="24"/>
          <w:szCs w:val="20"/>
        </w:rPr>
        <w:t>招标文件的澄清与修改</w:t>
      </w:r>
      <w:r>
        <w:rPr>
          <w:rFonts w:ascii="Times New Roman" w:hAnsi="Times New Roman" w:eastAsia="宋体" w:cs="Times New Roman"/>
          <w:sz w:val="24"/>
          <w:szCs w:val="20"/>
        </w:rPr>
        <w:t>文件。</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（5）“投标文件”指投标人根据本项目招标文件向招标人提交的全部文件。</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（6）“书面形式”指打字或印刷的文件和数据电文（包括电报、电传、传真、电子数据交换和电子邮件）。</w:t>
      </w:r>
    </w:p>
    <w:p>
      <w:pPr>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2、招标说明</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2.1本招标工程项目</w:t>
      </w:r>
      <w:r>
        <w:rPr>
          <w:rFonts w:hint="eastAsia" w:ascii="Times New Roman" w:hAnsi="Times New Roman" w:eastAsia="宋体" w:cs="Times New Roman"/>
          <w:bCs/>
          <w:sz w:val="24"/>
          <w:lang w:eastAsia="zh-CN"/>
        </w:rPr>
        <w:t>参照</w:t>
      </w:r>
      <w:r>
        <w:rPr>
          <w:rFonts w:ascii="Times New Roman" w:hAnsi="Times New Roman" w:eastAsia="宋体" w:cs="Times New Roman"/>
          <w:bCs/>
          <w:sz w:val="24"/>
        </w:rPr>
        <w:t>《中华人民共和国招标投标法》等有关法律、行政法规、规章和规范性文件，通过招标方式选定承包人。</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2.2工程名称、建设地点、建设规模、承包方式、质量标准、招标范围、工期要求等均在投标须知前附表中列明。</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2.3设计说明：详见招标图纸。</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2.4工程施工特点：详见招标图纸。</w:t>
      </w:r>
    </w:p>
    <w:p>
      <w:pPr>
        <w:tabs>
          <w:tab w:val="left" w:pos="105"/>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3．资金来源</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3.1本招标工程项目资金来源见投标须知前附表第9项</w:t>
      </w:r>
    </w:p>
    <w:p>
      <w:pPr>
        <w:tabs>
          <w:tab w:val="left" w:pos="105"/>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4．合格投标人的条件</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4.1详见本项目招标公告</w:t>
      </w:r>
    </w:p>
    <w:p>
      <w:pPr>
        <w:tabs>
          <w:tab w:val="left" w:pos="105"/>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5．踏勘现场</w:t>
      </w:r>
    </w:p>
    <w:p>
      <w:pPr>
        <w:spacing w:line="360" w:lineRule="auto"/>
        <w:ind w:firstLine="480" w:firstLineChars="200"/>
        <w:rPr>
          <w:rFonts w:ascii="Times New Roman" w:hAnsi="Times New Roman" w:eastAsia="宋体" w:cs="Times New Roman"/>
          <w:bCs/>
          <w:sz w:val="24"/>
          <w:u w:val="single"/>
        </w:rPr>
      </w:pPr>
      <w:r>
        <w:rPr>
          <w:rFonts w:ascii="Times New Roman" w:hAnsi="Times New Roman" w:eastAsia="宋体" w:cs="Times New Roman"/>
          <w:bCs/>
          <w:sz w:val="24"/>
        </w:rPr>
        <w:t>5.1 投标人应按本投标须知前附表第15项所述时间和要求对工程现场及周围环境进行踏勘，</w:t>
      </w:r>
      <w:r>
        <w:rPr>
          <w:rFonts w:ascii="Times New Roman" w:hAnsi="Times New Roman" w:eastAsia="宋体" w:cs="Times New Roman"/>
          <w:sz w:val="24"/>
        </w:rPr>
        <w:t>投标人应充分重视和仔细地进行这种考察，</w:t>
      </w:r>
      <w:r>
        <w:rPr>
          <w:rFonts w:ascii="Times New Roman" w:hAnsi="Times New Roman" w:eastAsia="宋体" w:cs="Times New Roman"/>
          <w:bCs/>
          <w:sz w:val="24"/>
        </w:rPr>
        <w:t>以便投标人获取</w:t>
      </w:r>
      <w:r>
        <w:rPr>
          <w:rFonts w:ascii="Times New Roman" w:hAnsi="Times New Roman" w:eastAsia="宋体" w:cs="Times New Roman"/>
          <w:sz w:val="24"/>
        </w:rPr>
        <w:t>那些须投标人自己负责的</w:t>
      </w:r>
      <w:r>
        <w:rPr>
          <w:rFonts w:ascii="Times New Roman" w:hAnsi="Times New Roman" w:eastAsia="宋体" w:cs="Times New Roman"/>
          <w:bCs/>
          <w:sz w:val="24"/>
        </w:rPr>
        <w:t>有关编制投标文件和签署合同所涉及现场所有的资料。</w:t>
      </w:r>
      <w:r>
        <w:rPr>
          <w:rFonts w:ascii="Times New Roman" w:hAnsi="Times New Roman" w:eastAsia="宋体" w:cs="Times New Roman"/>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5.2 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5.3 经招标人允许，投标人可为踏勘目的进入招标人的项目现场。</w:t>
      </w:r>
      <w:r>
        <w:rPr>
          <w:rFonts w:ascii="Times New Roman" w:hAnsi="Times New Roman" w:eastAsia="宋体" w:cs="Times New Roman"/>
          <w:sz w:val="24"/>
        </w:rPr>
        <w:t>在考察过程中，投标人及其代表必须承担那些进入现场后，由于他们的行为所造成的人身伤害（不管是否致命）、财产损失或损坏，以及其他任何原因造成的损失、损坏或费用，</w:t>
      </w:r>
      <w:r>
        <w:rPr>
          <w:rFonts w:ascii="Times New Roman" w:hAnsi="Times New Roman" w:eastAsia="宋体" w:cs="Times New Roman"/>
          <w:bCs/>
          <w:sz w:val="24"/>
        </w:rPr>
        <w:t>投标人不得因此使招标人承担有关的责任和蒙受损失。</w:t>
      </w:r>
    </w:p>
    <w:p>
      <w:pPr>
        <w:tabs>
          <w:tab w:val="left" w:pos="105"/>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6．投标费用</w:t>
      </w:r>
    </w:p>
    <w:p>
      <w:pPr>
        <w:tabs>
          <w:tab w:val="left" w:pos="105"/>
        </w:tabs>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6.1</w:t>
      </w:r>
      <w:r>
        <w:rPr>
          <w:rFonts w:ascii="Times New Roman" w:hAnsi="Times New Roman" w:eastAsia="宋体" w:cs="Times New Roman"/>
          <w:sz w:val="24"/>
        </w:rPr>
        <w:t>不论投标结果如何，投标人应承担</w:t>
      </w:r>
      <w:r>
        <w:rPr>
          <w:rFonts w:ascii="Times New Roman" w:hAnsi="Times New Roman" w:eastAsia="宋体" w:cs="Times New Roman"/>
          <w:bCs/>
          <w:sz w:val="24"/>
        </w:rPr>
        <w:t>自身</w:t>
      </w:r>
      <w:r>
        <w:rPr>
          <w:rFonts w:ascii="Times New Roman" w:hAnsi="Times New Roman" w:eastAsia="宋体" w:cs="Times New Roman"/>
          <w:sz w:val="24"/>
        </w:rPr>
        <w:t>因投标文件编制、递交及其他</w:t>
      </w:r>
      <w:r>
        <w:rPr>
          <w:rFonts w:ascii="Times New Roman" w:hAnsi="Times New Roman" w:eastAsia="宋体" w:cs="Times New Roman"/>
          <w:bCs/>
          <w:sz w:val="24"/>
        </w:rPr>
        <w:t>参加本招标活动</w:t>
      </w:r>
      <w:r>
        <w:rPr>
          <w:rFonts w:ascii="Times New Roman" w:hAnsi="Times New Roman" w:eastAsia="宋体" w:cs="Times New Roman"/>
          <w:sz w:val="24"/>
        </w:rPr>
        <w:t>所涉及的一切费用，招标人对上述费用不负任何责任。</w:t>
      </w:r>
    </w:p>
    <w:p>
      <w:pPr>
        <w:widowControl/>
        <w:spacing w:before="156" w:beforeAutospacing="1" w:after="156" w:afterAutospacing="1"/>
        <w:jc w:val="center"/>
        <w:outlineLvl w:val="2"/>
        <w:rPr>
          <w:rFonts w:ascii="Times New Roman" w:hAnsi="Times New Roman" w:eastAsia="宋体" w:cs="Times New Roman"/>
          <w:b/>
          <w:bCs/>
          <w:kern w:val="0"/>
          <w:sz w:val="27"/>
          <w:szCs w:val="27"/>
        </w:rPr>
      </w:pPr>
      <w:bookmarkStart w:id="19" w:name="_Toc3663"/>
      <w:bookmarkStart w:id="20" w:name="_Toc12753"/>
      <w:bookmarkStart w:id="21" w:name="_Toc2272550"/>
      <w:bookmarkStart w:id="22" w:name="_Toc19694"/>
      <w:r>
        <w:rPr>
          <w:rFonts w:ascii="Times New Roman" w:hAnsi="Times New Roman" w:eastAsia="宋体" w:cs="Times New Roman"/>
          <w:b/>
          <w:bCs/>
          <w:kern w:val="0"/>
          <w:sz w:val="27"/>
          <w:szCs w:val="27"/>
        </w:rPr>
        <w:t>（二）招标文件</w:t>
      </w:r>
      <w:bookmarkEnd w:id="19"/>
      <w:bookmarkEnd w:id="20"/>
      <w:bookmarkEnd w:id="21"/>
      <w:bookmarkEnd w:id="22"/>
    </w:p>
    <w:p>
      <w:pPr>
        <w:tabs>
          <w:tab w:val="left" w:pos="105"/>
        </w:tabs>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7.招标文件的组成</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bCs/>
          <w:sz w:val="24"/>
        </w:rPr>
        <w:t>7.1</w:t>
      </w:r>
      <w:r>
        <w:rPr>
          <w:rFonts w:ascii="Times New Roman" w:hAnsi="Times New Roman" w:eastAsia="宋体" w:cs="Times New Roman"/>
          <w:sz w:val="24"/>
        </w:rPr>
        <w:t>本招标文件包括下列文件，以及所有按本须知第8条发出的招标答疑会会议纪要和按本须知第9条发出的澄清或修改：</w:t>
      </w:r>
    </w:p>
    <w:p>
      <w:pPr>
        <w:spacing w:line="360" w:lineRule="auto"/>
        <w:ind w:left="-2" w:firstLine="480" w:firstLineChars="200"/>
        <w:rPr>
          <w:rFonts w:ascii="Times New Roman" w:hAnsi="Times New Roman" w:eastAsia="宋体" w:cs="Times New Roman"/>
          <w:sz w:val="24"/>
          <w:szCs w:val="20"/>
        </w:rPr>
      </w:pPr>
      <w:r>
        <w:rPr>
          <w:rFonts w:ascii="Times New Roman" w:hAnsi="Times New Roman" w:eastAsia="宋体" w:cs="Times New Roman"/>
          <w:bCs/>
          <w:sz w:val="24"/>
          <w:szCs w:val="20"/>
        </w:rPr>
        <w:t xml:space="preserve">第一章  </w:t>
      </w:r>
      <w:r>
        <w:rPr>
          <w:rFonts w:ascii="Times New Roman" w:hAnsi="Times New Roman" w:eastAsia="宋体" w:cs="Times New Roman"/>
          <w:sz w:val="24"/>
          <w:szCs w:val="20"/>
        </w:rPr>
        <w:t>招标公告</w:t>
      </w:r>
    </w:p>
    <w:p>
      <w:pPr>
        <w:spacing w:line="360" w:lineRule="auto"/>
        <w:ind w:left="-2" w:firstLine="480" w:firstLineChars="200"/>
        <w:rPr>
          <w:rFonts w:ascii="Times New Roman" w:hAnsi="Times New Roman" w:eastAsia="宋体" w:cs="Times New Roman"/>
          <w:sz w:val="24"/>
          <w:szCs w:val="20"/>
        </w:rPr>
      </w:pPr>
      <w:r>
        <w:rPr>
          <w:rFonts w:ascii="Times New Roman" w:hAnsi="Times New Roman" w:eastAsia="宋体" w:cs="Times New Roman"/>
          <w:bCs/>
          <w:sz w:val="24"/>
          <w:szCs w:val="20"/>
        </w:rPr>
        <w:t xml:space="preserve">第二章  </w:t>
      </w:r>
      <w:r>
        <w:rPr>
          <w:rFonts w:ascii="Times New Roman" w:hAnsi="Times New Roman" w:eastAsia="宋体" w:cs="Times New Roman"/>
          <w:sz w:val="24"/>
          <w:szCs w:val="20"/>
        </w:rPr>
        <w:t>投标须知</w:t>
      </w:r>
    </w:p>
    <w:p>
      <w:pPr>
        <w:spacing w:line="360" w:lineRule="auto"/>
        <w:ind w:left="-2" w:firstLine="480" w:firstLineChars="200"/>
        <w:rPr>
          <w:rFonts w:ascii="Times New Roman" w:hAnsi="Times New Roman" w:eastAsia="宋体" w:cs="Times New Roman"/>
          <w:sz w:val="24"/>
          <w:szCs w:val="20"/>
        </w:rPr>
      </w:pPr>
      <w:r>
        <w:rPr>
          <w:rFonts w:ascii="Times New Roman" w:hAnsi="Times New Roman" w:eastAsia="宋体" w:cs="Times New Roman"/>
          <w:bCs/>
          <w:sz w:val="24"/>
          <w:szCs w:val="20"/>
        </w:rPr>
        <w:t xml:space="preserve">第三章  </w:t>
      </w:r>
      <w:r>
        <w:rPr>
          <w:rFonts w:ascii="Times New Roman" w:hAnsi="Times New Roman" w:eastAsia="宋体" w:cs="Times New Roman"/>
          <w:sz w:val="24"/>
          <w:szCs w:val="20"/>
        </w:rPr>
        <w:t>开标、评标及定标办法</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第四章  合同条款</w:t>
      </w:r>
    </w:p>
    <w:p>
      <w:pPr>
        <w:spacing w:line="360" w:lineRule="auto"/>
        <w:ind w:left="-2" w:firstLine="480" w:firstLineChars="200"/>
        <w:rPr>
          <w:rFonts w:ascii="Times New Roman" w:hAnsi="Times New Roman" w:eastAsia="宋体" w:cs="Times New Roman"/>
          <w:sz w:val="24"/>
          <w:szCs w:val="20"/>
        </w:rPr>
      </w:pPr>
      <w:r>
        <w:rPr>
          <w:rFonts w:ascii="Times New Roman" w:hAnsi="Times New Roman" w:eastAsia="宋体" w:cs="Times New Roman"/>
          <w:bCs/>
          <w:sz w:val="24"/>
          <w:szCs w:val="20"/>
        </w:rPr>
        <w:t xml:space="preserve">第五章  </w:t>
      </w:r>
      <w:r>
        <w:rPr>
          <w:rFonts w:ascii="Times New Roman" w:hAnsi="Times New Roman" w:eastAsia="宋体" w:cs="Times New Roman"/>
          <w:sz w:val="24"/>
          <w:szCs w:val="20"/>
        </w:rPr>
        <w:t>用户需求书</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bCs/>
          <w:sz w:val="24"/>
          <w:szCs w:val="20"/>
        </w:rPr>
        <w:t>第</w:t>
      </w:r>
      <w:r>
        <w:rPr>
          <w:rFonts w:hint="eastAsia" w:ascii="Times New Roman" w:hAnsi="Times New Roman" w:eastAsia="宋体" w:cs="Times New Roman"/>
          <w:bCs/>
          <w:sz w:val="24"/>
          <w:szCs w:val="20"/>
          <w:lang w:val="en-US" w:eastAsia="zh-CN"/>
        </w:rPr>
        <w:t>六</w:t>
      </w:r>
      <w:r>
        <w:rPr>
          <w:rFonts w:ascii="Times New Roman" w:hAnsi="Times New Roman" w:eastAsia="宋体" w:cs="Times New Roman"/>
          <w:bCs/>
          <w:sz w:val="24"/>
          <w:szCs w:val="20"/>
        </w:rPr>
        <w:t xml:space="preserve">章  </w:t>
      </w:r>
      <w:r>
        <w:rPr>
          <w:rFonts w:ascii="Times New Roman" w:hAnsi="Times New Roman" w:eastAsia="宋体" w:cs="Times New Roman"/>
          <w:sz w:val="24"/>
          <w:szCs w:val="20"/>
        </w:rPr>
        <w:t>投标文件格式</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7.3 投标人一旦中标，招标文件的内容对招标人和中标人双方均有约束力。</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8．招标答疑</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8.1 投标人若对招标文件（包括招标图纸）中有疑问，可以书面形式</w:t>
      </w:r>
      <w:r>
        <w:rPr>
          <w:rFonts w:ascii="Times New Roman" w:hAnsi="Times New Roman" w:eastAsia="宋体" w:cs="Times New Roman"/>
          <w:sz w:val="24"/>
          <w:szCs w:val="24"/>
        </w:rPr>
        <w:t>提交</w:t>
      </w:r>
      <w:r>
        <w:rPr>
          <w:rFonts w:ascii="Times New Roman" w:hAnsi="Times New Roman" w:eastAsia="宋体" w:cs="Times New Roman"/>
          <w:sz w:val="24"/>
          <w:szCs w:val="20"/>
        </w:rPr>
        <w:t>给招标代理机构，提交形式见本须知前附表第16项。</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8.2招标答疑会会议纪要将在提交投标文件截止时间15日前发放给已购买招标文件所有投标人。投标人在收到上述通知后，应在24小时内以书面形式向招标代理机构确认，若投标人未在24小时内书面回复确认将视为同意修改内容，并有责任履行相应的义务。</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8.3答疑会会议纪要为招标文件的一部分。</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8.4若招标答疑会会议纪要与招标文件有矛盾，以答疑会议纪要最后发出的书面形式的文件为准。</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9.招标文件的澄清与修改</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9.1招标文件发出后,在提交投标文件截止时间15日前，招标人可对招标文件进行必要的澄清或修改。</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9.2招标文件的澄清或者修改的内容可能影响投标文件编制的，招标人应当在投标截止时间至少15日前，以书面形式通知所有招标文件的潜在投标人；不足15日的，招标人应当顺延提交投标文件的截止时间。潜在投标人在收到上述通知后，应在24小时内以书面形式向招标代理机构确认，若投标人未在24小时内书面回复确认将视为同意修改内容，并有责任履行相应的义务。</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9.3招标文件的修改内容为招标文件的组成部分。</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9.4招标文件的澄清或修改均以书面形式明确的内容为准。当招标文件的澄清、修改、补充等在同一内容的表述不一致时，以最后发出的书面形式的文件为准。</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widowControl/>
        <w:spacing w:before="156" w:beforeAutospacing="1" w:after="156" w:afterAutospacing="1"/>
        <w:jc w:val="center"/>
        <w:outlineLvl w:val="2"/>
        <w:rPr>
          <w:rFonts w:ascii="Times New Roman" w:hAnsi="Times New Roman" w:eastAsia="宋体" w:cs="Times New Roman"/>
          <w:b/>
          <w:bCs/>
          <w:kern w:val="0"/>
          <w:sz w:val="27"/>
          <w:szCs w:val="27"/>
        </w:rPr>
      </w:pPr>
      <w:bookmarkStart w:id="23" w:name="_Toc11668"/>
      <w:bookmarkStart w:id="24" w:name="_Toc13526"/>
      <w:bookmarkStart w:id="25" w:name="_Toc18922"/>
      <w:bookmarkStart w:id="26" w:name="_Toc2272551"/>
      <w:r>
        <w:rPr>
          <w:rFonts w:ascii="Times New Roman" w:hAnsi="Times New Roman" w:eastAsia="宋体" w:cs="Times New Roman"/>
          <w:b/>
          <w:bCs/>
          <w:kern w:val="0"/>
          <w:sz w:val="27"/>
          <w:szCs w:val="27"/>
        </w:rPr>
        <w:t>（三）投标文件的编制</w:t>
      </w:r>
      <w:bookmarkEnd w:id="23"/>
      <w:bookmarkEnd w:id="24"/>
      <w:bookmarkEnd w:id="25"/>
      <w:bookmarkEnd w:id="26"/>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10．投标文件的语言及度量衡单位</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10.1 投标文件和与投标有关的所有文件均应使用中文。</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10.2 除工程规范另有规定外，投标文件使用的度量衡单位，均采用中华人民共和国法定计量单位。</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11．投标文件的组成</w:t>
      </w:r>
    </w:p>
    <w:p>
      <w:pPr>
        <w:spacing w:line="360" w:lineRule="auto"/>
        <w:ind w:firstLine="480" w:firstLineChars="200"/>
        <w:rPr>
          <w:rFonts w:ascii="Times New Roman" w:hAnsi="Times New Roman" w:eastAsia="宋体" w:cs="Times New Roman"/>
          <w:b/>
          <w:sz w:val="24"/>
          <w:szCs w:val="20"/>
        </w:rPr>
      </w:pPr>
      <w:r>
        <w:rPr>
          <w:rFonts w:ascii="Times New Roman" w:hAnsi="Times New Roman" w:eastAsia="宋体" w:cs="Times New Roman"/>
          <w:sz w:val="24"/>
          <w:szCs w:val="20"/>
        </w:rPr>
        <w:t>11.1 投标文件由技术部分（含资格审查文件）和经济部分投标文件组成</w:t>
      </w:r>
      <w:r>
        <w:rPr>
          <w:rFonts w:ascii="Times New Roman" w:hAnsi="Times New Roman" w:eastAsia="宋体" w:cs="Times New Roman"/>
          <w:b/>
          <w:sz w:val="24"/>
          <w:szCs w:val="20"/>
        </w:rPr>
        <w:t>。</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11.2投标文件技术标部分主要包括下列内容:</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11.2.1 技术投标文件</w:t>
      </w:r>
      <w:r>
        <w:rPr>
          <w:rFonts w:ascii="Times New Roman" w:hAnsi="Times New Roman" w:eastAsia="宋体" w:cs="Times New Roman"/>
          <w:sz w:val="24"/>
        </w:rPr>
        <w:t>(按招标文件的要求填写)</w:t>
      </w:r>
      <w:r>
        <w:rPr>
          <w:rFonts w:ascii="Times New Roman" w:hAnsi="Times New Roman" w:eastAsia="宋体" w:cs="Times New Roman"/>
          <w:bCs/>
          <w:sz w:val="24"/>
        </w:rPr>
        <w:t>；</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11.2.2 资格审查文件：</w:t>
      </w:r>
    </w:p>
    <w:p>
      <w:pPr>
        <w:spacing w:line="360" w:lineRule="auto"/>
        <w:ind w:firstLine="480" w:firstLineChars="200"/>
        <w:rPr>
          <w:rFonts w:hint="eastAsia" w:ascii="Times New Roman" w:hAnsi="Times New Roman" w:eastAsia="宋体" w:cs="Times New Roman"/>
          <w:bCs/>
          <w:sz w:val="24"/>
          <w:lang w:eastAsia="zh-CN"/>
        </w:rPr>
      </w:pPr>
      <w:r>
        <w:rPr>
          <w:rFonts w:ascii="Times New Roman" w:hAnsi="Times New Roman" w:eastAsia="宋体" w:cs="Times New Roman"/>
          <w:bCs/>
          <w:sz w:val="24"/>
        </w:rPr>
        <w:t>详见本项目招标公告</w:t>
      </w:r>
      <w:r>
        <w:rPr>
          <w:rFonts w:hint="eastAsia" w:ascii="Times New Roman" w:hAnsi="Times New Roman" w:eastAsia="宋体" w:cs="Times New Roman"/>
          <w:bCs/>
          <w:sz w:val="24"/>
          <w:lang w:eastAsia="zh-CN"/>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11.2.3项目管理机构配备。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（1）投标人应列出该项目工程的项目管理机构组成表；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（2）投标人应详细列出该施工组织机构中主要成员的名单、简历资料、职务职称和在本项目中拟担任的职务等资料；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（3）其他辅助说明资料。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11.2.3 企业资信。</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w:t>
      </w:r>
      <w:r>
        <w:rPr>
          <w:rFonts w:hint="eastAsia" w:ascii="Times New Roman" w:hAnsi="Times New Roman" w:eastAsia="宋体" w:cs="Times New Roman"/>
          <w:sz w:val="24"/>
          <w:lang w:val="en-US" w:eastAsia="zh-CN"/>
        </w:rPr>
        <w:t>电梯制造商的同类</w:t>
      </w:r>
      <w:r>
        <w:rPr>
          <w:rFonts w:ascii="Times New Roman" w:hAnsi="Times New Roman" w:eastAsia="宋体" w:cs="Times New Roman"/>
          <w:sz w:val="24"/>
        </w:rPr>
        <w:t>业绩</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2</w:t>
      </w:r>
      <w:r>
        <w:rPr>
          <w:rFonts w:ascii="Times New Roman" w:hAnsi="Times New Roman" w:eastAsia="宋体" w:cs="Times New Roman"/>
          <w:sz w:val="24"/>
        </w:rPr>
        <w:t>）企业管理体系认证情况</w:t>
      </w:r>
    </w:p>
    <w:p>
      <w:pPr>
        <w:tabs>
          <w:tab w:val="left" w:pos="1125"/>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11.2.4施工组织设计。</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bCs/>
          <w:sz w:val="24"/>
        </w:rPr>
        <w:t>11.3 经济部分投标文件主要包括下列内容：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11.3.1 经济投标文件。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sz w:val="24"/>
        </w:rPr>
        <w:t>11.3.2投标总价。投标人必须</w:t>
      </w:r>
      <w:r>
        <w:rPr>
          <w:rFonts w:ascii="Times New Roman" w:hAnsi="Times New Roman" w:eastAsia="宋体" w:cs="Times New Roman"/>
          <w:color w:val="auto"/>
          <w:sz w:val="24"/>
        </w:rPr>
        <w:t>按</w:t>
      </w:r>
      <w:r>
        <w:rPr>
          <w:rFonts w:hint="eastAsia" w:ascii="Times New Roman" w:hAnsi="Times New Roman" w:eastAsia="宋体" w:cs="Times New Roman"/>
          <w:color w:val="auto"/>
          <w:sz w:val="24"/>
          <w:lang w:val="en-US" w:eastAsia="zh-CN"/>
        </w:rPr>
        <w:t>报价表</w:t>
      </w:r>
      <w:r>
        <w:rPr>
          <w:rFonts w:ascii="Times New Roman" w:hAnsi="Times New Roman" w:eastAsia="宋体" w:cs="Times New Roman"/>
          <w:color w:val="auto"/>
          <w:sz w:val="24"/>
        </w:rPr>
        <w:t>填报价格</w:t>
      </w:r>
      <w:r>
        <w:rPr>
          <w:rFonts w:hint="eastAsia" w:ascii="Times New Roman" w:hAnsi="Times New Roman" w:eastAsia="宋体" w:cs="Times New Roman"/>
          <w:color w:val="auto"/>
          <w:sz w:val="24"/>
          <w:lang w:eastAsia="zh-CN"/>
        </w:rPr>
        <w:t>。</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12．投标文件格式</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12.1 投标文件包括本须知第11条中规定的内容，投标人提交的投标文件应当使用招标文件所提供的投标文件全部格式（表格可以按同样格式扩展）。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0"/>
        </w:rPr>
        <w:t>12.2 投标文件全部采用纸质文档，投标人应仔细阅读“第八章 投标文件格式”的相关规定和要求。如投标文件未按规定的格式填写，或主要内容不全，或关键字迹模糊、无法辨认造成无法满足评标需要的，经评标委员会审查否决其投标</w:t>
      </w:r>
      <w:r>
        <w:rPr>
          <w:rFonts w:ascii="Times New Roman" w:hAnsi="Times New Roman" w:eastAsia="宋体" w:cs="Times New Roman"/>
          <w:sz w:val="24"/>
          <w:szCs w:val="24"/>
        </w:rPr>
        <w:t>。</w:t>
      </w:r>
    </w:p>
    <w:p>
      <w:pPr>
        <w:spacing w:line="360" w:lineRule="auto"/>
        <w:ind w:firstLine="482" w:firstLineChars="200"/>
        <w:rPr>
          <w:rFonts w:ascii="Times New Roman" w:hAnsi="Times New Roman" w:eastAsia="宋体" w:cs="Times New Roman"/>
          <w:b/>
          <w:bCs/>
          <w:sz w:val="24"/>
          <w:szCs w:val="20"/>
          <w:highlight w:val="none"/>
        </w:rPr>
      </w:pPr>
      <w:r>
        <w:rPr>
          <w:rFonts w:ascii="Times New Roman" w:hAnsi="Times New Roman" w:eastAsia="宋体" w:cs="Times New Roman"/>
          <w:b/>
          <w:bCs/>
          <w:sz w:val="24"/>
          <w:szCs w:val="20"/>
          <w:highlight w:val="none"/>
        </w:rPr>
        <w:t>13．投标报价及造价承包和变更结算方式</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13.1 本工程的投标报价采用投标须知前附表第12项所规定的方式。投标报价（含单价及总价）精确到“分”。</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2</w:t>
      </w:r>
      <w:r>
        <w:rPr>
          <w:rFonts w:ascii="Times New Roman" w:hAnsi="Times New Roman" w:eastAsia="宋体" w:cs="Times New Roman"/>
          <w:sz w:val="24"/>
          <w:szCs w:val="20"/>
          <w:highlight w:val="none"/>
        </w:rPr>
        <w:t>投标人的投标报价，应是按照投标须知前附表第8项的工期要求，在投标须知前附表第3项的建设地点，完成投标须知前附表第7项的招标范围内列明工作的全部费用，包括但不限于完成工作的成本、利润、税金、技术措施费、大型机械进出场费、风险费以及政策性文件规定费用等，不得以任何理由予以重复计算。</w:t>
      </w:r>
    </w:p>
    <w:p>
      <w:pPr>
        <w:spacing w:line="360" w:lineRule="auto"/>
        <w:ind w:firstLine="480" w:firstLineChars="200"/>
        <w:rPr>
          <w:rFonts w:hint="eastAsia" w:ascii="Times New Roman" w:hAnsi="Times New Roman" w:eastAsia="宋体" w:cs="Times New Roman"/>
          <w:sz w:val="24"/>
          <w:szCs w:val="20"/>
          <w:highlight w:val="none"/>
          <w:lang w:eastAsia="zh-CN"/>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3</w:t>
      </w:r>
      <w:r>
        <w:rPr>
          <w:rFonts w:ascii="Times New Roman" w:hAnsi="Times New Roman" w:eastAsia="宋体" w:cs="Times New Roman"/>
          <w:sz w:val="24"/>
          <w:szCs w:val="20"/>
          <w:highlight w:val="none"/>
        </w:rPr>
        <w:t>投标人一旦中标，投标人对工程项目所报出的综合</w:t>
      </w:r>
      <w:r>
        <w:rPr>
          <w:rFonts w:hint="eastAsia" w:ascii="Times New Roman" w:hAnsi="Times New Roman" w:eastAsia="宋体" w:cs="Times New Roman"/>
          <w:sz w:val="24"/>
          <w:szCs w:val="20"/>
          <w:highlight w:val="none"/>
          <w:lang w:eastAsia="zh-CN"/>
        </w:rPr>
        <w:t>报价</w:t>
      </w:r>
      <w:r>
        <w:rPr>
          <w:rFonts w:ascii="Times New Roman" w:hAnsi="Times New Roman" w:eastAsia="宋体" w:cs="Times New Roman"/>
          <w:sz w:val="24"/>
          <w:szCs w:val="20"/>
          <w:highlight w:val="none"/>
        </w:rPr>
        <w:t>，在工程结算时将不得变更</w:t>
      </w:r>
      <w:r>
        <w:rPr>
          <w:rFonts w:hint="eastAsia" w:ascii="Times New Roman" w:hAnsi="Times New Roman" w:eastAsia="宋体" w:cs="Times New Roman"/>
          <w:sz w:val="24"/>
          <w:szCs w:val="20"/>
          <w:highlight w:val="none"/>
          <w:lang w:eastAsia="zh-CN"/>
        </w:rPr>
        <w:t>。</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暂列金额、暂估价</w:t>
      </w:r>
    </w:p>
    <w:p>
      <w:pPr>
        <w:shd w:val="clea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1暂列金额指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shd w:val="clea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暂估价是指在工程量清单中提供的用于支付必然发生但暂时不能确定价格的材料的单价以及专业工程的金额。</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2在工程实施中，暂列金额、暂估价所包含的工作范围和图纸、标准深化固定后，按照工程专业、设备、材料类别等分类汇总的金额，达到法定招标范围标准的，应由招标人同中标人联合招标，确定承包人和承包价格。</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w:t>
      </w:r>
      <w:r>
        <w:rPr>
          <w:rFonts w:hint="eastAsia" w:ascii="Times New Roman" w:hAnsi="Times New Roman" w:eastAsia="宋体" w:cs="Times New Roman"/>
          <w:sz w:val="24"/>
          <w:szCs w:val="20"/>
          <w:highlight w:val="none"/>
          <w:lang w:val="en-US" w:eastAsia="zh-CN"/>
        </w:rPr>
        <w:t>3</w:t>
      </w:r>
      <w:r>
        <w:rPr>
          <w:rFonts w:ascii="Times New Roman" w:hAnsi="Times New Roman" w:eastAsia="宋体" w:cs="Times New Roman"/>
          <w:sz w:val="24"/>
          <w:szCs w:val="20"/>
          <w:highlight w:val="none"/>
        </w:rPr>
        <w:t>款规定确定。</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4</w:t>
      </w:r>
      <w:r>
        <w:rPr>
          <w:rFonts w:ascii="Times New Roman" w:hAnsi="Times New Roman" w:eastAsia="宋体" w:cs="Times New Roman"/>
          <w:sz w:val="24"/>
          <w:szCs w:val="20"/>
          <w:highlight w:val="none"/>
        </w:rPr>
        <w:t>.6 在工程实施中，暂列金额、暂估价所包含的工作范围由其他承包人承包的，纳入本项目承包人的管理和协调范围，由其他承包人向本项目承包人承担质量、安全、文明施工、工期责任，本项目承包人向招标人承担责任。</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5</w:t>
      </w:r>
      <w:r>
        <w:rPr>
          <w:rFonts w:ascii="Times New Roman" w:hAnsi="Times New Roman" w:eastAsia="宋体" w:cs="Times New Roman"/>
          <w:sz w:val="24"/>
          <w:szCs w:val="20"/>
          <w:highlight w:val="none"/>
        </w:rPr>
        <w:t>投标人可先到工地踏勘以充分了解工地位置、情况、道路、储存空间、装卸限制及任何其他足以影响承包价的情况，任何因忽视或误解工地情况而导致的索赔或工期延长申请将不被批准。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rPr>
          <w:rFonts w:ascii="Times New Roman" w:hAnsi="Times New Roman" w:eastAsia="宋体" w:cs="Times New Roman"/>
          <w:sz w:val="24"/>
          <w:szCs w:val="20"/>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6</w:t>
      </w:r>
      <w:r>
        <w:rPr>
          <w:rFonts w:ascii="Times New Roman" w:hAnsi="Times New Roman" w:eastAsia="宋体" w:cs="Times New Roman"/>
          <w:sz w:val="24"/>
          <w:szCs w:val="20"/>
          <w:highlight w:val="none"/>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0"/>
          <w:highlight w:val="none"/>
        </w:rPr>
        <w:t>13.</w:t>
      </w:r>
      <w:r>
        <w:rPr>
          <w:rFonts w:hint="eastAsia" w:ascii="Times New Roman" w:hAnsi="Times New Roman" w:eastAsia="宋体" w:cs="Times New Roman"/>
          <w:sz w:val="24"/>
          <w:szCs w:val="20"/>
          <w:highlight w:val="none"/>
          <w:lang w:val="en-US" w:eastAsia="zh-CN"/>
        </w:rPr>
        <w:t>7</w:t>
      </w:r>
      <w:r>
        <w:rPr>
          <w:rFonts w:ascii="Times New Roman" w:hAnsi="Times New Roman" w:eastAsia="宋体" w:cs="Times New Roman"/>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14．投标货币</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14.1 本工程投标报价采用的币种为人民币。</w:t>
      </w:r>
    </w:p>
    <w:p>
      <w:pPr>
        <w:spacing w:line="360" w:lineRule="auto"/>
        <w:ind w:firstLine="482" w:firstLineChars="200"/>
        <w:rPr>
          <w:rFonts w:ascii="Times New Roman" w:hAnsi="Times New Roman" w:eastAsia="宋体" w:cs="Times New Roman"/>
          <w:sz w:val="24"/>
          <w:szCs w:val="20"/>
        </w:rPr>
      </w:pPr>
      <w:r>
        <w:rPr>
          <w:rFonts w:ascii="Times New Roman" w:hAnsi="Times New Roman" w:eastAsia="宋体" w:cs="Times New Roman"/>
          <w:b/>
          <w:bCs/>
          <w:sz w:val="24"/>
          <w:szCs w:val="20"/>
        </w:rPr>
        <w:t>15．投标有效期</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15.1 投标有效期见投标须知前附表第13项所规定的期限，在此期限内，凡符合本招标文件要求的投标文件均保持有效。</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16．投标保证金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16.1投标人应按投标须知前附表第14项所述金额和时间递交</w:t>
      </w:r>
      <w:r>
        <w:rPr>
          <w:rFonts w:ascii="Times New Roman" w:hAnsi="Times New Roman" w:eastAsia="宋体" w:cs="Times New Roman"/>
          <w:bCs/>
          <w:sz w:val="24"/>
        </w:rPr>
        <w:t>投标保证金</w:t>
      </w:r>
      <w:r>
        <w:rPr>
          <w:rFonts w:ascii="Times New Roman" w:hAnsi="Times New Roman" w:eastAsia="宋体" w:cs="Times New Roman"/>
          <w:sz w:val="24"/>
        </w:rPr>
        <w:t>。投标保证金以现金或者支票形式提交的，必须由投标人的银行基本账户转出。</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16.2</w:t>
      </w:r>
      <w:r>
        <w:rPr>
          <w:rFonts w:ascii="Times New Roman" w:hAnsi="Times New Roman" w:eastAsia="宋体" w:cs="Times New Roman"/>
          <w:sz w:val="24"/>
          <w:szCs w:val="24"/>
        </w:rPr>
        <w:t>开标时投标人没有按要求提供投标保证金的，其投标文件将被否决</w:t>
      </w:r>
      <w:r>
        <w:rPr>
          <w:rFonts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16.3中标候选人以外的投标人的投标保证金将尽快退还，最迟不超过中标通知书发出之日起五日内。</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16.4中标人和其他中标候选人的投标保证金，在书面合同订立之日起五日内予以退还。</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16.5如有下列情况之一的，招标人不予退还投标保证金：</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16.5.1投标人在投标有效期内撤回投标文件；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16.5.2中标人未能在规定期限内按要求提交履约担保；</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16.5.3中标人未能在规定期限内签署合同协议。</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17．投标文件的签署</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17.1投标文件的正本须用A4纸打印或用不退色墨水书写，招标文件要求签名的由法定代表人或经其正式授权的代表签字，投标文件封面及要求盖章处须加盖投标人公章；投标文件的副本可采用正本的复印件，并与正本具有同等法律效力。</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17.2除投标人对错误处须修改外，全套投标文件应无涂改或增删，如有修改，修改处应由投标人加盖投标人的印章或由投标文件签字人签字或盖章。</w:t>
      </w:r>
    </w:p>
    <w:p>
      <w:pPr>
        <w:widowControl/>
        <w:spacing w:before="156" w:beforeAutospacing="1" w:after="156" w:afterAutospacing="1"/>
        <w:jc w:val="center"/>
        <w:outlineLvl w:val="2"/>
        <w:rPr>
          <w:rFonts w:ascii="Times New Roman" w:hAnsi="Times New Roman" w:eastAsia="宋体" w:cs="Times New Roman"/>
          <w:b/>
          <w:bCs/>
          <w:kern w:val="0"/>
          <w:sz w:val="27"/>
          <w:szCs w:val="27"/>
        </w:rPr>
      </w:pPr>
      <w:bookmarkStart w:id="27" w:name="_Toc4797"/>
      <w:bookmarkStart w:id="28" w:name="_Toc2272552"/>
      <w:bookmarkStart w:id="29" w:name="_Toc13056"/>
      <w:bookmarkStart w:id="30" w:name="_Toc17156"/>
      <w:r>
        <w:rPr>
          <w:rFonts w:ascii="Times New Roman" w:hAnsi="Times New Roman" w:eastAsia="宋体" w:cs="Times New Roman"/>
          <w:b/>
          <w:bCs/>
          <w:kern w:val="0"/>
          <w:sz w:val="27"/>
          <w:szCs w:val="27"/>
        </w:rPr>
        <w:t>（四）投标文件的提交</w:t>
      </w:r>
      <w:bookmarkEnd w:id="27"/>
      <w:bookmarkEnd w:id="28"/>
      <w:bookmarkEnd w:id="29"/>
      <w:bookmarkEnd w:id="30"/>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18．</w:t>
      </w:r>
      <w:r>
        <w:rPr>
          <w:rFonts w:ascii="Times New Roman" w:hAnsi="Times New Roman" w:eastAsia="宋体" w:cs="Times New Roman"/>
          <w:b/>
          <w:sz w:val="24"/>
          <w:szCs w:val="24"/>
        </w:rPr>
        <w:t>投标文件的密封和标记</w:t>
      </w:r>
    </w:p>
    <w:p>
      <w:pPr>
        <w:spacing w:line="360" w:lineRule="auto"/>
        <w:ind w:firstLine="480" w:firstLineChars="200"/>
        <w:rPr>
          <w:rFonts w:ascii="Times New Roman" w:hAnsi="Times New Roman" w:eastAsia="宋体" w:cs="Times New Roman"/>
          <w:sz w:val="24"/>
          <w:szCs w:val="21"/>
        </w:rPr>
      </w:pPr>
      <w:r>
        <w:rPr>
          <w:rFonts w:ascii="Times New Roman" w:hAnsi="Times New Roman" w:eastAsia="宋体" w:cs="Times New Roman"/>
          <w:bCs/>
          <w:sz w:val="24"/>
        </w:rPr>
        <w:t>18.1</w:t>
      </w:r>
      <w:r>
        <w:rPr>
          <w:rFonts w:ascii="Times New Roman" w:hAnsi="Times New Roman" w:eastAsia="宋体" w:cs="Times New Roman"/>
          <w:sz w:val="24"/>
          <w:szCs w:val="21"/>
        </w:rPr>
        <w:t>投标文件的份数要求：投标人应按投标须知前附表第17项规定的份数递交投标文件。</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szCs w:val="21"/>
        </w:rPr>
        <w:t>18.2投标文件的密封要求：投标人应将投标文件正本和所有副本分开密封，且在封套上标明“正本”“副本”字样，封口处加盖投标人公章</w:t>
      </w:r>
      <w:r>
        <w:rPr>
          <w:rFonts w:ascii="Times New Roman" w:hAnsi="Times New Roman" w:eastAsia="宋体" w:cs="Times New Roman"/>
          <w:bCs/>
          <w:sz w:val="24"/>
        </w:rPr>
        <w:t>。</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19．投标文件的递交和接收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bCs/>
          <w:sz w:val="24"/>
        </w:rPr>
        <w:t>19.1</w:t>
      </w:r>
      <w:r>
        <w:rPr>
          <w:rFonts w:ascii="Times New Roman" w:hAnsi="Times New Roman" w:eastAsia="宋体" w:cs="Times New Roman"/>
          <w:sz w:val="24"/>
        </w:rPr>
        <w:t>投标人代表应按投标须知前附表第18项所规定的时间和地点向招标人递交投标文件。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19.2若出现以下情况之一的，招标人将拒绝接收投标文件：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 xml:space="preserve">19.2.1投标文件未在递交投标文件截止时间前递交的；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19.2.2投标文件未按招标文件要求密封的；</w:t>
      </w:r>
    </w:p>
    <w:p>
      <w:pPr>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19.2.3投标文件损坏或格式不正确的。</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20．投标文件提交的截止时间</w:t>
      </w:r>
    </w:p>
    <w:p>
      <w:pPr>
        <w:spacing w:line="360" w:lineRule="auto"/>
        <w:ind w:firstLine="480" w:firstLineChars="200"/>
        <w:rPr>
          <w:rFonts w:ascii="Times New Roman" w:hAnsi="Times New Roman" w:eastAsia="宋体" w:cs="Times New Roman"/>
          <w:b/>
          <w:bCs/>
          <w:sz w:val="24"/>
        </w:rPr>
      </w:pPr>
      <w:r>
        <w:rPr>
          <w:rFonts w:ascii="Times New Roman" w:hAnsi="Times New Roman" w:eastAsia="宋体" w:cs="Times New Roman"/>
          <w:sz w:val="24"/>
        </w:rPr>
        <w:t>20.1投标人应在投标须知前附表第18项所述的时间前提交投标文件。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20.3 到投标截止时间止，招标人收到的投标文件少于3家的，招标人将重新组织招标。</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21．迟交的投标文件</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21.1 本须知前附表第18项规定的投标截止时间</w:t>
      </w:r>
      <w:r>
        <w:rPr>
          <w:rFonts w:ascii="Times New Roman" w:hAnsi="Times New Roman" w:eastAsia="宋体" w:cs="Times New Roman"/>
          <w:bCs/>
          <w:sz w:val="24"/>
          <w:szCs w:val="24"/>
        </w:rPr>
        <w:t>后送达的</w:t>
      </w:r>
      <w:r>
        <w:rPr>
          <w:rFonts w:ascii="Times New Roman" w:hAnsi="Times New Roman" w:eastAsia="宋体" w:cs="Times New Roman"/>
          <w:bCs/>
          <w:sz w:val="24"/>
        </w:rPr>
        <w:t>投标文件，</w:t>
      </w:r>
      <w:r>
        <w:rPr>
          <w:rFonts w:ascii="Times New Roman" w:hAnsi="Times New Roman" w:eastAsia="宋体" w:cs="Times New Roman"/>
          <w:sz w:val="24"/>
          <w:szCs w:val="24"/>
        </w:rPr>
        <w:t>招标代理机构</w:t>
      </w:r>
      <w:r>
        <w:rPr>
          <w:rFonts w:ascii="Times New Roman" w:hAnsi="Times New Roman" w:eastAsia="宋体" w:cs="Times New Roman"/>
          <w:sz w:val="24"/>
        </w:rPr>
        <w:t>将予以拒收。</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22．投标文件的修改与撤回</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22.1在规定的投标截止时间前，投标人可以修改或撤回已递交的投标文件，但应以书面形式通知招标人。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22.2修改后再次递交的，按19点的规定执行。</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22.3 在投标截止时间之后，投标人不得补充、修改和更换投标文件。</w:t>
      </w:r>
    </w:p>
    <w:p>
      <w:pPr>
        <w:widowControl/>
        <w:spacing w:before="156" w:beforeAutospacing="1" w:after="156" w:afterAutospacing="1"/>
        <w:jc w:val="center"/>
        <w:outlineLvl w:val="2"/>
        <w:rPr>
          <w:rFonts w:ascii="Times New Roman" w:hAnsi="Times New Roman" w:eastAsia="宋体" w:cs="Times New Roman"/>
          <w:b/>
          <w:bCs/>
          <w:kern w:val="0"/>
          <w:sz w:val="27"/>
          <w:szCs w:val="27"/>
        </w:rPr>
      </w:pPr>
      <w:bookmarkStart w:id="31" w:name="_Toc29329"/>
      <w:bookmarkStart w:id="32" w:name="_Toc15227"/>
      <w:bookmarkStart w:id="33" w:name="_Toc2272553"/>
      <w:bookmarkStart w:id="34" w:name="_Toc10437"/>
      <w:r>
        <w:rPr>
          <w:rFonts w:ascii="Times New Roman" w:hAnsi="Times New Roman" w:eastAsia="宋体" w:cs="Times New Roman"/>
          <w:b/>
          <w:bCs/>
          <w:kern w:val="0"/>
          <w:sz w:val="27"/>
          <w:szCs w:val="27"/>
        </w:rPr>
        <w:t>（五）开标、评标、定标及合同签定</w:t>
      </w:r>
      <w:bookmarkEnd w:id="31"/>
      <w:bookmarkEnd w:id="32"/>
      <w:bookmarkEnd w:id="33"/>
      <w:bookmarkEnd w:id="34"/>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23、开标。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详见第二章开标、评标及定标办法</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24．评标过程的保密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25．投标文件的澄清，计算错误的修正</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详见招标文件第二章开标、评标及定标办法</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26．投标文件的评审、比较和否决</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sz w:val="24"/>
        </w:rPr>
        <w:t>详见招标文件第二章开标、评标及定标办法。</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27．中标通知书</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27.1招标人或招标代理机构将在</w:t>
      </w:r>
      <w:r>
        <w:rPr>
          <w:rFonts w:ascii="Times New Roman" w:hAnsi="Times New Roman" w:eastAsia="宋体" w:cs="Times New Roman"/>
          <w:sz w:val="24"/>
          <w:szCs w:val="24"/>
        </w:rPr>
        <w:t>招标公告发布的媒介</w:t>
      </w:r>
      <w:r>
        <w:rPr>
          <w:rFonts w:ascii="Times New Roman" w:hAnsi="Times New Roman" w:eastAsia="宋体" w:cs="Times New Roman"/>
          <w:sz w:val="24"/>
        </w:rPr>
        <w:t>公示中标候选人，公示期为三天。</w:t>
      </w:r>
    </w:p>
    <w:p>
      <w:pPr>
        <w:spacing w:line="360" w:lineRule="auto"/>
        <w:ind w:firstLine="480" w:firstLineChars="200"/>
        <w:rPr>
          <w:rFonts w:ascii="Times New Roman" w:hAnsi="Times New Roman" w:eastAsia="仿宋_GB2312" w:cs="Times New Roman"/>
          <w:sz w:val="24"/>
        </w:rPr>
      </w:pPr>
      <w:r>
        <w:rPr>
          <w:rFonts w:ascii="Times New Roman" w:hAnsi="Times New Roman" w:eastAsia="宋体" w:cs="Times New Roman"/>
          <w:sz w:val="24"/>
        </w:rPr>
        <w:t>27.2公示期满，若无投标人提出异议，招标代理机构对外发布中标公告，并向中标人发出中标通知书。</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28．合同协议书的签订</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28.4招标人支付工程款时，中标人应提供工程所在地发票。</w:t>
      </w:r>
    </w:p>
    <w:p>
      <w:pPr>
        <w:spacing w:line="360" w:lineRule="auto"/>
        <w:ind w:firstLine="482" w:firstLineChars="200"/>
        <w:rPr>
          <w:rFonts w:hint="eastAsia" w:ascii="Times New Roman" w:hAnsi="Times New Roman" w:eastAsia="宋体" w:cs="Times New Roman"/>
          <w:b/>
          <w:bCs/>
          <w:color w:val="auto"/>
          <w:sz w:val="24"/>
          <w:lang w:eastAsia="zh-CN"/>
        </w:rPr>
      </w:pPr>
      <w:r>
        <w:rPr>
          <w:rFonts w:ascii="Times New Roman" w:hAnsi="Times New Roman" w:eastAsia="宋体" w:cs="Times New Roman"/>
          <w:b/>
          <w:bCs/>
          <w:color w:val="auto"/>
          <w:sz w:val="24"/>
        </w:rPr>
        <w:t>29．履约担保</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color w:val="auto"/>
          <w:sz w:val="24"/>
        </w:rPr>
        <w:t xml:space="preserve">29.1 </w:t>
      </w:r>
      <w:r>
        <w:rPr>
          <w:rFonts w:hint="eastAsia" w:ascii="Times New Roman" w:hAnsi="Times New Roman" w:eastAsia="宋体" w:cs="Times New Roman"/>
          <w:color w:val="auto"/>
          <w:sz w:val="24"/>
        </w:rPr>
        <w:t>自合同签订之日起15个工作日内</w:t>
      </w:r>
      <w:r>
        <w:rPr>
          <w:rFonts w:ascii="Times New Roman" w:hAnsi="Times New Roman" w:eastAsia="宋体" w:cs="Times New Roman"/>
          <w:color w:val="auto"/>
          <w:sz w:val="24"/>
        </w:rPr>
        <w:t>，中标人应按本须知前附表第21项的规定向招标人提交履约担保</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保函金额按中标价10%计算；如果中标人的履约担保是以银行保函的形式提供，则该银行保函应由</w:t>
      </w:r>
      <w:r>
        <w:rPr>
          <w:rFonts w:ascii="Times New Roman" w:hAnsi="Times New Roman" w:eastAsia="宋体" w:cs="Times New Roman"/>
          <w:sz w:val="24"/>
        </w:rPr>
        <w:t>在中国注册且营业地点在广州行政辖区内的银行开具。</w:t>
      </w:r>
    </w:p>
    <w:p>
      <w:pPr>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29.2</w:t>
      </w:r>
      <w:r>
        <w:rPr>
          <w:rFonts w:hint="eastAsia" w:ascii="Times New Roman" w:hAnsi="Times New Roman" w:eastAsia="宋体" w:cs="Times New Roman"/>
          <w:sz w:val="24"/>
        </w:rPr>
        <w:t>自合同签订之日起15个工作日内</w:t>
      </w:r>
      <w:r>
        <w:rPr>
          <w:rFonts w:ascii="Times New Roman" w:hAnsi="Times New Roman" w:eastAsia="宋体" w:cs="Times New Roman"/>
          <w:sz w:val="24"/>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30．合同生效</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30.1在合同双方全权代表在合同协议书上签字，并分别加盖双方单位的公章后，合同正式生效。</w:t>
      </w:r>
    </w:p>
    <w:p>
      <w:pPr>
        <w:numPr>
          <w:ilvl w:val="0"/>
          <w:numId w:val="11"/>
        </w:num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招标代理服务费用</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31.1中标人应按照投标人须知前附表第3</w:t>
      </w:r>
      <w:r>
        <w:rPr>
          <w:rFonts w:hint="eastAsia" w:ascii="Times New Roman" w:hAnsi="Times New Roman" w:eastAsia="宋体" w:cs="Times New Roman"/>
          <w:sz w:val="24"/>
          <w:lang w:val="en-US" w:eastAsia="zh-CN"/>
        </w:rPr>
        <w:t>0</w:t>
      </w:r>
      <w:r>
        <w:rPr>
          <w:rFonts w:ascii="Times New Roman" w:hAnsi="Times New Roman" w:eastAsia="宋体" w:cs="Times New Roman"/>
          <w:sz w:val="24"/>
        </w:rPr>
        <w:t>项的规定交纳招标代理服务费。否则，其投标保证金将不予退还。</w:t>
      </w:r>
    </w:p>
    <w:p>
      <w:pPr>
        <w:spacing w:line="360" w:lineRule="auto"/>
        <w:ind w:firstLine="482" w:firstLineChars="200"/>
        <w:rPr>
          <w:rFonts w:ascii="Times New Roman" w:hAnsi="Times New Roman" w:eastAsia="宋体" w:cs="Times New Roman"/>
          <w:b/>
          <w:bCs/>
          <w:sz w:val="24"/>
          <w:szCs w:val="20"/>
        </w:rPr>
      </w:pPr>
      <w:r>
        <w:rPr>
          <w:rFonts w:ascii="Times New Roman" w:hAnsi="Times New Roman" w:eastAsia="宋体" w:cs="Times New Roman"/>
          <w:b/>
          <w:bCs/>
          <w:sz w:val="24"/>
          <w:szCs w:val="20"/>
        </w:rPr>
        <w:t>32．腐败与欺诈行为</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在招标和合同实施期间，招标人要求投标人和承包人遵守最高的道德标准。</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32.1对本条款的规定，特定义如下词汇：</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1） “腐败行为”是指在招标或合同执行期间，通过提供、给予、接受或索要任何有价值的东西，从而影响招标人有关人员工作的行为；</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32.2如果投标人被认定在本招标的竞争中有腐败或欺诈行为，则会被取消投标资格。</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32.3投标人如在本项目中存在串通投标、弄虚作假、行贿情形的，中标无效，行政监督部门将对其违法行为进行政处罚并通报。该投标人将被招标人列入黑名单并限制其参与招标人后续项目的投标。</w:t>
      </w:r>
    </w:p>
    <w:p>
      <w:pPr>
        <w:adjustRightInd w:val="0"/>
        <w:snapToGrid w:val="0"/>
        <w:spacing w:line="360" w:lineRule="auto"/>
        <w:ind w:firstLine="540" w:firstLineChars="224"/>
        <w:rPr>
          <w:rFonts w:ascii="Times New Roman" w:hAnsi="Times New Roman" w:eastAsia="宋体" w:cs="Times New Roman"/>
          <w:b/>
          <w:sz w:val="24"/>
        </w:rPr>
      </w:pPr>
      <w:r>
        <w:rPr>
          <w:rFonts w:ascii="Times New Roman" w:hAnsi="Times New Roman" w:eastAsia="宋体" w:cs="Times New Roman"/>
          <w:b/>
          <w:sz w:val="24"/>
        </w:rPr>
        <w:t>33. 投标人信誉的要求</w:t>
      </w:r>
    </w:p>
    <w:p>
      <w:pPr>
        <w:adjustRightInd w:val="0"/>
        <w:snapToGrid w:val="0"/>
        <w:spacing w:line="360" w:lineRule="auto"/>
        <w:ind w:firstLine="537" w:firstLineChars="224"/>
        <w:rPr>
          <w:rFonts w:ascii="Times New Roman" w:hAnsi="Times New Roman" w:eastAsia="宋体" w:cs="Times New Roman"/>
          <w:sz w:val="24"/>
        </w:rPr>
      </w:pPr>
      <w:r>
        <w:rPr>
          <w:rFonts w:ascii="Times New Roman" w:hAnsi="Times New Roman" w:eastAsia="宋体" w:cs="Times New Roman"/>
          <w:sz w:val="24"/>
        </w:rPr>
        <w:t>存在下列情形之一的，招标人可以限制其投标：</w:t>
      </w:r>
    </w:p>
    <w:p>
      <w:pPr>
        <w:adjustRightInd w:val="0"/>
        <w:snapToGrid w:val="0"/>
        <w:spacing w:line="360" w:lineRule="auto"/>
        <w:ind w:firstLine="537" w:firstLineChars="224"/>
        <w:rPr>
          <w:rFonts w:ascii="Times New Roman" w:hAnsi="Times New Roman" w:eastAsia="宋体" w:cs="Times New Roman"/>
          <w:sz w:val="24"/>
        </w:rPr>
      </w:pPr>
      <w:r>
        <w:rPr>
          <w:rFonts w:ascii="Times New Roman" w:hAnsi="Times New Roman" w:eastAsia="宋体" w:cs="Times New Roman"/>
          <w:sz w:val="24"/>
        </w:rPr>
        <w:t>（1）被住房城乡建设行政主管部门在全国建筑市场监管一体化工作平台列入建筑市场主体“黑名单”；</w:t>
      </w:r>
    </w:p>
    <w:p>
      <w:pPr>
        <w:adjustRightInd w:val="0"/>
        <w:snapToGrid w:val="0"/>
        <w:spacing w:line="360" w:lineRule="auto"/>
        <w:ind w:firstLine="480" w:firstLineChars="200"/>
        <w:rPr>
          <w:rFonts w:ascii="Times New Roman" w:hAnsi="Times New Roman" w:eastAsia="宋体" w:cs="Times New Roman"/>
          <w:sz w:val="24"/>
          <w:szCs w:val="20"/>
        </w:rPr>
      </w:pPr>
      <w:r>
        <w:rPr>
          <w:rFonts w:ascii="Times New Roman" w:hAnsi="Times New Roman" w:eastAsia="宋体" w:cs="Times New Roman"/>
          <w:sz w:val="24"/>
          <w:szCs w:val="20"/>
        </w:rPr>
        <w:t>（2）被发改委、人力资源社会保障、质检总局等有关部门、单位在“信用中国”网站中列入联合惩戒失信黑名单。</w:t>
      </w:r>
    </w:p>
    <w:p>
      <w:pPr>
        <w:keepNext/>
        <w:keepLines/>
        <w:spacing w:after="120" w:line="360" w:lineRule="auto"/>
        <w:jc w:val="center"/>
        <w:outlineLvl w:val="0"/>
        <w:rPr>
          <w:rFonts w:ascii="Times New Roman" w:hAnsi="Times New Roman" w:eastAsia="宋体" w:cs="Times New Roman"/>
          <w:kern w:val="44"/>
          <w:sz w:val="28"/>
          <w:szCs w:val="28"/>
        </w:rPr>
      </w:pPr>
      <w:r>
        <w:rPr>
          <w:rFonts w:ascii="Times New Roman" w:hAnsi="Times New Roman" w:eastAsia="宋体" w:cs="Times New Roman"/>
          <w:kern w:val="44"/>
          <w:sz w:val="24"/>
          <w:szCs w:val="28"/>
        </w:rPr>
        <w:br w:type="page"/>
      </w:r>
      <w:bookmarkStart w:id="35" w:name="_Toc2272554"/>
      <w:bookmarkStart w:id="36" w:name="_Toc28400"/>
      <w:bookmarkStart w:id="37" w:name="_Toc12951"/>
      <w:bookmarkStart w:id="38" w:name="_Toc10978"/>
      <w:r>
        <w:rPr>
          <w:rFonts w:ascii="Times New Roman" w:hAnsi="Times New Roman" w:eastAsia="宋体" w:cs="Times New Roman"/>
          <w:b/>
          <w:bCs/>
          <w:kern w:val="44"/>
          <w:sz w:val="28"/>
          <w:szCs w:val="28"/>
        </w:rPr>
        <w:t xml:space="preserve">第三章 </w:t>
      </w:r>
      <w:bookmarkEnd w:id="35"/>
      <w:r>
        <w:rPr>
          <w:rFonts w:ascii="Times New Roman" w:hAnsi="Times New Roman" w:eastAsia="宋体" w:cs="Times New Roman"/>
          <w:b/>
          <w:bCs/>
          <w:kern w:val="44"/>
          <w:sz w:val="28"/>
          <w:szCs w:val="28"/>
        </w:rPr>
        <w:t>开标、评标及定标办法条款</w:t>
      </w:r>
      <w:bookmarkEnd w:id="36"/>
      <w:bookmarkEnd w:id="37"/>
      <w:bookmarkEnd w:id="38"/>
    </w:p>
    <w:p>
      <w:pPr>
        <w:widowControl/>
        <w:spacing w:before="156" w:beforeAutospacing="1" w:after="156" w:afterAutospacing="1"/>
        <w:ind w:firstLine="542" w:firstLineChars="200"/>
        <w:jc w:val="center"/>
        <w:outlineLvl w:val="2"/>
        <w:rPr>
          <w:rFonts w:ascii="Times New Roman" w:hAnsi="Times New Roman" w:eastAsia="宋体" w:cs="Times New Roman"/>
          <w:b/>
          <w:bCs/>
          <w:kern w:val="0"/>
          <w:sz w:val="27"/>
          <w:szCs w:val="27"/>
        </w:rPr>
      </w:pPr>
      <w:bookmarkStart w:id="39" w:name="_Toc2272557"/>
      <w:bookmarkStart w:id="40" w:name="_Toc26823"/>
      <w:bookmarkStart w:id="41" w:name="_Toc26745"/>
      <w:bookmarkStart w:id="42" w:name="_Toc7579"/>
      <w:r>
        <w:rPr>
          <w:rFonts w:ascii="Times New Roman" w:hAnsi="Times New Roman" w:eastAsia="宋体" w:cs="Times New Roman"/>
          <w:b/>
          <w:bCs/>
          <w:kern w:val="0"/>
          <w:sz w:val="27"/>
          <w:szCs w:val="27"/>
        </w:rPr>
        <w:t>（一）总则</w:t>
      </w:r>
      <w:bookmarkEnd w:id="39"/>
      <w:bookmarkEnd w:id="40"/>
      <w:bookmarkEnd w:id="41"/>
      <w:bookmarkEnd w:id="42"/>
    </w:p>
    <w:p>
      <w:pPr>
        <w:spacing w:line="360" w:lineRule="auto"/>
        <w:ind w:firstLine="480" w:firstLineChars="200"/>
        <w:rPr>
          <w:rFonts w:ascii="Times New Roman" w:hAnsi="Times New Roman" w:eastAsia="宋体" w:cs="Times New Roman"/>
          <w:b/>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4</w:t>
      </w:r>
      <w:r>
        <w:rPr>
          <w:rFonts w:ascii="Times New Roman" w:hAnsi="Times New Roman" w:eastAsia="宋体" w:cs="Times New Roman"/>
          <w:sz w:val="24"/>
          <w:szCs w:val="24"/>
        </w:rPr>
        <w:t xml:space="preserve"> 开标、评标及定标所依据的规则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34.1</w:t>
      </w:r>
      <w:r>
        <w:rPr>
          <w:rFonts w:hint="eastAsia" w:ascii="Times New Roman" w:hAnsi="Times New Roman" w:eastAsia="宋体" w:cs="Times New Roman"/>
          <w:sz w:val="24"/>
          <w:szCs w:val="24"/>
          <w:lang w:eastAsia="zh-CN"/>
        </w:rPr>
        <w:t>参照</w:t>
      </w:r>
      <w:r>
        <w:rPr>
          <w:rFonts w:ascii="Times New Roman" w:hAnsi="Times New Roman" w:eastAsia="宋体" w:cs="Times New Roman"/>
          <w:sz w:val="24"/>
          <w:szCs w:val="24"/>
        </w:rPr>
        <w:t>《中华人民共和国招标投标法》《中华人民共和国招标投标法实施条例》</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其配套法律法规。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4</w:t>
      </w:r>
      <w:r>
        <w:rPr>
          <w:rFonts w:ascii="Times New Roman" w:hAnsi="Times New Roman" w:eastAsia="宋体" w:cs="Times New Roman"/>
          <w:sz w:val="24"/>
          <w:szCs w:val="24"/>
        </w:rPr>
        <w:t>.2本项目招标文件。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5</w:t>
      </w:r>
      <w:r>
        <w:rPr>
          <w:rFonts w:ascii="Times New Roman" w:hAnsi="Times New Roman" w:eastAsia="宋体" w:cs="Times New Roman"/>
          <w:sz w:val="24"/>
          <w:szCs w:val="24"/>
        </w:rPr>
        <w:t>．开标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5</w:t>
      </w:r>
      <w:r>
        <w:rPr>
          <w:rFonts w:ascii="Times New Roman" w:hAnsi="Times New Roman" w:eastAsia="宋体" w:cs="Times New Roman"/>
          <w:sz w:val="24"/>
          <w:szCs w:val="24"/>
        </w:rPr>
        <w:t>.1 招标人按投标须知前附表第19项所规定的时间和地点公开开标，并邀请所有投标人参加。截标后，开标开始时间因故推迟的，相关评标信息仍以原定的开标开始时间的信息为准。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5</w:t>
      </w:r>
      <w:r>
        <w:rPr>
          <w:rFonts w:ascii="Times New Roman" w:hAnsi="Times New Roman" w:eastAsia="宋体" w:cs="Times New Roman"/>
          <w:sz w:val="24"/>
          <w:szCs w:val="24"/>
        </w:rPr>
        <w:t>.2 招标人在招标文件要求提交投标文件的截止时间前收到的投标文件，开标时都当众予以解密、公布。</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5</w:t>
      </w:r>
      <w:r>
        <w:rPr>
          <w:rFonts w:ascii="Times New Roman" w:hAnsi="Times New Roman" w:eastAsia="宋体" w:cs="Times New Roman"/>
          <w:sz w:val="24"/>
          <w:szCs w:val="24"/>
        </w:rPr>
        <w:t>.3若递交投标文件的投标人不足3家，则重新组织招标。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5</w:t>
      </w:r>
      <w:r>
        <w:rPr>
          <w:rFonts w:ascii="Times New Roman" w:hAnsi="Times New Roman" w:eastAsia="宋体" w:cs="Times New Roman"/>
          <w:sz w:val="24"/>
        </w:rPr>
        <w:t>.4按下列程序进行开标：</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5</w:t>
      </w:r>
      <w:r>
        <w:rPr>
          <w:rFonts w:ascii="Times New Roman" w:hAnsi="Times New Roman" w:eastAsia="宋体" w:cs="Times New Roman"/>
          <w:sz w:val="24"/>
        </w:rPr>
        <w:t>.4.1在投标截止时间后半小时内，招标代理机构公布招标项目名称、投标人名称、投标保证金的递交情况、投标报价、工期及其他内容；</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5</w:t>
      </w:r>
      <w:r>
        <w:rPr>
          <w:rFonts w:ascii="Times New Roman" w:hAnsi="Times New Roman" w:eastAsia="宋体" w:cs="Times New Roman"/>
          <w:sz w:val="24"/>
        </w:rPr>
        <w:t>.4.3投标人代表、招标人代表、监标人、记录人等有关人员在开标记录上签字确认；若有关人员不签字的，不影响开标程序；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5</w:t>
      </w:r>
      <w:r>
        <w:rPr>
          <w:rFonts w:ascii="Times New Roman" w:hAnsi="Times New Roman" w:eastAsia="宋体" w:cs="Times New Roman"/>
          <w:sz w:val="24"/>
        </w:rPr>
        <w:t>.4.4开标结束。</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．评标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.1评标委员会由招标人依法组建。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.2评标委员会的职责及守则：</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.2.1根据评标细则，对</w:t>
      </w:r>
      <w:r>
        <w:rPr>
          <w:rFonts w:ascii="Times New Roman" w:hAnsi="Times New Roman" w:eastAsia="宋体" w:cs="Times New Roman"/>
          <w:sz w:val="24"/>
        </w:rPr>
        <w:t>投标文件</w:t>
      </w:r>
      <w:r>
        <w:rPr>
          <w:rFonts w:ascii="Times New Roman" w:hAnsi="Times New Roman" w:eastAsia="宋体" w:cs="Times New Roman"/>
          <w:sz w:val="24"/>
          <w:szCs w:val="24"/>
        </w:rPr>
        <w:t>进行认真评审，完成评审报告；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.2.2向招标人报告评审意见，推荐合格的中标候选人。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6</w:t>
      </w:r>
      <w:r>
        <w:rPr>
          <w:rFonts w:ascii="Times New Roman" w:hAnsi="Times New Roman" w:eastAsia="宋体" w:cs="Times New Roman"/>
          <w:bCs/>
          <w:sz w:val="24"/>
          <w:szCs w:val="24"/>
        </w:rPr>
        <w:t>.2.3</w:t>
      </w:r>
      <w:r>
        <w:rPr>
          <w:rFonts w:ascii="Times New Roman" w:hAnsi="Times New Roman" w:eastAsia="宋体" w:cs="Times New Roman"/>
          <w:b/>
          <w:bCs/>
          <w:sz w:val="24"/>
          <w:szCs w:val="24"/>
        </w:rPr>
        <w:t xml:space="preserve"> </w:t>
      </w:r>
      <w:r>
        <w:rPr>
          <w:rFonts w:ascii="Times New Roman" w:hAnsi="Times New Roman" w:eastAsia="宋体" w:cs="Times New Roman"/>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.2.4全体参与评标人员：</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.2.4.1 必须遵守评标纪律、不得泄密；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.2.4.2 必须公正、不得循私；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.2.4.3 必须科学、不得草率；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.2.4.4 必须客观、不得带有成见；</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.2.4.5 必须平等、不得强加于人；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.2.4.6 必须严谨、不得随意马虎。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6</w:t>
      </w:r>
      <w:r>
        <w:rPr>
          <w:rFonts w:ascii="Times New Roman" w:hAnsi="Times New Roman" w:eastAsia="宋体" w:cs="Times New Roman"/>
          <w:sz w:val="24"/>
          <w:szCs w:val="24"/>
        </w:rPr>
        <w:t xml:space="preserve">.3 评标结束后，评标委员会递交评标报告并依法推荐中标候选人。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7</w:t>
      </w:r>
      <w:r>
        <w:rPr>
          <w:rFonts w:ascii="Times New Roman" w:hAnsi="Times New Roman" w:eastAsia="宋体" w:cs="Times New Roman"/>
          <w:sz w:val="24"/>
          <w:szCs w:val="24"/>
        </w:rPr>
        <w:t>．投标文件的澄清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7</w:t>
      </w:r>
      <w:r>
        <w:rPr>
          <w:rFonts w:ascii="Times New Roman" w:hAnsi="Times New Roman" w:eastAsia="宋体" w:cs="Times New Roman"/>
          <w:sz w:val="24"/>
          <w:szCs w:val="24"/>
        </w:rPr>
        <w:t>.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7</w:t>
      </w:r>
      <w:r>
        <w:rPr>
          <w:rFonts w:ascii="Times New Roman" w:hAnsi="Times New Roman" w:eastAsia="宋体" w:cs="Times New Roman"/>
          <w:sz w:val="24"/>
          <w:szCs w:val="24"/>
        </w:rPr>
        <w:t>.2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7</w:t>
      </w:r>
      <w:r>
        <w:rPr>
          <w:rFonts w:ascii="Times New Roman" w:hAnsi="Times New Roman" w:eastAsia="宋体" w:cs="Times New Roman"/>
          <w:sz w:val="24"/>
          <w:szCs w:val="24"/>
        </w:rPr>
        <w:t>.3 评标委员会或评标委员会专业评审组成员均应当阅读投标人的澄清，但应独立参考澄清对投标文件进行评审。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7</w:t>
      </w:r>
      <w:r>
        <w:rPr>
          <w:rFonts w:ascii="Times New Roman" w:hAnsi="Times New Roman" w:eastAsia="宋体" w:cs="Times New Roman"/>
          <w:sz w:val="24"/>
          <w:szCs w:val="24"/>
        </w:rPr>
        <w:t>.4如果投标文件实质上不响应招标文件的各项要求，评标委员会将按照符合性审查标准予以拒绝，不接受投标人通过修改或撤销其不符合要求的差异或保留，使之成为具有响应性的投标。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7</w:t>
      </w:r>
      <w:r>
        <w:rPr>
          <w:rFonts w:ascii="Times New Roman" w:hAnsi="Times New Roman" w:eastAsia="宋体" w:cs="Times New Roman"/>
          <w:sz w:val="24"/>
          <w:szCs w:val="24"/>
        </w:rPr>
        <w:t>.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．定标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.1 招标人根据评标委员会递交的评标报告，最终审定中标人。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.2 依法必须进行公开招标的项目，招标人应当确定排名第一的中标候选人为中标人。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8</w:t>
      </w:r>
      <w:r>
        <w:rPr>
          <w:rFonts w:ascii="Times New Roman" w:hAnsi="Times New Roman" w:eastAsia="宋体" w:cs="Times New Roman"/>
          <w:sz w:val="24"/>
          <w:szCs w:val="24"/>
        </w:rPr>
        <w:t>.5 重新评标的，评标信息（含业绩、奖项等）仍以投标截止时投标人的信息为准。因特殊原因需要延长投标有效期，投标人拒绝延长投标有效期的，仍参与评标，但不被推荐为中标候选人。</w:t>
      </w:r>
    </w:p>
    <w:p>
      <w:pPr>
        <w:widowControl/>
        <w:spacing w:before="156" w:beforeAutospacing="1" w:after="156" w:afterAutospacing="1"/>
        <w:ind w:firstLine="542" w:firstLineChars="200"/>
        <w:jc w:val="center"/>
        <w:outlineLvl w:val="2"/>
        <w:rPr>
          <w:rFonts w:ascii="Times New Roman" w:hAnsi="Times New Roman" w:eastAsia="宋体" w:cs="Times New Roman"/>
          <w:b/>
          <w:bCs/>
          <w:kern w:val="0"/>
          <w:sz w:val="27"/>
          <w:szCs w:val="27"/>
        </w:rPr>
      </w:pPr>
      <w:bookmarkStart w:id="43" w:name="_Toc2272558"/>
      <w:bookmarkStart w:id="44" w:name="_Toc18739"/>
      <w:bookmarkStart w:id="45" w:name="_Toc16597"/>
      <w:bookmarkStart w:id="46" w:name="_Toc19486"/>
      <w:r>
        <w:rPr>
          <w:rFonts w:ascii="Times New Roman" w:hAnsi="Times New Roman" w:eastAsia="宋体" w:cs="Times New Roman"/>
          <w:b/>
          <w:bCs/>
          <w:kern w:val="0"/>
          <w:sz w:val="27"/>
          <w:szCs w:val="27"/>
        </w:rPr>
        <w:t>（二）开标评标办法程序和细则</w:t>
      </w:r>
      <w:bookmarkEnd w:id="43"/>
      <w:bookmarkEnd w:id="44"/>
      <w:bookmarkEnd w:id="45"/>
      <w:bookmarkEnd w:id="46"/>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．开标和评标程序</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.1技术标（含资格审查文件）与经济标投标文件同时公开开标；</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.2由评标委员会对所有已公开开标的投标人进行资格审查；</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.3技术标投标文件有效性审查；</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.4技术标详细审查评分；</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 xml:space="preserve">.5经济标详细审查评分； </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.6评标委员会按照投标人总得分由高至低排序；</w:t>
      </w:r>
    </w:p>
    <w:p>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.7经济标投标文件有效性审查；</w:t>
      </w:r>
    </w:p>
    <w:p>
      <w:pPr>
        <w:snapToGrid w:val="0"/>
        <w:spacing w:line="360" w:lineRule="auto"/>
        <w:ind w:firstLine="480" w:firstLineChars="200"/>
        <w:rPr>
          <w:rFonts w:ascii="Times New Roman" w:hAnsi="Times New Roman" w:eastAsia="宋体" w:cs="Times New Roman"/>
          <w:szCs w:val="21"/>
        </w:rPr>
      </w:pPr>
      <w:r>
        <w:rPr>
          <w:rFonts w:hint="eastAsia" w:ascii="Times New Roman" w:hAnsi="Times New Roman" w:eastAsia="宋体" w:cs="Times New Roman"/>
          <w:sz w:val="24"/>
          <w:szCs w:val="24"/>
        </w:rPr>
        <w:t>39</w:t>
      </w:r>
      <w:r>
        <w:rPr>
          <w:rFonts w:ascii="Times New Roman" w:hAnsi="Times New Roman" w:eastAsia="宋体" w:cs="Times New Roman"/>
          <w:sz w:val="24"/>
          <w:szCs w:val="24"/>
        </w:rPr>
        <w:t>.8评标委员会按排序向招标人推荐中标候选人名单，并递交资格审查报告及评标报告。</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．开标细则</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.1开标由招标人主持；</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.2 细则</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 xml:space="preserve">.2.1投标截止期前，各投标人递交投标文件（包括技术标投标文件、经济标投标文件）至招标代理机构。有关投标文件提交的事项详见第一章投标须知。 </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.2.2开标时，投标人代表有权出席开标会，也可以自主决定不参加开标会，若投标人代表对开标过程提出异议，该投标人代表须同时出示本人身份证原件。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.2.3</w:t>
      </w:r>
      <w:r>
        <w:rPr>
          <w:rFonts w:ascii="Times New Roman" w:hAnsi="Times New Roman" w:eastAsia="宋体" w:cs="Times New Roman"/>
          <w:sz w:val="24"/>
        </w:rPr>
        <w:t>在投标截止后</w:t>
      </w:r>
      <w:r>
        <w:rPr>
          <w:rFonts w:ascii="Times New Roman" w:hAnsi="Times New Roman" w:eastAsia="宋体" w:cs="Times New Roman"/>
          <w:sz w:val="24"/>
          <w:szCs w:val="24"/>
        </w:rPr>
        <w:t>，公布下列内容，并予以记录，记录提交评标委员会评审：</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.2.3.1开标时，公布：a、投标人名称；b、</w:t>
      </w:r>
      <w:r>
        <w:rPr>
          <w:rFonts w:ascii="Times New Roman" w:hAnsi="Times New Roman" w:eastAsia="宋体" w:cs="Times New Roman"/>
          <w:sz w:val="24"/>
        </w:rPr>
        <w:t>投标文件</w:t>
      </w:r>
      <w:r>
        <w:rPr>
          <w:rFonts w:ascii="Times New Roman" w:hAnsi="Times New Roman" w:eastAsia="宋体" w:cs="Times New Roman"/>
          <w:sz w:val="24"/>
          <w:szCs w:val="24"/>
        </w:rPr>
        <w:t>密封情况；c、投标报价等主要内容及开标记录表中的其他必要内容。投标报价以数字和文字两种方式表述的，应公布文字表述的投标报价。</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.3招标人对开标过程进行记录，并存档备查，投标人在开标记录上签字。</w:t>
      </w:r>
    </w:p>
    <w:p>
      <w:pPr>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0</w:t>
      </w:r>
      <w:r>
        <w:rPr>
          <w:rFonts w:ascii="Times New Roman" w:hAnsi="Times New Roman" w:eastAsia="宋体" w:cs="Times New Roman"/>
          <w:sz w:val="24"/>
          <w:szCs w:val="24"/>
        </w:rPr>
        <w:t>.4 招标人将上述符合要求的投标文件，送至评标委员会进行评审。</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 资格审查及评标细则</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.1资格审查及评标均由招标人依法组建的评标委员会负责。</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1</w:t>
      </w:r>
      <w:r>
        <w:rPr>
          <w:rFonts w:ascii="Times New Roman" w:hAnsi="Times New Roman" w:eastAsia="宋体" w:cs="Times New Roman"/>
          <w:sz w:val="24"/>
          <w:szCs w:val="24"/>
        </w:rPr>
        <w:t>.2评标委员会的组成：评标委员会为综合评标委员会，负责资格审查及评标工作。</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．投标人资格审查</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.2汇总资格审查情况，编写资格审查报告。</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.3资格审查不合格的投标文件不参加下一阶段的评标，不参与评标参考价的计算。</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.4资格审查时，投标企业名称已经工商变更的，但企业及个人的资质证书未完成企业名称变更，仍然承认其有效。资质证书、安全生产许可证之间登记的信息不一致，应当允许投标人澄清，不得直接否决其投标。</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.5资审合格后，投标人的资格发生变化而不满足投标人合格条件，在发出中标通知书前，资格问题仍未解决的，招标人将取消其中标资格。</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2</w:t>
      </w:r>
      <w:r>
        <w:rPr>
          <w:rFonts w:ascii="Times New Roman" w:hAnsi="Times New Roman" w:eastAsia="宋体" w:cs="Times New Roman"/>
          <w:sz w:val="24"/>
          <w:szCs w:val="24"/>
        </w:rPr>
        <w:t>.6资格审查合格的投标人少于3名的</w:t>
      </w:r>
      <w:r>
        <w:rPr>
          <w:rFonts w:ascii="Times New Roman" w:hAnsi="Times New Roman" w:eastAsia="宋体" w:cs="Times New Roman"/>
          <w:szCs w:val="20"/>
        </w:rPr>
        <w:t>，</w:t>
      </w:r>
      <w:r>
        <w:rPr>
          <w:rFonts w:ascii="Times New Roman" w:hAnsi="Times New Roman" w:eastAsia="宋体" w:cs="Times New Roman"/>
          <w:sz w:val="24"/>
          <w:szCs w:val="24"/>
        </w:rPr>
        <w:t>则本项目招标失败。</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．技术标评审</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3</w:t>
      </w:r>
      <w:r>
        <w:rPr>
          <w:rFonts w:ascii="Times New Roman" w:hAnsi="Times New Roman" w:eastAsia="宋体" w:cs="Times New Roman"/>
          <w:sz w:val="24"/>
          <w:szCs w:val="24"/>
        </w:rPr>
        <w:t>.2技术标详细审查评分：评标委员会按照附表四《技术标详细审查评分表》的标准，对通过技术标有效性审查的投标文件技术标进行详细审查，评出技术分，得分四舍五入精确到小数点后两位。</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44．技术标评审</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w:t>
      </w:r>
    </w:p>
    <w:p>
      <w:pPr>
        <w:tabs>
          <w:tab w:val="left" w:pos="7380"/>
        </w:tabs>
        <w:snapToGrid w:val="0"/>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sz w:val="24"/>
          <w:szCs w:val="24"/>
        </w:rPr>
        <w:t>44.2技术标详细审查评分：评标委员会按照附表四《技术标详细审查评分表》的标准，对通过技术标有效性</w:t>
      </w:r>
      <w:r>
        <w:rPr>
          <w:rFonts w:ascii="Times New Roman" w:hAnsi="Times New Roman" w:eastAsia="宋体" w:cs="Times New Roman"/>
          <w:color w:val="auto"/>
          <w:sz w:val="24"/>
          <w:szCs w:val="24"/>
        </w:rPr>
        <w:t>审查的投标文件技术标进行详细审查，评出技术分，得分四舍五入精确到小数点后两位。</w:t>
      </w:r>
    </w:p>
    <w:p>
      <w:pPr>
        <w:tabs>
          <w:tab w:val="left" w:pos="7380"/>
        </w:tabs>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45．经济标评审和得分汇总</w:t>
      </w:r>
    </w:p>
    <w:p>
      <w:pPr>
        <w:tabs>
          <w:tab w:val="left" w:pos="7380"/>
        </w:tabs>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45.1将评标委员会确认后的合格投标人的有效投标报价去掉一个最高投标报价和一个最低投标报价（当投标人不足5家时，直接取其平均值作为评标参考价），剩余的投标报价的平均值作为评标参考价。</w:t>
      </w:r>
    </w:p>
    <w:p>
      <w:pPr>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kern w:val="0"/>
          <w:sz w:val="24"/>
          <w:szCs w:val="24"/>
          <w:highlight w:val="none"/>
        </w:rPr>
        <w:t>4</w:t>
      </w:r>
      <w:r>
        <w:rPr>
          <w:rFonts w:hint="eastAsia" w:ascii="Times New Roman" w:hAnsi="Times New Roman" w:eastAsia="宋体" w:cs="Times New Roman"/>
          <w:color w:val="auto"/>
          <w:kern w:val="0"/>
          <w:sz w:val="24"/>
          <w:szCs w:val="24"/>
          <w:highlight w:val="none"/>
        </w:rPr>
        <w:t>5</w:t>
      </w:r>
      <w:r>
        <w:rPr>
          <w:rFonts w:ascii="Times New Roman" w:hAnsi="Times New Roman" w:eastAsia="宋体" w:cs="Times New Roman"/>
          <w:color w:val="auto"/>
          <w:kern w:val="0"/>
          <w:sz w:val="24"/>
          <w:szCs w:val="24"/>
          <w:highlight w:val="none"/>
        </w:rPr>
        <w:t>.2</w:t>
      </w:r>
      <w:r>
        <w:rPr>
          <w:rFonts w:ascii="Times New Roman" w:hAnsi="Times New Roman" w:eastAsia="宋体" w:cs="Times New Roman"/>
          <w:color w:val="auto"/>
          <w:sz w:val="24"/>
          <w:szCs w:val="24"/>
          <w:highlight w:val="none"/>
        </w:rPr>
        <w:t>等于评标参考价的投标报价为满分，高于评标参考价的投标报价则按其比例，每高于1%减2分（精确到0.01），每低于1%减1分（精确到0.01）。如此类推，算出所有投标人价格评分。</w:t>
      </w:r>
    </w:p>
    <w:p>
      <w:pPr>
        <w:tabs>
          <w:tab w:val="left" w:pos="7380"/>
        </w:tabs>
        <w:snapToGrid w:val="0"/>
        <w:spacing w:line="360" w:lineRule="auto"/>
        <w:ind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w:t>
      </w:r>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.3计算通过技术标有效性审查的投标人总得分。投标人总得分=（技术得分＋经济得分）。技术、经济得分分值按投标须知前附表的规定执行。总得分四舍五入保留两位小数。</w:t>
      </w:r>
    </w:p>
    <w:p>
      <w:pPr>
        <w:tabs>
          <w:tab w:val="left" w:pos="7380"/>
        </w:tabs>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.经济标的有效性审查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.1经济标的有效性审查：按照投标人总得分排序，依次对投标文件进行经济标有效性审查，投标文件中没有任一种列于本办法附表三《经济标有效性审查表》中情形的，为有效</w:t>
      </w:r>
      <w:r>
        <w:rPr>
          <w:rFonts w:ascii="Times New Roman" w:hAnsi="Times New Roman" w:eastAsia="宋体" w:cs="Times New Roman"/>
          <w:sz w:val="24"/>
        </w:rPr>
        <w:t>投标文件</w:t>
      </w:r>
      <w:r>
        <w:rPr>
          <w:rFonts w:ascii="Times New Roman" w:hAnsi="Times New Roman" w:eastAsia="宋体" w:cs="Times New Roman"/>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.2经济标的算术校核。评标委员会对进行经济标有效性审查的投标文件投标报价按照就低不就高的原则进行算术校核，具体标准如下：</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.2.1如果数字表示的金额和用文字表示的金额不一致时，应以文字表示的金额为准；</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.2.2经算术复核的投标人报价与其投标报价不一致时，按就低不就高原则确定其最终报价；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.2.4当合价、金额累加错误时，按就低不就高原则，如果累加修正值小于原累加值，则按累加修正值；如果累加修正值大于原累加值，则按原累加值；</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w:t>
      </w:r>
      <w:r>
        <w:rPr>
          <w:rFonts w:hint="eastAsia" w:ascii="Times New Roman" w:hAnsi="Times New Roman" w:eastAsia="宋体" w:cs="Times New Roman"/>
          <w:sz w:val="24"/>
          <w:szCs w:val="24"/>
        </w:rPr>
        <w:t>5</w:t>
      </w:r>
      <w:r>
        <w:rPr>
          <w:rFonts w:ascii="Times New Roman" w:hAnsi="Times New Roman" w:eastAsia="宋体" w:cs="Times New Roman"/>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6</w:t>
      </w:r>
      <w:r>
        <w:rPr>
          <w:rFonts w:ascii="Times New Roman" w:hAnsi="Times New Roman" w:eastAsia="宋体" w:cs="Times New Roman"/>
          <w:sz w:val="24"/>
          <w:szCs w:val="24"/>
        </w:rPr>
        <w:t>.2.</w:t>
      </w:r>
      <w:r>
        <w:rPr>
          <w:rFonts w:hint="eastAsia" w:ascii="Times New Roman" w:hAnsi="Times New Roman" w:eastAsia="宋体" w:cs="Times New Roman"/>
          <w:sz w:val="24"/>
          <w:szCs w:val="24"/>
        </w:rPr>
        <w:t>6</w:t>
      </w:r>
      <w:r>
        <w:rPr>
          <w:rFonts w:ascii="Times New Roman" w:hAnsi="Times New Roman" w:eastAsia="宋体" w:cs="Times New Roman"/>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numPr>
          <w:ilvl w:val="0"/>
          <w:numId w:val="0"/>
        </w:numPr>
        <w:tabs>
          <w:tab w:val="left" w:pos="1077"/>
          <w:tab w:val="left" w:pos="1280"/>
        </w:tabs>
        <w:adjustRightInd w:val="0"/>
        <w:snapToGrid w:val="0"/>
        <w:spacing w:line="360" w:lineRule="auto"/>
        <w:ind w:left="420" w:leftChars="0"/>
        <w:rPr>
          <w:rFonts w:ascii="宋体" w:hAnsi="宋体" w:cs="宋体"/>
          <w:sz w:val="24"/>
          <w:lang w:val="zh-CN"/>
        </w:rPr>
      </w:pPr>
      <w:r>
        <w:rPr>
          <w:rFonts w:hint="eastAsia" w:ascii="宋体" w:hAnsi="宋体" w:cs="宋体"/>
          <w:sz w:val="24"/>
          <w:lang w:val="en-US" w:eastAsia="zh-CN"/>
        </w:rPr>
        <w:t>46.3</w:t>
      </w:r>
      <w:r>
        <w:rPr>
          <w:rFonts w:hint="eastAsia" w:ascii="宋体" w:hAnsi="宋体" w:cs="宋体"/>
          <w:sz w:val="24"/>
          <w:lang w:val="zh-CN"/>
        </w:rPr>
        <w:t>评审价的确定：按上述条款校核修正后的价格为评审价。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7</w:t>
      </w:r>
      <w:r>
        <w:rPr>
          <w:rFonts w:hint="eastAsia" w:ascii="Times New Roman" w:hAnsi="Times New Roman" w:eastAsia="宋体" w:cs="Times New Roman"/>
          <w:sz w:val="24"/>
          <w:szCs w:val="24"/>
          <w:lang w:val="en-US" w:eastAsia="zh-CN"/>
        </w:rPr>
        <w:t>.</w:t>
      </w:r>
      <w:r>
        <w:rPr>
          <w:rFonts w:ascii="Times New Roman" w:hAnsi="Times New Roman" w:eastAsia="宋体" w:cs="Times New Roman"/>
          <w:sz w:val="24"/>
          <w:szCs w:val="24"/>
        </w:rPr>
        <w:t>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8</w:t>
      </w:r>
      <w:r>
        <w:rPr>
          <w:rFonts w:ascii="Times New Roman" w:hAnsi="Times New Roman" w:eastAsia="宋体" w:cs="Times New Roman"/>
          <w:sz w:val="24"/>
          <w:szCs w:val="24"/>
        </w:rPr>
        <w:t>.评标委员会应在通过投标文件经济标有效性审查的投标人中，评标结果按评审后得分由高到低顺序排列。得分相同的，按投标报价由低到高顺序排列。得分且投标报价相同的，按技术指标优劣顺序排列。</w:t>
      </w:r>
      <w:r>
        <w:rPr>
          <w:rFonts w:hint="eastAsia" w:ascii="Times New Roman" w:hAnsi="Times New Roman" w:eastAsia="宋体" w:cs="Times New Roman"/>
          <w:sz w:val="24"/>
          <w:szCs w:val="24"/>
        </w:rPr>
        <w:t>总得分</w:t>
      </w:r>
      <w:r>
        <w:rPr>
          <w:rFonts w:ascii="Times New Roman" w:hAnsi="Times New Roman" w:eastAsia="宋体" w:cs="Times New Roman"/>
          <w:sz w:val="24"/>
          <w:szCs w:val="24"/>
        </w:rPr>
        <w:t>相同，且</w:t>
      </w:r>
      <w:r>
        <w:rPr>
          <w:rFonts w:hint="eastAsia" w:ascii="Times New Roman" w:hAnsi="Times New Roman" w:eastAsia="宋体" w:cs="Times New Roman"/>
          <w:sz w:val="24"/>
          <w:szCs w:val="24"/>
        </w:rPr>
        <w:t>投标报</w:t>
      </w:r>
      <w:r>
        <w:rPr>
          <w:rFonts w:ascii="Times New Roman" w:hAnsi="Times New Roman" w:eastAsia="宋体" w:cs="Times New Roman"/>
          <w:sz w:val="24"/>
          <w:szCs w:val="24"/>
        </w:rPr>
        <w:t>价和技术评分均相同的，名次由评标委员会抽签决定。推荐前3名依次为第一中标候选人至第三中标候选人,并编制评标报告。</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49</w:t>
      </w:r>
      <w:r>
        <w:rPr>
          <w:rFonts w:ascii="Times New Roman" w:hAnsi="Times New Roman" w:eastAsia="宋体" w:cs="Times New Roman"/>
          <w:sz w:val="24"/>
          <w:szCs w:val="24"/>
        </w:rPr>
        <w:t>.若通过经济标有效性审查的投标人不足三家，应当依法重新招标。</w:t>
      </w:r>
    </w:p>
    <w:p>
      <w:pPr>
        <w:rPr>
          <w:rFonts w:ascii="Times New Roman" w:hAnsi="Times New Roman" w:eastAsia="宋体" w:cs="Times New Roman"/>
          <w:b/>
          <w:bCs/>
          <w:kern w:val="0"/>
          <w:sz w:val="24"/>
          <w:szCs w:val="24"/>
        </w:rPr>
      </w:pPr>
      <w:bookmarkStart w:id="47" w:name="_Toc11859"/>
      <w:bookmarkStart w:id="48" w:name="_Toc9933"/>
      <w:r>
        <w:rPr>
          <w:rFonts w:ascii="Times New Roman" w:hAnsi="Times New Roman" w:eastAsia="宋体" w:cs="Times New Roman"/>
          <w:b/>
          <w:bCs/>
          <w:kern w:val="0"/>
          <w:sz w:val="24"/>
          <w:szCs w:val="24"/>
        </w:rPr>
        <w:br w:type="page"/>
      </w:r>
    </w:p>
    <w:p>
      <w:pPr>
        <w:widowControl/>
        <w:spacing w:before="156" w:beforeAutospacing="1" w:after="156" w:afterAutospacing="1"/>
        <w:jc w:val="center"/>
        <w:outlineLvl w:val="2"/>
        <w:rPr>
          <w:rFonts w:ascii="Times New Roman" w:hAnsi="Times New Roman" w:eastAsia="宋体" w:cs="Times New Roman"/>
          <w:b/>
          <w:bCs/>
          <w:kern w:val="0"/>
          <w:sz w:val="24"/>
          <w:szCs w:val="24"/>
        </w:rPr>
      </w:pPr>
      <w:bookmarkStart w:id="49" w:name="_Toc5711"/>
      <w:r>
        <w:rPr>
          <w:rFonts w:ascii="Times New Roman" w:hAnsi="Times New Roman" w:eastAsia="宋体" w:cs="Times New Roman"/>
          <w:b/>
          <w:bCs/>
          <w:kern w:val="0"/>
          <w:sz w:val="24"/>
          <w:szCs w:val="24"/>
        </w:rPr>
        <w:t>（三）附表</w:t>
      </w:r>
      <w:bookmarkEnd w:id="47"/>
      <w:bookmarkEnd w:id="48"/>
      <w:bookmarkEnd w:id="49"/>
    </w:p>
    <w:p>
      <w:pPr>
        <w:keepNext/>
        <w:keepLines/>
        <w:numPr>
          <w:ilvl w:val="3"/>
          <w:numId w:val="0"/>
        </w:numPr>
        <w:spacing w:line="360" w:lineRule="auto"/>
        <w:ind w:firstLine="480" w:firstLineChars="200"/>
        <w:jc w:val="left"/>
        <w:outlineLvl w:val="3"/>
        <w:rPr>
          <w:rFonts w:ascii="Times New Roman" w:hAnsi="Times New Roman" w:eastAsia="宋体" w:cs="Times New Roman"/>
          <w:sz w:val="24"/>
          <w:szCs w:val="24"/>
        </w:rPr>
      </w:pPr>
      <w:bookmarkStart w:id="50" w:name="_Toc11761"/>
      <w:bookmarkStart w:id="51" w:name="_Toc11695"/>
      <w:bookmarkStart w:id="52" w:name="_Toc2380"/>
      <w:bookmarkStart w:id="53" w:name="_Toc10464"/>
      <w:r>
        <w:rPr>
          <w:rFonts w:ascii="Times New Roman" w:hAnsi="Times New Roman" w:eastAsia="宋体" w:cs="Times New Roman"/>
          <w:sz w:val="24"/>
          <w:szCs w:val="24"/>
        </w:rPr>
        <w:t>附表一：资格审查表</w:t>
      </w:r>
      <w:bookmarkEnd w:id="50"/>
      <w:bookmarkEnd w:id="51"/>
      <w:bookmarkEnd w:id="52"/>
      <w:bookmarkEnd w:id="53"/>
    </w:p>
    <w:p>
      <w:pPr>
        <w:keepNext/>
        <w:keepLines/>
        <w:numPr>
          <w:ilvl w:val="3"/>
          <w:numId w:val="0"/>
        </w:numPr>
        <w:spacing w:line="360" w:lineRule="auto"/>
        <w:ind w:firstLine="480" w:firstLineChars="200"/>
        <w:jc w:val="left"/>
        <w:outlineLvl w:val="3"/>
        <w:rPr>
          <w:rFonts w:ascii="Times New Roman" w:hAnsi="Times New Roman" w:eastAsia="宋体" w:cs="Times New Roman"/>
          <w:sz w:val="24"/>
          <w:szCs w:val="24"/>
        </w:rPr>
      </w:pPr>
      <w:bookmarkStart w:id="54" w:name="_Toc30583"/>
      <w:bookmarkStart w:id="55" w:name="_Toc6863"/>
      <w:bookmarkStart w:id="56" w:name="_Toc28953"/>
      <w:bookmarkStart w:id="57" w:name="_Toc12312"/>
      <w:r>
        <w:rPr>
          <w:rFonts w:ascii="Times New Roman" w:hAnsi="Times New Roman" w:eastAsia="宋体" w:cs="Times New Roman"/>
          <w:sz w:val="24"/>
          <w:szCs w:val="24"/>
        </w:rPr>
        <w:t>附表二：技术标有效性审查表</w:t>
      </w:r>
      <w:bookmarkEnd w:id="54"/>
      <w:bookmarkEnd w:id="55"/>
      <w:bookmarkEnd w:id="56"/>
      <w:bookmarkEnd w:id="57"/>
    </w:p>
    <w:p>
      <w:pPr>
        <w:keepNext/>
        <w:keepLines/>
        <w:numPr>
          <w:ilvl w:val="3"/>
          <w:numId w:val="0"/>
        </w:numPr>
        <w:spacing w:line="360" w:lineRule="auto"/>
        <w:ind w:firstLine="480" w:firstLineChars="200"/>
        <w:jc w:val="left"/>
        <w:outlineLvl w:val="3"/>
        <w:rPr>
          <w:rFonts w:ascii="Times New Roman" w:hAnsi="Times New Roman" w:eastAsia="宋体" w:cs="Times New Roman"/>
          <w:sz w:val="24"/>
          <w:szCs w:val="24"/>
        </w:rPr>
      </w:pPr>
      <w:bookmarkStart w:id="58" w:name="_Toc1285"/>
      <w:bookmarkStart w:id="59" w:name="_Toc16723"/>
      <w:bookmarkStart w:id="60" w:name="_Toc5910"/>
      <w:bookmarkStart w:id="61" w:name="_Toc4186"/>
      <w:r>
        <w:rPr>
          <w:rFonts w:ascii="Times New Roman" w:hAnsi="Times New Roman" w:eastAsia="宋体" w:cs="Times New Roman"/>
          <w:sz w:val="24"/>
          <w:szCs w:val="24"/>
        </w:rPr>
        <w:t>附表三：经济标有效性审查表</w:t>
      </w:r>
      <w:bookmarkEnd w:id="58"/>
      <w:bookmarkEnd w:id="59"/>
      <w:bookmarkEnd w:id="60"/>
      <w:bookmarkEnd w:id="61"/>
    </w:p>
    <w:p>
      <w:pPr>
        <w:keepNext/>
        <w:keepLines/>
        <w:numPr>
          <w:ilvl w:val="3"/>
          <w:numId w:val="0"/>
        </w:numPr>
        <w:spacing w:line="360" w:lineRule="auto"/>
        <w:ind w:firstLine="480" w:firstLineChars="200"/>
        <w:jc w:val="left"/>
        <w:outlineLvl w:val="3"/>
        <w:rPr>
          <w:rFonts w:ascii="Times New Roman" w:hAnsi="Times New Roman" w:eastAsia="宋体" w:cs="Times New Roman"/>
          <w:sz w:val="24"/>
          <w:szCs w:val="24"/>
        </w:rPr>
      </w:pPr>
      <w:bookmarkStart w:id="62" w:name="_Toc13933"/>
      <w:bookmarkStart w:id="63" w:name="_Toc28131"/>
      <w:bookmarkStart w:id="64" w:name="_Toc19680"/>
      <w:bookmarkStart w:id="65" w:name="_Toc27116"/>
      <w:r>
        <w:rPr>
          <w:rFonts w:ascii="Times New Roman" w:hAnsi="Times New Roman" w:eastAsia="宋体" w:cs="Times New Roman"/>
          <w:sz w:val="24"/>
          <w:szCs w:val="24"/>
        </w:rPr>
        <w:t>附表四：技术标详细审查评分表</w:t>
      </w:r>
      <w:bookmarkEnd w:id="62"/>
      <w:bookmarkEnd w:id="63"/>
      <w:bookmarkEnd w:id="64"/>
      <w:bookmarkEnd w:id="65"/>
    </w:p>
    <w:p>
      <w:pPr>
        <w:keepNext/>
        <w:keepLines/>
        <w:numPr>
          <w:ilvl w:val="3"/>
          <w:numId w:val="0"/>
        </w:numPr>
        <w:spacing w:line="360" w:lineRule="auto"/>
        <w:ind w:firstLine="480" w:firstLineChars="200"/>
        <w:jc w:val="left"/>
        <w:outlineLvl w:val="3"/>
        <w:rPr>
          <w:rFonts w:ascii="Times New Roman" w:hAnsi="Times New Roman" w:eastAsia="宋体" w:cs="Times New Roman"/>
          <w:sz w:val="24"/>
          <w:szCs w:val="24"/>
        </w:rPr>
      </w:pPr>
      <w:bookmarkStart w:id="66" w:name="_Toc17964"/>
      <w:bookmarkStart w:id="67" w:name="_Toc22284"/>
      <w:bookmarkStart w:id="68" w:name="_Toc6644"/>
      <w:bookmarkStart w:id="69" w:name="_Toc11355"/>
      <w:r>
        <w:rPr>
          <w:rFonts w:ascii="Times New Roman" w:hAnsi="Times New Roman" w:eastAsia="宋体" w:cs="Times New Roman"/>
          <w:sz w:val="24"/>
          <w:szCs w:val="24"/>
        </w:rPr>
        <w:t>附表五：经济标评分表</w:t>
      </w:r>
      <w:bookmarkEnd w:id="66"/>
      <w:bookmarkEnd w:id="67"/>
      <w:bookmarkEnd w:id="68"/>
      <w:bookmarkEnd w:id="69"/>
    </w:p>
    <w:p>
      <w:pPr>
        <w:keepNext/>
        <w:keepLines/>
        <w:numPr>
          <w:ilvl w:val="3"/>
          <w:numId w:val="0"/>
        </w:numPr>
        <w:spacing w:line="360" w:lineRule="auto"/>
        <w:ind w:firstLine="480" w:firstLineChars="200"/>
        <w:jc w:val="left"/>
        <w:outlineLvl w:val="3"/>
        <w:rPr>
          <w:rFonts w:ascii="Times New Roman" w:hAnsi="Times New Roman" w:eastAsia="宋体" w:cs="Times New Roman"/>
          <w:sz w:val="24"/>
          <w:szCs w:val="24"/>
        </w:rPr>
      </w:pPr>
      <w:bookmarkStart w:id="70" w:name="_Toc4293"/>
      <w:bookmarkStart w:id="71" w:name="_Toc29633"/>
      <w:bookmarkStart w:id="72" w:name="_Toc5973"/>
      <w:bookmarkStart w:id="73" w:name="_Toc19832"/>
      <w:r>
        <w:rPr>
          <w:rFonts w:ascii="Times New Roman" w:hAnsi="Times New Roman" w:eastAsia="宋体" w:cs="Times New Roman"/>
          <w:sz w:val="24"/>
          <w:szCs w:val="24"/>
        </w:rPr>
        <w:t>附表六：算术复核表</w:t>
      </w:r>
      <w:bookmarkEnd w:id="70"/>
      <w:bookmarkEnd w:id="71"/>
      <w:bookmarkEnd w:id="72"/>
      <w:bookmarkEnd w:id="73"/>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sectPr>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widowControl/>
        <w:snapToGrid w:val="0"/>
        <w:spacing w:line="360" w:lineRule="auto"/>
        <w:ind w:right="102"/>
        <w:jc w:val="left"/>
        <w:rPr>
          <w:rFonts w:ascii="Times New Roman" w:hAnsi="Times New Roman" w:eastAsia="宋体" w:cs="Times New Roman"/>
          <w:color w:val="auto"/>
          <w:sz w:val="24"/>
          <w:szCs w:val="24"/>
        </w:rPr>
      </w:pPr>
      <w:r>
        <w:rPr>
          <w:rFonts w:ascii="Times New Roman" w:hAnsi="Times New Roman" w:eastAsia="宋体" w:cs="Times New Roman"/>
          <w:sz w:val="24"/>
          <w:szCs w:val="24"/>
        </w:rPr>
        <w:t>附</w:t>
      </w:r>
      <w:r>
        <w:rPr>
          <w:rFonts w:ascii="Times New Roman" w:hAnsi="Times New Roman" w:eastAsia="宋体" w:cs="Times New Roman"/>
          <w:color w:val="auto"/>
          <w:sz w:val="24"/>
          <w:szCs w:val="24"/>
        </w:rPr>
        <w:t>表一：</w:t>
      </w:r>
    </w:p>
    <w:p>
      <w:pPr>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资格审查表</w:t>
      </w:r>
    </w:p>
    <w:p>
      <w:pPr>
        <w:spacing w:line="480" w:lineRule="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工程名称：</w:t>
      </w:r>
    </w:p>
    <w:tbl>
      <w:tblPr>
        <w:tblStyle w:val="37"/>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272"/>
        <w:gridCol w:w="312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466"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审查项目</w:t>
            </w:r>
          </w:p>
        </w:tc>
        <w:tc>
          <w:tcPr>
            <w:tcW w:w="1805"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须审查的资料</w:t>
            </w:r>
          </w:p>
        </w:tc>
        <w:tc>
          <w:tcPr>
            <w:tcW w:w="464"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审查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lang w:val="en-US" w:eastAsia="zh-CN"/>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具有独立承担民事责任能力的在中华人民共和国境内注册的法人或其他组织营业执照（或登记证书），提供证书副本复印件。</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提供资质证书复印件。</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eastAsia="zh-CN"/>
              </w:rPr>
              <w:t>提供2021年财务状况报告（若新成立的，提供成立至今的月或季度财务状况报告复印件并加盖公章）或者基本户开户银行出具的资信证明复印件。</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提供资质证书复印件。</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highlight w:val="none"/>
                <w:lang w:eastAsia="zh-CN"/>
              </w:rPr>
              <w:t>参加招标活动前3年内在经营活动中没有重大违法记录的书面声明。</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单位负责人为同一人或者存在直接控股、管理关系的不同供应商，不得参加同一合同项下的采购活动的书面声明。</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cs="宋体" w:eastAsiaTheme="minorEastAsia"/>
                <w:color w:val="auto"/>
                <w:sz w:val="24"/>
                <w:szCs w:val="24"/>
                <w:lang w:eastAsia="zh-CN"/>
              </w:rPr>
            </w:pP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cs="宋体" w:eastAsiaTheme="minorEastAsia"/>
                <w:color w:val="auto"/>
                <w:sz w:val="24"/>
                <w:szCs w:val="24"/>
                <w:lang w:eastAsia="zh-CN"/>
              </w:rPr>
            </w:pPr>
            <w:r>
              <w:rPr>
                <w:rFonts w:hint="eastAsia" w:ascii="宋体" w:hAnsi="宋体" w:cs="宋体"/>
                <w:color w:val="auto"/>
                <w:sz w:val="24"/>
                <w:highlight w:val="none"/>
              </w:rPr>
              <w:t>本项目不允许分包或转包</w:t>
            </w:r>
            <w:r>
              <w:rPr>
                <w:rFonts w:hint="eastAsia" w:ascii="宋体" w:hAnsi="宋体" w:cs="宋体"/>
                <w:color w:val="auto"/>
                <w:sz w:val="24"/>
                <w:highlight w:val="none"/>
                <w:lang w:eastAsia="zh-CN"/>
              </w:rPr>
              <w:t>。</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highlight w:val="none"/>
              </w:rPr>
              <w:t>已领购本项目招标文件</w:t>
            </w:r>
            <w:r>
              <w:rPr>
                <w:rFonts w:hint="eastAsia" w:ascii="宋体" w:hAnsi="宋体" w:eastAsia="宋体" w:cs="宋体"/>
                <w:color w:val="auto"/>
                <w:sz w:val="24"/>
                <w:szCs w:val="24"/>
                <w:lang w:eastAsia="zh-CN"/>
              </w:rPr>
              <w:t>。</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以采购代理机构供应商信息库为准。</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0" w:firstLineChars="0"/>
              <w:jc w:val="both"/>
              <w:textAlignment w:val="auto"/>
              <w:rPr>
                <w:rFonts w:hint="eastAsia" w:ascii="宋体" w:hAnsi="宋体" w:eastAsia="宋体" w:cs="宋体"/>
                <w:color w:val="auto"/>
                <w:sz w:val="24"/>
                <w:szCs w:val="24"/>
              </w:rPr>
            </w:pPr>
          </w:p>
        </w:tc>
        <w:tc>
          <w:tcPr>
            <w:tcW w:w="246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投标人具有有效期内的《中华人民共和国特种设备生产许可证》电梯安装（含修理）资质（B级或以上）或《中华人民共和国特种设备生产许可证》电梯制造（含安装、修理、改造）资质。</w:t>
            </w:r>
          </w:p>
        </w:tc>
        <w:tc>
          <w:tcPr>
            <w:tcW w:w="18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提供资质证书复印件。</w:t>
            </w:r>
          </w:p>
        </w:tc>
        <w:tc>
          <w:tcPr>
            <w:tcW w:w="4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bl>
    <w:p>
      <w:pPr>
        <w:adjustRightInd w:val="0"/>
        <w:snapToGrid w:val="0"/>
        <w:spacing w:line="360" w:lineRule="auto"/>
        <w:ind w:firstLine="537" w:firstLineChars="224"/>
        <w:rPr>
          <w:rFonts w:ascii="Times New Roman" w:hAnsi="Times New Roman" w:eastAsia="宋体" w:cs="Times New Roman"/>
          <w:sz w:val="24"/>
          <w:szCs w:val="24"/>
        </w:rPr>
      </w:pPr>
    </w:p>
    <w:p>
      <w:pPr>
        <w:adjustRightInd w:val="0"/>
        <w:snapToGrid w:val="0"/>
        <w:spacing w:line="360" w:lineRule="auto"/>
        <w:ind w:firstLine="537" w:firstLineChars="224"/>
        <w:rPr>
          <w:rFonts w:ascii="Times New Roman" w:hAnsi="Times New Roman" w:eastAsia="宋体" w:cs="Times New Roman"/>
          <w:sz w:val="24"/>
          <w:szCs w:val="24"/>
        </w:rPr>
      </w:pPr>
      <w:r>
        <w:rPr>
          <w:rFonts w:ascii="Times New Roman" w:hAnsi="Times New Roman" w:eastAsia="宋体" w:cs="Times New Roman"/>
          <w:sz w:val="24"/>
          <w:szCs w:val="24"/>
        </w:rPr>
        <w:t>备注：</w:t>
      </w:r>
    </w:p>
    <w:p>
      <w:pPr>
        <w:adjustRightInd w:val="0"/>
        <w:snapToGrid w:val="0"/>
        <w:spacing w:line="360" w:lineRule="auto"/>
        <w:ind w:firstLine="537" w:firstLineChars="224"/>
        <w:rPr>
          <w:rFonts w:ascii="Times New Roman" w:hAnsi="Times New Roman" w:eastAsia="宋体" w:cs="Times New Roman"/>
          <w:sz w:val="24"/>
          <w:szCs w:val="24"/>
        </w:rPr>
      </w:pPr>
      <w:r>
        <w:rPr>
          <w:rFonts w:ascii="Times New Roman" w:hAnsi="Times New Roman" w:eastAsia="宋体" w:cs="Times New Roman"/>
          <w:sz w:val="24"/>
          <w:szCs w:val="24"/>
        </w:rPr>
        <w:t xml:space="preserve">1、每一项目符合的打“○”，不符合的打“×”； </w:t>
      </w:r>
    </w:p>
    <w:p>
      <w:pPr>
        <w:adjustRightInd w:val="0"/>
        <w:snapToGrid w:val="0"/>
        <w:spacing w:line="360" w:lineRule="auto"/>
        <w:ind w:firstLine="537" w:firstLineChars="224"/>
        <w:rPr>
          <w:rFonts w:ascii="Times New Roman" w:hAnsi="Times New Roman" w:eastAsia="宋体" w:cs="Times New Roman"/>
          <w:sz w:val="24"/>
          <w:szCs w:val="24"/>
        </w:rPr>
      </w:pPr>
      <w:r>
        <w:rPr>
          <w:rFonts w:ascii="Times New Roman" w:hAnsi="Times New Roman" w:eastAsia="宋体" w:cs="Times New Roman"/>
          <w:sz w:val="24"/>
          <w:szCs w:val="24"/>
        </w:rPr>
        <w:t>2、若评委意见不一致时，则按少数服从多数的原则，作出评审结论。汇总后，出现一个“×”的结论为“不通过”。</w:t>
      </w:r>
    </w:p>
    <w:p>
      <w:pPr>
        <w:rPr>
          <w:rFonts w:ascii="Times New Roman" w:hAnsi="Times New Roman" w:eastAsia="宋体" w:cs="Times New Roman"/>
        </w:rPr>
        <w:sectPr>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rPr>
          <w:rFonts w:ascii="Times New Roman" w:hAnsi="Times New Roman" w:eastAsia="宋体" w:cs="Times New Roman"/>
          <w:sz w:val="24"/>
          <w:szCs w:val="24"/>
        </w:rPr>
      </w:pPr>
      <w:r>
        <w:rPr>
          <w:rFonts w:ascii="Times New Roman" w:hAnsi="Times New Roman" w:eastAsia="宋体" w:cs="Times New Roman"/>
          <w:sz w:val="24"/>
          <w:szCs w:val="24"/>
        </w:rPr>
        <w:t>附表二</w:t>
      </w:r>
    </w:p>
    <w:p>
      <w:pPr>
        <w:jc w:val="center"/>
        <w:rPr>
          <w:rFonts w:ascii="Times New Roman" w:hAnsi="Times New Roman" w:eastAsia="宋体" w:cs="Times New Roman"/>
          <w:b/>
          <w:color w:val="auto"/>
          <w:sz w:val="36"/>
          <w:szCs w:val="36"/>
        </w:rPr>
      </w:pPr>
      <w:r>
        <w:rPr>
          <w:rFonts w:ascii="Times New Roman" w:hAnsi="Times New Roman" w:eastAsia="宋体" w:cs="Times New Roman"/>
          <w:b/>
          <w:sz w:val="36"/>
          <w:szCs w:val="36"/>
        </w:rPr>
        <w:t>技术标</w:t>
      </w:r>
      <w:r>
        <w:rPr>
          <w:rFonts w:ascii="Times New Roman" w:hAnsi="Times New Roman" w:eastAsia="宋体" w:cs="Times New Roman"/>
          <w:b/>
          <w:color w:val="auto"/>
          <w:sz w:val="36"/>
          <w:szCs w:val="36"/>
        </w:rPr>
        <w:t>有效性审查表</w:t>
      </w:r>
    </w:p>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工程名称：</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791"/>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shd w:val="clear" w:color="auto" w:fill="EAEAEA"/>
            <w:vAlign w:val="center"/>
          </w:tcPr>
          <w:p>
            <w:pPr>
              <w:adjustRightInd w:val="0"/>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25" w:type="pct"/>
            <w:tcBorders>
              <w:top w:val="single" w:color="auto" w:sz="4" w:space="0"/>
              <w:left w:val="single" w:color="auto" w:sz="4" w:space="0"/>
              <w:bottom w:val="single" w:color="auto" w:sz="4" w:space="0"/>
              <w:right w:val="single" w:color="auto" w:sz="4" w:space="0"/>
            </w:tcBorders>
            <w:shd w:val="clear" w:color="auto" w:fill="EAEAEA"/>
            <w:vAlign w:val="center"/>
          </w:tcPr>
          <w:p>
            <w:pPr>
              <w:tabs>
                <w:tab w:val="left" w:pos="1918"/>
              </w:tabs>
              <w:adjustRightInd w:val="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评审内容</w:t>
            </w:r>
          </w:p>
        </w:tc>
        <w:tc>
          <w:tcPr>
            <w:tcW w:w="2351" w:type="pct"/>
            <w:tcBorders>
              <w:top w:val="single" w:color="auto" w:sz="4" w:space="0"/>
              <w:left w:val="single" w:color="auto" w:sz="4" w:space="0"/>
              <w:bottom w:val="single" w:color="auto" w:sz="4" w:space="0"/>
              <w:right w:val="single" w:color="auto" w:sz="4" w:space="0"/>
            </w:tcBorders>
            <w:shd w:val="clear" w:color="auto" w:fill="EAEAEA"/>
            <w:vAlign w:val="center"/>
          </w:tcPr>
          <w:p>
            <w:pPr>
              <w:adjustRightInd w:val="0"/>
              <w:jc w:val="center"/>
              <w:rPr>
                <w:rFonts w:ascii="宋体" w:hAnsi="宋体" w:eastAsia="宋体" w:cs="宋体"/>
                <w:b/>
                <w:bCs/>
                <w:color w:val="auto"/>
                <w:sz w:val="24"/>
                <w:szCs w:val="24"/>
              </w:rPr>
            </w:pPr>
            <w:r>
              <w:rPr>
                <w:rFonts w:hint="eastAsia" w:ascii="宋体" w:hAnsi="宋体"/>
                <w:b/>
                <w:color w:val="auto"/>
                <w:sz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投标函</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lang w:eastAsia="zh-CN"/>
              </w:rPr>
            </w:pPr>
            <w:r>
              <w:rPr>
                <w:rFonts w:hint="eastAsia" w:ascii="宋体"/>
                <w:color w:val="auto"/>
                <w:sz w:val="24"/>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项目工期</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满足招标文件要求</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具有有效的法定代表人证明书，或法定代表人授权书</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按对应格式文件签署、盖章</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投标有效期</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cs="宋体" w:eastAsiaTheme="minorEastAsia"/>
                <w:color w:val="auto"/>
                <w:sz w:val="24"/>
                <w:szCs w:val="24"/>
                <w:highlight w:val="none"/>
                <w:lang w:eastAsia="zh-CN"/>
              </w:rPr>
            </w:pPr>
            <w:r>
              <w:rPr>
                <w:rFonts w:hint="eastAsia" w:ascii="宋体" w:hAnsi="宋体"/>
                <w:color w:val="auto"/>
                <w:sz w:val="24"/>
              </w:rPr>
              <w:t>投标截止日起90天</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rPr>
            </w:pPr>
            <w:r>
              <w:rPr>
                <w:rFonts w:hint="eastAsia" w:ascii="宋体" w:hAnsi="宋体" w:eastAsia="宋体" w:cs="宋体"/>
                <w:color w:val="auto"/>
                <w:sz w:val="24"/>
                <w:szCs w:val="24"/>
              </w:rPr>
              <w:t>提交招标代理服务费支付承诺书，且按招标文件要求签署、盖章</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eastAsia="宋体" w:cs="宋体"/>
                <w:color w:val="auto"/>
                <w:sz w:val="24"/>
                <w:szCs w:val="24"/>
              </w:rPr>
            </w:pPr>
            <w:r>
              <w:rPr>
                <w:rFonts w:hint="eastAsia" w:ascii="宋体" w:hAnsi="宋体" w:eastAsia="宋体" w:cs="宋体"/>
                <w:color w:val="auto"/>
                <w:sz w:val="24"/>
                <w:szCs w:val="24"/>
              </w:rPr>
              <w:t>招标代理服务费支付承诺书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ascii="宋体" w:hAnsi="宋体" w:eastAsia="宋体" w:cs="宋体"/>
                <w:color w:val="auto"/>
                <w:sz w:val="24"/>
                <w:szCs w:val="24"/>
              </w:rPr>
            </w:pPr>
            <w:r>
              <w:rPr>
                <w:rFonts w:hint="eastAsia" w:ascii="宋体" w:hAnsi="宋体" w:eastAsia="宋体" w:cs="宋体"/>
                <w:color w:val="auto"/>
                <w:sz w:val="24"/>
                <w:szCs w:val="24"/>
              </w:rPr>
              <w:t>投标人未出现实质性条款响应负偏离的情况</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满足招标文件要求</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cs="宋体" w:eastAsiaTheme="minorEastAsia"/>
                <w:color w:val="auto"/>
                <w:sz w:val="24"/>
                <w:szCs w:val="24"/>
                <w:lang w:eastAsia="zh-CN"/>
              </w:rPr>
            </w:pPr>
            <w:r>
              <w:rPr>
                <w:rFonts w:hint="eastAsia" w:ascii="宋体" w:hAnsi="宋体" w:cs="宋体"/>
                <w:color w:val="auto"/>
                <w:sz w:val="24"/>
                <w:szCs w:val="24"/>
                <w:lang w:eastAsia="zh-CN"/>
              </w:rPr>
              <w:t>投标文件完整性</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宋体" w:hAnsi="宋体" w:cs="宋体" w:eastAsiaTheme="minorEastAsia"/>
                <w:color w:val="auto"/>
                <w:sz w:val="24"/>
                <w:szCs w:val="24"/>
                <w:lang w:eastAsia="zh-CN"/>
              </w:rPr>
            </w:pPr>
            <w:r>
              <w:rPr>
                <w:rFonts w:hint="eastAsia" w:ascii="宋体" w:cs="Tahoma"/>
                <w:color w:val="auto"/>
                <w:kern w:val="28"/>
                <w:sz w:val="24"/>
              </w:rPr>
              <w:t>投标文件内容基本完整，无重大错漏，并按要求签署、盖章，未出现主要内容不全或关键字迹模糊、无法辨认的</w:t>
            </w:r>
            <w:r>
              <w:rPr>
                <w:rFonts w:hint="eastAsia" w:ascii="宋体" w:cs="Tahoma"/>
                <w:color w:val="auto"/>
                <w:kern w:val="28"/>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jc w:val="both"/>
              <w:rPr>
                <w:rFonts w:hint="eastAsia" w:ascii="宋体" w:hAnsi="宋体" w:cs="宋体" w:eastAsiaTheme="minorEastAsia"/>
                <w:color w:val="auto"/>
                <w:kern w:val="2"/>
                <w:sz w:val="24"/>
                <w:szCs w:val="24"/>
                <w:lang w:val="en-US" w:eastAsia="zh-CN" w:bidi="ar-SA"/>
              </w:rPr>
            </w:pPr>
            <w:r>
              <w:rPr>
                <w:rFonts w:hint="eastAsia" w:ascii="宋体" w:hAnsi="宋体"/>
                <w:color w:val="auto"/>
                <w:sz w:val="24"/>
              </w:rPr>
              <w:t>其他要求</w:t>
            </w:r>
          </w:p>
        </w:tc>
        <w:tc>
          <w:tcPr>
            <w:tcW w:w="23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宋体" w:hAnsi="宋体" w:cs="宋体" w:eastAsiaTheme="minorEastAsia"/>
                <w:color w:val="auto"/>
                <w:kern w:val="2"/>
                <w:sz w:val="24"/>
                <w:szCs w:val="24"/>
                <w:lang w:val="en-US" w:eastAsia="zh-CN" w:bidi="ar-SA"/>
              </w:rPr>
            </w:pPr>
            <w:r>
              <w:rPr>
                <w:rFonts w:hint="eastAsia" w:ascii="宋体" w:hAnsi="宋体"/>
                <w:color w:val="auto"/>
                <w:sz w:val="24"/>
              </w:rPr>
              <w:t>没有出现法律、法规和招标文件规定的其他投标无效情形</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tcBorders>
              <w:top w:val="single" w:color="auto" w:sz="4" w:space="0"/>
              <w:left w:val="single" w:color="auto" w:sz="4" w:space="0"/>
              <w:bottom w:val="single" w:color="auto" w:sz="4" w:space="0"/>
              <w:right w:val="single" w:color="auto" w:sz="4" w:space="0"/>
            </w:tcBorders>
            <w:vAlign w:val="center"/>
          </w:tcPr>
          <w:p>
            <w:pPr>
              <w:adjustRightInd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222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eastAsia" w:ascii="宋体" w:hAnsi="宋体"/>
                <w:color w:val="auto"/>
                <w:sz w:val="24"/>
              </w:rPr>
            </w:pPr>
            <w:r>
              <w:rPr>
                <w:rFonts w:hint="eastAsia" w:ascii="宋体" w:hAnsi="宋体" w:cs="宋体"/>
                <w:color w:val="auto"/>
                <w:sz w:val="24"/>
              </w:rPr>
              <w:t>投标保证金</w:t>
            </w:r>
          </w:p>
        </w:tc>
        <w:tc>
          <w:tcPr>
            <w:tcW w:w="2351" w:type="pct"/>
            <w:tcBorders>
              <w:top w:val="single" w:color="auto" w:sz="4" w:space="0"/>
              <w:left w:val="single" w:color="auto" w:sz="4" w:space="0"/>
              <w:bottom w:val="single" w:color="auto" w:sz="4" w:space="0"/>
              <w:right w:val="single" w:color="auto" w:sz="4" w:space="0"/>
            </w:tcBorders>
            <w:vAlign w:val="top"/>
          </w:tcPr>
          <w:p>
            <w:pPr>
              <w:adjustRightInd w:val="0"/>
              <w:snapToGrid w:val="0"/>
              <w:spacing w:line="440" w:lineRule="exact"/>
              <w:rPr>
                <w:rFonts w:hint="eastAsia" w:ascii="宋体" w:hAnsi="宋体"/>
                <w:color w:val="auto"/>
                <w:sz w:val="24"/>
              </w:rPr>
            </w:pPr>
            <w:r>
              <w:rPr>
                <w:rFonts w:hint="eastAsia" w:ascii="宋体" w:hAnsi="宋体" w:cs="宋体"/>
                <w:color w:val="auto"/>
                <w:sz w:val="24"/>
              </w:rPr>
              <w:t>已按招标文件要求提交足额投标保证金或投标担保函</w:t>
            </w: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注：1.每一项目符合的打“○”，不符合的打“×”</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2.若出现评标委员会否决投标的，应在评标报告中载明否决投标的具体情形、原因。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3.凡出现以上任何一项情形，结论均为无效，否则就为有效。</w:t>
      </w:r>
    </w:p>
    <w:p>
      <w:pPr>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4.如对本表中某种情形的评审意见不一致时，以评标委员会过半数成员的意见作为评标委员会对该情形的认定结论。</w:t>
      </w:r>
    </w:p>
    <w:p>
      <w:pPr>
        <w:ind w:firstLine="42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rPr>
        <w:br w:type="page"/>
      </w:r>
      <w:r>
        <w:rPr>
          <w:rFonts w:ascii="Times New Roman" w:hAnsi="Times New Roman" w:eastAsia="宋体" w:cs="Times New Roman"/>
          <w:sz w:val="24"/>
          <w:szCs w:val="24"/>
        </w:rPr>
        <w:t>附表三</w:t>
      </w:r>
    </w:p>
    <w:p>
      <w:pPr>
        <w:jc w:val="center"/>
        <w:rPr>
          <w:rFonts w:ascii="Times New Roman" w:hAnsi="Times New Roman" w:eastAsia="宋体" w:cs="Times New Roman"/>
          <w:b/>
          <w:color w:val="auto"/>
          <w:sz w:val="36"/>
          <w:szCs w:val="36"/>
        </w:rPr>
      </w:pPr>
      <w:r>
        <w:rPr>
          <w:rFonts w:ascii="Times New Roman" w:hAnsi="Times New Roman" w:eastAsia="宋体" w:cs="Times New Roman"/>
          <w:b/>
          <w:color w:val="auto"/>
          <w:sz w:val="36"/>
          <w:szCs w:val="36"/>
        </w:rPr>
        <w:t>经济标有效性审查表</w:t>
      </w:r>
    </w:p>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工程名称：</w:t>
      </w:r>
    </w:p>
    <w:tbl>
      <w:tblPr>
        <w:tblStyle w:val="37"/>
        <w:tblW w:w="88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058"/>
        <w:gridCol w:w="1181"/>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tcBorders>
              <w:top w:val="single" w:color="auto" w:sz="4" w:space="0"/>
              <w:left w:val="single" w:color="auto" w:sz="4" w:space="0"/>
              <w:bottom w:val="single" w:color="auto" w:sz="4" w:space="0"/>
              <w:right w:val="single" w:color="auto" w:sz="4" w:space="0"/>
            </w:tcBorders>
            <w:shd w:val="clear" w:color="auto" w:fill="EAEAEA"/>
            <w:vAlign w:val="center"/>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6058" w:type="dxa"/>
            <w:tcBorders>
              <w:top w:val="single" w:color="auto" w:sz="4" w:space="0"/>
              <w:left w:val="single" w:color="auto" w:sz="4" w:space="0"/>
              <w:bottom w:val="single" w:color="auto" w:sz="4" w:space="0"/>
              <w:right w:val="single" w:color="auto" w:sz="4" w:space="0"/>
              <w:tl2br w:val="single" w:color="auto" w:sz="4" w:space="0"/>
            </w:tcBorders>
            <w:shd w:val="clear" w:color="auto" w:fill="EAEAEA"/>
          </w:tcPr>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投标人</w:t>
            </w:r>
          </w:p>
          <w:p>
            <w:pPr>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81" w:type="dxa"/>
            <w:tcBorders>
              <w:top w:val="single" w:color="auto" w:sz="4" w:space="0"/>
              <w:left w:val="single" w:color="auto" w:sz="4" w:space="0"/>
              <w:bottom w:val="single" w:color="auto" w:sz="4" w:space="0"/>
              <w:right w:val="single" w:color="auto" w:sz="4" w:space="0"/>
            </w:tcBorders>
            <w:shd w:val="clear" w:color="auto" w:fill="EAEAEA"/>
          </w:tcPr>
          <w:p>
            <w:pPr>
              <w:rPr>
                <w:rFonts w:hint="eastAsia" w:ascii="宋体" w:hAnsi="宋体" w:eastAsia="宋体" w:cs="宋体"/>
                <w:b/>
                <w:bCs/>
                <w:color w:val="auto"/>
                <w:sz w:val="24"/>
                <w:szCs w:val="24"/>
              </w:rPr>
            </w:pPr>
          </w:p>
        </w:tc>
        <w:tc>
          <w:tcPr>
            <w:tcW w:w="1035" w:type="dxa"/>
            <w:tcBorders>
              <w:top w:val="single" w:color="auto" w:sz="4" w:space="0"/>
              <w:left w:val="single" w:color="auto" w:sz="4" w:space="0"/>
              <w:bottom w:val="single" w:color="auto" w:sz="4" w:space="0"/>
              <w:right w:val="single" w:color="auto" w:sz="4" w:space="0"/>
            </w:tcBorders>
            <w:shd w:val="clear" w:color="auto" w:fill="EAEAEA"/>
          </w:tcPr>
          <w:p>
            <w:pPr>
              <w:rPr>
                <w:rFonts w:hint="eastAsia"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0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对同一招标项目未出现两个或以上的投标报价；</w:t>
            </w:r>
          </w:p>
        </w:tc>
        <w:tc>
          <w:tcPr>
            <w:tcW w:w="11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03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0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投标报价未高于最高投标限价的；</w:t>
            </w:r>
          </w:p>
        </w:tc>
        <w:tc>
          <w:tcPr>
            <w:tcW w:w="11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03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60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若评标委员会认为投标人的报价明显低于其他通过符合性审查投标人的报价，评标委员会应当要求该投标人在要求的时间内做出书面说明并提供相关证明材料。投标人能在评标委员会要求的时间内合理说明理由或者能提供相关证明材料的，评标委员会认定该投标人非恶意以低于成本报价竞标的</w:t>
            </w:r>
            <w:r>
              <w:rPr>
                <w:rFonts w:hint="eastAsia" w:ascii="宋体" w:hAnsi="宋体" w:eastAsia="宋体" w:cs="宋体"/>
                <w:color w:val="auto"/>
                <w:sz w:val="24"/>
                <w:szCs w:val="24"/>
                <w:lang w:eastAsia="zh-CN"/>
              </w:rPr>
              <w:t>。</w:t>
            </w:r>
          </w:p>
        </w:tc>
        <w:tc>
          <w:tcPr>
            <w:tcW w:w="11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c>
          <w:tcPr>
            <w:tcW w:w="103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szCs w:val="24"/>
              </w:rPr>
            </w:pPr>
          </w:p>
        </w:tc>
      </w:tr>
    </w:tbl>
    <w:p>
      <w:pPr>
        <w:spacing w:line="360" w:lineRule="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注：1.每一项目符合的打“○”，不符合的打“×”</w:t>
      </w:r>
    </w:p>
    <w:p>
      <w:pPr>
        <w:spacing w:line="360" w:lineRule="auto"/>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2.若出现评标委员会否决投标的，应在评标报告中载明否决投标的具体情形、原因。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3.凡出现以上任何一项情形，结论均为无效，否则就为有效。</w:t>
      </w:r>
    </w:p>
    <w:p>
      <w:pPr>
        <w:spacing w:line="360" w:lineRule="auto"/>
        <w:ind w:firstLine="420"/>
        <w:rPr>
          <w:rFonts w:ascii="Times New Roman" w:hAnsi="Times New Roman" w:eastAsia="宋体" w:cs="Times New Roman"/>
          <w:sz w:val="24"/>
          <w:szCs w:val="24"/>
        </w:rPr>
      </w:pPr>
      <w:r>
        <w:rPr>
          <w:rFonts w:ascii="Times New Roman" w:hAnsi="Times New Roman" w:eastAsia="宋体" w:cs="Times New Roman"/>
          <w:sz w:val="24"/>
          <w:szCs w:val="24"/>
        </w:rPr>
        <w:t>4.如对本表中某种情形的评审意见不一致时，以评标委员会过半数成员的意见作为评标委员会对该情形的认定结论。</w:t>
      </w:r>
    </w:p>
    <w:p>
      <w:pPr>
        <w:spacing w:after="120"/>
        <w:ind w:firstLine="458"/>
        <w:rPr>
          <w:rFonts w:ascii="Times New Roman" w:hAnsi="Times New Roman" w:eastAsia="宋体" w:cs="Times New Roman"/>
          <w:sz w:val="24"/>
          <w:szCs w:val="24"/>
        </w:rPr>
        <w:sectPr>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rPr>
          <w:rFonts w:ascii="Times New Roman" w:hAnsi="Times New Roman" w:eastAsia="宋体" w:cs="Times New Roman"/>
          <w:szCs w:val="21"/>
        </w:rPr>
      </w:pPr>
      <w:r>
        <w:rPr>
          <w:rFonts w:ascii="Times New Roman" w:hAnsi="Times New Roman" w:eastAsia="宋体" w:cs="Times New Roman"/>
          <w:szCs w:val="21"/>
        </w:rPr>
        <w:t>附表四</w:t>
      </w:r>
    </w:p>
    <w:p>
      <w:pPr>
        <w:rPr>
          <w:rFonts w:ascii="Times New Roman" w:hAnsi="Times New Roman" w:eastAsia="宋体" w:cs="Times New Roman"/>
        </w:rPr>
      </w:pPr>
    </w:p>
    <w:p>
      <w:pPr>
        <w:jc w:val="center"/>
        <w:rPr>
          <w:rFonts w:ascii="Times New Roman" w:hAnsi="Times New Roman" w:eastAsia="宋体" w:cs="Times New Roman"/>
          <w:b/>
          <w:sz w:val="36"/>
          <w:szCs w:val="36"/>
        </w:rPr>
      </w:pPr>
      <w:r>
        <w:rPr>
          <w:rFonts w:ascii="Times New Roman" w:hAnsi="Times New Roman" w:eastAsia="宋体" w:cs="Times New Roman"/>
          <w:b/>
          <w:sz w:val="36"/>
          <w:szCs w:val="36"/>
        </w:rPr>
        <w:t>技术标详细审查评分表</w:t>
      </w:r>
    </w:p>
    <w:p>
      <w:pPr>
        <w:rPr>
          <w:rFonts w:ascii="Times New Roman" w:hAnsi="Times New Roman" w:eastAsia="宋体" w:cs="Times New Roman"/>
          <w:sz w:val="24"/>
          <w:szCs w:val="24"/>
        </w:rPr>
      </w:pPr>
      <w:r>
        <w:rPr>
          <w:rFonts w:ascii="Times New Roman" w:hAnsi="Times New Roman" w:eastAsia="宋体" w:cs="Times New Roman"/>
          <w:sz w:val="24"/>
          <w:szCs w:val="24"/>
        </w:rPr>
        <w:t>工程名称：</w:t>
      </w:r>
    </w:p>
    <w:tbl>
      <w:tblPr>
        <w:tblStyle w:val="37"/>
        <w:tblW w:w="528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2"/>
        <w:gridCol w:w="986"/>
        <w:gridCol w:w="5575"/>
        <w:gridCol w:w="975"/>
        <w:gridCol w:w="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986"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5575"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评分细则</w:t>
            </w:r>
          </w:p>
        </w:tc>
        <w:tc>
          <w:tcPr>
            <w:tcW w:w="975"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分值（分）</w:t>
            </w:r>
          </w:p>
        </w:tc>
        <w:tc>
          <w:tcPr>
            <w:tcW w:w="804"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8340" w:type="dxa"/>
            <w:gridSpan w:val="4"/>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技术部分（共</w:t>
            </w:r>
            <w:r>
              <w:rPr>
                <w:rFonts w:hint="eastAsia" w:ascii="宋体" w:hAnsi="宋体" w:eastAsia="宋体" w:cs="宋体"/>
                <w:b/>
                <w:color w:val="auto"/>
                <w:sz w:val="24"/>
                <w:szCs w:val="24"/>
                <w:lang w:val="en-US" w:eastAsia="zh-CN"/>
              </w:rPr>
              <w:t>50</w:t>
            </w:r>
            <w:r>
              <w:rPr>
                <w:rFonts w:hint="eastAsia" w:ascii="宋体" w:hAnsi="宋体" w:eastAsia="宋体" w:cs="宋体"/>
                <w:b/>
                <w:color w:val="auto"/>
                <w:sz w:val="24"/>
                <w:szCs w:val="24"/>
              </w:rPr>
              <w:t xml:space="preserve">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pStyle w:val="129"/>
              <w:keepNext w:val="0"/>
              <w:keepLines w:val="0"/>
              <w:pageBreakBefore w:val="0"/>
              <w:widowControl w:val="0"/>
              <w:numPr>
                <w:ilvl w:val="0"/>
                <w:numId w:val="13"/>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项目重点、难点分析及合理化建议</w:t>
            </w:r>
          </w:p>
        </w:tc>
        <w:tc>
          <w:tcPr>
            <w:tcW w:w="5575" w:type="dxa"/>
            <w:noWrap w:val="0"/>
            <w:vAlign w:val="center"/>
          </w:tcPr>
          <w:p>
            <w:pPr>
              <w:widowControl/>
              <w:spacing w:line="400" w:lineRule="exact"/>
              <w:rPr>
                <w:rFonts w:ascii="宋体" w:hAnsi="宋体"/>
                <w:color w:val="auto"/>
                <w:sz w:val="24"/>
              </w:rPr>
            </w:pPr>
            <w:r>
              <w:rPr>
                <w:rFonts w:ascii="宋体" w:hAnsi="宋体"/>
                <w:color w:val="auto"/>
                <w:sz w:val="24"/>
              </w:rPr>
              <w:t>包括但不限于项目重点、难点分析、合理化建议：</w:t>
            </w:r>
          </w:p>
          <w:p>
            <w:pPr>
              <w:widowControl/>
              <w:spacing w:line="400" w:lineRule="exact"/>
              <w:rPr>
                <w:rFonts w:ascii="宋体" w:hAnsi="宋体"/>
                <w:color w:val="auto"/>
                <w:sz w:val="24"/>
              </w:rPr>
            </w:pPr>
            <w:r>
              <w:rPr>
                <w:rFonts w:ascii="宋体" w:hAnsi="宋体"/>
                <w:color w:val="auto"/>
                <w:sz w:val="24"/>
              </w:rPr>
              <w:t>1.针对项目的重点、难点和关键点进行分析，对整个项目的重点难点把握准确到位，提出的建议科学、合理，得10分；</w:t>
            </w:r>
          </w:p>
          <w:p>
            <w:pPr>
              <w:widowControl/>
              <w:spacing w:line="400" w:lineRule="exact"/>
              <w:rPr>
                <w:rFonts w:ascii="宋体" w:hAnsi="宋体"/>
                <w:color w:val="auto"/>
                <w:sz w:val="24"/>
              </w:rPr>
            </w:pPr>
            <w:r>
              <w:rPr>
                <w:rFonts w:ascii="宋体" w:hAnsi="宋体"/>
                <w:color w:val="auto"/>
                <w:sz w:val="24"/>
              </w:rPr>
              <w:t>2.针对项目的重点、难点和关键点进行分析，对整个项目的重点难点把握较为准确，提出的建议较为科学、合理，得</w:t>
            </w:r>
            <w:r>
              <w:rPr>
                <w:rFonts w:hint="eastAsia" w:ascii="宋体" w:hAnsi="宋体"/>
                <w:color w:val="auto"/>
                <w:sz w:val="24"/>
                <w:lang w:val="en-US" w:eastAsia="zh-CN"/>
              </w:rPr>
              <w:t>6</w:t>
            </w:r>
            <w:r>
              <w:rPr>
                <w:rFonts w:ascii="宋体" w:hAnsi="宋体"/>
                <w:color w:val="auto"/>
                <w:sz w:val="24"/>
              </w:rPr>
              <w:t>分；</w:t>
            </w:r>
          </w:p>
          <w:p>
            <w:pPr>
              <w:widowControl/>
              <w:spacing w:line="400" w:lineRule="exact"/>
              <w:rPr>
                <w:rFonts w:ascii="宋体" w:hAnsi="宋体"/>
                <w:color w:val="auto"/>
                <w:sz w:val="24"/>
              </w:rPr>
            </w:pPr>
            <w:r>
              <w:rPr>
                <w:rFonts w:ascii="宋体" w:hAnsi="宋体"/>
                <w:color w:val="auto"/>
                <w:sz w:val="24"/>
              </w:rPr>
              <w:t>3.针对项目的重点、难点和关键点进行分析，对整个项目的重点难点把握准确基本到位，提出的建议具有一定的科学性、合理性，得</w:t>
            </w:r>
            <w:r>
              <w:rPr>
                <w:rFonts w:hint="eastAsia" w:ascii="宋体" w:hAnsi="宋体"/>
                <w:color w:val="auto"/>
                <w:sz w:val="24"/>
                <w:lang w:val="en-US" w:eastAsia="zh-CN"/>
              </w:rPr>
              <w:t>3</w:t>
            </w:r>
            <w:r>
              <w:rPr>
                <w:rFonts w:ascii="宋体" w:hAnsi="宋体"/>
                <w:color w:val="auto"/>
                <w:sz w:val="24"/>
              </w:rPr>
              <w:t>分；</w:t>
            </w:r>
          </w:p>
          <w:p>
            <w:pPr>
              <w:widowControl/>
              <w:spacing w:line="400" w:lineRule="exact"/>
              <w:rPr>
                <w:rFonts w:ascii="宋体" w:hAnsi="宋体"/>
                <w:color w:val="auto"/>
                <w:sz w:val="24"/>
              </w:rPr>
            </w:pPr>
            <w:r>
              <w:rPr>
                <w:rFonts w:ascii="宋体" w:hAnsi="宋体"/>
                <w:color w:val="auto"/>
                <w:sz w:val="24"/>
              </w:rPr>
              <w:t>4.针对项目的重点、难点和关键点进行分析，对整个项目的重点难点把握不准确，提出的建议较不科学、合理，得</w:t>
            </w:r>
            <w:r>
              <w:rPr>
                <w:rFonts w:hint="eastAsia" w:ascii="宋体" w:hAnsi="宋体"/>
                <w:color w:val="auto"/>
                <w:sz w:val="24"/>
                <w:lang w:val="en-US" w:eastAsia="zh-CN"/>
              </w:rPr>
              <w:t>1</w:t>
            </w:r>
            <w:r>
              <w:rPr>
                <w:rFonts w:ascii="宋体" w:hAnsi="宋体"/>
                <w:color w:val="auto"/>
                <w:sz w:val="24"/>
              </w:rPr>
              <w:t>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ascii="宋体" w:hAnsi="宋体"/>
                <w:color w:val="auto"/>
                <w:kern w:val="0"/>
                <w:sz w:val="24"/>
              </w:rPr>
              <w:t>5.无或其它不得分。</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p>
        </w:tc>
        <w:tc>
          <w:tcPr>
            <w:tcW w:w="804" w:type="dxa"/>
            <w:noWrap w:val="0"/>
            <w:vAlign w:val="center"/>
          </w:tcPr>
          <w:p>
            <w:pPr>
              <w:keepNext w:val="0"/>
              <w:keepLines w:val="0"/>
              <w:pageBreakBefore w:val="0"/>
              <w:widowControl w:val="0"/>
              <w:kinsoku/>
              <w:wordWrap/>
              <w:overflowPunct/>
              <w:topLinePunct w:val="0"/>
              <w:autoSpaceDE/>
              <w:autoSpaceDN/>
              <w:bidi w:val="0"/>
              <w:adjustRightInd/>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pStyle w:val="129"/>
              <w:keepNext w:val="0"/>
              <w:keepLines w:val="0"/>
              <w:pageBreakBefore w:val="0"/>
              <w:widowControl w:val="0"/>
              <w:numPr>
                <w:ilvl w:val="0"/>
                <w:numId w:val="13"/>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noWrap w:val="0"/>
            <w:vAlign w:val="center"/>
          </w:tcPr>
          <w:p>
            <w:pPr>
              <w:jc w:val="center"/>
              <w:rPr>
                <w:rFonts w:hint="eastAsia" w:ascii="宋体" w:hAnsi="宋体" w:eastAsia="宋体" w:cs="宋体"/>
                <w:color w:val="auto"/>
                <w:sz w:val="24"/>
                <w:szCs w:val="24"/>
                <w:lang w:val="en-US" w:eastAsia="zh-CN"/>
              </w:rPr>
            </w:pPr>
            <w:r>
              <w:rPr>
                <w:rFonts w:ascii="宋体" w:hAnsi="宋体"/>
                <w:color w:val="auto"/>
                <w:kern w:val="0"/>
                <w:sz w:val="24"/>
              </w:rPr>
              <w:t>项目实施方案</w:t>
            </w:r>
          </w:p>
        </w:tc>
        <w:tc>
          <w:tcPr>
            <w:tcW w:w="5575" w:type="dxa"/>
            <w:noWrap w:val="0"/>
            <w:vAlign w:val="top"/>
          </w:tcPr>
          <w:p>
            <w:pPr>
              <w:widowControl/>
              <w:spacing w:line="400" w:lineRule="exact"/>
              <w:rPr>
                <w:rFonts w:ascii="宋体" w:hAnsi="宋体"/>
                <w:color w:val="auto"/>
                <w:sz w:val="24"/>
              </w:rPr>
            </w:pPr>
            <w:r>
              <w:rPr>
                <w:rFonts w:ascii="宋体" w:hAnsi="宋体"/>
                <w:color w:val="auto"/>
                <w:sz w:val="24"/>
              </w:rPr>
              <w:t>包括但不限于项目服务方案、后续跟踪服务措施、时间计划安排：</w:t>
            </w:r>
          </w:p>
          <w:p>
            <w:pPr>
              <w:widowControl/>
              <w:spacing w:line="400" w:lineRule="exact"/>
              <w:rPr>
                <w:rFonts w:ascii="宋体" w:hAnsi="宋体" w:cs="宋体"/>
                <w:color w:val="auto"/>
                <w:sz w:val="24"/>
                <w:lang w:val="zh-CN"/>
              </w:rPr>
            </w:pPr>
            <w:r>
              <w:rPr>
                <w:rFonts w:ascii="宋体" w:hAnsi="宋体"/>
                <w:color w:val="auto"/>
                <w:sz w:val="24"/>
              </w:rPr>
              <w:t>1.项目实施方案详细完善、</w:t>
            </w:r>
            <w:r>
              <w:rPr>
                <w:rFonts w:ascii="宋体" w:hAnsi="宋体" w:cs="宋体"/>
                <w:color w:val="auto"/>
                <w:sz w:val="24"/>
                <w:lang w:val="zh-CN"/>
              </w:rPr>
              <w:t>合理性高，可行性强的，得10分；</w:t>
            </w:r>
          </w:p>
          <w:p>
            <w:pPr>
              <w:widowControl/>
              <w:spacing w:line="400" w:lineRule="exact"/>
              <w:rPr>
                <w:rFonts w:ascii="宋体" w:hAnsi="宋体" w:cs="宋体"/>
                <w:color w:val="auto"/>
                <w:sz w:val="24"/>
                <w:lang w:val="zh-CN"/>
              </w:rPr>
            </w:pPr>
            <w:r>
              <w:rPr>
                <w:rFonts w:ascii="宋体" w:hAnsi="宋体"/>
                <w:color w:val="auto"/>
                <w:sz w:val="24"/>
              </w:rPr>
              <w:t>2.项目实施方案基本详细完善、</w:t>
            </w:r>
            <w:r>
              <w:rPr>
                <w:rFonts w:ascii="宋体" w:hAnsi="宋体" w:cs="宋体"/>
                <w:color w:val="auto"/>
                <w:sz w:val="24"/>
                <w:lang w:val="zh-CN"/>
              </w:rPr>
              <w:t>合理性较高，可行性较强的，得</w:t>
            </w:r>
            <w:r>
              <w:rPr>
                <w:rFonts w:hint="eastAsia" w:ascii="宋体" w:hAnsi="宋体" w:cs="宋体"/>
                <w:color w:val="auto"/>
                <w:sz w:val="24"/>
                <w:lang w:val="en-US" w:eastAsia="zh-CN"/>
              </w:rPr>
              <w:t>6</w:t>
            </w:r>
            <w:r>
              <w:rPr>
                <w:rFonts w:ascii="宋体" w:hAnsi="宋体" w:cs="宋体"/>
                <w:color w:val="auto"/>
                <w:sz w:val="24"/>
                <w:lang w:val="zh-CN"/>
              </w:rPr>
              <w:t>分；</w:t>
            </w:r>
          </w:p>
          <w:p>
            <w:pPr>
              <w:widowControl/>
              <w:spacing w:line="400" w:lineRule="exact"/>
              <w:rPr>
                <w:rFonts w:ascii="宋体" w:hAnsi="宋体" w:cs="宋体"/>
                <w:color w:val="auto"/>
                <w:sz w:val="24"/>
                <w:lang w:val="zh-CN"/>
              </w:rPr>
            </w:pPr>
            <w:r>
              <w:rPr>
                <w:rFonts w:ascii="宋体" w:hAnsi="宋体"/>
                <w:color w:val="auto"/>
                <w:sz w:val="24"/>
              </w:rPr>
              <w:t>3.项目实施方案基本详细完善、具备</w:t>
            </w:r>
            <w:r>
              <w:rPr>
                <w:rFonts w:ascii="宋体" w:hAnsi="宋体" w:cs="宋体"/>
                <w:color w:val="auto"/>
                <w:sz w:val="24"/>
                <w:lang w:val="zh-CN"/>
              </w:rPr>
              <w:t>合理性可行性的，得</w:t>
            </w:r>
            <w:r>
              <w:rPr>
                <w:rFonts w:hint="eastAsia" w:ascii="宋体" w:hAnsi="宋体" w:cs="宋体"/>
                <w:color w:val="auto"/>
                <w:sz w:val="24"/>
                <w:lang w:val="en-US" w:eastAsia="zh-CN"/>
              </w:rPr>
              <w:t>3</w:t>
            </w:r>
            <w:r>
              <w:rPr>
                <w:rFonts w:ascii="宋体" w:hAnsi="宋体" w:cs="宋体"/>
                <w:color w:val="auto"/>
                <w:sz w:val="24"/>
                <w:lang w:val="zh-CN"/>
              </w:rPr>
              <w:t>分；</w:t>
            </w:r>
          </w:p>
          <w:p>
            <w:pPr>
              <w:widowControl/>
              <w:spacing w:line="400" w:lineRule="exact"/>
              <w:rPr>
                <w:rFonts w:ascii="宋体" w:hAnsi="宋体" w:cs="宋体"/>
                <w:color w:val="auto"/>
                <w:sz w:val="24"/>
                <w:lang w:val="zh-CN"/>
              </w:rPr>
            </w:pPr>
            <w:r>
              <w:rPr>
                <w:rFonts w:ascii="宋体" w:hAnsi="宋体"/>
                <w:color w:val="auto"/>
                <w:sz w:val="24"/>
              </w:rPr>
              <w:t>4.项目实施方案不够详细完善、</w:t>
            </w:r>
            <w:r>
              <w:rPr>
                <w:rFonts w:ascii="宋体" w:hAnsi="宋体" w:cs="宋体"/>
                <w:color w:val="auto"/>
                <w:sz w:val="24"/>
                <w:lang w:val="zh-CN"/>
              </w:rPr>
              <w:t>合理性低，可行性弱的，得1分；</w:t>
            </w:r>
          </w:p>
          <w:p>
            <w:pPr>
              <w:jc w:val="left"/>
              <w:rPr>
                <w:rFonts w:hint="default" w:ascii="宋体" w:hAnsi="宋体" w:eastAsia="宋体" w:cs="宋体"/>
                <w:color w:val="auto"/>
                <w:sz w:val="24"/>
                <w:szCs w:val="24"/>
                <w:lang w:val="en-US" w:eastAsia="zh-CN"/>
              </w:rPr>
            </w:pPr>
            <w:r>
              <w:rPr>
                <w:rFonts w:ascii="宋体" w:hAnsi="宋体"/>
                <w:color w:val="auto"/>
                <w:kern w:val="0"/>
                <w:sz w:val="24"/>
              </w:rPr>
              <w:t>5.无或其它不得分。</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bCs/>
                <w:color w:val="auto"/>
                <w:sz w:val="24"/>
                <w:szCs w:val="24"/>
                <w:lang w:val="en-US"/>
              </w:rPr>
            </w:pPr>
            <w:r>
              <w:rPr>
                <w:rFonts w:hint="eastAsia" w:ascii="宋体" w:hAnsi="宋体" w:eastAsia="宋体" w:cs="宋体"/>
                <w:color w:val="auto"/>
                <w:sz w:val="24"/>
                <w:szCs w:val="24"/>
                <w:lang w:val="en-US" w:eastAsia="zh-CN"/>
              </w:rPr>
              <w:t>10</w:t>
            </w:r>
          </w:p>
        </w:tc>
        <w:tc>
          <w:tcPr>
            <w:tcW w:w="804" w:type="dxa"/>
            <w:noWrap w:val="0"/>
            <w:vAlign w:val="center"/>
          </w:tcPr>
          <w:p>
            <w:pPr>
              <w:keepNext w:val="0"/>
              <w:keepLines w:val="0"/>
              <w:pageBreakBefore w:val="0"/>
              <w:widowControl w:val="0"/>
              <w:kinsoku/>
              <w:wordWrap/>
              <w:overflowPunct/>
              <w:topLinePunct w:val="0"/>
              <w:autoSpaceDE/>
              <w:autoSpaceDN/>
              <w:bidi w:val="0"/>
              <w:adjustRightInd/>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tcBorders>
              <w:bottom w:val="single" w:color="auto" w:sz="4" w:space="0"/>
            </w:tcBorders>
            <w:noWrap w:val="0"/>
            <w:vAlign w:val="center"/>
          </w:tcPr>
          <w:p>
            <w:pPr>
              <w:pStyle w:val="129"/>
              <w:keepNext w:val="0"/>
              <w:keepLines w:val="0"/>
              <w:pageBreakBefore w:val="0"/>
              <w:widowControl w:val="0"/>
              <w:numPr>
                <w:ilvl w:val="0"/>
                <w:numId w:val="13"/>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施工进度计划</w:t>
            </w:r>
          </w:p>
        </w:tc>
        <w:tc>
          <w:tcPr>
            <w:tcW w:w="5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关键线路清晰、准确、完整，计划编制合理、可行，关键节点的控制措施有力、合理、可行，得10分；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关键线路清晰、准确、完整，计划编制可行，关键节点的控制措施合理、可行，得6分；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关键线路基本准确，计划编制基本合理，关键节点的控制措施基本可行，得3分；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关键线路不准确，几乎编制不合理，得1分；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未提供施工进入计划及工期磋商，不得分。</w:t>
            </w:r>
          </w:p>
        </w:tc>
        <w:tc>
          <w:tcPr>
            <w:tcW w:w="9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tcBorders>
              <w:bottom w:val="single" w:color="auto" w:sz="4" w:space="0"/>
            </w:tcBorders>
            <w:noWrap w:val="0"/>
            <w:vAlign w:val="center"/>
          </w:tcPr>
          <w:p>
            <w:pPr>
              <w:pStyle w:val="129"/>
              <w:keepNext w:val="0"/>
              <w:keepLines w:val="0"/>
              <w:pageBreakBefore w:val="0"/>
              <w:widowControl w:val="0"/>
              <w:numPr>
                <w:ilvl w:val="0"/>
                <w:numId w:val="13"/>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质量、安全、文明施工保等证措施</w:t>
            </w:r>
          </w:p>
        </w:tc>
        <w:tc>
          <w:tcPr>
            <w:tcW w:w="5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质量、安全、文明施工保证措施和承诺： </w:t>
            </w:r>
          </w:p>
          <w:p>
            <w:pPr>
              <w:keepNext w:val="0"/>
              <w:keepLines w:val="0"/>
              <w:pageBreakBefore w:val="0"/>
              <w:widowControl w:val="0"/>
              <w:numPr>
                <w:ilvl w:val="0"/>
                <w:numId w:val="14"/>
              </w:numPr>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确保不发生等级安全事故，施工质量保证措施、现场文明施工措施、施工现场环保措施、施工现场安全措施、工程交验后服务措施完整及有针对性得10分； </w:t>
            </w:r>
          </w:p>
          <w:p>
            <w:pPr>
              <w:keepNext w:val="0"/>
              <w:keepLines w:val="0"/>
              <w:pageBreakBefore w:val="0"/>
              <w:widowControl w:val="0"/>
              <w:numPr>
                <w:ilvl w:val="0"/>
                <w:numId w:val="14"/>
              </w:numPr>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确保不发生等级安全事故，施工质量保证措施、现场文明施工措施、施工现场环保措施、施工现场安全措施、工程交验后服务措施完整及针对性一般得6分；  </w:t>
            </w:r>
          </w:p>
          <w:p>
            <w:pPr>
              <w:keepNext w:val="0"/>
              <w:keepLines w:val="0"/>
              <w:pageBreakBefore w:val="0"/>
              <w:widowControl w:val="0"/>
              <w:numPr>
                <w:ilvl w:val="0"/>
                <w:numId w:val="14"/>
              </w:numPr>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确保不发生等级安全事故，施工质量保证措施、现场文明施工措施、施工现场环保措施、施工现场安全措施、工程交验后服务措施较完整及针对性较差得3分； </w:t>
            </w:r>
          </w:p>
          <w:p>
            <w:pPr>
              <w:keepNext w:val="0"/>
              <w:keepLines w:val="0"/>
              <w:pageBreakBefore w:val="0"/>
              <w:widowControl w:val="0"/>
              <w:numPr>
                <w:ilvl w:val="0"/>
                <w:numId w:val="14"/>
              </w:numPr>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确保不发生等级安全事故，施工质量保证措施、现场文明施工措施、施工现场环保措施、施工现场安全措施、工程交验后服务措施不完整得1分。  </w:t>
            </w:r>
          </w:p>
          <w:p>
            <w:pPr>
              <w:keepNext w:val="0"/>
              <w:keepLines w:val="0"/>
              <w:pageBreakBefore w:val="0"/>
              <w:widowControl w:val="0"/>
              <w:numPr>
                <w:ilvl w:val="0"/>
                <w:numId w:val="0"/>
              </w:numPr>
              <w:kinsoku/>
              <w:wordWrap/>
              <w:overflowPunct/>
              <w:topLinePunct w:val="0"/>
              <w:autoSpaceDE/>
              <w:autoSpaceDN/>
              <w:bidi w:val="0"/>
              <w:adjustRightInd/>
              <w:snapToGrid w:val="0"/>
              <w:spacing w:line="310" w:lineRule="exact"/>
              <w:ind w:leftChars="0" w:right="0" w:righ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5、不提交相关内容者，得0分。</w:t>
            </w:r>
          </w:p>
        </w:tc>
        <w:tc>
          <w:tcPr>
            <w:tcW w:w="9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10</w:t>
            </w:r>
          </w:p>
        </w:tc>
        <w:tc>
          <w:tcPr>
            <w:tcW w:w="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tcBorders>
              <w:bottom w:val="single" w:color="auto" w:sz="4" w:space="0"/>
            </w:tcBorders>
            <w:noWrap w:val="0"/>
            <w:vAlign w:val="center"/>
          </w:tcPr>
          <w:p>
            <w:pPr>
              <w:pStyle w:val="129"/>
              <w:keepNext w:val="0"/>
              <w:keepLines w:val="0"/>
              <w:pageBreakBefore w:val="0"/>
              <w:widowControl w:val="0"/>
              <w:numPr>
                <w:ilvl w:val="0"/>
                <w:numId w:val="13"/>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bottom w:val="single" w:color="auto" w:sz="4" w:space="0"/>
            </w:tcBorders>
            <w:noWrap w:val="0"/>
            <w:vAlign w:val="center"/>
          </w:tcPr>
          <w:p>
            <w:pPr>
              <w:adjustRightInd w:val="0"/>
              <w:snapToGrid w:val="0"/>
              <w:spacing w:line="400" w:lineRule="exact"/>
              <w:jc w:val="center"/>
              <w:rPr>
                <w:rFonts w:hint="default" w:ascii="宋体" w:hAnsi="宋体" w:eastAsia="宋体" w:cs="宋体"/>
                <w:color w:val="auto"/>
                <w:sz w:val="24"/>
                <w:szCs w:val="24"/>
                <w:lang w:val="en-US" w:eastAsia="zh-CN"/>
              </w:rPr>
            </w:pPr>
            <w:r>
              <w:rPr>
                <w:rFonts w:hint="eastAsia" w:ascii="宋体" w:hAnsi="宋体" w:cs="宋体"/>
                <w:bCs/>
                <w:color w:val="auto"/>
                <w:sz w:val="24"/>
              </w:rPr>
              <w:t>安装调试案</w:t>
            </w:r>
          </w:p>
        </w:tc>
        <w:tc>
          <w:tcPr>
            <w:tcW w:w="5575" w:type="dxa"/>
            <w:tcBorders>
              <w:bottom w:val="single" w:color="auto" w:sz="4" w:space="0"/>
            </w:tcBorders>
            <w:noWrap w:val="0"/>
            <w:vAlign w:val="center"/>
          </w:tcPr>
          <w:p>
            <w:pPr>
              <w:spacing w:line="400" w:lineRule="exact"/>
              <w:rPr>
                <w:rFonts w:hint="eastAsia" w:ascii="宋体" w:hAnsi="宋体" w:cs="宋体"/>
                <w:color w:val="auto"/>
                <w:sz w:val="24"/>
              </w:rPr>
            </w:pPr>
            <w:r>
              <w:rPr>
                <w:rFonts w:hint="eastAsia" w:ascii="宋体" w:hAnsi="宋体" w:cs="宋体"/>
                <w:color w:val="auto"/>
                <w:sz w:val="24"/>
              </w:rPr>
              <w:t>对投标人提供的验收方案进行综合评审：</w:t>
            </w:r>
          </w:p>
          <w:p>
            <w:pPr>
              <w:spacing w:line="400" w:lineRule="exact"/>
              <w:rPr>
                <w:rFonts w:hint="eastAsia" w:ascii="宋体" w:hAnsi="宋体" w:cs="宋体"/>
                <w:color w:val="auto"/>
                <w:sz w:val="24"/>
              </w:rPr>
            </w:pPr>
            <w:r>
              <w:rPr>
                <w:rFonts w:hint="eastAsia" w:ascii="宋体" w:hAnsi="宋体" w:cs="宋体"/>
                <w:color w:val="auto"/>
                <w:sz w:val="24"/>
              </w:rPr>
              <w:t>1.验收方案完善，安排合理，可行性高，得</w:t>
            </w:r>
            <w:r>
              <w:rPr>
                <w:rFonts w:hint="eastAsia" w:ascii="宋体" w:hAnsi="宋体" w:cs="宋体"/>
                <w:color w:val="auto"/>
                <w:sz w:val="24"/>
                <w:lang w:val="en-US" w:eastAsia="zh-CN"/>
              </w:rPr>
              <w:t>5</w:t>
            </w:r>
            <w:r>
              <w:rPr>
                <w:rFonts w:hint="eastAsia" w:ascii="宋体" w:hAnsi="宋体" w:cs="宋体"/>
                <w:color w:val="auto"/>
                <w:sz w:val="24"/>
              </w:rPr>
              <w:t>分；</w:t>
            </w:r>
          </w:p>
          <w:p>
            <w:pPr>
              <w:spacing w:line="400" w:lineRule="exact"/>
              <w:rPr>
                <w:rFonts w:ascii="宋体" w:hAnsi="宋体" w:cs="宋体"/>
                <w:color w:val="auto"/>
                <w:sz w:val="24"/>
              </w:rPr>
            </w:pPr>
            <w:r>
              <w:rPr>
                <w:rFonts w:hint="eastAsia" w:ascii="宋体" w:hAnsi="宋体" w:cs="宋体"/>
                <w:color w:val="auto"/>
                <w:sz w:val="24"/>
              </w:rPr>
              <w:t>2.验收方案较完善，安排较合理，可行性较高，得</w:t>
            </w:r>
            <w:r>
              <w:rPr>
                <w:rFonts w:hint="eastAsia" w:ascii="宋体" w:hAnsi="宋体" w:cs="宋体"/>
                <w:color w:val="auto"/>
                <w:sz w:val="24"/>
                <w:lang w:val="en-US" w:eastAsia="zh-CN"/>
              </w:rPr>
              <w:t>3</w:t>
            </w:r>
            <w:r>
              <w:rPr>
                <w:rFonts w:hint="eastAsia" w:ascii="宋体" w:hAnsi="宋体" w:cs="宋体"/>
                <w:color w:val="auto"/>
                <w:sz w:val="24"/>
              </w:rPr>
              <w:t>分；</w:t>
            </w:r>
          </w:p>
          <w:p>
            <w:pPr>
              <w:spacing w:line="400" w:lineRule="exact"/>
              <w:rPr>
                <w:rFonts w:ascii="宋体" w:hAnsi="宋体" w:cs="宋体"/>
                <w:color w:val="auto"/>
                <w:sz w:val="24"/>
              </w:rPr>
            </w:pPr>
            <w:r>
              <w:rPr>
                <w:rFonts w:hint="eastAsia" w:ascii="宋体" w:hAnsi="宋体" w:cs="宋体"/>
                <w:color w:val="auto"/>
                <w:sz w:val="24"/>
              </w:rPr>
              <w:t>3.验收方案简单，安排不当，可行性一般，得</w:t>
            </w:r>
            <w:r>
              <w:rPr>
                <w:rFonts w:hint="eastAsia" w:ascii="宋体" w:hAnsi="宋体" w:cs="宋体"/>
                <w:color w:val="auto"/>
                <w:sz w:val="24"/>
                <w:lang w:val="en-US" w:eastAsia="zh-CN"/>
              </w:rPr>
              <w:t>1</w:t>
            </w:r>
            <w:r>
              <w:rPr>
                <w:rFonts w:hint="eastAsia" w:ascii="宋体" w:hAnsi="宋体" w:cs="宋体"/>
                <w:color w:val="auto"/>
                <w:sz w:val="24"/>
              </w:rPr>
              <w:t>分；</w:t>
            </w:r>
          </w:p>
          <w:p>
            <w:pPr>
              <w:spacing w:line="400" w:lineRule="exact"/>
              <w:rPr>
                <w:rFonts w:hint="eastAsia" w:ascii="宋体" w:hAnsi="宋体" w:eastAsia="宋体" w:cs="宋体"/>
                <w:color w:val="auto"/>
                <w:sz w:val="24"/>
                <w:szCs w:val="24"/>
                <w:lang w:val="en-US" w:eastAsia="zh-CN"/>
              </w:rPr>
            </w:pPr>
            <w:r>
              <w:rPr>
                <w:rFonts w:hint="eastAsia" w:ascii="宋体" w:hAnsi="宋体" w:cs="宋体"/>
                <w:color w:val="auto"/>
                <w:sz w:val="24"/>
              </w:rPr>
              <w:t>4.无提供不得分</w:t>
            </w:r>
          </w:p>
        </w:tc>
        <w:tc>
          <w:tcPr>
            <w:tcW w:w="9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tcBorders>
              <w:top w:val="single" w:color="auto" w:sz="4" w:space="0"/>
            </w:tcBorders>
            <w:noWrap w:val="0"/>
            <w:vAlign w:val="center"/>
          </w:tcPr>
          <w:p>
            <w:pPr>
              <w:pStyle w:val="129"/>
              <w:keepNext w:val="0"/>
              <w:keepLines w:val="0"/>
              <w:pageBreakBefore w:val="0"/>
              <w:widowControl w:val="0"/>
              <w:numPr>
                <w:ilvl w:val="0"/>
                <w:numId w:val="13"/>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服务响应承诺</w:t>
            </w:r>
          </w:p>
        </w:tc>
        <w:tc>
          <w:tcPr>
            <w:tcW w:w="55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对到达现场时间进行评审：</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（1）40分钟内（含40分钟）到达现场服务的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发生</w:t>
            </w:r>
            <w:r>
              <w:rPr>
                <w:rFonts w:hint="eastAsia" w:ascii="宋体" w:hAnsi="宋体" w:eastAsia="宋体" w:cs="宋体"/>
                <w:color w:val="auto"/>
                <w:sz w:val="24"/>
                <w:szCs w:val="24"/>
                <w:highlight w:val="none"/>
              </w:rPr>
              <w:t>困人故障时为</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分钟，得5分；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（2）50分钟内（含50分钟）到达现场服务的，</w:t>
            </w:r>
            <w:r>
              <w:rPr>
                <w:rFonts w:hint="eastAsia" w:ascii="宋体" w:hAnsi="宋体" w:eastAsia="宋体" w:cs="宋体"/>
                <w:color w:val="auto"/>
                <w:sz w:val="24"/>
                <w:szCs w:val="24"/>
                <w:highlight w:val="none"/>
                <w:lang w:eastAsia="zh-CN"/>
              </w:rPr>
              <w:t>发生</w:t>
            </w:r>
            <w:r>
              <w:rPr>
                <w:rFonts w:hint="eastAsia" w:ascii="宋体" w:hAnsi="宋体" w:eastAsia="宋体" w:cs="宋体"/>
                <w:color w:val="auto"/>
                <w:sz w:val="24"/>
                <w:szCs w:val="24"/>
                <w:highlight w:val="none"/>
              </w:rPr>
              <w:t>困人故障时为</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分钟，得3分；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（3）超过1小时到达现场服务的，</w:t>
            </w:r>
            <w:r>
              <w:rPr>
                <w:rFonts w:hint="eastAsia" w:ascii="宋体" w:hAnsi="宋体" w:eastAsia="宋体" w:cs="宋体"/>
                <w:color w:val="auto"/>
                <w:sz w:val="24"/>
                <w:szCs w:val="24"/>
                <w:highlight w:val="none"/>
                <w:lang w:eastAsia="zh-CN"/>
              </w:rPr>
              <w:t>发生</w:t>
            </w:r>
            <w:r>
              <w:rPr>
                <w:rFonts w:hint="eastAsia" w:ascii="宋体" w:hAnsi="宋体" w:eastAsia="宋体" w:cs="宋体"/>
                <w:color w:val="auto"/>
                <w:sz w:val="24"/>
                <w:szCs w:val="24"/>
                <w:highlight w:val="none"/>
              </w:rPr>
              <w:t>困人故障时为</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分钟，得0分。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（4）其他情况不得分。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注：提供服务响应承诺函并加盖公章，格式自拟，不提供或承诺内容不明确导致专家无法认定的不得分。 </w:t>
            </w:r>
          </w:p>
        </w:tc>
        <w:tc>
          <w:tcPr>
            <w:tcW w:w="9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0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w:t>
            </w:r>
          </w:p>
        </w:tc>
        <w:tc>
          <w:tcPr>
            <w:tcW w:w="8340" w:type="dxa"/>
            <w:gridSpan w:val="4"/>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商务部分（共</w:t>
            </w:r>
            <w:r>
              <w:rPr>
                <w:rFonts w:hint="eastAsia" w:ascii="宋体" w:hAnsi="宋体" w:eastAsia="宋体" w:cs="宋体"/>
                <w:b/>
                <w:bCs w:val="0"/>
                <w:color w:val="auto"/>
                <w:sz w:val="24"/>
                <w:szCs w:val="24"/>
                <w:lang w:val="en-US" w:eastAsia="zh-CN"/>
              </w:rPr>
              <w:t>30</w:t>
            </w:r>
            <w:r>
              <w:rPr>
                <w:rFonts w:hint="eastAsia" w:ascii="宋体" w:hAnsi="宋体" w:eastAsia="宋体" w:cs="宋体"/>
                <w:b/>
                <w:bCs w:val="0"/>
                <w:color w:val="auto"/>
                <w:sz w:val="24"/>
                <w:szCs w:val="24"/>
              </w:rPr>
              <w:t xml:space="preserve">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pStyle w:val="129"/>
              <w:keepNext w:val="0"/>
              <w:keepLines w:val="0"/>
              <w:pageBreakBefore w:val="0"/>
              <w:widowControl w:val="0"/>
              <w:numPr>
                <w:ilvl w:val="0"/>
                <w:numId w:val="15"/>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noWrap w:val="0"/>
            <w:vAlign w:val="center"/>
          </w:tcPr>
          <w:p>
            <w:pPr>
              <w:pStyle w:val="13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商务响应情况</w:t>
            </w:r>
          </w:p>
        </w:tc>
        <w:tc>
          <w:tcPr>
            <w:tcW w:w="55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zh-CN" w:eastAsia="zh-CN"/>
              </w:rPr>
              <w:t>商</w:t>
            </w:r>
            <w:r>
              <w:rPr>
                <w:rFonts w:hint="eastAsia" w:ascii="宋体" w:hAnsi="宋体" w:eastAsia="宋体" w:cs="宋体"/>
                <w:color w:val="auto"/>
                <w:sz w:val="24"/>
                <w:szCs w:val="24"/>
                <w:highlight w:val="none"/>
                <w:lang w:val="zh-CN" w:eastAsia="zh-CN"/>
              </w:rPr>
              <w:t>务条款</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优于</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商务条款</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val="zh-CN" w:eastAsia="zh-CN"/>
              </w:rPr>
              <w:t>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文件要求，得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商务条款响应</w:t>
            </w:r>
            <w:r>
              <w:rPr>
                <w:rFonts w:hint="eastAsia" w:ascii="宋体" w:hAnsi="宋体" w:eastAsia="宋体" w:cs="宋体"/>
                <w:color w:val="auto"/>
                <w:sz w:val="24"/>
                <w:szCs w:val="24"/>
                <w:highlight w:val="none"/>
                <w:lang w:val="zh-CN" w:eastAsia="zh-CN"/>
              </w:rPr>
              <w:t>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文件要求</w:t>
            </w:r>
            <w:r>
              <w:rPr>
                <w:rFonts w:hint="eastAsia" w:ascii="宋体" w:hAnsi="宋体" w:eastAsia="宋体" w:cs="宋体"/>
                <w:color w:val="auto"/>
                <w:sz w:val="24"/>
                <w:szCs w:val="24"/>
                <w:lang w:val="zh-CN" w:eastAsia="zh-CN"/>
              </w:rPr>
              <w:t>，得1分。</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noWrap w:val="0"/>
            <w:vAlign w:val="center"/>
          </w:tcPr>
          <w:p>
            <w:pPr>
              <w:pStyle w:val="129"/>
              <w:keepNext w:val="0"/>
              <w:keepLines w:val="0"/>
              <w:pageBreakBefore w:val="0"/>
              <w:widowControl w:val="0"/>
              <w:numPr>
                <w:ilvl w:val="0"/>
                <w:numId w:val="15"/>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项目管理人员配备</w:t>
            </w:r>
          </w:p>
        </w:tc>
        <w:tc>
          <w:tcPr>
            <w:tcW w:w="5575" w:type="dxa"/>
            <w:tcBorders>
              <w:top w:val="single" w:color="auto" w:sz="4" w:space="0"/>
              <w:left w:val="single" w:color="auto" w:sz="4" w:space="0"/>
              <w:bottom w:val="single" w:color="auto" w:sz="4" w:space="0"/>
              <w:right w:val="single" w:color="auto" w:sz="4" w:space="0"/>
            </w:tcBorders>
            <w:noWrap w:val="0"/>
            <w:vAlign w:val="top"/>
          </w:tcPr>
          <w:p>
            <w:pPr>
              <w:pStyle w:val="14"/>
              <w:ind w:left="0" w:leftChars="0" w:firstLine="0" w:firstLineChars="0"/>
              <w:rPr>
                <w:rFonts w:hint="eastAsia"/>
                <w:color w:val="auto"/>
                <w:lang w:val="en-US" w:eastAsia="zh-CN"/>
              </w:rPr>
            </w:pPr>
            <w:r>
              <w:rPr>
                <w:rFonts w:hint="eastAsia"/>
                <w:color w:val="auto"/>
                <w:lang w:eastAsia="zh-CN"/>
              </w:rPr>
              <w:t>具备电气工程师</w:t>
            </w:r>
            <w:r>
              <w:rPr>
                <w:rFonts w:hint="eastAsia"/>
                <w:color w:val="auto"/>
                <w:lang w:val="en-US" w:eastAsia="zh-CN"/>
              </w:rPr>
              <w:t>1名、电梯安装维修高级技师1名、特种设备安全管理员（项目代号：A）1名、电梯作业人员（项目代号T）10名、中级维修电工1名、高级维修电工1名，焊接与热切割作业人员1名、低压电工作业人员1名；上述人员岗位不能互相兼任。每满足一个条件得1分，满足以上条件得8分。</w:t>
            </w:r>
          </w:p>
          <w:p>
            <w:pPr>
              <w:pStyle w:val="14"/>
              <w:ind w:left="0" w:leftChars="0" w:firstLine="0" w:firstLineChars="0"/>
              <w:rPr>
                <w:rFonts w:hint="default"/>
                <w:color w:val="auto"/>
                <w:lang w:val="en-US" w:eastAsia="zh-CN"/>
              </w:rPr>
            </w:pPr>
            <w:r>
              <w:rPr>
                <w:rFonts w:hint="eastAsia"/>
                <w:color w:val="auto"/>
                <w:lang w:val="en-US" w:eastAsia="zh-CN"/>
              </w:rPr>
              <w:t>注：须提供拟投入人员的岗位证或技术资格证、职称证书等相关证明资料和近三个月任意一月有效的社保缴纳证明材料复印件并加盖投标人公章；未提供或所提供的证明资料不符合要求的，则该人员不予认定评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left"/>
              <w:textAlignment w:val="auto"/>
              <w:rPr>
                <w:rFonts w:hint="eastAsia" w:ascii="宋体" w:hAnsi="宋体" w:eastAsia="宋体" w:cs="宋体"/>
                <w:color w:val="auto"/>
                <w:sz w:val="24"/>
                <w:szCs w:val="24"/>
                <w:lang w:val="zh-CN" w:eastAsia="zh-CN"/>
              </w:rPr>
            </w:pPr>
          </w:p>
        </w:tc>
        <w:tc>
          <w:tcPr>
            <w:tcW w:w="97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04" w:type="dx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tcBorders>
              <w:top w:val="single" w:color="auto" w:sz="4" w:space="0"/>
            </w:tcBorders>
            <w:noWrap w:val="0"/>
            <w:vAlign w:val="center"/>
          </w:tcPr>
          <w:p>
            <w:pPr>
              <w:pStyle w:val="129"/>
              <w:keepNext w:val="0"/>
              <w:keepLines w:val="0"/>
              <w:pageBreakBefore w:val="0"/>
              <w:widowControl w:val="0"/>
              <w:numPr>
                <w:ilvl w:val="0"/>
                <w:numId w:val="15"/>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电梯制造商的同类业绩</w:t>
            </w:r>
          </w:p>
        </w:tc>
        <w:tc>
          <w:tcPr>
            <w:tcW w:w="55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自2019年1月1日至投标截止时间止，电梯制造商的同类业绩，每项得2分，本项最高得10分。</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备注：上述业绩证明需提供合同关键页或验收报告的复印件，否则不得分。</w:t>
            </w:r>
          </w:p>
        </w:tc>
        <w:tc>
          <w:tcPr>
            <w:tcW w:w="9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0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72" w:type="dxa"/>
            <w:tcBorders>
              <w:top w:val="single" w:color="auto" w:sz="4" w:space="0"/>
            </w:tcBorders>
            <w:noWrap w:val="0"/>
            <w:vAlign w:val="center"/>
          </w:tcPr>
          <w:p>
            <w:pPr>
              <w:pStyle w:val="129"/>
              <w:keepNext w:val="0"/>
              <w:keepLines w:val="0"/>
              <w:pageBreakBefore w:val="0"/>
              <w:widowControl w:val="0"/>
              <w:numPr>
                <w:ilvl w:val="0"/>
                <w:numId w:val="15"/>
              </w:numPr>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rPr>
            </w:pPr>
          </w:p>
        </w:tc>
        <w:tc>
          <w:tcPr>
            <w:tcW w:w="986"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体系认证</w:t>
            </w:r>
          </w:p>
        </w:tc>
        <w:tc>
          <w:tcPr>
            <w:tcW w:w="55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投标人具有有效期内的：</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（1）质量管理体系认证证书</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（2）环境管理体系认证证书</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（3）职业健康安全管理体系认证证书。</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每提供一项得</w:t>
            </w:r>
            <w:r>
              <w:rPr>
                <w:rFonts w:hint="eastAsia" w:ascii="宋体" w:hAnsi="宋体" w:eastAsia="宋体" w:cs="宋体"/>
                <w:color w:val="auto"/>
                <w:sz w:val="24"/>
                <w:szCs w:val="24"/>
                <w:lang w:val="en-US" w:eastAsia="zh-CN"/>
              </w:rPr>
              <w:t>3分，本项最高可得9分</w:t>
            </w:r>
            <w:r>
              <w:rPr>
                <w:rFonts w:hint="eastAsia" w:ascii="宋体" w:hAnsi="宋体" w:eastAsia="宋体" w:cs="宋体"/>
                <w:color w:val="auto"/>
                <w:sz w:val="24"/>
                <w:szCs w:val="24"/>
                <w:lang w:val="zh-CN" w:eastAsia="zh-CN"/>
              </w:rPr>
              <w:t>。</w:t>
            </w:r>
          </w:p>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注：同时提供有效期内的证书复印件和打印网站公布的链接信息资料【网址以http://www.cnca.gov.cn/网站公布为准】,已失效或撤销或暂停的不得分，未同时提供以上材料的不得分。公开信息中无法查询或与公开信息不一致的，投标人必须提供发证机构出具的证明函。</w:t>
            </w:r>
          </w:p>
        </w:tc>
        <w:tc>
          <w:tcPr>
            <w:tcW w:w="9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0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233" w:type="dxa"/>
            <w:gridSpan w:val="3"/>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合计</w:t>
            </w:r>
          </w:p>
        </w:tc>
        <w:tc>
          <w:tcPr>
            <w:tcW w:w="975"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80</w:t>
            </w:r>
            <w:r>
              <w:rPr>
                <w:rFonts w:hint="eastAsia" w:ascii="宋体" w:hAnsi="宋体" w:eastAsia="宋体" w:cs="宋体"/>
                <w:b/>
                <w:color w:val="auto"/>
                <w:sz w:val="24"/>
                <w:szCs w:val="24"/>
              </w:rPr>
              <w:t xml:space="preserve">分 </w:t>
            </w:r>
          </w:p>
        </w:tc>
        <w:tc>
          <w:tcPr>
            <w:tcW w:w="804" w:type="dxa"/>
            <w:shd w:val="clear" w:color="auto" w:fill="EAEAEA"/>
            <w:noWrap w:val="0"/>
            <w:vAlign w:val="center"/>
          </w:tcPr>
          <w:p>
            <w:pPr>
              <w:keepNext w:val="0"/>
              <w:keepLines w:val="0"/>
              <w:pageBreakBefore w:val="0"/>
              <w:widowControl w:val="0"/>
              <w:kinsoku/>
              <w:wordWrap/>
              <w:overflowPunct/>
              <w:topLinePunct w:val="0"/>
              <w:autoSpaceDE/>
              <w:autoSpaceDN/>
              <w:bidi w:val="0"/>
              <w:adjustRightInd/>
              <w:snapToGrid w:val="0"/>
              <w:spacing w:line="310" w:lineRule="exact"/>
              <w:ind w:left="0" w:leftChars="0" w:right="0" w:righ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80</w:t>
            </w:r>
            <w:r>
              <w:rPr>
                <w:rFonts w:hint="eastAsia" w:ascii="宋体" w:hAnsi="宋体" w:eastAsia="宋体" w:cs="宋体"/>
                <w:b/>
                <w:color w:val="auto"/>
                <w:sz w:val="24"/>
                <w:szCs w:val="24"/>
              </w:rPr>
              <w:t>%</w:t>
            </w:r>
          </w:p>
        </w:tc>
      </w:tr>
    </w:tbl>
    <w:p>
      <w:pPr>
        <w:rPr>
          <w:rFonts w:ascii="Times New Roman" w:hAnsi="Times New Roman" w:eastAsia="宋体" w:cs="Times New Roman"/>
          <w:b/>
          <w:bCs/>
          <w:color w:val="auto"/>
          <w:sz w:val="24"/>
          <w:szCs w:val="24"/>
        </w:rPr>
      </w:pPr>
      <w:r>
        <w:rPr>
          <w:rFonts w:ascii="Times New Roman" w:hAnsi="Times New Roman" w:eastAsia="宋体" w:cs="Times New Roman"/>
          <w:b/>
          <w:bCs/>
          <w:sz w:val="24"/>
          <w:szCs w:val="24"/>
        </w:rPr>
        <w:br w:type="page"/>
      </w:r>
      <w:r>
        <w:rPr>
          <w:rFonts w:ascii="Times New Roman" w:hAnsi="Times New Roman" w:eastAsia="宋体" w:cs="Times New Roman"/>
          <w:b/>
          <w:bCs/>
          <w:sz w:val="24"/>
          <w:szCs w:val="24"/>
        </w:rPr>
        <w:t>附表五</w:t>
      </w:r>
    </w:p>
    <w:p>
      <w:pPr>
        <w:jc w:val="center"/>
        <w:rPr>
          <w:rFonts w:ascii="Times New Roman" w:hAnsi="Times New Roman" w:eastAsia="宋体" w:cs="Times New Roman"/>
          <w:b/>
          <w:color w:val="auto"/>
          <w:sz w:val="36"/>
          <w:szCs w:val="36"/>
        </w:rPr>
      </w:pPr>
      <w:r>
        <w:rPr>
          <w:rFonts w:ascii="Times New Roman" w:hAnsi="Times New Roman" w:eastAsia="宋体" w:cs="Times New Roman"/>
          <w:b/>
          <w:color w:val="auto"/>
          <w:sz w:val="36"/>
          <w:szCs w:val="36"/>
        </w:rPr>
        <w:t>经济标评分表</w:t>
      </w:r>
    </w:p>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工程名称：</w:t>
      </w:r>
    </w:p>
    <w:tbl>
      <w:tblPr>
        <w:tblStyle w:val="37"/>
        <w:tblW w:w="87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1187"/>
        <w:gridCol w:w="1187"/>
        <w:gridCol w:w="1187"/>
        <w:gridCol w:w="1187"/>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投标人名称</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投标报价PT（元）</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评标参考价PC（元）</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偏差（（PT-PC）/PC）（%）</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减分（A）</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得分(I=</w:t>
            </w:r>
            <w:r>
              <w:rPr>
                <w:rFonts w:hint="eastAsia" w:ascii="宋体" w:hAnsi="宋体" w:eastAsia="宋体" w:cs="宋体"/>
                <w:b/>
                <w:bCs/>
                <w:color w:val="auto"/>
                <w:sz w:val="24"/>
                <w:szCs w:val="24"/>
                <w:lang w:val="en-US" w:eastAsia="zh-CN"/>
              </w:rPr>
              <w:t>20</w:t>
            </w:r>
            <w:r>
              <w:rPr>
                <w:rFonts w:hint="eastAsia" w:ascii="宋体" w:hAnsi="宋体" w:eastAsia="宋体" w:cs="宋体"/>
                <w:b/>
                <w:bCs/>
                <w:color w:val="auto"/>
                <w:sz w:val="24"/>
                <w:szCs w:val="24"/>
              </w:rPr>
              <w:t>-A)</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得分排名次序</w:t>
            </w: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c>
          <w:tcPr>
            <w:tcW w:w="11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bl>
    <w:p>
      <w:pPr>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备注：</w:t>
      </w:r>
    </w:p>
    <w:p>
      <w:pPr>
        <w:tabs>
          <w:tab w:val="left" w:pos="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评标委员会确认后的合格投标人的有效投标报价去掉一个最高投标报价和一个最低投标报价（当投标人不足5家时，直接取其平均值作为评标参考价），剩余的投标报价的平均值作为评标参考价。等于评标参考价的投标报价为满分，高于评标参考价的投标报价则按其比例，每高于1%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分（精确到0.01），每低于1%减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分（精确到0.01）。如此类推，算出所有投标人价格评分。各有效投标报价得分计算公式为：</w:t>
      </w:r>
    </w:p>
    <w:p>
      <w:pPr>
        <w:tabs>
          <w:tab w:val="left" w:pos="0"/>
        </w:tabs>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分为投标报价满分；PT为各投标人的有效报价；PC为投标报价评标参考价。</w:t>
      </w:r>
    </w:p>
    <w:p>
      <w:pPr>
        <w:numPr>
          <w:ilvl w:val="0"/>
          <w:numId w:val="16"/>
        </w:num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当PT等于基准值PC时，价格得分为满分，即</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0分；</w:t>
      </w:r>
    </w:p>
    <w:p>
      <w:pPr>
        <w:numPr>
          <w:ilvl w:val="0"/>
          <w:numId w:val="16"/>
        </w:num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当PT高于基准值PC时，价格得分=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-（PT-PC）÷PC×100÷1×</w:t>
      </w:r>
      <w:r>
        <w:rPr>
          <w:rFonts w:hint="eastAsia" w:ascii="宋体" w:hAnsi="宋体" w:eastAsia="宋体" w:cs="宋体"/>
          <w:color w:val="auto"/>
          <w:sz w:val="24"/>
          <w:szCs w:val="24"/>
          <w:highlight w:val="none"/>
          <w:lang w:val="en-US" w:eastAsia="zh-CN"/>
        </w:rPr>
        <w:t>2</w:t>
      </w:r>
    </w:p>
    <w:p>
      <w:pPr>
        <w:numPr>
          <w:ilvl w:val="0"/>
          <w:numId w:val="16"/>
        </w:numPr>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当PT低于基准值PC时，价格得分=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-（PC-PT）÷PC×100÷1×</w:t>
      </w:r>
      <w:r>
        <w:rPr>
          <w:rFonts w:hint="eastAsia" w:ascii="宋体" w:hAnsi="宋体" w:eastAsia="宋体" w:cs="宋体"/>
          <w:color w:val="auto"/>
          <w:sz w:val="24"/>
          <w:szCs w:val="24"/>
          <w:highlight w:val="none"/>
          <w:lang w:val="en-US" w:eastAsia="zh-CN"/>
        </w:rPr>
        <w:t>1</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b/>
          <w:bCs/>
          <w:sz w:val="24"/>
          <w:szCs w:val="24"/>
        </w:rPr>
        <w:sectPr>
          <w:headerReference r:id="rId11" w:type="default"/>
          <w:footerReference r:id="rId12" w:type="default"/>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rPr>
          <w:rFonts w:ascii="Times New Roman" w:hAnsi="Times New Roman" w:eastAsia="宋体" w:cs="Times New Roman"/>
          <w:b/>
          <w:bCs/>
          <w:sz w:val="24"/>
          <w:szCs w:val="24"/>
        </w:rPr>
      </w:pPr>
      <w:r>
        <w:rPr>
          <w:rFonts w:ascii="Times New Roman" w:hAnsi="Times New Roman" w:eastAsia="宋体" w:cs="Times New Roman"/>
          <w:b/>
          <w:bCs/>
          <w:sz w:val="24"/>
          <w:szCs w:val="24"/>
        </w:rPr>
        <w:t>附表六</w:t>
      </w:r>
    </w:p>
    <w:p>
      <w:pPr>
        <w:jc w:val="center"/>
        <w:rPr>
          <w:rFonts w:ascii="Times New Roman" w:hAnsi="Times New Roman" w:eastAsia="宋体" w:cs="Times New Roman"/>
          <w:b/>
          <w:sz w:val="36"/>
          <w:szCs w:val="36"/>
        </w:rPr>
      </w:pPr>
      <w:r>
        <w:rPr>
          <w:rFonts w:ascii="Times New Roman" w:hAnsi="Times New Roman" w:eastAsia="宋体" w:cs="Times New Roman"/>
          <w:b/>
          <w:sz w:val="36"/>
          <w:szCs w:val="36"/>
        </w:rPr>
        <w:t>算术复核表</w:t>
      </w:r>
    </w:p>
    <w:p>
      <w:pPr>
        <w:rPr>
          <w:rFonts w:ascii="Times New Roman" w:hAnsi="Times New Roman" w:eastAsia="宋体" w:cs="Times New Roman"/>
          <w:sz w:val="24"/>
          <w:szCs w:val="24"/>
        </w:rPr>
      </w:pPr>
      <w:r>
        <w:rPr>
          <w:rFonts w:ascii="Times New Roman" w:hAnsi="Times New Roman" w:eastAsia="宋体" w:cs="Times New Roman"/>
          <w:sz w:val="24"/>
          <w:szCs w:val="24"/>
        </w:rPr>
        <w:t>工程名称：</w:t>
      </w:r>
    </w:p>
    <w:tbl>
      <w:tblPr>
        <w:tblStyle w:val="3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58"/>
        <w:gridCol w:w="1952"/>
        <w:gridCol w:w="28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序号</w:t>
            </w:r>
          </w:p>
        </w:tc>
        <w:tc>
          <w:tcPr>
            <w:tcW w:w="1858"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投标人名称</w:t>
            </w:r>
          </w:p>
        </w:tc>
        <w:tc>
          <w:tcPr>
            <w:tcW w:w="1952"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原投标报价（A）</w:t>
            </w:r>
          </w:p>
        </w:tc>
        <w:tc>
          <w:tcPr>
            <w:tcW w:w="2803"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算数复核后投标报价（B）</w:t>
            </w:r>
          </w:p>
        </w:tc>
        <w:tc>
          <w:tcPr>
            <w:tcW w:w="1412" w:type="dxa"/>
            <w:tcBorders>
              <w:top w:val="single" w:color="auto" w:sz="4" w:space="0"/>
              <w:left w:val="single" w:color="auto" w:sz="4" w:space="0"/>
              <w:bottom w:val="single" w:color="auto" w:sz="4" w:space="0"/>
              <w:right w:val="single" w:color="auto" w:sz="4" w:space="0"/>
            </w:tcBorders>
            <w:shd w:val="clear" w:color="auto" w:fill="EAEAEA"/>
            <w:vAlign w:val="center"/>
          </w:tcPr>
          <w:p>
            <w:pPr>
              <w:jc w:val="center"/>
              <w:rPr>
                <w:rFonts w:ascii="Times New Roman" w:hAnsi="Times New Roman" w:eastAsia="宋体" w:cs="Times New Roman"/>
                <w:b/>
                <w:sz w:val="24"/>
                <w:szCs w:val="24"/>
              </w:rPr>
            </w:pPr>
            <w:r>
              <w:rPr>
                <w:rFonts w:ascii="Times New Roman" w:hAnsi="Times New Roman" w:eastAsia="宋体" w:cs="Times New Roman"/>
                <w:b/>
                <w:sz w:val="24"/>
                <w:szCs w:val="24"/>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5"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858"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95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2803"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c>
          <w:tcPr>
            <w:tcW w:w="1412" w:type="dxa"/>
            <w:tcBorders>
              <w:top w:val="single" w:color="auto" w:sz="4" w:space="0"/>
              <w:left w:val="single" w:color="auto" w:sz="4" w:space="0"/>
              <w:bottom w:val="single" w:color="auto" w:sz="4" w:space="0"/>
              <w:right w:val="single" w:color="auto" w:sz="4" w:space="0"/>
            </w:tcBorders>
          </w:tcPr>
          <w:p>
            <w:pPr>
              <w:rPr>
                <w:rFonts w:ascii="Times New Roman" w:hAnsi="Times New Roman" w:eastAsia="宋体" w:cs="Times New Roman"/>
                <w:sz w:val="36"/>
                <w:szCs w:val="36"/>
              </w:rPr>
            </w:pPr>
          </w:p>
        </w:tc>
      </w:tr>
    </w:tbl>
    <w:p>
      <w:pPr>
        <w:rPr>
          <w:rFonts w:ascii="Times New Roman" w:hAnsi="Times New Roman" w:eastAsia="宋体" w:cs="Times New Roman"/>
          <w:szCs w:val="21"/>
        </w:rPr>
      </w:pPr>
    </w:p>
    <w:p>
      <w:pPr>
        <w:spacing w:line="360" w:lineRule="auto"/>
        <w:jc w:val="center"/>
        <w:rPr>
          <w:rFonts w:ascii="Times New Roman" w:hAnsi="Times New Roman" w:eastAsia="仿宋_GB2312" w:cs="Times New Roman"/>
          <w:szCs w:val="21"/>
        </w:rPr>
        <w:sectPr>
          <w:endnotePr>
            <w:numFmt w:val="decimal"/>
          </w:endnote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keepNext/>
        <w:keepLines/>
        <w:adjustRightInd w:val="0"/>
        <w:snapToGrid w:val="0"/>
        <w:spacing w:line="360" w:lineRule="auto"/>
        <w:jc w:val="center"/>
        <w:outlineLvl w:val="0"/>
        <w:rPr>
          <w:rFonts w:ascii="Times New Roman" w:hAnsi="Times New Roman" w:eastAsia="宋体" w:cs="Times New Roman"/>
          <w:b/>
          <w:kern w:val="44"/>
          <w:sz w:val="28"/>
          <w:szCs w:val="28"/>
        </w:rPr>
      </w:pPr>
      <w:bookmarkStart w:id="74" w:name="_Toc18666"/>
      <w:bookmarkStart w:id="75" w:name="_Toc2272566"/>
      <w:bookmarkStart w:id="76" w:name="_Toc2730"/>
      <w:bookmarkStart w:id="77" w:name="_Toc2754"/>
      <w:r>
        <w:rPr>
          <w:rFonts w:ascii="Times New Roman" w:hAnsi="Times New Roman" w:eastAsia="宋体" w:cs="Times New Roman"/>
          <w:b/>
          <w:kern w:val="44"/>
          <w:sz w:val="28"/>
          <w:szCs w:val="28"/>
        </w:rPr>
        <w:t>第四章 合同条款</w:t>
      </w:r>
      <w:bookmarkEnd w:id="74"/>
      <w:bookmarkEnd w:id="75"/>
      <w:bookmarkEnd w:id="76"/>
      <w:bookmarkEnd w:id="77"/>
    </w:p>
    <w:p>
      <w:pPr>
        <w:jc w:val="center"/>
        <w:rPr>
          <w:rFonts w:ascii="宋体" w:hAnsi="宋体"/>
          <w:b/>
          <w:bCs/>
          <w:sz w:val="24"/>
          <w:szCs w:val="24"/>
        </w:rPr>
      </w:pPr>
    </w:p>
    <w:p>
      <w:pPr>
        <w:jc w:val="center"/>
        <w:rPr>
          <w:rFonts w:ascii="宋体" w:hAnsi="宋体"/>
          <w:b/>
          <w:bCs/>
          <w:sz w:val="24"/>
          <w:szCs w:val="24"/>
        </w:rPr>
      </w:pPr>
    </w:p>
    <w:p>
      <w:pPr>
        <w:pStyle w:val="124"/>
        <w:rPr>
          <w:rFonts w:hint="default" w:ascii="宋体" w:hAnsi="宋体" w:eastAsia="宋体"/>
          <w:color w:val="auto"/>
          <w:sz w:val="24"/>
          <w:szCs w:val="24"/>
          <w:lang w:val="en-US" w:eastAsia="zh-CN"/>
        </w:rPr>
      </w:pPr>
      <w:bookmarkStart w:id="78" w:name="_Toc25284"/>
      <w:bookmarkStart w:id="79" w:name="_Toc17346"/>
      <w:r>
        <w:rPr>
          <w:rFonts w:hint="eastAsia" w:ascii="宋体" w:hAnsi="宋体"/>
          <w:color w:val="auto"/>
          <w:sz w:val="24"/>
          <w:szCs w:val="24"/>
        </w:rPr>
        <w:t>合同编号：</w:t>
      </w:r>
    </w:p>
    <w:p>
      <w:pPr>
        <w:pStyle w:val="125"/>
        <w:spacing w:line="360" w:lineRule="auto"/>
        <w:ind w:firstLine="3840"/>
        <w:rPr>
          <w:rFonts w:hint="eastAsia"/>
          <w:color w:val="auto"/>
          <w:sz w:val="48"/>
          <w:szCs w:val="48"/>
        </w:rPr>
      </w:pPr>
      <w:r>
        <w:rPr>
          <w:rFonts w:hint="eastAsia"/>
          <w:color w:val="auto"/>
          <w:sz w:val="48"/>
          <w:szCs w:val="48"/>
        </w:rPr>
        <w:t xml:space="preserve"> </w:t>
      </w:r>
    </w:p>
    <w:p>
      <w:pPr>
        <w:pStyle w:val="124"/>
        <w:rPr>
          <w:rFonts w:hint="eastAsia" w:ascii="宋体" w:hAnsi="宋体"/>
          <w:color w:val="auto"/>
          <w:sz w:val="24"/>
          <w:szCs w:val="24"/>
        </w:rPr>
      </w:pPr>
      <w:r>
        <w:rPr>
          <w:rFonts w:hint="eastAsia" w:ascii="宋体" w:hAnsi="宋体"/>
          <w:color w:val="auto"/>
          <w:sz w:val="24"/>
          <w:szCs w:val="24"/>
        </w:rPr>
        <w:t xml:space="preserve"> </w:t>
      </w:r>
    </w:p>
    <w:p>
      <w:pPr>
        <w:pStyle w:val="124"/>
        <w:jc w:val="center"/>
        <w:rPr>
          <w:rFonts w:hint="eastAsia" w:ascii="宋体" w:hAnsi="宋体"/>
          <w:b/>
          <w:bCs/>
          <w:color w:val="auto"/>
          <w:sz w:val="52"/>
          <w:szCs w:val="52"/>
        </w:rPr>
      </w:pPr>
      <w:r>
        <w:rPr>
          <w:rFonts w:hint="eastAsia" w:ascii="宋体" w:hAnsi="宋体"/>
          <w:b/>
          <w:bCs/>
          <w:color w:val="auto"/>
          <w:sz w:val="52"/>
          <w:szCs w:val="52"/>
        </w:rPr>
        <w:t>电梯设备买卖合同</w:t>
      </w:r>
    </w:p>
    <w:p>
      <w:pPr>
        <w:pStyle w:val="125"/>
        <w:spacing w:line="360" w:lineRule="auto"/>
        <w:jc w:val="left"/>
        <w:rPr>
          <w:rFonts w:hint="eastAsia" w:ascii="新宋体" w:hAnsi="新宋体" w:eastAsia="新宋体"/>
          <w:b/>
          <w:bCs/>
          <w:color w:val="auto"/>
          <w:sz w:val="84"/>
          <w:szCs w:val="84"/>
        </w:rPr>
      </w:pPr>
      <w:r>
        <w:rPr>
          <w:rFonts w:hint="eastAsia" w:ascii="新宋体" w:hAnsi="新宋体" w:eastAsia="新宋体"/>
          <w:b/>
          <w:bCs/>
          <w:color w:val="auto"/>
          <w:sz w:val="84"/>
          <w:szCs w:val="84"/>
        </w:rPr>
        <w:t xml:space="preserve"> </w:t>
      </w:r>
    </w:p>
    <w:p>
      <w:pPr>
        <w:pStyle w:val="125"/>
        <w:spacing w:line="600" w:lineRule="atLeast"/>
        <w:rPr>
          <w:rFonts w:hint="eastAsia" w:ascii="新宋体" w:hAnsi="新宋体" w:eastAsia="新宋体"/>
          <w:color w:val="auto"/>
          <w:sz w:val="32"/>
          <w:szCs w:val="32"/>
        </w:rPr>
      </w:pPr>
      <w:r>
        <w:rPr>
          <w:rFonts w:hint="eastAsia" w:ascii="新宋体" w:hAnsi="新宋体" w:eastAsia="新宋体"/>
          <w:color w:val="auto"/>
          <w:sz w:val="32"/>
          <w:szCs w:val="32"/>
        </w:rPr>
        <w:t xml:space="preserve"> </w:t>
      </w:r>
    </w:p>
    <w:p>
      <w:pPr>
        <w:pStyle w:val="125"/>
        <w:spacing w:line="600" w:lineRule="atLeast"/>
        <w:rPr>
          <w:rFonts w:hint="eastAsia" w:ascii="新宋体" w:hAnsi="新宋体" w:eastAsia="新宋体"/>
          <w:color w:val="auto"/>
          <w:sz w:val="32"/>
          <w:szCs w:val="32"/>
        </w:rPr>
      </w:pPr>
      <w:r>
        <w:rPr>
          <w:rFonts w:hint="eastAsia" w:ascii="新宋体" w:hAnsi="新宋体" w:eastAsia="新宋体"/>
          <w:color w:val="auto"/>
          <w:sz w:val="32"/>
          <w:szCs w:val="32"/>
        </w:rPr>
        <w:t xml:space="preserve">  </w:t>
      </w:r>
    </w:p>
    <w:p>
      <w:pPr>
        <w:pStyle w:val="125"/>
        <w:spacing w:line="600" w:lineRule="atLeast"/>
        <w:rPr>
          <w:rFonts w:hint="eastAsia" w:ascii="宋体" w:hAnsi="宋体"/>
          <w:color w:val="auto"/>
          <w:sz w:val="30"/>
          <w:szCs w:val="30"/>
          <w:highlight w:val="none"/>
        </w:rPr>
      </w:pPr>
      <w:r>
        <w:rPr>
          <w:rFonts w:hint="eastAsia" w:ascii="新宋体" w:hAnsi="新宋体" w:eastAsia="新宋体"/>
          <w:color w:val="auto"/>
          <w:sz w:val="32"/>
          <w:szCs w:val="32"/>
          <w:highlight w:val="none"/>
        </w:rPr>
        <w:t xml:space="preserve"> </w:t>
      </w:r>
    </w:p>
    <w:p>
      <w:pPr>
        <w:pStyle w:val="124"/>
        <w:jc w:val="left"/>
        <w:rPr>
          <w:rFonts w:hint="default" w:ascii="宋体" w:hAnsi="宋体" w:eastAsia="宋体" w:cs="Times New Roman"/>
          <w:color w:val="auto"/>
          <w:sz w:val="30"/>
          <w:szCs w:val="30"/>
          <w:highlight w:val="none"/>
          <w:lang w:val="en-US" w:eastAsia="zh-CN"/>
        </w:rPr>
      </w:pPr>
      <w:r>
        <w:rPr>
          <w:rFonts w:hint="eastAsia" w:ascii="宋体" w:hAnsi="宋体"/>
          <w:color w:val="auto"/>
          <w:sz w:val="30"/>
          <w:szCs w:val="30"/>
          <w:highlight w:val="none"/>
        </w:rPr>
        <w:t xml:space="preserve">               甲  方  ：</w:t>
      </w:r>
      <w:r>
        <w:rPr>
          <w:rFonts w:hint="eastAsia" w:hAnsi="宋体"/>
          <w:color w:val="auto"/>
          <w:sz w:val="30"/>
          <w:szCs w:val="30"/>
          <w:highlight w:val="none"/>
          <w:lang w:val="en-US" w:eastAsia="zh-CN"/>
        </w:rPr>
        <w:t>南方日报社</w:t>
      </w:r>
    </w:p>
    <w:p>
      <w:pPr>
        <w:pStyle w:val="124"/>
        <w:jc w:val="left"/>
        <w:rPr>
          <w:rFonts w:hint="eastAsia" w:ascii="宋体" w:hAnsi="宋体" w:eastAsia="宋体" w:cs="Times New Roman"/>
          <w:color w:val="auto"/>
          <w:sz w:val="30"/>
          <w:szCs w:val="30"/>
          <w:highlight w:val="none"/>
          <w:lang w:eastAsia="zh-CN"/>
        </w:rPr>
      </w:pPr>
      <w:r>
        <w:rPr>
          <w:rFonts w:hint="eastAsia" w:ascii="宋体" w:hAnsi="宋体" w:eastAsia="宋体" w:cs="Times New Roman"/>
          <w:color w:val="auto"/>
          <w:sz w:val="30"/>
          <w:szCs w:val="30"/>
          <w:highlight w:val="none"/>
          <w:lang w:eastAsia="zh-CN"/>
        </w:rPr>
        <w:t xml:space="preserve">               乙  方  ：</w:t>
      </w:r>
    </w:p>
    <w:p>
      <w:pPr>
        <w:pStyle w:val="124"/>
        <w:jc w:val="left"/>
        <w:rPr>
          <w:rFonts w:hint="default" w:ascii="宋体" w:hAnsi="宋体" w:eastAsia="宋体" w:cs="Times New Roman"/>
          <w:color w:val="auto"/>
          <w:sz w:val="30"/>
          <w:szCs w:val="30"/>
          <w:highlight w:val="none"/>
          <w:lang w:val="en-US" w:eastAsia="zh-CN"/>
        </w:rPr>
      </w:pPr>
      <w:r>
        <w:rPr>
          <w:rFonts w:hint="eastAsia" w:ascii="宋体" w:hAnsi="宋体" w:eastAsia="宋体" w:cs="Times New Roman"/>
          <w:color w:val="auto"/>
          <w:sz w:val="30"/>
          <w:szCs w:val="30"/>
          <w:highlight w:val="none"/>
          <w:lang w:eastAsia="zh-CN"/>
        </w:rPr>
        <w:t xml:space="preserve">               项目名称：南方报业传媒大厦电梯更换项目</w:t>
      </w:r>
    </w:p>
    <w:p>
      <w:pPr>
        <w:pStyle w:val="124"/>
        <w:jc w:val="left"/>
        <w:rPr>
          <w:rFonts w:hint="eastAsia" w:ascii="宋体" w:hAnsi="宋体"/>
          <w:color w:val="auto"/>
          <w:sz w:val="30"/>
          <w:szCs w:val="30"/>
        </w:rPr>
      </w:pPr>
      <w:r>
        <w:rPr>
          <w:rFonts w:hint="eastAsia" w:ascii="宋体" w:hAnsi="宋体"/>
          <w:color w:val="auto"/>
          <w:sz w:val="30"/>
          <w:szCs w:val="30"/>
        </w:rPr>
        <w:t xml:space="preserve">               签订日期：</w:t>
      </w:r>
      <w:r>
        <w:rPr>
          <w:rFonts w:hint="eastAsia" w:ascii="宋体" w:hAnsi="宋体"/>
          <w:color w:val="auto"/>
          <w:sz w:val="30"/>
          <w:szCs w:val="30"/>
          <w:lang w:val="en-US" w:eastAsia="zh-CN"/>
        </w:rPr>
        <w:t xml:space="preserve">      </w:t>
      </w:r>
      <w:r>
        <w:rPr>
          <w:rFonts w:hint="eastAsia" w:ascii="宋体" w:hAnsi="宋体"/>
          <w:color w:val="auto"/>
          <w:sz w:val="30"/>
          <w:szCs w:val="30"/>
        </w:rPr>
        <w:t xml:space="preserve">年 </w:t>
      </w:r>
      <w:r>
        <w:rPr>
          <w:rFonts w:hint="eastAsia" w:ascii="宋体" w:hAnsi="宋体"/>
          <w:color w:val="auto"/>
          <w:sz w:val="30"/>
          <w:szCs w:val="30"/>
          <w:lang w:val="en-US" w:eastAsia="zh-CN"/>
        </w:rPr>
        <w:t xml:space="preserve">  </w:t>
      </w:r>
      <w:r>
        <w:rPr>
          <w:rFonts w:hint="eastAsia" w:ascii="宋体" w:hAnsi="宋体"/>
          <w:color w:val="auto"/>
          <w:sz w:val="30"/>
          <w:szCs w:val="30"/>
        </w:rPr>
        <w:t>月</w:t>
      </w:r>
      <w:r>
        <w:rPr>
          <w:rFonts w:hint="eastAsia" w:ascii="宋体" w:hAnsi="宋体"/>
          <w:color w:val="auto"/>
          <w:sz w:val="30"/>
          <w:szCs w:val="30"/>
          <w:lang w:val="en-US" w:eastAsia="zh-CN"/>
        </w:rPr>
        <w:t xml:space="preserve">   </w:t>
      </w:r>
      <w:r>
        <w:rPr>
          <w:rFonts w:hint="eastAsia" w:ascii="宋体" w:hAnsi="宋体"/>
          <w:color w:val="auto"/>
          <w:sz w:val="30"/>
          <w:szCs w:val="30"/>
        </w:rPr>
        <w:t>日</w:t>
      </w:r>
    </w:p>
    <w:p>
      <w:pPr>
        <w:pStyle w:val="124"/>
        <w:jc w:val="left"/>
        <w:rPr>
          <w:rFonts w:hint="eastAsia" w:ascii="宋体" w:hAnsi="宋体"/>
          <w:color w:val="auto"/>
          <w:sz w:val="30"/>
          <w:szCs w:val="30"/>
          <w:u w:val="single"/>
        </w:rPr>
      </w:pPr>
    </w:p>
    <w:p>
      <w:pPr>
        <w:pStyle w:val="124"/>
        <w:spacing w:line="460" w:lineRule="atLeast"/>
        <w:rPr>
          <w:rFonts w:hint="eastAsia" w:ascii="宋体" w:hAnsi="宋体"/>
          <w:color w:val="auto"/>
          <w:sz w:val="30"/>
          <w:szCs w:val="30"/>
        </w:rPr>
      </w:pPr>
      <w:r>
        <w:rPr>
          <w:rFonts w:hint="eastAsia" w:ascii="宋体" w:hAnsi="宋体"/>
          <w:color w:val="auto"/>
          <w:sz w:val="30"/>
          <w:szCs w:val="30"/>
        </w:rPr>
        <w:t xml:space="preserve"> </w:t>
      </w:r>
    </w:p>
    <w:p>
      <w:pPr>
        <w:pStyle w:val="124"/>
        <w:spacing w:line="460" w:lineRule="atLeast"/>
        <w:rPr>
          <w:rFonts w:hint="eastAsia" w:ascii="宋体" w:hAnsi="宋体"/>
          <w:color w:val="auto"/>
          <w:sz w:val="30"/>
          <w:szCs w:val="30"/>
        </w:rPr>
      </w:pPr>
      <w:r>
        <w:rPr>
          <w:rFonts w:hint="eastAsia" w:ascii="宋体" w:hAnsi="宋体"/>
          <w:color w:val="auto"/>
          <w:sz w:val="30"/>
          <w:szCs w:val="30"/>
        </w:rPr>
        <w:t xml:space="preserve"> </w:t>
      </w:r>
    </w:p>
    <w:p>
      <w:pPr>
        <w:pStyle w:val="124"/>
        <w:spacing w:line="460" w:lineRule="atLeast"/>
        <w:rPr>
          <w:rFonts w:hint="eastAsia" w:ascii="宋体" w:hAnsi="宋体"/>
          <w:color w:val="auto"/>
          <w:sz w:val="30"/>
          <w:szCs w:val="30"/>
        </w:rPr>
      </w:pPr>
      <w:r>
        <w:rPr>
          <w:rFonts w:hint="eastAsia" w:ascii="宋体" w:hAnsi="宋体"/>
          <w:color w:val="auto"/>
          <w:sz w:val="30"/>
          <w:szCs w:val="30"/>
        </w:rPr>
        <w:t xml:space="preserve"> </w:t>
      </w:r>
    </w:p>
    <w:p>
      <w:pPr>
        <w:pStyle w:val="124"/>
        <w:spacing w:line="460" w:lineRule="atLeast"/>
        <w:rPr>
          <w:rFonts w:hint="eastAsia" w:ascii="宋体" w:hAnsi="宋体"/>
          <w:color w:val="auto"/>
          <w:sz w:val="30"/>
          <w:szCs w:val="30"/>
        </w:rPr>
      </w:pPr>
    </w:p>
    <w:p>
      <w:pPr>
        <w:pStyle w:val="124"/>
        <w:spacing w:line="460" w:lineRule="atLeast"/>
        <w:rPr>
          <w:rFonts w:hint="eastAsia" w:ascii="宋体" w:hAnsi="宋体"/>
          <w:color w:val="auto"/>
          <w:sz w:val="30"/>
          <w:szCs w:val="30"/>
        </w:rPr>
      </w:pPr>
    </w:p>
    <w:p>
      <w:pPr>
        <w:pStyle w:val="124"/>
        <w:spacing w:line="460" w:lineRule="atLeast"/>
        <w:rPr>
          <w:rFonts w:hint="eastAsia" w:ascii="宋体" w:hAnsi="宋体"/>
          <w:color w:val="auto"/>
          <w:sz w:val="30"/>
          <w:szCs w:val="30"/>
        </w:rPr>
      </w:pPr>
    </w:p>
    <w:p>
      <w:pPr>
        <w:rPr>
          <w:rFonts w:hint="eastAsia" w:ascii="新宋体" w:hAnsi="新宋体" w:eastAsia="新宋体"/>
          <w:color w:val="auto"/>
          <w:sz w:val="36"/>
          <w:szCs w:val="36"/>
        </w:rPr>
      </w:pPr>
      <w:r>
        <w:rPr>
          <w:rFonts w:hint="eastAsia" w:ascii="新宋体" w:hAnsi="新宋体" w:eastAsia="新宋体"/>
          <w:color w:val="auto"/>
          <w:sz w:val="36"/>
          <w:szCs w:val="36"/>
        </w:rPr>
        <w:br w:type="page"/>
      </w:r>
    </w:p>
    <w:p>
      <w:pPr>
        <w:pStyle w:val="125"/>
        <w:pageBreakBefore w:val="0"/>
        <w:kinsoku/>
        <w:wordWrap/>
        <w:overflowPunct/>
        <w:topLinePunct w:val="0"/>
        <w:bidi w:val="0"/>
        <w:snapToGrid/>
        <w:spacing w:line="360" w:lineRule="auto"/>
        <w:ind w:left="0" w:leftChars="0" w:firstLine="560" w:firstLineChars="20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电梯设备买卖合同</w:t>
      </w:r>
    </w:p>
    <w:p>
      <w:pPr>
        <w:pStyle w:val="125"/>
        <w:pageBreakBefore w:val="0"/>
        <w:kinsoku/>
        <w:wordWrap/>
        <w:overflowPunct/>
        <w:topLinePunct w:val="0"/>
        <w:bidi w:val="0"/>
        <w:snapToGrid/>
        <w:spacing w:line="360" w:lineRule="auto"/>
        <w:ind w:left="0" w:leftChars="0" w:firstLine="480" w:firstLineChars="200"/>
        <w:jc w:val="center"/>
        <w:textAlignment w:val="auto"/>
        <w:rPr>
          <w:rFonts w:hint="eastAsia" w:ascii="宋体" w:hAnsi="宋体" w:eastAsia="宋体" w:cs="宋体"/>
          <w:color w:val="auto"/>
          <w:sz w:val="24"/>
          <w:szCs w:val="24"/>
        </w:rPr>
      </w:pPr>
    </w:p>
    <w:p>
      <w:pPr>
        <w:pStyle w:val="12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甲    方：</w:t>
      </w:r>
      <w:r>
        <w:rPr>
          <w:rFonts w:hint="eastAsia" w:ascii="宋体" w:hAnsi="宋体" w:eastAsia="宋体" w:cs="宋体"/>
          <w:b/>
          <w:bCs/>
          <w:color w:val="auto"/>
          <w:sz w:val="24"/>
          <w:szCs w:val="24"/>
          <w:highlight w:val="none"/>
          <w:u w:val="single"/>
          <w:lang w:eastAsia="zh-CN"/>
        </w:rPr>
        <w:t>南方日报社</w:t>
      </w:r>
      <w:r>
        <w:rPr>
          <w:rFonts w:hint="eastAsia" w:ascii="宋体" w:hAnsi="宋体" w:eastAsia="宋体" w:cs="宋体"/>
          <w:b/>
          <w:bCs/>
          <w:color w:val="auto"/>
          <w:sz w:val="24"/>
          <w:szCs w:val="24"/>
          <w:highlight w:val="none"/>
          <w:u w:val="single"/>
          <w:lang w:val="en-US" w:eastAsia="zh-CN"/>
        </w:rPr>
        <w:t xml:space="preserve">                </w:t>
      </w:r>
    </w:p>
    <w:p>
      <w:pPr>
        <w:pStyle w:val="124"/>
        <w:keepNext w:val="0"/>
        <w:keepLines w:val="0"/>
        <w:pageBreakBefore w:val="0"/>
        <w:widowControl/>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甲方地址：</w:t>
      </w:r>
      <w:r>
        <w:rPr>
          <w:rFonts w:hint="eastAsia" w:ascii="宋体" w:hAnsi="宋体" w:eastAsia="宋体" w:cs="宋体"/>
          <w:b/>
          <w:bCs/>
          <w:color w:val="auto"/>
          <w:sz w:val="24"/>
          <w:szCs w:val="24"/>
          <w:u w:val="single"/>
          <w:lang w:eastAsia="zh-CN"/>
        </w:rPr>
        <w:t>广州市越秀区</w:t>
      </w:r>
      <w:r>
        <w:rPr>
          <w:rFonts w:hint="eastAsia" w:ascii="宋体" w:hAnsi="宋体" w:eastAsia="宋体" w:cs="宋体"/>
          <w:b/>
          <w:bCs/>
          <w:color w:val="auto"/>
          <w:sz w:val="24"/>
          <w:szCs w:val="24"/>
          <w:u w:val="single"/>
          <w:lang w:val="en-US" w:eastAsia="zh-CN"/>
        </w:rPr>
        <w:t>广州大道中289号</w:t>
      </w:r>
    </w:p>
    <w:p>
      <w:pPr>
        <w:pStyle w:val="124"/>
        <w:pageBreakBefore w:val="0"/>
        <w:kinsoku/>
        <w:wordWrap/>
        <w:overflowPunct/>
        <w:topLinePunct w:val="0"/>
        <w:bidi w:val="0"/>
        <w:snapToGrid/>
        <w:spacing w:line="360" w:lineRule="auto"/>
        <w:ind w:left="0" w:leftChars="0"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 xml:space="preserve"> </w:t>
      </w: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乙    方：</w:t>
      </w:r>
      <w:r>
        <w:rPr>
          <w:rFonts w:hint="eastAsia" w:ascii="宋体" w:hAnsi="宋体" w:eastAsia="宋体" w:cs="宋体"/>
          <w:b/>
          <w:bCs/>
          <w:color w:val="auto"/>
          <w:sz w:val="24"/>
          <w:szCs w:val="24"/>
          <w:u w:val="single"/>
          <w:lang w:val="en-US" w:eastAsia="zh-CN"/>
        </w:rPr>
        <w:t xml:space="preserve">                             </w:t>
      </w: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乙方地址：</w:t>
      </w:r>
      <w:r>
        <w:rPr>
          <w:rFonts w:hint="eastAsia" w:ascii="宋体" w:hAnsi="宋体" w:eastAsia="宋体" w:cs="宋体"/>
          <w:b/>
          <w:bCs/>
          <w:color w:val="auto"/>
          <w:sz w:val="24"/>
          <w:szCs w:val="24"/>
          <w:u w:val="single"/>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4"/>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依据《中华人民共和国民法典》以及有关法律、法规的规定，甲乙双方就</w:t>
      </w:r>
      <w:r>
        <w:rPr>
          <w:rFonts w:hint="eastAsia" w:ascii="宋体" w:hAnsi="宋体" w:eastAsia="宋体" w:cs="宋体"/>
          <w:color w:val="auto"/>
          <w:sz w:val="24"/>
          <w:szCs w:val="24"/>
          <w:u w:val="single"/>
          <w:lang w:val="en-US" w:eastAsia="zh-CN"/>
        </w:rPr>
        <w:t xml:space="preserve"> 南方报业传媒大厦电梯更换项目 </w:t>
      </w:r>
      <w:r>
        <w:rPr>
          <w:rFonts w:hint="eastAsia" w:ascii="宋体" w:hAnsi="宋体" w:eastAsia="宋体" w:cs="宋体"/>
          <w:color w:val="auto"/>
          <w:sz w:val="24"/>
          <w:szCs w:val="24"/>
          <w:lang w:val="en-US" w:eastAsia="zh-CN"/>
        </w:rPr>
        <w:t>项目友好协商一致，遵循公平、诚实和信用的原则，订立本合同。</w:t>
      </w: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第一条 声明与保证</w:t>
      </w:r>
    </w:p>
    <w:p>
      <w:pPr>
        <w:pStyle w:val="124"/>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乙方特此声明并保证如下：</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1.1乙方对该设备享有完整的所有权且有权对外出售，他人不会对该设备主张任何权利，包括但不限于共有权、租赁权、抵押权、质押权等等，甲方对设备的使用不会引起第三方的侵权指控。</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1.2乙方向甲方出售设备（整机及配件）没有侵犯他人专有技术和/或专利和/或/著作权和/或商标权以及其它知识产权和/或其他财产权益。</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  乙方违反本条上述任一声明与保证，或甲方因使用或购买设备而遭到第三方提出非法利用或侵犯其专有技术和/或专利和/或其它知识产权的指控的，乙方依法承担责任。</w:t>
      </w: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第二条  </w:t>
      </w:r>
      <w:r>
        <w:rPr>
          <w:rFonts w:hint="eastAsia" w:ascii="宋体" w:hAnsi="宋体" w:eastAsia="宋体" w:cs="宋体"/>
          <w:b/>
          <w:bCs/>
          <w:color w:val="auto"/>
          <w:sz w:val="24"/>
          <w:szCs w:val="24"/>
          <w:lang w:eastAsia="zh-CN"/>
        </w:rPr>
        <w:t>产品</w:t>
      </w:r>
      <w:r>
        <w:rPr>
          <w:rFonts w:hint="eastAsia" w:ascii="宋体" w:hAnsi="宋体" w:eastAsia="宋体" w:cs="宋体"/>
          <w:b/>
          <w:bCs/>
          <w:color w:val="auto"/>
          <w:sz w:val="24"/>
          <w:szCs w:val="24"/>
        </w:rPr>
        <w:t>设备概况</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乙方负责本项目的电梯的供应、运输及安装。电梯的供应包括为保证电梯安全稳定地操作运行需要的全部设备、材料和产品备件以及为电梯的装配、安装、调试、正常操作和维修所必须的全部工作内容以及设备资料。</w:t>
      </w:r>
    </w:p>
    <w:p>
      <w:pPr>
        <w:pStyle w:val="125"/>
        <w:pageBreakBefore w:val="0"/>
        <w:kinsoku/>
        <w:wordWrap/>
        <w:overflowPunct/>
        <w:topLinePunct w:val="0"/>
        <w:bidi w:val="0"/>
        <w:snapToGrid/>
        <w:spacing w:line="360" w:lineRule="auto"/>
        <w:ind w:left="0" w:leftChars="0" w:firstLine="480" w:firstLineChars="200"/>
        <w:textAlignment w:val="auto"/>
        <w:rPr>
          <w:rStyle w:val="126"/>
          <w:rFonts w:hint="eastAsia" w:ascii="宋体" w:hAnsi="宋体" w:eastAsia="宋体" w:cs="宋体"/>
          <w:color w:val="auto"/>
          <w:sz w:val="24"/>
          <w:szCs w:val="24"/>
        </w:rPr>
      </w:pPr>
      <w:r>
        <w:rPr>
          <w:rFonts w:hint="eastAsia" w:ascii="宋体" w:hAnsi="宋体" w:eastAsia="宋体" w:cs="宋体"/>
          <w:color w:val="auto"/>
          <w:sz w:val="24"/>
          <w:szCs w:val="24"/>
        </w:rPr>
        <w:t>2.2设备名称、型号、规格、数量、价格及技术要求详见附件，</w:t>
      </w:r>
      <w:r>
        <w:rPr>
          <w:rFonts w:hint="eastAsia" w:asciiTheme="minorEastAsia" w:hAnsiTheme="minorEastAsia" w:eastAsiaTheme="minorEastAsia" w:cstheme="minorEastAsia"/>
          <w:sz w:val="24"/>
          <w:szCs w:val="24"/>
          <w:lang w:val="en-US" w:eastAsia="zh-CN"/>
        </w:rPr>
        <w:t>品牌</w:t>
      </w:r>
      <w:r>
        <w:rPr>
          <w:rFonts w:hint="eastAsia" w:ascii="宋体" w:hAnsi="宋体" w:eastAsia="宋体" w:cs="宋体"/>
          <w:color w:val="auto"/>
          <w:sz w:val="24"/>
          <w:szCs w:val="24"/>
        </w:rPr>
        <w:t>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具体如下表：</w:t>
      </w: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40" w:type="dxa"/>
          <w:bottom w:w="0" w:type="dxa"/>
          <w:right w:w="40" w:type="dxa"/>
        </w:tblCellMar>
      </w:tblPr>
      <w:tblGrid>
        <w:gridCol w:w="1042"/>
        <w:gridCol w:w="1110"/>
        <w:gridCol w:w="1165"/>
        <w:gridCol w:w="1441"/>
        <w:gridCol w:w="1222"/>
        <w:gridCol w:w="128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46" w:hRule="atLeast"/>
          <w:jc w:val="center"/>
        </w:trPr>
        <w:tc>
          <w:tcPr>
            <w:tcW w:w="622"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合同</w:t>
            </w:r>
          </w:p>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编号</w:t>
            </w:r>
          </w:p>
        </w:tc>
        <w:tc>
          <w:tcPr>
            <w:tcW w:w="662"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品牌</w:t>
            </w:r>
            <w:r>
              <w:rPr>
                <w:rFonts w:hint="eastAsia" w:ascii="宋体" w:hAnsi="宋体" w:eastAsia="宋体" w:cs="宋体"/>
                <w:b/>
                <w:bCs/>
                <w:color w:val="auto"/>
                <w:kern w:val="0"/>
                <w:sz w:val="24"/>
                <w:szCs w:val="24"/>
                <w:lang w:val="en-US" w:eastAsia="zh-CN"/>
              </w:rPr>
              <w:t>/</w:t>
            </w:r>
          </w:p>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型号</w:t>
            </w:r>
          </w:p>
        </w:tc>
        <w:tc>
          <w:tcPr>
            <w:tcW w:w="695"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电梯梯号</w:t>
            </w:r>
          </w:p>
        </w:tc>
        <w:tc>
          <w:tcPr>
            <w:tcW w:w="860"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电梯</w:t>
            </w:r>
            <w:r>
              <w:rPr>
                <w:rFonts w:hint="eastAsia" w:ascii="宋体" w:hAnsi="宋体" w:eastAsia="宋体" w:cs="宋体"/>
                <w:b/>
                <w:bCs/>
                <w:color w:val="auto"/>
                <w:kern w:val="0"/>
                <w:sz w:val="24"/>
                <w:szCs w:val="24"/>
                <w:lang w:eastAsia="zh-CN"/>
              </w:rPr>
              <w:t>设备</w:t>
            </w:r>
            <w:r>
              <w:rPr>
                <w:rFonts w:hint="eastAsia" w:ascii="宋体" w:hAnsi="宋体" w:eastAsia="宋体" w:cs="宋体"/>
                <w:b/>
                <w:bCs/>
                <w:color w:val="auto"/>
                <w:kern w:val="0"/>
                <w:sz w:val="24"/>
                <w:szCs w:val="24"/>
              </w:rPr>
              <w:t>单价</w:t>
            </w:r>
          </w:p>
        </w:tc>
        <w:tc>
          <w:tcPr>
            <w:tcW w:w="729"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运</w:t>
            </w:r>
            <w:r>
              <w:rPr>
                <w:rFonts w:hint="eastAsia" w:ascii="宋体" w:hAnsi="宋体" w:eastAsia="宋体" w:cs="宋体"/>
                <w:b/>
                <w:bCs/>
                <w:color w:val="auto"/>
                <w:kern w:val="0"/>
                <w:sz w:val="24"/>
                <w:szCs w:val="24"/>
                <w:lang w:eastAsia="zh-CN"/>
              </w:rPr>
              <w:t>输</w:t>
            </w:r>
            <w:r>
              <w:rPr>
                <w:rFonts w:hint="eastAsia" w:ascii="宋体" w:hAnsi="宋体" w:eastAsia="宋体" w:cs="宋体"/>
                <w:b/>
                <w:bCs/>
                <w:color w:val="auto"/>
                <w:kern w:val="0"/>
                <w:sz w:val="24"/>
                <w:szCs w:val="24"/>
              </w:rPr>
              <w:t>费单价</w:t>
            </w:r>
          </w:p>
        </w:tc>
        <w:tc>
          <w:tcPr>
            <w:tcW w:w="768"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rPr>
              <w:t>安装费</w:t>
            </w:r>
            <w:r>
              <w:rPr>
                <w:rFonts w:hint="eastAsia" w:ascii="宋体" w:hAnsi="宋体" w:eastAsia="宋体" w:cs="宋体"/>
                <w:b/>
                <w:bCs/>
                <w:color w:val="auto"/>
                <w:kern w:val="0"/>
                <w:sz w:val="24"/>
                <w:szCs w:val="24"/>
                <w:lang w:eastAsia="zh-CN"/>
              </w:rPr>
              <w:t>（含土建整改、修复费用）</w:t>
            </w:r>
          </w:p>
        </w:tc>
        <w:tc>
          <w:tcPr>
            <w:tcW w:w="661"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23" w:hRule="atLeast"/>
          <w:jc w:val="center"/>
        </w:trPr>
        <w:tc>
          <w:tcPr>
            <w:tcW w:w="622" w:type="pct"/>
            <w:vMerge w:val="restart"/>
            <w:noWrap w:val="0"/>
            <w:vAlign w:val="center"/>
          </w:tcPr>
          <w:p>
            <w:pPr>
              <w:pStyle w:val="124"/>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kern w:val="0"/>
                <w:sz w:val="24"/>
                <w:szCs w:val="24"/>
              </w:rPr>
            </w:pPr>
          </w:p>
        </w:tc>
        <w:tc>
          <w:tcPr>
            <w:tcW w:w="662"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95"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1号梯</w:t>
            </w:r>
          </w:p>
        </w:tc>
        <w:tc>
          <w:tcPr>
            <w:tcW w:w="860"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p>
        </w:tc>
        <w:tc>
          <w:tcPr>
            <w:tcW w:w="729"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768"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1"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23" w:hRule="atLeast"/>
          <w:jc w:val="center"/>
        </w:trPr>
        <w:tc>
          <w:tcPr>
            <w:tcW w:w="622" w:type="pct"/>
            <w:vMerge w:val="continue"/>
            <w:noWrap w:val="0"/>
            <w:vAlign w:val="center"/>
          </w:tcPr>
          <w:p>
            <w:pPr>
              <w:pStyle w:val="124"/>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2"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p>
        </w:tc>
        <w:tc>
          <w:tcPr>
            <w:tcW w:w="695"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2号梯</w:t>
            </w:r>
          </w:p>
        </w:tc>
        <w:tc>
          <w:tcPr>
            <w:tcW w:w="860"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p>
        </w:tc>
        <w:tc>
          <w:tcPr>
            <w:tcW w:w="729"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768"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1"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23" w:hRule="atLeast"/>
          <w:jc w:val="center"/>
        </w:trPr>
        <w:tc>
          <w:tcPr>
            <w:tcW w:w="622" w:type="pct"/>
            <w:vMerge w:val="continue"/>
            <w:noWrap w:val="0"/>
            <w:vAlign w:val="center"/>
          </w:tcPr>
          <w:p>
            <w:pPr>
              <w:pStyle w:val="124"/>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2"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95"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3号梯</w:t>
            </w:r>
          </w:p>
        </w:tc>
        <w:tc>
          <w:tcPr>
            <w:tcW w:w="860"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p>
        </w:tc>
        <w:tc>
          <w:tcPr>
            <w:tcW w:w="729"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768"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1"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23" w:hRule="atLeast"/>
          <w:jc w:val="center"/>
        </w:trPr>
        <w:tc>
          <w:tcPr>
            <w:tcW w:w="622" w:type="pct"/>
            <w:vMerge w:val="continue"/>
            <w:noWrap w:val="0"/>
            <w:vAlign w:val="center"/>
          </w:tcPr>
          <w:p>
            <w:pPr>
              <w:pStyle w:val="124"/>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2"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95"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6号梯</w:t>
            </w:r>
          </w:p>
        </w:tc>
        <w:tc>
          <w:tcPr>
            <w:tcW w:w="860" w:type="pct"/>
            <w:noWrap w:val="0"/>
            <w:vAlign w:val="top"/>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p>
        </w:tc>
        <w:tc>
          <w:tcPr>
            <w:tcW w:w="729"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768"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c>
          <w:tcPr>
            <w:tcW w:w="661" w:type="pct"/>
            <w:noWrap w:val="0"/>
            <w:vAlign w:val="center"/>
          </w:tcPr>
          <w:p>
            <w:pPr>
              <w:pStyle w:val="125"/>
              <w:pageBreakBefore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63" w:hRule="atLeast"/>
          <w:jc w:val="center"/>
        </w:trPr>
        <w:tc>
          <w:tcPr>
            <w:tcW w:w="622" w:type="pct"/>
            <w:noWrap w:val="0"/>
            <w:vAlign w:val="center"/>
          </w:tcPr>
          <w:p>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总价</w:t>
            </w:r>
            <w:r>
              <w:rPr>
                <w:rFonts w:hint="eastAsia" w:ascii="宋体" w:hAnsi="宋体" w:eastAsia="宋体" w:cs="宋体"/>
                <w:b/>
                <w:bCs/>
                <w:color w:val="auto"/>
                <w:kern w:val="0"/>
                <w:sz w:val="24"/>
                <w:szCs w:val="24"/>
                <w:lang w:eastAsia="zh-CN"/>
              </w:rPr>
              <w:t>（含税）</w:t>
            </w:r>
          </w:p>
        </w:tc>
        <w:tc>
          <w:tcPr>
            <w:tcW w:w="4377" w:type="pct"/>
            <w:gridSpan w:val="6"/>
            <w:noWrap w:val="0"/>
            <w:vAlign w:val="center"/>
          </w:tcPr>
          <w:p>
            <w:pPr>
              <w:pageBreakBefore w:val="0"/>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人民币:</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rPr>
              <w:t>元；    大写人民币:</w:t>
            </w:r>
            <w:r>
              <w:rPr>
                <w:rFonts w:hint="eastAsia" w:ascii="宋体" w:hAnsi="宋体" w:eastAsia="宋体" w:cs="宋体"/>
                <w:b/>
                <w:bCs/>
                <w:color w:val="auto"/>
                <w:kern w:val="0"/>
                <w:sz w:val="24"/>
                <w:szCs w:val="24"/>
                <w:u w:val="single"/>
              </w:rPr>
              <w:t xml:space="preserve"> </w:t>
            </w:r>
            <w:r>
              <w:rPr>
                <w:rFonts w:hint="eastAsia" w:ascii="宋体" w:hAnsi="宋体" w:eastAsia="宋体" w:cs="宋体"/>
                <w:b/>
                <w:bCs/>
                <w:color w:val="auto"/>
                <w:kern w:val="0"/>
                <w:sz w:val="24"/>
                <w:szCs w:val="24"/>
                <w:u w:val="single"/>
                <w:lang w:val="en-US" w:eastAsia="zh-CN"/>
              </w:rPr>
              <w:t xml:space="preserve">             </w:t>
            </w:r>
            <w:r>
              <w:rPr>
                <w:rFonts w:hint="eastAsia" w:ascii="宋体" w:hAnsi="宋体" w:eastAsia="宋体" w:cs="宋体"/>
                <w:b/>
                <w:bCs/>
                <w:color w:val="auto"/>
                <w:kern w:val="0"/>
                <w:sz w:val="24"/>
                <w:szCs w:val="24"/>
              </w:rPr>
              <w:t>元整</w:t>
            </w:r>
            <w:r>
              <w:rPr>
                <w:rFonts w:hint="eastAsia" w:ascii="宋体" w:hAnsi="宋体" w:eastAsia="宋体" w:cs="宋体"/>
                <w:b/>
                <w:bCs/>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463" w:hRule="atLeast"/>
          <w:jc w:val="center"/>
        </w:trPr>
        <w:tc>
          <w:tcPr>
            <w:tcW w:w="5000" w:type="pct"/>
            <w:gridSpan w:val="7"/>
            <w:noWrap w:val="0"/>
            <w:vAlign w:val="center"/>
          </w:tcPr>
          <w:p>
            <w:pPr>
              <w:pStyle w:val="16"/>
              <w:pageBreakBefore w:val="0"/>
              <w:numPr>
                <w:ilvl w:val="-1"/>
                <w:numId w:val="0"/>
              </w:numPr>
              <w:kinsoku/>
              <w:wordWrap/>
              <w:overflowPunct/>
              <w:topLinePunct w:val="0"/>
              <w:autoSpaceDE w:val="0"/>
              <w:autoSpaceDN w:val="0"/>
              <w:bidi w:val="0"/>
              <w:adjustRightInd w:val="0"/>
              <w:snapToGrid/>
              <w:spacing w:line="400" w:lineRule="exact"/>
              <w:ind w:left="0" w:leftChars="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bidi="ar-SA"/>
              </w:rPr>
              <w:t>注：本合同总金额已包含：</w:t>
            </w:r>
            <w:r>
              <w:rPr>
                <w:rFonts w:hint="eastAsia" w:ascii="宋体" w:hAnsi="宋体" w:cs="宋体"/>
                <w:b w:val="0"/>
                <w:bCs w:val="0"/>
                <w:color w:val="auto"/>
                <w:kern w:val="0"/>
                <w:sz w:val="24"/>
                <w:szCs w:val="24"/>
                <w:highlight w:val="none"/>
                <w:lang w:val="en-US" w:eastAsia="zh-CN"/>
              </w:rPr>
              <w:t>折旧回收旧电梯</w:t>
            </w:r>
            <w:r>
              <w:rPr>
                <w:rFonts w:hint="eastAsia" w:ascii="宋体" w:hAnsi="宋体" w:eastAsia="宋体" w:cs="宋体"/>
                <w:color w:val="auto"/>
                <w:kern w:val="0"/>
                <w:sz w:val="24"/>
                <w:szCs w:val="24"/>
                <w:highlight w:val="none"/>
                <w:lang w:val="en-US" w:eastAsia="zh-CN"/>
              </w:rPr>
              <w:t>、设备金额、包装费、运输费、保险费、设备装卸费、保管费、质保维护费、拆除安装费、绿色施工安全防护措施费、调试费</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lang w:val="en-US" w:eastAsia="zh-CN"/>
              </w:rPr>
              <w:t>电梯监督检验</w:t>
            </w:r>
            <w:r>
              <w:rPr>
                <w:rFonts w:hint="eastAsia" w:ascii="宋体" w:hAnsi="宋体" w:cs="宋体"/>
                <w:color w:val="auto"/>
                <w:kern w:val="0"/>
                <w:sz w:val="24"/>
                <w:szCs w:val="24"/>
                <w:highlight w:val="none"/>
                <w:lang w:val="en-US" w:eastAsia="zh-CN"/>
              </w:rPr>
              <w:t>费以及</w:t>
            </w:r>
            <w:r>
              <w:rPr>
                <w:rFonts w:hint="eastAsia" w:ascii="宋体" w:hAnsi="宋体" w:eastAsia="宋体" w:cs="宋体"/>
                <w:color w:val="auto"/>
                <w:kern w:val="0"/>
                <w:sz w:val="24"/>
                <w:szCs w:val="24"/>
                <w:highlight w:val="none"/>
                <w:lang w:val="en-US" w:eastAsia="zh-CN"/>
              </w:rPr>
              <w:t>税费等与项目相关的</w:t>
            </w:r>
            <w:r>
              <w:rPr>
                <w:rFonts w:hint="eastAsia" w:ascii="宋体" w:hAnsi="宋体" w:cs="宋体"/>
                <w:color w:val="auto"/>
                <w:kern w:val="0"/>
                <w:sz w:val="24"/>
                <w:szCs w:val="24"/>
                <w:highlight w:val="none"/>
                <w:lang w:val="en-US" w:eastAsia="zh-CN"/>
              </w:rPr>
              <w:t>包括但不限于上述的</w:t>
            </w:r>
            <w:r>
              <w:rPr>
                <w:rFonts w:hint="eastAsia" w:ascii="宋体" w:hAnsi="宋体" w:eastAsia="宋体" w:cs="宋体"/>
                <w:color w:val="auto"/>
                <w:kern w:val="0"/>
                <w:sz w:val="24"/>
                <w:szCs w:val="24"/>
                <w:highlight w:val="none"/>
                <w:lang w:val="en-US" w:eastAsia="zh-CN"/>
              </w:rPr>
              <w:t>所有费用。</w:t>
            </w:r>
          </w:p>
        </w:tc>
      </w:tr>
    </w:tbl>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设备之技术要求详见本合同附件一《技术规格要求》。</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2.3设备由乙方代办托运，乙方承担运费及运保费运至甲方指定的收货地址：</w:t>
      </w:r>
      <w:r>
        <w:rPr>
          <w:rFonts w:hint="eastAsia" w:ascii="宋体" w:hAnsi="宋体" w:eastAsia="宋体" w:cs="宋体"/>
          <w:color w:val="auto"/>
          <w:sz w:val="24"/>
          <w:szCs w:val="24"/>
          <w:u w:val="single"/>
        </w:rPr>
        <w:t>广州市</w:t>
      </w:r>
      <w:r>
        <w:rPr>
          <w:rFonts w:hint="eastAsia" w:eastAsia="宋体" w:cs="宋体"/>
          <w:color w:val="auto"/>
          <w:sz w:val="24"/>
          <w:szCs w:val="24"/>
          <w:u w:val="single"/>
          <w:lang w:eastAsia="zh-CN"/>
        </w:rPr>
        <w:t>广州大道中289号南方报业传媒集团1号楼</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收货人：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，收货人电话：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none"/>
          <w:lang w:eastAsia="zh-CN"/>
        </w:rPr>
        <w:t>。</w:t>
      </w: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第三条  质量要求</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设备／材料质量标准：产品必须全新、无断裂、完好无损、具有出厂合格证；使用的材料、工艺、颜色质量必须满足国家、地方、行业主管部门、质量监督部门的相关法规规范规定，满足设计及正常使用要求。</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技术标准：电梯执行《电梯制造与安装安全规范（GB7588-2003）》；自动扶梯/自动人行道执行《自动扶梯和自动人行道制造与安装安全规范（GB16899-2011）》，前述技术标准与本合同附件之技术要求存在冲突之处的，则应以其中最严、最高者为准。</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  设备资料</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本合同设备设计所需的技术资料（包括</w:t>
      </w:r>
      <w:r>
        <w:rPr>
          <w:rFonts w:hint="eastAsia" w:asciiTheme="minorEastAsia" w:hAnsiTheme="minorEastAsia" w:eastAsiaTheme="minorEastAsia" w:cstheme="minorEastAsia"/>
          <w:sz w:val="24"/>
          <w:szCs w:val="24"/>
          <w:lang w:val="en-US" w:eastAsia="zh-CN"/>
        </w:rPr>
        <w:t>《电梯井道图》</w:t>
      </w:r>
      <w:r>
        <w:rPr>
          <w:rFonts w:hint="eastAsia" w:ascii="宋体" w:hAnsi="宋体" w:eastAsia="宋体" w:cs="宋体"/>
          <w:color w:val="auto"/>
          <w:sz w:val="24"/>
          <w:szCs w:val="24"/>
        </w:rPr>
        <w:t>、土建参数等），由甲方于签订本合</w:t>
      </w:r>
      <w:r>
        <w:rPr>
          <w:rFonts w:hint="eastAsia" w:asciiTheme="minorEastAsia" w:hAnsiTheme="minorEastAsia" w:eastAsiaTheme="minorEastAsia" w:cstheme="minorEastAsia"/>
          <w:sz w:val="24"/>
          <w:szCs w:val="24"/>
          <w:lang w:val="en-US" w:eastAsia="zh-CN"/>
        </w:rPr>
        <w:t>同时一并确认盖章</w:t>
      </w:r>
      <w:r>
        <w:rPr>
          <w:rFonts w:hint="eastAsia" w:ascii="宋体" w:hAnsi="宋体" w:eastAsia="宋体" w:cs="宋体"/>
          <w:color w:val="auto"/>
          <w:sz w:val="24"/>
          <w:szCs w:val="24"/>
        </w:rPr>
        <w:t>提供给乙方；</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本合同</w:t>
      </w:r>
      <w:r>
        <w:rPr>
          <w:rFonts w:hint="eastAsia" w:ascii="宋体" w:hAnsi="宋体" w:eastAsia="宋体" w:cs="宋体"/>
          <w:b w:val="0"/>
          <w:bCs w:val="0"/>
          <w:color w:val="auto"/>
          <w:sz w:val="24"/>
          <w:szCs w:val="24"/>
        </w:rPr>
        <w:t>技术规格要求</w:t>
      </w:r>
      <w:r>
        <w:rPr>
          <w:rFonts w:hint="eastAsia" w:eastAsia="宋体" w:cs="宋体"/>
          <w:b w:val="0"/>
          <w:bCs w:val="0"/>
          <w:color w:val="auto"/>
          <w:sz w:val="24"/>
          <w:szCs w:val="24"/>
          <w:lang w:eastAsia="zh-CN"/>
        </w:rPr>
        <w:t>或产品规格表</w:t>
      </w:r>
      <w:r>
        <w:rPr>
          <w:rFonts w:hint="eastAsia" w:ascii="宋体" w:hAnsi="宋体" w:eastAsia="宋体" w:cs="宋体"/>
          <w:color w:val="auto"/>
          <w:sz w:val="24"/>
          <w:szCs w:val="24"/>
        </w:rPr>
        <w:t>所列之各项为设备所用之技术，甲方应在签署确认本合同的同时予以确认</w:t>
      </w:r>
      <w:r>
        <w:rPr>
          <w:rFonts w:hint="eastAsia" w:ascii="宋体" w:hAnsi="宋体" w:eastAsia="宋体" w:cs="宋体"/>
          <w:b w:val="0"/>
          <w:bCs w:val="0"/>
          <w:color w:val="auto"/>
          <w:sz w:val="24"/>
          <w:szCs w:val="24"/>
        </w:rPr>
        <w:t>技术规格要求</w:t>
      </w:r>
      <w:r>
        <w:rPr>
          <w:rFonts w:hint="eastAsia" w:ascii="宋体" w:hAnsi="宋体" w:eastAsia="宋体" w:cs="宋体"/>
          <w:color w:val="auto"/>
          <w:sz w:val="24"/>
          <w:szCs w:val="24"/>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eastAsia="宋体" w:cs="宋体"/>
          <w:color w:val="auto"/>
          <w:sz w:val="24"/>
          <w:szCs w:val="24"/>
          <w:lang w:val="en-US" w:eastAsia="zh-CN"/>
        </w:rPr>
        <w:t>3</w:t>
      </w:r>
      <w:r>
        <w:rPr>
          <w:rFonts w:hint="eastAsia" w:ascii="宋体" w:hAnsi="宋体" w:eastAsia="宋体" w:cs="宋体"/>
          <w:color w:val="auto"/>
          <w:sz w:val="24"/>
          <w:szCs w:val="24"/>
        </w:rPr>
        <w:t xml:space="preserve">  乙方应当在交付设备的同时向甲方交付全部适用的、必要的设备资料。设备资料包括但不限于：设备技术资料、合格证书、设备说明书等有关资料。</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eastAsia="宋体" w:cs="宋体"/>
          <w:color w:val="auto"/>
          <w:sz w:val="24"/>
          <w:szCs w:val="24"/>
          <w:lang w:val="en-US" w:eastAsia="zh-CN"/>
        </w:rPr>
        <w:t>4</w:t>
      </w:r>
      <w:r>
        <w:rPr>
          <w:rFonts w:hint="eastAsia" w:ascii="宋体" w:hAnsi="宋体" w:eastAsia="宋体" w:cs="宋体"/>
          <w:color w:val="auto"/>
          <w:sz w:val="24"/>
          <w:szCs w:val="24"/>
        </w:rPr>
        <w:t xml:space="preserve">  乙方提供的设备技术资料应用中文写成，包括：设备的数量、型号、规格、技术指标，设备的图纸，设备及系统说明书和原理图，设备及系统安装线路图，安装手册，操作和维修手册，技术规范，以及其他必需的技术资料；</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w:t>
      </w:r>
      <w:r>
        <w:rPr>
          <w:rFonts w:hint="eastAsia" w:eastAsia="宋体" w:cs="宋体"/>
          <w:color w:val="auto"/>
          <w:sz w:val="24"/>
          <w:szCs w:val="24"/>
          <w:lang w:val="en-US" w:eastAsia="zh-CN"/>
        </w:rPr>
        <w:t>5</w:t>
      </w:r>
      <w:r>
        <w:rPr>
          <w:rFonts w:hint="eastAsia" w:ascii="宋体" w:hAnsi="宋体" w:eastAsia="宋体" w:cs="宋体"/>
          <w:color w:val="auto"/>
          <w:sz w:val="24"/>
          <w:szCs w:val="24"/>
        </w:rPr>
        <w:t xml:space="preserve">  乙方交付的设备资料应全部正确、清楚和完整，足以满足设备设计、安装、操作、维修和验收要求，且适宜甲方操作人员、维护人员使用。</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第四条  设备价款的支付</w:t>
      </w:r>
    </w:p>
    <w:p>
      <w:pPr>
        <w:pStyle w:val="125"/>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4.1 本项目费用</w:t>
      </w:r>
      <w:r>
        <w:rPr>
          <w:rFonts w:hint="eastAsia" w:ascii="宋体" w:hAnsi="宋体" w:eastAsia="宋体" w:cs="宋体"/>
          <w:color w:val="auto"/>
          <w:sz w:val="24"/>
          <w:szCs w:val="24"/>
        </w:rPr>
        <w:t>按总价分期付款</w:t>
      </w:r>
      <w:r>
        <w:rPr>
          <w:rFonts w:hint="eastAsia" w:eastAsia="宋体" w:cs="宋体"/>
          <w:color w:val="auto"/>
          <w:sz w:val="24"/>
          <w:szCs w:val="24"/>
          <w:lang w:eastAsia="zh-CN"/>
        </w:rPr>
        <w:t>。</w:t>
      </w:r>
    </w:p>
    <w:p>
      <w:pPr>
        <w:pStyle w:val="125"/>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eastAsia="宋体" w:cs="宋体"/>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0"/>
          <w:sz w:val="24"/>
          <w:szCs w:val="24"/>
          <w:lang w:val="en-US" w:eastAsia="zh-CN" w:bidi="ar-SA"/>
        </w:rPr>
        <w:t>本合同经双方签字并加盖公章后即生效。合同签订之日起十个工作日内甲方支付</w:t>
      </w:r>
      <w:r>
        <w:rPr>
          <w:rFonts w:hint="eastAsia" w:ascii="宋体" w:hAnsi="宋体" w:eastAsia="宋体" w:cs="宋体"/>
          <w:color w:val="auto"/>
          <w:sz w:val="24"/>
          <w:szCs w:val="24"/>
        </w:rPr>
        <w:t>本合同</w:t>
      </w:r>
      <w:r>
        <w:rPr>
          <w:rFonts w:hint="eastAsia" w:ascii="宋体" w:hAnsi="宋体" w:eastAsia="宋体" w:cs="宋体"/>
          <w:color w:val="auto"/>
          <w:sz w:val="24"/>
          <w:szCs w:val="24"/>
          <w:lang w:eastAsia="zh-CN"/>
        </w:rPr>
        <w:t>总金额</w:t>
      </w:r>
      <w:r>
        <w:rPr>
          <w:rFonts w:hint="eastAsia" w:ascii="宋体" w:hAnsi="宋体" w:eastAsia="宋体" w:cs="宋体"/>
          <w:color w:val="auto"/>
          <w:kern w:val="0"/>
          <w:sz w:val="24"/>
          <w:szCs w:val="24"/>
          <w:lang w:val="en-US" w:eastAsia="zh-CN" w:bidi="ar-SA"/>
        </w:rPr>
        <w:t>的</w:t>
      </w:r>
      <w:r>
        <w:rPr>
          <w:rFonts w:hint="eastAsia" w:ascii="宋体" w:hAnsi="宋体" w:eastAsia="宋体" w:cs="宋体"/>
          <w:color w:val="auto"/>
          <w:kern w:val="0"/>
          <w:sz w:val="24"/>
          <w:szCs w:val="24"/>
          <w:u w:val="none"/>
          <w:lang w:val="en-US" w:eastAsia="zh-CN" w:bidi="ar-SA"/>
        </w:rPr>
        <w:t>30</w:t>
      </w:r>
      <w:r>
        <w:rPr>
          <w:rFonts w:hint="eastAsia" w:ascii="宋体" w:hAnsi="宋体" w:eastAsia="宋体" w:cs="宋体"/>
          <w:color w:val="auto"/>
          <w:kern w:val="0"/>
          <w:sz w:val="24"/>
          <w:szCs w:val="24"/>
          <w:lang w:val="en-US" w:eastAsia="zh-CN" w:bidi="ar-SA"/>
        </w:rPr>
        <w:t>% 即人民币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元作为预付款给乙方。乙方收到甲方付款后，立即安排生产，并于</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天内生产完毕向</w:t>
      </w:r>
      <w:r>
        <w:rPr>
          <w:rFonts w:hint="eastAsia" w:eastAsia="宋体" w:cs="宋体"/>
          <w:color w:val="auto"/>
          <w:kern w:val="0"/>
          <w:sz w:val="24"/>
          <w:szCs w:val="24"/>
          <w:lang w:val="en-US" w:eastAsia="zh-CN" w:bidi="ar-SA"/>
        </w:rPr>
        <w:t>甲方</w:t>
      </w:r>
      <w:r>
        <w:rPr>
          <w:rFonts w:hint="eastAsia" w:ascii="宋体" w:hAnsi="宋体" w:eastAsia="宋体" w:cs="宋体"/>
          <w:color w:val="auto"/>
          <w:kern w:val="0"/>
          <w:sz w:val="24"/>
          <w:szCs w:val="24"/>
          <w:lang w:val="en-US" w:eastAsia="zh-CN" w:bidi="ar-SA"/>
        </w:rPr>
        <w:t>交付产品。</w:t>
      </w:r>
      <w:r>
        <w:rPr>
          <w:rFonts w:hint="eastAsia" w:asciiTheme="minorEastAsia" w:hAnsiTheme="minorEastAsia" w:eastAsiaTheme="minorEastAsia" w:cstheme="minorEastAsia"/>
          <w:sz w:val="24"/>
          <w:szCs w:val="24"/>
          <w:lang w:val="en-US" w:eastAsia="zh-CN"/>
        </w:rPr>
        <w:t>在收到甲方交货通知后7天内安排发货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lang w:val="en-US" w:eastAsia="zh-CN"/>
        </w:rPr>
        <w:t>四</w:t>
      </w:r>
      <w:r>
        <w:rPr>
          <w:rFonts w:hint="eastAsia" w:ascii="宋体" w:hAnsi="宋体" w:eastAsia="宋体" w:cs="宋体"/>
          <w:color w:val="auto"/>
          <w:sz w:val="24"/>
          <w:szCs w:val="24"/>
          <w:lang w:eastAsia="zh-CN"/>
        </w:rPr>
        <w:t>台电梯共分</w:t>
      </w:r>
      <w:r>
        <w:rPr>
          <w:rFonts w:hint="eastAsia" w:ascii="宋体" w:hAnsi="宋体" w:eastAsia="宋体" w:cs="宋体"/>
          <w:color w:val="auto"/>
          <w:sz w:val="24"/>
          <w:szCs w:val="24"/>
          <w:u w:val="none"/>
          <w:lang w:val="en-US" w:eastAsia="zh-CN"/>
        </w:rPr>
        <w:t>四</w:t>
      </w:r>
      <w:r>
        <w:rPr>
          <w:rFonts w:hint="eastAsia" w:ascii="宋体" w:hAnsi="宋体" w:eastAsia="宋体" w:cs="宋体"/>
          <w:color w:val="auto"/>
          <w:sz w:val="24"/>
          <w:szCs w:val="24"/>
          <w:lang w:eastAsia="zh-CN"/>
        </w:rPr>
        <w:t>批次发货，</w:t>
      </w:r>
      <w:r>
        <w:rPr>
          <w:rFonts w:hint="eastAsia" w:ascii="宋体" w:hAnsi="宋体" w:eastAsia="宋体" w:cs="宋体"/>
          <w:color w:val="auto"/>
          <w:sz w:val="24"/>
          <w:szCs w:val="24"/>
        </w:rPr>
        <w:t>甲方应在收到乙方发货通知两天内安排好现场设备存放地点。</w:t>
      </w:r>
    </w:p>
    <w:p>
      <w:pPr>
        <w:pStyle w:val="125"/>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在第二台</w:t>
      </w:r>
      <w:r>
        <w:rPr>
          <w:rFonts w:hint="eastAsia" w:ascii="宋体" w:hAnsi="宋体" w:eastAsia="宋体" w:cs="宋体"/>
          <w:color w:val="auto"/>
          <w:sz w:val="24"/>
          <w:szCs w:val="24"/>
        </w:rPr>
        <w:t>电梯取得政府部门颁发安全使用证后</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w:t>
      </w:r>
      <w:r>
        <w:rPr>
          <w:rStyle w:val="127"/>
          <w:rFonts w:hint="eastAsia" w:ascii="宋体" w:hAnsi="宋体" w:eastAsia="宋体" w:cs="宋体"/>
          <w:color w:val="auto"/>
          <w:sz w:val="24"/>
          <w:szCs w:val="24"/>
        </w:rPr>
        <w:t>累计支付</w:t>
      </w:r>
      <w:r>
        <w:rPr>
          <w:rStyle w:val="127"/>
          <w:rFonts w:hint="eastAsia" w:ascii="宋体" w:hAnsi="宋体" w:eastAsia="宋体" w:cs="宋体"/>
          <w:color w:val="auto"/>
          <w:sz w:val="24"/>
          <w:szCs w:val="24"/>
          <w:lang w:eastAsia="zh-CN"/>
        </w:rPr>
        <w:t>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总金额的</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款项</w:t>
      </w:r>
      <w:r>
        <w:rPr>
          <w:rStyle w:val="127"/>
          <w:rFonts w:hint="eastAsia" w:ascii="宋体" w:hAnsi="宋体" w:eastAsia="宋体" w:cs="宋体"/>
          <w:color w:val="auto"/>
          <w:sz w:val="24"/>
          <w:szCs w:val="24"/>
        </w:rPr>
        <w:t>（含预付款）</w:t>
      </w:r>
      <w:r>
        <w:rPr>
          <w:rFonts w:hint="eastAsia" w:ascii="宋体" w:hAnsi="宋体" w:eastAsia="宋体" w:cs="宋体"/>
          <w:color w:val="auto"/>
          <w:sz w:val="24"/>
          <w:szCs w:val="24"/>
        </w:rPr>
        <w:t>给乙方即</w:t>
      </w:r>
      <w:r>
        <w:rPr>
          <w:rFonts w:hint="eastAsia" w:ascii="宋体" w:hAnsi="宋体" w:eastAsia="宋体" w:cs="宋体"/>
          <w:color w:val="auto"/>
          <w:kern w:val="0"/>
          <w:sz w:val="24"/>
          <w:szCs w:val="24"/>
          <w:lang w:val="en-US" w:eastAsia="zh-CN" w:bidi="ar-SA"/>
        </w:rPr>
        <w:t>人民币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元整</w:t>
      </w:r>
      <w:r>
        <w:rPr>
          <w:rFonts w:hint="eastAsia" w:ascii="宋体" w:hAnsi="宋体" w:eastAsia="宋体" w:cs="宋体"/>
          <w:color w:val="auto"/>
          <w:sz w:val="24"/>
          <w:szCs w:val="24"/>
        </w:rPr>
        <w:t>。</w:t>
      </w:r>
    </w:p>
    <w:p>
      <w:pPr>
        <w:pStyle w:val="125"/>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eastAsia="宋体" w:cs="宋体"/>
          <w:color w:val="auto"/>
          <w:sz w:val="24"/>
          <w:szCs w:val="24"/>
          <w:lang w:val="en-US" w:eastAsia="zh-CN"/>
        </w:rPr>
        <w:t>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在第四台</w:t>
      </w:r>
      <w:r>
        <w:rPr>
          <w:rFonts w:hint="eastAsia" w:ascii="宋体" w:hAnsi="宋体" w:eastAsia="宋体" w:cs="宋体"/>
          <w:color w:val="auto"/>
          <w:sz w:val="24"/>
          <w:szCs w:val="24"/>
        </w:rPr>
        <w:t>电梯取得政府部门颁发安全使用证后10个工作日</w:t>
      </w:r>
      <w:r>
        <w:rPr>
          <w:rFonts w:hint="eastAsia" w:ascii="宋体" w:hAnsi="宋体" w:eastAsia="宋体" w:cs="宋体"/>
          <w:color w:val="auto"/>
          <w:sz w:val="24"/>
          <w:szCs w:val="24"/>
          <w:lang w:eastAsia="zh-CN"/>
        </w:rPr>
        <w:t>内，</w:t>
      </w:r>
      <w:r>
        <w:rPr>
          <w:rFonts w:hint="eastAsia" w:ascii="宋体" w:hAnsi="宋体" w:eastAsia="宋体" w:cs="宋体"/>
          <w:color w:val="auto"/>
          <w:sz w:val="24"/>
          <w:szCs w:val="24"/>
        </w:rPr>
        <w:t>甲方</w:t>
      </w:r>
      <w:r>
        <w:rPr>
          <w:rStyle w:val="127"/>
          <w:rFonts w:hint="eastAsia" w:ascii="宋体" w:hAnsi="宋体" w:eastAsia="宋体" w:cs="宋体"/>
          <w:color w:val="auto"/>
          <w:sz w:val="24"/>
          <w:szCs w:val="24"/>
        </w:rPr>
        <w:t>累计</w:t>
      </w:r>
      <w:r>
        <w:rPr>
          <w:rFonts w:hint="eastAsia" w:ascii="宋体" w:hAnsi="宋体" w:eastAsia="宋体" w:cs="宋体"/>
          <w:color w:val="auto"/>
          <w:sz w:val="24"/>
          <w:szCs w:val="24"/>
          <w:lang w:eastAsia="zh-CN"/>
        </w:rPr>
        <w:t>支付</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总金额的</w:t>
      </w:r>
      <w:r>
        <w:rPr>
          <w:rFonts w:hint="eastAsia" w:ascii="宋体" w:hAnsi="宋体" w:eastAsia="宋体" w:cs="宋体"/>
          <w:color w:val="auto"/>
          <w:sz w:val="24"/>
          <w:szCs w:val="24"/>
          <w:lang w:val="en-US" w:eastAsia="zh-CN"/>
        </w:rPr>
        <w:t>97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款项</w:t>
      </w:r>
      <w:r>
        <w:rPr>
          <w:rStyle w:val="127"/>
          <w:rFonts w:hint="eastAsia" w:ascii="宋体" w:hAnsi="宋体" w:eastAsia="宋体" w:cs="宋体"/>
          <w:color w:val="auto"/>
          <w:sz w:val="24"/>
          <w:szCs w:val="24"/>
        </w:rPr>
        <w:t>（含预付款）</w:t>
      </w:r>
      <w:r>
        <w:rPr>
          <w:rFonts w:hint="eastAsia" w:ascii="宋体" w:hAnsi="宋体" w:eastAsia="宋体" w:cs="宋体"/>
          <w:color w:val="auto"/>
          <w:sz w:val="24"/>
          <w:szCs w:val="24"/>
        </w:rPr>
        <w:t>给乙方即</w:t>
      </w:r>
      <w:r>
        <w:rPr>
          <w:rFonts w:hint="eastAsia" w:ascii="宋体" w:hAnsi="宋体" w:eastAsia="宋体" w:cs="宋体"/>
          <w:color w:val="auto"/>
          <w:sz w:val="24"/>
          <w:szCs w:val="24"/>
          <w:lang w:eastAsia="zh-CN"/>
        </w:rPr>
        <w:t>人</w:t>
      </w:r>
      <w:r>
        <w:rPr>
          <w:rFonts w:hint="eastAsia" w:ascii="宋体" w:hAnsi="宋体" w:eastAsia="宋体" w:cs="宋体"/>
          <w:color w:val="auto"/>
          <w:kern w:val="0"/>
          <w:sz w:val="24"/>
          <w:szCs w:val="24"/>
          <w:lang w:val="en-US" w:eastAsia="zh-CN" w:bidi="ar-SA"/>
        </w:rPr>
        <w:t>民币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元整</w:t>
      </w:r>
      <w:r>
        <w:rPr>
          <w:rFonts w:hint="eastAsia" w:ascii="宋体" w:hAnsi="宋体" w:eastAsia="宋体" w:cs="宋体"/>
          <w:color w:val="auto"/>
          <w:sz w:val="24"/>
          <w:szCs w:val="24"/>
        </w:rPr>
        <w:t>。</w:t>
      </w:r>
    </w:p>
    <w:p>
      <w:pPr>
        <w:pStyle w:val="125"/>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eastAsia="宋体" w:cs="宋体"/>
          <w:color w:val="auto"/>
          <w:sz w:val="24"/>
          <w:szCs w:val="24"/>
          <w:lang w:val="en-US" w:eastAsia="zh-CN"/>
        </w:rPr>
        <w:t>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余下款作为质保金在</w:t>
      </w:r>
      <w:r>
        <w:rPr>
          <w:rFonts w:hint="eastAsia" w:ascii="宋体" w:hAnsi="宋体" w:eastAsia="宋体" w:cs="宋体"/>
          <w:color w:val="auto"/>
          <w:sz w:val="24"/>
          <w:szCs w:val="24"/>
          <w:lang w:val="en-US" w:eastAsia="zh-CN"/>
        </w:rPr>
        <w:t>第四台电梯在</w:t>
      </w:r>
      <w:r>
        <w:rPr>
          <w:rFonts w:hint="eastAsia" w:ascii="宋体" w:hAnsi="宋体" w:eastAsia="宋体" w:cs="宋体"/>
          <w:color w:val="auto"/>
          <w:sz w:val="24"/>
          <w:szCs w:val="24"/>
          <w:lang w:eastAsia="zh-CN"/>
        </w:rPr>
        <w:t>政府部门颁发安全使用证合格之日起满一年后</w:t>
      </w:r>
      <w:r>
        <w:rPr>
          <w:rFonts w:hint="eastAsia" w:ascii="宋体" w:hAnsi="宋体" w:eastAsia="宋体" w:cs="宋体"/>
          <w:color w:val="auto"/>
          <w:sz w:val="24"/>
          <w:szCs w:val="24"/>
          <w:lang w:val="en-US" w:eastAsia="zh-CN"/>
        </w:rPr>
        <w:t>10个工作日内</w:t>
      </w:r>
      <w:r>
        <w:rPr>
          <w:rFonts w:hint="eastAsia" w:ascii="宋体" w:hAnsi="宋体" w:eastAsia="宋体" w:cs="宋体"/>
          <w:color w:val="auto"/>
          <w:sz w:val="24"/>
          <w:szCs w:val="24"/>
          <w:lang w:eastAsia="zh-CN"/>
        </w:rPr>
        <w:t>甲方向乙方无息支付，即</w:t>
      </w:r>
      <w:r>
        <w:rPr>
          <w:rFonts w:hint="eastAsia" w:ascii="宋体" w:hAnsi="宋体" w:eastAsia="宋体" w:cs="宋体"/>
          <w:color w:val="auto"/>
          <w:kern w:val="0"/>
          <w:sz w:val="24"/>
          <w:szCs w:val="24"/>
          <w:lang w:val="en-US" w:eastAsia="zh-CN" w:bidi="ar-SA"/>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元整。</w:t>
      </w:r>
    </w:p>
    <w:p>
      <w:pPr>
        <w:pStyle w:val="125"/>
        <w:pageBreakBefore w:val="0"/>
        <w:kinsoku/>
        <w:wordWrap/>
        <w:overflowPunct/>
        <w:topLinePunct w:val="0"/>
        <w:bidi w:val="0"/>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eastAsia="宋体" w:cs="宋体"/>
          <w:color w:val="auto"/>
          <w:sz w:val="24"/>
          <w:szCs w:val="24"/>
          <w:lang w:val="en-US" w:eastAsia="zh-CN"/>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乙方收到甲方</w:t>
      </w:r>
      <w:r>
        <w:rPr>
          <w:rFonts w:hint="eastAsia" w:ascii="宋体" w:hAnsi="宋体" w:eastAsia="宋体" w:cs="宋体"/>
          <w:color w:val="auto"/>
          <w:kern w:val="0"/>
          <w:sz w:val="24"/>
          <w:szCs w:val="24"/>
          <w:lang w:val="en-US" w:eastAsia="zh-CN" w:bidi="ar-SA"/>
        </w:rPr>
        <w:t>预付款</w:t>
      </w:r>
      <w:r>
        <w:rPr>
          <w:rFonts w:hint="eastAsia" w:ascii="宋体" w:hAnsi="宋体" w:eastAsia="宋体" w:cs="宋体"/>
          <w:color w:val="auto"/>
          <w:sz w:val="24"/>
          <w:szCs w:val="24"/>
          <w:lang w:eastAsia="zh-CN"/>
        </w:rPr>
        <w:t>时，提供相应的为期</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lang w:eastAsia="zh-CN"/>
        </w:rPr>
        <w:t>个月</w:t>
      </w:r>
      <w:r>
        <w:rPr>
          <w:rFonts w:hint="eastAsia" w:ascii="宋体" w:hAnsi="宋体" w:eastAsia="宋体" w:cs="宋体"/>
          <w:color w:val="auto"/>
          <w:sz w:val="24"/>
          <w:szCs w:val="24"/>
          <w:highlight w:val="none"/>
          <w:lang w:eastAsia="zh-CN"/>
        </w:rPr>
        <w:t>的银行履约保函</w:t>
      </w:r>
      <w:r>
        <w:rPr>
          <w:rFonts w:hint="eastAsia" w:eastAsia="宋体" w:cs="宋体"/>
          <w:color w:val="auto"/>
          <w:sz w:val="24"/>
          <w:szCs w:val="24"/>
          <w:highlight w:val="none"/>
          <w:lang w:eastAsia="zh-CN"/>
        </w:rPr>
        <w:t>，保函金额为合同价的10%</w:t>
      </w:r>
      <w:r>
        <w:rPr>
          <w:rFonts w:hint="eastAsia" w:ascii="宋体" w:hAnsi="宋体" w:eastAsia="宋体" w:cs="宋体"/>
          <w:color w:val="auto"/>
          <w:sz w:val="24"/>
          <w:szCs w:val="24"/>
          <w:highlight w:val="none"/>
          <w:lang w:eastAsia="zh-CN"/>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eastAsia="宋体" w:cs="宋体"/>
          <w:color w:val="auto"/>
          <w:sz w:val="24"/>
          <w:szCs w:val="24"/>
          <w:lang w:val="en-US" w:eastAsia="zh-CN"/>
        </w:rPr>
        <w:t>7</w:t>
      </w:r>
      <w:r>
        <w:rPr>
          <w:rFonts w:hint="eastAsia" w:ascii="宋体" w:hAnsi="宋体" w:eastAsia="宋体" w:cs="宋体"/>
          <w:color w:val="auto"/>
          <w:sz w:val="24"/>
          <w:szCs w:val="24"/>
          <w:lang w:val="en-US" w:eastAsia="zh-CN"/>
        </w:rPr>
        <w:t xml:space="preserve"> </w:t>
      </w:r>
      <w:r>
        <w:rPr>
          <w:rFonts w:hint="eastAsia" w:asciiTheme="minorEastAsia" w:hAnsiTheme="minorEastAsia" w:eastAsiaTheme="minorEastAsia" w:cstheme="minorEastAsia"/>
          <w:color w:val="auto"/>
          <w:sz w:val="24"/>
          <w:szCs w:val="24"/>
          <w:lang w:val="en-US" w:eastAsia="zh-CN"/>
        </w:rPr>
        <w:t>乙方应按甲方要求在甲方</w:t>
      </w:r>
      <w:r>
        <w:rPr>
          <w:rFonts w:hint="eastAsia" w:asciiTheme="minorEastAsia" w:hAnsiTheme="minorEastAsia" w:eastAsiaTheme="minorEastAsia" w:cstheme="minorEastAsia"/>
          <w:sz w:val="24"/>
          <w:szCs w:val="24"/>
          <w:lang w:val="en-US" w:eastAsia="zh-CN"/>
        </w:rPr>
        <w:t>支付每期货款前向甲方提供增值税专用发票，否则甲方付款期限相应顺延并且乙方应当继续按期履行合同。发票单位开票信息如下</w:t>
      </w:r>
      <w:r>
        <w:rPr>
          <w:rFonts w:hint="eastAsia" w:eastAsia="宋体" w:cs="宋体"/>
          <w:color w:val="auto"/>
          <w:sz w:val="24"/>
          <w:szCs w:val="24"/>
          <w:lang w:val="en-US" w:eastAsia="zh-CN"/>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名称：南方日报社</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纳税人识别号：124400006713825565</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开户行：中国建设银行广州市五羊新城支行</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银行帐号：44001400905059318318</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电话：020-83000917</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地址：广东省广州市越秀区广州大道中289号</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第五条  交货期限</w:t>
      </w:r>
    </w:p>
    <w:p>
      <w:pPr>
        <w:pStyle w:val="125"/>
        <w:pageBreakBefore w:val="0"/>
        <w:numPr>
          <w:ilvl w:val="1"/>
          <w:numId w:val="17"/>
        </w:numPr>
        <w:tabs>
          <w:tab w:val="clear" w:pos="945"/>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甲方付款之日，乙方</w:t>
      </w:r>
      <w:r>
        <w:rPr>
          <w:rFonts w:hint="eastAsia" w:ascii="宋体" w:hAnsi="宋体" w:eastAsia="宋体" w:cs="宋体"/>
          <w:color w:val="auto"/>
          <w:kern w:val="0"/>
          <w:sz w:val="24"/>
          <w:szCs w:val="24"/>
          <w:lang w:val="en-US" w:eastAsia="zh-CN" w:bidi="ar-SA"/>
        </w:rPr>
        <w:t>立即安排生产</w:t>
      </w:r>
      <w:r>
        <w:rPr>
          <w:rFonts w:hint="eastAsia" w:eastAsia="宋体" w:cs="宋体"/>
          <w:color w:val="auto"/>
          <w:kern w:val="0"/>
          <w:sz w:val="24"/>
          <w:szCs w:val="24"/>
          <w:lang w:val="en-US" w:eastAsia="zh-CN" w:bidi="ar-SA"/>
        </w:rPr>
        <w:t>。在</w:t>
      </w:r>
      <w:r>
        <w:rPr>
          <w:rFonts w:hint="eastAsia" w:ascii="宋体" w:hAnsi="宋体" w:eastAsia="宋体" w:cs="宋体"/>
          <w:color w:val="auto"/>
          <w:kern w:val="0"/>
          <w:sz w:val="24"/>
          <w:szCs w:val="24"/>
          <w:lang w:val="en-US" w:eastAsia="zh-CN" w:bidi="ar-SA"/>
        </w:rPr>
        <w:t>生产完毕</w:t>
      </w:r>
      <w:r>
        <w:rPr>
          <w:rFonts w:hint="eastAsia" w:eastAsia="宋体" w:cs="宋体"/>
          <w:color w:val="auto"/>
          <w:kern w:val="0"/>
          <w:sz w:val="24"/>
          <w:szCs w:val="24"/>
          <w:lang w:val="en-US" w:eastAsia="zh-CN" w:bidi="ar-SA"/>
        </w:rPr>
        <w:t>后，</w:t>
      </w:r>
      <w:r>
        <w:rPr>
          <w:rFonts w:hint="eastAsia" w:asciiTheme="minorEastAsia" w:hAnsiTheme="minorEastAsia" w:eastAsiaTheme="minorEastAsia" w:cstheme="minorEastAsia"/>
          <w:sz w:val="24"/>
          <w:szCs w:val="24"/>
          <w:lang w:val="en-US" w:eastAsia="zh-CN"/>
        </w:rPr>
        <w:t>收到甲方交货通知7天内安排发货</w:t>
      </w:r>
      <w:r>
        <w:rPr>
          <w:rFonts w:hint="eastAsia" w:ascii="宋体" w:hAnsi="宋体" w:eastAsia="宋体" w:cs="宋体"/>
          <w:color w:val="auto"/>
          <w:sz w:val="24"/>
          <w:szCs w:val="24"/>
          <w:lang w:eastAsia="zh-CN"/>
        </w:rPr>
        <w:t>，余下</w:t>
      </w:r>
      <w:r>
        <w:rPr>
          <w:rFonts w:hint="eastAsia" w:ascii="宋体" w:hAnsi="宋体" w:eastAsia="宋体" w:cs="宋体"/>
          <w:color w:val="auto"/>
          <w:sz w:val="24"/>
          <w:szCs w:val="24"/>
        </w:rPr>
        <w:t>电梯交货</w:t>
      </w:r>
      <w:r>
        <w:rPr>
          <w:rFonts w:hint="eastAsia" w:ascii="宋体" w:hAnsi="宋体" w:eastAsia="宋体" w:cs="宋体"/>
          <w:color w:val="auto"/>
          <w:sz w:val="24"/>
          <w:szCs w:val="24"/>
          <w:lang w:eastAsia="zh-CN"/>
        </w:rPr>
        <w:t>、到货</w:t>
      </w:r>
      <w:r>
        <w:rPr>
          <w:rFonts w:hint="eastAsia" w:ascii="宋体" w:hAnsi="宋体" w:eastAsia="宋体" w:cs="宋体"/>
          <w:color w:val="auto"/>
          <w:sz w:val="24"/>
          <w:szCs w:val="24"/>
        </w:rPr>
        <w:t>日期</w:t>
      </w:r>
      <w:r>
        <w:rPr>
          <w:rFonts w:hint="eastAsia" w:ascii="宋体" w:hAnsi="宋体" w:eastAsia="宋体" w:cs="宋体"/>
          <w:color w:val="auto"/>
          <w:sz w:val="24"/>
          <w:szCs w:val="24"/>
          <w:lang w:eastAsia="zh-CN"/>
        </w:rPr>
        <w:t>由</w:t>
      </w:r>
      <w:r>
        <w:rPr>
          <w:rFonts w:hint="eastAsia" w:ascii="宋体" w:hAnsi="宋体" w:eastAsia="宋体" w:cs="宋体"/>
          <w:color w:val="auto"/>
          <w:sz w:val="24"/>
          <w:szCs w:val="24"/>
        </w:rPr>
        <w:t>乙方</w:t>
      </w:r>
      <w:r>
        <w:rPr>
          <w:rFonts w:hint="eastAsia" w:ascii="宋体" w:hAnsi="宋体" w:eastAsia="宋体" w:cs="宋体"/>
          <w:color w:val="auto"/>
          <w:sz w:val="24"/>
          <w:szCs w:val="24"/>
          <w:lang w:eastAsia="zh-CN"/>
        </w:rPr>
        <w:t>根据上一台电梯安装进度紧凑安排到货</w:t>
      </w:r>
      <w:r>
        <w:rPr>
          <w:rFonts w:hint="eastAsia" w:ascii="宋体" w:hAnsi="宋体" w:eastAsia="宋体" w:cs="宋体"/>
          <w:color w:val="auto"/>
          <w:sz w:val="24"/>
          <w:szCs w:val="24"/>
        </w:rPr>
        <w:t>。</w:t>
      </w:r>
    </w:p>
    <w:p>
      <w:pPr>
        <w:pStyle w:val="125"/>
        <w:pageBreakBefore w:val="0"/>
        <w:numPr>
          <w:ilvl w:val="1"/>
          <w:numId w:val="17"/>
        </w:numPr>
        <w:tabs>
          <w:tab w:val="left" w:pos="0"/>
          <w:tab w:val="clear" w:pos="945"/>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乙方在收到</w:t>
      </w:r>
      <w:r>
        <w:rPr>
          <w:rFonts w:hint="eastAsia" w:ascii="宋体" w:hAnsi="宋体" w:eastAsia="宋体" w:cs="宋体"/>
          <w:color w:val="auto"/>
          <w:kern w:val="0"/>
          <w:sz w:val="24"/>
          <w:szCs w:val="24"/>
          <w:lang w:val="en-US" w:eastAsia="zh-CN" w:bidi="ar-SA"/>
        </w:rPr>
        <w:t>预付款</w:t>
      </w:r>
      <w:r>
        <w:rPr>
          <w:rFonts w:hint="eastAsia" w:ascii="宋体" w:hAnsi="宋体" w:eastAsia="宋体" w:cs="宋体"/>
          <w:color w:val="auto"/>
          <w:sz w:val="24"/>
          <w:szCs w:val="24"/>
        </w:rPr>
        <w:t>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天内生产完毕，并在收到甲方交货通知后7天内安排发货，将设备运输至甲方指定的收货地点。如因乙方原因导致延迟交货，每天应按发货款的万分之三支付违约金。</w:t>
      </w:r>
    </w:p>
    <w:p>
      <w:pPr>
        <w:pStyle w:val="125"/>
        <w:pageBreakBefore w:val="0"/>
        <w:numPr>
          <w:ilvl w:val="1"/>
          <w:numId w:val="17"/>
        </w:numPr>
        <w:tabs>
          <w:tab w:val="clear" w:pos="945"/>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sz w:val="24"/>
          <w:szCs w:val="24"/>
          <w:lang w:val="en-US" w:eastAsia="zh-CN"/>
        </w:rPr>
        <w:t>由甲方发出通知明确交货日期，由乙方按照甲方要求的时间交货</w:t>
      </w:r>
      <w:r>
        <w:rPr>
          <w:rFonts w:hint="eastAsia" w:ascii="宋体" w:hAnsi="宋体" w:eastAsia="宋体" w:cs="宋体"/>
          <w:color w:val="auto"/>
          <w:sz w:val="24"/>
          <w:szCs w:val="24"/>
        </w:rPr>
        <w:t>。甲方可申请一次延迟交货，但最迟不可超过预约发货期后的6个月。</w:t>
      </w:r>
    </w:p>
    <w:p>
      <w:pPr>
        <w:pStyle w:val="125"/>
        <w:pageBreakBefore w:val="0"/>
        <w:numPr>
          <w:ilvl w:val="1"/>
          <w:numId w:val="17"/>
        </w:numPr>
        <w:tabs>
          <w:tab w:val="clear" w:pos="945"/>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货到工地后乙方应迅速组织安装工作，单台安装工作应</w:t>
      </w:r>
      <w:r>
        <w:rPr>
          <w:rFonts w:hint="eastAsia" w:asciiTheme="minorEastAsia" w:hAnsiTheme="minorEastAsia" w:eastAsiaTheme="minorEastAsia" w:cstheme="minorEastAsia"/>
          <w:sz w:val="24"/>
          <w:szCs w:val="24"/>
          <w:lang w:val="en-US" w:eastAsia="zh-CN"/>
        </w:rPr>
        <w:t>在电梯设备到货后30日内完成</w:t>
      </w:r>
      <w:r>
        <w:rPr>
          <w:rFonts w:hint="eastAsia" w:ascii="宋体" w:hAnsi="宋体" w:eastAsia="宋体" w:cs="宋体"/>
          <w:color w:val="auto"/>
          <w:sz w:val="24"/>
          <w:szCs w:val="24"/>
          <w:lang w:val="en-US" w:eastAsia="zh-CN"/>
        </w:rPr>
        <w:t>，不含政府部门报装报验时间。</w:t>
      </w:r>
    </w:p>
    <w:p>
      <w:pPr>
        <w:pStyle w:val="125"/>
        <w:pageBreakBefore w:val="0"/>
        <w:numPr>
          <w:ilvl w:val="1"/>
          <w:numId w:val="17"/>
        </w:numPr>
        <w:tabs>
          <w:tab w:val="clear" w:pos="945"/>
        </w:tabs>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甲方为乙方提供设备存放场所，乙方负责设备到货后至安装前的保管工作，设备有任何损坏，均由乙方自行承担责任。</w:t>
      </w: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第六条  交货方式</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  乙方须按期交货，具体方式为：乙方代办托运。乙方代办理本合同设备的运输费、运保费及二次运输费已包含于本合同价款总额当中。乙方设备联系人：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，电话</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  为确保货物安全、及时运送到甲方以上指定地点，甲方应提前确认工地现场道路通畅、可承载重型车辆安全通过、安排相关人员做好接货准备。</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  若甲方需要更改送货地点，应提前书面通知乙方。因更改送货地点引起的交货期变更和运输费用变更，双方协商解决。</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  在安装地点的首层或货车到达层，甲方协助乙方配合总承包规划备好电梯堆放场地，该场地应确保电梯导轨可搬至候梯厅通道的位置。</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6.5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包装及标识</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6.5.1 乙方交付的所有电梯应具有适合运输和多次搬运、装卸的坚固包装，并应根据电梯的特点和需要，有防潮、防雨、防锈、防震、防腐蚀等保护措施，以保证电梯安全无损地运抵安装地点，保证在乙方卸至甲方指定地点后存放的需要。否则，乙方应承担包装不当给甲方带来的相关损失。</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 乙方交付的所有电梯均需要有商品标识、出厂标识以及其他可以表明电梯产品的特征的相关标识。</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 本项目是</w:t>
      </w:r>
      <w:r>
        <w:rPr>
          <w:rFonts w:hint="eastAsia" w:ascii="宋体" w:hAnsi="宋体" w:eastAsia="宋体" w:cs="宋体"/>
          <w:color w:val="auto"/>
          <w:sz w:val="24"/>
          <w:szCs w:val="24"/>
          <w:lang w:eastAsia="zh-CN"/>
        </w:rPr>
        <w:t>先第</w:t>
      </w:r>
      <w:r>
        <w:rPr>
          <w:rFonts w:hint="eastAsia" w:ascii="宋体" w:hAnsi="宋体" w:eastAsia="宋体" w:cs="宋体"/>
          <w:color w:val="auto"/>
          <w:sz w:val="24"/>
          <w:szCs w:val="24"/>
          <w:lang w:val="en-US" w:eastAsia="zh-CN"/>
        </w:rPr>
        <w:t>一台电梯，待质监部门验收合格投入使用后。由甲方通知，再安装下一台电梯。</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第七条  安装</w:t>
      </w:r>
      <w:r>
        <w:rPr>
          <w:rFonts w:hint="eastAsia" w:ascii="宋体" w:hAnsi="宋体" w:eastAsia="宋体" w:cs="宋体"/>
          <w:b/>
          <w:bCs/>
          <w:color w:val="auto"/>
          <w:sz w:val="24"/>
          <w:szCs w:val="24"/>
          <w:lang w:eastAsia="zh-CN"/>
        </w:rPr>
        <w:t>、土</w:t>
      </w:r>
      <w:r>
        <w:rPr>
          <w:rFonts w:hint="eastAsia" w:ascii="宋体" w:hAnsi="宋体" w:eastAsia="宋体" w:cs="宋体"/>
          <w:b/>
          <w:bCs/>
          <w:color w:val="auto"/>
          <w:sz w:val="24"/>
          <w:szCs w:val="24"/>
        </w:rPr>
        <w:t>建</w:t>
      </w:r>
      <w:r>
        <w:rPr>
          <w:rFonts w:hint="eastAsia" w:ascii="宋体" w:hAnsi="宋体" w:eastAsia="宋体" w:cs="宋体"/>
          <w:b/>
          <w:bCs/>
          <w:color w:val="auto"/>
          <w:sz w:val="24"/>
          <w:szCs w:val="24"/>
          <w:lang w:eastAsia="zh-CN"/>
        </w:rPr>
        <w:t>修复</w:t>
      </w:r>
      <w:r>
        <w:rPr>
          <w:rFonts w:hint="eastAsia" w:ascii="宋体" w:hAnsi="宋体" w:eastAsia="宋体" w:cs="宋体"/>
          <w:b/>
          <w:bCs/>
          <w:color w:val="auto"/>
          <w:sz w:val="24"/>
          <w:szCs w:val="24"/>
        </w:rPr>
        <w:t>要求</w:t>
      </w:r>
    </w:p>
    <w:p>
      <w:pPr>
        <w:pStyle w:val="124"/>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经甲乙双方确认的《技术规格要求》、《电梯井道图》是乙方生产的设备必须达到的基本要求。</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  按照国务院颁布实施的《特种设备安全监察条例》以及为了保证设备运行质量，本合同标的物的安装、调试和维修等工作应当由乙方或乙方指定的安装单位负责，</w:t>
      </w:r>
      <w:r>
        <w:rPr>
          <w:rFonts w:hint="eastAsia" w:ascii="宋体" w:hAnsi="宋体" w:eastAsia="宋体" w:cs="宋体"/>
          <w:color w:val="auto"/>
          <w:sz w:val="24"/>
          <w:szCs w:val="24"/>
          <w:lang w:eastAsia="zh-CN"/>
        </w:rPr>
        <w:t>甲</w:t>
      </w:r>
      <w:r>
        <w:rPr>
          <w:rFonts w:hint="eastAsia" w:ascii="宋体" w:hAnsi="宋体" w:eastAsia="宋体" w:cs="宋体"/>
          <w:color w:val="auto"/>
          <w:sz w:val="24"/>
          <w:szCs w:val="24"/>
        </w:rPr>
        <w:t>方</w:t>
      </w:r>
      <w:r>
        <w:rPr>
          <w:rFonts w:hint="eastAsia" w:ascii="宋体" w:hAnsi="宋体" w:eastAsia="宋体" w:cs="宋体"/>
          <w:color w:val="auto"/>
          <w:sz w:val="24"/>
          <w:szCs w:val="24"/>
          <w:lang w:eastAsia="zh-CN"/>
        </w:rPr>
        <w:t>不再</w:t>
      </w:r>
      <w:r>
        <w:rPr>
          <w:rFonts w:hint="eastAsia" w:ascii="宋体" w:hAnsi="宋体" w:eastAsia="宋体" w:cs="宋体"/>
          <w:color w:val="auto"/>
          <w:sz w:val="24"/>
          <w:szCs w:val="24"/>
        </w:rPr>
        <w:t>另行签订安装合同。</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  电梯安装过程中涉及到</w:t>
      </w:r>
      <w:r>
        <w:rPr>
          <w:rFonts w:hint="eastAsia" w:ascii="宋体" w:hAnsi="宋体" w:eastAsia="宋体" w:cs="宋体"/>
          <w:color w:val="auto"/>
          <w:sz w:val="24"/>
          <w:szCs w:val="24"/>
          <w:lang w:eastAsia="zh-CN"/>
        </w:rPr>
        <w:t>电梯机房、</w:t>
      </w:r>
      <w:r>
        <w:rPr>
          <w:rFonts w:hint="eastAsia" w:ascii="宋体" w:hAnsi="宋体" w:eastAsia="宋体" w:cs="宋体"/>
          <w:color w:val="auto"/>
          <w:sz w:val="24"/>
          <w:szCs w:val="24"/>
        </w:rPr>
        <w:t>井道</w:t>
      </w:r>
      <w:r>
        <w:rPr>
          <w:rFonts w:hint="eastAsia" w:ascii="宋体" w:hAnsi="宋体" w:eastAsia="宋体" w:cs="宋体"/>
          <w:color w:val="auto"/>
          <w:sz w:val="24"/>
          <w:szCs w:val="24"/>
          <w:lang w:eastAsia="zh-CN"/>
        </w:rPr>
        <w:t>、厅门外装饰的整改、改造、修复等</w:t>
      </w:r>
      <w:r>
        <w:rPr>
          <w:rFonts w:hint="eastAsia" w:ascii="宋体" w:hAnsi="宋体" w:eastAsia="宋体" w:cs="宋体"/>
          <w:color w:val="auto"/>
          <w:sz w:val="24"/>
          <w:szCs w:val="24"/>
        </w:rPr>
        <w:t>问题，</w:t>
      </w:r>
      <w:r>
        <w:rPr>
          <w:rFonts w:hint="eastAsia" w:ascii="宋体" w:hAnsi="宋体" w:eastAsia="宋体" w:cs="宋体"/>
          <w:color w:val="auto"/>
          <w:sz w:val="24"/>
          <w:szCs w:val="24"/>
          <w:lang w:eastAsia="zh-CN"/>
        </w:rPr>
        <w:t>一切</w:t>
      </w:r>
      <w:r>
        <w:rPr>
          <w:rFonts w:hint="eastAsia" w:ascii="宋体" w:hAnsi="宋体" w:eastAsia="宋体" w:cs="宋体"/>
          <w:color w:val="auto"/>
          <w:sz w:val="24"/>
          <w:szCs w:val="24"/>
        </w:rPr>
        <w:t>由乙方负责。</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  乙方制作的无障碍电梯需满足国家及地方法律法规对无障碍电梯的要求。</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7.5  五方通话及视频电缆布线部分，乙方负责电梯轿厢至电梯机房连线，电梯机房至监控中心之间的连线由甲方负责。</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7.6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乙方应当负责好施工现场的安全围蔽工作，履行安全保障义务，如因乙方未尽安全保障义务导致的人身财产安全损害责任，由乙方依法承担。</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第八条  检验</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初步检验</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8.1.1 乙方提供产品的质量需符合国家《电梯制造与安装安全规范》GB7588-2003，符合本合同附件的配置和技术要求。</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8.1.2 乙方提供的电梯产品必须</w:t>
      </w:r>
      <w:r>
        <w:rPr>
          <w:rFonts w:hint="eastAsia" w:asciiTheme="minorEastAsia" w:hAnsiTheme="minorEastAsia" w:eastAsiaTheme="minorEastAsia" w:cstheme="minorEastAsia"/>
          <w:sz w:val="24"/>
          <w:szCs w:val="24"/>
          <w:lang w:val="en-US" w:eastAsia="zh-CN"/>
        </w:rPr>
        <w:t>符合本合同约定的型号、规格的要求</w:t>
      </w:r>
      <w:r>
        <w:rPr>
          <w:rFonts w:hint="eastAsia" w:ascii="宋体" w:hAnsi="宋体" w:eastAsia="宋体" w:cs="宋体"/>
          <w:color w:val="auto"/>
          <w:sz w:val="24"/>
          <w:szCs w:val="24"/>
        </w:rPr>
        <w:t>，如有不同，乙方应无条件免费进行更换，因此给甲方</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rPr>
        <w:t>第三方造成损失的，乙方应依法予以赔偿。</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8.1.3 货到现场，乙方应向甲方出具产品合格证明等相关证明文件，否则甲方不予验货，由此造成的所有损失由乙方承担。</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8.1.4 合同设备运抵甲方指定地点后，甲方应与乙方共同对运抵的箱体数量进行初步检验。</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8.1.5 双方在安装前另行约定开箱日期，并由双方共同进行检验。</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8.1.6 货到现场，经双方清点确认后，甲方应做好防水、防盗措施，保管好货物件箱件及包装完好</w:t>
      </w:r>
      <w:r>
        <w:rPr>
          <w:rFonts w:hint="eastAsia" w:ascii="宋体" w:hAnsi="宋体" w:eastAsia="宋体" w:cs="宋体"/>
          <w:color w:val="auto"/>
          <w:sz w:val="24"/>
          <w:szCs w:val="24"/>
          <w:lang w:eastAsia="zh-CN"/>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在安装队进场后，在箱货物的保管责任在乙方。</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8.1.7 在包装箱体完好无损的情况下，货物数量、质量与约定不符，由乙方负责补足、修理或更换。</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最终验收</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8.2.1 在设备安装调试双方验收完成后，乙方可代甲方向相关部门提出验收申请，产品质量安装质量均以广州市特种设备检测院验收结论为准，同时必须满足本合同的约定。</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8.2.3 乙方及其工作人员应负责协助设备安装调试工作的安全和顺利地进行。</w:t>
      </w:r>
    </w:p>
    <w:p>
      <w:pPr>
        <w:pStyle w:val="125"/>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第九条  保修</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9.1 产品质保期</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lang w:val="en-US" w:eastAsia="zh-CN"/>
        </w:rPr>
        <w:t>免费保养</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期</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个月，时间从取得特种设备检测院验收合格证明书之日起分批计算。</w:t>
      </w:r>
      <w:r>
        <w:rPr>
          <w:rFonts w:hint="eastAsia" w:ascii="宋体" w:hAnsi="宋体" w:eastAsia="宋体" w:cs="宋体"/>
          <w:color w:val="auto"/>
          <w:sz w:val="24"/>
          <w:szCs w:val="24"/>
          <w:highlight w:val="none"/>
          <w:lang w:val="en-US" w:eastAsia="zh-CN"/>
        </w:rPr>
        <w:t>曳引机、控制柜、门机、安全钳、限速器五大件进口件提供</w:t>
      </w:r>
      <w:r>
        <w:rPr>
          <w:rFonts w:hint="eastAsia" w:ascii="宋体" w:hAnsi="宋体" w:eastAsia="宋体" w:cs="宋体"/>
          <w:color w:val="auto"/>
          <w:sz w:val="24"/>
          <w:szCs w:val="24"/>
          <w:highlight w:val="none"/>
          <w:u w:val="single"/>
          <w:lang w:val="en-US" w:eastAsia="zh-CN"/>
        </w:rPr>
        <w:t xml:space="preserve"> </w:t>
      </w:r>
      <w:r>
        <w:rPr>
          <w:rFonts w:hint="eastAsia"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质保</w:t>
      </w:r>
      <w:r>
        <w:rPr>
          <w:rFonts w:hint="eastAsia" w:eastAsia="宋体" w:cs="宋体"/>
          <w:color w:val="auto"/>
          <w:sz w:val="24"/>
          <w:szCs w:val="24"/>
          <w:highlight w:val="none"/>
          <w:lang w:val="en-US" w:eastAsia="zh-CN"/>
        </w:rPr>
        <w:t>，</w:t>
      </w:r>
      <w:r>
        <w:rPr>
          <w:rFonts w:ascii="宋体" w:hAnsi="宋体" w:eastAsia="宋体" w:cs="宋体"/>
          <w:color w:val="auto"/>
          <w:sz w:val="24"/>
          <w:szCs w:val="24"/>
          <w:highlight w:val="none"/>
        </w:rPr>
        <w:t>且在</w:t>
      </w:r>
      <w:r>
        <w:rPr>
          <w:rFonts w:hint="eastAsia" w:eastAsia="宋体" w:cs="宋体"/>
          <w:color w:val="auto"/>
          <w:sz w:val="24"/>
          <w:szCs w:val="24"/>
          <w:highlight w:val="none"/>
          <w:lang w:eastAsia="zh-CN"/>
        </w:rPr>
        <w:t>接到甲方通知后</w:t>
      </w:r>
      <w:r>
        <w:rPr>
          <w:rFonts w:ascii="宋体" w:hAnsi="宋体" w:eastAsia="宋体" w:cs="宋体"/>
          <w:color w:val="auto"/>
          <w:sz w:val="24"/>
          <w:szCs w:val="24"/>
          <w:highlight w:val="none"/>
        </w:rPr>
        <w:t>4小时内解决问题，在广东省内设有零部件后备仓库；质保期满后，如甲方要求，乙方应继续负责维修服务，并给予价格优惠</w:t>
      </w:r>
      <w:r>
        <w:rPr>
          <w:rFonts w:hint="eastAsia" w:ascii="宋体" w:hAnsi="宋体" w:eastAsia="宋体" w:cs="宋体"/>
          <w:color w:val="auto"/>
          <w:sz w:val="24"/>
          <w:szCs w:val="24"/>
          <w:highlight w:val="none"/>
          <w:lang w:val="en-US" w:eastAsia="zh-CN"/>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质保期内如有设备运行发生故障，乙方在接到甲方通知后</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rPr>
        <w:t>小时内派维修人员到达现场处理</w:t>
      </w:r>
      <w:r>
        <w:rPr>
          <w:rFonts w:hint="eastAsia" w:ascii="宋体" w:hAnsi="宋体" w:eastAsia="宋体" w:cs="宋体"/>
          <w:color w:val="auto"/>
          <w:sz w:val="24"/>
          <w:szCs w:val="24"/>
          <w:highlight w:val="none"/>
          <w:lang w:eastAsia="zh-CN"/>
        </w:rPr>
        <w:t>，发生</w:t>
      </w:r>
      <w:r>
        <w:rPr>
          <w:rFonts w:hint="eastAsia" w:ascii="宋体" w:hAnsi="宋体" w:eastAsia="宋体" w:cs="宋体"/>
          <w:color w:val="auto"/>
          <w:sz w:val="24"/>
          <w:szCs w:val="24"/>
          <w:highlight w:val="none"/>
        </w:rPr>
        <w:t>困人故障时为</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9.3 在保修期间，由于甲方或电（扶）梯使用单位管理使用</w:t>
      </w:r>
      <w:r>
        <w:rPr>
          <w:rFonts w:hint="eastAsia" w:ascii="宋体" w:hAnsi="宋体" w:eastAsia="宋体" w:cs="宋体"/>
          <w:color w:val="auto"/>
          <w:sz w:val="24"/>
          <w:szCs w:val="24"/>
        </w:rPr>
        <w:t>不当造成的故障，不属于保修的范围，乙方可予以有偿修复。</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9.4</w:t>
      </w:r>
      <w:r>
        <w:rPr>
          <w:rFonts w:hint="eastAsia" w:ascii="宋体" w:hAnsi="宋体" w:eastAsia="宋体" w:cs="宋体"/>
          <w:color w:val="auto"/>
          <w:sz w:val="24"/>
          <w:szCs w:val="24"/>
          <w:lang w:val="en-US" w:eastAsia="zh-CN"/>
        </w:rPr>
        <w:t xml:space="preserve"> 甲方后期若继续选用乙方同类产品，乙方应不高于</w:t>
      </w:r>
      <w:r>
        <w:rPr>
          <w:rFonts w:hint="eastAsia" w:asciiTheme="minorEastAsia" w:hAnsiTheme="minorEastAsia" w:eastAsiaTheme="minorEastAsia" w:cstheme="minorEastAsia"/>
          <w:sz w:val="24"/>
          <w:szCs w:val="24"/>
          <w:lang w:val="en-US" w:eastAsia="zh-CN"/>
        </w:rPr>
        <w:t>合同总价</w:t>
      </w:r>
      <w:r>
        <w:rPr>
          <w:rFonts w:hint="eastAsia" w:ascii="宋体" w:hAnsi="宋体" w:eastAsia="宋体" w:cs="宋体"/>
          <w:color w:val="auto"/>
          <w:sz w:val="24"/>
          <w:szCs w:val="24"/>
          <w:lang w:val="en-US" w:eastAsia="zh-CN"/>
        </w:rPr>
        <w:t>进行销售，并给于最大优惠。</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人员培训</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.1 乙方要对甲方技术人员、操作人员和维修人员进行现场培训。所有培训使用中文进行。</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 乙方派出的培训人员，应在所提供的产品上具有3年以上的维修经验。培训前，培训人员的简历连同培训计划要一并提交甲方批准。甲方认为培训人员不合适可要求更换。</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 乙方培训前应提供中文操作、维修手册。通过培训使甲方技术人员能够了解设备结构工作原理及工作性质，能排除一般故障。</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.4 乙方派出的现场培训指导人员的各项费用，已经包含在产品价格中，甲方不再提供。如需在工程所在会议室课堂培训时，甲方将免费提供会议室，但相应的计算机等设备则由乙方负责。</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5"/>
        <w:keepNext w:val="0"/>
        <w:keepLines w:val="0"/>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第十条  违约责任及合同的解除</w:t>
      </w:r>
    </w:p>
    <w:p>
      <w:pPr>
        <w:keepNext w:val="0"/>
        <w:keepLines w:val="0"/>
        <w:pageBreakBefore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10.1 除不可抗力外，</w:t>
      </w:r>
      <w:r>
        <w:rPr>
          <w:rFonts w:hint="eastAsia" w:ascii="宋体" w:hAnsi="宋体" w:eastAsia="宋体" w:cs="宋体"/>
          <w:color w:val="auto"/>
          <w:kern w:val="0"/>
          <w:sz w:val="24"/>
          <w:szCs w:val="24"/>
          <w:lang w:eastAsia="zh-CN"/>
        </w:rPr>
        <w:t>乙方</w:t>
      </w:r>
      <w:r>
        <w:rPr>
          <w:rFonts w:hint="eastAsia" w:ascii="宋体" w:hAnsi="宋体" w:eastAsia="宋体" w:cs="宋体"/>
          <w:color w:val="auto"/>
          <w:kern w:val="0"/>
          <w:sz w:val="24"/>
          <w:szCs w:val="24"/>
        </w:rPr>
        <w:t>未按合同及附件确定的期限交货，或</w:t>
      </w:r>
      <w:r>
        <w:rPr>
          <w:rFonts w:hint="eastAsia" w:ascii="宋体" w:hAnsi="宋体" w:eastAsia="宋体" w:cs="宋体"/>
          <w:color w:val="auto"/>
          <w:kern w:val="0"/>
          <w:sz w:val="24"/>
          <w:szCs w:val="24"/>
          <w:lang w:eastAsia="zh-CN"/>
        </w:rPr>
        <w:t>甲方</w:t>
      </w:r>
      <w:r>
        <w:rPr>
          <w:rFonts w:hint="eastAsia" w:ascii="宋体" w:hAnsi="宋体" w:eastAsia="宋体" w:cs="宋体"/>
          <w:color w:val="auto"/>
          <w:kern w:val="0"/>
          <w:sz w:val="24"/>
          <w:szCs w:val="24"/>
        </w:rPr>
        <w:t>未按合同约定的期限付清货款的，违约方必须按逾期部分货款总额的每天万分之四的比例，向守约方支付逾期交货或逾期付款的误期损害赔偿金。违约金总额最多不超过逾期部分货款总额的百分之五。对该误期损害赔偿金的支付不影响违约方按照合同规定应该继续履行的义务。</w:t>
      </w:r>
    </w:p>
    <w:p>
      <w:pPr>
        <w:pStyle w:val="124"/>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 除不可抗力外，</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已经履行了全部的义务，而</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不能交货，或</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违反合同约定，不履行给付义务构成根本违约的，守约一方有权选择解除合同，违约一方应向守约一方支付</w:t>
      </w:r>
      <w:r>
        <w:rPr>
          <w:rFonts w:hint="eastAsia" w:asciiTheme="minorEastAsia" w:hAnsiTheme="minorEastAsia" w:eastAsiaTheme="minorEastAsia" w:cstheme="minorEastAsia"/>
          <w:sz w:val="24"/>
          <w:szCs w:val="24"/>
          <w:lang w:val="en-US" w:eastAsia="zh-CN"/>
        </w:rPr>
        <w:t>合同总价</w:t>
      </w:r>
      <w:r>
        <w:rPr>
          <w:rFonts w:hint="eastAsia" w:ascii="宋体" w:hAnsi="宋体" w:eastAsia="宋体" w:cs="宋体"/>
          <w:color w:val="auto"/>
          <w:sz w:val="24"/>
          <w:szCs w:val="24"/>
        </w:rPr>
        <w:t>30％的违约金。</w:t>
      </w:r>
    </w:p>
    <w:p>
      <w:pPr>
        <w:pStyle w:val="124"/>
        <w:keepNext w:val="0"/>
        <w:keepLines w:val="0"/>
        <w:pageBreakBefore w:val="0"/>
        <w:kinsoku/>
        <w:wordWrap/>
        <w:overflowPunct/>
        <w:topLinePunct w:val="0"/>
        <w:bidi w:val="0"/>
        <w:snapToGrid/>
        <w:spacing w:line="360" w:lineRule="auto"/>
        <w:ind w:left="0" w:leftChars="0"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10.3 </w:t>
      </w:r>
      <w:r>
        <w:rPr>
          <w:rFonts w:hint="eastAsia" w:asciiTheme="minorEastAsia" w:hAnsiTheme="minorEastAsia" w:eastAsiaTheme="minorEastAsia" w:cstheme="minorEastAsia"/>
          <w:sz w:val="24"/>
          <w:szCs w:val="24"/>
          <w:lang w:val="en-US" w:eastAsia="zh-CN"/>
        </w:rPr>
        <w:t>质保期内，乙方违反本合同、招标文件或投标文件中约定的质保义务的，乙方除应尽快处理完成保修等工作外，还应按合同总价的每天万分之四的比例向甲方支付逾期违约金。甲方也可委托第三方完成保修工作，由此产生的费用由乙方承担。</w:t>
      </w:r>
    </w:p>
    <w:p>
      <w:pPr>
        <w:pStyle w:val="124"/>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第十一条 不可抗力</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本合同所称“不可抗力”，是指不能预见、不能避免并不能克服的客观情况。其具体范围包括：地震、台风、火灾和其它自然灾害；战争、暴动等。</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任何一方由于不可抗力的原因而不能履行或者不能完全履行本合同时，应在不可抗力事件发生后的24小时内及时向对方发出通知，通报不能履行或者不能完全履行的理由，以减轻可能给对方造成的损失，并在10个日历天内取得有关权威机构出具的合法证明后，可以延期履行、部分履行或者不履行本合同，并根据情况可部分或者全部免予承担违约责任。</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凡未按本条第11.2款之约定及时发出通知并提供有关合法证明的，均不得免除其违约责任。</w:t>
      </w:r>
    </w:p>
    <w:p>
      <w:pPr>
        <w:pStyle w:val="128"/>
        <w:pageBreakBefore w:val="0"/>
        <w:kinsoku/>
        <w:wordWrap/>
        <w:overflowPunct/>
        <w:topLinePunct w:val="0"/>
        <w:bidi w:val="0"/>
        <w:snapToGrid/>
        <w:spacing w:after="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p>
    <w:p>
      <w:pPr>
        <w:pStyle w:val="128"/>
        <w:pageBreakBefore w:val="0"/>
        <w:kinsoku/>
        <w:wordWrap/>
        <w:overflowPunct/>
        <w:topLinePunct w:val="0"/>
        <w:bidi w:val="0"/>
        <w:snapToGrid/>
        <w:spacing w:after="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第十二条 争议解决</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凡因本合同所引起的或与本合同有关的任何争议，如双方不能通过友好协商解决，</w:t>
      </w:r>
      <w:r>
        <w:rPr>
          <w:rFonts w:hint="eastAsia" w:ascii="宋体" w:hAnsi="宋体" w:eastAsia="宋体" w:cs="宋体"/>
          <w:color w:val="auto"/>
          <w:sz w:val="24"/>
          <w:szCs w:val="24"/>
          <w:lang w:val="en-US" w:eastAsia="zh-CN"/>
        </w:rPr>
        <w:t>协商不成可向甲方所在地人民法院提起诉讼</w:t>
      </w:r>
      <w:r>
        <w:rPr>
          <w:rFonts w:hint="eastAsia" w:ascii="宋体" w:hAnsi="宋体" w:eastAsia="宋体" w:cs="宋体"/>
          <w:color w:val="auto"/>
          <w:sz w:val="24"/>
          <w:szCs w:val="24"/>
        </w:rPr>
        <w:t>。</w:t>
      </w:r>
    </w:p>
    <w:p>
      <w:pPr>
        <w:pStyle w:val="128"/>
        <w:pageBreakBefore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szCs w:val="24"/>
        </w:rPr>
      </w:pPr>
    </w:p>
    <w:p>
      <w:pPr>
        <w:pStyle w:val="128"/>
        <w:pageBreakBefore w:val="0"/>
        <w:kinsoku/>
        <w:wordWrap/>
        <w:overflowPunct/>
        <w:topLinePunct w:val="0"/>
        <w:bidi w:val="0"/>
        <w:snapToGrid/>
        <w:spacing w:after="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第十三条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通知与送达</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与本合同有关的所有通知均应采用书面形式，并按照本合同所列的通知地址采用当面送达、传真或特快专递等方式送达给另一方。</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如果通知地址变更，一方应在变更后的三日内按本条约定通知另一方。一方未按本条约定的方式及期限发出变更通知致使另一方按照原通知地址发出通知的，或者另一方在收到变更通知之前按照原通知地址发出通知的，该通知仍为有效通知。</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 甲方的送达地址如下：</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 ：广州市广州大道中</w:t>
      </w:r>
      <w:r>
        <w:rPr>
          <w:rFonts w:hint="eastAsia" w:ascii="宋体" w:hAnsi="宋体" w:eastAsia="宋体" w:cs="宋体"/>
          <w:color w:val="auto"/>
          <w:sz w:val="24"/>
          <w:szCs w:val="24"/>
          <w:lang w:val="en-US" w:eastAsia="zh-CN"/>
        </w:rPr>
        <w:t>289</w:t>
      </w:r>
      <w:r>
        <w:rPr>
          <w:rFonts w:hint="eastAsia" w:ascii="宋体" w:hAnsi="宋体" w:eastAsia="宋体" w:cs="宋体"/>
          <w:color w:val="auto"/>
          <w:sz w:val="24"/>
          <w:szCs w:val="24"/>
        </w:rPr>
        <w:t>号</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邮 编 ：</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联络人：</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 ：</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乙方的送达地址如下：</w:t>
      </w:r>
    </w:p>
    <w:p>
      <w:pPr>
        <w:pStyle w:val="124"/>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 ：</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邮 编 ：</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联络人：</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 ：</w:t>
      </w:r>
      <w:r>
        <w:rPr>
          <w:rFonts w:hint="eastAsia" w:ascii="宋体" w:hAnsi="宋体" w:eastAsia="宋体" w:cs="宋体"/>
          <w:color w:val="auto"/>
          <w:sz w:val="24"/>
          <w:szCs w:val="24"/>
          <w:lang w:val="en-US" w:eastAsia="zh-CN"/>
        </w:rPr>
        <w:t xml:space="preserve"> </w:t>
      </w: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p>
    <w:p>
      <w:pPr>
        <w:pStyle w:val="124"/>
        <w:pageBreakBefore w:val="0"/>
        <w:kinsoku/>
        <w:wordWrap/>
        <w:overflowPunct/>
        <w:topLinePunct w:val="0"/>
        <w:bidi w:val="0"/>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其他事项</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本合同一式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六</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双方各执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三</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自甲乙双方签字盖章后生效。</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附件均为构成本合同的有效组成部分，经甲乙双方签字盖章后与本合同具有同等法律效力。对本合同的任何补充、修改或变更，均可协商另行订立书面补充协议，此类书面补充协议应由甲乙双方盖章方为有效。</w:t>
      </w:r>
    </w:p>
    <w:p>
      <w:pPr>
        <w:pageBreakBefore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附件一：技术规格要求</w:t>
      </w:r>
      <w:r>
        <w:rPr>
          <w:rFonts w:hint="eastAsia" w:ascii="宋体" w:hAnsi="宋体" w:eastAsia="宋体" w:cs="宋体"/>
          <w:color w:val="auto"/>
          <w:sz w:val="24"/>
          <w:szCs w:val="24"/>
          <w:lang w:eastAsia="zh-CN"/>
        </w:rPr>
        <w:t>、</w:t>
      </w:r>
      <w:r>
        <w:rPr>
          <w:rFonts w:hint="eastAsia" w:eastAsia="宋体" w:cs="宋体"/>
          <w:b w:val="0"/>
          <w:bCs w:val="0"/>
          <w:color w:val="auto"/>
          <w:sz w:val="24"/>
          <w:szCs w:val="24"/>
          <w:lang w:eastAsia="zh-CN"/>
        </w:rPr>
        <w:t>产品规格表</w:t>
      </w:r>
    </w:p>
    <w:p>
      <w:pPr>
        <w:pageBreakBefore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附件二：土建图</w:t>
      </w:r>
      <w:r>
        <w:rPr>
          <w:rFonts w:hint="eastAsia" w:ascii="宋体" w:hAnsi="宋体" w:eastAsia="宋体" w:cs="宋体"/>
          <w:color w:val="auto"/>
          <w:sz w:val="24"/>
          <w:szCs w:val="24"/>
          <w:lang w:eastAsia="zh-CN"/>
        </w:rPr>
        <w:t>、</w:t>
      </w:r>
      <w:r>
        <w:rPr>
          <w:rFonts w:hint="eastAsia" w:asciiTheme="minorEastAsia" w:hAnsiTheme="minorEastAsia" w:eastAsiaTheme="minorEastAsia" w:cstheme="minorEastAsia"/>
          <w:sz w:val="24"/>
          <w:szCs w:val="24"/>
          <w:lang w:val="en-US" w:eastAsia="zh-CN"/>
        </w:rPr>
        <w:t>电梯井道图</w:t>
      </w:r>
    </w:p>
    <w:p>
      <w:pPr>
        <w:pStyle w:val="16"/>
        <w:pageBreakBefore w:val="0"/>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szCs w:val="24"/>
        </w:rPr>
      </w:pP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甲方（盖</w:t>
      </w:r>
      <w:r>
        <w:rPr>
          <w:rFonts w:hint="eastAsia" w:ascii="宋体" w:hAnsi="宋体" w:eastAsia="宋体" w:cs="宋体"/>
          <w:color w:val="auto"/>
          <w:sz w:val="24"/>
          <w:szCs w:val="24"/>
          <w:highlight w:val="none"/>
          <w:lang w:val="en-US" w:eastAsia="zh-CN"/>
        </w:rPr>
        <w:t xml:space="preserve">章）：南方日报社     </w:t>
      </w:r>
      <w:r>
        <w:rPr>
          <w:rFonts w:hint="eastAsia" w:ascii="宋体" w:hAnsi="宋体" w:eastAsia="宋体" w:cs="宋体"/>
          <w:color w:val="auto"/>
          <w:sz w:val="24"/>
          <w:szCs w:val="24"/>
          <w:lang w:val="en-US" w:eastAsia="zh-CN"/>
        </w:rPr>
        <w:t xml:space="preserve">                 乙方（盖章）：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法定代表人：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甲方委托代理人：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乙方委托代理人：</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020-83000917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中国建设银行广州市五羊新城支行      </w:t>
      </w:r>
      <w:r>
        <w:rPr>
          <w:rFonts w:hint="eastAsia" w:ascii="宋体" w:hAnsi="宋体" w:eastAsia="宋体" w:cs="宋体"/>
          <w:color w:val="auto"/>
          <w:sz w:val="24"/>
          <w:szCs w:val="24"/>
        </w:rPr>
        <w:t>开户银行：</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银行账号：</w:t>
      </w:r>
      <w:r>
        <w:rPr>
          <w:rFonts w:hint="eastAsia" w:ascii="宋体" w:hAnsi="宋体" w:eastAsia="宋体" w:cs="宋体"/>
          <w:color w:val="auto"/>
          <w:sz w:val="24"/>
          <w:szCs w:val="24"/>
          <w:lang w:val="en-US" w:eastAsia="zh-CN"/>
        </w:rPr>
        <w:t xml:space="preserve">44001400905059318318                </w:t>
      </w:r>
      <w:r>
        <w:rPr>
          <w:rFonts w:hint="eastAsia" w:ascii="宋体" w:hAnsi="宋体" w:eastAsia="宋体" w:cs="宋体"/>
          <w:color w:val="auto"/>
          <w:sz w:val="24"/>
          <w:szCs w:val="24"/>
        </w:rPr>
        <w:t>银行账号：</w:t>
      </w:r>
      <w:r>
        <w:rPr>
          <w:rFonts w:hint="eastAsia" w:ascii="宋体" w:hAnsi="宋体" w:eastAsia="宋体" w:cs="宋体"/>
          <w:color w:val="auto"/>
          <w:sz w:val="24"/>
          <w:szCs w:val="24"/>
          <w:lang w:val="en-US" w:eastAsia="zh-CN"/>
        </w:rPr>
        <w:t xml:space="preserve"> </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纳税人识别号：124400006713825565</w:t>
      </w:r>
    </w:p>
    <w:p>
      <w:pPr>
        <w:pStyle w:val="125"/>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 xml:space="preserve">合同签订时间：    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合同签订时间：    年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p>
      <w:pPr>
        <w:pStyle w:val="125"/>
        <w:spacing w:line="360" w:lineRule="auto"/>
        <w:jc w:val="center"/>
        <w:rPr>
          <w:rFonts w:hint="eastAsia" w:ascii="宋体" w:hAnsi="宋体" w:eastAsia="宋体" w:cs="宋体"/>
          <w:color w:val="FF0000"/>
          <w:sz w:val="24"/>
          <w:szCs w:val="24"/>
        </w:rPr>
      </w:pPr>
    </w:p>
    <w:p>
      <w:pPr>
        <w:rPr>
          <w:rFonts w:hint="eastAsia" w:ascii="宋体" w:hAnsi="宋体" w:eastAsia="宋体" w:cs="宋体"/>
          <w:b w:val="0"/>
          <w:bCs w:val="0"/>
          <w:color w:val="FF0000"/>
          <w:sz w:val="24"/>
          <w:szCs w:val="24"/>
        </w:rPr>
      </w:pPr>
      <w:r>
        <w:rPr>
          <w:rFonts w:hint="eastAsia" w:ascii="宋体" w:hAnsi="宋体" w:eastAsia="宋体" w:cs="宋体"/>
          <w:b w:val="0"/>
          <w:bCs w:val="0"/>
          <w:color w:val="FF0000"/>
          <w:sz w:val="24"/>
          <w:szCs w:val="24"/>
        </w:rPr>
        <w:br w:type="page"/>
      </w:r>
    </w:p>
    <w:p>
      <w:pPr>
        <w:pStyle w:val="125"/>
        <w:spacing w:line="360" w:lineRule="atLeast"/>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附件一</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技术规格要求</w:t>
      </w:r>
    </w:p>
    <w:tbl>
      <w:tblPr>
        <w:tblStyle w:val="37"/>
        <w:tblW w:w="5000" w:type="pct"/>
        <w:jc w:val="center"/>
        <w:tblLayout w:type="autofit"/>
        <w:tblCellMar>
          <w:top w:w="15" w:type="dxa"/>
          <w:left w:w="15" w:type="dxa"/>
          <w:bottom w:w="15" w:type="dxa"/>
          <w:right w:w="15" w:type="dxa"/>
        </w:tblCellMar>
      </w:tblPr>
      <w:tblGrid>
        <w:gridCol w:w="1558"/>
        <w:gridCol w:w="1914"/>
        <w:gridCol w:w="2034"/>
        <w:gridCol w:w="1262"/>
        <w:gridCol w:w="1567"/>
      </w:tblGrid>
      <w:tr>
        <w:tblPrEx>
          <w:tblCellMar>
            <w:top w:w="15" w:type="dxa"/>
            <w:left w:w="15" w:type="dxa"/>
            <w:bottom w:w="15" w:type="dxa"/>
            <w:right w:w="15"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eastAsia="zh-CN" w:bidi="ar"/>
              </w:rPr>
              <w:t>电梯技术规格表</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电梯型号：</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lang w:val="en-US" w:eastAsia="zh-CN" w:bidi="ar"/>
              </w:rPr>
              <w:t>XXXX</w:t>
            </w:r>
            <w:r>
              <w:rPr>
                <w:rFonts w:hint="eastAsia" w:ascii="宋体" w:hAnsi="宋体" w:eastAsia="宋体" w:cs="宋体"/>
                <w:b/>
                <w:color w:val="auto"/>
                <w:kern w:val="0"/>
                <w:sz w:val="24"/>
                <w:szCs w:val="24"/>
                <w:lang w:eastAsia="zh-CN" w:bidi="ar"/>
              </w:rPr>
              <w:t>（</w:t>
            </w:r>
            <w:r>
              <w:rPr>
                <w:rFonts w:hint="eastAsia" w:ascii="宋体" w:hAnsi="宋体" w:eastAsia="宋体" w:cs="宋体"/>
                <w:b/>
                <w:color w:val="auto"/>
                <w:kern w:val="0"/>
                <w:sz w:val="24"/>
                <w:szCs w:val="24"/>
                <w:lang w:val="en-US" w:eastAsia="zh-CN" w:bidi="ar"/>
              </w:rPr>
              <w:t>1号梯、2号梯、3号梯、6号梯</w:t>
            </w:r>
            <w:r>
              <w:rPr>
                <w:rFonts w:hint="eastAsia" w:ascii="宋体" w:hAnsi="宋体" w:eastAsia="宋体" w:cs="宋体"/>
                <w:b/>
                <w:color w:val="auto"/>
                <w:kern w:val="0"/>
                <w:sz w:val="24"/>
                <w:szCs w:val="24"/>
                <w:lang w:eastAsia="zh-CN" w:bidi="ar"/>
              </w:rPr>
              <w:t>）</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产品类别：</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乘客电梯</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驱动方式：</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变频永磁同步曳引</w:t>
            </w:r>
            <w:r>
              <w:rPr>
                <w:rFonts w:hint="eastAsia" w:ascii="宋体" w:hAnsi="宋体" w:eastAsia="宋体" w:cs="宋体"/>
                <w:color w:val="auto"/>
                <w:kern w:val="0"/>
                <w:sz w:val="24"/>
                <w:szCs w:val="24"/>
                <w:highlight w:val="none"/>
                <w:lang w:bidi="ar"/>
              </w:rPr>
              <w:t>驱动</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控制系统：</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全电脑智能化控制</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电源/动力：</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380V, 50Hz; 照明：220V, 50Hz </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操作系统： </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开门方式：</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中分式</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开门尺寸            （宽×高）：</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额定容量(kg)： </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lang w:val="en-US" w:eastAsia="zh-CN"/>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额定速度(m/s)： </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lang w:val="en-US" w:eastAsia="zh-CN"/>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服务楼层：</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lang w:val="en-US" w:eastAsia="zh-CN"/>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底坑深度(mm)：</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井道尺寸       （宽×深）：</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轿厢内净尺寸           （宽×深×高）：</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lang w:eastAsia="zh-CN"/>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机房位置：</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顶站高度(mm)：</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提升高度（mm):</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井道总高（mm):</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轿厢装潢</w:t>
            </w: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轿厢型号：</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标准轿厢</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轿厢天花：</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轿厢侧壁材质：</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发纹不锈钢</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轿厢地板：</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kern w:val="0"/>
                <w:sz w:val="24"/>
                <w:szCs w:val="24"/>
                <w:lang w:val="en-US" w:bidi="ar"/>
              </w:rPr>
            </w:pPr>
          </w:p>
        </w:tc>
      </w:tr>
      <w:tr>
        <w:tblPrEx>
          <w:tblCellMar>
            <w:top w:w="15" w:type="dxa"/>
            <w:left w:w="15" w:type="dxa"/>
            <w:bottom w:w="15" w:type="dxa"/>
            <w:right w:w="15" w:type="dxa"/>
          </w:tblCellMar>
        </w:tblPrEx>
        <w:trPr>
          <w:trHeight w:val="454" w:hRule="atLeast"/>
          <w:jc w:val="center"/>
        </w:trPr>
        <w:tc>
          <w:tcPr>
            <w:tcW w:w="93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轿厢前壁材质：</w:t>
            </w:r>
          </w:p>
        </w:tc>
        <w:tc>
          <w:tcPr>
            <w:tcW w:w="114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发纹不锈钢</w:t>
            </w:r>
          </w:p>
        </w:tc>
        <w:tc>
          <w:tcPr>
            <w:tcW w:w="122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轿厢内操作箱型号：</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主操作箱</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lang w:eastAsia="zh-CN"/>
              </w:rPr>
            </w:pPr>
          </w:p>
        </w:tc>
      </w:tr>
      <w:tr>
        <w:tblPrEx>
          <w:tblCellMar>
            <w:top w:w="15" w:type="dxa"/>
            <w:left w:w="15" w:type="dxa"/>
            <w:bottom w:w="15" w:type="dxa"/>
            <w:right w:w="15" w:type="dxa"/>
          </w:tblCellMar>
        </w:tblPrEx>
        <w:trPr>
          <w:trHeight w:val="454" w:hRule="atLeast"/>
          <w:jc w:val="center"/>
        </w:trPr>
        <w:tc>
          <w:tcPr>
            <w:tcW w:w="93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color w:val="auto"/>
                <w:sz w:val="24"/>
                <w:szCs w:val="24"/>
              </w:rPr>
            </w:pPr>
          </w:p>
        </w:tc>
        <w:tc>
          <w:tcPr>
            <w:tcW w:w="1148"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sz w:val="24"/>
                <w:szCs w:val="24"/>
              </w:rPr>
            </w:pPr>
          </w:p>
        </w:tc>
        <w:tc>
          <w:tcPr>
            <w:tcW w:w="1220"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color w:val="auto"/>
                <w:sz w:val="24"/>
                <w:szCs w:val="24"/>
              </w:rPr>
            </w:pPr>
          </w:p>
        </w:tc>
        <w:tc>
          <w:tcPr>
            <w:tcW w:w="75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副操纵箱</w:t>
            </w:r>
          </w:p>
        </w:tc>
        <w:tc>
          <w:tcPr>
            <w:tcW w:w="93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轿厢后壁材质：</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发纹不锈钢</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外召按钮型号：</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轿厢门材质：</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发纹不锈钢</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门套材质：</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轿厢装饰材质：</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发纹不锈钢</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厅门材质：</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地坎材质：</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横压硬质铝</w:t>
            </w: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IC卡：</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480" w:firstLineChars="200"/>
              <w:jc w:val="left"/>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电梯空调：</w:t>
            </w:r>
          </w:p>
        </w:tc>
        <w:tc>
          <w:tcPr>
            <w:tcW w:w="114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240" w:firstLineChars="100"/>
              <w:textAlignment w:val="center"/>
              <w:rPr>
                <w:rFonts w:hint="eastAsia" w:ascii="宋体" w:hAnsi="宋体" w:eastAsia="宋体" w:cs="宋体"/>
                <w:color w:val="auto"/>
                <w:sz w:val="24"/>
                <w:szCs w:val="24"/>
                <w:lang w:val="en-US" w:eastAsia="zh-CN"/>
              </w:rPr>
            </w:pPr>
          </w:p>
        </w:tc>
        <w:tc>
          <w:tcPr>
            <w:tcW w:w="12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预留装潢重量(kg)：</w:t>
            </w:r>
          </w:p>
        </w:tc>
        <w:tc>
          <w:tcPr>
            <w:tcW w:w="1695"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480" w:firstLineChars="200"/>
              <w:jc w:val="left"/>
              <w:textAlignment w:val="center"/>
              <w:rPr>
                <w:rFonts w:hint="eastAsia" w:ascii="宋体" w:hAnsi="宋体" w:eastAsia="宋体" w:cs="宋体"/>
                <w:color w:val="auto"/>
                <w:sz w:val="24"/>
                <w:szCs w:val="24"/>
              </w:rPr>
            </w:pPr>
          </w:p>
        </w:tc>
      </w:tr>
      <w:tr>
        <w:tblPrEx>
          <w:tblCellMar>
            <w:top w:w="15" w:type="dxa"/>
            <w:left w:w="15" w:type="dxa"/>
            <w:bottom w:w="15" w:type="dxa"/>
            <w:right w:w="15" w:type="dxa"/>
          </w:tblCellMar>
        </w:tblPrEx>
        <w:trPr>
          <w:trHeight w:val="454" w:hRule="atLeast"/>
          <w:jc w:val="center"/>
        </w:trPr>
        <w:tc>
          <w:tcPr>
            <w:tcW w:w="93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eastAsia="zh-CN" w:bidi="ar"/>
              </w:rPr>
              <w:t>配置：</w:t>
            </w:r>
          </w:p>
        </w:tc>
        <w:tc>
          <w:tcPr>
            <w:tcW w:w="4064"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240" w:firstLineChars="100"/>
              <w:jc w:val="left"/>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ITV电缆、光幕、勿指令取消功能、消防返回等</w:t>
            </w:r>
          </w:p>
        </w:tc>
      </w:tr>
    </w:tbl>
    <w:p/>
    <w:p>
      <w:pPr>
        <w:keepNext w:val="0"/>
        <w:keepLines w:val="0"/>
        <w:spacing w:after="0" w:line="240" w:lineRule="auto"/>
        <w:jc w:val="left"/>
        <w:outlineLvl w:val="9"/>
        <w:rPr>
          <w:rFonts w:ascii="Times New Roman" w:hAnsi="Times New Roman" w:eastAsia="宋体" w:cs="Times New Roman"/>
          <w:b/>
          <w:color w:val="auto"/>
          <w:kern w:val="44"/>
          <w:sz w:val="28"/>
          <w:szCs w:val="28"/>
        </w:rPr>
      </w:pPr>
      <w:bookmarkStart w:id="80" w:name="_Toc21260"/>
      <w:r>
        <w:rPr>
          <w:rFonts w:ascii="Times New Roman" w:hAnsi="Times New Roman" w:eastAsia="宋体" w:cs="Times New Roman"/>
          <w:b/>
          <w:color w:val="auto"/>
          <w:kern w:val="44"/>
          <w:sz w:val="28"/>
          <w:szCs w:val="28"/>
        </w:rPr>
        <w:br w:type="page"/>
      </w:r>
    </w:p>
    <w:p>
      <w:pPr>
        <w:keepNext/>
        <w:keepLines/>
        <w:spacing w:after="120" w:line="360" w:lineRule="auto"/>
        <w:jc w:val="center"/>
        <w:outlineLvl w:val="0"/>
        <w:rPr>
          <w:rFonts w:ascii="Times New Roman" w:hAnsi="Times New Roman" w:eastAsia="宋体" w:cs="Times New Roman"/>
          <w:b/>
          <w:color w:val="auto"/>
          <w:kern w:val="44"/>
          <w:sz w:val="28"/>
          <w:szCs w:val="28"/>
        </w:rPr>
      </w:pPr>
      <w:r>
        <w:rPr>
          <w:rFonts w:ascii="Times New Roman" w:hAnsi="Times New Roman" w:eastAsia="宋体" w:cs="Times New Roman"/>
          <w:b/>
          <w:color w:val="auto"/>
          <w:kern w:val="44"/>
          <w:sz w:val="28"/>
          <w:szCs w:val="28"/>
        </w:rPr>
        <w:t>第五章 用户需求书</w:t>
      </w:r>
      <w:bookmarkEnd w:id="78"/>
      <w:bookmarkEnd w:id="79"/>
      <w:bookmarkEnd w:id="80"/>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rPr>
      </w:pPr>
      <w:bookmarkStart w:id="81" w:name="_Toc6597"/>
      <w:bookmarkStart w:id="82" w:name="_Toc26287"/>
      <w:bookmarkStart w:id="83" w:name="_Toc2272567"/>
      <w:r>
        <w:rPr>
          <w:rFonts w:hint="eastAsia" w:ascii="宋体" w:hAnsi="宋体" w:eastAsia="宋体" w:cs="宋体"/>
          <w:b/>
          <w:bCs/>
          <w:color w:val="auto"/>
          <w:sz w:val="24"/>
          <w:szCs w:val="24"/>
        </w:rPr>
        <w:t>工程名称、地点</w:t>
      </w: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南方报业传媒大厦电梯更换项目</w:t>
      </w:r>
      <w:r>
        <w:rPr>
          <w:rFonts w:hint="eastAsia" w:ascii="宋体" w:hAnsi="宋体" w:eastAsia="宋体" w:cs="宋体"/>
          <w:color w:val="auto"/>
          <w:sz w:val="24"/>
          <w:szCs w:val="24"/>
        </w:rPr>
        <w:t>。</w:t>
      </w: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w:t>
      </w:r>
      <w:r>
        <w:rPr>
          <w:rFonts w:hint="eastAsia" w:ascii="宋体" w:hAnsi="宋体" w:eastAsia="宋体" w:cs="宋体"/>
          <w:color w:val="auto"/>
          <w:sz w:val="24"/>
          <w:szCs w:val="24"/>
          <w:lang w:eastAsia="zh-CN"/>
        </w:rPr>
        <w:t>广州大道中289号南方报业传媒集团1号楼</w:t>
      </w:r>
      <w:r>
        <w:rPr>
          <w:rFonts w:hint="eastAsia" w:ascii="宋体" w:hAnsi="宋体" w:eastAsia="宋体" w:cs="宋体"/>
          <w:color w:val="auto"/>
          <w:sz w:val="24"/>
          <w:szCs w:val="24"/>
        </w:rPr>
        <w:t>。</w:t>
      </w:r>
    </w:p>
    <w:p>
      <w:pPr>
        <w:keepNext w:val="0"/>
        <w:keepLines w:val="0"/>
        <w:pageBreakBefore w:val="0"/>
        <w:widowControl w:val="0"/>
        <w:numPr>
          <w:ilvl w:val="0"/>
          <w:numId w:val="19"/>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招标单位：广东南方报业传媒集团物业管理有限公司。</w:t>
      </w:r>
    </w:p>
    <w:p>
      <w:pPr>
        <w:pStyle w:val="2"/>
        <w:ind w:firstLine="482" w:firstLineChars="200"/>
        <w:rPr>
          <w:rFonts w:hint="eastAsia" w:eastAsia="宋体"/>
          <w:b/>
          <w:bCs/>
          <w:color w:val="auto"/>
          <w:highlight w:val="none"/>
          <w:lang w:val="en-US" w:eastAsia="zh-CN"/>
        </w:rPr>
      </w:pPr>
      <w:r>
        <w:rPr>
          <w:rFonts w:hint="eastAsia" w:ascii="宋体" w:hAnsi="宋体" w:cs="宋体"/>
          <w:b/>
          <w:bCs/>
          <w:color w:val="auto"/>
          <w:sz w:val="24"/>
          <w:szCs w:val="24"/>
          <w:highlight w:val="none"/>
          <w:lang w:val="en-US" w:eastAsia="zh-CN"/>
        </w:rPr>
        <w:t>4.本项目招标主体为广东南方报业传媒集团物业管理有限公司，合同签订主体为南方日报社，中标人中标后须与合同签订主体签订本项目的施工合同。</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招标的项目内容及要求</w:t>
      </w:r>
    </w:p>
    <w:p>
      <w:pPr>
        <w:keepNext w:val="0"/>
        <w:keepLines w:val="0"/>
        <w:pageBreakBefore w:val="0"/>
        <w:widowControl w:val="0"/>
        <w:numPr>
          <w:ilvl w:val="0"/>
          <w:numId w:val="20"/>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1号</w:t>
      </w:r>
      <w:r>
        <w:rPr>
          <w:rFonts w:hint="eastAsia" w:ascii="宋体" w:hAnsi="宋体" w:eastAsia="宋体" w:cs="宋体"/>
          <w:color w:val="000000"/>
          <w:sz w:val="24"/>
          <w:szCs w:val="24"/>
        </w:rPr>
        <w:t>楼更换安装高档载客电梯</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台。基本参数如表1所示：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表1：电梯基本参数表</w:t>
      </w:r>
    </w:p>
    <w:tbl>
      <w:tblPr>
        <w:tblStyle w:val="37"/>
        <w:tblW w:w="4998" w:type="pct"/>
        <w:jc w:val="center"/>
        <w:tblLayout w:type="autofit"/>
        <w:tblCellMar>
          <w:top w:w="0" w:type="dxa"/>
          <w:left w:w="0" w:type="dxa"/>
          <w:bottom w:w="0" w:type="dxa"/>
          <w:right w:w="0" w:type="dxa"/>
        </w:tblCellMar>
      </w:tblPr>
      <w:tblGrid>
        <w:gridCol w:w="2159"/>
        <w:gridCol w:w="1462"/>
        <w:gridCol w:w="1659"/>
        <w:gridCol w:w="1540"/>
        <w:gridCol w:w="1512"/>
      </w:tblGrid>
      <w:tr>
        <w:tblPrEx>
          <w:tblCellMar>
            <w:top w:w="0" w:type="dxa"/>
            <w:left w:w="0" w:type="dxa"/>
            <w:bottom w:w="0" w:type="dxa"/>
            <w:right w:w="0" w:type="dxa"/>
          </w:tblCellMar>
        </w:tblPrEx>
        <w:trPr>
          <w:trHeight w:val="925" w:hRule="atLeast"/>
          <w:jc w:val="center"/>
        </w:trPr>
        <w:tc>
          <w:tcPr>
            <w:tcW w:w="129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2540</wp:posOffset>
                      </wp:positionV>
                      <wp:extent cx="1345565" cy="496570"/>
                      <wp:effectExtent l="1905" t="4445" r="5080" b="13335"/>
                      <wp:wrapNone/>
                      <wp:docPr id="1" name="直接连接符 1"/>
                      <wp:cNvGraphicFramePr/>
                      <a:graphic xmlns:a="http://schemas.openxmlformats.org/drawingml/2006/main">
                        <a:graphicData uri="http://schemas.microsoft.com/office/word/2010/wordprocessingShape">
                          <wps:wsp>
                            <wps:cNvCnPr/>
                            <wps:spPr>
                              <a:xfrm>
                                <a:off x="0" y="0"/>
                                <a:ext cx="1345565" cy="4965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0.2pt;height:39.1pt;width:105.95pt;z-index:251663360;mso-width-relative:page;mso-height-relative:page;" filled="f" stroked="t" coordsize="21600,21600" o:gfxdata="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n2491AAAAAUBAAAPAAAAAAAAAAEAIAAAACIAAABkcnMvZG93bnJldi54bWxQ&#10;SwECFAAUAAAACACHTuJAI8HA+vsBAADpAwAADgAAAAAAAAABACAAAAAj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b w:val="0"/>
                <w:bCs w:val="0"/>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6350</wp:posOffset>
                      </wp:positionV>
                      <wp:extent cx="1235075" cy="891540"/>
                      <wp:effectExtent l="2540" t="3810" r="19685" b="19050"/>
                      <wp:wrapNone/>
                      <wp:docPr id="3" name="直接连接符 3"/>
                      <wp:cNvGraphicFramePr/>
                      <a:graphic xmlns:a="http://schemas.openxmlformats.org/drawingml/2006/main">
                        <a:graphicData uri="http://schemas.microsoft.com/office/word/2010/wordprocessingShape">
                          <wps:wsp>
                            <wps:cNvCnPr/>
                            <wps:spPr>
                              <a:xfrm>
                                <a:off x="0" y="0"/>
                                <a:ext cx="1235075"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0.5pt;height:70.2pt;width:97.25pt;z-index:251664384;mso-width-relative:page;mso-height-relative:page;" filled="f" stroked="t" coordsize="21600,21600" o:gfxdata="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AdWV1AAAAAgBAAAPAAAAAAAAAAEAIAAAACIAAABkcnMvZG93bnJldi54bWxQ&#10;SwECFAAUAAAACACHTuJALJXpt/sBAADpAwAADgAAAAAAAAABACAAAAAj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b w:val="0"/>
                <w:bCs w:val="0"/>
                <w:color w:val="000000"/>
                <w:sz w:val="24"/>
                <w:szCs w:val="24"/>
              </w:rPr>
              <w:t xml:space="preserve">           类型</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参数</w:t>
            </w:r>
          </w:p>
          <w:p>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规格</w:t>
            </w:r>
          </w:p>
        </w:tc>
        <w:tc>
          <w:tcPr>
            <w:tcW w:w="87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载客电梯</w:t>
            </w:r>
            <w:r>
              <w:rPr>
                <w:rFonts w:hint="eastAsia" w:ascii="宋体" w:hAnsi="宋体" w:eastAsia="宋体" w:cs="宋体"/>
                <w:b w:val="0"/>
                <w:bCs w:val="0"/>
                <w:color w:val="000000"/>
                <w:sz w:val="24"/>
                <w:szCs w:val="24"/>
                <w:lang w:val="en-US" w:eastAsia="zh-CN"/>
              </w:rPr>
              <w:t>1</w:t>
            </w:r>
          </w:p>
        </w:tc>
        <w:tc>
          <w:tcPr>
            <w:tcW w:w="99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载客电梯</w:t>
            </w:r>
            <w:r>
              <w:rPr>
                <w:rFonts w:hint="eastAsia" w:ascii="宋体" w:hAnsi="宋体" w:eastAsia="宋体" w:cs="宋体"/>
                <w:b w:val="0"/>
                <w:bCs w:val="0"/>
                <w:color w:val="000000"/>
                <w:sz w:val="24"/>
                <w:szCs w:val="24"/>
                <w:lang w:val="en-US" w:eastAsia="zh-CN"/>
              </w:rPr>
              <w:t>2</w:t>
            </w:r>
          </w:p>
        </w:tc>
        <w:tc>
          <w:tcPr>
            <w:tcW w:w="92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载客电梯</w:t>
            </w:r>
            <w:r>
              <w:rPr>
                <w:rFonts w:hint="eastAsia" w:ascii="宋体" w:hAnsi="宋体" w:eastAsia="宋体" w:cs="宋体"/>
                <w:b w:val="0"/>
                <w:bCs w:val="0"/>
                <w:color w:val="000000"/>
                <w:sz w:val="24"/>
                <w:szCs w:val="24"/>
                <w:lang w:val="en-US" w:eastAsia="zh-CN"/>
              </w:rPr>
              <w:t>3</w:t>
            </w:r>
          </w:p>
        </w:tc>
        <w:tc>
          <w:tcPr>
            <w:tcW w:w="9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载客电梯</w:t>
            </w:r>
            <w:r>
              <w:rPr>
                <w:rFonts w:hint="eastAsia" w:ascii="宋体" w:hAnsi="宋体" w:eastAsia="宋体" w:cs="宋体"/>
                <w:b w:val="0"/>
                <w:bCs w:val="0"/>
                <w:color w:val="000000"/>
                <w:sz w:val="24"/>
                <w:szCs w:val="24"/>
                <w:lang w:val="en-US" w:eastAsia="zh-CN"/>
              </w:rPr>
              <w:t>4</w:t>
            </w:r>
          </w:p>
        </w:tc>
      </w:tr>
      <w:tr>
        <w:tblPrEx>
          <w:tblCellMar>
            <w:top w:w="0" w:type="dxa"/>
            <w:left w:w="0" w:type="dxa"/>
            <w:bottom w:w="0" w:type="dxa"/>
            <w:right w:w="0" w:type="dxa"/>
          </w:tblCellMar>
        </w:tblPrEx>
        <w:trPr>
          <w:trHeight w:val="375" w:hRule="atLeast"/>
          <w:jc w:val="center"/>
        </w:trPr>
        <w:tc>
          <w:tcPr>
            <w:tcW w:w="129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数量</w:t>
            </w:r>
          </w:p>
        </w:tc>
        <w:tc>
          <w:tcPr>
            <w:tcW w:w="87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台</w:t>
            </w:r>
          </w:p>
        </w:tc>
        <w:tc>
          <w:tcPr>
            <w:tcW w:w="99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1台</w:t>
            </w:r>
          </w:p>
        </w:tc>
        <w:tc>
          <w:tcPr>
            <w:tcW w:w="92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台</w:t>
            </w:r>
          </w:p>
        </w:tc>
        <w:tc>
          <w:tcPr>
            <w:tcW w:w="9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1台</w:t>
            </w:r>
          </w:p>
        </w:tc>
      </w:tr>
      <w:tr>
        <w:tblPrEx>
          <w:tblCellMar>
            <w:top w:w="0" w:type="dxa"/>
            <w:left w:w="0" w:type="dxa"/>
            <w:bottom w:w="0" w:type="dxa"/>
            <w:right w:w="0" w:type="dxa"/>
          </w:tblCellMar>
        </w:tblPrEx>
        <w:trPr>
          <w:trHeight w:val="375" w:hRule="atLeast"/>
          <w:jc w:val="center"/>
        </w:trPr>
        <w:tc>
          <w:tcPr>
            <w:tcW w:w="129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内部电梯编</w:t>
            </w:r>
            <w:r>
              <w:rPr>
                <w:rFonts w:hint="eastAsia" w:ascii="宋体" w:hAnsi="宋体" w:eastAsia="宋体" w:cs="宋体"/>
                <w:color w:val="000000"/>
                <w:sz w:val="24"/>
                <w:szCs w:val="24"/>
              </w:rPr>
              <w:t>号</w:t>
            </w:r>
          </w:p>
        </w:tc>
        <w:tc>
          <w:tcPr>
            <w:tcW w:w="87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号</w:t>
            </w:r>
          </w:p>
        </w:tc>
        <w:tc>
          <w:tcPr>
            <w:tcW w:w="99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号</w:t>
            </w:r>
          </w:p>
        </w:tc>
        <w:tc>
          <w:tcPr>
            <w:tcW w:w="92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号</w:t>
            </w:r>
          </w:p>
        </w:tc>
        <w:tc>
          <w:tcPr>
            <w:tcW w:w="9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号</w:t>
            </w:r>
          </w:p>
        </w:tc>
      </w:tr>
      <w:tr>
        <w:tblPrEx>
          <w:tblCellMar>
            <w:top w:w="0" w:type="dxa"/>
            <w:left w:w="0" w:type="dxa"/>
            <w:bottom w:w="0" w:type="dxa"/>
            <w:right w:w="0" w:type="dxa"/>
          </w:tblCellMar>
        </w:tblPrEx>
        <w:trPr>
          <w:trHeight w:val="375" w:hRule="atLeast"/>
          <w:jc w:val="center"/>
        </w:trPr>
        <w:tc>
          <w:tcPr>
            <w:tcW w:w="129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载重量(kg)</w:t>
            </w:r>
          </w:p>
        </w:tc>
        <w:tc>
          <w:tcPr>
            <w:tcW w:w="87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0</w:t>
            </w:r>
          </w:p>
        </w:tc>
        <w:tc>
          <w:tcPr>
            <w:tcW w:w="99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0</w:t>
            </w:r>
          </w:p>
        </w:tc>
        <w:tc>
          <w:tcPr>
            <w:tcW w:w="92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0</w:t>
            </w:r>
          </w:p>
        </w:tc>
        <w:tc>
          <w:tcPr>
            <w:tcW w:w="9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0</w:t>
            </w:r>
          </w:p>
        </w:tc>
      </w:tr>
      <w:tr>
        <w:tblPrEx>
          <w:tblCellMar>
            <w:top w:w="0" w:type="dxa"/>
            <w:left w:w="0" w:type="dxa"/>
            <w:bottom w:w="0" w:type="dxa"/>
            <w:right w:w="0" w:type="dxa"/>
          </w:tblCellMar>
        </w:tblPrEx>
        <w:trPr>
          <w:trHeight w:val="375" w:hRule="atLeast"/>
          <w:jc w:val="center"/>
        </w:trPr>
        <w:tc>
          <w:tcPr>
            <w:tcW w:w="129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速度(米/秒)</w:t>
            </w:r>
          </w:p>
        </w:tc>
        <w:tc>
          <w:tcPr>
            <w:tcW w:w="87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.5</w:t>
            </w:r>
          </w:p>
        </w:tc>
        <w:tc>
          <w:tcPr>
            <w:tcW w:w="99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.5</w:t>
            </w:r>
          </w:p>
        </w:tc>
        <w:tc>
          <w:tcPr>
            <w:tcW w:w="92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.5</w:t>
            </w:r>
          </w:p>
        </w:tc>
        <w:tc>
          <w:tcPr>
            <w:tcW w:w="9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eastAsia="zh-CN"/>
              </w:rPr>
              <w:t>.5</w:t>
            </w:r>
          </w:p>
        </w:tc>
      </w:tr>
      <w:tr>
        <w:tblPrEx>
          <w:tblCellMar>
            <w:top w:w="0" w:type="dxa"/>
            <w:left w:w="0" w:type="dxa"/>
            <w:bottom w:w="0" w:type="dxa"/>
            <w:right w:w="0" w:type="dxa"/>
          </w:tblCellMar>
        </w:tblPrEx>
        <w:trPr>
          <w:trHeight w:val="375" w:hRule="atLeast"/>
          <w:jc w:val="center"/>
        </w:trPr>
        <w:tc>
          <w:tcPr>
            <w:tcW w:w="129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层/站</w:t>
            </w:r>
          </w:p>
        </w:tc>
        <w:tc>
          <w:tcPr>
            <w:tcW w:w="87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31/31</w:t>
            </w:r>
          </w:p>
        </w:tc>
        <w:tc>
          <w:tcPr>
            <w:tcW w:w="99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30/30</w:t>
            </w:r>
          </w:p>
        </w:tc>
        <w:tc>
          <w:tcPr>
            <w:tcW w:w="92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30/30</w:t>
            </w:r>
          </w:p>
        </w:tc>
        <w:tc>
          <w:tcPr>
            <w:tcW w:w="9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28</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28</w:t>
            </w:r>
          </w:p>
        </w:tc>
      </w:tr>
    </w:tbl>
    <w:p>
      <w:pPr>
        <w:keepNext w:val="0"/>
        <w:keepLines w:val="0"/>
        <w:pageBreakBefore w:val="0"/>
        <w:widowControl w:val="0"/>
        <w:numPr>
          <w:ilvl w:val="0"/>
          <w:numId w:val="20"/>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负责对旧电梯进行报废、拆除、回收等工作。</w:t>
      </w:r>
    </w:p>
    <w:p>
      <w:pPr>
        <w:keepNext w:val="0"/>
        <w:keepLines w:val="0"/>
        <w:pageBreakBefore w:val="0"/>
        <w:widowControl w:val="0"/>
        <w:numPr>
          <w:ilvl w:val="0"/>
          <w:numId w:val="20"/>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电梯安装</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改造等一切土建项目内容，包括每层电梯厅门地砖、大理石、天花修复工程(必须与原地砖、大理石一致)、机房改造及每层厅门召唤箱</w:t>
      </w:r>
      <w:r>
        <w:rPr>
          <w:rFonts w:hint="eastAsia" w:ascii="宋体" w:hAnsi="宋体" w:eastAsia="宋体" w:cs="宋体"/>
          <w:color w:val="000000"/>
          <w:sz w:val="24"/>
          <w:szCs w:val="24"/>
          <w:lang w:eastAsia="zh-CN"/>
        </w:rPr>
        <w:t>、井道</w:t>
      </w:r>
      <w:r>
        <w:rPr>
          <w:rFonts w:hint="eastAsia" w:ascii="宋体" w:hAnsi="宋体" w:eastAsia="宋体" w:cs="宋体"/>
          <w:color w:val="000000"/>
          <w:sz w:val="24"/>
          <w:szCs w:val="24"/>
        </w:rPr>
        <w:t>土建安装改造等。由投标人提供</w:t>
      </w:r>
      <w:r>
        <w:rPr>
          <w:rFonts w:hint="eastAsia" w:ascii="宋体" w:hAnsi="宋体" w:eastAsia="宋体" w:cs="宋体"/>
          <w:color w:val="auto"/>
          <w:sz w:val="24"/>
          <w:szCs w:val="24"/>
        </w:rPr>
        <w:t>5款</w:t>
      </w:r>
      <w:r>
        <w:rPr>
          <w:rFonts w:hint="eastAsia" w:ascii="宋体" w:hAnsi="宋体" w:eastAsia="宋体" w:cs="宋体"/>
          <w:color w:val="000000"/>
          <w:sz w:val="24"/>
          <w:szCs w:val="24"/>
        </w:rPr>
        <w:t>豪华装修效果图供</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选择</w:t>
      </w:r>
      <w:r>
        <w:rPr>
          <w:rFonts w:hint="eastAsia" w:ascii="宋体" w:hAnsi="宋体" w:eastAsia="宋体" w:cs="宋体"/>
          <w:color w:val="000000"/>
          <w:sz w:val="24"/>
          <w:szCs w:val="24"/>
          <w:lang w:eastAsia="zh-CN"/>
        </w:rPr>
        <w:t>确认</w:t>
      </w:r>
      <w:r>
        <w:rPr>
          <w:rFonts w:hint="eastAsia" w:ascii="宋体" w:hAnsi="宋体" w:eastAsia="宋体" w:cs="宋体"/>
          <w:color w:val="000000"/>
          <w:sz w:val="24"/>
          <w:szCs w:val="24"/>
        </w:rPr>
        <w:t>。</w:t>
      </w:r>
    </w:p>
    <w:p>
      <w:pPr>
        <w:keepNext w:val="0"/>
        <w:keepLines w:val="0"/>
        <w:pageBreakBefore w:val="0"/>
        <w:widowControl w:val="0"/>
        <w:numPr>
          <w:ilvl w:val="0"/>
          <w:numId w:val="20"/>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投标人应负责设计、货物供货、运输、保险、装卸、安装、调试、培训、检测(包括行政收费)、技术服务(包括技术资料、图纸的提供) 、质保期保障等的全部内容及费用，达到</w:t>
      </w:r>
      <w:r>
        <w:rPr>
          <w:rFonts w:hint="eastAsia" w:ascii="宋体" w:hAnsi="宋体" w:eastAsia="宋体" w:cs="宋体"/>
          <w:color w:val="000000"/>
          <w:sz w:val="24"/>
          <w:szCs w:val="24"/>
          <w:lang w:val="en-US" w:eastAsia="zh-CN"/>
        </w:rPr>
        <w:t>招标人要求移交</w:t>
      </w:r>
      <w:r>
        <w:rPr>
          <w:rFonts w:hint="eastAsia" w:ascii="宋体" w:hAnsi="宋体" w:eastAsia="宋体" w:cs="宋体"/>
          <w:color w:val="000000"/>
          <w:sz w:val="24"/>
          <w:szCs w:val="24"/>
        </w:rPr>
        <w:t>使用为目的。</w:t>
      </w:r>
    </w:p>
    <w:p>
      <w:pPr>
        <w:keepNext w:val="0"/>
        <w:keepLines w:val="0"/>
        <w:pageBreakBefore w:val="0"/>
        <w:widowControl w:val="0"/>
        <w:numPr>
          <w:ilvl w:val="0"/>
          <w:numId w:val="20"/>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电梯</w:t>
      </w:r>
      <w:r>
        <w:rPr>
          <w:rFonts w:hint="eastAsia" w:ascii="宋体" w:hAnsi="宋体" w:eastAsia="宋体" w:cs="宋体"/>
          <w:color w:val="000000"/>
          <w:sz w:val="24"/>
          <w:szCs w:val="24"/>
          <w:lang w:eastAsia="zh-CN"/>
        </w:rPr>
        <w:t>拆除、</w:t>
      </w:r>
      <w:r>
        <w:rPr>
          <w:rFonts w:hint="eastAsia" w:ascii="宋体" w:hAnsi="宋体" w:eastAsia="宋体" w:cs="宋体"/>
          <w:color w:val="000000"/>
          <w:sz w:val="24"/>
          <w:szCs w:val="24"/>
        </w:rPr>
        <w:t>安装施工要求：整个</w:t>
      </w:r>
      <w:r>
        <w:rPr>
          <w:rFonts w:hint="eastAsia" w:ascii="宋体" w:hAnsi="宋体" w:eastAsia="宋体" w:cs="宋体"/>
          <w:color w:val="000000"/>
          <w:sz w:val="24"/>
          <w:szCs w:val="24"/>
          <w:lang w:eastAsia="zh-CN"/>
        </w:rPr>
        <w:t>拆除、</w:t>
      </w:r>
      <w:r>
        <w:rPr>
          <w:rFonts w:hint="eastAsia" w:ascii="宋体" w:hAnsi="宋体" w:eastAsia="宋体" w:cs="宋体"/>
          <w:color w:val="000000"/>
          <w:sz w:val="24"/>
          <w:szCs w:val="24"/>
        </w:rPr>
        <w:t>安装施工过程，不能影响</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正常办公及其他电梯正常使用，并负责做好电梯施工的围蔽工作，噪音较大的项目，需要安排在非办公时间内进行。第一台电梯经</w:t>
      </w:r>
      <w:r>
        <w:rPr>
          <w:rFonts w:hint="eastAsia" w:ascii="宋体" w:hAnsi="宋体" w:eastAsia="宋体" w:cs="宋体"/>
          <w:color w:val="000000"/>
          <w:sz w:val="24"/>
          <w:szCs w:val="24"/>
          <w:lang w:val="en-US" w:eastAsia="zh-CN"/>
        </w:rPr>
        <w:t>广东省特种设备检测研究院</w:t>
      </w:r>
      <w:r>
        <w:rPr>
          <w:rFonts w:hint="eastAsia" w:ascii="宋体" w:hAnsi="宋体" w:eastAsia="宋体" w:cs="宋体"/>
          <w:color w:val="000000"/>
          <w:sz w:val="24"/>
          <w:szCs w:val="24"/>
          <w:lang w:eastAsia="zh-CN"/>
        </w:rPr>
        <w:t>检验</w:t>
      </w:r>
      <w:r>
        <w:rPr>
          <w:rFonts w:hint="eastAsia" w:ascii="宋体" w:hAnsi="宋体" w:eastAsia="宋体" w:cs="宋体"/>
          <w:color w:val="000000"/>
          <w:sz w:val="24"/>
          <w:szCs w:val="24"/>
        </w:rPr>
        <w:t>合格</w:t>
      </w:r>
      <w:r>
        <w:rPr>
          <w:rFonts w:hint="eastAsia" w:ascii="宋体" w:hAnsi="宋体" w:eastAsia="宋体" w:cs="宋体"/>
          <w:color w:val="000000"/>
          <w:sz w:val="24"/>
          <w:szCs w:val="24"/>
          <w:lang w:val="en-US" w:eastAsia="zh-CN"/>
        </w:rPr>
        <w:t>并颁发</w:t>
      </w:r>
      <w:r>
        <w:rPr>
          <w:rFonts w:hint="eastAsia" w:eastAsia="宋体" w:cs="宋体"/>
          <w:color w:val="auto"/>
          <w:sz w:val="24"/>
          <w:szCs w:val="24"/>
          <w:lang w:val="en-US" w:eastAsia="zh-CN"/>
        </w:rPr>
        <w:t>电梯监督检验报告和检验标志</w:t>
      </w:r>
      <w:r>
        <w:rPr>
          <w:rFonts w:hint="eastAsia" w:ascii="宋体" w:hAnsi="宋体" w:eastAsia="宋体" w:cs="宋体"/>
          <w:color w:val="auto"/>
          <w:sz w:val="24"/>
          <w:szCs w:val="24"/>
        </w:rPr>
        <w:t>后，才能开始</w:t>
      </w:r>
      <w:r>
        <w:rPr>
          <w:rFonts w:hint="eastAsia" w:ascii="宋体" w:hAnsi="宋体" w:eastAsia="宋体" w:cs="宋体"/>
          <w:color w:val="auto"/>
          <w:sz w:val="24"/>
          <w:szCs w:val="24"/>
          <w:lang w:eastAsia="zh-CN"/>
        </w:rPr>
        <w:t>下一</w:t>
      </w:r>
      <w:r>
        <w:rPr>
          <w:rFonts w:hint="eastAsia" w:ascii="宋体" w:hAnsi="宋体" w:eastAsia="宋体" w:cs="宋体"/>
          <w:color w:val="auto"/>
          <w:sz w:val="24"/>
          <w:szCs w:val="24"/>
        </w:rPr>
        <w:t>台电梯的</w:t>
      </w:r>
      <w:r>
        <w:rPr>
          <w:rFonts w:hint="eastAsia" w:ascii="宋体" w:hAnsi="宋体" w:eastAsia="宋体" w:cs="宋体"/>
          <w:color w:val="auto"/>
          <w:sz w:val="24"/>
          <w:szCs w:val="24"/>
          <w:lang w:eastAsia="zh-CN"/>
        </w:rPr>
        <w:t>拆除、</w:t>
      </w:r>
      <w:r>
        <w:rPr>
          <w:rFonts w:hint="eastAsia" w:ascii="宋体" w:hAnsi="宋体" w:eastAsia="宋体" w:cs="宋体"/>
          <w:color w:val="auto"/>
          <w:sz w:val="24"/>
          <w:szCs w:val="24"/>
        </w:rPr>
        <w:t>安装施工，每台电梯的施工期不能够超过</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w:t>
      </w:r>
    </w:p>
    <w:p>
      <w:pPr>
        <w:keepNext w:val="0"/>
        <w:keepLines w:val="0"/>
        <w:pageBreakBefore w:val="0"/>
        <w:widowControl w:val="0"/>
        <w:numPr>
          <w:ilvl w:val="0"/>
          <w:numId w:val="20"/>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新安装的1、2、3、6</w:t>
      </w:r>
      <w:r>
        <w:rPr>
          <w:rFonts w:hint="eastAsia" w:ascii="宋体" w:hAnsi="宋体" w:eastAsia="宋体" w:cs="宋体"/>
          <w:color w:val="auto"/>
          <w:sz w:val="24"/>
          <w:szCs w:val="24"/>
        </w:rPr>
        <w:t>号电梯是</w:t>
      </w:r>
      <w:r>
        <w:rPr>
          <w:rFonts w:hint="eastAsia" w:ascii="宋体" w:hAnsi="宋体" w:eastAsia="宋体" w:cs="宋体"/>
          <w:color w:val="auto"/>
          <w:sz w:val="24"/>
          <w:szCs w:val="24"/>
          <w:lang w:eastAsia="zh-CN"/>
        </w:rPr>
        <w:t>分区域独立</w:t>
      </w:r>
      <w:r>
        <w:rPr>
          <w:rFonts w:hint="eastAsia" w:ascii="宋体" w:hAnsi="宋体" w:eastAsia="宋体" w:cs="宋体"/>
          <w:color w:val="auto"/>
          <w:sz w:val="24"/>
          <w:szCs w:val="24"/>
        </w:rPr>
        <w:t>运行，在逐台电梯施工时，负责电梯线路改造，确保</w:t>
      </w:r>
      <w:r>
        <w:rPr>
          <w:rFonts w:hint="eastAsia" w:ascii="宋体" w:hAnsi="宋体" w:eastAsia="宋体" w:cs="宋体"/>
          <w:color w:val="auto"/>
          <w:sz w:val="24"/>
          <w:szCs w:val="24"/>
          <w:lang w:eastAsia="zh-CN"/>
        </w:rPr>
        <w:t>其他电梯</w:t>
      </w:r>
      <w:r>
        <w:rPr>
          <w:rFonts w:hint="eastAsia" w:ascii="宋体" w:hAnsi="宋体" w:eastAsia="宋体" w:cs="宋体"/>
          <w:color w:val="auto"/>
          <w:sz w:val="24"/>
          <w:szCs w:val="24"/>
        </w:rPr>
        <w:t>不受影响。</w:t>
      </w:r>
      <w:r>
        <w:rPr>
          <w:rFonts w:hint="eastAsia" w:ascii="宋体" w:hAnsi="宋体" w:eastAsia="宋体" w:cs="宋体"/>
          <w:b/>
          <w:bCs/>
          <w:color w:val="auto"/>
          <w:sz w:val="24"/>
          <w:szCs w:val="24"/>
          <w:lang w:eastAsia="zh-CN"/>
        </w:rPr>
        <w:t>同时保证</w:t>
      </w:r>
      <w:r>
        <w:rPr>
          <w:rFonts w:hint="eastAsia" w:ascii="宋体" w:hAnsi="宋体" w:eastAsia="宋体" w:cs="宋体"/>
          <w:b/>
          <w:bCs/>
          <w:color w:val="auto"/>
          <w:sz w:val="24"/>
          <w:szCs w:val="24"/>
          <w:lang w:val="en-US" w:eastAsia="zh-CN"/>
        </w:rPr>
        <w:t>2、3、6</w:t>
      </w:r>
      <w:r>
        <w:rPr>
          <w:rFonts w:hint="eastAsia" w:ascii="宋体" w:hAnsi="宋体" w:eastAsia="宋体" w:cs="宋体"/>
          <w:b/>
          <w:bCs/>
          <w:color w:val="auto"/>
          <w:sz w:val="24"/>
          <w:szCs w:val="24"/>
        </w:rPr>
        <w:t>号电梯</w:t>
      </w:r>
      <w:r>
        <w:rPr>
          <w:rFonts w:hint="eastAsia" w:ascii="宋体" w:hAnsi="宋体" w:eastAsia="宋体" w:cs="宋体"/>
          <w:b/>
          <w:bCs/>
          <w:color w:val="auto"/>
          <w:sz w:val="24"/>
          <w:szCs w:val="24"/>
          <w:lang w:val="en-US" w:eastAsia="zh-CN"/>
        </w:rPr>
        <w:t>能完全兼容并接入现有4、5号电梯</w:t>
      </w:r>
      <w:r>
        <w:rPr>
          <w:rFonts w:hint="eastAsia" w:ascii="宋体" w:hAnsi="宋体" w:eastAsia="宋体" w:cs="宋体"/>
          <w:b/>
          <w:bCs/>
          <w:color w:val="auto"/>
          <w:sz w:val="24"/>
          <w:szCs w:val="24"/>
          <w:highlight w:val="none"/>
          <w:lang w:val="en-US" w:eastAsia="zh-CN"/>
        </w:rPr>
        <w:t>的∑AI-22智能</w:t>
      </w:r>
      <w:r>
        <w:rPr>
          <w:rFonts w:hint="eastAsia" w:ascii="宋体" w:hAnsi="宋体" w:eastAsia="宋体" w:cs="宋体"/>
          <w:b/>
          <w:bCs/>
          <w:color w:val="auto"/>
          <w:sz w:val="24"/>
          <w:szCs w:val="24"/>
          <w:lang w:eastAsia="zh-CN"/>
        </w:rPr>
        <w:t>群控</w:t>
      </w:r>
      <w:r>
        <w:rPr>
          <w:rFonts w:hint="eastAsia" w:ascii="宋体" w:hAnsi="宋体" w:eastAsia="宋体" w:cs="宋体"/>
          <w:b/>
          <w:bCs/>
          <w:color w:val="auto"/>
          <w:sz w:val="24"/>
          <w:szCs w:val="24"/>
          <w:lang w:val="en-US" w:eastAsia="zh-CN"/>
        </w:rPr>
        <w:t>运行系统</w:t>
      </w:r>
      <w:r>
        <w:rPr>
          <w:rFonts w:hint="eastAsia" w:ascii="宋体" w:hAnsi="宋体" w:eastAsia="宋体" w:cs="宋体"/>
          <w:b/>
          <w:bCs/>
          <w:color w:val="auto"/>
          <w:sz w:val="24"/>
          <w:szCs w:val="24"/>
          <w:lang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建筑结构说明</w:t>
      </w:r>
    </w:p>
    <w:p>
      <w:pPr>
        <w:pStyle w:val="14"/>
        <w:rPr>
          <w:rFonts w:hint="eastAsia" w:ascii="宋体" w:hAnsi="宋体" w:eastAsia="宋体" w:cs="宋体"/>
          <w:color w:val="000000"/>
          <w:sz w:val="24"/>
          <w:szCs w:val="24"/>
        </w:rPr>
      </w:pPr>
      <w:r>
        <w:rPr>
          <w:rFonts w:hint="eastAsia" w:ascii="宋体" w:hAnsi="宋体" w:eastAsia="宋体" w:cs="宋体"/>
          <w:color w:val="000000"/>
          <w:sz w:val="24"/>
          <w:szCs w:val="24"/>
        </w:rPr>
        <w:t>电梯井道结构为混凝土结构，井道基本参数如表2所示，所列出参数供参考，投标人</w:t>
      </w:r>
      <w:r>
        <w:rPr>
          <w:rFonts w:hint="eastAsia" w:cs="宋体"/>
          <w:color w:val="000000"/>
          <w:sz w:val="24"/>
          <w:szCs w:val="24"/>
          <w:lang w:eastAsia="zh-CN"/>
        </w:rPr>
        <w:t>可在</w:t>
      </w:r>
      <w:r>
        <w:rPr>
          <w:rFonts w:hint="eastAsia"/>
          <w:lang w:eastAsia="zh-CN"/>
        </w:rPr>
        <w:t>招标公告有效期内，</w:t>
      </w:r>
      <w:r>
        <w:rPr>
          <w:rFonts w:hint="eastAsia"/>
          <w:color w:val="auto"/>
          <w:lang w:eastAsia="zh-CN"/>
        </w:rPr>
        <w:t>工作时间周一至五上午</w:t>
      </w:r>
      <w:r>
        <w:rPr>
          <w:rFonts w:hint="eastAsia"/>
          <w:color w:val="auto"/>
          <w:lang w:val="en-US" w:eastAsia="zh-CN"/>
        </w:rPr>
        <w:t>9:00-11:00，下午14：30-16:30</w:t>
      </w:r>
      <w:r>
        <w:rPr>
          <w:rFonts w:hint="eastAsia" w:ascii="宋体" w:hAnsi="宋体" w:eastAsia="宋体" w:cs="宋体"/>
          <w:color w:val="auto"/>
          <w:sz w:val="24"/>
          <w:szCs w:val="24"/>
        </w:rPr>
        <w:t>到现场复核</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表2：电梯井道参数</w:t>
      </w:r>
    </w:p>
    <w:tbl>
      <w:tblPr>
        <w:tblStyle w:val="3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2"/>
        <w:gridCol w:w="2739"/>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序号</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电梯及井道</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color w:val="auto"/>
                <w:sz w:val="24"/>
                <w:szCs w:val="24"/>
                <w:lang w:val="en-US" w:eastAsia="zh-CN"/>
              </w:rPr>
              <w:t>1、2、3、6</w:t>
            </w:r>
            <w:r>
              <w:rPr>
                <w:rFonts w:hint="eastAsia" w:ascii="宋体" w:hAnsi="宋体" w:eastAsia="宋体" w:cs="宋体"/>
                <w:color w:val="auto"/>
                <w:sz w:val="24"/>
                <w:szCs w:val="24"/>
              </w:rPr>
              <w:t>号</w:t>
            </w:r>
            <w:r>
              <w:rPr>
                <w:rFonts w:hint="eastAsia" w:ascii="宋体" w:hAnsi="宋体" w:eastAsia="宋体" w:cs="宋体"/>
                <w:b w:val="0"/>
                <w:bCs w:val="0"/>
                <w:color w:val="000000"/>
                <w:sz w:val="24"/>
                <w:szCs w:val="24"/>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机房净高度（mm）</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顶层高度（mm）  </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底坑深度</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643" w:type="pct"/>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井道尺寸(宽×深)</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2450mm×2200mm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门洞尺寸</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(mm)(宽×高)</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1300mm×2200mm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净门尺寸</w:t>
            </w:r>
          </w:p>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(mm)(宽×高)</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39"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w:t>
            </w:r>
          </w:p>
        </w:tc>
        <w:tc>
          <w:tcPr>
            <w:tcW w:w="1643"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机房位置</w:t>
            </w:r>
          </w:p>
        </w:tc>
        <w:tc>
          <w:tcPr>
            <w:tcW w:w="2916" w:type="pct"/>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电梯井道顶部</w:t>
            </w:r>
          </w:p>
        </w:tc>
      </w:tr>
    </w:tbl>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技术要求</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电梯产品符合以下标准及规定：</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投标电梯品牌在国内被大量采用，在广州地区形成优良的服务能力和水平，品牌信誉好，产品质量可靠，服务优质。</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该品牌电梯在广州市应有专业服务机构。</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产品应全面符合GB7588—2003《电梯制造与安装安全规范》及中国电梯的相关标准。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电梯主要部件的技术要求：</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基本要求如表3所示：</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表3：电梯基本要求</w:t>
      </w:r>
    </w:p>
    <w:tbl>
      <w:tblPr>
        <w:tblStyle w:val="37"/>
        <w:tblW w:w="5104" w:type="pct"/>
        <w:tblInd w:w="0" w:type="dxa"/>
        <w:tblLayout w:type="fixed"/>
        <w:tblCellMar>
          <w:top w:w="0" w:type="dxa"/>
          <w:left w:w="0" w:type="dxa"/>
          <w:bottom w:w="0" w:type="dxa"/>
          <w:right w:w="0" w:type="dxa"/>
        </w:tblCellMar>
      </w:tblPr>
      <w:tblGrid>
        <w:gridCol w:w="442"/>
        <w:gridCol w:w="1712"/>
        <w:gridCol w:w="5168"/>
        <w:gridCol w:w="593"/>
        <w:gridCol w:w="583"/>
      </w:tblGrid>
      <w:tr>
        <w:tblPrEx>
          <w:tblCellMar>
            <w:top w:w="0" w:type="dxa"/>
            <w:left w:w="0" w:type="dxa"/>
            <w:bottom w:w="0" w:type="dxa"/>
            <w:right w:w="0" w:type="dxa"/>
          </w:tblCellMar>
        </w:tblPrEx>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序号</w:t>
            </w: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项目</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要求</w:t>
            </w:r>
          </w:p>
        </w:tc>
        <w:tc>
          <w:tcPr>
            <w:tcW w:w="3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品牌产地</w:t>
            </w: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单价</w:t>
            </w: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电源</w:t>
            </w:r>
          </w:p>
        </w:tc>
        <w:tc>
          <w:tcPr>
            <w:tcW w:w="304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rPr>
              <w:t>动力电源</w:t>
            </w:r>
            <w:r>
              <w:rPr>
                <w:rFonts w:hint="eastAsia" w:ascii="宋体" w:hAnsi="宋体" w:eastAsia="宋体" w:cs="宋体"/>
                <w:color w:val="000000"/>
                <w:sz w:val="24"/>
                <w:szCs w:val="24"/>
                <w:highlight w:val="none"/>
              </w:rPr>
              <w:t>：三相五线制</w:t>
            </w:r>
            <w:r>
              <w:rPr>
                <w:rFonts w:hint="eastAsia" w:ascii="宋体" w:hAnsi="宋体" w:eastAsia="宋体" w:cs="宋体"/>
                <w:color w:val="auto"/>
                <w:sz w:val="24"/>
                <w:szCs w:val="24"/>
                <w:highlight w:val="none"/>
              </w:rPr>
              <w:t>交流380伏50Hz。</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照明电源：单相交流220伏</w:t>
            </w:r>
            <w:r>
              <w:rPr>
                <w:rFonts w:hint="eastAsia" w:ascii="宋体" w:hAnsi="宋体" w:eastAsia="宋体" w:cs="宋体"/>
                <w:color w:val="auto"/>
                <w:sz w:val="24"/>
                <w:szCs w:val="24"/>
              </w:rPr>
              <w:t>50Hz。</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驱动系统</w:t>
            </w:r>
          </w:p>
        </w:tc>
        <w:tc>
          <w:tcPr>
            <w:tcW w:w="304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微机控制交流变频调压调速</w:t>
            </w:r>
            <w:r>
              <w:rPr>
                <w:rFonts w:hint="eastAsia" w:ascii="宋体" w:hAnsi="宋体" w:eastAsia="宋体" w:cs="宋体"/>
                <w:color w:val="000000"/>
                <w:sz w:val="24"/>
                <w:szCs w:val="24"/>
                <w:lang w:eastAsia="zh-CN"/>
              </w:rPr>
              <w:t>（进口部件）</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控制系统</w:t>
            </w:r>
          </w:p>
        </w:tc>
        <w:tc>
          <w:tcPr>
            <w:tcW w:w="304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全电脑智能化控制</w:t>
            </w:r>
            <w:r>
              <w:rPr>
                <w:rFonts w:hint="eastAsia" w:ascii="宋体" w:hAnsi="宋体" w:eastAsia="宋体" w:cs="宋体"/>
                <w:color w:val="000000"/>
                <w:sz w:val="24"/>
                <w:szCs w:val="24"/>
                <w:lang w:eastAsia="zh-CN"/>
              </w:rPr>
              <w:t>（进口部件）</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曳引机</w:t>
            </w:r>
          </w:p>
        </w:tc>
        <w:tc>
          <w:tcPr>
            <w:tcW w:w="304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永磁同步无齿轮曳引机</w:t>
            </w:r>
            <w:r>
              <w:rPr>
                <w:rFonts w:hint="eastAsia" w:ascii="宋体" w:hAnsi="宋体" w:eastAsia="宋体" w:cs="宋体"/>
                <w:color w:val="000000"/>
                <w:sz w:val="24"/>
                <w:szCs w:val="24"/>
                <w:lang w:eastAsia="zh-CN"/>
              </w:rPr>
              <w:t>（进口部件）</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控制方式</w:t>
            </w:r>
          </w:p>
        </w:tc>
        <w:tc>
          <w:tcPr>
            <w:tcW w:w="3040"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lang w:val="en-US" w:eastAsia="zh-CN"/>
              </w:rPr>
              <w:t>保证能完全兼容接入现有4、5号电梯的</w:t>
            </w:r>
            <w:r>
              <w:rPr>
                <w:rFonts w:hint="eastAsia" w:ascii="宋体" w:hAnsi="宋体" w:eastAsia="宋体" w:cs="宋体"/>
                <w:b w:val="0"/>
                <w:bCs w:val="0"/>
                <w:color w:val="auto"/>
                <w:sz w:val="24"/>
                <w:szCs w:val="24"/>
                <w:highlight w:val="none"/>
                <w:lang w:val="en-US" w:eastAsia="zh-CN"/>
              </w:rPr>
              <w:t>∑AI-22智能</w:t>
            </w:r>
            <w:r>
              <w:rPr>
                <w:rFonts w:hint="eastAsia" w:ascii="宋体" w:hAnsi="宋体" w:eastAsia="宋体" w:cs="宋体"/>
                <w:b w:val="0"/>
                <w:bCs w:val="0"/>
                <w:color w:val="auto"/>
                <w:sz w:val="24"/>
                <w:szCs w:val="24"/>
                <w:highlight w:val="none"/>
                <w:lang w:eastAsia="zh-CN"/>
              </w:rPr>
              <w:t>群控</w:t>
            </w:r>
            <w:r>
              <w:rPr>
                <w:rFonts w:hint="eastAsia" w:ascii="宋体" w:hAnsi="宋体" w:eastAsia="宋体" w:cs="宋体"/>
                <w:b w:val="0"/>
                <w:bCs w:val="0"/>
                <w:color w:val="auto"/>
                <w:sz w:val="24"/>
                <w:szCs w:val="24"/>
                <w:highlight w:val="none"/>
                <w:lang w:val="en-US" w:eastAsia="zh-CN"/>
              </w:rPr>
              <w:t>运行系统</w:t>
            </w:r>
            <w:r>
              <w:rPr>
                <w:rFonts w:hint="eastAsia"/>
                <w:b w:val="0"/>
                <w:bCs w:val="0"/>
                <w:highlight w:val="none"/>
                <w:lang w:eastAsia="zh-CN"/>
              </w:rPr>
              <w:t>，</w:t>
            </w:r>
            <w:r>
              <w:rPr>
                <w:rFonts w:hint="eastAsia" w:ascii="宋体" w:hAnsi="宋体" w:eastAsia="宋体" w:cs="宋体"/>
                <w:b w:val="0"/>
                <w:bCs w:val="0"/>
                <w:color w:val="auto"/>
                <w:sz w:val="24"/>
                <w:szCs w:val="24"/>
                <w:highlight w:val="none"/>
                <w:lang w:val="en-US" w:eastAsia="zh-CN"/>
              </w:rPr>
              <w:t>实现不少于六台电梯的</w:t>
            </w:r>
            <w:r>
              <w:rPr>
                <w:rFonts w:hint="eastAsia" w:ascii="宋体" w:hAnsi="宋体" w:eastAsia="宋体" w:cs="宋体"/>
                <w:color w:val="auto"/>
                <w:sz w:val="24"/>
                <w:szCs w:val="24"/>
                <w:highlight w:val="none"/>
                <w:lang w:val="en-US" w:eastAsia="zh-CN"/>
              </w:rPr>
              <w:t>高级智能群控。</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门机系统</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变频无连杆门机</w:t>
            </w:r>
            <w:r>
              <w:rPr>
                <w:rFonts w:hint="eastAsia" w:ascii="宋体" w:hAnsi="宋体" w:eastAsia="宋体" w:cs="宋体"/>
                <w:color w:val="000000"/>
                <w:sz w:val="24"/>
                <w:szCs w:val="24"/>
                <w:lang w:eastAsia="zh-CN"/>
              </w:rPr>
              <w:t>（进口部件）</w:t>
            </w:r>
          </w:p>
        </w:tc>
        <w:tc>
          <w:tcPr>
            <w:tcW w:w="34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门保护系统</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红外线光幕</w:t>
            </w:r>
          </w:p>
        </w:tc>
        <w:tc>
          <w:tcPr>
            <w:tcW w:w="34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开门方式</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中分双扇门</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开门宽度尺寸</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电梯要求开门不小于1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00mm</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轿厢尺寸(mm)</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投标人按载重量要求提供</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轿厢吊顶</w:t>
            </w:r>
            <w:r>
              <w:rPr>
                <w:rFonts w:hint="eastAsia" w:ascii="宋体" w:hAnsi="宋体" w:eastAsia="宋体" w:cs="宋体"/>
                <w:color w:val="000000"/>
                <w:sz w:val="24"/>
                <w:szCs w:val="24"/>
                <w:lang w:eastAsia="zh-CN"/>
              </w:rPr>
              <w:t>及</w:t>
            </w:r>
            <w:r>
              <w:rPr>
                <w:rFonts w:hint="eastAsia" w:ascii="宋体" w:hAnsi="宋体" w:eastAsia="宋体" w:cs="宋体"/>
                <w:color w:val="000000"/>
                <w:sz w:val="24"/>
                <w:szCs w:val="24"/>
              </w:rPr>
              <w:t>高度</w:t>
            </w:r>
          </w:p>
        </w:tc>
        <w:tc>
          <w:tcPr>
            <w:tcW w:w="3040"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电梯吊</w:t>
            </w:r>
            <w:r>
              <w:rPr>
                <w:rFonts w:hint="eastAsia" w:ascii="宋体" w:hAnsi="宋体" w:eastAsia="宋体" w:cs="宋体"/>
                <w:color w:val="auto"/>
                <w:sz w:val="24"/>
                <w:szCs w:val="24"/>
              </w:rPr>
              <w:t>顶装修后净高不少于2600mm</w:t>
            </w:r>
            <w:r>
              <w:rPr>
                <w:rFonts w:hint="eastAsia" w:ascii="宋体" w:hAnsi="宋体" w:eastAsia="宋体" w:cs="宋体"/>
                <w:color w:val="auto"/>
                <w:sz w:val="24"/>
                <w:szCs w:val="24"/>
                <w:lang w:eastAsia="zh-CN"/>
              </w:rPr>
              <w:t>，并</w:t>
            </w:r>
            <w:r>
              <w:rPr>
                <w:rFonts w:hint="eastAsia" w:ascii="宋体" w:hAnsi="宋体" w:eastAsia="宋体" w:cs="宋体"/>
                <w:color w:val="auto"/>
                <w:sz w:val="24"/>
                <w:szCs w:val="24"/>
              </w:rPr>
              <w:t>由投标人提供5款吊顶</w:t>
            </w:r>
            <w:r>
              <w:rPr>
                <w:rFonts w:hint="eastAsia" w:ascii="宋体" w:hAnsi="宋体" w:eastAsia="宋体" w:cs="宋体"/>
                <w:color w:val="000000"/>
                <w:sz w:val="24"/>
                <w:szCs w:val="24"/>
              </w:rPr>
              <w:t>供</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选择</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vMerge w:val="restart"/>
            <w:tcBorders>
              <w:top w:val="nil"/>
              <w:left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轿厢侧壁</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发纹不锈钢材质(304) ，δ≥1.2㎜</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轿厢门</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发纹不锈钢材质(304) ，δ≥1.2㎜</w:t>
            </w:r>
          </w:p>
        </w:tc>
        <w:tc>
          <w:tcPr>
            <w:tcW w:w="349" w:type="pct"/>
            <w:tcBorders>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000000"/>
                <w:sz w:val="24"/>
                <w:szCs w:val="24"/>
              </w:rPr>
            </w:pPr>
          </w:p>
        </w:tc>
        <w:tc>
          <w:tcPr>
            <w:tcW w:w="343" w:type="pct"/>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b/>
                <w:bCs/>
                <w:color w:val="000000"/>
                <w:sz w:val="24"/>
                <w:szCs w:val="24"/>
              </w:rPr>
            </w:pPr>
          </w:p>
        </w:tc>
      </w:tr>
      <w:tr>
        <w:trPr>
          <w:trHeight w:val="454" w:hRule="atLeast"/>
        </w:trPr>
        <w:tc>
          <w:tcPr>
            <w:tcW w:w="260" w:type="pct"/>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厅门套</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各层均为发纹不锈钢材质(304)小门套，δ≥1.2㎜</w:t>
            </w:r>
          </w:p>
        </w:tc>
        <w:tc>
          <w:tcPr>
            <w:tcW w:w="34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厅门</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各层均为发纹不锈钢材质(304)，δ≥1.2㎜</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轿厢天花</w:t>
            </w:r>
          </w:p>
        </w:tc>
        <w:tc>
          <w:tcPr>
            <w:tcW w:w="3040"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由投标人提供</w:t>
            </w:r>
            <w:r>
              <w:rPr>
                <w:rFonts w:hint="eastAsia" w:ascii="宋体" w:hAnsi="宋体" w:eastAsia="宋体" w:cs="宋体"/>
                <w:b w:val="0"/>
                <w:bCs w:val="0"/>
                <w:color w:val="auto"/>
                <w:sz w:val="24"/>
                <w:szCs w:val="24"/>
              </w:rPr>
              <w:t>5款</w:t>
            </w:r>
            <w:r>
              <w:rPr>
                <w:rFonts w:hint="eastAsia" w:ascii="宋体" w:hAnsi="宋体" w:eastAsia="宋体" w:cs="宋体"/>
                <w:b w:val="0"/>
                <w:bCs w:val="0"/>
                <w:color w:val="000000"/>
                <w:sz w:val="24"/>
                <w:szCs w:val="24"/>
              </w:rPr>
              <w:t>豪华装修效果图供</w:t>
            </w:r>
            <w:r>
              <w:rPr>
                <w:rFonts w:hint="eastAsia" w:ascii="宋体" w:hAnsi="宋体" w:eastAsia="宋体" w:cs="宋体"/>
                <w:b w:val="0"/>
                <w:bCs w:val="0"/>
                <w:color w:val="000000"/>
                <w:sz w:val="24"/>
                <w:szCs w:val="24"/>
                <w:lang w:val="en-US" w:eastAsia="zh-CN"/>
              </w:rPr>
              <w:t>招标人</w:t>
            </w:r>
            <w:r>
              <w:rPr>
                <w:rFonts w:hint="eastAsia" w:ascii="宋体" w:hAnsi="宋体" w:eastAsia="宋体" w:cs="宋体"/>
                <w:b w:val="0"/>
                <w:bCs w:val="0"/>
                <w:color w:val="000000"/>
                <w:sz w:val="24"/>
                <w:szCs w:val="24"/>
              </w:rPr>
              <w:t>选择</w:t>
            </w:r>
          </w:p>
        </w:tc>
        <w:tc>
          <w:tcPr>
            <w:tcW w:w="34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轿厢地板</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天然大理石拼花地板，</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δ≥18㎜</w:t>
            </w:r>
          </w:p>
        </w:tc>
        <w:tc>
          <w:tcPr>
            <w:tcW w:w="34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single" w:color="auto" w:sz="4" w:space="0"/>
              <w:left w:val="single" w:color="auto" w:sz="4" w:space="0"/>
              <w:bottom w:val="single" w:color="000000"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00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轿厢踏板</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硬质铝，δ≥3㎜</w:t>
            </w:r>
          </w:p>
        </w:tc>
        <w:tc>
          <w:tcPr>
            <w:tcW w:w="34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厅门踏板</w:t>
            </w:r>
          </w:p>
        </w:tc>
        <w:tc>
          <w:tcPr>
            <w:tcW w:w="304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硬质铝，δ≥3㎜</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00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讯号装置轿内操纵箱</w:t>
            </w:r>
          </w:p>
        </w:tc>
        <w:tc>
          <w:tcPr>
            <w:tcW w:w="304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rPr>
              <w:t>电梯轿厢内配置</w:t>
            </w:r>
            <w:r>
              <w:rPr>
                <w:rFonts w:hint="eastAsia" w:ascii="宋体" w:hAnsi="宋体" w:eastAsia="宋体" w:cs="宋体"/>
                <w:b w:val="0"/>
                <w:bCs w:val="0"/>
                <w:color w:val="auto"/>
                <w:sz w:val="24"/>
                <w:szCs w:val="24"/>
                <w:lang w:val="en-US" w:eastAsia="zh-CN"/>
              </w:rPr>
              <w:t>主辅</w:t>
            </w:r>
            <w:r>
              <w:rPr>
                <w:rFonts w:hint="eastAsia" w:ascii="宋体" w:hAnsi="宋体" w:eastAsia="宋体" w:cs="宋体"/>
                <w:b w:val="0"/>
                <w:bCs w:val="0"/>
                <w:color w:val="auto"/>
                <w:sz w:val="24"/>
                <w:szCs w:val="24"/>
              </w:rPr>
              <w:t>一体式操纵箱</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采用</w:t>
            </w:r>
            <w:r>
              <w:rPr>
                <w:rFonts w:hint="eastAsia" w:ascii="宋体" w:hAnsi="宋体" w:eastAsia="宋体" w:cs="宋体"/>
                <w:b w:val="0"/>
                <w:bCs w:val="0"/>
                <w:color w:val="auto"/>
                <w:sz w:val="24"/>
                <w:szCs w:val="24"/>
                <w:lang w:eastAsia="zh-CN"/>
              </w:rPr>
              <w:t>轻触或触摸</w:t>
            </w:r>
            <w:r>
              <w:rPr>
                <w:rFonts w:hint="eastAsia" w:ascii="宋体" w:hAnsi="宋体" w:eastAsia="宋体" w:cs="宋体"/>
                <w:b w:val="0"/>
                <w:bCs w:val="0"/>
                <w:color w:val="auto"/>
                <w:sz w:val="24"/>
                <w:szCs w:val="24"/>
              </w:rPr>
              <w:t>按钮</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主、副操纵箱配置</w:t>
            </w:r>
            <w:r>
              <w:rPr>
                <w:rFonts w:hint="eastAsia" w:ascii="宋体" w:hAnsi="宋体" w:eastAsia="宋体" w:cs="宋体"/>
                <w:b w:val="0"/>
                <w:bCs w:val="0"/>
                <w:color w:val="auto"/>
                <w:sz w:val="24"/>
                <w:szCs w:val="24"/>
              </w:rPr>
              <w:t>不少于</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寸</w:t>
            </w:r>
            <w:r>
              <w:rPr>
                <w:rFonts w:hint="eastAsia" w:ascii="宋体" w:hAnsi="宋体" w:eastAsia="宋体" w:cs="宋体"/>
                <w:b w:val="0"/>
                <w:bCs w:val="0"/>
                <w:color w:val="auto"/>
                <w:sz w:val="24"/>
                <w:szCs w:val="24"/>
                <w:lang w:val="en-US" w:eastAsia="zh-CN"/>
              </w:rPr>
              <w:t>多媒体显示器</w:t>
            </w:r>
            <w:r>
              <w:rPr>
                <w:rFonts w:hint="eastAsia" w:ascii="宋体" w:hAnsi="宋体" w:eastAsia="宋体" w:cs="宋体"/>
                <w:b w:val="0"/>
                <w:bCs w:val="0"/>
                <w:color w:val="auto"/>
                <w:sz w:val="24"/>
                <w:szCs w:val="24"/>
              </w:rPr>
              <w:t>。</w:t>
            </w:r>
            <w:r>
              <w:rPr>
                <w:rFonts w:hint="eastAsia" w:ascii="宋体" w:hAnsi="宋体" w:eastAsia="宋体" w:cs="宋体"/>
                <w:b w:val="0"/>
                <w:bCs w:val="0"/>
                <w:color w:val="000000"/>
                <w:sz w:val="24"/>
                <w:szCs w:val="24"/>
              </w:rPr>
              <w:t>(由投标人提</w:t>
            </w:r>
            <w:r>
              <w:rPr>
                <w:rFonts w:hint="eastAsia" w:ascii="宋体" w:hAnsi="宋体" w:eastAsia="宋体" w:cs="宋体"/>
                <w:b w:val="0"/>
                <w:bCs w:val="0"/>
                <w:color w:val="auto"/>
                <w:sz w:val="24"/>
                <w:szCs w:val="24"/>
              </w:rPr>
              <w:t>供5</w:t>
            </w:r>
            <w:r>
              <w:rPr>
                <w:rFonts w:hint="eastAsia" w:ascii="宋体" w:hAnsi="宋体" w:eastAsia="宋体" w:cs="宋体"/>
                <w:b w:val="0"/>
                <w:bCs w:val="0"/>
                <w:color w:val="auto"/>
                <w:sz w:val="24"/>
                <w:szCs w:val="24"/>
                <w:lang w:val="en-US" w:eastAsia="zh-CN"/>
              </w:rPr>
              <w:t>种</w:t>
            </w:r>
            <w:r>
              <w:rPr>
                <w:rFonts w:hint="eastAsia" w:ascii="宋体" w:hAnsi="宋体" w:eastAsia="宋体" w:cs="宋体"/>
                <w:b w:val="0"/>
                <w:bCs w:val="0"/>
                <w:color w:val="000000"/>
                <w:sz w:val="24"/>
                <w:szCs w:val="24"/>
              </w:rPr>
              <w:t>款</w:t>
            </w:r>
            <w:r>
              <w:rPr>
                <w:rFonts w:hint="eastAsia" w:ascii="宋体" w:hAnsi="宋体" w:eastAsia="宋体" w:cs="宋体"/>
                <w:b w:val="0"/>
                <w:bCs w:val="0"/>
                <w:color w:val="000000"/>
                <w:sz w:val="24"/>
                <w:szCs w:val="24"/>
                <w:lang w:val="en-US" w:eastAsia="zh-CN"/>
              </w:rPr>
              <w:t>式</w:t>
            </w:r>
            <w:r>
              <w:rPr>
                <w:rFonts w:hint="eastAsia" w:ascii="宋体" w:hAnsi="宋体" w:eastAsia="宋体" w:cs="宋体"/>
                <w:b w:val="0"/>
                <w:bCs w:val="0"/>
                <w:color w:val="000000"/>
                <w:sz w:val="24"/>
                <w:szCs w:val="24"/>
              </w:rPr>
              <w:t>供</w:t>
            </w:r>
            <w:r>
              <w:rPr>
                <w:rFonts w:hint="eastAsia" w:ascii="宋体" w:hAnsi="宋体" w:eastAsia="宋体" w:cs="宋体"/>
                <w:b w:val="0"/>
                <w:bCs w:val="0"/>
                <w:color w:val="000000"/>
                <w:sz w:val="24"/>
                <w:szCs w:val="24"/>
                <w:lang w:val="en-US" w:eastAsia="zh-CN"/>
              </w:rPr>
              <w:t>招标人</w:t>
            </w:r>
            <w:r>
              <w:rPr>
                <w:rFonts w:hint="eastAsia" w:ascii="宋体" w:hAnsi="宋体" w:eastAsia="宋体" w:cs="宋体"/>
                <w:b w:val="0"/>
                <w:bCs w:val="0"/>
                <w:color w:val="000000"/>
                <w:sz w:val="24"/>
                <w:szCs w:val="24"/>
              </w:rPr>
              <w:t>选择)</w:t>
            </w:r>
          </w:p>
        </w:tc>
        <w:tc>
          <w:tcPr>
            <w:tcW w:w="34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vMerge w:val="continue"/>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100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讯号装置厅外召唤显示器操控箱</w:t>
            </w:r>
          </w:p>
        </w:tc>
        <w:tc>
          <w:tcPr>
            <w:tcW w:w="30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auto"/>
                <w:sz w:val="24"/>
                <w:szCs w:val="24"/>
              </w:rPr>
              <w:t>各层配置不少于7寸带运行方向</w:t>
            </w:r>
            <w:r>
              <w:rPr>
                <w:rFonts w:hint="eastAsia" w:ascii="宋体" w:hAnsi="宋体" w:eastAsia="宋体" w:cs="宋体"/>
                <w:b w:val="0"/>
                <w:bCs w:val="0"/>
                <w:color w:val="auto"/>
                <w:sz w:val="24"/>
                <w:szCs w:val="24"/>
                <w:lang w:val="en-US" w:eastAsia="zh-CN"/>
              </w:rPr>
              <w:t>TFT或LCD</w:t>
            </w:r>
            <w:r>
              <w:rPr>
                <w:rFonts w:hint="eastAsia" w:ascii="宋体" w:hAnsi="宋体" w:eastAsia="宋体" w:cs="宋体"/>
                <w:b w:val="0"/>
                <w:bCs w:val="0"/>
                <w:color w:val="auto"/>
                <w:sz w:val="24"/>
                <w:szCs w:val="24"/>
              </w:rPr>
              <w:t>显示器的厅外召唤箱</w:t>
            </w:r>
            <w:r>
              <w:rPr>
                <w:rFonts w:hint="eastAsia" w:ascii="宋体" w:hAnsi="宋体" w:eastAsia="宋体" w:cs="宋体"/>
                <w:b w:val="0"/>
                <w:bCs w:val="0"/>
                <w:color w:val="auto"/>
                <w:sz w:val="24"/>
                <w:szCs w:val="24"/>
                <w:lang w:eastAsia="zh-CN"/>
              </w:rPr>
              <w:t>轻触或触摸</w:t>
            </w:r>
            <w:r>
              <w:rPr>
                <w:rFonts w:hint="eastAsia" w:ascii="宋体" w:hAnsi="宋体" w:eastAsia="宋体" w:cs="宋体"/>
                <w:b w:val="0"/>
                <w:bCs w:val="0"/>
                <w:color w:val="auto"/>
                <w:sz w:val="24"/>
                <w:szCs w:val="24"/>
              </w:rPr>
              <w:t>按钮。(由投标人提供5</w:t>
            </w:r>
            <w:r>
              <w:rPr>
                <w:rFonts w:hint="eastAsia" w:ascii="宋体" w:hAnsi="宋体" w:eastAsia="宋体" w:cs="宋体"/>
                <w:b w:val="0"/>
                <w:bCs w:val="0"/>
                <w:color w:val="auto"/>
                <w:sz w:val="24"/>
                <w:szCs w:val="24"/>
                <w:lang w:val="en-US" w:eastAsia="zh-CN"/>
              </w:rPr>
              <w:t>种</w:t>
            </w:r>
            <w:r>
              <w:rPr>
                <w:rFonts w:hint="eastAsia" w:ascii="宋体" w:hAnsi="宋体" w:eastAsia="宋体" w:cs="宋体"/>
                <w:b w:val="0"/>
                <w:bCs w:val="0"/>
                <w:color w:val="auto"/>
                <w:sz w:val="24"/>
                <w:szCs w:val="24"/>
              </w:rPr>
              <w:t>款</w:t>
            </w:r>
            <w:r>
              <w:rPr>
                <w:rFonts w:hint="eastAsia" w:ascii="宋体" w:hAnsi="宋体" w:eastAsia="宋体" w:cs="宋体"/>
                <w:b w:val="0"/>
                <w:bCs w:val="0"/>
                <w:color w:val="000000"/>
                <w:sz w:val="24"/>
                <w:szCs w:val="24"/>
                <w:lang w:val="en-US" w:eastAsia="zh-CN"/>
              </w:rPr>
              <w:t>式</w:t>
            </w:r>
            <w:r>
              <w:rPr>
                <w:rFonts w:hint="eastAsia" w:ascii="宋体" w:hAnsi="宋体" w:eastAsia="宋体" w:cs="宋体"/>
                <w:b w:val="0"/>
                <w:bCs w:val="0"/>
                <w:color w:val="000000"/>
                <w:sz w:val="24"/>
                <w:szCs w:val="24"/>
              </w:rPr>
              <w:t>供</w:t>
            </w:r>
            <w:r>
              <w:rPr>
                <w:rFonts w:hint="eastAsia" w:ascii="宋体" w:hAnsi="宋体" w:eastAsia="宋体" w:cs="宋体"/>
                <w:b w:val="0"/>
                <w:bCs w:val="0"/>
                <w:color w:val="000000"/>
                <w:sz w:val="24"/>
                <w:szCs w:val="24"/>
                <w:lang w:val="en-US" w:eastAsia="zh-CN"/>
              </w:rPr>
              <w:t>招标人</w:t>
            </w:r>
            <w:r>
              <w:rPr>
                <w:rFonts w:hint="eastAsia" w:ascii="宋体" w:hAnsi="宋体" w:eastAsia="宋体" w:cs="宋体"/>
                <w:b w:val="0"/>
                <w:bCs w:val="0"/>
                <w:color w:val="000000"/>
                <w:sz w:val="24"/>
                <w:szCs w:val="24"/>
              </w:rPr>
              <w:t>选择</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w:t>
            </w:r>
          </w:p>
        </w:tc>
        <w:tc>
          <w:tcPr>
            <w:tcW w:w="34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00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轿厢通风</w:t>
            </w:r>
          </w:p>
        </w:tc>
        <w:tc>
          <w:tcPr>
            <w:tcW w:w="30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天花板设风扇通风、空调出风口并配装电梯专用空调</w:t>
            </w:r>
          </w:p>
        </w:tc>
        <w:tc>
          <w:tcPr>
            <w:tcW w:w="34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w:t>
            </w:r>
          </w:p>
        </w:tc>
        <w:tc>
          <w:tcPr>
            <w:tcW w:w="100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轿厢照明</w:t>
            </w:r>
          </w:p>
        </w:tc>
        <w:tc>
          <w:tcPr>
            <w:tcW w:w="30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由投标人合理配置</w:t>
            </w:r>
          </w:p>
        </w:tc>
        <w:tc>
          <w:tcPr>
            <w:tcW w:w="34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100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曳引部件</w:t>
            </w:r>
          </w:p>
        </w:tc>
        <w:tc>
          <w:tcPr>
            <w:tcW w:w="30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采用曳引钢丝绳或曳引钢带（进口部件）</w:t>
            </w:r>
          </w:p>
        </w:tc>
        <w:tc>
          <w:tcPr>
            <w:tcW w:w="34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p>
        </w:tc>
        <w:tc>
          <w:tcPr>
            <w:tcW w:w="100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安全钳</w:t>
            </w:r>
          </w:p>
        </w:tc>
        <w:tc>
          <w:tcPr>
            <w:tcW w:w="30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成熟配置（进口部件）</w:t>
            </w:r>
          </w:p>
        </w:tc>
        <w:tc>
          <w:tcPr>
            <w:tcW w:w="34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r>
        <w:trPr>
          <w:trHeight w:val="454" w:hRule="atLeast"/>
        </w:trPr>
        <w:tc>
          <w:tcPr>
            <w:tcW w:w="26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100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限速器</w:t>
            </w:r>
          </w:p>
        </w:tc>
        <w:tc>
          <w:tcPr>
            <w:tcW w:w="30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成熟配置（进口部件）</w:t>
            </w:r>
          </w:p>
        </w:tc>
        <w:tc>
          <w:tcPr>
            <w:tcW w:w="34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(2) </w:t>
      </w:r>
      <w:r>
        <w:rPr>
          <w:rFonts w:hint="eastAsia" w:ascii="宋体" w:hAnsi="宋体" w:eastAsia="宋体" w:cs="宋体"/>
          <w:color w:val="000000"/>
          <w:sz w:val="24"/>
          <w:szCs w:val="24"/>
        </w:rPr>
        <w:t>表中涉及具体产品规格，供投标人选型参考，投标人可选择其它性能参数不低于上述要求的产品投标，并注明主要参数、品牌产地及每项单价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进口部件需提供进口报关单。</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电梯功能及配置要求：</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由投标人根据电梯厂家标配功能配置。</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选配功能：</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停电自动平层。</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上电再平层。</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三方对讲通话。</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错误指令消除。</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轿厢沿电梯井道敷设闭路电视监控电缆到电梯机房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BA接口</w:t>
      </w:r>
      <w:r>
        <w:rPr>
          <w:rFonts w:hint="eastAsia" w:ascii="宋体" w:hAnsi="宋体" w:eastAsia="宋体" w:cs="宋体"/>
          <w:color w:val="000000"/>
          <w:sz w:val="24"/>
          <w:szCs w:val="24"/>
          <w:lang w:eastAsia="zh-CN"/>
        </w:rPr>
        <w:t>（</w:t>
      </w:r>
      <w:r>
        <w:rPr>
          <w:rFonts w:hint="eastAsia" w:ascii="宋体" w:hAnsi="宋体" w:eastAsia="宋体" w:cs="宋体"/>
          <w:b w:val="0"/>
          <w:i w:val="0"/>
          <w:caps w:val="0"/>
          <w:color w:val="000000"/>
          <w:spacing w:val="0"/>
          <w:sz w:val="24"/>
          <w:szCs w:val="24"/>
        </w:rPr>
        <w:t>电梯运行状态监控系统接口集成</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满载直驶运行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需要在内部轿厢和外部面板上有显示“满载”字样</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轿内照明、通风自动控制。</w:t>
      </w:r>
    </w:p>
    <w:p>
      <w:pPr>
        <w:keepNext w:val="0"/>
        <w:keepLines w:val="0"/>
        <w:pageBreakBefore w:val="0"/>
        <w:widowControl w:val="0"/>
        <w:numPr>
          <w:ilvl w:val="0"/>
          <w:numId w:val="25"/>
        </w:numPr>
        <w:tabs>
          <w:tab w:val="left" w:pos="72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停电应急照明。</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独立运行。</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驻停梯。</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轿厢到站</w:t>
      </w:r>
      <w:r>
        <w:rPr>
          <w:rFonts w:hint="eastAsia" w:ascii="宋体" w:hAnsi="宋体" w:eastAsia="宋体" w:cs="宋体"/>
          <w:color w:val="000000"/>
          <w:sz w:val="24"/>
          <w:szCs w:val="24"/>
          <w:lang w:eastAsia="zh-CN"/>
        </w:rPr>
        <w:t>语音</w:t>
      </w:r>
      <w:r>
        <w:rPr>
          <w:rFonts w:hint="eastAsia" w:ascii="宋体" w:hAnsi="宋体" w:eastAsia="宋体" w:cs="宋体"/>
          <w:color w:val="000000"/>
          <w:sz w:val="24"/>
          <w:szCs w:val="24"/>
        </w:rPr>
        <w:t>。</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消防功能(仅配消防梯)。</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故障自动检测记录。</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15）电梯专用空调。</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楼层及轿厢人数监测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解决轿厢空间已满员时可触发满载直驶功能</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rPr>
        <w:t>拥挤楼层服务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kern w:val="2"/>
          <w:sz w:val="24"/>
          <w:szCs w:val="24"/>
          <w:highlight w:val="none"/>
          <w:lang w:val="en-US" w:eastAsia="zh-CN" w:bidi="ar"/>
        </w:rPr>
        <w:t>检测到的某些层站有交通密度数据时，系统会自动增加电梯去相应的层站，解决快速疏通需求。</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1"/>
          <w:numId w:val="0"/>
        </w:numPr>
        <w:tabs>
          <w:tab w:val="left" w:pos="720"/>
        </w:tabs>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特殊层优先服务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
        </w:rPr>
        <w:t>对指定特殊层站的召唤，优先分派电梯。</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高峰分区服务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（能在上、下班高峰时</w:t>
      </w:r>
      <w:r>
        <w:rPr>
          <w:rFonts w:hint="eastAsia" w:ascii="宋体" w:hAnsi="宋体" w:eastAsia="宋体" w:cs="宋体"/>
          <w:color w:val="auto"/>
          <w:sz w:val="24"/>
          <w:szCs w:val="24"/>
          <w:highlight w:val="none"/>
          <w:lang w:val="en-US" w:eastAsia="zh-CN"/>
        </w:rPr>
        <w:t>段，各电梯</w:t>
      </w:r>
      <w:r>
        <w:rPr>
          <w:rFonts w:hint="eastAsia" w:ascii="宋体" w:hAnsi="宋体" w:eastAsia="宋体" w:cs="宋体"/>
          <w:color w:val="auto"/>
          <w:sz w:val="24"/>
          <w:szCs w:val="24"/>
          <w:highlight w:val="none"/>
          <w:lang w:eastAsia="zh-CN"/>
        </w:rPr>
        <w:t>从群控</w:t>
      </w:r>
      <w:r>
        <w:rPr>
          <w:rFonts w:hint="eastAsia" w:ascii="宋体" w:hAnsi="宋体" w:eastAsia="宋体" w:cs="宋体"/>
          <w:color w:val="auto"/>
          <w:sz w:val="24"/>
          <w:szCs w:val="24"/>
          <w:highlight w:val="none"/>
          <w:lang w:val="en-US" w:eastAsia="zh-CN"/>
        </w:rPr>
        <w:t>模式转换分</w:t>
      </w:r>
      <w:r>
        <w:rPr>
          <w:rFonts w:hint="eastAsia" w:ascii="宋体" w:hAnsi="宋体" w:eastAsia="宋体" w:cs="宋体"/>
          <w:color w:val="auto"/>
          <w:sz w:val="24"/>
          <w:szCs w:val="24"/>
          <w:highlight w:val="none"/>
          <w:lang w:eastAsia="zh-CN"/>
        </w:rPr>
        <w:t>区域运行</w:t>
      </w:r>
      <w:r>
        <w:rPr>
          <w:rFonts w:hint="eastAsia" w:ascii="宋体" w:hAnsi="宋体" w:eastAsia="宋体" w:cs="宋体"/>
          <w:color w:val="auto"/>
          <w:sz w:val="24"/>
          <w:szCs w:val="24"/>
          <w:highlight w:val="none"/>
          <w:lang w:val="en-US" w:eastAsia="zh-CN"/>
        </w:rPr>
        <w:t>模式</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解决</w:t>
      </w:r>
      <w:r>
        <w:rPr>
          <w:rFonts w:hint="eastAsia" w:ascii="宋体" w:hAnsi="宋体" w:eastAsia="宋体" w:cs="宋体"/>
          <w:color w:val="auto"/>
          <w:sz w:val="24"/>
          <w:szCs w:val="24"/>
          <w:highlight w:val="none"/>
          <w:lang w:eastAsia="zh-CN"/>
        </w:rPr>
        <w:t>上下班高峰需求。）</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安装、调试、验收</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ascii="宋体" w:hAnsi="宋体" w:eastAsia="宋体" w:cs="宋体"/>
          <w:color w:val="000000"/>
          <w:sz w:val="24"/>
          <w:szCs w:val="24"/>
          <w:lang w:val="en-US" w:eastAsia="zh-CN"/>
        </w:rPr>
        <w:t>条款</w:t>
      </w:r>
      <w:r>
        <w:rPr>
          <w:rFonts w:hint="eastAsia" w:ascii="宋体" w:hAnsi="宋体" w:eastAsia="宋体" w:cs="宋体"/>
          <w:color w:val="000000"/>
          <w:sz w:val="24"/>
          <w:szCs w:val="24"/>
        </w:rPr>
        <w:t>作为</w:t>
      </w:r>
      <w:r>
        <w:rPr>
          <w:rFonts w:hint="eastAsia" w:ascii="宋体" w:hAnsi="宋体" w:eastAsia="宋体" w:cs="宋体"/>
          <w:color w:val="000000"/>
          <w:sz w:val="24"/>
          <w:szCs w:val="24"/>
          <w:lang w:val="en-US" w:eastAsia="zh-CN"/>
        </w:rPr>
        <w:t>中标人</w:t>
      </w:r>
      <w:r>
        <w:rPr>
          <w:rFonts w:hint="eastAsia" w:ascii="宋体" w:hAnsi="宋体" w:eastAsia="宋体" w:cs="宋体"/>
          <w:color w:val="000000"/>
          <w:sz w:val="24"/>
          <w:szCs w:val="24"/>
        </w:rPr>
        <w:t>执行电梯安装调试、保养服务过程条款中的一部分，电梯供货合同包含电梯设备的安装调试、维护保养服务条款等。</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电梯安装调试需由中标</w:t>
      </w:r>
      <w:r>
        <w:rPr>
          <w:rFonts w:hint="eastAsia" w:ascii="宋体" w:hAnsi="宋体" w:eastAsia="宋体" w:cs="宋体"/>
          <w:color w:val="000000"/>
          <w:sz w:val="24"/>
          <w:szCs w:val="24"/>
          <w:lang w:eastAsia="zh-CN"/>
        </w:rPr>
        <w:t>人的</w:t>
      </w:r>
      <w:r>
        <w:rPr>
          <w:rFonts w:hint="eastAsia" w:ascii="宋体" w:hAnsi="宋体" w:eastAsia="宋体" w:cs="宋体"/>
          <w:color w:val="000000"/>
          <w:sz w:val="24"/>
          <w:szCs w:val="24"/>
        </w:rPr>
        <w:t>专业人员负责，保养维修服务可由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或其特约维保单位负责，但必须保证安装工艺达到电梯运行合格的要求。整梯运行质量由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负责。</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应设有现场安装电梯负责人及工程师，负责工程质量及施工过程的全部安全责任，保证施工过程不出现人身安全事故、火灾事故和施工机械质量造成的电梯设备损坏事故。电梯安装人员要遵守</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的管理制度，接受</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的监督、管理和指导。</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在电梯施工前，</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应向</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递交安装人员名单并提供相应的上岗证，严禁使用未成年工和不适应现场安全施工要求的老弱病残人员进行施工。</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电梯进场安装所需的现场工作条件及施工中需</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配合承担的项目，由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rPr>
        <w:t>人在投标时提出，签署合同时作为条款之一予以明确。</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应对每台电梯的安装现场进行检查，确认土建结构是否符合安装要求。非因</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责任，不得收电梯安装整改费。</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安装开始前，</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应约</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共同检查安装现场是否已具备进场条件（包括临时用电用水和临时用房的搭建地点）。在确定施工条件已具备后5天内</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与</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确定开始施工日期并进场施工。中标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负责向当地</w:t>
      </w:r>
      <w:r>
        <w:rPr>
          <w:rFonts w:hint="eastAsia" w:ascii="宋体" w:hAnsi="宋体" w:eastAsia="宋体" w:cs="宋体"/>
          <w:color w:val="000000"/>
          <w:sz w:val="24"/>
          <w:szCs w:val="24"/>
          <w:lang w:eastAsia="zh-CN"/>
        </w:rPr>
        <w:t>市场监督</w:t>
      </w:r>
      <w:r>
        <w:rPr>
          <w:rFonts w:hint="eastAsia" w:ascii="宋体" w:hAnsi="宋体" w:eastAsia="宋体" w:cs="宋体"/>
          <w:color w:val="000000"/>
          <w:sz w:val="24"/>
          <w:szCs w:val="24"/>
        </w:rPr>
        <w:t>部门</w:t>
      </w:r>
      <w:r>
        <w:rPr>
          <w:rFonts w:hint="eastAsia" w:ascii="宋体" w:hAnsi="宋体" w:eastAsia="宋体" w:cs="宋体"/>
          <w:color w:val="000000"/>
          <w:sz w:val="24"/>
          <w:szCs w:val="24"/>
          <w:lang w:eastAsia="zh-CN"/>
        </w:rPr>
        <w:t>、特种设备检测院申请</w:t>
      </w:r>
      <w:r>
        <w:rPr>
          <w:rFonts w:hint="eastAsia" w:ascii="宋体" w:hAnsi="宋体" w:eastAsia="宋体" w:cs="宋体"/>
          <w:color w:val="000000"/>
          <w:sz w:val="24"/>
          <w:szCs w:val="24"/>
        </w:rPr>
        <w:t>报装、报验手续，并承担所有有关费用。</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装卸施工所需的机械工具、设备、材料由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自备及自费运到施工工地，并由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自行保管，按</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指定位置存放。</w:t>
      </w:r>
    </w:p>
    <w:p>
      <w:pPr>
        <w:keepNext w:val="0"/>
        <w:keepLines w:val="0"/>
        <w:pageBreakBefore w:val="0"/>
        <w:widowControl w:val="0"/>
        <w:numPr>
          <w:ilvl w:val="0"/>
          <w:numId w:val="26"/>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在施工过程中，电梯设备的保管由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负责，直至安装调试完毕，并在双方签署的电梯验收合格证明书后才移交给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w:t>
      </w:r>
    </w:p>
    <w:p>
      <w:pPr>
        <w:keepNext w:val="0"/>
        <w:keepLines w:val="0"/>
        <w:pageBreakBefore w:val="0"/>
        <w:widowControl w:val="0"/>
        <w:numPr>
          <w:ilvl w:val="0"/>
          <w:numId w:val="26"/>
        </w:numPr>
        <w:tabs>
          <w:tab w:val="left" w:pos="0"/>
          <w:tab w:val="left" w:pos="180"/>
          <w:tab w:val="left" w:pos="360"/>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安装调试须由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整机制造厂的专职工程师主持完成，调试应通知</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相关人技术员参加，应准备调试记录卡并于事前10天交一份给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w:t>
      </w:r>
    </w:p>
    <w:p>
      <w:pPr>
        <w:keepNext w:val="0"/>
        <w:keepLines w:val="0"/>
        <w:pageBreakBefore w:val="0"/>
        <w:widowControl w:val="0"/>
        <w:numPr>
          <w:ilvl w:val="0"/>
          <w:numId w:val="26"/>
        </w:numPr>
        <w:tabs>
          <w:tab w:val="left" w:pos="0"/>
          <w:tab w:val="left" w:pos="180"/>
          <w:tab w:val="left" w:pos="360"/>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施工工程由</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负责并实行“三包”：包质量、包工期、包施工安全(电梯井道、门洞的安全措施，含施工人员及其他人员的安全)。</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只提供临时水电，水电费由</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负责。</w:t>
      </w:r>
    </w:p>
    <w:p>
      <w:pPr>
        <w:keepNext w:val="0"/>
        <w:keepLines w:val="0"/>
        <w:pageBreakBefore w:val="0"/>
        <w:widowControl w:val="0"/>
        <w:numPr>
          <w:ilvl w:val="0"/>
          <w:numId w:val="26"/>
        </w:numPr>
        <w:tabs>
          <w:tab w:val="left" w:pos="0"/>
          <w:tab w:val="left" w:pos="180"/>
          <w:tab w:val="left" w:pos="360"/>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电梯安装调试合格后，</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应及时向当地政府有关部门(技术监督局检测站和建委质监站)申请验收。验收费用由</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负责。</w:t>
      </w:r>
    </w:p>
    <w:p>
      <w:pPr>
        <w:keepNext w:val="0"/>
        <w:keepLines w:val="0"/>
        <w:pageBreakBefore w:val="0"/>
        <w:widowControl w:val="0"/>
        <w:numPr>
          <w:ilvl w:val="0"/>
          <w:numId w:val="26"/>
        </w:numPr>
        <w:tabs>
          <w:tab w:val="left" w:pos="0"/>
          <w:tab w:val="left" w:pos="180"/>
          <w:tab w:val="left" w:pos="360"/>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电梯的验收标准按招标文件中技术要求、</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的技术规范、国家的电梯技术规范以及</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中标人</w:t>
      </w:r>
      <w:r>
        <w:rPr>
          <w:rFonts w:hint="eastAsia" w:ascii="宋体" w:hAnsi="宋体" w:eastAsia="宋体" w:cs="宋体"/>
          <w:color w:val="000000"/>
          <w:sz w:val="24"/>
          <w:szCs w:val="24"/>
        </w:rPr>
        <w:t>双方确认的电梯工程图纸进行初步验收合格后，经当地电梯安全使用管理部门(技术监督局检测站和质监站)签署安装验收合格证及电梯使用证，最后双方签署电梯验收合格证明书。</w:t>
      </w:r>
    </w:p>
    <w:p>
      <w:pPr>
        <w:keepNext w:val="0"/>
        <w:keepLines w:val="0"/>
        <w:pageBreakBefore w:val="0"/>
        <w:widowControl w:val="0"/>
        <w:numPr>
          <w:ilvl w:val="0"/>
          <w:numId w:val="26"/>
        </w:numPr>
        <w:tabs>
          <w:tab w:val="left" w:pos="0"/>
          <w:tab w:val="left" w:pos="180"/>
          <w:tab w:val="left" w:pos="360"/>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所有验收文件、测试报告和资料，</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要提交四套(一正三副)给</w:t>
      </w:r>
      <w:r>
        <w:rPr>
          <w:rFonts w:hint="eastAsia" w:ascii="宋体" w:hAnsi="宋体" w:eastAsia="宋体" w:cs="宋体"/>
          <w:color w:val="000000"/>
          <w:sz w:val="24"/>
          <w:szCs w:val="24"/>
          <w:lang w:eastAsia="zh-CN"/>
        </w:rPr>
        <w:t>招标人</w:t>
      </w:r>
      <w:r>
        <w:rPr>
          <w:rFonts w:hint="eastAsia" w:ascii="宋体" w:hAnsi="宋体" w:eastAsia="宋体" w:cs="宋体"/>
          <w:color w:val="000000"/>
          <w:sz w:val="24"/>
          <w:szCs w:val="24"/>
        </w:rPr>
        <w:t>，以作设备留档备案。</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质量、售后服务保证</w:t>
      </w:r>
    </w:p>
    <w:p>
      <w:pPr>
        <w:widowControl w:val="0"/>
        <w:numPr>
          <w:ilvl w:val="0"/>
          <w:numId w:val="27"/>
        </w:numPr>
        <w:tabs>
          <w:tab w:val="left" w:pos="540"/>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产品质保期</w:t>
      </w:r>
      <w:r>
        <w:rPr>
          <w:rFonts w:hint="eastAsia" w:ascii="宋体" w:hAnsi="宋体" w:eastAsia="宋体" w:cs="宋体"/>
          <w:color w:val="auto"/>
          <w:sz w:val="24"/>
          <w:szCs w:val="24"/>
          <w:lang w:eastAsia="zh-CN"/>
        </w:rPr>
        <w:t>和</w:t>
      </w:r>
      <w:r>
        <w:rPr>
          <w:rFonts w:hint="eastAsia" w:ascii="宋体" w:hAnsi="宋体" w:eastAsia="宋体" w:cs="宋体"/>
          <w:color w:val="auto"/>
          <w:sz w:val="24"/>
          <w:szCs w:val="24"/>
          <w:lang w:val="en-US" w:eastAsia="zh-CN"/>
        </w:rPr>
        <w:t>免费保养服务</w:t>
      </w:r>
      <w:r>
        <w:rPr>
          <w:rFonts w:hint="eastAsia" w:ascii="宋体" w:hAnsi="宋体" w:eastAsia="宋体" w:cs="宋体"/>
          <w:color w:val="auto"/>
          <w:sz w:val="24"/>
          <w:szCs w:val="24"/>
        </w:rPr>
        <w:t>为</w:t>
      </w:r>
      <w:r>
        <w:rPr>
          <w:rFonts w:hint="eastAsia" w:ascii="宋体" w:hAnsi="宋体" w:eastAsia="宋体" w:cs="宋体"/>
          <w:color w:val="auto"/>
          <w:sz w:val="24"/>
          <w:szCs w:val="24"/>
          <w:lang w:eastAsia="zh-CN"/>
        </w:rPr>
        <w:t>期</w:t>
      </w:r>
      <w:r>
        <w:rPr>
          <w:rFonts w:hint="eastAsia" w:ascii="宋体" w:hAnsi="宋体" w:eastAsia="宋体" w:cs="宋体"/>
          <w:color w:val="auto"/>
          <w:sz w:val="24"/>
          <w:szCs w:val="24"/>
          <w:u w:val="single"/>
          <w:lang w:val="en-US" w:eastAsia="zh-CN"/>
        </w:rPr>
        <w:t xml:space="preserve"> </w:t>
      </w:r>
      <w:r>
        <w:rPr>
          <w:rFonts w:hint="eastAsia" w:eastAsia="宋体" w:cs="宋体"/>
          <w:color w:val="auto"/>
          <w:sz w:val="24"/>
          <w:szCs w:val="24"/>
          <w:u w:val="single"/>
          <w:lang w:val="en-US" w:eastAsia="zh-CN"/>
        </w:rPr>
        <w:t>24</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个月，时间从取得特种设备检测院验收合格证明书之日起分批计算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曳引机、控制柜、门机、安全钳、限速器五大件进口件提供</w:t>
      </w:r>
      <w:r>
        <w:rPr>
          <w:rFonts w:hint="eastAsia" w:ascii="宋体" w:hAnsi="宋体" w:eastAsia="宋体" w:cs="宋体"/>
          <w:color w:val="auto"/>
          <w:sz w:val="24"/>
          <w:szCs w:val="24"/>
          <w:u w:val="single"/>
          <w:lang w:val="en-US" w:eastAsia="zh-CN"/>
        </w:rPr>
        <w:t xml:space="preserve"> </w:t>
      </w:r>
      <w:r>
        <w:rPr>
          <w:rFonts w:hint="eastAsia" w:eastAsia="宋体" w:cs="宋体"/>
          <w:color w:val="auto"/>
          <w:sz w:val="24"/>
          <w:szCs w:val="24"/>
          <w:u w:val="single"/>
          <w:lang w:val="en-US" w:eastAsia="zh-CN"/>
        </w:rPr>
        <w:t>10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质保。</w:t>
      </w:r>
    </w:p>
    <w:p>
      <w:pPr>
        <w:keepNext w:val="0"/>
        <w:keepLines w:val="0"/>
        <w:pageBreakBefore w:val="0"/>
        <w:widowControl w:val="0"/>
        <w:numPr>
          <w:ilvl w:val="0"/>
          <w:numId w:val="27"/>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必须有可靠的售后服务保障包括但不限于在广州市有固定的维修服务点，提供技术支持及常用的备品备件。</w:t>
      </w:r>
    </w:p>
    <w:p>
      <w:pPr>
        <w:keepNext w:val="0"/>
        <w:keepLines w:val="0"/>
        <w:pageBreakBefore w:val="0"/>
        <w:widowControl w:val="0"/>
        <w:numPr>
          <w:ilvl w:val="0"/>
          <w:numId w:val="27"/>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设有24小时服务热线，保证在接到报障电话后1小时之内到达故障现场，</w:t>
      </w:r>
      <w:r>
        <w:rPr>
          <w:rFonts w:hint="eastAsia" w:ascii="宋体" w:hAnsi="宋体" w:eastAsia="宋体" w:cs="宋体"/>
          <w:color w:val="auto"/>
          <w:sz w:val="24"/>
          <w:szCs w:val="24"/>
          <w:lang w:eastAsia="zh-CN"/>
        </w:rPr>
        <w:t>发生</w:t>
      </w:r>
      <w:r>
        <w:rPr>
          <w:rFonts w:hint="eastAsia" w:ascii="宋体" w:hAnsi="宋体" w:eastAsia="宋体" w:cs="宋体"/>
          <w:color w:val="auto"/>
          <w:sz w:val="24"/>
          <w:szCs w:val="24"/>
        </w:rPr>
        <w:t>困人故障时为</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分钟，</w:t>
      </w:r>
      <w:r>
        <w:rPr>
          <w:rFonts w:hint="eastAsia" w:ascii="宋体" w:hAnsi="宋体" w:eastAsia="宋体" w:cs="宋体"/>
          <w:color w:val="000000"/>
          <w:sz w:val="24"/>
          <w:szCs w:val="24"/>
        </w:rPr>
        <w:t>且在</w:t>
      </w:r>
      <w:r>
        <w:rPr>
          <w:rFonts w:hint="eastAsia" w:ascii="宋体" w:hAnsi="宋体" w:eastAsia="宋体" w:cs="宋体"/>
          <w:color w:val="000000"/>
          <w:sz w:val="24"/>
          <w:szCs w:val="24"/>
          <w:lang w:val="en-US" w:eastAsia="zh-CN"/>
        </w:rPr>
        <w:t>接到招标人通知后</w:t>
      </w:r>
      <w:r>
        <w:rPr>
          <w:rFonts w:hint="eastAsia" w:ascii="宋体" w:hAnsi="宋体" w:eastAsia="宋体" w:cs="宋体"/>
          <w:color w:val="000000"/>
          <w:sz w:val="24"/>
          <w:szCs w:val="24"/>
        </w:rPr>
        <w:t>4小时内解决问题，在广东省内设有零部件后备仓库；质保期满后，如</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要求，</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应继续负责维修服务，并给予价格优惠。</w:t>
      </w:r>
    </w:p>
    <w:p>
      <w:pPr>
        <w:keepNext w:val="0"/>
        <w:keepLines w:val="0"/>
        <w:pageBreakBefore w:val="0"/>
        <w:widowControl w:val="0"/>
        <w:numPr>
          <w:ilvl w:val="0"/>
          <w:numId w:val="27"/>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须提供主要零部件的生产厂家、品牌、规格、原产地证明、出厂检验报告。</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发现不符合要求的，</w:t>
      </w:r>
      <w:r>
        <w:rPr>
          <w:rFonts w:hint="eastAsia" w:ascii="宋体" w:hAnsi="宋体" w:eastAsia="宋体" w:cs="宋体"/>
          <w:color w:val="000000"/>
          <w:sz w:val="24"/>
          <w:szCs w:val="24"/>
          <w:lang w:val="en-US" w:eastAsia="zh-CN"/>
        </w:rPr>
        <w:t>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应无偿更换并负违约责任。</w:t>
      </w:r>
    </w:p>
    <w:p>
      <w:pPr>
        <w:keepNext w:val="0"/>
        <w:keepLines w:val="0"/>
        <w:pageBreakBefore w:val="0"/>
        <w:widowControl w:val="0"/>
        <w:numPr>
          <w:ilvl w:val="0"/>
          <w:numId w:val="27"/>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质保期间更换的零部件，该部分零部件应重新计算质保期。</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人员培训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中标人要对招标人技术人员、操作人员和维修人员进行现场培训。所有培训使用中文进行。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中标人派出的培训人员，应在所提供的产品上具有3年以上的维修经验。培训前，培训人员的简历连同培训计划要一并提交招标人批准。招标人认为培训人员不合适可要求更换。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中标人培训前应提供中文操作、维修手册。通过培训使招标人技术人员能够了解设备结构工作原理及工作性质，能排除一般故障。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中标人派出的现场培训指导人员的各项费用，已经包含在产品价格中，招标人不再提供。如需在工程所在会议室课堂培训时，招标人将免费提供会议室，但相应的计算机等设备则由中标人负责。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其他要求</w:t>
      </w:r>
    </w:p>
    <w:p>
      <w:pPr>
        <w:keepNext w:val="0"/>
        <w:keepLines w:val="0"/>
        <w:pageBreakBefore w:val="0"/>
        <w:widowControl w:val="0"/>
        <w:numPr>
          <w:ilvl w:val="0"/>
          <w:numId w:val="28"/>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电梯井道的永久照明安装工程，由中标</w:t>
      </w:r>
      <w:r>
        <w:rPr>
          <w:rFonts w:hint="eastAsia" w:ascii="宋体" w:hAnsi="宋体" w:eastAsia="宋体" w:cs="宋体"/>
          <w:color w:val="000000"/>
          <w:sz w:val="24"/>
          <w:szCs w:val="24"/>
          <w:lang w:eastAsia="zh-CN"/>
        </w:rPr>
        <w:t>人</w:t>
      </w:r>
      <w:r>
        <w:rPr>
          <w:rFonts w:hint="eastAsia" w:ascii="宋体" w:hAnsi="宋体" w:eastAsia="宋体" w:cs="宋体"/>
          <w:color w:val="000000"/>
          <w:sz w:val="24"/>
          <w:szCs w:val="24"/>
        </w:rPr>
        <w:t>全部负责，费用含在投标总价内，井道状况参见图纸及现场。</w:t>
      </w:r>
    </w:p>
    <w:p>
      <w:pPr>
        <w:keepNext w:val="0"/>
        <w:keepLines w:val="0"/>
        <w:pageBreakBefore w:val="0"/>
        <w:widowControl w:val="0"/>
        <w:numPr>
          <w:ilvl w:val="0"/>
          <w:numId w:val="28"/>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000000"/>
          <w:sz w:val="24"/>
          <w:szCs w:val="24"/>
        </w:rPr>
        <w:t>投标人可根据采购人使用要求、井道尺寸及</w:t>
      </w:r>
      <w:r>
        <w:rPr>
          <w:rFonts w:hint="eastAsia" w:ascii="宋体" w:hAnsi="宋体" w:eastAsia="宋体" w:cs="宋体"/>
          <w:color w:val="auto"/>
          <w:sz w:val="24"/>
          <w:szCs w:val="24"/>
        </w:rPr>
        <w:t>其它要求，选择与招标电梯相对应的型号进行投标，并列明该型号响应的技术参数。</w:t>
      </w:r>
    </w:p>
    <w:p>
      <w:pPr>
        <w:keepNext w:val="0"/>
        <w:keepLines w:val="0"/>
        <w:pageBreakBefore w:val="0"/>
        <w:widowControl w:val="0"/>
        <w:numPr>
          <w:ilvl w:val="0"/>
          <w:numId w:val="28"/>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投标人提供的电梯产品必须是该品牌的最先进的产品，已大批量生产并经广泛使用考验，投标人须列明产品的型号、产地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品牌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生产厂家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规格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出厂检验报告。</w:t>
      </w:r>
    </w:p>
    <w:p>
      <w:pPr>
        <w:keepNext w:val="0"/>
        <w:keepLines w:val="0"/>
        <w:pageBreakBefore w:val="0"/>
        <w:widowControl w:val="0"/>
        <w:numPr>
          <w:ilvl w:val="0"/>
          <w:numId w:val="28"/>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投标人必须提供所投标电梯的鉴定</w:t>
      </w:r>
      <w:r>
        <w:rPr>
          <w:rFonts w:hint="eastAsia" w:ascii="宋体" w:hAnsi="宋体" w:eastAsia="宋体" w:cs="宋体"/>
          <w:color w:val="auto"/>
          <w:sz w:val="24"/>
          <w:szCs w:val="24"/>
          <w:lang w:eastAsia="zh-CN"/>
        </w:rPr>
        <w:t>检验报告</w:t>
      </w:r>
      <w:r>
        <w:rPr>
          <w:rFonts w:hint="eastAsia" w:ascii="宋体" w:hAnsi="宋体" w:eastAsia="宋体" w:cs="宋体"/>
          <w:color w:val="auto"/>
          <w:sz w:val="24"/>
          <w:szCs w:val="24"/>
        </w:rPr>
        <w:t>(如整梯</w:t>
      </w:r>
      <w:r>
        <w:rPr>
          <w:rFonts w:hint="eastAsia" w:ascii="宋体" w:hAnsi="宋体" w:eastAsia="宋体" w:cs="宋体"/>
          <w:color w:val="auto"/>
          <w:sz w:val="24"/>
          <w:szCs w:val="24"/>
          <w:lang w:eastAsia="zh-CN"/>
        </w:rPr>
        <w:t>检验报告</w:t>
      </w:r>
      <w:r>
        <w:rPr>
          <w:rFonts w:hint="eastAsia" w:ascii="宋体" w:hAnsi="宋体" w:eastAsia="宋体" w:cs="宋体"/>
          <w:color w:val="auto"/>
          <w:sz w:val="24"/>
          <w:szCs w:val="24"/>
        </w:rPr>
        <w:t>、限速器、安全钳的鉴定</w:t>
      </w:r>
      <w:r>
        <w:rPr>
          <w:rFonts w:hint="eastAsia" w:ascii="宋体" w:hAnsi="宋体" w:eastAsia="宋体" w:cs="宋体"/>
          <w:color w:val="auto"/>
          <w:sz w:val="24"/>
          <w:szCs w:val="24"/>
          <w:lang w:eastAsia="zh-CN"/>
        </w:rPr>
        <w:t>检验报告</w:t>
      </w:r>
      <w:r>
        <w:rPr>
          <w:rFonts w:hint="eastAsia" w:ascii="宋体" w:hAnsi="宋体" w:eastAsia="宋体" w:cs="宋体"/>
          <w:color w:val="auto"/>
          <w:sz w:val="24"/>
          <w:szCs w:val="24"/>
        </w:rPr>
        <w:t>、门机系统的鉴定</w:t>
      </w:r>
      <w:r>
        <w:rPr>
          <w:rFonts w:hint="eastAsia" w:ascii="宋体" w:hAnsi="宋体" w:eastAsia="宋体" w:cs="宋体"/>
          <w:color w:val="auto"/>
          <w:sz w:val="24"/>
          <w:szCs w:val="24"/>
          <w:lang w:eastAsia="zh-CN"/>
        </w:rPr>
        <w:t>检验报告</w:t>
      </w:r>
      <w:r>
        <w:rPr>
          <w:rFonts w:hint="eastAsia" w:ascii="宋体" w:hAnsi="宋体" w:eastAsia="宋体" w:cs="宋体"/>
          <w:color w:val="auto"/>
          <w:sz w:val="24"/>
          <w:szCs w:val="24"/>
        </w:rPr>
        <w:t>、缓冲器的鉴定</w:t>
      </w:r>
      <w:r>
        <w:rPr>
          <w:rFonts w:hint="eastAsia" w:ascii="宋体" w:hAnsi="宋体" w:eastAsia="宋体" w:cs="宋体"/>
          <w:color w:val="auto"/>
          <w:sz w:val="24"/>
          <w:szCs w:val="24"/>
          <w:lang w:eastAsia="zh-CN"/>
        </w:rPr>
        <w:t>检验报告</w:t>
      </w:r>
      <w:r>
        <w:rPr>
          <w:rFonts w:hint="eastAsia" w:ascii="宋体" w:hAnsi="宋体" w:eastAsia="宋体" w:cs="宋体"/>
          <w:color w:val="auto"/>
          <w:sz w:val="24"/>
          <w:szCs w:val="24"/>
        </w:rPr>
        <w:t>等)。</w:t>
      </w:r>
    </w:p>
    <w:p>
      <w:pPr>
        <w:keepNext w:val="0"/>
        <w:keepLines w:val="0"/>
        <w:pageBreakBefore w:val="0"/>
        <w:widowControl w:val="0"/>
        <w:numPr>
          <w:ilvl w:val="0"/>
          <w:numId w:val="28"/>
        </w:numPr>
        <w:tabs>
          <w:tab w:val="left" w:pos="540"/>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投标人除提供本次要求的电梯功能配置外，可根据</w:t>
      </w:r>
      <w:r>
        <w:rPr>
          <w:rFonts w:hint="eastAsia" w:ascii="宋体" w:hAnsi="宋体" w:eastAsia="宋体" w:cs="宋体"/>
          <w:color w:val="auto"/>
          <w:sz w:val="24"/>
          <w:szCs w:val="24"/>
          <w:lang w:val="en-US" w:eastAsia="zh-CN"/>
        </w:rPr>
        <w:t>招标人</w:t>
      </w:r>
      <w:r>
        <w:rPr>
          <w:rFonts w:hint="eastAsia" w:ascii="宋体" w:hAnsi="宋体" w:eastAsia="宋体" w:cs="宋体"/>
          <w:color w:val="auto"/>
          <w:sz w:val="24"/>
          <w:szCs w:val="24"/>
        </w:rPr>
        <w:t>的电梯技术参数表需要另外推荐可选择的电梯功能配置。</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color w:val="auto"/>
          <w:kern w:val="44"/>
          <w:sz w:val="24"/>
          <w:szCs w:val="24"/>
          <w:lang w:val="en-US" w:eastAsia="zh-CN"/>
        </w:rPr>
      </w:pPr>
      <w:r>
        <w:rPr>
          <w:rFonts w:hint="eastAsia" w:ascii="宋体" w:hAnsi="宋体" w:eastAsia="宋体" w:cs="宋体"/>
          <w:b/>
          <w:color w:val="auto"/>
          <w:kern w:val="44"/>
          <w:sz w:val="24"/>
          <w:szCs w:val="24"/>
          <w:lang w:val="en-US" w:eastAsia="zh-CN"/>
        </w:rPr>
        <w:t>付款方式</w:t>
      </w:r>
    </w:p>
    <w:p>
      <w:pPr>
        <w:pStyle w:val="2"/>
        <w:ind w:firstLine="480" w:firstLineChars="200"/>
        <w:rPr>
          <w:rFonts w:hint="eastAsia"/>
          <w:color w:val="auto"/>
          <w:lang w:val="en-US" w:eastAsia="zh-CN"/>
        </w:rPr>
      </w:pPr>
      <w:r>
        <w:rPr>
          <w:rFonts w:hint="eastAsia" w:cs="宋体"/>
          <w:color w:val="auto"/>
          <w:sz w:val="24"/>
          <w:szCs w:val="24"/>
          <w:lang w:val="en-US" w:eastAsia="zh-CN"/>
        </w:rPr>
        <w:t>1.</w:t>
      </w:r>
      <w:r>
        <w:rPr>
          <w:rFonts w:hint="eastAsia" w:eastAsia="宋体" w:cs="宋体"/>
          <w:color w:val="auto"/>
          <w:sz w:val="24"/>
          <w:szCs w:val="24"/>
          <w:lang w:val="en-US" w:eastAsia="zh-CN"/>
        </w:rPr>
        <w:t>本项目费用</w:t>
      </w:r>
      <w:r>
        <w:rPr>
          <w:rFonts w:hint="eastAsia" w:ascii="宋体" w:hAnsi="宋体" w:eastAsia="宋体" w:cs="宋体"/>
          <w:color w:val="auto"/>
          <w:sz w:val="24"/>
          <w:szCs w:val="24"/>
        </w:rPr>
        <w:t>按总价分期付款</w:t>
      </w:r>
      <w:r>
        <w:rPr>
          <w:rFonts w:hint="eastAsia" w:eastAsia="宋体" w:cs="宋体"/>
          <w:color w:val="auto"/>
          <w:sz w:val="24"/>
          <w:szCs w:val="24"/>
          <w:lang w:eastAsia="zh-CN"/>
        </w:rPr>
        <w:t>。</w:t>
      </w:r>
    </w:p>
    <w:p>
      <w:pPr>
        <w:pStyle w:val="125"/>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eastAsia="宋体" w:cs="宋体"/>
          <w:color w:val="auto"/>
          <w:sz w:val="24"/>
          <w:szCs w:val="24"/>
          <w:lang w:val="en-US" w:eastAsia="zh-CN"/>
        </w:rPr>
        <w:t>2</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kern w:val="0"/>
          <w:sz w:val="24"/>
          <w:szCs w:val="24"/>
          <w:lang w:val="en-US" w:eastAsia="zh-CN" w:bidi="ar-SA"/>
        </w:rPr>
        <w:t>本项目经双方签字并加盖公章后即生效。合同签订之日起十个工作日内招标人支付</w:t>
      </w:r>
      <w:r>
        <w:rPr>
          <w:rFonts w:hint="eastAsia" w:ascii="宋体" w:hAnsi="宋体" w:eastAsia="宋体" w:cs="宋体"/>
          <w:color w:val="auto"/>
          <w:sz w:val="24"/>
          <w:szCs w:val="24"/>
        </w:rPr>
        <w:t>本合同</w:t>
      </w:r>
      <w:r>
        <w:rPr>
          <w:rFonts w:hint="eastAsia" w:ascii="宋体" w:hAnsi="宋体" w:eastAsia="宋体" w:cs="宋体"/>
          <w:color w:val="auto"/>
          <w:sz w:val="24"/>
          <w:szCs w:val="24"/>
          <w:lang w:eastAsia="zh-CN"/>
        </w:rPr>
        <w:t>总金额</w:t>
      </w:r>
      <w:r>
        <w:rPr>
          <w:rFonts w:hint="eastAsia" w:ascii="宋体" w:hAnsi="宋体" w:eastAsia="宋体" w:cs="宋体"/>
          <w:color w:val="auto"/>
          <w:kern w:val="0"/>
          <w:sz w:val="24"/>
          <w:szCs w:val="24"/>
          <w:lang w:val="en-US" w:eastAsia="zh-CN" w:bidi="ar-SA"/>
        </w:rPr>
        <w:t>的</w:t>
      </w:r>
      <w:r>
        <w:rPr>
          <w:rFonts w:hint="eastAsia" w:ascii="宋体" w:hAnsi="宋体" w:eastAsia="宋体" w:cs="宋体"/>
          <w:color w:val="auto"/>
          <w:kern w:val="0"/>
          <w:sz w:val="24"/>
          <w:szCs w:val="24"/>
          <w:u w:val="none"/>
          <w:lang w:val="en-US" w:eastAsia="zh-CN" w:bidi="ar-SA"/>
        </w:rPr>
        <w:t>30</w:t>
      </w:r>
      <w:r>
        <w:rPr>
          <w:rFonts w:hint="eastAsia" w:ascii="宋体" w:hAnsi="宋体" w:eastAsia="宋体" w:cs="宋体"/>
          <w:color w:val="auto"/>
          <w:kern w:val="0"/>
          <w:sz w:val="24"/>
          <w:szCs w:val="24"/>
          <w:lang w:val="en-US" w:eastAsia="zh-CN" w:bidi="ar-SA"/>
        </w:rPr>
        <w:t>% 即人民币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元作为预付款给中标人。中标人收到招标人付款后，立即安排生产，并于</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天内生产完毕向</w:t>
      </w:r>
      <w:r>
        <w:rPr>
          <w:rFonts w:hint="eastAsia" w:eastAsia="宋体" w:cs="宋体"/>
          <w:color w:val="auto"/>
          <w:kern w:val="0"/>
          <w:sz w:val="24"/>
          <w:szCs w:val="24"/>
          <w:lang w:val="en-US" w:eastAsia="zh-CN" w:bidi="ar-SA"/>
        </w:rPr>
        <w:t>招标人</w:t>
      </w:r>
      <w:r>
        <w:rPr>
          <w:rFonts w:hint="eastAsia" w:ascii="宋体" w:hAnsi="宋体" w:eastAsia="宋体" w:cs="宋体"/>
          <w:color w:val="auto"/>
          <w:kern w:val="0"/>
          <w:sz w:val="24"/>
          <w:szCs w:val="24"/>
          <w:lang w:val="en-US" w:eastAsia="zh-CN" w:bidi="ar-SA"/>
        </w:rPr>
        <w:t>交付产品。</w:t>
      </w:r>
      <w:r>
        <w:rPr>
          <w:rFonts w:ascii="宋体" w:hAnsi="宋体" w:eastAsia="宋体" w:cs="宋体"/>
          <w:color w:val="auto"/>
          <w:sz w:val="24"/>
          <w:szCs w:val="24"/>
        </w:rPr>
        <w:t>在收到招标人交货通知后7天内安排发货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none"/>
          <w:lang w:val="en-US" w:eastAsia="zh-CN"/>
        </w:rPr>
        <w:t>四</w:t>
      </w:r>
      <w:r>
        <w:rPr>
          <w:rFonts w:hint="eastAsia" w:ascii="宋体" w:hAnsi="宋体" w:eastAsia="宋体" w:cs="宋体"/>
          <w:color w:val="auto"/>
          <w:sz w:val="24"/>
          <w:szCs w:val="24"/>
          <w:lang w:eastAsia="zh-CN"/>
        </w:rPr>
        <w:t>台电梯共分</w:t>
      </w:r>
      <w:r>
        <w:rPr>
          <w:rFonts w:hint="eastAsia" w:ascii="宋体" w:hAnsi="宋体" w:eastAsia="宋体" w:cs="宋体"/>
          <w:color w:val="auto"/>
          <w:sz w:val="24"/>
          <w:szCs w:val="24"/>
          <w:u w:val="none"/>
          <w:lang w:val="en-US" w:eastAsia="zh-CN"/>
        </w:rPr>
        <w:t>四</w:t>
      </w:r>
      <w:r>
        <w:rPr>
          <w:rFonts w:hint="eastAsia" w:ascii="宋体" w:hAnsi="宋体" w:eastAsia="宋体" w:cs="宋体"/>
          <w:color w:val="auto"/>
          <w:sz w:val="24"/>
          <w:szCs w:val="24"/>
          <w:lang w:eastAsia="zh-CN"/>
        </w:rPr>
        <w:t>批次发货，招标人</w:t>
      </w:r>
      <w:r>
        <w:rPr>
          <w:rFonts w:hint="eastAsia" w:ascii="宋体" w:hAnsi="宋体" w:eastAsia="宋体" w:cs="宋体"/>
          <w:color w:val="auto"/>
          <w:sz w:val="24"/>
          <w:szCs w:val="24"/>
        </w:rPr>
        <w:t>应在收到</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发货通知两天内安排好现场设备存放地点。</w:t>
      </w:r>
    </w:p>
    <w:p>
      <w:pPr>
        <w:pStyle w:val="125"/>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在第二台</w:t>
      </w:r>
      <w:r>
        <w:rPr>
          <w:rFonts w:hint="eastAsia" w:ascii="宋体" w:hAnsi="宋体" w:eastAsia="宋体" w:cs="宋体"/>
          <w:color w:val="auto"/>
          <w:sz w:val="24"/>
          <w:szCs w:val="24"/>
        </w:rPr>
        <w:t>电梯取得政府部门颁发</w:t>
      </w:r>
      <w:r>
        <w:rPr>
          <w:rFonts w:hint="eastAsia" w:eastAsia="宋体" w:cs="宋体"/>
          <w:color w:val="auto"/>
          <w:sz w:val="24"/>
          <w:szCs w:val="24"/>
          <w:lang w:val="en-US" w:eastAsia="zh-CN"/>
        </w:rPr>
        <w:t>的</w:t>
      </w:r>
      <w:r>
        <w:rPr>
          <w:rFonts w:hint="eastAsia" w:ascii="宋体" w:hAnsi="宋体" w:eastAsia="宋体" w:cs="宋体"/>
          <w:color w:val="auto"/>
          <w:sz w:val="24"/>
          <w:szCs w:val="24"/>
        </w:rPr>
        <w:t>安全使用证后</w:t>
      </w:r>
      <w:r>
        <w:rPr>
          <w:rFonts w:hint="eastAsia" w:ascii="宋体" w:hAnsi="宋体" w:eastAsia="宋体" w:cs="宋体"/>
          <w:color w:val="auto"/>
          <w:sz w:val="24"/>
          <w:szCs w:val="24"/>
          <w:lang w:eastAsia="zh-CN"/>
        </w:rPr>
        <w:t>，招标人</w:t>
      </w:r>
      <w:r>
        <w:rPr>
          <w:rStyle w:val="127"/>
          <w:rFonts w:hint="eastAsia" w:ascii="宋体" w:hAnsi="宋体" w:eastAsia="宋体" w:cs="宋体"/>
          <w:color w:val="auto"/>
          <w:sz w:val="24"/>
          <w:szCs w:val="24"/>
        </w:rPr>
        <w:t>累计支付</w:t>
      </w:r>
      <w:r>
        <w:rPr>
          <w:rStyle w:val="127"/>
          <w:rFonts w:hint="eastAsia" w:ascii="宋体" w:hAnsi="宋体" w:eastAsia="宋体" w:cs="宋体"/>
          <w:color w:val="auto"/>
          <w:sz w:val="24"/>
          <w:szCs w:val="24"/>
          <w:lang w:eastAsia="zh-CN"/>
        </w:rPr>
        <w:t>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总金额的</w:t>
      </w:r>
      <w:r>
        <w:rPr>
          <w:rFonts w:hint="eastAsia" w:ascii="宋体" w:hAnsi="宋体" w:eastAsia="宋体" w:cs="宋体"/>
          <w:color w:val="auto"/>
          <w:sz w:val="24"/>
          <w:szCs w:val="24"/>
          <w:u w:val="none"/>
          <w:lang w:val="en-US" w:eastAsia="zh-CN"/>
        </w:rPr>
        <w:t>60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款项</w:t>
      </w:r>
      <w:r>
        <w:rPr>
          <w:rStyle w:val="127"/>
          <w:rFonts w:hint="eastAsia" w:ascii="宋体" w:hAnsi="宋体" w:eastAsia="宋体" w:cs="宋体"/>
          <w:color w:val="auto"/>
          <w:sz w:val="24"/>
          <w:szCs w:val="24"/>
        </w:rPr>
        <w:t>（含预付款）</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即</w:t>
      </w:r>
      <w:r>
        <w:rPr>
          <w:rFonts w:hint="eastAsia" w:ascii="宋体" w:hAnsi="宋体" w:eastAsia="宋体" w:cs="宋体"/>
          <w:color w:val="auto"/>
          <w:kern w:val="0"/>
          <w:sz w:val="24"/>
          <w:szCs w:val="24"/>
          <w:lang w:val="en-US" w:eastAsia="zh-CN" w:bidi="ar-SA"/>
        </w:rPr>
        <w:t>人民币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元整</w:t>
      </w:r>
      <w:r>
        <w:rPr>
          <w:rFonts w:hint="eastAsia" w:ascii="宋体" w:hAnsi="宋体" w:eastAsia="宋体" w:cs="宋体"/>
          <w:color w:val="auto"/>
          <w:sz w:val="24"/>
          <w:szCs w:val="24"/>
        </w:rPr>
        <w:t>。</w:t>
      </w:r>
    </w:p>
    <w:p>
      <w:pPr>
        <w:pStyle w:val="125"/>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eastAsia="宋体" w:cs="宋体"/>
          <w:color w:val="auto"/>
          <w:sz w:val="24"/>
          <w:szCs w:val="24"/>
          <w:lang w:val="en-US" w:eastAsia="zh-CN"/>
        </w:rPr>
        <w:t>4</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在第四台</w:t>
      </w:r>
      <w:r>
        <w:rPr>
          <w:rFonts w:hint="eastAsia" w:ascii="宋体" w:hAnsi="宋体" w:eastAsia="宋体" w:cs="宋体"/>
          <w:color w:val="auto"/>
          <w:sz w:val="24"/>
          <w:szCs w:val="24"/>
        </w:rPr>
        <w:t>电梯取得政府部门颁发</w:t>
      </w:r>
      <w:r>
        <w:rPr>
          <w:rFonts w:hint="eastAsia" w:eastAsia="宋体" w:cs="宋体"/>
          <w:color w:val="auto"/>
          <w:sz w:val="24"/>
          <w:szCs w:val="24"/>
          <w:lang w:val="en-US" w:eastAsia="zh-CN"/>
        </w:rPr>
        <w:t>的</w:t>
      </w:r>
      <w:r>
        <w:rPr>
          <w:rFonts w:hint="eastAsia" w:ascii="宋体" w:hAnsi="宋体" w:eastAsia="宋体" w:cs="宋体"/>
          <w:color w:val="auto"/>
          <w:sz w:val="24"/>
          <w:szCs w:val="24"/>
        </w:rPr>
        <w:t>安全使用证后10个工作日</w:t>
      </w:r>
      <w:r>
        <w:rPr>
          <w:rFonts w:hint="eastAsia" w:ascii="宋体" w:hAnsi="宋体" w:eastAsia="宋体" w:cs="宋体"/>
          <w:color w:val="auto"/>
          <w:sz w:val="24"/>
          <w:szCs w:val="24"/>
          <w:lang w:eastAsia="zh-CN"/>
        </w:rPr>
        <w:t>内，招标人</w:t>
      </w:r>
      <w:r>
        <w:rPr>
          <w:rStyle w:val="127"/>
          <w:rFonts w:hint="eastAsia" w:ascii="宋体" w:hAnsi="宋体" w:eastAsia="宋体" w:cs="宋体"/>
          <w:color w:val="auto"/>
          <w:sz w:val="24"/>
          <w:szCs w:val="24"/>
        </w:rPr>
        <w:t>累计</w:t>
      </w:r>
      <w:r>
        <w:rPr>
          <w:rFonts w:hint="eastAsia" w:ascii="宋体" w:hAnsi="宋体" w:eastAsia="宋体" w:cs="宋体"/>
          <w:color w:val="auto"/>
          <w:sz w:val="24"/>
          <w:szCs w:val="24"/>
          <w:lang w:eastAsia="zh-CN"/>
        </w:rPr>
        <w:t>支付</w:t>
      </w: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至</w:t>
      </w:r>
      <w:r>
        <w:rPr>
          <w:rFonts w:hint="eastAsia" w:ascii="宋体" w:hAnsi="宋体" w:eastAsia="宋体" w:cs="宋体"/>
          <w:color w:val="auto"/>
          <w:sz w:val="24"/>
          <w:szCs w:val="24"/>
        </w:rPr>
        <w:t>合同</w:t>
      </w:r>
      <w:r>
        <w:rPr>
          <w:rFonts w:hint="eastAsia" w:ascii="宋体" w:hAnsi="宋体" w:eastAsia="宋体" w:cs="宋体"/>
          <w:color w:val="auto"/>
          <w:sz w:val="24"/>
          <w:szCs w:val="24"/>
          <w:lang w:eastAsia="zh-CN"/>
        </w:rPr>
        <w:t>总金额的</w:t>
      </w:r>
      <w:r>
        <w:rPr>
          <w:rFonts w:hint="eastAsia" w:ascii="宋体" w:hAnsi="宋体" w:eastAsia="宋体" w:cs="宋体"/>
          <w:color w:val="auto"/>
          <w:sz w:val="24"/>
          <w:szCs w:val="24"/>
          <w:lang w:val="en-US" w:eastAsia="zh-CN"/>
        </w:rPr>
        <w:t>97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款项</w:t>
      </w:r>
      <w:r>
        <w:rPr>
          <w:rStyle w:val="127"/>
          <w:rFonts w:hint="eastAsia" w:ascii="宋体" w:hAnsi="宋体" w:eastAsia="宋体" w:cs="宋体"/>
          <w:color w:val="auto"/>
          <w:sz w:val="24"/>
          <w:szCs w:val="24"/>
        </w:rPr>
        <w:t>（含预付款）</w:t>
      </w:r>
      <w:r>
        <w:rPr>
          <w:rFonts w:hint="eastAsia" w:ascii="宋体" w:hAnsi="宋体" w:eastAsia="宋体" w:cs="宋体"/>
          <w:color w:val="auto"/>
          <w:sz w:val="24"/>
          <w:szCs w:val="24"/>
        </w:rPr>
        <w:t>给</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即</w:t>
      </w:r>
      <w:r>
        <w:rPr>
          <w:rFonts w:hint="eastAsia" w:ascii="宋体" w:hAnsi="宋体" w:eastAsia="宋体" w:cs="宋体"/>
          <w:color w:val="auto"/>
          <w:sz w:val="24"/>
          <w:szCs w:val="24"/>
          <w:lang w:eastAsia="zh-CN"/>
        </w:rPr>
        <w:t>人</w:t>
      </w:r>
      <w:r>
        <w:rPr>
          <w:rFonts w:hint="eastAsia" w:ascii="宋体" w:hAnsi="宋体" w:eastAsia="宋体" w:cs="宋体"/>
          <w:color w:val="auto"/>
          <w:kern w:val="0"/>
          <w:sz w:val="24"/>
          <w:szCs w:val="24"/>
          <w:lang w:val="en-US" w:eastAsia="zh-CN" w:bidi="ar-SA"/>
        </w:rPr>
        <w:t>民币</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pPr>
        <w:pStyle w:val="125"/>
        <w:keepNext w:val="0"/>
        <w:keepLines w:val="0"/>
        <w:pageBreakBefore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元整</w:t>
      </w:r>
      <w:r>
        <w:rPr>
          <w:rFonts w:hint="eastAsia" w:ascii="宋体" w:hAnsi="宋体" w:eastAsia="宋体" w:cs="宋体"/>
          <w:color w:val="auto"/>
          <w:sz w:val="24"/>
          <w:szCs w:val="24"/>
        </w:rPr>
        <w:t>。</w:t>
      </w:r>
    </w:p>
    <w:p>
      <w:pPr>
        <w:pStyle w:val="12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5</w:t>
      </w:r>
      <w:r>
        <w:rPr>
          <w:rFonts w:hint="eastAsia" w:ascii="宋体" w:hAnsi="宋体" w:eastAsia="宋体" w:cs="宋体"/>
          <w:color w:val="auto"/>
          <w:sz w:val="24"/>
          <w:szCs w:val="24"/>
          <w:lang w:eastAsia="zh-CN"/>
        </w:rPr>
        <w:t>余下款作为质保金在</w:t>
      </w:r>
      <w:r>
        <w:rPr>
          <w:rFonts w:hint="eastAsia" w:ascii="宋体" w:hAnsi="宋体" w:eastAsia="宋体" w:cs="宋体"/>
          <w:color w:val="auto"/>
          <w:sz w:val="24"/>
          <w:szCs w:val="24"/>
          <w:lang w:val="en-US" w:eastAsia="zh-CN"/>
        </w:rPr>
        <w:t>第四台电梯在</w:t>
      </w:r>
      <w:r>
        <w:rPr>
          <w:rFonts w:hint="eastAsia" w:ascii="宋体" w:hAnsi="宋体" w:eastAsia="宋体" w:cs="宋体"/>
          <w:color w:val="auto"/>
          <w:sz w:val="24"/>
          <w:szCs w:val="24"/>
          <w:lang w:eastAsia="zh-CN"/>
        </w:rPr>
        <w:t>政府部门颁发安全使用证合格之日起满一年后</w:t>
      </w:r>
      <w:r>
        <w:rPr>
          <w:rFonts w:hint="eastAsia" w:ascii="宋体" w:hAnsi="宋体" w:eastAsia="宋体" w:cs="宋体"/>
          <w:color w:val="auto"/>
          <w:sz w:val="24"/>
          <w:szCs w:val="24"/>
          <w:lang w:val="en-US" w:eastAsia="zh-CN"/>
        </w:rPr>
        <w:t>10个工作日内</w:t>
      </w:r>
      <w:r>
        <w:rPr>
          <w:rFonts w:hint="eastAsia" w:ascii="宋体" w:hAnsi="宋体" w:eastAsia="宋体" w:cs="宋体"/>
          <w:color w:val="auto"/>
          <w:sz w:val="24"/>
          <w:szCs w:val="24"/>
          <w:lang w:eastAsia="zh-CN"/>
        </w:rPr>
        <w:t>招标人向中标人无息支付，即</w:t>
      </w:r>
      <w:r>
        <w:rPr>
          <w:rFonts w:hint="eastAsia" w:ascii="宋体" w:hAnsi="宋体" w:eastAsia="宋体" w:cs="宋体"/>
          <w:color w:val="auto"/>
          <w:kern w:val="0"/>
          <w:sz w:val="24"/>
          <w:szCs w:val="24"/>
          <w:lang w:val="en-US" w:eastAsia="zh-CN" w:bidi="ar-SA"/>
        </w:rPr>
        <w:t>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元，大写：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元整。</w:t>
      </w:r>
    </w:p>
    <w:p>
      <w:pPr>
        <w:pStyle w:val="12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eastAsia="宋体" w:cs="宋体"/>
          <w:color w:val="auto"/>
          <w:sz w:val="24"/>
          <w:szCs w:val="24"/>
          <w:lang w:val="en-US" w:eastAsia="zh-CN"/>
        </w:rPr>
        <w:t>6</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中标人收到招标人</w:t>
      </w:r>
      <w:r>
        <w:rPr>
          <w:rFonts w:hint="eastAsia" w:ascii="宋体" w:hAnsi="宋体" w:eastAsia="宋体" w:cs="宋体"/>
          <w:color w:val="auto"/>
          <w:kern w:val="0"/>
          <w:sz w:val="24"/>
          <w:szCs w:val="24"/>
          <w:lang w:val="en-US" w:eastAsia="zh-CN" w:bidi="ar-SA"/>
        </w:rPr>
        <w:t>预付款</w:t>
      </w:r>
      <w:r>
        <w:rPr>
          <w:rFonts w:hint="eastAsia" w:ascii="宋体" w:hAnsi="宋体" w:eastAsia="宋体" w:cs="宋体"/>
          <w:color w:val="auto"/>
          <w:sz w:val="24"/>
          <w:szCs w:val="24"/>
          <w:lang w:eastAsia="zh-CN"/>
        </w:rPr>
        <w:t>时，提供相应的为期</w:t>
      </w: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lang w:eastAsia="zh-CN"/>
        </w:rPr>
        <w:t>个月的银</w:t>
      </w:r>
      <w:r>
        <w:rPr>
          <w:rFonts w:hint="eastAsia" w:ascii="宋体" w:hAnsi="宋体" w:eastAsia="宋体" w:cs="宋体"/>
          <w:color w:val="auto"/>
          <w:sz w:val="24"/>
          <w:szCs w:val="24"/>
          <w:highlight w:val="none"/>
          <w:lang w:eastAsia="zh-CN"/>
        </w:rPr>
        <w:t>行履约保函</w:t>
      </w:r>
      <w:r>
        <w:rPr>
          <w:rFonts w:hint="eastAsia" w:eastAsia="宋体" w:cs="宋体"/>
          <w:color w:val="auto"/>
          <w:sz w:val="24"/>
          <w:szCs w:val="24"/>
          <w:highlight w:val="none"/>
          <w:lang w:eastAsia="zh-CN"/>
        </w:rPr>
        <w:t>，保函金额按中标价10%计算</w:t>
      </w:r>
      <w:r>
        <w:rPr>
          <w:rFonts w:hint="eastAsia" w:ascii="宋体" w:hAnsi="宋体" w:eastAsia="宋体" w:cs="宋体"/>
          <w:color w:val="auto"/>
          <w:sz w:val="24"/>
          <w:szCs w:val="24"/>
          <w:highlight w:val="none"/>
          <w:lang w:eastAsia="zh-CN"/>
        </w:rPr>
        <w:t>。</w:t>
      </w:r>
    </w:p>
    <w:p>
      <w:pPr>
        <w:pStyle w:val="12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中标人应按招标人要求</w:t>
      </w:r>
      <w:r>
        <w:rPr>
          <w:rFonts w:ascii="宋体" w:hAnsi="宋体" w:eastAsia="宋体" w:cs="宋体"/>
          <w:color w:val="auto"/>
          <w:sz w:val="24"/>
          <w:szCs w:val="24"/>
          <w:highlight w:val="none"/>
        </w:rPr>
        <w:t>在招标人支付每期货款前向招标人</w:t>
      </w:r>
      <w:r>
        <w:rPr>
          <w:rFonts w:hint="eastAsia" w:ascii="宋体" w:hAnsi="宋体" w:eastAsia="宋体" w:cs="宋体"/>
          <w:color w:val="auto"/>
          <w:sz w:val="24"/>
          <w:szCs w:val="24"/>
          <w:highlight w:val="none"/>
          <w:lang w:eastAsia="zh-CN"/>
        </w:rPr>
        <w:t>提供增值税</w:t>
      </w:r>
      <w:r>
        <w:rPr>
          <w:rFonts w:hint="eastAsia" w:ascii="宋体" w:hAnsi="宋体" w:eastAsia="宋体" w:cs="宋体"/>
          <w:color w:val="auto"/>
          <w:sz w:val="24"/>
          <w:szCs w:val="24"/>
          <w:lang w:eastAsia="zh-CN"/>
        </w:rPr>
        <w:t>专用发票，</w:t>
      </w:r>
      <w:r>
        <w:rPr>
          <w:rFonts w:ascii="宋体" w:hAnsi="宋体" w:eastAsia="宋体" w:cs="宋体"/>
          <w:color w:val="auto"/>
          <w:sz w:val="24"/>
          <w:szCs w:val="24"/>
        </w:rPr>
        <w:t>否则招标人付款期限相应顺延并且中标人应当继续按期履行合同。</w:t>
      </w:r>
      <w:r>
        <w:rPr>
          <w:rFonts w:hint="eastAsia" w:ascii="宋体" w:hAnsi="宋体" w:eastAsia="宋体" w:cs="宋体"/>
          <w:color w:val="auto"/>
          <w:sz w:val="24"/>
          <w:szCs w:val="24"/>
          <w:lang w:eastAsia="zh-CN"/>
        </w:rPr>
        <w:t>发票单位</w:t>
      </w:r>
      <w:r>
        <w:rPr>
          <w:rFonts w:hint="eastAsia" w:ascii="宋体" w:hAnsi="宋体" w:eastAsia="宋体" w:cs="宋体"/>
          <w:color w:val="auto"/>
          <w:sz w:val="24"/>
          <w:szCs w:val="24"/>
          <w:lang w:val="en-US" w:eastAsia="zh-CN"/>
        </w:rPr>
        <w:t>开票信息如下：</w:t>
      </w:r>
    </w:p>
    <w:p>
      <w:pPr>
        <w:pStyle w:val="125"/>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名称：南方日报社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纳税人识别号：124400006713825565</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开户行：中国建设银行广州市五羊新城支行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银行帐号：44001400905059318318</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电话：020-83000917</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地址：广东省广州市越秀区广州大道中289号</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44"/>
          <w:sz w:val="24"/>
          <w:szCs w:val="24"/>
          <w:lang w:val="en-US" w:eastAsia="zh-CN"/>
        </w:rPr>
      </w:pPr>
      <w:r>
        <w:rPr>
          <w:rFonts w:hint="eastAsia" w:ascii="宋体" w:hAnsi="宋体" w:eastAsia="宋体" w:cs="宋体"/>
          <w:b/>
          <w:color w:val="auto"/>
          <w:kern w:val="44"/>
          <w:sz w:val="24"/>
          <w:szCs w:val="24"/>
          <w:lang w:val="en-US" w:eastAsia="zh-CN"/>
        </w:rPr>
        <w:br w:type="page"/>
      </w:r>
    </w:p>
    <w:p>
      <w:pPr>
        <w:rPr>
          <w:rFonts w:hint="eastAsia" w:ascii="宋体" w:hAnsi="宋体" w:eastAsia="宋体" w:cs="宋体"/>
          <w:b/>
          <w:kern w:val="44"/>
          <w:sz w:val="24"/>
          <w:szCs w:val="24"/>
          <w:lang w:val="en-US" w:eastAsia="zh-CN"/>
        </w:rPr>
      </w:pPr>
      <w:r>
        <w:rPr>
          <w:rFonts w:hint="eastAsia" w:ascii="宋体" w:hAnsi="宋体" w:eastAsia="宋体" w:cs="宋体"/>
          <w:b/>
          <w:kern w:val="44"/>
          <w:sz w:val="24"/>
          <w:szCs w:val="24"/>
          <w:lang w:val="en-US" w:eastAsia="zh-CN"/>
        </w:rPr>
        <w:t>附件：1号电梯土建图</w:t>
      </w:r>
    </w:p>
    <w:p>
      <w:pPr>
        <w:rPr>
          <w:rFonts w:hint="eastAsia" w:ascii="Times New Roman" w:hAnsi="Times New Roman" w:eastAsia="宋体" w:cs="Times New Roman"/>
          <w:b/>
          <w:kern w:val="44"/>
          <w:sz w:val="28"/>
          <w:szCs w:val="28"/>
          <w:lang w:val="en-US" w:eastAsia="zh-CN"/>
        </w:rPr>
      </w:pPr>
      <w:r>
        <w:rPr>
          <w:rFonts w:hint="eastAsia" w:ascii="Times New Roman" w:hAnsi="Times New Roman" w:eastAsia="宋体" w:cs="Times New Roman"/>
          <w:b/>
          <w:kern w:val="44"/>
          <w:sz w:val="28"/>
          <w:szCs w:val="28"/>
          <w:lang w:val="en-US" w:eastAsia="zh-CN"/>
        </w:rPr>
        <w:drawing>
          <wp:inline distT="0" distB="0" distL="114300" distR="114300">
            <wp:extent cx="4939665" cy="8064500"/>
            <wp:effectExtent l="0" t="0" r="13335" b="12700"/>
            <wp:docPr id="5" name="图片 5" descr="附件5：1号电梯土建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件5：1号电梯土建图_00"/>
                    <pic:cNvPicPr>
                      <a:picLocks noChangeAspect="1"/>
                    </pic:cNvPicPr>
                  </pic:nvPicPr>
                  <pic:blipFill>
                    <a:blip r:embed="rId17"/>
                    <a:stretch>
                      <a:fillRect/>
                    </a:stretch>
                  </pic:blipFill>
                  <pic:spPr>
                    <a:xfrm>
                      <a:off x="0" y="0"/>
                      <a:ext cx="4939665" cy="8064500"/>
                    </a:xfrm>
                    <a:prstGeom prst="rect">
                      <a:avLst/>
                    </a:prstGeom>
                  </pic:spPr>
                </pic:pic>
              </a:graphicData>
            </a:graphic>
          </wp:inline>
        </w:drawing>
      </w:r>
    </w:p>
    <w:p>
      <w:pPr>
        <w:rPr>
          <w:rFonts w:ascii="Times New Roman" w:hAnsi="Times New Roman" w:eastAsia="宋体" w:cs="Times New Roman"/>
          <w:b/>
          <w:kern w:val="44"/>
          <w:sz w:val="28"/>
          <w:szCs w:val="28"/>
        </w:rPr>
      </w:pPr>
      <w:r>
        <w:rPr>
          <w:rFonts w:ascii="Times New Roman" w:hAnsi="Times New Roman" w:eastAsia="宋体" w:cs="Times New Roman"/>
          <w:b/>
          <w:kern w:val="44"/>
          <w:sz w:val="28"/>
          <w:szCs w:val="28"/>
        </w:rPr>
        <w:br w:type="page"/>
      </w:r>
    </w:p>
    <w:p>
      <w:pPr>
        <w:rPr>
          <w:rFonts w:hint="eastAsia" w:ascii="宋体" w:hAnsi="宋体" w:eastAsia="宋体" w:cs="宋体"/>
          <w:b/>
          <w:kern w:val="44"/>
          <w:sz w:val="24"/>
          <w:szCs w:val="24"/>
          <w:lang w:val="en-US" w:eastAsia="zh-CN"/>
        </w:rPr>
      </w:pPr>
      <w:r>
        <w:rPr>
          <w:rFonts w:hint="eastAsia" w:ascii="宋体" w:hAnsi="宋体" w:eastAsia="宋体" w:cs="宋体"/>
          <w:b/>
          <w:kern w:val="44"/>
          <w:sz w:val="24"/>
          <w:szCs w:val="24"/>
          <w:lang w:val="en-US" w:eastAsia="zh-CN"/>
        </w:rPr>
        <w:t>附件：2、3、6号电梯土建图</w:t>
      </w:r>
    </w:p>
    <w:p>
      <w:pPr>
        <w:rPr>
          <w:rFonts w:hint="eastAsia" w:ascii="Times New Roman" w:hAnsi="Times New Roman" w:eastAsia="宋体" w:cs="Times New Roman"/>
          <w:b/>
          <w:kern w:val="44"/>
          <w:sz w:val="28"/>
          <w:szCs w:val="28"/>
          <w:lang w:eastAsia="zh-CN"/>
        </w:rPr>
      </w:pPr>
      <w:r>
        <w:rPr>
          <w:rFonts w:hint="eastAsia" w:ascii="Times New Roman" w:hAnsi="Times New Roman" w:eastAsia="宋体" w:cs="Times New Roman"/>
          <w:b/>
          <w:kern w:val="44"/>
          <w:sz w:val="28"/>
          <w:szCs w:val="28"/>
          <w:lang w:eastAsia="zh-CN"/>
        </w:rPr>
        <w:drawing>
          <wp:inline distT="0" distB="0" distL="114300" distR="114300">
            <wp:extent cx="5272405" cy="8252460"/>
            <wp:effectExtent l="0" t="0" r="4445" b="15240"/>
            <wp:docPr id="6" name="图片 6" descr="附件6：2、3、6号电梯土建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件6：2、3、6号电梯土建图_00"/>
                    <pic:cNvPicPr>
                      <a:picLocks noChangeAspect="1"/>
                    </pic:cNvPicPr>
                  </pic:nvPicPr>
                  <pic:blipFill>
                    <a:blip r:embed="rId18"/>
                    <a:stretch>
                      <a:fillRect/>
                    </a:stretch>
                  </pic:blipFill>
                  <pic:spPr>
                    <a:xfrm>
                      <a:off x="0" y="0"/>
                      <a:ext cx="5272405" cy="8252460"/>
                    </a:xfrm>
                    <a:prstGeom prst="rect">
                      <a:avLst/>
                    </a:prstGeom>
                  </pic:spPr>
                </pic:pic>
              </a:graphicData>
            </a:graphic>
          </wp:inline>
        </w:drawing>
      </w:r>
    </w:p>
    <w:p>
      <w:pPr>
        <w:rPr>
          <w:rFonts w:ascii="Times New Roman" w:hAnsi="Times New Roman" w:eastAsia="宋体" w:cs="Times New Roman"/>
          <w:b/>
          <w:kern w:val="44"/>
          <w:sz w:val="28"/>
          <w:szCs w:val="28"/>
        </w:rPr>
      </w:pPr>
      <w:r>
        <w:rPr>
          <w:rFonts w:ascii="Times New Roman" w:hAnsi="Times New Roman" w:eastAsia="宋体" w:cs="Times New Roman"/>
          <w:b/>
          <w:kern w:val="44"/>
          <w:sz w:val="28"/>
          <w:szCs w:val="28"/>
        </w:rPr>
        <w:br w:type="page"/>
      </w:r>
    </w:p>
    <w:p>
      <w:pPr>
        <w:rPr>
          <w:rFonts w:hint="eastAsia" w:ascii="Times New Roman" w:hAnsi="Times New Roman" w:eastAsia="宋体" w:cs="Times New Roman"/>
          <w:b/>
          <w:kern w:val="44"/>
          <w:sz w:val="28"/>
          <w:szCs w:val="28"/>
          <w:lang w:eastAsia="zh-CN"/>
        </w:rPr>
      </w:pPr>
      <w:r>
        <w:rPr>
          <w:rFonts w:hint="eastAsia" w:ascii="Times New Roman" w:hAnsi="Times New Roman" w:eastAsia="宋体" w:cs="Times New Roman"/>
          <w:b/>
          <w:kern w:val="44"/>
          <w:sz w:val="28"/>
          <w:szCs w:val="28"/>
          <w:lang w:eastAsia="zh-CN"/>
        </w:rPr>
        <w:drawing>
          <wp:inline distT="0" distB="0" distL="114300" distR="114300">
            <wp:extent cx="5272405" cy="8560435"/>
            <wp:effectExtent l="0" t="0" r="4445" b="12065"/>
            <wp:docPr id="7" name="图片 7" descr="附件6：2、3、6号电梯土建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附件6：2、3、6号电梯土建图_01"/>
                    <pic:cNvPicPr>
                      <a:picLocks noChangeAspect="1"/>
                    </pic:cNvPicPr>
                  </pic:nvPicPr>
                  <pic:blipFill>
                    <a:blip r:embed="rId19"/>
                    <a:stretch>
                      <a:fillRect/>
                    </a:stretch>
                  </pic:blipFill>
                  <pic:spPr>
                    <a:xfrm>
                      <a:off x="0" y="0"/>
                      <a:ext cx="5272405" cy="8560435"/>
                    </a:xfrm>
                    <a:prstGeom prst="rect">
                      <a:avLst/>
                    </a:prstGeom>
                  </pic:spPr>
                </pic:pic>
              </a:graphicData>
            </a:graphic>
          </wp:inline>
        </w:drawing>
      </w:r>
    </w:p>
    <w:p>
      <w:pPr>
        <w:rPr>
          <w:rFonts w:ascii="Times New Roman" w:hAnsi="Times New Roman" w:eastAsia="宋体" w:cs="Times New Roman"/>
          <w:b/>
          <w:kern w:val="44"/>
          <w:sz w:val="28"/>
          <w:szCs w:val="28"/>
        </w:rPr>
      </w:pPr>
      <w:r>
        <w:rPr>
          <w:rFonts w:ascii="Times New Roman" w:hAnsi="Times New Roman" w:eastAsia="宋体" w:cs="Times New Roman"/>
          <w:b/>
          <w:kern w:val="44"/>
          <w:sz w:val="28"/>
          <w:szCs w:val="28"/>
        </w:rPr>
        <w:br w:type="page"/>
      </w:r>
    </w:p>
    <w:p>
      <w:pPr>
        <w:rPr>
          <w:rFonts w:hint="eastAsia" w:ascii="Times New Roman" w:hAnsi="Times New Roman" w:eastAsia="宋体" w:cs="Times New Roman"/>
          <w:b/>
          <w:kern w:val="44"/>
          <w:sz w:val="28"/>
          <w:szCs w:val="28"/>
          <w:lang w:eastAsia="zh-CN"/>
        </w:rPr>
      </w:pPr>
      <w:r>
        <w:rPr>
          <w:rFonts w:hint="eastAsia" w:ascii="Times New Roman" w:hAnsi="Times New Roman" w:eastAsia="宋体" w:cs="Times New Roman"/>
          <w:b/>
          <w:kern w:val="44"/>
          <w:sz w:val="28"/>
          <w:szCs w:val="28"/>
          <w:lang w:eastAsia="zh-CN"/>
        </w:rPr>
        <w:drawing>
          <wp:inline distT="0" distB="0" distL="114300" distR="114300">
            <wp:extent cx="5272405" cy="8334375"/>
            <wp:effectExtent l="0" t="0" r="4445" b="9525"/>
            <wp:docPr id="8" name="图片 8" descr="附件6：2、3、6号电梯土建图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附件6：2、3、6号电梯土建图_02"/>
                    <pic:cNvPicPr>
                      <a:picLocks noChangeAspect="1"/>
                    </pic:cNvPicPr>
                  </pic:nvPicPr>
                  <pic:blipFill>
                    <a:blip r:embed="rId20"/>
                    <a:stretch>
                      <a:fillRect/>
                    </a:stretch>
                  </pic:blipFill>
                  <pic:spPr>
                    <a:xfrm>
                      <a:off x="0" y="0"/>
                      <a:ext cx="5272405" cy="8334375"/>
                    </a:xfrm>
                    <a:prstGeom prst="rect">
                      <a:avLst/>
                    </a:prstGeom>
                  </pic:spPr>
                </pic:pic>
              </a:graphicData>
            </a:graphic>
          </wp:inline>
        </w:drawing>
      </w:r>
    </w:p>
    <w:p>
      <w:pPr>
        <w:rPr>
          <w:rFonts w:ascii="Times New Roman" w:hAnsi="Times New Roman" w:eastAsia="宋体" w:cs="Times New Roman"/>
          <w:b/>
          <w:kern w:val="44"/>
          <w:sz w:val="28"/>
          <w:szCs w:val="28"/>
        </w:rPr>
      </w:pPr>
      <w:r>
        <w:rPr>
          <w:rFonts w:ascii="Times New Roman" w:hAnsi="Times New Roman" w:eastAsia="宋体" w:cs="Times New Roman"/>
          <w:b/>
          <w:kern w:val="44"/>
          <w:sz w:val="28"/>
          <w:szCs w:val="28"/>
        </w:rPr>
        <w:br w:type="page"/>
      </w:r>
    </w:p>
    <w:p>
      <w:pPr>
        <w:keepNext/>
        <w:keepLines/>
        <w:spacing w:after="120" w:line="360" w:lineRule="auto"/>
        <w:jc w:val="center"/>
        <w:outlineLvl w:val="0"/>
        <w:rPr>
          <w:rFonts w:ascii="Times New Roman" w:hAnsi="Times New Roman" w:eastAsia="宋体" w:cs="Times New Roman"/>
          <w:b/>
          <w:kern w:val="44"/>
          <w:sz w:val="28"/>
          <w:szCs w:val="28"/>
        </w:rPr>
      </w:pPr>
      <w:bookmarkStart w:id="84" w:name="_Toc5019"/>
      <w:r>
        <w:rPr>
          <w:rFonts w:ascii="Times New Roman" w:hAnsi="Times New Roman" w:eastAsia="宋体" w:cs="Times New Roman"/>
          <w:b/>
          <w:kern w:val="44"/>
          <w:sz w:val="28"/>
          <w:szCs w:val="28"/>
        </w:rPr>
        <w:t>第</w:t>
      </w:r>
      <w:r>
        <w:rPr>
          <w:rFonts w:hint="eastAsia" w:ascii="Times New Roman" w:hAnsi="Times New Roman" w:eastAsia="宋体" w:cs="Times New Roman"/>
          <w:b/>
          <w:kern w:val="44"/>
          <w:sz w:val="28"/>
          <w:szCs w:val="28"/>
          <w:lang w:val="en-US" w:eastAsia="zh-CN"/>
        </w:rPr>
        <w:t>六</w:t>
      </w:r>
      <w:r>
        <w:rPr>
          <w:rFonts w:ascii="Times New Roman" w:hAnsi="Times New Roman" w:eastAsia="宋体" w:cs="Times New Roman"/>
          <w:b/>
          <w:kern w:val="44"/>
          <w:sz w:val="28"/>
          <w:szCs w:val="28"/>
        </w:rPr>
        <w:t>章 投标文件格式</w:t>
      </w:r>
      <w:bookmarkEnd w:id="81"/>
      <w:bookmarkEnd w:id="82"/>
      <w:bookmarkEnd w:id="83"/>
      <w:bookmarkEnd w:id="84"/>
    </w:p>
    <w:p>
      <w:pPr>
        <w:jc w:val="center"/>
        <w:rPr>
          <w:rFonts w:ascii="Times New Roman" w:hAnsi="Times New Roman" w:eastAsia="黑体" w:cs="Times New Roman"/>
          <w:sz w:val="28"/>
          <w:szCs w:val="28"/>
          <w:u w:val="single"/>
        </w:rPr>
      </w:pPr>
    </w:p>
    <w:p>
      <w:pPr>
        <w:jc w:val="center"/>
        <w:rPr>
          <w:rFonts w:ascii="Times New Roman" w:hAnsi="Times New Roman" w:eastAsia="黑体" w:cs="Times New Roman"/>
          <w:sz w:val="44"/>
          <w:szCs w:val="44"/>
          <w:u w:val="single"/>
        </w:rPr>
      </w:pPr>
    </w:p>
    <w:p>
      <w:pPr>
        <w:keepNext w:val="0"/>
        <w:keepLines w:val="0"/>
        <w:pageBreakBefore w:val="0"/>
        <w:widowControl w:val="0"/>
        <w:kinsoku/>
        <w:wordWrap/>
        <w:overflowPunct/>
        <w:topLinePunct w:val="0"/>
        <w:autoSpaceDE/>
        <w:autoSpaceDN/>
        <w:bidi w:val="0"/>
        <w:adjustRightInd/>
        <w:snapToGrid/>
        <w:ind w:left="840" w:leftChars="400" w:right="840" w:rightChars="400"/>
        <w:jc w:val="center"/>
        <w:textAlignment w:val="auto"/>
        <w:rPr>
          <w:rFonts w:hint="eastAsia" w:ascii="Times New Roman" w:hAnsi="Times New Roman" w:eastAsia="宋体" w:cs="Times New Roman"/>
          <w:sz w:val="44"/>
          <w:szCs w:val="44"/>
          <w:u w:val="single"/>
          <w:lang w:val="en-US" w:eastAsia="zh-CN"/>
        </w:rPr>
      </w:pPr>
      <w:r>
        <w:rPr>
          <w:rFonts w:hint="eastAsia" w:ascii="Times New Roman" w:hAnsi="Times New Roman" w:eastAsia="宋体" w:cs="Times New Roman"/>
          <w:sz w:val="44"/>
          <w:szCs w:val="44"/>
          <w:u w:val="single"/>
          <w:lang w:val="en-US" w:eastAsia="zh-CN"/>
        </w:rPr>
        <w:t>南方日报社</w:t>
      </w:r>
    </w:p>
    <w:p>
      <w:pPr>
        <w:keepNext w:val="0"/>
        <w:keepLines w:val="0"/>
        <w:pageBreakBefore w:val="0"/>
        <w:widowControl w:val="0"/>
        <w:kinsoku/>
        <w:wordWrap/>
        <w:overflowPunct/>
        <w:topLinePunct w:val="0"/>
        <w:autoSpaceDE/>
        <w:autoSpaceDN/>
        <w:bidi w:val="0"/>
        <w:adjustRightInd/>
        <w:snapToGrid/>
        <w:ind w:left="840" w:leftChars="400" w:right="840" w:rightChars="400"/>
        <w:jc w:val="center"/>
        <w:textAlignment w:val="auto"/>
        <w:rPr>
          <w:rFonts w:hint="default" w:ascii="Times New Roman" w:hAnsi="Times New Roman" w:eastAsia="宋体" w:cs="Times New Roman"/>
          <w:sz w:val="44"/>
          <w:szCs w:val="44"/>
          <w:u w:val="single"/>
          <w:lang w:val="en-US" w:eastAsia="zh-CN"/>
        </w:rPr>
      </w:pPr>
      <w:r>
        <w:rPr>
          <w:rFonts w:hint="eastAsia" w:ascii="Times New Roman" w:hAnsi="Times New Roman" w:eastAsia="宋体" w:cs="Times New Roman"/>
          <w:sz w:val="44"/>
          <w:szCs w:val="44"/>
          <w:u w:val="single"/>
          <w:lang w:val="en-US" w:eastAsia="zh-CN"/>
        </w:rPr>
        <w:t>南方报业传媒大厦电梯更换项目</w:t>
      </w:r>
    </w:p>
    <w:p>
      <w:pPr>
        <w:keepNext w:val="0"/>
        <w:keepLines w:val="0"/>
        <w:pageBreakBefore w:val="0"/>
        <w:widowControl w:val="0"/>
        <w:kinsoku/>
        <w:wordWrap/>
        <w:overflowPunct/>
        <w:topLinePunct w:val="0"/>
        <w:autoSpaceDE/>
        <w:autoSpaceDN/>
        <w:bidi w:val="0"/>
        <w:adjustRightInd/>
        <w:snapToGrid/>
        <w:ind w:left="840" w:leftChars="400" w:right="840" w:rightChars="400"/>
        <w:textAlignment w:val="auto"/>
        <w:rPr>
          <w:rFonts w:ascii="Times New Roman" w:hAnsi="Times New Roman" w:eastAsia="黑体" w:cs="Times New Roman"/>
          <w:sz w:val="20"/>
          <w:szCs w:val="20"/>
        </w:rPr>
      </w:pPr>
    </w:p>
    <w:p>
      <w:pPr>
        <w:rPr>
          <w:rFonts w:ascii="Times New Roman" w:hAnsi="Times New Roman" w:eastAsia="黑体" w:cs="Times New Roman"/>
          <w:sz w:val="20"/>
          <w:szCs w:val="20"/>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p>
    <w:p>
      <w:pPr>
        <w:jc w:val="center"/>
        <w:rPr>
          <w:rFonts w:ascii="Times New Roman" w:hAnsi="Times New Roman" w:eastAsia="黑体" w:cs="Times New Roman"/>
          <w:color w:val="auto"/>
          <w:sz w:val="44"/>
          <w:szCs w:val="44"/>
        </w:rPr>
      </w:pPr>
    </w:p>
    <w:p>
      <w:pPr>
        <w:jc w:val="center"/>
        <w:rPr>
          <w:rFonts w:ascii="Times New Roman" w:hAnsi="Times New Roman" w:eastAsia="黑体" w:cs="Times New Roman"/>
          <w:color w:val="auto"/>
          <w:sz w:val="44"/>
          <w:szCs w:val="44"/>
        </w:rPr>
      </w:pPr>
    </w:p>
    <w:p>
      <w:pPr>
        <w:jc w:val="center"/>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t>投  标  文  件</w:t>
      </w: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rPr>
          <w:rFonts w:ascii="Times New Roman" w:hAnsi="Times New Roman" w:eastAsia="宋体" w:cs="Times New Roman"/>
          <w:color w:val="auto"/>
          <w:sz w:val="28"/>
          <w:szCs w:val="28"/>
        </w:rPr>
      </w:pPr>
    </w:p>
    <w:p>
      <w:pPr>
        <w:rPr>
          <w:rFonts w:ascii="Times New Roman" w:hAnsi="Times New Roman" w:eastAsia="宋体" w:cs="Times New Roman"/>
          <w:color w:val="auto"/>
        </w:rPr>
      </w:pPr>
    </w:p>
    <w:p>
      <w:pPr>
        <w:rPr>
          <w:rFonts w:ascii="Times New Roman" w:hAnsi="Times New Roman" w:eastAsia="黑体" w:cs="Times New Roman"/>
          <w:color w:val="auto"/>
          <w:sz w:val="28"/>
          <w:szCs w:val="28"/>
        </w:rPr>
      </w:pPr>
    </w:p>
    <w:p>
      <w:pPr>
        <w:rPr>
          <w:rFonts w:ascii="Times New Roman" w:hAnsi="Times New Roman" w:eastAsia="黑体" w:cs="Times New Roman"/>
          <w:color w:val="auto"/>
          <w:sz w:val="28"/>
          <w:szCs w:val="28"/>
        </w:rPr>
      </w:pPr>
    </w:p>
    <w:p>
      <w:pPr>
        <w:jc w:val="center"/>
        <w:rPr>
          <w:rFonts w:ascii="Times New Roman" w:hAnsi="Times New Roman" w:eastAsia="黑体" w:cs="Times New Roman"/>
          <w:color w:val="auto"/>
          <w:sz w:val="28"/>
          <w:szCs w:val="28"/>
          <w:u w:val="single"/>
        </w:rPr>
      </w:pPr>
      <w:r>
        <w:rPr>
          <w:rFonts w:ascii="Times New Roman" w:hAnsi="Times New Roman" w:eastAsia="黑体" w:cs="Times New Roman"/>
          <w:color w:val="auto"/>
          <w:sz w:val="28"/>
          <w:szCs w:val="28"/>
        </w:rPr>
        <w:t>投标人：</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（盖单位章）</w:t>
      </w:r>
    </w:p>
    <w:p>
      <w:pPr>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法定代表人或其委托代理人：</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（签字或盖章）</w:t>
      </w:r>
    </w:p>
    <w:p>
      <w:pPr>
        <w:jc w:val="center"/>
        <w:rPr>
          <w:rFonts w:ascii="Times New Roman" w:hAnsi="Times New Roman" w:eastAsia="黑体" w:cs="Times New Roman"/>
          <w:color w:val="auto"/>
          <w:sz w:val="28"/>
          <w:szCs w:val="28"/>
        </w:rPr>
        <w:sectPr>
          <w:footerReference r:id="rId13" w:type="default"/>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p>
    <w:p>
      <w:pPr>
        <w:widowControl/>
        <w:numPr>
          <w:ilvl w:val="0"/>
          <w:numId w:val="29"/>
        </w:numPr>
        <w:spacing w:line="360" w:lineRule="auto"/>
        <w:jc w:val="center"/>
        <w:outlineLvl w:val="2"/>
        <w:rPr>
          <w:rFonts w:ascii="Times New Roman" w:hAnsi="Times New Roman" w:eastAsia="宋体" w:cs="Times New Roman"/>
          <w:b/>
          <w:bCs/>
          <w:color w:val="auto"/>
          <w:kern w:val="0"/>
          <w:sz w:val="24"/>
          <w:szCs w:val="24"/>
        </w:rPr>
      </w:pPr>
      <w:bookmarkStart w:id="85" w:name="_Toc19527"/>
      <w:bookmarkStart w:id="86" w:name="_Toc29494"/>
      <w:bookmarkStart w:id="87" w:name="_Toc12235"/>
      <w:bookmarkStart w:id="88" w:name="_Toc29100"/>
      <w:bookmarkStart w:id="89" w:name="_Toc4378"/>
      <w:bookmarkStart w:id="90" w:name="_Toc31885"/>
      <w:bookmarkStart w:id="91" w:name="_Toc26694"/>
      <w:r>
        <w:rPr>
          <w:rFonts w:ascii="Times New Roman" w:hAnsi="Times New Roman" w:eastAsia="宋体" w:cs="Times New Roman"/>
          <w:b/>
          <w:bCs/>
          <w:color w:val="auto"/>
          <w:kern w:val="0"/>
          <w:sz w:val="24"/>
          <w:szCs w:val="24"/>
        </w:rPr>
        <w:t>自查表</w:t>
      </w:r>
      <w:bookmarkEnd w:id="85"/>
      <w:bookmarkEnd w:id="86"/>
      <w:bookmarkEnd w:id="87"/>
      <w:bookmarkEnd w:id="88"/>
      <w:bookmarkEnd w:id="89"/>
      <w:bookmarkEnd w:id="90"/>
    </w:p>
    <w:p>
      <w:pPr>
        <w:keepNext/>
        <w:keepLines/>
        <w:numPr>
          <w:ilvl w:val="3"/>
          <w:numId w:val="0"/>
        </w:numPr>
        <w:spacing w:line="360" w:lineRule="auto"/>
        <w:jc w:val="center"/>
        <w:outlineLvl w:val="3"/>
        <w:rPr>
          <w:rFonts w:ascii="Times New Roman" w:hAnsi="Times New Roman" w:eastAsia="宋体" w:cs="Times New Roman"/>
          <w:b/>
          <w:bCs/>
          <w:color w:val="auto"/>
          <w:sz w:val="28"/>
          <w:szCs w:val="28"/>
        </w:rPr>
      </w:pPr>
      <w:bookmarkStart w:id="92" w:name="_Toc32076"/>
      <w:bookmarkStart w:id="93" w:name="_Toc20086"/>
      <w:bookmarkStart w:id="94" w:name="_Toc30920"/>
      <w:bookmarkStart w:id="95" w:name="_Toc16873"/>
      <w:bookmarkStart w:id="96" w:name="_Toc29715"/>
      <w:bookmarkStart w:id="97" w:name="_Toc27409"/>
      <w:bookmarkStart w:id="98" w:name="_Toc28882"/>
      <w:bookmarkStart w:id="99" w:name="_Toc27063"/>
      <w:r>
        <w:rPr>
          <w:rFonts w:ascii="Times New Roman" w:hAnsi="Times New Roman" w:eastAsia="宋体" w:cs="Times New Roman"/>
          <w:b/>
          <w:bCs/>
          <w:color w:val="auto"/>
          <w:sz w:val="28"/>
          <w:szCs w:val="28"/>
        </w:rPr>
        <w:t>1.1 资格审查自查表</w:t>
      </w:r>
      <w:bookmarkEnd w:id="92"/>
      <w:bookmarkEnd w:id="93"/>
      <w:bookmarkEnd w:id="94"/>
      <w:bookmarkEnd w:id="95"/>
      <w:bookmarkEnd w:id="96"/>
      <w:bookmarkEnd w:id="97"/>
      <w:bookmarkEnd w:id="98"/>
      <w:bookmarkEnd w:id="99"/>
    </w:p>
    <w:tbl>
      <w:tblPr>
        <w:tblStyle w:val="37"/>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837"/>
        <w:gridCol w:w="147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714" w:type="dxa"/>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序号</w:t>
            </w:r>
          </w:p>
        </w:tc>
        <w:tc>
          <w:tcPr>
            <w:tcW w:w="4837" w:type="dxa"/>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审查内容</w:t>
            </w:r>
          </w:p>
        </w:tc>
        <w:tc>
          <w:tcPr>
            <w:tcW w:w="1470" w:type="dxa"/>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bCs/>
                <w:color w:val="auto"/>
                <w:sz w:val="24"/>
                <w:szCs w:val="24"/>
              </w:rPr>
              <w:t>自查结论</w:t>
            </w:r>
          </w:p>
        </w:tc>
        <w:tc>
          <w:tcPr>
            <w:tcW w:w="1693" w:type="dxa"/>
            <w:shd w:val="clear" w:color="auto" w:fill="D7D7D7"/>
            <w:vAlign w:val="center"/>
          </w:tcPr>
          <w:p>
            <w:pPr>
              <w:adjustRightInd w:val="0"/>
              <w:snapToGrid w:val="0"/>
              <w:ind w:left="-171"/>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证明材料</w:t>
            </w:r>
          </w:p>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bCs/>
                <w:color w:val="auto"/>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lang w:eastAsia="zh-CN"/>
              </w:rPr>
              <w:t>具有独立承担民事责任能力的在中华人民共和国境内注册的法人或其他组织营业执照（或登记证书），提供证书副本复印件。</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lang w:eastAsia="zh-CN"/>
              </w:rPr>
              <w:t>提供2021年财务状况报告（若新成立的，提供成立至今的月或季度财务状况报告复印件并加盖公章）或者基本户开户银行出具的资信证明复印件。</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eastAsia="宋体" w:cs="宋体"/>
                <w:color w:val="auto"/>
                <w:kern w:val="0"/>
                <w:sz w:val="24"/>
                <w:szCs w:val="24"/>
                <w:highlight w:val="none"/>
                <w:lang w:eastAsia="zh-CN"/>
              </w:rPr>
              <w:t>参加招标活动前3年内在经营活动中没有重大违法记录的书面声明。</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lang w:eastAsia="zh-CN"/>
              </w:rPr>
              <w:t>单位负责人为同一人或者存在直接控股、管理关系的不同供应商，不得参加同一合同项下的采购活动的书面声明。</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cs="宋体"/>
                <w:color w:val="auto"/>
                <w:sz w:val="24"/>
                <w:highlight w:val="none"/>
              </w:rPr>
              <w:t>本项目不允许分包或转包</w:t>
            </w:r>
            <w:r>
              <w:rPr>
                <w:rFonts w:hint="eastAsia" w:ascii="宋体" w:hAnsi="宋体" w:cs="宋体"/>
                <w:color w:val="auto"/>
                <w:sz w:val="24"/>
                <w:highlight w:val="none"/>
                <w:lang w:eastAsia="zh-CN"/>
              </w:rPr>
              <w:t>。</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7</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cs="宋体"/>
                <w:color w:val="auto"/>
                <w:sz w:val="24"/>
                <w:highlight w:val="none"/>
              </w:rPr>
              <w:t>已领购本项目招标文件</w:t>
            </w:r>
            <w:r>
              <w:rPr>
                <w:rFonts w:hint="eastAsia" w:ascii="宋体" w:hAnsi="宋体" w:eastAsia="宋体" w:cs="宋体"/>
                <w:color w:val="auto"/>
                <w:sz w:val="24"/>
                <w:szCs w:val="24"/>
                <w:lang w:eastAsia="zh-CN"/>
              </w:rPr>
              <w:t>。</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8</w:t>
            </w:r>
          </w:p>
        </w:tc>
        <w:tc>
          <w:tcPr>
            <w:tcW w:w="4837" w:type="dxa"/>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24"/>
                <w:szCs w:val="24"/>
              </w:rPr>
            </w:pPr>
            <w:r>
              <w:rPr>
                <w:rFonts w:hint="eastAsia" w:ascii="宋体" w:hAnsi="宋体" w:eastAsia="宋体" w:cs="宋体"/>
                <w:color w:val="auto"/>
                <w:sz w:val="24"/>
                <w:szCs w:val="24"/>
                <w:lang w:val="en-US" w:eastAsia="zh-CN"/>
              </w:rPr>
              <w:t>投标人具有有效期内的《中华人民共和国特种设备生产许可证》电梯安装（含修理）资质（B级或以上）或《中华人民共和国特种设备生产许可证》电梯制造（含安装、修理、改造）资质。</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bl>
    <w:p>
      <w:pPr>
        <w:spacing w:line="360" w:lineRule="auto"/>
        <w:ind w:left="-359" w:leftChars="-171" w:firstLine="360" w:firstLineChars="150"/>
        <w:rPr>
          <w:rFonts w:ascii="Times New Roman" w:hAnsi="Times New Roman" w:eastAsia="宋体" w:cs="Times New Roman"/>
          <w:color w:val="auto"/>
          <w:sz w:val="24"/>
        </w:rPr>
      </w:pPr>
      <w:r>
        <w:rPr>
          <w:rFonts w:ascii="Times New Roman" w:hAnsi="Times New Roman" w:eastAsia="宋体" w:cs="Times New Roman"/>
          <w:color w:val="auto"/>
          <w:sz w:val="24"/>
        </w:rPr>
        <w:t>注：1、投标人必须严格按照上表所列要求在投标文件中对应如实提供，如有任何缺漏和不符合项将会直接导致否决投标。2、投标人根据自查结论在对应的□打“√”。</w:t>
      </w:r>
    </w:p>
    <w:p>
      <w:pPr>
        <w:spacing w:line="360" w:lineRule="auto"/>
        <w:ind w:left="-359" w:leftChars="-171" w:firstLine="360" w:firstLineChars="150"/>
        <w:rPr>
          <w:rFonts w:ascii="Times New Roman" w:hAnsi="Times New Roman" w:eastAsia="宋体" w:cs="Times New Roman"/>
          <w:color w:val="auto"/>
          <w:sz w:val="24"/>
        </w:rPr>
      </w:pPr>
    </w:p>
    <w:p>
      <w:pPr>
        <w:adjustRightInd w:val="0"/>
        <w:snapToGrid w:val="0"/>
        <w:spacing w:before="72" w:after="72" w:line="480" w:lineRule="auto"/>
        <w:ind w:firstLine="3578" w:firstLineChars="1491"/>
        <w:rPr>
          <w:rFonts w:ascii="Times New Roman" w:hAnsi="Times New Roman" w:eastAsia="宋体" w:cs="Times New Roman"/>
          <w:color w:val="auto"/>
          <w:sz w:val="24"/>
        </w:rPr>
      </w:pPr>
    </w:p>
    <w:p>
      <w:pPr>
        <w:adjustRightInd w:val="0"/>
        <w:snapToGrid w:val="0"/>
        <w:spacing w:before="72" w:after="72" w:line="480" w:lineRule="auto"/>
        <w:ind w:firstLine="3578" w:firstLineChars="1491"/>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投标人名称（加盖公章）：</w:t>
      </w:r>
    </w:p>
    <w:p>
      <w:pPr>
        <w:spacing w:before="72" w:after="72" w:line="400" w:lineRule="exact"/>
        <w:ind w:firstLine="3578" w:firstLineChars="1491"/>
        <w:rPr>
          <w:rFonts w:ascii="Times New Roman" w:hAnsi="Times New Roman" w:eastAsia="宋体" w:cs="Times New Roman"/>
          <w:color w:val="auto"/>
          <w:sz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color w:val="auto"/>
          <w:sz w:val="24"/>
        </w:rPr>
        <w:t>日期：   年   月   日</w:t>
      </w: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color w:val="auto"/>
          <w:sz w:val="28"/>
          <w:szCs w:val="28"/>
        </w:rPr>
      </w:pPr>
      <w:bookmarkStart w:id="100" w:name="_Toc17603"/>
      <w:bookmarkStart w:id="101" w:name="_Toc31870"/>
      <w:bookmarkStart w:id="102" w:name="_Toc2088"/>
      <w:bookmarkStart w:id="103" w:name="_Toc13224"/>
      <w:bookmarkStart w:id="104" w:name="_Toc1903"/>
      <w:bookmarkStart w:id="105" w:name="_Toc25867"/>
      <w:bookmarkStart w:id="106" w:name="_Toc27474"/>
      <w:r>
        <w:rPr>
          <w:rFonts w:ascii="Times New Roman" w:hAnsi="Times New Roman" w:eastAsia="宋体" w:cs="Times New Roman"/>
          <w:b/>
          <w:bCs/>
          <w:color w:val="auto"/>
          <w:sz w:val="28"/>
          <w:szCs w:val="28"/>
        </w:rPr>
        <w:t>1.2 技术标有效性审查自查表</w:t>
      </w:r>
      <w:bookmarkEnd w:id="100"/>
      <w:bookmarkEnd w:id="101"/>
      <w:bookmarkEnd w:id="102"/>
      <w:bookmarkEnd w:id="103"/>
    </w:p>
    <w:bookmarkEnd w:id="104"/>
    <w:bookmarkEnd w:id="105"/>
    <w:bookmarkEnd w:id="106"/>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4739"/>
        <w:gridCol w:w="143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409" w:type="pct"/>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序号</w:t>
            </w:r>
          </w:p>
        </w:tc>
        <w:tc>
          <w:tcPr>
            <w:tcW w:w="2781" w:type="pct"/>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审查内容</w:t>
            </w:r>
          </w:p>
        </w:tc>
        <w:tc>
          <w:tcPr>
            <w:tcW w:w="844" w:type="pct"/>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bCs/>
                <w:color w:val="auto"/>
                <w:sz w:val="24"/>
                <w:szCs w:val="24"/>
              </w:rPr>
              <w:t>自查结论</w:t>
            </w:r>
          </w:p>
        </w:tc>
        <w:tc>
          <w:tcPr>
            <w:tcW w:w="965" w:type="pct"/>
            <w:shd w:val="clear" w:color="auto" w:fill="D7D7D7"/>
            <w:vAlign w:val="center"/>
          </w:tcPr>
          <w:p>
            <w:pPr>
              <w:adjustRightInd w:val="0"/>
              <w:snapToGrid w:val="0"/>
              <w:ind w:left="-171"/>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证明材料</w:t>
            </w:r>
          </w:p>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bCs/>
                <w:color w:val="auto"/>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2781" w:type="pct"/>
            <w:vAlign w:val="center"/>
          </w:tcPr>
          <w:p>
            <w:pPr>
              <w:adjustRightInd w:val="0"/>
              <w:jc w:val="both"/>
              <w:rPr>
                <w:rFonts w:ascii="Times New Roman" w:hAnsi="Times New Roman" w:eastAsia="宋体" w:cs="Times New Roman"/>
                <w:color w:val="auto"/>
                <w:sz w:val="24"/>
                <w:szCs w:val="24"/>
              </w:rPr>
            </w:pPr>
            <w:r>
              <w:rPr>
                <w:rFonts w:hint="eastAsia" w:ascii="宋体" w:hAnsi="宋体" w:eastAsia="宋体" w:cs="宋体"/>
                <w:color w:val="auto"/>
                <w:sz w:val="24"/>
                <w:szCs w:val="24"/>
                <w:lang w:eastAsia="zh-CN"/>
              </w:rPr>
              <w:t>投标函</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2781" w:type="pct"/>
            <w:vAlign w:val="center"/>
          </w:tcPr>
          <w:p>
            <w:pPr>
              <w:adjustRightInd w:val="0"/>
              <w:jc w:val="both"/>
              <w:rPr>
                <w:rFonts w:ascii="Times New Roman" w:hAnsi="Times New Roman" w:eastAsia="宋体" w:cs="Times New Roman"/>
                <w:color w:val="auto"/>
                <w:sz w:val="24"/>
                <w:szCs w:val="24"/>
              </w:rPr>
            </w:pPr>
            <w:r>
              <w:rPr>
                <w:rFonts w:hint="eastAsia" w:ascii="宋体" w:hAnsi="宋体" w:eastAsia="宋体" w:cs="宋体"/>
                <w:color w:val="auto"/>
                <w:sz w:val="24"/>
                <w:szCs w:val="24"/>
              </w:rPr>
              <w:t>项目工期</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w:t>
            </w:r>
          </w:p>
        </w:tc>
        <w:tc>
          <w:tcPr>
            <w:tcW w:w="2781" w:type="pct"/>
            <w:vAlign w:val="center"/>
          </w:tcPr>
          <w:p>
            <w:pPr>
              <w:adjustRightInd w:val="0"/>
              <w:jc w:val="both"/>
              <w:rPr>
                <w:rFonts w:ascii="Times New Roman" w:hAnsi="Times New Roman" w:eastAsia="宋体" w:cs="Times New Roman"/>
                <w:color w:val="auto"/>
                <w:sz w:val="24"/>
                <w:szCs w:val="24"/>
              </w:rPr>
            </w:pPr>
            <w:r>
              <w:rPr>
                <w:rFonts w:hint="eastAsia" w:ascii="宋体" w:hAnsi="宋体" w:eastAsia="宋体" w:cs="宋体"/>
                <w:color w:val="auto"/>
                <w:sz w:val="24"/>
                <w:szCs w:val="24"/>
                <w:highlight w:val="none"/>
              </w:rPr>
              <w:t>具有有效的法定代表人证明书，或法定代表人授权书</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w:t>
            </w:r>
          </w:p>
        </w:tc>
        <w:tc>
          <w:tcPr>
            <w:tcW w:w="2781" w:type="pct"/>
            <w:vAlign w:val="center"/>
          </w:tcPr>
          <w:p>
            <w:pPr>
              <w:adjustRightInd w:val="0"/>
              <w:jc w:val="both"/>
              <w:rPr>
                <w:rFonts w:ascii="Times New Roman" w:hAnsi="Times New Roman" w:eastAsia="宋体" w:cs="Times New Roman"/>
                <w:color w:val="auto"/>
                <w:sz w:val="24"/>
                <w:szCs w:val="24"/>
              </w:rPr>
            </w:pPr>
            <w:r>
              <w:rPr>
                <w:rFonts w:hint="eastAsia" w:ascii="宋体" w:hAnsi="宋体" w:eastAsia="宋体" w:cs="宋体"/>
                <w:color w:val="auto"/>
                <w:sz w:val="24"/>
                <w:szCs w:val="24"/>
                <w:highlight w:val="none"/>
              </w:rPr>
              <w:t>投标有效期</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w:t>
            </w:r>
          </w:p>
        </w:tc>
        <w:tc>
          <w:tcPr>
            <w:tcW w:w="2781" w:type="pct"/>
            <w:vAlign w:val="center"/>
          </w:tcPr>
          <w:p>
            <w:pPr>
              <w:adjustRightInd w:val="0"/>
              <w:jc w:val="both"/>
              <w:rPr>
                <w:rFonts w:hint="eastAsia" w:ascii="宋体" w:hAnsi="宋体" w:eastAsia="宋体" w:cs="宋体"/>
                <w:color w:val="auto"/>
                <w:sz w:val="24"/>
                <w:szCs w:val="24"/>
              </w:rPr>
            </w:pPr>
            <w:r>
              <w:rPr>
                <w:rFonts w:hint="eastAsia" w:ascii="宋体" w:hAnsi="宋体" w:eastAsia="宋体" w:cs="宋体"/>
                <w:color w:val="auto"/>
                <w:sz w:val="24"/>
                <w:szCs w:val="24"/>
              </w:rPr>
              <w:t>提交招标代理服务费支付承诺书，且按招标文件要求签署、盖章</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leftChars="0" w:firstLine="170" w:firstLineChars="71"/>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leftChars="0"/>
              <w:jc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6</w:t>
            </w:r>
          </w:p>
        </w:tc>
        <w:tc>
          <w:tcPr>
            <w:tcW w:w="2781" w:type="pct"/>
            <w:vAlign w:val="center"/>
          </w:tcPr>
          <w:p>
            <w:pPr>
              <w:adjustRightInd w:val="0"/>
              <w:jc w:val="both"/>
              <w:rPr>
                <w:rFonts w:hint="eastAsia" w:ascii="宋体" w:hAnsi="宋体"/>
                <w:color w:val="auto"/>
                <w:sz w:val="24"/>
              </w:rPr>
            </w:pPr>
            <w:r>
              <w:rPr>
                <w:rFonts w:hint="eastAsia" w:ascii="宋体" w:hAnsi="宋体" w:eastAsia="宋体" w:cs="宋体"/>
                <w:color w:val="auto"/>
                <w:sz w:val="24"/>
                <w:szCs w:val="24"/>
              </w:rPr>
              <w:t>投标人未出现实质性条款响应负偏离的情况</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leftChars="0"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left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409" w:type="pct"/>
            <w:vAlign w:val="center"/>
          </w:tcPr>
          <w:p>
            <w:pPr>
              <w:adjustRightInd w:val="0"/>
              <w:snapToGrid w:val="0"/>
              <w:spacing w:line="44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7</w:t>
            </w:r>
          </w:p>
        </w:tc>
        <w:tc>
          <w:tcPr>
            <w:tcW w:w="2781" w:type="pct"/>
            <w:vAlign w:val="center"/>
          </w:tcPr>
          <w:p>
            <w:pPr>
              <w:adjustRightInd w:val="0"/>
              <w:jc w:val="both"/>
              <w:rPr>
                <w:rFonts w:hint="eastAsia" w:ascii="宋体" w:hAnsi="宋体"/>
                <w:color w:val="auto"/>
                <w:sz w:val="24"/>
              </w:rPr>
            </w:pPr>
            <w:r>
              <w:rPr>
                <w:rFonts w:hint="eastAsia" w:ascii="宋体" w:hAnsi="宋体" w:cs="宋体"/>
                <w:color w:val="auto"/>
                <w:sz w:val="24"/>
                <w:szCs w:val="24"/>
                <w:lang w:eastAsia="zh-CN"/>
              </w:rPr>
              <w:t>投标文件完整性</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leftChars="0"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left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09" w:type="pct"/>
            <w:vAlign w:val="center"/>
          </w:tcPr>
          <w:p>
            <w:pPr>
              <w:adjustRightInd w:val="0"/>
              <w:snapToGrid w:val="0"/>
              <w:spacing w:line="440" w:lineRule="exact"/>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8</w:t>
            </w:r>
          </w:p>
        </w:tc>
        <w:tc>
          <w:tcPr>
            <w:tcW w:w="2781" w:type="pct"/>
            <w:vAlign w:val="center"/>
          </w:tcPr>
          <w:p>
            <w:pPr>
              <w:adjustRightInd w:val="0"/>
              <w:jc w:val="both"/>
              <w:rPr>
                <w:rFonts w:hint="eastAsia" w:ascii="宋体" w:hAnsi="宋体"/>
                <w:color w:val="auto"/>
                <w:sz w:val="24"/>
              </w:rPr>
            </w:pPr>
            <w:r>
              <w:rPr>
                <w:rFonts w:hint="eastAsia" w:ascii="宋体" w:hAnsi="宋体"/>
                <w:color w:val="auto"/>
                <w:sz w:val="24"/>
              </w:rPr>
              <w:t>其他要求</w:t>
            </w:r>
          </w:p>
        </w:tc>
        <w:tc>
          <w:tcPr>
            <w:tcW w:w="844" w:type="pct"/>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leftChars="0" w:firstLine="170" w:firstLineChars="71"/>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szCs w:val="24"/>
              </w:rPr>
              <w:t>□不通过</w:t>
            </w:r>
          </w:p>
        </w:tc>
        <w:tc>
          <w:tcPr>
            <w:tcW w:w="965" w:type="pct"/>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leftChars="0"/>
              <w:jc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97" w:type="dxa"/>
            <w:vAlign w:val="center"/>
          </w:tcPr>
          <w:p>
            <w:pPr>
              <w:adjustRightInd w:val="0"/>
              <w:snapToGrid w:val="0"/>
              <w:spacing w:line="440" w:lineRule="exact"/>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9</w:t>
            </w:r>
          </w:p>
        </w:tc>
        <w:tc>
          <w:tcPr>
            <w:tcW w:w="4739" w:type="dxa"/>
            <w:vAlign w:val="top"/>
          </w:tcPr>
          <w:p>
            <w:pPr>
              <w:adjustRightInd w:val="0"/>
              <w:snapToGrid w:val="0"/>
              <w:spacing w:line="440" w:lineRule="exact"/>
              <w:rPr>
                <w:rFonts w:hint="eastAsia" w:ascii="宋体" w:hAnsi="宋体"/>
                <w:color w:val="auto"/>
                <w:sz w:val="24"/>
              </w:rPr>
            </w:pPr>
            <w:r>
              <w:rPr>
                <w:rFonts w:hint="eastAsia" w:ascii="宋体" w:hAnsi="宋体" w:cs="宋体"/>
                <w:color w:val="auto"/>
                <w:sz w:val="24"/>
              </w:rPr>
              <w:t>投标保证金</w:t>
            </w:r>
            <w:r>
              <w:rPr>
                <w:rFonts w:hint="eastAsia" w:ascii="宋体" w:hAnsi="宋体" w:cs="宋体"/>
                <w:color w:val="auto"/>
                <w:sz w:val="24"/>
                <w:lang w:eastAsia="zh-CN"/>
              </w:rPr>
              <w:t>：</w:t>
            </w:r>
            <w:r>
              <w:rPr>
                <w:rFonts w:hint="eastAsia" w:ascii="宋体" w:hAnsi="宋体" w:cs="宋体"/>
                <w:color w:val="auto"/>
                <w:sz w:val="24"/>
              </w:rPr>
              <w:t>已按招标文件要求提交足额投标保证金或投标担保函</w:t>
            </w:r>
          </w:p>
        </w:tc>
        <w:tc>
          <w:tcPr>
            <w:tcW w:w="1438"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leftChars="0"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44"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left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bl>
    <w:p>
      <w:pPr>
        <w:spacing w:line="360" w:lineRule="auto"/>
        <w:ind w:left="-359" w:leftChars="-171" w:firstLine="360" w:firstLineChars="150"/>
        <w:rPr>
          <w:rFonts w:ascii="Times New Roman" w:hAnsi="Times New Roman" w:eastAsia="宋体" w:cs="Times New Roman"/>
          <w:color w:val="auto"/>
          <w:sz w:val="24"/>
        </w:rPr>
      </w:pPr>
      <w:r>
        <w:rPr>
          <w:rFonts w:ascii="Times New Roman" w:hAnsi="Times New Roman" w:eastAsia="宋体" w:cs="Times New Roman"/>
          <w:color w:val="auto"/>
          <w:sz w:val="24"/>
        </w:rPr>
        <w:t>注：1、投标人必须严格按照上表所列要求在投标文件中对应如实提供，如有任何缺漏和不符合项将会直接导致否决投标。2、投标人根据自查结论在对应的□打“√”。</w:t>
      </w:r>
    </w:p>
    <w:p>
      <w:pPr>
        <w:adjustRightInd w:val="0"/>
        <w:snapToGrid w:val="0"/>
        <w:spacing w:before="72" w:after="72" w:line="480" w:lineRule="auto"/>
        <w:ind w:firstLine="3131" w:firstLineChars="1491"/>
        <w:rPr>
          <w:rFonts w:ascii="Times New Roman" w:hAnsi="Times New Roman" w:eastAsia="宋体" w:cs="Times New Roman"/>
          <w:color w:val="auto"/>
          <w:szCs w:val="21"/>
        </w:rPr>
      </w:pPr>
    </w:p>
    <w:p>
      <w:pPr>
        <w:adjustRightInd w:val="0"/>
        <w:snapToGrid w:val="0"/>
        <w:spacing w:before="72" w:after="72" w:line="480" w:lineRule="auto"/>
        <w:ind w:firstLine="3131" w:firstLineChars="1491"/>
        <w:rPr>
          <w:rFonts w:ascii="Times New Roman" w:hAnsi="Times New Roman" w:eastAsia="宋体" w:cs="Times New Roman"/>
          <w:color w:val="auto"/>
          <w:szCs w:val="21"/>
        </w:rPr>
      </w:pPr>
    </w:p>
    <w:p>
      <w:pPr>
        <w:adjustRightInd w:val="0"/>
        <w:snapToGrid w:val="0"/>
        <w:spacing w:before="72" w:after="72" w:line="480" w:lineRule="auto"/>
        <w:ind w:firstLine="3578" w:firstLineChars="1491"/>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投标人名称（加盖公章）：</w:t>
      </w:r>
    </w:p>
    <w:p>
      <w:pPr>
        <w:spacing w:before="72" w:after="72" w:line="400" w:lineRule="exact"/>
        <w:ind w:firstLine="3578" w:firstLineChars="1491"/>
        <w:rPr>
          <w:rFonts w:ascii="Times New Roman" w:hAnsi="Times New Roman" w:eastAsia="宋体" w:cs="Times New Roman"/>
          <w:color w:val="auto"/>
          <w:sz w:val="24"/>
          <w:szCs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color w:val="auto"/>
          <w:sz w:val="24"/>
          <w:szCs w:val="24"/>
        </w:rPr>
        <w:t>日期：   年   月   日</w:t>
      </w: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color w:val="auto"/>
          <w:sz w:val="28"/>
          <w:szCs w:val="28"/>
        </w:rPr>
      </w:pPr>
      <w:bookmarkStart w:id="107" w:name="_Toc22529"/>
      <w:bookmarkStart w:id="108" w:name="_Toc17522"/>
      <w:bookmarkStart w:id="109" w:name="_Toc4604"/>
      <w:bookmarkStart w:id="110" w:name="_Toc2159"/>
      <w:r>
        <w:rPr>
          <w:rFonts w:ascii="Times New Roman" w:hAnsi="Times New Roman" w:eastAsia="宋体" w:cs="Times New Roman"/>
          <w:b/>
          <w:bCs/>
          <w:color w:val="auto"/>
          <w:sz w:val="28"/>
          <w:szCs w:val="28"/>
        </w:rPr>
        <w:t>1.3经济标有效性审查自查表</w:t>
      </w:r>
      <w:bookmarkEnd w:id="107"/>
      <w:bookmarkEnd w:id="108"/>
      <w:bookmarkEnd w:id="109"/>
      <w:bookmarkEnd w:id="110"/>
    </w:p>
    <w:tbl>
      <w:tblPr>
        <w:tblStyle w:val="37"/>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4837"/>
        <w:gridCol w:w="147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trPr>
        <w:tc>
          <w:tcPr>
            <w:tcW w:w="714" w:type="dxa"/>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序号</w:t>
            </w:r>
          </w:p>
        </w:tc>
        <w:tc>
          <w:tcPr>
            <w:tcW w:w="4837" w:type="dxa"/>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审查内容</w:t>
            </w:r>
          </w:p>
        </w:tc>
        <w:tc>
          <w:tcPr>
            <w:tcW w:w="1470" w:type="dxa"/>
            <w:shd w:val="clear" w:color="auto" w:fill="D7D7D7"/>
            <w:vAlign w:val="center"/>
          </w:tcPr>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bCs/>
                <w:color w:val="auto"/>
                <w:sz w:val="24"/>
                <w:szCs w:val="24"/>
              </w:rPr>
              <w:t>自查结论</w:t>
            </w:r>
          </w:p>
        </w:tc>
        <w:tc>
          <w:tcPr>
            <w:tcW w:w="1693" w:type="dxa"/>
            <w:shd w:val="clear" w:color="auto" w:fill="D7D7D7"/>
            <w:vAlign w:val="center"/>
          </w:tcPr>
          <w:p>
            <w:pPr>
              <w:adjustRightInd w:val="0"/>
              <w:snapToGrid w:val="0"/>
              <w:ind w:left="-171"/>
              <w:jc w:val="center"/>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证明材料</w:t>
            </w:r>
          </w:p>
          <w:p>
            <w:pPr>
              <w:adjustRightInd w:val="0"/>
              <w:snapToGrid w:val="0"/>
              <w:jc w:val="center"/>
              <w:rPr>
                <w:rFonts w:ascii="Times New Roman" w:hAnsi="Times New Roman" w:eastAsia="宋体" w:cs="Times New Roman"/>
                <w:b/>
                <w:color w:val="auto"/>
                <w:sz w:val="24"/>
                <w:szCs w:val="24"/>
              </w:rPr>
            </w:pPr>
            <w:r>
              <w:rPr>
                <w:rFonts w:ascii="Times New Roman" w:hAnsi="Times New Roman" w:eastAsia="宋体" w:cs="Times New Roman"/>
                <w:b/>
                <w:bCs/>
                <w:color w:val="auto"/>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w:t>
            </w:r>
          </w:p>
        </w:tc>
        <w:tc>
          <w:tcPr>
            <w:tcW w:w="4837" w:type="dxa"/>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对同一招标项目</w:t>
            </w:r>
            <w:r>
              <w:rPr>
                <w:rFonts w:hint="eastAsia" w:ascii="Times New Roman" w:hAnsi="Times New Roman" w:eastAsia="宋体" w:cs="Times New Roman"/>
                <w:color w:val="auto"/>
                <w:sz w:val="24"/>
                <w:szCs w:val="24"/>
              </w:rPr>
              <w:t>未</w:t>
            </w:r>
            <w:r>
              <w:rPr>
                <w:rFonts w:ascii="Times New Roman" w:hAnsi="Times New Roman" w:eastAsia="宋体" w:cs="Times New Roman"/>
                <w:color w:val="auto"/>
                <w:sz w:val="24"/>
                <w:szCs w:val="24"/>
              </w:rPr>
              <w:t>出现两个或以上的投标报价；</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14" w:type="dxa"/>
            <w:vAlign w:val="center"/>
          </w:tcPr>
          <w:p>
            <w:pPr>
              <w:adjustRightInd w:val="0"/>
              <w:snapToGrid w:val="0"/>
              <w:spacing w:line="44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w:t>
            </w:r>
          </w:p>
        </w:tc>
        <w:tc>
          <w:tcPr>
            <w:tcW w:w="4837" w:type="dxa"/>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投标报价</w:t>
            </w:r>
            <w:r>
              <w:rPr>
                <w:rFonts w:hint="eastAsia" w:ascii="Times New Roman" w:hAnsi="Times New Roman" w:eastAsia="宋体" w:cs="Times New Roman"/>
                <w:color w:val="auto"/>
                <w:sz w:val="24"/>
                <w:szCs w:val="24"/>
              </w:rPr>
              <w:t>未</w:t>
            </w:r>
            <w:r>
              <w:rPr>
                <w:rFonts w:ascii="Times New Roman" w:hAnsi="Times New Roman" w:eastAsia="宋体" w:cs="Times New Roman"/>
                <w:color w:val="auto"/>
                <w:sz w:val="24"/>
                <w:szCs w:val="24"/>
              </w:rPr>
              <w:t>高于最高投标限价的；</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14" w:type="dxa"/>
            <w:vAlign w:val="center"/>
          </w:tcPr>
          <w:p>
            <w:pPr>
              <w:adjustRightInd w:val="0"/>
              <w:snapToGrid w:val="0"/>
              <w:spacing w:line="440" w:lineRule="exact"/>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p>
        </w:tc>
        <w:tc>
          <w:tcPr>
            <w:tcW w:w="4837" w:type="dxa"/>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若评标委员会认为投标人的报价明显低于其他通过符合性审查投标人的报价，评标委员会应当要求该投标人在要求的时间内做出书面说明并提供相关证明材料。投标人能在评标委员会要求的时间内合理说明理由或者能提供相关证明材料的，评标委员会认定该投标人非恶意以低于成本报价竞标的。</w:t>
            </w:r>
          </w:p>
        </w:tc>
        <w:tc>
          <w:tcPr>
            <w:tcW w:w="1470" w:type="dxa"/>
            <w:vAlign w:val="center"/>
          </w:tcPr>
          <w:p>
            <w:pPr>
              <w:adjustRightInd w:val="0"/>
              <w:snapToGrid w:val="0"/>
              <w:spacing w:line="440" w:lineRule="exact"/>
              <w:ind w:left="-171" w:firstLine="170" w:firstLineChars="71"/>
              <w:jc w:val="left"/>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□通过</w:t>
            </w:r>
          </w:p>
          <w:p>
            <w:pPr>
              <w:adjustRightInd w:val="0"/>
              <w:snapToGrid w:val="0"/>
              <w:spacing w:line="440" w:lineRule="exact"/>
              <w:ind w:left="-171" w:leftChars="0" w:firstLine="170" w:firstLineChars="71"/>
              <w:jc w:val="left"/>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szCs w:val="24"/>
              </w:rPr>
              <w:t>□不通过</w:t>
            </w:r>
          </w:p>
        </w:tc>
        <w:tc>
          <w:tcPr>
            <w:tcW w:w="1693" w:type="dxa"/>
            <w:vAlign w:val="center"/>
          </w:tcPr>
          <w:p>
            <w:pPr>
              <w:adjustRightInd w:val="0"/>
              <w:snapToGrid w:val="0"/>
              <w:spacing w:line="440" w:lineRule="exact"/>
              <w:ind w:left="-171"/>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见投标文件</w:t>
            </w:r>
          </w:p>
          <w:p>
            <w:pPr>
              <w:adjustRightInd w:val="0"/>
              <w:snapToGrid w:val="0"/>
              <w:spacing w:line="440" w:lineRule="exact"/>
              <w:ind w:left="-171" w:leftChars="0"/>
              <w:jc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sz w:val="24"/>
                <w:szCs w:val="24"/>
              </w:rPr>
              <w:t>第（）页</w:t>
            </w:r>
          </w:p>
        </w:tc>
      </w:tr>
    </w:tbl>
    <w:p>
      <w:pPr>
        <w:spacing w:line="360" w:lineRule="auto"/>
        <w:ind w:left="-359" w:leftChars="-171" w:firstLine="360" w:firstLineChars="150"/>
        <w:rPr>
          <w:rFonts w:ascii="Times New Roman" w:hAnsi="Times New Roman" w:eastAsia="宋体" w:cs="Times New Roman"/>
          <w:color w:val="auto"/>
          <w:sz w:val="24"/>
        </w:rPr>
      </w:pPr>
      <w:r>
        <w:rPr>
          <w:rFonts w:ascii="Times New Roman" w:hAnsi="Times New Roman" w:eastAsia="宋体" w:cs="Times New Roman"/>
          <w:color w:val="auto"/>
          <w:sz w:val="24"/>
        </w:rPr>
        <w:t>注：1、投标人必须严格按照上表所列要求在投标文件中对应如实提供，如有任何缺漏和不符合项将会直接导致否决投标。2、投标人根据自查结论在对应的□打“√”。</w:t>
      </w:r>
    </w:p>
    <w:p>
      <w:pPr>
        <w:adjustRightInd w:val="0"/>
        <w:snapToGrid w:val="0"/>
        <w:spacing w:before="72" w:after="72" w:line="480" w:lineRule="auto"/>
        <w:ind w:firstLine="3131" w:firstLineChars="1491"/>
        <w:rPr>
          <w:rFonts w:ascii="Times New Roman" w:hAnsi="Times New Roman" w:eastAsia="宋体" w:cs="Times New Roman"/>
          <w:color w:val="auto"/>
          <w:szCs w:val="21"/>
        </w:rPr>
      </w:pPr>
    </w:p>
    <w:p>
      <w:pPr>
        <w:adjustRightInd w:val="0"/>
        <w:snapToGrid w:val="0"/>
        <w:spacing w:before="72" w:after="72" w:line="480" w:lineRule="auto"/>
        <w:ind w:firstLine="3131" w:firstLineChars="1491"/>
        <w:rPr>
          <w:rFonts w:ascii="Times New Roman" w:hAnsi="Times New Roman" w:eastAsia="宋体" w:cs="Times New Roman"/>
          <w:color w:val="auto"/>
          <w:szCs w:val="21"/>
        </w:rPr>
      </w:pPr>
    </w:p>
    <w:p>
      <w:pPr>
        <w:adjustRightInd w:val="0"/>
        <w:snapToGrid w:val="0"/>
        <w:spacing w:before="72" w:after="72" w:line="480" w:lineRule="auto"/>
        <w:ind w:firstLine="3578" w:firstLineChars="1491"/>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投标人名称（加盖公章）：</w:t>
      </w:r>
    </w:p>
    <w:p>
      <w:pPr>
        <w:spacing w:before="72" w:after="72" w:line="400" w:lineRule="exact"/>
        <w:ind w:firstLine="3578" w:firstLineChars="1491"/>
        <w:rPr>
          <w:rFonts w:ascii="Times New Roman" w:hAnsi="Times New Roman" w:eastAsia="宋体" w:cs="Times New Roman"/>
          <w:color w:val="auto"/>
          <w:sz w:val="24"/>
          <w:szCs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color w:val="auto"/>
          <w:sz w:val="24"/>
          <w:szCs w:val="24"/>
        </w:rPr>
        <w:t>日期：   年   月   日</w:t>
      </w:r>
    </w:p>
    <w:bookmarkEnd w:id="91"/>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color w:val="auto"/>
          <w:sz w:val="28"/>
          <w:szCs w:val="28"/>
        </w:rPr>
      </w:pPr>
      <w:bookmarkStart w:id="111" w:name="_Toc6681"/>
      <w:bookmarkStart w:id="112" w:name="_Toc30096"/>
      <w:bookmarkStart w:id="113" w:name="_Toc379"/>
      <w:bookmarkStart w:id="114" w:name="_Toc26090"/>
      <w:bookmarkStart w:id="115" w:name="_Toc3702"/>
      <w:bookmarkStart w:id="116" w:name="_Toc646"/>
      <w:bookmarkStart w:id="117" w:name="_Toc27410"/>
      <w:bookmarkStart w:id="118" w:name="_Toc29972"/>
      <w:r>
        <w:rPr>
          <w:rFonts w:ascii="Times New Roman" w:hAnsi="Times New Roman" w:eastAsia="宋体" w:cs="Times New Roman"/>
          <w:b/>
          <w:bCs/>
          <w:color w:val="auto"/>
          <w:sz w:val="28"/>
          <w:szCs w:val="28"/>
        </w:rPr>
        <w:t>1.4技术标详细审查评分自查表</w:t>
      </w:r>
      <w:bookmarkEnd w:id="111"/>
      <w:bookmarkEnd w:id="112"/>
      <w:bookmarkEnd w:id="113"/>
      <w:bookmarkEnd w:id="114"/>
      <w:bookmarkEnd w:id="115"/>
      <w:bookmarkEnd w:id="116"/>
      <w:bookmarkEnd w:id="117"/>
      <w:bookmarkEnd w:id="11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CCCCCC"/>
            <w:vAlign w:val="center"/>
          </w:tcPr>
          <w:p>
            <w:pPr>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序号</w:t>
            </w:r>
          </w:p>
        </w:tc>
        <w:tc>
          <w:tcPr>
            <w:tcW w:w="4560" w:type="dxa"/>
            <w:shd w:val="clear" w:color="auto" w:fill="CCCCCC"/>
            <w:vAlign w:val="center"/>
          </w:tcPr>
          <w:p>
            <w:pPr>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评审分项</w:t>
            </w:r>
          </w:p>
        </w:tc>
        <w:tc>
          <w:tcPr>
            <w:tcW w:w="3180" w:type="dxa"/>
            <w:shd w:val="clear" w:color="auto" w:fill="CCCCCC"/>
            <w:vAlign w:val="center"/>
          </w:tcPr>
          <w:p>
            <w:pPr>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3</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4</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5</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6</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7</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8</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9</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w:t>
            </w:r>
          </w:p>
        </w:tc>
        <w:tc>
          <w:tcPr>
            <w:tcW w:w="4560" w:type="dxa"/>
            <w:vAlign w:val="center"/>
          </w:tcPr>
          <w:p>
            <w:pPr>
              <w:rPr>
                <w:rFonts w:ascii="Times New Roman" w:hAnsi="Times New Roman" w:eastAsia="宋体" w:cs="Times New Roman"/>
                <w:color w:val="auto"/>
                <w:sz w:val="24"/>
              </w:rPr>
            </w:pPr>
          </w:p>
        </w:tc>
        <w:tc>
          <w:tcPr>
            <w:tcW w:w="3180" w:type="dxa"/>
            <w:vAlign w:val="center"/>
          </w:tcPr>
          <w:p>
            <w:pPr>
              <w:rPr>
                <w:rFonts w:ascii="Times New Roman" w:hAnsi="Times New Roman" w:eastAsia="宋体" w:cs="Times New Roman"/>
                <w:color w:val="auto"/>
                <w:sz w:val="24"/>
              </w:rPr>
            </w:pPr>
          </w:p>
        </w:tc>
      </w:tr>
    </w:tbl>
    <w:p>
      <w:pPr>
        <w:spacing w:before="120" w:beforeLines="50" w:line="360" w:lineRule="auto"/>
        <w:ind w:left="-359" w:leftChars="-171" w:firstLine="360" w:firstLineChars="150"/>
        <w:rPr>
          <w:rFonts w:ascii="Times New Roman" w:hAnsi="Times New Roman" w:eastAsia="宋体" w:cs="Times New Roman"/>
          <w:color w:val="auto"/>
          <w:sz w:val="24"/>
        </w:rPr>
      </w:pPr>
      <w:r>
        <w:rPr>
          <w:rFonts w:ascii="Times New Roman" w:hAnsi="Times New Roman" w:eastAsia="宋体" w:cs="Times New Roman"/>
          <w:color w:val="auto"/>
          <w:sz w:val="24"/>
        </w:rPr>
        <w:t>注：投标人应根据《技术标详细审查评分表》的各项内容填写此表。</w:t>
      </w:r>
    </w:p>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pPr>
        <w:rPr>
          <w:rFonts w:ascii="Times New Roman" w:hAnsi="Times New Roman" w:eastAsia="宋体" w:cs="Times New Roman"/>
          <w:color w:val="auto"/>
          <w:szCs w:val="21"/>
        </w:rPr>
      </w:pPr>
    </w:p>
    <w:p>
      <w:pPr>
        <w:adjustRightInd w:val="0"/>
        <w:snapToGrid w:val="0"/>
        <w:spacing w:before="72" w:after="72" w:line="480" w:lineRule="auto"/>
        <w:ind w:firstLine="3578" w:firstLineChars="1491"/>
        <w:rPr>
          <w:rFonts w:ascii="Times New Roman" w:hAnsi="Times New Roman" w:eastAsia="宋体" w:cs="Times New Roman"/>
          <w:color w:val="auto"/>
          <w:sz w:val="24"/>
          <w:szCs w:val="24"/>
          <w:u w:val="single"/>
        </w:rPr>
      </w:pPr>
      <w:r>
        <w:rPr>
          <w:rFonts w:ascii="Times New Roman" w:hAnsi="Times New Roman" w:eastAsia="宋体" w:cs="Times New Roman"/>
          <w:color w:val="auto"/>
          <w:sz w:val="24"/>
          <w:szCs w:val="24"/>
        </w:rPr>
        <w:t>投标人名称（加盖公章）：</w:t>
      </w:r>
    </w:p>
    <w:p>
      <w:pPr>
        <w:spacing w:before="72" w:after="72" w:line="400" w:lineRule="exact"/>
        <w:ind w:firstLine="3578" w:firstLineChars="1491"/>
        <w:rPr>
          <w:rFonts w:ascii="Times New Roman" w:hAnsi="Times New Roman" w:eastAsia="仿宋_GB2312" w:cs="Times New Roman"/>
          <w:b/>
          <w:color w:val="auto"/>
          <w:sz w:val="24"/>
          <w:szCs w:val="24"/>
        </w:rPr>
      </w:pPr>
      <w:r>
        <w:rPr>
          <w:rFonts w:ascii="Times New Roman" w:hAnsi="Times New Roman" w:eastAsia="宋体" w:cs="Times New Roman"/>
          <w:color w:val="auto"/>
          <w:sz w:val="24"/>
          <w:szCs w:val="24"/>
        </w:rPr>
        <w:t>日期：   年   月   日</w:t>
      </w:r>
    </w:p>
    <w:p>
      <w:pPr>
        <w:spacing w:before="72" w:after="72" w:line="400" w:lineRule="exact"/>
        <w:rPr>
          <w:rFonts w:ascii="Times New Roman" w:hAnsi="Times New Roman" w:eastAsia="仿宋_GB2312" w:cs="Times New Roman"/>
          <w:b/>
          <w:color w:val="auto"/>
          <w:szCs w:val="21"/>
        </w:rPr>
      </w:pPr>
    </w:p>
    <w:p>
      <w:pPr>
        <w:spacing w:before="72" w:after="72" w:line="400" w:lineRule="exact"/>
        <w:rPr>
          <w:rFonts w:ascii="Times New Roman" w:hAnsi="Times New Roman" w:eastAsia="仿宋_GB2312" w:cs="Times New Roman"/>
          <w:b/>
          <w:color w:val="auto"/>
          <w:sz w:val="24"/>
        </w:rPr>
      </w:pPr>
    </w:p>
    <w:p>
      <w:pPr>
        <w:spacing w:before="72" w:after="72" w:line="400" w:lineRule="exact"/>
        <w:rPr>
          <w:rFonts w:ascii="Times New Roman" w:hAnsi="Times New Roman" w:eastAsia="仿宋_GB2312" w:cs="Times New Roman"/>
          <w:b/>
          <w:color w:val="auto"/>
          <w:sz w:val="24"/>
        </w:rPr>
      </w:pPr>
    </w:p>
    <w:p>
      <w:pPr>
        <w:spacing w:before="72" w:after="72" w:line="400" w:lineRule="exact"/>
        <w:rPr>
          <w:rFonts w:ascii="Times New Roman" w:hAnsi="Times New Roman" w:eastAsia="仿宋_GB2312" w:cs="Times New Roman"/>
          <w:b/>
          <w:color w:val="auto"/>
          <w:sz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widowControl/>
        <w:numPr>
          <w:ilvl w:val="0"/>
          <w:numId w:val="29"/>
        </w:numPr>
        <w:spacing w:before="156" w:beforeAutospacing="1" w:after="156" w:afterAutospacing="1"/>
        <w:jc w:val="center"/>
        <w:outlineLvl w:val="2"/>
        <w:rPr>
          <w:rFonts w:ascii="Times New Roman" w:hAnsi="Times New Roman" w:eastAsia="宋体" w:cs="Times New Roman"/>
          <w:b/>
          <w:bCs/>
          <w:color w:val="auto"/>
          <w:kern w:val="0"/>
          <w:sz w:val="24"/>
          <w:szCs w:val="24"/>
        </w:rPr>
      </w:pPr>
      <w:bookmarkStart w:id="119" w:name="_Toc17058"/>
      <w:bookmarkStart w:id="120" w:name="_Toc381489424"/>
      <w:bookmarkStart w:id="121" w:name="_Toc2340"/>
      <w:bookmarkStart w:id="122" w:name="_Toc30651"/>
      <w:bookmarkStart w:id="123" w:name="_Toc423021954"/>
      <w:bookmarkStart w:id="124" w:name="_Toc8592"/>
      <w:bookmarkStart w:id="125" w:name="_Toc9365"/>
      <w:bookmarkStart w:id="126" w:name="_Toc13047"/>
      <w:bookmarkStart w:id="127" w:name="_Toc24780"/>
      <w:r>
        <w:rPr>
          <w:rFonts w:ascii="Times New Roman" w:hAnsi="Times New Roman" w:eastAsia="宋体" w:cs="Times New Roman"/>
          <w:b/>
          <w:bCs/>
          <w:color w:val="auto"/>
          <w:kern w:val="0"/>
          <w:sz w:val="24"/>
          <w:szCs w:val="24"/>
        </w:rPr>
        <w:t>资格文件</w:t>
      </w:r>
      <w:bookmarkEnd w:id="119"/>
      <w:bookmarkEnd w:id="120"/>
      <w:bookmarkEnd w:id="121"/>
      <w:bookmarkEnd w:id="122"/>
      <w:bookmarkEnd w:id="123"/>
      <w:bookmarkEnd w:id="124"/>
      <w:bookmarkEnd w:id="125"/>
      <w:bookmarkEnd w:id="126"/>
      <w:bookmarkEnd w:id="127"/>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color w:val="auto"/>
          <w:sz w:val="28"/>
          <w:szCs w:val="28"/>
        </w:rPr>
      </w:pPr>
      <w:bookmarkStart w:id="128" w:name="_Toc7914"/>
      <w:bookmarkStart w:id="129" w:name="_Toc169318447"/>
      <w:bookmarkStart w:id="130" w:name="_Toc381489425"/>
      <w:bookmarkStart w:id="131" w:name="_Toc182886665"/>
      <w:bookmarkStart w:id="132" w:name="_Toc183316725"/>
      <w:bookmarkStart w:id="133" w:name="_Toc168730817"/>
      <w:bookmarkStart w:id="134" w:name="_Toc11219"/>
      <w:bookmarkStart w:id="135" w:name="_Toc423021955"/>
      <w:bookmarkStart w:id="136" w:name="_Toc7618"/>
      <w:bookmarkStart w:id="137" w:name="_Toc1669"/>
      <w:bookmarkStart w:id="138" w:name="_Toc196294644"/>
      <w:bookmarkStart w:id="139" w:name="_Toc30993"/>
      <w:bookmarkStart w:id="140" w:name="_Toc5242"/>
      <w:bookmarkStart w:id="141" w:name="_Toc3741"/>
      <w:bookmarkStart w:id="142" w:name="_Toc766"/>
      <w:r>
        <w:rPr>
          <w:rFonts w:ascii="Times New Roman" w:hAnsi="Times New Roman" w:eastAsia="宋体" w:cs="Times New Roman"/>
          <w:b/>
          <w:bCs/>
          <w:color w:val="auto"/>
          <w:sz w:val="28"/>
          <w:szCs w:val="28"/>
        </w:rPr>
        <w:t>1.1</w:t>
      </w:r>
      <w:bookmarkEnd w:id="128"/>
      <w:bookmarkEnd w:id="129"/>
      <w:bookmarkEnd w:id="130"/>
      <w:bookmarkEnd w:id="131"/>
      <w:bookmarkEnd w:id="132"/>
      <w:bookmarkEnd w:id="133"/>
      <w:bookmarkEnd w:id="134"/>
      <w:bookmarkEnd w:id="135"/>
      <w:bookmarkEnd w:id="136"/>
      <w:bookmarkEnd w:id="137"/>
      <w:bookmarkEnd w:id="138"/>
      <w:r>
        <w:rPr>
          <w:rFonts w:ascii="Times New Roman" w:hAnsi="Times New Roman" w:eastAsia="宋体" w:cs="Times New Roman"/>
          <w:b/>
          <w:bCs/>
          <w:color w:val="auto"/>
          <w:sz w:val="28"/>
          <w:szCs w:val="28"/>
        </w:rPr>
        <w:t>投标函</w:t>
      </w:r>
      <w:bookmarkEnd w:id="139"/>
      <w:bookmarkEnd w:id="140"/>
      <w:bookmarkEnd w:id="141"/>
      <w:bookmarkEnd w:id="142"/>
    </w:p>
    <w:p>
      <w:pPr>
        <w:spacing w:line="440" w:lineRule="exact"/>
        <w:rPr>
          <w:rFonts w:ascii="Times New Roman" w:hAnsi="Times New Roman" w:eastAsia="宋体" w:cs="Times New Roman"/>
          <w:color w:val="auto"/>
          <w:sz w:val="24"/>
          <w:szCs w:val="24"/>
        </w:rPr>
      </w:pPr>
      <w:bookmarkStart w:id="143" w:name="_Toc196294645"/>
      <w:bookmarkStart w:id="144" w:name="_Toc182886666"/>
      <w:bookmarkStart w:id="145" w:name="_Toc124256789"/>
      <w:bookmarkStart w:id="146" w:name="_Toc159221038"/>
      <w:bookmarkStart w:id="147" w:name="_Toc183316726"/>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（招标人名称）：</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1．我方已仔细研究了</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（项目名称）招标文件的全部内容，愿意以人民币（大写）</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）的投标总报价，工期</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日历天，按合同约定进行实施和竣工承包工程，修补工程中的任何缺陷，实现工程目的。</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2．我方承诺在招标文件规定的投标有效期内不修改、撤销投标文件。</w:t>
      </w:r>
    </w:p>
    <w:p>
      <w:pPr>
        <w:spacing w:line="440" w:lineRule="exact"/>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3．随同本投标函提交投标保证金一份，金额为人民币（大写）</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u w:val="single"/>
        </w:rPr>
        <w:t xml:space="preserve">      </w:t>
      </w:r>
      <w:r>
        <w:rPr>
          <w:rFonts w:ascii="Times New Roman" w:hAnsi="Times New Roman" w:eastAsia="宋体" w:cs="Times New Roman"/>
          <w:color w:val="auto"/>
          <w:sz w:val="24"/>
          <w:szCs w:val="24"/>
          <w:highlight w:val="none"/>
        </w:rPr>
        <w:t xml:space="preserve"> ）。</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4．如我方中标：</w:t>
      </w:r>
    </w:p>
    <w:p>
      <w:pPr>
        <w:spacing w:line="440" w:lineRule="exact"/>
        <w:ind w:firstLine="820" w:firstLineChars="342"/>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（1）我方承诺在收到中标通知书后，在中标通知书规定的期限内与你方签订合同。</w:t>
      </w:r>
    </w:p>
    <w:p>
      <w:pPr>
        <w:spacing w:line="440" w:lineRule="exact"/>
        <w:ind w:firstLine="820" w:firstLineChars="342"/>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（2）本投标函属于合同文件的组成部分。</w:t>
      </w:r>
    </w:p>
    <w:p>
      <w:pPr>
        <w:spacing w:line="440" w:lineRule="exact"/>
        <w:ind w:firstLine="820" w:firstLineChars="342"/>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（3）我方承诺按照招标文件规定向你方递交履约担保。</w:t>
      </w:r>
    </w:p>
    <w:p>
      <w:pPr>
        <w:spacing w:line="440" w:lineRule="exact"/>
        <w:ind w:firstLine="820" w:firstLineChars="342"/>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（4）我方承诺在合同约定的期限内完成并移交全部合同工程。</w:t>
      </w:r>
    </w:p>
    <w:p>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5．我方在此声明，所递交的投标文件及有关资料内容完整、真实和准确。</w:t>
      </w:r>
    </w:p>
    <w:p>
      <w:pPr>
        <w:spacing w:line="440" w:lineRule="exact"/>
        <w:ind w:firstLine="4200" w:firstLineChars="1750"/>
        <w:rPr>
          <w:rFonts w:ascii="Times New Roman" w:hAnsi="Times New Roman" w:eastAsia="宋体" w:cs="Times New Roman"/>
          <w:color w:val="auto"/>
          <w:sz w:val="24"/>
          <w:szCs w:val="24"/>
        </w:rPr>
      </w:pPr>
    </w:p>
    <w:p>
      <w:pPr>
        <w:spacing w:line="440" w:lineRule="exact"/>
        <w:ind w:firstLine="4200" w:firstLineChars="1750"/>
        <w:rPr>
          <w:rFonts w:ascii="Times New Roman" w:hAnsi="Times New Roman" w:eastAsia="宋体" w:cs="Times New Roman"/>
          <w:color w:val="auto"/>
          <w:sz w:val="24"/>
          <w:szCs w:val="24"/>
        </w:rPr>
      </w:pP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投 标 人：</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（盖单位章）</w:t>
      </w: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法定代表人或其委托代理人：</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（签字）</w:t>
      </w: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地址：</w:t>
      </w:r>
      <w:r>
        <w:rPr>
          <w:rFonts w:ascii="Times New Roman" w:hAnsi="Times New Roman" w:eastAsia="宋体" w:cs="Times New Roman"/>
          <w:color w:val="auto"/>
          <w:sz w:val="24"/>
          <w:szCs w:val="24"/>
          <w:u w:val="single"/>
        </w:rPr>
        <w:t xml:space="preserve">                                     </w:t>
      </w: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网址：</w:t>
      </w:r>
      <w:r>
        <w:rPr>
          <w:rFonts w:ascii="Times New Roman" w:hAnsi="Times New Roman" w:eastAsia="宋体" w:cs="Times New Roman"/>
          <w:color w:val="auto"/>
          <w:sz w:val="24"/>
          <w:szCs w:val="24"/>
          <w:u w:val="single"/>
        </w:rPr>
        <w:t xml:space="preserve">                                     </w:t>
      </w: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电话：</w:t>
      </w:r>
      <w:r>
        <w:rPr>
          <w:rFonts w:ascii="Times New Roman" w:hAnsi="Times New Roman" w:eastAsia="宋体" w:cs="Times New Roman"/>
          <w:color w:val="auto"/>
          <w:sz w:val="24"/>
          <w:szCs w:val="24"/>
          <w:u w:val="single"/>
        </w:rPr>
        <w:t xml:space="preserve">                                     </w:t>
      </w: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传真：</w:t>
      </w:r>
      <w:r>
        <w:rPr>
          <w:rFonts w:ascii="Times New Roman" w:hAnsi="Times New Roman" w:eastAsia="宋体" w:cs="Times New Roman"/>
          <w:color w:val="auto"/>
          <w:sz w:val="24"/>
          <w:szCs w:val="24"/>
          <w:u w:val="single"/>
        </w:rPr>
        <w:t xml:space="preserve">                                     </w:t>
      </w:r>
    </w:p>
    <w:p>
      <w:pPr>
        <w:spacing w:line="440" w:lineRule="exact"/>
        <w:ind w:firstLine="3158" w:firstLineChars="1316"/>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邮政编码：</w:t>
      </w:r>
      <w:r>
        <w:rPr>
          <w:rFonts w:ascii="Times New Roman" w:hAnsi="Times New Roman" w:eastAsia="宋体" w:cs="Times New Roman"/>
          <w:color w:val="auto"/>
          <w:sz w:val="24"/>
          <w:szCs w:val="24"/>
          <w:u w:val="single"/>
        </w:rPr>
        <w:t xml:space="preserve">                                 </w:t>
      </w:r>
    </w:p>
    <w:p>
      <w:pPr>
        <w:spacing w:line="440" w:lineRule="exact"/>
        <w:ind w:firstLine="3158" w:firstLineChars="1316"/>
        <w:rPr>
          <w:rFonts w:ascii="Times New Roman" w:hAnsi="Times New Roman" w:eastAsia="宋体" w:cs="Times New Roman"/>
          <w:color w:val="auto"/>
          <w:sz w:val="24"/>
          <w:szCs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年</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月</w:t>
      </w:r>
      <w:r>
        <w:rPr>
          <w:rFonts w:ascii="Times New Roman" w:hAnsi="Times New Roman" w:eastAsia="宋体" w:cs="Times New Roman"/>
          <w:color w:val="auto"/>
          <w:sz w:val="24"/>
          <w:szCs w:val="24"/>
          <w:u w:val="single"/>
        </w:rPr>
        <w:t xml:space="preserve">      </w:t>
      </w:r>
      <w:r>
        <w:rPr>
          <w:rFonts w:ascii="Times New Roman" w:hAnsi="Times New Roman" w:eastAsia="宋体" w:cs="Times New Roman"/>
          <w:color w:val="auto"/>
          <w:sz w:val="24"/>
          <w:szCs w:val="24"/>
        </w:rPr>
        <w:t>日</w:t>
      </w:r>
    </w:p>
    <w:p>
      <w:pPr>
        <w:numPr>
          <w:ilvl w:val="0"/>
          <w:numId w:val="0"/>
        </w:numPr>
        <w:tabs>
          <w:tab w:val="left" w:pos="0"/>
        </w:tabs>
        <w:spacing w:before="72" w:after="72" w:line="360" w:lineRule="auto"/>
        <w:ind w:left="420" w:leftChars="0"/>
        <w:jc w:val="center"/>
        <w:rPr>
          <w:rFonts w:hint="eastAsia" w:ascii="宋体" w:cs="宋体"/>
          <w:sz w:val="30"/>
          <w:szCs w:val="30"/>
        </w:rPr>
      </w:pPr>
      <w:bookmarkStart w:id="148" w:name="_Toc23655"/>
      <w:bookmarkStart w:id="149" w:name="_Toc17506"/>
      <w:bookmarkStart w:id="150" w:name="_Toc247514283"/>
      <w:bookmarkStart w:id="151" w:name="_Toc21015"/>
      <w:bookmarkStart w:id="152" w:name="_Toc152045791"/>
      <w:bookmarkStart w:id="153" w:name="_Toc152042580"/>
      <w:bookmarkStart w:id="154" w:name="_Toc247527831"/>
      <w:bookmarkStart w:id="155" w:name="_Toc144974860"/>
      <w:bookmarkStart w:id="156" w:name="_Toc300835213"/>
      <w:r>
        <w:rPr>
          <w:rFonts w:ascii="Times New Roman" w:hAnsi="Times New Roman" w:eastAsia="宋体" w:cs="Times New Roman"/>
          <w:b/>
          <w:bCs/>
          <w:color w:val="auto"/>
          <w:sz w:val="28"/>
          <w:szCs w:val="28"/>
        </w:rPr>
        <w:t>1.2</w:t>
      </w:r>
      <w:bookmarkEnd w:id="148"/>
      <w:bookmarkEnd w:id="149"/>
      <w:bookmarkEnd w:id="150"/>
      <w:bookmarkEnd w:id="151"/>
      <w:bookmarkEnd w:id="152"/>
      <w:bookmarkEnd w:id="153"/>
      <w:bookmarkEnd w:id="154"/>
      <w:bookmarkEnd w:id="155"/>
      <w:bookmarkEnd w:id="156"/>
      <w:r>
        <w:rPr>
          <w:rFonts w:hint="eastAsia" w:ascii="宋体" w:cs="宋体"/>
          <w:b/>
          <w:kern w:val="44"/>
          <w:sz w:val="30"/>
          <w:szCs w:val="30"/>
        </w:rPr>
        <w:t>法定代表人（负责人）证明书</w:t>
      </w:r>
    </w:p>
    <w:p>
      <w:pPr>
        <w:adjustRightInd w:val="0"/>
        <w:snapToGrid w:val="0"/>
        <w:spacing w:before="120" w:beforeLines="50" w:after="120" w:afterLines="50" w:line="360" w:lineRule="auto"/>
        <w:rPr>
          <w:rFonts w:hint="eastAsia" w:ascii="宋体" w:cs="宋体"/>
          <w:b/>
          <w:sz w:val="24"/>
        </w:rPr>
      </w:pPr>
      <w:r>
        <w:rPr>
          <w:rFonts w:hint="eastAsia" w:ascii="宋体" w:cs="宋体"/>
          <w:b/>
          <w:sz w:val="24"/>
        </w:rPr>
        <w:t>致：广东有德招标采购有限公司</w:t>
      </w:r>
    </w:p>
    <w:p>
      <w:pPr>
        <w:spacing w:before="72" w:after="72" w:line="360" w:lineRule="auto"/>
        <w:ind w:firstLine="480" w:firstLineChars="200"/>
        <w:rPr>
          <w:rFonts w:hint="eastAsia" w:ascii="宋体" w:cs="宋体"/>
          <w:sz w:val="24"/>
        </w:rPr>
      </w:pPr>
      <w:r>
        <w:rPr>
          <w:rFonts w:hint="eastAsia" w:ascii="宋体" w:cs="宋体"/>
          <w:sz w:val="24"/>
          <w:u w:val="single"/>
        </w:rPr>
        <w:t>　　　</w:t>
      </w:r>
      <w:r>
        <w:rPr>
          <w:rFonts w:hint="eastAsia" w:ascii="宋体" w:cs="宋体"/>
          <w:sz w:val="24"/>
        </w:rPr>
        <w:t>同志，现任我单位</w:t>
      </w:r>
      <w:r>
        <w:rPr>
          <w:rFonts w:hint="eastAsia" w:ascii="宋体" w:cs="宋体"/>
          <w:sz w:val="24"/>
          <w:u w:val="single"/>
        </w:rPr>
        <w:t>　　　　　　　</w:t>
      </w:r>
      <w:r>
        <w:rPr>
          <w:rFonts w:hint="eastAsia" w:ascii="宋体" w:cs="宋体"/>
          <w:sz w:val="24"/>
        </w:rPr>
        <w:t>职务，为法定代表人（负责人），特此证明。</w:t>
      </w:r>
    </w:p>
    <w:p>
      <w:pPr>
        <w:spacing w:before="72" w:after="72" w:line="360" w:lineRule="auto"/>
        <w:ind w:firstLine="480" w:firstLineChars="200"/>
        <w:rPr>
          <w:rFonts w:hint="eastAsia" w:ascii="宋体" w:cs="宋体"/>
          <w:sz w:val="24"/>
        </w:rPr>
      </w:pPr>
      <w:r>
        <w:rPr>
          <w:rFonts w:hint="eastAsia" w:ascii="宋体" w:cs="宋体"/>
          <w:sz w:val="24"/>
        </w:rPr>
        <w:t>本证明书有效期与本公司投标文件中标注的投标有效期相同。</w:t>
      </w:r>
    </w:p>
    <w:p>
      <w:pPr>
        <w:spacing w:before="72" w:after="72" w:line="360" w:lineRule="auto"/>
        <w:ind w:firstLine="482" w:firstLineChars="200"/>
        <w:rPr>
          <w:rFonts w:hint="eastAsia" w:ascii="宋体" w:cs="宋体"/>
          <w:b/>
          <w:sz w:val="24"/>
        </w:rPr>
      </w:pPr>
    </w:p>
    <w:p>
      <w:pPr>
        <w:spacing w:before="72" w:after="72" w:line="360" w:lineRule="auto"/>
        <w:ind w:firstLine="420" w:firstLineChars="200"/>
        <w:rPr>
          <w:rFonts w:hint="eastAsia" w:ascii="宋体" w:cs="宋体"/>
          <w:szCs w:val="21"/>
        </w:rPr>
      </w:pPr>
    </w:p>
    <w:p>
      <w:pPr>
        <w:spacing w:before="72" w:after="72" w:line="360" w:lineRule="auto"/>
        <w:rPr>
          <w:rFonts w:hint="eastAsia" w:ascii="宋体" w:cs="宋体"/>
          <w:sz w:val="24"/>
        </w:rPr>
      </w:pPr>
      <w:r>
        <w:rPr>
          <w:rFonts w:hint="eastAsia" w:ascii="宋体" w:cs="宋体"/>
          <w:sz w:val="24"/>
        </w:rPr>
        <w:t>投标人名称（加盖公章）：</w:t>
      </w:r>
    </w:p>
    <w:p>
      <w:pPr>
        <w:spacing w:before="240" w:beforeLines="100"/>
        <w:rPr>
          <w:rFonts w:hint="eastAsia" w:ascii="宋体" w:cs="宋体"/>
          <w:b/>
          <w:bCs/>
          <w:sz w:val="28"/>
          <w:szCs w:val="28"/>
        </w:rPr>
      </w:pPr>
      <w:r>
        <w:rPr>
          <w:rFonts w:hint="eastAsia" w:ascii="宋体" w:cs="宋体"/>
          <w:sz w:val="24"/>
        </w:rPr>
        <w:t>日期：</w:t>
      </w:r>
      <w:r>
        <w:rPr>
          <w:rFonts w:hint="eastAsia" w:ascii="宋体" w:cs="宋体"/>
          <w:bCs/>
          <w:sz w:val="24"/>
        </w:rPr>
        <w:t xml:space="preserve">    年    月    日</w:t>
      </w:r>
    </w:p>
    <w:p>
      <w:pPr>
        <w:spacing w:before="72" w:after="72" w:line="360" w:lineRule="auto"/>
        <w:ind w:firstLine="480" w:firstLineChars="200"/>
        <w:rPr>
          <w:rFonts w:hint="eastAsia" w:ascii="宋体" w:cs="宋体"/>
          <w:sz w:val="24"/>
        </w:rPr>
      </w:pPr>
    </w:p>
    <w:p>
      <w:pPr>
        <w:spacing w:before="72" w:after="72" w:line="360" w:lineRule="auto"/>
        <w:ind w:firstLine="480" w:firstLineChars="200"/>
        <w:rPr>
          <w:rFonts w:hint="eastAsia" w:ascii="宋体" w:cs="宋体"/>
          <w:sz w:val="24"/>
        </w:rPr>
      </w:pPr>
    </w:p>
    <w:p>
      <w:pPr>
        <w:pStyle w:val="19"/>
        <w:spacing w:before="72" w:after="72" w:line="360" w:lineRule="auto"/>
        <w:rPr>
          <w:rFonts w:cs="宋体"/>
          <w:b/>
          <w:sz w:val="24"/>
        </w:rPr>
      </w:pPr>
      <w:r>
        <w:rPr>
          <w:rFonts w:hint="eastAsia" w:cs="宋体"/>
          <w:b/>
          <w:sz w:val="24"/>
        </w:rPr>
        <w:t>附法人身份证粘贴处（正反面）</w:t>
      </w:r>
    </w:p>
    <w:p>
      <w:pPr>
        <w:spacing w:before="72" w:after="72" w:line="360" w:lineRule="auto"/>
        <w:rPr>
          <w:rFonts w:hint="eastAsia" w:ascii="宋体" w:cs="宋体"/>
          <w:b/>
          <w:bCs/>
          <w:sz w:val="24"/>
        </w:rPr>
      </w:pPr>
      <w:r>
        <w:rPr>
          <w:rFonts w:hint="eastAsia" w:ascii="宋体" w:cs="宋体"/>
          <w:b/>
          <w:bCs/>
          <w:sz w:val="24"/>
        </w:rPr>
        <mc:AlternateContent>
          <mc:Choice Requires="wps">
            <w:drawing>
              <wp:anchor distT="0" distB="0" distL="114300" distR="114300" simplePos="0" relativeHeight="251667456" behindDoc="0" locked="0" layoutInCell="1" allowOverlap="1">
                <wp:simplePos x="0" y="0"/>
                <wp:positionH relativeFrom="column">
                  <wp:posOffset>2849880</wp:posOffset>
                </wp:positionH>
                <wp:positionV relativeFrom="paragraph">
                  <wp:posOffset>5715</wp:posOffset>
                </wp:positionV>
                <wp:extent cx="2628900" cy="1755140"/>
                <wp:effectExtent l="4445" t="4445" r="14605" b="12065"/>
                <wp:wrapNone/>
                <wp:docPr id="10" name="矩形 10"/>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rPr>
                                <w:rFonts w:eastAsia="黑体"/>
                                <w:b/>
                                <w:sz w:val="30"/>
                              </w:rPr>
                            </w:pPr>
                          </w:p>
                          <w:p>
                            <w:pPr>
                              <w:spacing w:before="72" w:after="72"/>
                              <w:rPr>
                                <w:rFonts w:eastAsia="黑体"/>
                                <w:b/>
                                <w:sz w:val="30"/>
                              </w:rPr>
                            </w:pPr>
                          </w:p>
                          <w:p>
                            <w:pPr>
                              <w:spacing w:before="72" w:after="72"/>
                              <w:jc w:val="center"/>
                              <w:rPr>
                                <w:rFonts w:hint="eastAsia" w:ascii="宋体" w:cs="宋体"/>
                                <w:sz w:val="24"/>
                              </w:rPr>
                            </w:pPr>
                            <w:r>
                              <w:rPr>
                                <w:rFonts w:hint="eastAsia" w:ascii="宋体" w:cs="宋体"/>
                                <w:sz w:val="24"/>
                              </w:rPr>
                              <w:t>法定代表人（负责人）</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（反面）</w:t>
                            </w:r>
                          </w:p>
                        </w:txbxContent>
                      </wps:txbx>
                      <wps:bodyPr upright="1"/>
                    </wps:wsp>
                  </a:graphicData>
                </a:graphic>
              </wp:anchor>
            </w:drawing>
          </mc:Choice>
          <mc:Fallback>
            <w:pict>
              <v:rect id="_x0000_s1026" o:spid="_x0000_s1026" o:spt="1" style="position:absolute;left:0pt;margin-left:224.4pt;margin-top:0.45pt;height:138.2pt;width:207pt;z-index:251667456;mso-width-relative:page;mso-height-relative:page;" fillcolor="#FFFFFF" filled="t" stroked="t" coordsize="21600,21600" o:gfxdata="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lNENcAAAAIAQAADwAAAAAAAAABACAAAAAiAAAAZHJz&#10;L2Rvd25yZXYueG1sUEsBAhQAFAAAAAgAh07iQANqiNwFAgAALAQAAA4AAAAAAAAAAQAgAAAAJgEA&#10;AGRycy9lMm9Eb2MueG1sUEsFBgAAAAAGAAYAWQEAAJ0FA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hint="eastAsia" w:ascii="宋体" w:cs="宋体"/>
                          <w:sz w:val="24"/>
                        </w:rPr>
                      </w:pPr>
                      <w:r>
                        <w:rPr>
                          <w:rFonts w:hint="eastAsia" w:ascii="宋体" w:cs="宋体"/>
                          <w:sz w:val="24"/>
                        </w:rPr>
                        <w:t>法定代表人（负责人）</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（反面）</w:t>
                      </w:r>
                    </w:p>
                  </w:txbxContent>
                </v:textbox>
              </v:rect>
            </w:pict>
          </mc:Fallback>
        </mc:AlternateContent>
      </w:r>
      <w:r>
        <w:rPr>
          <w:rFonts w:hint="eastAsia" w:ascii="宋体" w:cs="宋体"/>
          <w:b/>
          <w:bCs/>
          <w:sz w:val="24"/>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39370</wp:posOffset>
                </wp:positionV>
                <wp:extent cx="2628900" cy="1755140"/>
                <wp:effectExtent l="4445" t="4445" r="14605" b="12065"/>
                <wp:wrapNone/>
                <wp:docPr id="22" name="矩形 2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rPr>
                                <w:rFonts w:eastAsia="黑体"/>
                                <w:b/>
                                <w:sz w:val="30"/>
                              </w:rPr>
                            </w:pPr>
                          </w:p>
                          <w:p>
                            <w:pPr>
                              <w:spacing w:before="72" w:after="72"/>
                              <w:rPr>
                                <w:rFonts w:eastAsia="黑体"/>
                                <w:b/>
                                <w:sz w:val="30"/>
                              </w:rPr>
                            </w:pPr>
                          </w:p>
                          <w:p>
                            <w:pPr>
                              <w:spacing w:before="72" w:after="72"/>
                              <w:jc w:val="center"/>
                              <w:rPr>
                                <w:rFonts w:hint="eastAsia" w:ascii="宋体" w:cs="宋体"/>
                                <w:sz w:val="24"/>
                              </w:rPr>
                            </w:pPr>
                            <w:r>
                              <w:rPr>
                                <w:rFonts w:hint="eastAsia" w:ascii="宋体" w:cs="宋体"/>
                                <w:sz w:val="24"/>
                              </w:rPr>
                              <w:t>法定代表人（负责人）</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（正面）</w:t>
                            </w:r>
                          </w:p>
                        </w:txbxContent>
                      </wps:txbx>
                      <wps:bodyPr upright="1"/>
                    </wps:wsp>
                  </a:graphicData>
                </a:graphic>
              </wp:anchor>
            </w:drawing>
          </mc:Choice>
          <mc:Fallback>
            <w:pict>
              <v:rect id="_x0000_s1026" o:spid="_x0000_s1026" o:spt="1" style="position:absolute;left:0pt;margin-left:9pt;margin-top:3.1pt;height:138.2pt;width:207pt;z-index:251668480;mso-width-relative:page;mso-height-relative:page;" fillcolor="#FFFFFF" filled="t" stroked="t" coordsize="21600,21600" o:gfxdata="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ANA/1QAAAAgBAAAPAAAAAAAAAAEAIAAAACIAAABkcnMv&#10;ZG93bnJldi54bWxQSwECFAAUAAAACACHTuJAHKg6XQYCAAAsBAAADgAAAAAAAAABACAAAAAkAQAA&#10;ZHJzL2Uyb0RvYy54bWxQSwUGAAAAAAYABgBZAQAAnAU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hint="eastAsia" w:ascii="宋体" w:cs="宋体"/>
                          <w:sz w:val="24"/>
                        </w:rPr>
                      </w:pPr>
                      <w:r>
                        <w:rPr>
                          <w:rFonts w:hint="eastAsia" w:ascii="宋体" w:cs="宋体"/>
                          <w:sz w:val="24"/>
                        </w:rPr>
                        <w:t>法定代表人（负责人）</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（正面）</w:t>
                      </w:r>
                    </w:p>
                  </w:txbxContent>
                </v:textbox>
              </v:rect>
            </w:pict>
          </mc:Fallback>
        </mc:AlternateContent>
      </w: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sectPr>
          <w:pgSz w:w="11906" w:h="16838"/>
          <w:pgMar w:top="1440" w:right="1800" w:bottom="1440" w:left="1800" w:header="851" w:footer="992" w:gutter="0"/>
          <w:cols w:space="720" w:num="1"/>
          <w:docGrid w:linePitch="312" w:charSpace="0"/>
        </w:sectPr>
      </w:pPr>
      <w:r>
        <w:rPr>
          <w:rFonts w:hint="eastAsia" w:ascii="宋体" w:cs="宋体"/>
          <w:b/>
          <w:bCs/>
          <w:sz w:val="24"/>
        </w:rPr>
        <w:t>说明：分支机构投标的，负责人指《营业执照》上载明的负责人。</w:t>
      </w:r>
    </w:p>
    <w:p>
      <w:pPr>
        <w:numPr>
          <w:ilvl w:val="0"/>
          <w:numId w:val="0"/>
        </w:numPr>
        <w:tabs>
          <w:tab w:val="left" w:pos="0"/>
        </w:tabs>
        <w:spacing w:before="72" w:after="72" w:line="360" w:lineRule="auto"/>
        <w:ind w:left="420" w:leftChars="0"/>
        <w:jc w:val="center"/>
        <w:rPr>
          <w:rFonts w:hint="eastAsia" w:ascii="宋体" w:cs="宋体"/>
          <w:b/>
          <w:kern w:val="44"/>
          <w:sz w:val="28"/>
          <w:szCs w:val="28"/>
        </w:rPr>
      </w:pPr>
      <w:bookmarkStart w:id="157" w:name="_Toc413404716"/>
      <w:bookmarkStart w:id="158" w:name="_Toc413372470"/>
      <w:bookmarkStart w:id="159" w:name="_Toc414383032"/>
      <w:bookmarkStart w:id="160" w:name="_Toc413373063"/>
      <w:bookmarkStart w:id="161" w:name="_Toc414383247"/>
      <w:bookmarkStart w:id="162" w:name="_Toc417738414"/>
      <w:bookmarkStart w:id="163" w:name="_Toc381489428"/>
      <w:bookmarkStart w:id="164" w:name="_Toc415496511"/>
      <w:bookmarkStart w:id="165" w:name="_Toc415494949"/>
      <w:r>
        <w:rPr>
          <w:rFonts w:hint="eastAsia" w:ascii="宋体" w:cs="宋体"/>
          <w:b/>
          <w:kern w:val="44"/>
          <w:sz w:val="28"/>
          <w:szCs w:val="28"/>
          <w:lang w:val="en-US" w:eastAsia="zh-CN"/>
        </w:rPr>
        <w:t>1.3</w:t>
      </w:r>
      <w:r>
        <w:rPr>
          <w:rFonts w:hint="eastAsia" w:ascii="宋体" w:cs="宋体"/>
          <w:b/>
          <w:kern w:val="44"/>
          <w:sz w:val="28"/>
          <w:szCs w:val="28"/>
        </w:rPr>
        <w:t>法定代表人（负责人）授权委托书</w:t>
      </w:r>
      <w:bookmarkEnd w:id="157"/>
      <w:bookmarkEnd w:id="158"/>
      <w:bookmarkEnd w:id="159"/>
      <w:bookmarkEnd w:id="160"/>
      <w:bookmarkEnd w:id="161"/>
      <w:bookmarkEnd w:id="162"/>
      <w:bookmarkEnd w:id="163"/>
      <w:bookmarkEnd w:id="164"/>
      <w:bookmarkEnd w:id="165"/>
    </w:p>
    <w:p>
      <w:pPr>
        <w:spacing w:before="120" w:beforeLines="50" w:after="120" w:afterLines="50" w:line="360" w:lineRule="auto"/>
        <w:rPr>
          <w:rFonts w:hint="eastAsia" w:ascii="宋体" w:cs="宋体"/>
          <w:b/>
          <w:sz w:val="24"/>
        </w:rPr>
      </w:pPr>
      <w:r>
        <w:rPr>
          <w:rFonts w:hint="eastAsia" w:ascii="宋体" w:cs="宋体"/>
          <w:b/>
          <w:sz w:val="24"/>
        </w:rPr>
        <w:t>致：广东有德招标采购有限公司</w:t>
      </w:r>
    </w:p>
    <w:p>
      <w:pPr>
        <w:pStyle w:val="19"/>
        <w:spacing w:before="72" w:after="72" w:line="360" w:lineRule="auto"/>
        <w:ind w:firstLine="420"/>
        <w:rPr>
          <w:rFonts w:cs="宋体"/>
          <w:sz w:val="24"/>
        </w:rPr>
      </w:pPr>
      <w:r>
        <w:rPr>
          <w:rFonts w:hint="eastAsia" w:cs="宋体"/>
          <w:sz w:val="24"/>
        </w:rPr>
        <w:t>我</w:t>
      </w:r>
      <w:r>
        <w:rPr>
          <w:rFonts w:hint="eastAsia" w:cs="宋体"/>
          <w:sz w:val="24"/>
          <w:u w:val="single"/>
        </w:rPr>
        <w:t>　　   　　</w:t>
      </w:r>
      <w:r>
        <w:rPr>
          <w:rFonts w:hint="eastAsia" w:cs="宋体"/>
          <w:sz w:val="24"/>
        </w:rPr>
        <w:t>（姓名）系</w:t>
      </w:r>
      <w:r>
        <w:rPr>
          <w:rFonts w:hint="eastAsia" w:cs="宋体"/>
          <w:sz w:val="24"/>
          <w:u w:val="single"/>
        </w:rPr>
        <w:t>　　  　　　　</w:t>
      </w:r>
      <w:r>
        <w:rPr>
          <w:rFonts w:hint="eastAsia" w:cs="宋体"/>
          <w:sz w:val="24"/>
        </w:rPr>
        <w:t>（投标人名称）的法定代表人（负责人），现授权委托</w:t>
      </w:r>
      <w:r>
        <w:rPr>
          <w:rFonts w:hint="eastAsia" w:cs="宋体"/>
          <w:sz w:val="24"/>
          <w:u w:val="single"/>
        </w:rPr>
        <w:t>　　　  　　　　　   　　　</w:t>
      </w:r>
      <w:r>
        <w:rPr>
          <w:rFonts w:hint="eastAsia" w:cs="宋体"/>
          <w:sz w:val="24"/>
        </w:rPr>
        <w:t>（被授权人姓名、职务）为我公司授权代表，</w:t>
      </w:r>
      <w:r>
        <w:rPr>
          <w:rFonts w:hint="eastAsia" w:cs="宋体"/>
          <w:sz w:val="24"/>
          <w:highlight w:val="none"/>
        </w:rPr>
        <w:t>以本公司的名义参加</w:t>
      </w:r>
      <w:r>
        <w:rPr>
          <w:rFonts w:hint="eastAsia" w:cs="宋体"/>
          <w:sz w:val="24"/>
          <w:highlight w:val="none"/>
          <w:u w:val="single"/>
          <w:lang w:val="zh-CN"/>
        </w:rPr>
        <w:t>（项目名称：南方报业传媒大厦电梯更换项目、项目编号1210-2340YDZB5909 ）</w:t>
      </w:r>
      <w:r>
        <w:rPr>
          <w:rFonts w:hint="eastAsia" w:cs="宋体"/>
          <w:sz w:val="24"/>
          <w:highlight w:val="none"/>
        </w:rPr>
        <w:t>的投标活</w:t>
      </w:r>
      <w:r>
        <w:rPr>
          <w:rFonts w:hint="eastAsia" w:cs="宋体"/>
          <w:sz w:val="24"/>
        </w:rPr>
        <w:t>动以及处理与之有关的一切事务。</w:t>
      </w:r>
    </w:p>
    <w:p>
      <w:pPr>
        <w:pStyle w:val="19"/>
        <w:spacing w:before="72" w:after="72" w:line="360" w:lineRule="auto"/>
        <w:ind w:firstLine="420"/>
        <w:rPr>
          <w:rFonts w:cs="宋体"/>
          <w:sz w:val="24"/>
        </w:rPr>
      </w:pPr>
      <w:r>
        <w:rPr>
          <w:rFonts w:hint="eastAsia" w:cs="宋体"/>
          <w:sz w:val="24"/>
        </w:rPr>
        <w:t>本授权委托书自法定代表人（负责人）签字之日起生效，被授权人</w:t>
      </w:r>
      <w:r>
        <w:rPr>
          <w:rFonts w:hint="eastAsia" w:cs="宋体"/>
          <w:sz w:val="24"/>
          <w:u w:val="single"/>
        </w:rPr>
        <w:t>（投标人授权代表）</w:t>
      </w:r>
      <w:r>
        <w:rPr>
          <w:rFonts w:hint="eastAsia" w:cs="宋体"/>
          <w:sz w:val="24"/>
        </w:rPr>
        <w:t>无转委托权限。</w:t>
      </w:r>
    </w:p>
    <w:p>
      <w:pPr>
        <w:pStyle w:val="19"/>
        <w:spacing w:before="72" w:after="72" w:line="360" w:lineRule="auto"/>
        <w:ind w:firstLine="420"/>
        <w:rPr>
          <w:rFonts w:cs="宋体"/>
          <w:sz w:val="24"/>
        </w:rPr>
      </w:pPr>
    </w:p>
    <w:p>
      <w:pPr>
        <w:pStyle w:val="19"/>
        <w:spacing w:before="72" w:after="72" w:line="360" w:lineRule="auto"/>
        <w:rPr>
          <w:rFonts w:cs="宋体"/>
          <w:sz w:val="24"/>
        </w:rPr>
      </w:pPr>
    </w:p>
    <w:p>
      <w:pPr>
        <w:adjustRightInd w:val="0"/>
        <w:snapToGrid w:val="0"/>
        <w:spacing w:before="72" w:after="72" w:line="480" w:lineRule="auto"/>
        <w:rPr>
          <w:rFonts w:hint="eastAsia" w:ascii="宋体" w:cs="宋体"/>
          <w:sz w:val="24"/>
          <w:u w:val="single"/>
        </w:rPr>
      </w:pPr>
      <w:r>
        <w:rPr>
          <w:rFonts w:hint="eastAsia" w:ascii="宋体" w:cs="宋体"/>
          <w:sz w:val="24"/>
        </w:rPr>
        <w:t>投标人名称（加盖公章）：</w:t>
      </w:r>
    </w:p>
    <w:p>
      <w:pPr>
        <w:adjustRightInd w:val="0"/>
        <w:snapToGrid w:val="0"/>
        <w:spacing w:before="72" w:after="72" w:line="480" w:lineRule="auto"/>
        <w:rPr>
          <w:rFonts w:hint="eastAsia" w:ascii="宋体" w:cs="宋体"/>
          <w:sz w:val="24"/>
          <w:u w:val="single"/>
        </w:rPr>
      </w:pPr>
      <w:r>
        <w:rPr>
          <w:rFonts w:hint="eastAsia" w:ascii="宋体" w:cs="宋体"/>
          <w:sz w:val="24"/>
        </w:rPr>
        <w:t>投标人法定代表人（负责人）（签字或签章）：</w:t>
      </w:r>
    </w:p>
    <w:p>
      <w:pPr>
        <w:pStyle w:val="19"/>
        <w:spacing w:before="72" w:after="72" w:line="360" w:lineRule="auto"/>
        <w:rPr>
          <w:rFonts w:hint="eastAsia" w:cs="宋体"/>
          <w:sz w:val="24"/>
        </w:rPr>
      </w:pPr>
      <w:r>
        <w:rPr>
          <w:rFonts w:hint="eastAsia" w:cs="宋体"/>
          <w:sz w:val="24"/>
        </w:rPr>
        <w:t>投标人授权代表（签字或签章）：</w:t>
      </w:r>
    </w:p>
    <w:p>
      <w:pPr>
        <w:pStyle w:val="19"/>
        <w:spacing w:before="72" w:after="72" w:line="360" w:lineRule="auto"/>
        <w:rPr>
          <w:rFonts w:cs="宋体"/>
          <w:sz w:val="24"/>
        </w:rPr>
      </w:pPr>
      <w:r>
        <w:rPr>
          <w:rFonts w:hint="eastAsia" w:cs="宋体"/>
          <w:sz w:val="24"/>
        </w:rPr>
        <w:t>签发日期：   年   月   日</w:t>
      </w:r>
    </w:p>
    <w:p>
      <w:pPr>
        <w:pStyle w:val="19"/>
        <w:spacing w:before="72" w:after="72" w:line="360" w:lineRule="auto"/>
        <w:rPr>
          <w:rFonts w:cs="宋体"/>
          <w:sz w:val="24"/>
        </w:rPr>
      </w:pPr>
    </w:p>
    <w:p>
      <w:pPr>
        <w:spacing w:before="72" w:after="72" w:line="360" w:lineRule="auto"/>
        <w:rPr>
          <w:rFonts w:hint="eastAsia" w:ascii="宋体" w:cs="宋体"/>
          <w:b/>
          <w:bCs/>
          <w:sz w:val="24"/>
        </w:rPr>
      </w:pPr>
      <w:r>
        <w:rPr>
          <w:rFonts w:hint="eastAsia" w:ascii="宋体" w:cs="宋体"/>
          <w:b/>
          <w:bCs/>
          <w:sz w:val="24"/>
        </w:rPr>
        <mc:AlternateContent>
          <mc:Choice Requires="wps">
            <w:drawing>
              <wp:anchor distT="0" distB="0" distL="114300" distR="114300" simplePos="0" relativeHeight="251665408" behindDoc="0" locked="0" layoutInCell="1" allowOverlap="1">
                <wp:simplePos x="0" y="0"/>
                <wp:positionH relativeFrom="column">
                  <wp:posOffset>2834640</wp:posOffset>
                </wp:positionH>
                <wp:positionV relativeFrom="paragraph">
                  <wp:posOffset>5715</wp:posOffset>
                </wp:positionV>
                <wp:extent cx="2628900" cy="1755140"/>
                <wp:effectExtent l="4445" t="4445" r="14605" b="12065"/>
                <wp:wrapNone/>
                <wp:docPr id="21" name="矩形 21"/>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rPr>
                                <w:rFonts w:eastAsia="黑体"/>
                                <w:b/>
                                <w:sz w:val="30"/>
                              </w:rPr>
                            </w:pPr>
                          </w:p>
                          <w:p>
                            <w:pPr>
                              <w:spacing w:before="72" w:after="72"/>
                              <w:rPr>
                                <w:rFonts w:hint="eastAsia" w:ascii="宋体" w:cs="宋体"/>
                                <w:b/>
                                <w:sz w:val="30"/>
                              </w:rPr>
                            </w:pPr>
                          </w:p>
                          <w:p>
                            <w:pPr>
                              <w:spacing w:before="72" w:after="72"/>
                              <w:jc w:val="center"/>
                              <w:rPr>
                                <w:rFonts w:hint="eastAsia" w:ascii="宋体" w:cs="宋体"/>
                                <w:sz w:val="24"/>
                              </w:rPr>
                            </w:pPr>
                            <w:r>
                              <w:rPr>
                                <w:rFonts w:hint="eastAsia" w:ascii="宋体" w:cs="宋体"/>
                                <w:sz w:val="24"/>
                              </w:rPr>
                              <w:t>被授权人（授权代表）</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（反面）</w:t>
                            </w:r>
                          </w:p>
                        </w:txbxContent>
                      </wps:txbx>
                      <wps:bodyPr upright="1"/>
                    </wps:wsp>
                  </a:graphicData>
                </a:graphic>
              </wp:anchor>
            </w:drawing>
          </mc:Choice>
          <mc:Fallback>
            <w:pict>
              <v:rect id="_x0000_s1026" o:spid="_x0000_s1026" o:spt="1" style="position:absolute;left:0pt;margin-left:223.2pt;margin-top:0.45pt;height:138.2pt;width:207pt;z-index:251665408;mso-width-relative:page;mso-height-relative:page;" fillcolor="#FFFFFF" filled="t" stroked="t" coordsize="21600,21600" o:gfxdata="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xPIOdcAAAAIAQAADwAAAAAAAAABACAAAAAiAAAAZHJz&#10;L2Rvd25yZXYueG1sUEsBAhQAFAAAAAgAh07iQOmCMjcFAgAALAQAAA4AAAAAAAAAAQAgAAAAJgEA&#10;AGRycy9lMm9Eb2MueG1sUEsFBgAAAAAGAAYAWQEAAJ0FAAAAAA==&#10;">
                <v:fill on="t" focussize="0,0"/>
                <v:stroke color="#000000" joinstyle="miter"/>
                <v:imagedata o:title=""/>
                <o:lock v:ext="edit" aspectratio="f"/>
                <v:textbox>
                  <w:txbxContent>
                    <w:p>
                      <w:pPr>
                        <w:spacing w:before="72" w:after="72"/>
                        <w:rPr>
                          <w:rFonts w:eastAsia="黑体"/>
                          <w:b/>
                          <w:sz w:val="30"/>
                        </w:rPr>
                      </w:pPr>
                    </w:p>
                    <w:p>
                      <w:pPr>
                        <w:spacing w:before="72" w:after="72"/>
                        <w:rPr>
                          <w:rFonts w:hint="eastAsia" w:ascii="宋体" w:cs="宋体"/>
                          <w:b/>
                          <w:sz w:val="30"/>
                        </w:rPr>
                      </w:pPr>
                    </w:p>
                    <w:p>
                      <w:pPr>
                        <w:spacing w:before="72" w:after="72"/>
                        <w:jc w:val="center"/>
                        <w:rPr>
                          <w:rFonts w:hint="eastAsia" w:ascii="宋体" w:cs="宋体"/>
                          <w:sz w:val="24"/>
                        </w:rPr>
                      </w:pPr>
                      <w:r>
                        <w:rPr>
                          <w:rFonts w:hint="eastAsia" w:ascii="宋体" w:cs="宋体"/>
                          <w:sz w:val="24"/>
                        </w:rPr>
                        <w:t>被授权人（授权代表）</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（反面）</w:t>
                      </w:r>
                    </w:p>
                  </w:txbxContent>
                </v:textbox>
              </v:rect>
            </w:pict>
          </mc:Fallback>
        </mc:AlternateContent>
      </w:r>
      <w:r>
        <w:rPr>
          <w:rFonts w:hint="eastAsia" w:ascii="宋体" w:cs="宋体"/>
          <w:b/>
          <w:bCs/>
          <w:sz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39370</wp:posOffset>
                </wp:positionV>
                <wp:extent cx="2628900" cy="1755140"/>
                <wp:effectExtent l="4445" t="4445" r="14605" b="12065"/>
                <wp:wrapNone/>
                <wp:docPr id="9" name="矩形 9"/>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72" w:after="72"/>
                              <w:rPr>
                                <w:rFonts w:eastAsia="黑体"/>
                                <w:b/>
                                <w:sz w:val="30"/>
                              </w:rPr>
                            </w:pPr>
                          </w:p>
                          <w:p>
                            <w:pPr>
                              <w:spacing w:before="72" w:after="72"/>
                              <w:rPr>
                                <w:rFonts w:eastAsia="黑体"/>
                                <w:b/>
                                <w:sz w:val="30"/>
                              </w:rPr>
                            </w:pPr>
                          </w:p>
                          <w:p>
                            <w:pPr>
                              <w:spacing w:before="72" w:after="72"/>
                              <w:jc w:val="center"/>
                              <w:rPr>
                                <w:rFonts w:hint="eastAsia" w:ascii="宋体" w:cs="宋体"/>
                                <w:sz w:val="24"/>
                              </w:rPr>
                            </w:pPr>
                            <w:r>
                              <w:rPr>
                                <w:rFonts w:hint="eastAsia" w:ascii="宋体" w:cs="宋体"/>
                                <w:sz w:val="24"/>
                              </w:rPr>
                              <w:t>被授权人（授权代表）</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（正面）</w:t>
                            </w:r>
                          </w:p>
                        </w:txbxContent>
                      </wps:txbx>
                      <wps:bodyPr upright="1"/>
                    </wps:wsp>
                  </a:graphicData>
                </a:graphic>
              </wp:anchor>
            </w:drawing>
          </mc:Choice>
          <mc:Fallback>
            <w:pict>
              <v:rect id="_x0000_s1026" o:spid="_x0000_s1026" o:spt="1" style="position:absolute;left:0pt;margin-left:9pt;margin-top:3.1pt;height:138.2pt;width:207pt;z-index:251666432;mso-width-relative:page;mso-height-relative:page;" fillcolor="#FFFFFF" filled="t" stroked="t" coordsize="21600,21600" o:gfxdata="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ADQP9UAAAAIAQAADwAAAAAAAAABACAAAAAiAAAAZHJzL2Rv&#10;d25yZXYueG1sUEsBAhQAFAAAAAgAh07iQNUVD3kEAgAAKgQAAA4AAAAAAAAAAQAgAAAAJAEAAGRy&#10;cy9lMm9Eb2MueG1sUEsFBgAAAAAGAAYAWQEAAJoFA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hint="eastAsia" w:ascii="宋体" w:cs="宋体"/>
                          <w:sz w:val="24"/>
                        </w:rPr>
                      </w:pPr>
                      <w:r>
                        <w:rPr>
                          <w:rFonts w:hint="eastAsia" w:ascii="宋体" w:cs="宋体"/>
                          <w:sz w:val="24"/>
                        </w:rPr>
                        <w:t>被授权人（授权代表）</w:t>
                      </w:r>
                    </w:p>
                    <w:p>
                      <w:pPr>
                        <w:spacing w:before="72" w:after="72"/>
                        <w:jc w:val="center"/>
                        <w:rPr>
                          <w:rFonts w:hint="eastAsia" w:ascii="宋体" w:cs="宋体"/>
                          <w:sz w:val="24"/>
                        </w:rPr>
                      </w:pPr>
                      <w:r>
                        <w:rPr>
                          <w:rFonts w:hint="eastAsia" w:ascii="宋体" w:cs="宋体"/>
                          <w:sz w:val="24"/>
                        </w:rPr>
                        <w:t>居民身份证复印件粘贴处</w:t>
                      </w:r>
                    </w:p>
                    <w:p>
                      <w:pPr>
                        <w:spacing w:before="72" w:after="72"/>
                        <w:jc w:val="center"/>
                        <w:rPr>
                          <w:rFonts w:hint="eastAsia" w:ascii="宋体" w:cs="宋体"/>
                          <w:sz w:val="24"/>
                        </w:rPr>
                      </w:pPr>
                      <w:r>
                        <w:rPr>
                          <w:rFonts w:hint="eastAsia" w:ascii="宋体" w:cs="宋体"/>
                          <w:sz w:val="24"/>
                        </w:rPr>
                        <w:t>（正面）</w:t>
                      </w:r>
                    </w:p>
                  </w:txbxContent>
                </v:textbox>
              </v:rect>
            </w:pict>
          </mc:Fallback>
        </mc:AlternateContent>
      </w: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p>
    <w:p>
      <w:pPr>
        <w:spacing w:before="72" w:after="72" w:line="360" w:lineRule="auto"/>
        <w:rPr>
          <w:rFonts w:hint="eastAsia" w:ascii="宋体" w:cs="宋体"/>
          <w:b/>
          <w:bCs/>
          <w:sz w:val="24"/>
        </w:rPr>
      </w:pPr>
      <w:r>
        <w:rPr>
          <w:rFonts w:hint="eastAsia" w:ascii="宋体" w:cs="宋体"/>
          <w:b/>
          <w:bCs/>
          <w:sz w:val="24"/>
        </w:rPr>
        <w:t>说明：</w:t>
      </w:r>
    </w:p>
    <w:p>
      <w:pPr>
        <w:spacing w:before="72" w:after="72" w:line="360" w:lineRule="auto"/>
        <w:rPr>
          <w:rFonts w:hint="eastAsia" w:ascii="宋体" w:cs="宋体"/>
          <w:b/>
          <w:bCs/>
          <w:sz w:val="24"/>
        </w:rPr>
      </w:pPr>
      <w:r>
        <w:rPr>
          <w:rFonts w:hint="eastAsia" w:ascii="宋体" w:cs="宋体"/>
          <w:b/>
          <w:bCs/>
          <w:sz w:val="24"/>
        </w:rPr>
        <w:t>1、分支机构投标的，负责人指《营业执照》上载明的负责人。</w:t>
      </w:r>
    </w:p>
    <w:p>
      <w:pPr>
        <w:spacing w:before="72" w:after="72" w:line="360" w:lineRule="auto"/>
        <w:rPr>
          <w:rFonts w:hint="eastAsia" w:ascii="宋体" w:cs="宋体"/>
          <w:b/>
          <w:bCs/>
          <w:sz w:val="24"/>
        </w:rPr>
      </w:pPr>
      <w:r>
        <w:rPr>
          <w:rFonts w:hint="eastAsia" w:ascii="宋体" w:cs="宋体"/>
          <w:b/>
          <w:bCs/>
          <w:sz w:val="24"/>
        </w:rPr>
        <w:t>2、法定代表人（负责人）参加投标的，无需提交本授权书。</w:t>
      </w: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color w:val="auto"/>
          <w:sz w:val="28"/>
          <w:szCs w:val="28"/>
        </w:rPr>
      </w:pPr>
      <w:r>
        <w:rPr>
          <w:rFonts w:ascii="Times New Roman" w:hAnsi="Times New Roman" w:eastAsia="黑体" w:cs="Times New Roman"/>
          <w:color w:val="auto"/>
          <w:sz w:val="24"/>
          <w:szCs w:val="24"/>
        </w:rPr>
        <w:br w:type="page"/>
      </w:r>
      <w:bookmarkEnd w:id="143"/>
      <w:bookmarkEnd w:id="144"/>
      <w:bookmarkEnd w:id="145"/>
      <w:bookmarkEnd w:id="146"/>
      <w:bookmarkEnd w:id="147"/>
      <w:bookmarkStart w:id="166" w:name="_Toc20193"/>
      <w:bookmarkStart w:id="167" w:name="_Toc18108"/>
      <w:bookmarkStart w:id="168" w:name="_Toc23154"/>
      <w:bookmarkStart w:id="169" w:name="_Toc25186"/>
      <w:bookmarkStart w:id="170" w:name="_Toc423021968"/>
      <w:bookmarkStart w:id="171" w:name="_Toc16612"/>
      <w:bookmarkStart w:id="172" w:name="_Toc20287"/>
      <w:bookmarkStart w:id="173" w:name="_Toc31305"/>
      <w:bookmarkStart w:id="174" w:name="_Toc24369"/>
      <w:bookmarkStart w:id="175" w:name="_Toc381489432"/>
      <w:bookmarkStart w:id="176" w:name="_Toc196294634"/>
      <w:r>
        <w:rPr>
          <w:rFonts w:ascii="Times New Roman" w:hAnsi="Times New Roman" w:eastAsia="宋体" w:cs="Times New Roman"/>
          <w:b/>
          <w:bCs/>
          <w:color w:val="auto"/>
          <w:sz w:val="28"/>
          <w:szCs w:val="28"/>
        </w:rPr>
        <w:t>1.4资格声明的文件</w:t>
      </w:r>
      <w:bookmarkEnd w:id="166"/>
      <w:bookmarkEnd w:id="167"/>
      <w:bookmarkEnd w:id="168"/>
      <w:bookmarkEnd w:id="169"/>
    </w:p>
    <w:p>
      <w:pPr>
        <w:spacing w:before="120" w:beforeLines="50" w:after="120" w:afterLines="50" w:line="360" w:lineRule="auto"/>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致：广东有德招标采购有限公司</w:t>
      </w:r>
    </w:p>
    <w:p>
      <w:pPr>
        <w:adjustRightInd w:val="0"/>
        <w:snapToGrid w:val="0"/>
        <w:spacing w:line="360" w:lineRule="auto"/>
        <w:ind w:firstLine="480" w:firstLineChars="200"/>
        <w:rPr>
          <w:rFonts w:ascii="Times New Roman" w:hAnsi="Times New Roman" w:eastAsia="宋体" w:cs="Times New Roman"/>
          <w:b/>
          <w:bCs/>
          <w:color w:val="auto"/>
          <w:sz w:val="24"/>
          <w:szCs w:val="24"/>
        </w:rPr>
      </w:pPr>
      <w:r>
        <w:rPr>
          <w:rFonts w:ascii="Times New Roman" w:hAnsi="Times New Roman" w:eastAsia="宋体" w:cs="Times New Roman"/>
          <w:color w:val="auto"/>
          <w:sz w:val="24"/>
          <w:szCs w:val="24"/>
        </w:rPr>
        <w:t>关于贵方采购</w:t>
      </w:r>
      <w:r>
        <w:rPr>
          <w:rFonts w:ascii="Times New Roman" w:hAnsi="Times New Roman" w:eastAsia="宋体" w:cs="Times New Roman"/>
          <w:color w:val="auto"/>
          <w:sz w:val="24"/>
          <w:szCs w:val="24"/>
          <w:u w:val="single"/>
        </w:rPr>
        <w:t xml:space="preserve">  （项目名称） （项目编号：      ）</w:t>
      </w:r>
      <w:r>
        <w:rPr>
          <w:rFonts w:ascii="Times New Roman" w:hAnsi="Times New Roman" w:eastAsia="宋体" w:cs="Times New Roman"/>
          <w:color w:val="auto"/>
          <w:sz w:val="24"/>
          <w:szCs w:val="24"/>
        </w:rPr>
        <w:t>，本单位愿意提交投标文件，并证明提交下列文件和说明是真实和有效的，具体要求如下：</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066"/>
        <w:gridCol w:w="3336"/>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386"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审查项目</w:t>
            </w:r>
          </w:p>
        </w:tc>
        <w:tc>
          <w:tcPr>
            <w:tcW w:w="1958"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须审查的资料</w:t>
            </w:r>
          </w:p>
        </w:tc>
        <w:tc>
          <w:tcPr>
            <w:tcW w:w="387" w:type="pct"/>
            <w:tcBorders>
              <w:top w:val="single" w:color="auto" w:sz="4" w:space="0"/>
              <w:left w:val="single" w:color="auto" w:sz="4" w:space="0"/>
              <w:bottom w:val="single" w:color="auto" w:sz="4" w:space="0"/>
              <w:right w:val="single" w:color="auto" w:sz="4" w:space="0"/>
            </w:tcBorders>
            <w:shd w:val="clear" w:color="auto" w:fill="EAEAE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审查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lang w:val="en-US" w:eastAsia="zh-CN"/>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具有独立承担民事责任能力的在中华人民共和国境内注册的法人或其他组织营业执照（或登记证书），提供证书副本复印件。</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提供资质证书复印件。</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lang w:eastAsia="zh-CN"/>
              </w:rPr>
              <w:t>提供2021年财务状况报告（若新成立的，提供成立至今的月或季度财务状况报告复印件并加盖公章）或者基本户开户银行出具的资信证明复印件。</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提供资质证书复印件。</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highlight w:val="none"/>
                <w:lang w:eastAsia="zh-CN"/>
              </w:rPr>
              <w:t>参加招标活动前3年内在经营活动中没有重大违法记录的书面声明。</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单位负责人为同一人或者存在直接控股、管理关系的不同供应商，不得参加同一合同项下的采购活动的书面声明。</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highlight w:val="none"/>
              </w:rPr>
              <w:t>本项目不接受联合体投标</w:t>
            </w:r>
            <w:r>
              <w:rPr>
                <w:rFonts w:hint="eastAsia" w:ascii="宋体" w:hAnsi="宋体" w:cs="宋体"/>
                <w:color w:val="auto"/>
                <w:sz w:val="24"/>
                <w:highlight w:val="none"/>
                <w:lang w:eastAsia="zh-CN"/>
              </w:rPr>
              <w:t>。</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highlight w:val="none"/>
              </w:rPr>
              <w:t>本项目不允许分包或转包</w:t>
            </w:r>
            <w:r>
              <w:rPr>
                <w:rFonts w:hint="eastAsia" w:ascii="宋体" w:hAnsi="宋体" w:cs="宋体"/>
                <w:color w:val="auto"/>
                <w:sz w:val="24"/>
                <w:highlight w:val="none"/>
                <w:lang w:eastAsia="zh-CN"/>
              </w:rPr>
              <w:t>。</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提供</w:t>
            </w:r>
            <w:r>
              <w:rPr>
                <w:rFonts w:hint="eastAsia" w:ascii="宋体" w:hAnsi="宋体" w:eastAsia="宋体" w:cs="宋体"/>
                <w:color w:val="auto"/>
                <w:sz w:val="24"/>
                <w:szCs w:val="24"/>
              </w:rPr>
              <w:t>书面声明</w:t>
            </w:r>
            <w:r>
              <w:rPr>
                <w:rFonts w:hint="eastAsia" w:ascii="宋体" w:hAnsi="宋体" w:eastAsia="宋体" w:cs="宋体"/>
                <w:color w:val="auto"/>
                <w:sz w:val="24"/>
                <w:szCs w:val="24"/>
                <w:lang w:eastAsia="zh-CN"/>
              </w:rPr>
              <w:t>。</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highlight w:val="none"/>
              </w:rPr>
              <w:t>已领购本项目招标文件</w:t>
            </w:r>
            <w:r>
              <w:rPr>
                <w:rFonts w:hint="eastAsia" w:ascii="宋体" w:hAnsi="宋体" w:eastAsia="宋体" w:cs="宋体"/>
                <w:color w:val="auto"/>
                <w:sz w:val="24"/>
                <w:szCs w:val="24"/>
                <w:lang w:eastAsia="zh-CN"/>
              </w:rPr>
              <w:t>。</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以采购代理机构供应商信息库为准。</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30"/>
              </w:numPr>
              <w:kinsoku/>
              <w:wordWrap/>
              <w:overflowPunct/>
              <w:topLinePunct w:val="0"/>
              <w:autoSpaceDE/>
              <w:autoSpaceDN/>
              <w:bidi w:val="0"/>
              <w:adjustRightInd w:val="0"/>
              <w:snapToGrid w:val="0"/>
              <w:ind w:left="0" w:leftChars="0" w:firstLine="0" w:firstLineChars="0"/>
              <w:jc w:val="center"/>
              <w:textAlignment w:val="auto"/>
              <w:rPr>
                <w:rFonts w:hint="eastAsia" w:ascii="宋体" w:hAnsi="宋体" w:eastAsia="宋体" w:cs="宋体"/>
                <w:color w:val="auto"/>
                <w:sz w:val="24"/>
                <w:szCs w:val="24"/>
              </w:rPr>
            </w:pPr>
          </w:p>
        </w:tc>
        <w:tc>
          <w:tcPr>
            <w:tcW w:w="238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投标人具有有效期内的《中华人民共和国特种设备生产许可证》电梯安装（含修理）资质（B级或以上）或《中华人民共和国特种设备生产许可证》电梯制造（含安装、修理、改造）资质。</w:t>
            </w:r>
          </w:p>
        </w:tc>
        <w:tc>
          <w:tcPr>
            <w:tcW w:w="19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提供资质证书复印件。</w:t>
            </w:r>
          </w:p>
        </w:tc>
        <w:tc>
          <w:tcPr>
            <w:tcW w:w="3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rPr>
            </w:pPr>
          </w:p>
        </w:tc>
      </w:tr>
    </w:tbl>
    <w:p>
      <w:pPr>
        <w:ind w:firstLine="420"/>
        <w:rPr>
          <w:rFonts w:ascii="Times New Roman" w:hAnsi="Times New Roman" w:eastAsia="宋体" w:cs="Times New Roman"/>
          <w:b/>
          <w:bCs/>
          <w:color w:val="auto"/>
          <w:sz w:val="28"/>
          <w:szCs w:val="28"/>
        </w:rPr>
      </w:pPr>
    </w:p>
    <w:p>
      <w:pPr>
        <w:ind w:firstLine="420"/>
        <w:rPr>
          <w:rFonts w:ascii="Times New Roman" w:hAnsi="Times New Roman" w:eastAsia="宋体" w:cs="Times New Roman"/>
          <w:b/>
          <w:bCs/>
          <w:color w:val="auto"/>
          <w:sz w:val="28"/>
          <w:szCs w:val="28"/>
        </w:rPr>
      </w:pPr>
    </w:p>
    <w:p>
      <w:pPr>
        <w:ind w:firstLine="420"/>
        <w:rPr>
          <w:rFonts w:ascii="Times New Roman" w:hAnsi="Times New Roman" w:eastAsia="宋体" w:cs="Times New Roman"/>
          <w:b/>
          <w:bCs/>
          <w:color w:val="auto"/>
          <w:sz w:val="28"/>
          <w:szCs w:val="28"/>
        </w:rPr>
      </w:pPr>
    </w:p>
    <w:p>
      <w:pPr>
        <w:ind w:firstLine="420"/>
        <w:rPr>
          <w:rFonts w:ascii="Times New Roman" w:hAnsi="Times New Roman" w:eastAsia="宋体" w:cs="Times New Roman"/>
          <w:b/>
          <w:bCs/>
          <w:color w:val="auto"/>
          <w:sz w:val="28"/>
          <w:szCs w:val="28"/>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177" w:name="_Toc20672"/>
      <w:bookmarkStart w:id="178" w:name="_Toc1554"/>
      <w:bookmarkStart w:id="179" w:name="_Toc28885"/>
      <w:bookmarkStart w:id="180" w:name="_Toc8204"/>
      <w:r>
        <w:rPr>
          <w:rFonts w:ascii="Times New Roman" w:hAnsi="Times New Roman" w:eastAsia="宋体" w:cs="Times New Roman"/>
          <w:b/>
          <w:bCs/>
          <w:sz w:val="28"/>
          <w:szCs w:val="28"/>
        </w:rPr>
        <w:t>1.5退还投标保证金说明</w:t>
      </w:r>
      <w:bookmarkEnd w:id="170"/>
      <w:bookmarkEnd w:id="171"/>
      <w:bookmarkEnd w:id="172"/>
      <w:bookmarkEnd w:id="173"/>
      <w:bookmarkEnd w:id="174"/>
      <w:bookmarkEnd w:id="175"/>
      <w:bookmarkEnd w:id="177"/>
      <w:bookmarkEnd w:id="178"/>
      <w:bookmarkEnd w:id="179"/>
      <w:bookmarkEnd w:id="180"/>
    </w:p>
    <w:p>
      <w:pPr>
        <w:adjustRightInd w:val="0"/>
        <w:snapToGrid w:val="0"/>
        <w:spacing w:before="120" w:beforeLines="50" w:after="120" w:afterLines="50" w:line="360" w:lineRule="auto"/>
        <w:rPr>
          <w:rFonts w:ascii="Times New Roman" w:hAnsi="Times New Roman" w:eastAsia="宋体" w:cs="Times New Roman"/>
          <w:b/>
          <w:sz w:val="24"/>
        </w:rPr>
      </w:pPr>
      <w:r>
        <w:rPr>
          <w:rFonts w:ascii="Times New Roman" w:hAnsi="Times New Roman" w:eastAsia="宋体" w:cs="Times New Roman"/>
          <w:b/>
          <w:sz w:val="24"/>
        </w:rPr>
        <w:t>致：广东有德招标采购有限公司</w:t>
      </w:r>
    </w:p>
    <w:p>
      <w:pPr>
        <w:spacing w:line="360" w:lineRule="auto"/>
        <w:ind w:firstLine="420"/>
        <w:rPr>
          <w:rFonts w:ascii="Times New Roman" w:hAnsi="Times New Roman" w:eastAsia="宋体" w:cs="Times New Roman"/>
          <w:sz w:val="24"/>
        </w:rPr>
      </w:pPr>
      <w:r>
        <w:rPr>
          <w:rFonts w:ascii="Times New Roman" w:hAnsi="Times New Roman" w:eastAsia="宋体" w:cs="Times New Roman"/>
          <w:sz w:val="24"/>
          <w:u w:val="single"/>
        </w:rPr>
        <w:t xml:space="preserve">（投标人全称) </w:t>
      </w:r>
      <w:r>
        <w:rPr>
          <w:rFonts w:ascii="Times New Roman" w:hAnsi="Times New Roman" w:eastAsia="宋体" w:cs="Times New Roman"/>
          <w:sz w:val="24"/>
        </w:rPr>
        <w:t>参加贵方组织的</w:t>
      </w:r>
      <w:r>
        <w:rPr>
          <w:rFonts w:ascii="Times New Roman" w:hAnsi="Times New Roman" w:eastAsia="宋体" w:cs="Times New Roman"/>
          <w:sz w:val="24"/>
          <w:u w:val="single"/>
        </w:rPr>
        <w:t>（项目名称）（项目编号为： ）</w:t>
      </w:r>
      <w:r>
        <w:rPr>
          <w:rFonts w:ascii="Times New Roman" w:hAnsi="Times New Roman" w:eastAsia="宋体" w:cs="Times New Roman"/>
          <w:sz w:val="24"/>
        </w:rPr>
        <w:t>的采购活动。按招标文件的规定，已通过（银行转帐、银行汇款、银行保函）形式交纳</w:t>
      </w:r>
      <w:r>
        <w:rPr>
          <w:rFonts w:ascii="Times New Roman" w:hAnsi="Times New Roman" w:eastAsia="宋体" w:cs="Times New Roman"/>
          <w:sz w:val="24"/>
          <w:u w:val="single"/>
        </w:rPr>
        <w:t>（大写）人民币  　　  元</w:t>
      </w:r>
      <w:r>
        <w:rPr>
          <w:rFonts w:ascii="Times New Roman" w:hAnsi="Times New Roman" w:eastAsia="宋体" w:cs="Times New Roman"/>
          <w:sz w:val="24"/>
        </w:rPr>
        <w:t>的投标保证金。请贵公司退还时划到以下账户：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66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143" w:type="dxa"/>
            <w:vAlign w:val="center"/>
          </w:tcPr>
          <w:p>
            <w:pPr>
              <w:rPr>
                <w:rFonts w:ascii="Times New Roman" w:hAnsi="Times New Roman" w:eastAsia="宋体" w:cs="Times New Roman"/>
                <w:sz w:val="24"/>
              </w:rPr>
            </w:pPr>
            <w:r>
              <w:rPr>
                <w:rFonts w:ascii="Times New Roman" w:hAnsi="Times New Roman" w:eastAsia="宋体" w:cs="Times New Roman"/>
                <w:sz w:val="24"/>
              </w:rPr>
              <w:t xml:space="preserve">收款单位（全称） </w:t>
            </w:r>
          </w:p>
        </w:tc>
        <w:tc>
          <w:tcPr>
            <w:tcW w:w="6638" w:type="dxa"/>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2143" w:type="dxa"/>
            <w:vAlign w:val="center"/>
          </w:tcPr>
          <w:p>
            <w:pPr>
              <w:rPr>
                <w:rFonts w:ascii="Times New Roman" w:hAnsi="Times New Roman" w:eastAsia="宋体" w:cs="Times New Roman"/>
                <w:sz w:val="24"/>
              </w:rPr>
            </w:pPr>
            <w:r>
              <w:rPr>
                <w:rFonts w:ascii="Times New Roman" w:hAnsi="Times New Roman" w:eastAsia="宋体" w:cs="Times New Roman"/>
                <w:sz w:val="24"/>
              </w:rPr>
              <w:t>开户银行（全称）</w:t>
            </w:r>
          </w:p>
        </w:tc>
        <w:tc>
          <w:tcPr>
            <w:tcW w:w="6638" w:type="dxa"/>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vAlign w:val="center"/>
          </w:tcPr>
          <w:p>
            <w:pPr>
              <w:rPr>
                <w:rFonts w:ascii="Times New Roman" w:hAnsi="Times New Roman" w:eastAsia="宋体" w:cs="Times New Roman"/>
                <w:sz w:val="24"/>
              </w:rPr>
            </w:pPr>
            <w:r>
              <w:rPr>
                <w:rFonts w:ascii="Times New Roman" w:hAnsi="Times New Roman" w:eastAsia="宋体" w:cs="Times New Roman"/>
                <w:sz w:val="24"/>
              </w:rPr>
              <w:t>开户银行帐号</w:t>
            </w:r>
          </w:p>
        </w:tc>
        <w:tc>
          <w:tcPr>
            <w:tcW w:w="6638" w:type="dxa"/>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vAlign w:val="center"/>
          </w:tcPr>
          <w:p>
            <w:pPr>
              <w:rPr>
                <w:rFonts w:ascii="Times New Roman" w:hAnsi="Times New Roman" w:eastAsia="宋体" w:cs="Times New Roman"/>
                <w:sz w:val="24"/>
              </w:rPr>
            </w:pPr>
            <w:r>
              <w:rPr>
                <w:rFonts w:ascii="Times New Roman" w:hAnsi="Times New Roman" w:eastAsia="宋体" w:cs="Times New Roman"/>
                <w:sz w:val="24"/>
              </w:rPr>
              <w:t>联系人</w:t>
            </w:r>
          </w:p>
        </w:tc>
        <w:tc>
          <w:tcPr>
            <w:tcW w:w="6638" w:type="dxa"/>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vAlign w:val="center"/>
          </w:tcPr>
          <w:p>
            <w:pPr>
              <w:rPr>
                <w:rFonts w:ascii="Times New Roman" w:hAnsi="Times New Roman" w:eastAsia="宋体" w:cs="Times New Roman"/>
                <w:sz w:val="24"/>
              </w:rPr>
            </w:pPr>
            <w:r>
              <w:rPr>
                <w:rFonts w:ascii="Times New Roman" w:hAnsi="Times New Roman" w:eastAsia="宋体" w:cs="Times New Roman"/>
                <w:sz w:val="24"/>
              </w:rPr>
              <w:t>联系电话（手机）</w:t>
            </w:r>
          </w:p>
        </w:tc>
        <w:tc>
          <w:tcPr>
            <w:tcW w:w="6638" w:type="dxa"/>
            <w:vAlign w:val="center"/>
          </w:tcPr>
          <w:p>
            <w:pPr>
              <w:rPr>
                <w:rFonts w:ascii="Times New Roman" w:hAnsi="Times New Roman" w:eastAsia="宋体" w:cs="Times New Roman"/>
                <w:sz w:val="24"/>
              </w:rPr>
            </w:pPr>
          </w:p>
        </w:tc>
      </w:tr>
    </w:tbl>
    <w:p>
      <w:pPr>
        <w:snapToGrid w:val="0"/>
        <w:spacing w:line="360" w:lineRule="auto"/>
        <w:ind w:firstLine="470" w:firstLineChars="196"/>
        <w:rPr>
          <w:rFonts w:ascii="Times New Roman" w:hAnsi="Times New Roman" w:eastAsia="宋体" w:cs="Times New Roman"/>
          <w:sz w:val="24"/>
        </w:rPr>
      </w:pPr>
    </w:p>
    <w:p>
      <w:pPr>
        <w:adjustRightInd w:val="0"/>
        <w:snapToGrid w:val="0"/>
        <w:spacing w:before="72" w:after="72" w:line="480" w:lineRule="auto"/>
        <w:ind w:firstLine="3578" w:firstLineChars="1491"/>
        <w:rPr>
          <w:rFonts w:ascii="Times New Roman" w:hAnsi="Times New Roman" w:eastAsia="宋体" w:cs="Times New Roman"/>
          <w:sz w:val="24"/>
        </w:rPr>
      </w:pPr>
    </w:p>
    <w:p>
      <w:pPr>
        <w:adjustRightInd w:val="0"/>
        <w:snapToGrid w:val="0"/>
        <w:spacing w:before="72" w:after="72" w:line="480" w:lineRule="auto"/>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投标人名称（加盖公章）：</w:t>
      </w:r>
    </w:p>
    <w:p>
      <w:pPr>
        <w:adjustRightInd w:val="0"/>
        <w:snapToGrid w:val="0"/>
        <w:spacing w:before="72" w:after="72" w:line="480" w:lineRule="auto"/>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法定代表人或其委托代理人（签字或盖章）：</w:t>
      </w:r>
    </w:p>
    <w:p>
      <w:pPr>
        <w:spacing w:before="72" w:after="72" w:line="400" w:lineRule="exact"/>
        <w:ind w:firstLine="3578" w:firstLineChars="1491"/>
        <w:rPr>
          <w:rFonts w:ascii="Times New Roman" w:hAnsi="Times New Roman" w:eastAsia="宋体" w:cs="Times New Roman"/>
          <w:sz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sz w:val="24"/>
        </w:rPr>
        <w:t>日期：   年   月   日</w:t>
      </w: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181" w:name="_Toc3067"/>
      <w:bookmarkStart w:id="182" w:name="_Toc12775"/>
      <w:bookmarkStart w:id="183" w:name="_Toc995"/>
      <w:bookmarkStart w:id="184" w:name="_Toc19595"/>
      <w:bookmarkStart w:id="185" w:name="_Toc4642"/>
      <w:bookmarkStart w:id="186" w:name="_Toc24318"/>
      <w:bookmarkStart w:id="187" w:name="_Toc32494"/>
      <w:r>
        <w:rPr>
          <w:rFonts w:ascii="Times New Roman" w:hAnsi="Times New Roman" w:eastAsia="宋体" w:cs="Times New Roman"/>
          <w:b/>
          <w:bCs/>
          <w:sz w:val="28"/>
          <w:szCs w:val="28"/>
        </w:rPr>
        <w:t>1.6投标保证金凭证</w:t>
      </w:r>
      <w:bookmarkEnd w:id="181"/>
      <w:bookmarkEnd w:id="182"/>
      <w:bookmarkEnd w:id="183"/>
      <w:bookmarkEnd w:id="184"/>
      <w:bookmarkEnd w:id="185"/>
      <w:bookmarkEnd w:id="186"/>
      <w:bookmarkEnd w:id="187"/>
    </w:p>
    <w:p>
      <w:pPr>
        <w:snapToGrid w:val="0"/>
        <w:spacing w:line="360" w:lineRule="auto"/>
        <w:ind w:firstLine="470" w:firstLineChars="196"/>
        <w:rPr>
          <w:rFonts w:ascii="Times New Roman" w:hAnsi="Times New Roman" w:eastAsia="宋体" w:cs="Times New Roman"/>
          <w:sz w:val="24"/>
        </w:rPr>
      </w:pPr>
      <w:r>
        <w:rPr>
          <w:rFonts w:ascii="Times New Roman" w:hAnsi="Times New Roman" w:eastAsia="宋体" w:cs="Times New Roman"/>
          <w:sz w:val="24"/>
        </w:rPr>
        <w:t>说明：附投标保证金交纳凭证。</w:t>
      </w:r>
    </w:p>
    <w:p>
      <w:pPr>
        <w:snapToGrid w:val="0"/>
        <w:spacing w:line="360" w:lineRule="auto"/>
        <w:ind w:firstLine="470" w:firstLineChars="196"/>
        <w:rPr>
          <w:rFonts w:ascii="Times New Roman" w:hAnsi="Times New Roman" w:eastAsia="宋体" w:cs="Times New Roman"/>
          <w:sz w:val="24"/>
        </w:rPr>
      </w:pPr>
    </w:p>
    <w:p>
      <w:pPr>
        <w:snapToGrid w:val="0"/>
        <w:spacing w:line="360" w:lineRule="auto"/>
        <w:ind w:firstLine="470" w:firstLineChars="196"/>
        <w:rPr>
          <w:rFonts w:ascii="Times New Roman" w:hAnsi="Times New Roman" w:eastAsia="宋体" w:cs="Times New Roman"/>
          <w:sz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188" w:name="_Toc423021970"/>
      <w:bookmarkStart w:id="189" w:name="_Toc15479"/>
      <w:bookmarkStart w:id="190" w:name="_Toc23026"/>
      <w:bookmarkStart w:id="191" w:name="_Toc23454"/>
      <w:bookmarkStart w:id="192" w:name="_Toc23996"/>
      <w:bookmarkStart w:id="193" w:name="_Toc3877"/>
      <w:bookmarkStart w:id="194" w:name="_Toc23286"/>
      <w:bookmarkStart w:id="195" w:name="_Toc13598"/>
      <w:bookmarkStart w:id="196" w:name="_Toc583"/>
      <w:r>
        <w:rPr>
          <w:rFonts w:ascii="Times New Roman" w:hAnsi="Times New Roman" w:eastAsia="宋体" w:cs="Times New Roman"/>
          <w:b/>
          <w:bCs/>
          <w:sz w:val="28"/>
          <w:szCs w:val="28"/>
        </w:rPr>
        <w:t>1.7招标代理服务费支付承诺书</w:t>
      </w:r>
      <w:bookmarkEnd w:id="188"/>
      <w:bookmarkEnd w:id="189"/>
      <w:bookmarkEnd w:id="190"/>
      <w:bookmarkEnd w:id="191"/>
      <w:bookmarkEnd w:id="192"/>
      <w:bookmarkEnd w:id="193"/>
      <w:bookmarkEnd w:id="194"/>
      <w:bookmarkEnd w:id="195"/>
      <w:bookmarkEnd w:id="196"/>
    </w:p>
    <w:p>
      <w:pPr>
        <w:spacing w:before="120" w:beforeLines="50" w:after="120" w:afterLines="50" w:line="360" w:lineRule="auto"/>
        <w:rPr>
          <w:rFonts w:ascii="Times New Roman" w:hAnsi="Times New Roman" w:eastAsia="宋体" w:cs="Times New Roman"/>
          <w:b/>
          <w:bCs/>
          <w:sz w:val="24"/>
        </w:rPr>
      </w:pPr>
      <w:r>
        <w:rPr>
          <w:rFonts w:ascii="Times New Roman" w:hAnsi="Times New Roman" w:eastAsia="宋体" w:cs="Times New Roman"/>
          <w:b/>
          <w:bCs/>
          <w:sz w:val="24"/>
        </w:rPr>
        <w:t>致：广东有德招标采购有限公司</w:t>
      </w:r>
    </w:p>
    <w:p>
      <w:pPr>
        <w:spacing w:before="72" w:after="72"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本公司</w:t>
      </w:r>
      <w:r>
        <w:rPr>
          <w:rFonts w:ascii="Times New Roman" w:hAnsi="Times New Roman" w:eastAsia="宋体" w:cs="Times New Roman"/>
          <w:sz w:val="24"/>
          <w:u w:val="single"/>
        </w:rPr>
        <w:t xml:space="preserve">     (投标人全称)   </w:t>
      </w:r>
      <w:r>
        <w:rPr>
          <w:rFonts w:ascii="Times New Roman" w:hAnsi="Times New Roman" w:eastAsia="宋体" w:cs="Times New Roman"/>
          <w:sz w:val="24"/>
        </w:rPr>
        <w:t>在参加贵公司举行的</w:t>
      </w:r>
      <w:r>
        <w:rPr>
          <w:rFonts w:ascii="Times New Roman" w:hAnsi="Times New Roman" w:eastAsia="宋体" w:cs="Times New Roman"/>
          <w:sz w:val="24"/>
          <w:u w:val="single"/>
        </w:rPr>
        <w:t>（项目名称）(项目编号： )</w:t>
      </w:r>
      <w:r>
        <w:rPr>
          <w:rFonts w:ascii="Times New Roman" w:hAnsi="Times New Roman" w:eastAsia="宋体" w:cs="Times New Roman"/>
          <w:sz w:val="24"/>
        </w:rPr>
        <w:t>招标中如获中标,保证在收到贵公司发出的中标通知书的同时，向贵公司交纳招标代理服务费。</w:t>
      </w:r>
    </w:p>
    <w:p>
      <w:pPr>
        <w:spacing w:before="72" w:after="72"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如我公司违反上述承诺，愿意承担由此引起的全部法律责任。</w:t>
      </w:r>
    </w:p>
    <w:p>
      <w:pPr>
        <w:spacing w:before="72" w:after="72" w:line="360" w:lineRule="auto"/>
        <w:ind w:firstLine="544" w:firstLineChars="227"/>
        <w:rPr>
          <w:rFonts w:ascii="Times New Roman" w:hAnsi="Times New Roman" w:eastAsia="宋体" w:cs="Times New Roman"/>
          <w:sz w:val="24"/>
        </w:rPr>
      </w:pPr>
      <w:r>
        <w:rPr>
          <w:rFonts w:ascii="Times New Roman" w:hAnsi="Times New Roman" w:eastAsia="宋体" w:cs="Times New Roman"/>
          <w:sz w:val="24"/>
        </w:rPr>
        <w:t>特此承诺。</w:t>
      </w:r>
    </w:p>
    <w:p>
      <w:pPr>
        <w:spacing w:before="72" w:after="72" w:line="360" w:lineRule="auto"/>
        <w:ind w:left="315"/>
        <w:rPr>
          <w:rFonts w:ascii="Times New Roman" w:hAnsi="Times New Roman" w:eastAsia="宋体" w:cs="Times New Roman"/>
          <w:sz w:val="24"/>
        </w:rPr>
      </w:pPr>
    </w:p>
    <w:p>
      <w:pPr>
        <w:spacing w:before="72" w:after="72" w:line="360" w:lineRule="auto"/>
        <w:ind w:left="315"/>
        <w:rPr>
          <w:rFonts w:ascii="Times New Roman" w:hAnsi="Times New Roman" w:eastAsia="宋体" w:cs="Times New Roman"/>
          <w:sz w:val="24"/>
        </w:rPr>
      </w:pPr>
    </w:p>
    <w:p>
      <w:pPr>
        <w:spacing w:before="72" w:after="72" w:line="360" w:lineRule="auto"/>
        <w:ind w:left="315"/>
        <w:rPr>
          <w:rFonts w:ascii="Times New Roman" w:hAnsi="Times New Roman" w:eastAsia="宋体" w:cs="Times New Roman"/>
          <w:sz w:val="24"/>
        </w:rPr>
      </w:pPr>
    </w:p>
    <w:p>
      <w:pPr>
        <w:adjustRightInd w:val="0"/>
        <w:snapToGrid w:val="0"/>
        <w:spacing w:before="72" w:after="72" w:line="480" w:lineRule="auto"/>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投标人名称（加盖公章）：</w:t>
      </w:r>
    </w:p>
    <w:p>
      <w:pPr>
        <w:adjustRightInd w:val="0"/>
        <w:snapToGrid w:val="0"/>
        <w:spacing w:before="72" w:after="72" w:line="480" w:lineRule="auto"/>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法定代表人或其委托代理人（签字或盖章）：</w:t>
      </w:r>
    </w:p>
    <w:p>
      <w:pPr>
        <w:spacing w:before="72" w:after="72" w:line="400" w:lineRule="exact"/>
        <w:ind w:firstLine="3578" w:firstLineChars="1491"/>
        <w:rPr>
          <w:rFonts w:ascii="Times New Roman" w:hAnsi="Times New Roman" w:eastAsia="宋体" w:cs="Times New Roman"/>
          <w:sz w:val="24"/>
        </w:rPr>
      </w:pPr>
      <w:r>
        <w:rPr>
          <w:rFonts w:ascii="Times New Roman" w:hAnsi="Times New Roman" w:eastAsia="宋体" w:cs="Times New Roman"/>
          <w:sz w:val="24"/>
        </w:rPr>
        <w:t>日期：   年   月   日</w:t>
      </w:r>
    </w:p>
    <w:p>
      <w:pPr>
        <w:spacing w:before="72" w:after="72" w:line="400" w:lineRule="exact"/>
        <w:ind w:firstLine="3578" w:firstLineChars="1491"/>
        <w:rPr>
          <w:rFonts w:ascii="Times New Roman" w:hAnsi="Times New Roman" w:eastAsia="宋体" w:cs="Times New Roman"/>
          <w:sz w:val="24"/>
        </w:rPr>
      </w:pPr>
    </w:p>
    <w:p>
      <w:pPr>
        <w:spacing w:before="72" w:after="72" w:line="400" w:lineRule="exact"/>
        <w:ind w:firstLine="3578" w:firstLineChars="1491"/>
        <w:rPr>
          <w:rFonts w:ascii="Times New Roman" w:hAnsi="Times New Roman" w:eastAsia="宋体" w:cs="Times New Roman"/>
          <w:sz w:val="24"/>
        </w:rPr>
      </w:pPr>
    </w:p>
    <w:p>
      <w:pPr>
        <w:spacing w:before="72" w:after="72" w:line="400" w:lineRule="exact"/>
        <w:ind w:firstLine="3578" w:firstLineChars="1491"/>
        <w:rPr>
          <w:rFonts w:ascii="Times New Roman" w:hAnsi="Times New Roman" w:eastAsia="宋体" w:cs="Times New Roman"/>
          <w:sz w:val="24"/>
        </w:rPr>
      </w:pPr>
    </w:p>
    <w:p>
      <w:pPr>
        <w:spacing w:before="72" w:after="72" w:line="400" w:lineRule="exact"/>
        <w:ind w:firstLine="3578" w:firstLineChars="1491"/>
        <w:rPr>
          <w:rFonts w:ascii="Times New Roman" w:hAnsi="Times New Roman" w:eastAsia="宋体" w:cs="Times New Roman"/>
          <w:sz w:val="24"/>
        </w:rPr>
      </w:pPr>
    </w:p>
    <w:p>
      <w:pPr>
        <w:spacing w:before="72" w:after="72" w:line="400" w:lineRule="exact"/>
        <w:ind w:firstLine="3578" w:firstLineChars="1491"/>
        <w:rPr>
          <w:rFonts w:ascii="Times New Roman" w:hAnsi="Times New Roman" w:eastAsia="宋体" w:cs="Times New Roman"/>
          <w:sz w:val="24"/>
        </w:rPr>
      </w:pPr>
    </w:p>
    <w:p>
      <w:pPr>
        <w:spacing w:before="72" w:after="72" w:line="400" w:lineRule="exact"/>
        <w:ind w:firstLine="3578" w:firstLineChars="1491"/>
        <w:rPr>
          <w:rFonts w:ascii="Times New Roman" w:hAnsi="Times New Roman" w:eastAsia="宋体" w:cs="Times New Roman"/>
          <w:sz w:val="24"/>
        </w:rPr>
      </w:pPr>
    </w:p>
    <w:p>
      <w:pPr>
        <w:spacing w:before="72" w:after="72" w:line="400" w:lineRule="exact"/>
        <w:ind w:firstLine="3578" w:firstLineChars="1491"/>
        <w:rPr>
          <w:rFonts w:ascii="Times New Roman" w:hAnsi="Times New Roman" w:eastAsia="宋体" w:cs="Times New Roman"/>
          <w:sz w:val="24"/>
        </w:rPr>
      </w:pPr>
    </w:p>
    <w:p>
      <w:pPr>
        <w:autoSpaceDE w:val="0"/>
        <w:autoSpaceDN w:val="0"/>
        <w:spacing w:line="360" w:lineRule="auto"/>
        <w:jc w:val="center"/>
        <w:rPr>
          <w:rFonts w:ascii="Times New Roman" w:hAnsi="Times New Roman" w:eastAsia="仿宋_GB2312" w:cs="Times New Roman"/>
          <w:b/>
          <w:sz w:val="28"/>
          <w:szCs w:val="28"/>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widowControl/>
        <w:numPr>
          <w:ilvl w:val="0"/>
          <w:numId w:val="29"/>
        </w:numPr>
        <w:spacing w:before="156" w:beforeAutospacing="1" w:after="156" w:afterAutospacing="1"/>
        <w:jc w:val="center"/>
        <w:outlineLvl w:val="2"/>
        <w:rPr>
          <w:rFonts w:ascii="Times New Roman" w:hAnsi="Times New Roman" w:eastAsia="宋体" w:cs="Times New Roman"/>
          <w:b/>
          <w:bCs/>
          <w:kern w:val="0"/>
          <w:sz w:val="24"/>
          <w:szCs w:val="24"/>
        </w:rPr>
      </w:pPr>
      <w:bookmarkStart w:id="197" w:name="_Toc20635"/>
      <w:bookmarkStart w:id="198" w:name="_Toc30388"/>
      <w:bookmarkStart w:id="199" w:name="_Toc10765"/>
      <w:bookmarkStart w:id="200" w:name="_Toc12708"/>
      <w:bookmarkStart w:id="201" w:name="_Toc10192"/>
      <w:bookmarkStart w:id="202" w:name="_Toc381489435"/>
      <w:bookmarkStart w:id="203" w:name="_Toc30490"/>
      <w:bookmarkStart w:id="204" w:name="_Toc21871"/>
      <w:bookmarkStart w:id="205" w:name="_Toc423021961"/>
      <w:r>
        <w:rPr>
          <w:rFonts w:ascii="Times New Roman" w:hAnsi="Times New Roman" w:eastAsia="宋体" w:cs="Times New Roman"/>
          <w:b/>
          <w:bCs/>
          <w:kern w:val="0"/>
          <w:sz w:val="24"/>
          <w:szCs w:val="24"/>
        </w:rPr>
        <w:t>技术标文件</w:t>
      </w:r>
      <w:bookmarkEnd w:id="176"/>
      <w:bookmarkEnd w:id="197"/>
      <w:bookmarkEnd w:id="198"/>
      <w:bookmarkEnd w:id="199"/>
      <w:bookmarkEnd w:id="200"/>
      <w:bookmarkEnd w:id="201"/>
      <w:bookmarkEnd w:id="202"/>
      <w:bookmarkEnd w:id="203"/>
      <w:bookmarkEnd w:id="204"/>
      <w:bookmarkEnd w:id="205"/>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206" w:name="_Toc18205"/>
      <w:bookmarkStart w:id="207" w:name="_Toc14839"/>
      <w:bookmarkStart w:id="208" w:name="_Toc12415"/>
      <w:bookmarkStart w:id="209" w:name="_Toc17873"/>
      <w:r>
        <w:rPr>
          <w:rFonts w:ascii="Times New Roman" w:hAnsi="Times New Roman" w:eastAsia="宋体" w:cs="Times New Roman"/>
          <w:b/>
          <w:bCs/>
          <w:sz w:val="28"/>
          <w:szCs w:val="28"/>
        </w:rPr>
        <w:t>1.1投标人基本情况表</w:t>
      </w:r>
      <w:bookmarkEnd w:id="206"/>
      <w:bookmarkEnd w:id="207"/>
      <w:bookmarkEnd w:id="208"/>
      <w:bookmarkEnd w:id="209"/>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48"/>
        <w:gridCol w:w="701"/>
        <w:gridCol w:w="840"/>
        <w:gridCol w:w="420"/>
        <w:gridCol w:w="311"/>
        <w:gridCol w:w="1418"/>
        <w:gridCol w:w="15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227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 话</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传  真</w:t>
            </w:r>
          </w:p>
        </w:tc>
        <w:tc>
          <w:tcPr>
            <w:tcW w:w="227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网 址</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技术负责人</w:t>
            </w:r>
          </w:p>
        </w:tc>
        <w:tc>
          <w:tcPr>
            <w:tcW w:w="114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0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jc w:val="center"/>
              <w:rPr>
                <w:rFonts w:ascii="Times New Roman" w:hAnsi="Times New Roman" w:eastAsia="宋体" w:cs="Times New Roman"/>
                <w:sz w:val="24"/>
                <w:szCs w:val="24"/>
              </w:rPr>
            </w:pPr>
            <w:r>
              <w:rPr>
                <w:rFonts w:ascii="Times New Roman" w:hAnsi="Times New Roman" w:eastAsia="宋体" w:cs="Times New Roman"/>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40" w:firstLineChars="100"/>
              <w:jc w:val="center"/>
              <w:rPr>
                <w:rFonts w:ascii="Times New Roman" w:hAnsi="Times New Roman" w:eastAsia="宋体" w:cs="Times New Roman"/>
                <w:sz w:val="24"/>
                <w:szCs w:val="24"/>
              </w:rPr>
            </w:pPr>
            <w:r>
              <w:rPr>
                <w:rFonts w:ascii="Times New Roman" w:hAnsi="Times New Roman" w:eastAsia="宋体" w:cs="Times New Roman"/>
                <w:sz w:val="24"/>
                <w:szCs w:val="24"/>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eastAsia="宋体" w:cs="Times New Roman"/>
                <w:sz w:val="24"/>
                <w:szCs w:val="24"/>
              </w:rPr>
            </w:pPr>
          </w:p>
        </w:tc>
      </w:tr>
    </w:tbl>
    <w:p>
      <w:pPr>
        <w:topLinePunct/>
        <w:spacing w:line="440" w:lineRule="exact"/>
        <w:rPr>
          <w:rFonts w:ascii="Times New Roman" w:hAnsi="Times New Roman" w:eastAsia="宋体" w:cs="Times New Roman"/>
          <w:sz w:val="20"/>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210" w:name="_Toc29388"/>
      <w:bookmarkStart w:id="211" w:name="_Toc144974878"/>
      <w:bookmarkStart w:id="212" w:name="_Toc19530"/>
      <w:bookmarkStart w:id="213" w:name="_Toc247527850"/>
      <w:bookmarkStart w:id="214" w:name="_Toc247514302"/>
      <w:bookmarkStart w:id="215" w:name="_Toc300835226"/>
      <w:bookmarkStart w:id="216" w:name="_Toc17685"/>
      <w:bookmarkStart w:id="217" w:name="_Toc15711"/>
      <w:bookmarkStart w:id="218" w:name="_Toc152042599"/>
      <w:bookmarkStart w:id="219" w:name="_Toc152045810"/>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2</w:t>
      </w:r>
      <w:r>
        <w:rPr>
          <w:rFonts w:hint="eastAsia" w:ascii="Times New Roman" w:hAnsi="Times New Roman" w:eastAsia="宋体" w:cs="Times New Roman"/>
          <w:b/>
          <w:bCs/>
          <w:sz w:val="28"/>
          <w:szCs w:val="28"/>
          <w:lang w:val="en-US" w:eastAsia="zh-CN"/>
        </w:rPr>
        <w:t>电梯制造商</w:t>
      </w:r>
      <w:r>
        <w:rPr>
          <w:rFonts w:ascii="Times New Roman" w:hAnsi="Times New Roman" w:eastAsia="宋体" w:cs="Times New Roman"/>
          <w:b/>
          <w:bCs/>
          <w:sz w:val="28"/>
          <w:szCs w:val="28"/>
        </w:rPr>
        <w:t>近年完成的类似项目情况表</w:t>
      </w:r>
      <w:bookmarkEnd w:id="210"/>
      <w:bookmarkEnd w:id="211"/>
      <w:bookmarkEnd w:id="212"/>
      <w:bookmarkEnd w:id="213"/>
      <w:bookmarkEnd w:id="214"/>
      <w:bookmarkEnd w:id="215"/>
      <w:bookmarkEnd w:id="216"/>
      <w:bookmarkEnd w:id="217"/>
      <w:bookmarkEnd w:id="218"/>
      <w:bookmarkEnd w:id="219"/>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6253" w:type="dxa"/>
          </w:tcPr>
          <w:p>
            <w:pPr>
              <w:topLinePunct/>
              <w:spacing w:line="440" w:lineRule="exact"/>
              <w:rPr>
                <w:rFonts w:ascii="Times New Roman" w:hAnsi="Times New Roman" w:eastAsia="宋体" w:cs="Times New Roman"/>
                <w:sz w:val="24"/>
                <w:szCs w:val="24"/>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项目所在地</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投标人</w:t>
            </w:r>
            <w:r>
              <w:rPr>
                <w:rFonts w:ascii="Times New Roman" w:hAnsi="Times New Roman" w:eastAsia="宋体" w:cs="Times New Roman"/>
                <w:sz w:val="24"/>
                <w:szCs w:val="24"/>
              </w:rPr>
              <w:t>名称</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投标人</w:t>
            </w:r>
            <w:r>
              <w:rPr>
                <w:rFonts w:ascii="Times New Roman" w:hAnsi="Times New Roman" w:eastAsia="宋体" w:cs="Times New Roman"/>
                <w:sz w:val="24"/>
                <w:szCs w:val="24"/>
              </w:rPr>
              <w:t>地址</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投标人</w:t>
            </w:r>
            <w:r>
              <w:rPr>
                <w:rFonts w:ascii="Times New Roman" w:hAnsi="Times New Roman" w:eastAsia="宋体" w:cs="Times New Roman"/>
                <w:sz w:val="24"/>
                <w:szCs w:val="24"/>
              </w:rPr>
              <w:t>电话</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合同价格</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开工日期</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竣工日期</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承担的工作</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工程质量</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项目经理</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技术负责人</w:t>
            </w:r>
          </w:p>
        </w:tc>
        <w:tc>
          <w:tcPr>
            <w:tcW w:w="6253" w:type="dxa"/>
          </w:tcPr>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项目描述</w:t>
            </w:r>
          </w:p>
        </w:tc>
        <w:tc>
          <w:tcPr>
            <w:tcW w:w="6253" w:type="dxa"/>
          </w:tcPr>
          <w:p>
            <w:pPr>
              <w:topLinePunct/>
              <w:spacing w:line="440" w:lineRule="exact"/>
              <w:rPr>
                <w:rFonts w:ascii="Times New Roman" w:hAnsi="Times New Roman" w:eastAsia="宋体" w:cs="Times New Roman"/>
                <w:sz w:val="24"/>
                <w:szCs w:val="24"/>
              </w:rPr>
            </w:pPr>
          </w:p>
          <w:p>
            <w:pPr>
              <w:topLinePunct/>
              <w:spacing w:line="440" w:lineRule="exact"/>
              <w:rPr>
                <w:rFonts w:ascii="Times New Roman" w:hAnsi="Times New Roman" w:eastAsia="宋体" w:cs="Times New Roman"/>
                <w:sz w:val="24"/>
                <w:szCs w:val="24"/>
              </w:rPr>
            </w:pPr>
          </w:p>
          <w:p>
            <w:pPr>
              <w:topLinePunct/>
              <w:spacing w:line="440" w:lineRule="exact"/>
              <w:rPr>
                <w:rFonts w:ascii="Times New Roman" w:hAnsi="Times New Roman" w:eastAsia="宋体" w:cs="Times New Roman"/>
                <w:sz w:val="24"/>
                <w:szCs w:val="24"/>
              </w:rPr>
            </w:pPr>
          </w:p>
          <w:p>
            <w:pPr>
              <w:topLinePunct/>
              <w:spacing w:line="440" w:lineRule="exact"/>
              <w:rPr>
                <w:rFonts w:ascii="Times New Roman" w:hAnsi="Times New Roman" w:eastAsia="宋体" w:cs="Times New Roman"/>
                <w:sz w:val="24"/>
                <w:szCs w:val="24"/>
              </w:rPr>
            </w:pPr>
          </w:p>
          <w:p>
            <w:pPr>
              <w:topLinePunct/>
              <w:spacing w:line="440" w:lineRule="exact"/>
              <w:rPr>
                <w:rFonts w:ascii="Times New Roman" w:hAnsi="Times New Roman" w:eastAsia="宋体" w:cs="Times New Roman"/>
                <w:sz w:val="24"/>
                <w:szCs w:val="24"/>
              </w:rPr>
            </w:pPr>
          </w:p>
          <w:p>
            <w:pPr>
              <w:topLinePunct/>
              <w:spacing w:line="440" w:lineRule="exact"/>
              <w:rPr>
                <w:rFonts w:ascii="Times New Roman" w:hAnsi="Times New Roman" w:eastAsia="宋体" w:cs="Times New Roman"/>
                <w:sz w:val="24"/>
                <w:szCs w:val="24"/>
              </w:rPr>
            </w:pPr>
          </w:p>
          <w:p>
            <w:pPr>
              <w:topLinePunct/>
              <w:spacing w:line="440" w:lineRule="exac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c>
          <w:tcPr>
            <w:tcW w:w="6253" w:type="dxa"/>
          </w:tcPr>
          <w:p>
            <w:pPr>
              <w:topLinePunct/>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按评审表要求提供证明材料</w:t>
            </w:r>
            <w:r>
              <w:rPr>
                <w:rFonts w:hint="eastAsia" w:ascii="Times New Roman" w:hAnsi="Times New Roman" w:eastAsia="宋体" w:cs="Times New Roman"/>
                <w:sz w:val="24"/>
                <w:szCs w:val="24"/>
              </w:rPr>
              <w:t>。</w:t>
            </w:r>
          </w:p>
        </w:tc>
      </w:tr>
    </w:tbl>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220" w:name="_Toc300835227"/>
      <w:bookmarkStart w:id="221" w:name="_Toc152045811"/>
      <w:bookmarkStart w:id="222" w:name="_Toc152042600"/>
      <w:bookmarkStart w:id="223" w:name="_Toc247514303"/>
      <w:bookmarkStart w:id="224" w:name="_Toc247527851"/>
      <w:bookmarkStart w:id="225" w:name="_Toc144974879"/>
      <w:bookmarkStart w:id="226" w:name="_Toc27818"/>
      <w:r>
        <w:rPr>
          <w:rFonts w:ascii="Times New Roman" w:hAnsi="Times New Roman" w:eastAsia="宋体" w:cs="Times New Roman"/>
          <w:b/>
          <w:bCs/>
          <w:sz w:val="28"/>
          <w:szCs w:val="28"/>
        </w:rPr>
        <w:br w:type="page"/>
      </w:r>
      <w:bookmarkStart w:id="227" w:name="_Toc12338"/>
      <w:bookmarkStart w:id="228" w:name="_Toc21843"/>
      <w:bookmarkStart w:id="229" w:name="_Toc15716"/>
      <w:r>
        <w:rPr>
          <w:rFonts w:ascii="Times New Roman" w:hAnsi="Times New Roman" w:eastAsia="宋体" w:cs="Times New Roman"/>
          <w:b/>
          <w:bCs/>
          <w:sz w:val="28"/>
          <w:szCs w:val="28"/>
        </w:rPr>
        <w:t>1.</w:t>
      </w:r>
      <w:bookmarkEnd w:id="220"/>
      <w:bookmarkEnd w:id="221"/>
      <w:bookmarkEnd w:id="222"/>
      <w:bookmarkEnd w:id="223"/>
      <w:bookmarkEnd w:id="224"/>
      <w:bookmarkEnd w:id="225"/>
      <w:r>
        <w:rPr>
          <w:rFonts w:hint="eastAsia" w:ascii="Times New Roman" w:hAnsi="Times New Roman" w:eastAsia="宋体" w:cs="Times New Roman"/>
          <w:b/>
          <w:bCs/>
          <w:sz w:val="28"/>
          <w:szCs w:val="28"/>
        </w:rPr>
        <w:t>3</w:t>
      </w:r>
      <w:r>
        <w:rPr>
          <w:rFonts w:ascii="Times New Roman" w:hAnsi="Times New Roman" w:eastAsia="宋体" w:cs="Times New Roman"/>
          <w:b/>
          <w:bCs/>
          <w:sz w:val="28"/>
          <w:szCs w:val="28"/>
        </w:rPr>
        <w:t xml:space="preserve"> 企业管理体系认证情况</w:t>
      </w:r>
      <w:bookmarkEnd w:id="226"/>
      <w:bookmarkEnd w:id="227"/>
      <w:bookmarkEnd w:id="228"/>
      <w:bookmarkEnd w:id="229"/>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230" w:name="_Toc152042593"/>
      <w:bookmarkStart w:id="231" w:name="_Toc300835231"/>
      <w:bookmarkStart w:id="232" w:name="_Toc152045804"/>
      <w:bookmarkStart w:id="233" w:name="_Toc179632824"/>
      <w:bookmarkStart w:id="234" w:name="_Toc144974872"/>
      <w:bookmarkStart w:id="235" w:name="_Toc17714"/>
      <w:bookmarkStart w:id="236" w:name="_Toc11072"/>
      <w:bookmarkStart w:id="237" w:name="_Toc15663"/>
      <w:bookmarkStart w:id="238" w:name="_Toc6074"/>
      <w:bookmarkStart w:id="239" w:name="_Toc152042602"/>
      <w:bookmarkStart w:id="240" w:name="_Toc247530162"/>
      <w:bookmarkStart w:id="241" w:name="_Toc247527853"/>
      <w:bookmarkStart w:id="242" w:name="_Toc247514305"/>
      <w:bookmarkStart w:id="243" w:name="_Toc144974881"/>
      <w:bookmarkStart w:id="244" w:name="_Toc152045813"/>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4</w:t>
      </w:r>
      <w:r>
        <w:rPr>
          <w:rFonts w:ascii="Times New Roman" w:hAnsi="Times New Roman" w:eastAsia="宋体" w:cs="Times New Roman"/>
          <w:b/>
          <w:bCs/>
          <w:sz w:val="28"/>
          <w:szCs w:val="28"/>
        </w:rPr>
        <w:t>项目管理机构组成表</w:t>
      </w:r>
      <w:bookmarkEnd w:id="230"/>
      <w:bookmarkEnd w:id="231"/>
      <w:bookmarkEnd w:id="232"/>
      <w:bookmarkEnd w:id="233"/>
      <w:bookmarkEnd w:id="234"/>
      <w:bookmarkEnd w:id="235"/>
      <w:bookmarkEnd w:id="236"/>
      <w:bookmarkEnd w:id="237"/>
      <w:bookmarkEnd w:id="238"/>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restar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职务</w:t>
            </w:r>
          </w:p>
        </w:tc>
        <w:tc>
          <w:tcPr>
            <w:tcW w:w="721" w:type="dxa"/>
            <w:vMerge w:val="restar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姓名</w:t>
            </w:r>
          </w:p>
        </w:tc>
        <w:tc>
          <w:tcPr>
            <w:tcW w:w="719" w:type="dxa"/>
            <w:vMerge w:val="restar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职称</w:t>
            </w:r>
          </w:p>
        </w:tc>
        <w:tc>
          <w:tcPr>
            <w:tcW w:w="5763" w:type="dxa"/>
            <w:gridSpan w:val="5"/>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执业或职业资格证明</w:t>
            </w:r>
          </w:p>
        </w:tc>
        <w:tc>
          <w:tcPr>
            <w:tcW w:w="672"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Merge w:val="continue"/>
            <w:vAlign w:val="center"/>
          </w:tcPr>
          <w:p>
            <w:pPr>
              <w:spacing w:line="440" w:lineRule="exact"/>
              <w:jc w:val="center"/>
              <w:rPr>
                <w:rFonts w:ascii="Times New Roman" w:hAnsi="Times New Roman" w:eastAsia="宋体" w:cs="Times New Roman"/>
                <w:sz w:val="24"/>
                <w:szCs w:val="24"/>
              </w:rPr>
            </w:pPr>
          </w:p>
        </w:tc>
        <w:tc>
          <w:tcPr>
            <w:tcW w:w="721" w:type="dxa"/>
            <w:vMerge w:val="continue"/>
            <w:vAlign w:val="center"/>
          </w:tcPr>
          <w:p>
            <w:pPr>
              <w:spacing w:line="440" w:lineRule="exact"/>
              <w:jc w:val="center"/>
              <w:rPr>
                <w:rFonts w:ascii="Times New Roman" w:hAnsi="Times New Roman" w:eastAsia="宋体" w:cs="Times New Roman"/>
                <w:sz w:val="24"/>
                <w:szCs w:val="24"/>
              </w:rPr>
            </w:pPr>
          </w:p>
        </w:tc>
        <w:tc>
          <w:tcPr>
            <w:tcW w:w="719" w:type="dxa"/>
            <w:vMerge w:val="continue"/>
            <w:vAlign w:val="center"/>
          </w:tcPr>
          <w:p>
            <w:pPr>
              <w:spacing w:line="440" w:lineRule="exact"/>
              <w:jc w:val="center"/>
              <w:rPr>
                <w:rFonts w:ascii="Times New Roman" w:hAnsi="Times New Roman" w:eastAsia="宋体" w:cs="Times New Roman"/>
                <w:sz w:val="24"/>
                <w:szCs w:val="24"/>
              </w:rPr>
            </w:pPr>
          </w:p>
        </w:tc>
        <w:tc>
          <w:tcPr>
            <w:tcW w:w="1081"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证书</w:t>
            </w:r>
          </w:p>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名称</w:t>
            </w:r>
          </w:p>
        </w:tc>
        <w:tc>
          <w:tcPr>
            <w:tcW w:w="719"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级别</w:t>
            </w:r>
          </w:p>
        </w:tc>
        <w:tc>
          <w:tcPr>
            <w:tcW w:w="721"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证号</w:t>
            </w:r>
          </w:p>
        </w:tc>
        <w:tc>
          <w:tcPr>
            <w:tcW w:w="719"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专业</w:t>
            </w:r>
          </w:p>
        </w:tc>
        <w:tc>
          <w:tcPr>
            <w:tcW w:w="2523" w:type="dxa"/>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养老保险</w:t>
            </w:r>
          </w:p>
        </w:tc>
        <w:tc>
          <w:tcPr>
            <w:tcW w:w="672" w:type="dxa"/>
            <w:vAlign w:val="center"/>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line="440" w:lineRule="exact"/>
              <w:jc w:val="center"/>
              <w:rPr>
                <w:rFonts w:ascii="Times New Roman" w:hAnsi="Times New Roman" w:eastAsia="宋体" w:cs="Times New Roman"/>
                <w:sz w:val="24"/>
                <w:szCs w:val="24"/>
              </w:rPr>
            </w:pPr>
          </w:p>
        </w:tc>
        <w:tc>
          <w:tcPr>
            <w:tcW w:w="721" w:type="dxa"/>
            <w:vAlign w:val="center"/>
          </w:tcPr>
          <w:p>
            <w:pPr>
              <w:spacing w:line="440" w:lineRule="exact"/>
              <w:jc w:val="center"/>
              <w:rPr>
                <w:rFonts w:ascii="Times New Roman" w:hAnsi="Times New Roman" w:eastAsia="宋体" w:cs="Times New Roman"/>
                <w:sz w:val="24"/>
                <w:szCs w:val="24"/>
              </w:rPr>
            </w:pPr>
          </w:p>
        </w:tc>
        <w:tc>
          <w:tcPr>
            <w:tcW w:w="719" w:type="dxa"/>
            <w:vAlign w:val="center"/>
          </w:tcPr>
          <w:p>
            <w:pPr>
              <w:spacing w:line="440" w:lineRule="exact"/>
              <w:jc w:val="center"/>
              <w:rPr>
                <w:rFonts w:ascii="Times New Roman" w:hAnsi="Times New Roman" w:eastAsia="宋体" w:cs="Times New Roman"/>
                <w:sz w:val="24"/>
                <w:szCs w:val="24"/>
              </w:rPr>
            </w:pPr>
          </w:p>
        </w:tc>
        <w:tc>
          <w:tcPr>
            <w:tcW w:w="1081" w:type="dxa"/>
            <w:vAlign w:val="center"/>
          </w:tcPr>
          <w:p>
            <w:pPr>
              <w:spacing w:line="440" w:lineRule="exact"/>
              <w:jc w:val="center"/>
              <w:rPr>
                <w:rFonts w:ascii="Times New Roman" w:hAnsi="Times New Roman" w:eastAsia="宋体" w:cs="Times New Roman"/>
                <w:sz w:val="24"/>
                <w:szCs w:val="24"/>
              </w:rPr>
            </w:pPr>
          </w:p>
        </w:tc>
        <w:tc>
          <w:tcPr>
            <w:tcW w:w="719" w:type="dxa"/>
            <w:vAlign w:val="center"/>
          </w:tcPr>
          <w:p>
            <w:pPr>
              <w:spacing w:line="440" w:lineRule="exact"/>
              <w:jc w:val="center"/>
              <w:rPr>
                <w:rFonts w:ascii="Times New Roman" w:hAnsi="Times New Roman" w:eastAsia="宋体" w:cs="Times New Roman"/>
                <w:sz w:val="24"/>
                <w:szCs w:val="24"/>
              </w:rPr>
            </w:pPr>
          </w:p>
        </w:tc>
        <w:tc>
          <w:tcPr>
            <w:tcW w:w="721" w:type="dxa"/>
            <w:vAlign w:val="center"/>
          </w:tcPr>
          <w:p>
            <w:pPr>
              <w:spacing w:line="440" w:lineRule="exact"/>
              <w:jc w:val="center"/>
              <w:rPr>
                <w:rFonts w:ascii="Times New Roman" w:hAnsi="Times New Roman" w:eastAsia="宋体" w:cs="Times New Roman"/>
                <w:sz w:val="24"/>
                <w:szCs w:val="24"/>
              </w:rPr>
            </w:pPr>
          </w:p>
        </w:tc>
        <w:tc>
          <w:tcPr>
            <w:tcW w:w="719" w:type="dxa"/>
            <w:vAlign w:val="center"/>
          </w:tcPr>
          <w:p>
            <w:pPr>
              <w:spacing w:line="440" w:lineRule="exact"/>
              <w:jc w:val="center"/>
              <w:rPr>
                <w:rFonts w:ascii="Times New Roman" w:hAnsi="Times New Roman" w:eastAsia="宋体" w:cs="Times New Roman"/>
                <w:sz w:val="24"/>
                <w:szCs w:val="24"/>
              </w:rPr>
            </w:pPr>
          </w:p>
        </w:tc>
        <w:tc>
          <w:tcPr>
            <w:tcW w:w="2523" w:type="dxa"/>
            <w:vAlign w:val="center"/>
          </w:tcPr>
          <w:p>
            <w:pPr>
              <w:spacing w:line="440" w:lineRule="exact"/>
              <w:jc w:val="center"/>
              <w:rPr>
                <w:rFonts w:ascii="Times New Roman" w:hAnsi="Times New Roman" w:eastAsia="宋体" w:cs="Times New Roman"/>
                <w:sz w:val="24"/>
                <w:szCs w:val="24"/>
              </w:rPr>
            </w:pPr>
          </w:p>
        </w:tc>
        <w:tc>
          <w:tcPr>
            <w:tcW w:w="672" w:type="dxa"/>
            <w:vAlign w:val="center"/>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108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721" w:type="dxa"/>
          </w:tcPr>
          <w:p>
            <w:pPr>
              <w:spacing w:line="440" w:lineRule="exact"/>
              <w:jc w:val="center"/>
              <w:rPr>
                <w:rFonts w:ascii="Times New Roman" w:hAnsi="Times New Roman" w:eastAsia="宋体" w:cs="Times New Roman"/>
                <w:sz w:val="24"/>
                <w:szCs w:val="24"/>
              </w:rPr>
            </w:pPr>
          </w:p>
        </w:tc>
        <w:tc>
          <w:tcPr>
            <w:tcW w:w="719" w:type="dxa"/>
          </w:tcPr>
          <w:p>
            <w:pPr>
              <w:spacing w:line="440" w:lineRule="exact"/>
              <w:jc w:val="center"/>
              <w:rPr>
                <w:rFonts w:ascii="Times New Roman" w:hAnsi="Times New Roman" w:eastAsia="宋体" w:cs="Times New Roman"/>
                <w:sz w:val="24"/>
                <w:szCs w:val="24"/>
              </w:rPr>
            </w:pPr>
          </w:p>
        </w:tc>
        <w:tc>
          <w:tcPr>
            <w:tcW w:w="2523" w:type="dxa"/>
          </w:tcPr>
          <w:p>
            <w:pPr>
              <w:spacing w:line="440" w:lineRule="exact"/>
              <w:jc w:val="center"/>
              <w:rPr>
                <w:rFonts w:ascii="Times New Roman" w:hAnsi="Times New Roman" w:eastAsia="宋体" w:cs="Times New Roman"/>
                <w:sz w:val="24"/>
                <w:szCs w:val="24"/>
              </w:rPr>
            </w:pPr>
          </w:p>
        </w:tc>
        <w:tc>
          <w:tcPr>
            <w:tcW w:w="672" w:type="dxa"/>
          </w:tcPr>
          <w:p>
            <w:pPr>
              <w:spacing w:line="440" w:lineRule="exact"/>
              <w:jc w:val="center"/>
              <w:rPr>
                <w:rFonts w:ascii="Times New Roman" w:hAnsi="Times New Roman" w:eastAsia="宋体" w:cs="Times New Roman"/>
                <w:sz w:val="24"/>
                <w:szCs w:val="24"/>
              </w:rPr>
            </w:pPr>
          </w:p>
        </w:tc>
      </w:tr>
    </w:tbl>
    <w:p>
      <w:pPr>
        <w:rPr>
          <w:rFonts w:ascii="Times New Roman" w:hAnsi="Times New Roman" w:eastAsia="宋体" w:cs="Times New Roman"/>
        </w:rPr>
      </w:pPr>
      <w:bookmarkStart w:id="245" w:name="_Toc179632825"/>
      <w:bookmarkStart w:id="246" w:name="_Toc152042594"/>
      <w:bookmarkStart w:id="247" w:name="_Toc144974873"/>
      <w:bookmarkStart w:id="248" w:name="_Toc152045805"/>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bookmarkStart w:id="249" w:name="_Toc15384"/>
      <w:bookmarkStart w:id="250" w:name="_Toc300835232"/>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251" w:name="_Toc8827"/>
      <w:bookmarkStart w:id="252" w:name="_Toc667"/>
      <w:bookmarkStart w:id="253" w:name="_Toc29731"/>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5</w:t>
      </w:r>
      <w:r>
        <w:rPr>
          <w:rFonts w:ascii="Times New Roman" w:hAnsi="Times New Roman" w:eastAsia="宋体" w:cs="Times New Roman"/>
          <w:b/>
          <w:bCs/>
          <w:sz w:val="28"/>
          <w:szCs w:val="28"/>
        </w:rPr>
        <w:t>主要人员简历表</w:t>
      </w:r>
      <w:bookmarkEnd w:id="245"/>
      <w:bookmarkEnd w:id="246"/>
      <w:bookmarkEnd w:id="247"/>
      <w:bookmarkEnd w:id="248"/>
      <w:bookmarkEnd w:id="249"/>
      <w:bookmarkEnd w:id="250"/>
      <w:bookmarkEnd w:id="251"/>
      <w:bookmarkEnd w:id="252"/>
      <w:bookmarkEnd w:id="253"/>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26"/>
        <w:gridCol w:w="686"/>
        <w:gridCol w:w="881"/>
        <w:gridCol w:w="1013"/>
        <w:gridCol w:w="402"/>
        <w:gridCol w:w="1351"/>
        <w:gridCol w:w="150"/>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姓  名</w:t>
            </w:r>
          </w:p>
        </w:tc>
        <w:tc>
          <w:tcPr>
            <w:tcW w:w="477" w:type="pct"/>
            <w:gridSpan w:val="2"/>
            <w:vAlign w:val="center"/>
          </w:tcPr>
          <w:p>
            <w:pPr>
              <w:spacing w:line="440" w:lineRule="exact"/>
              <w:jc w:val="center"/>
              <w:rPr>
                <w:rFonts w:ascii="Times New Roman" w:hAnsi="Times New Roman" w:eastAsia="宋体" w:cs="Times New Roman"/>
                <w:sz w:val="24"/>
                <w:szCs w:val="24"/>
              </w:rPr>
            </w:pPr>
          </w:p>
        </w:tc>
        <w:tc>
          <w:tcPr>
            <w:tcW w:w="517" w:type="pc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年 龄</w:t>
            </w:r>
          </w:p>
        </w:tc>
        <w:tc>
          <w:tcPr>
            <w:tcW w:w="595" w:type="pct"/>
            <w:vAlign w:val="center"/>
          </w:tcPr>
          <w:p>
            <w:pPr>
              <w:spacing w:line="440" w:lineRule="exact"/>
              <w:jc w:val="center"/>
              <w:rPr>
                <w:rFonts w:ascii="Times New Roman" w:hAnsi="Times New Roman" w:eastAsia="宋体" w:cs="Times New Roman"/>
                <w:sz w:val="24"/>
                <w:szCs w:val="24"/>
              </w:rPr>
            </w:pPr>
          </w:p>
        </w:tc>
        <w:tc>
          <w:tcPr>
            <w:tcW w:w="1117" w:type="pct"/>
            <w:gridSpan w:val="3"/>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学历</w:t>
            </w:r>
          </w:p>
        </w:tc>
        <w:tc>
          <w:tcPr>
            <w:tcW w:w="1501" w:type="pct"/>
            <w:vAlign w:val="center"/>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  称</w:t>
            </w:r>
          </w:p>
        </w:tc>
        <w:tc>
          <w:tcPr>
            <w:tcW w:w="477" w:type="pct"/>
            <w:gridSpan w:val="2"/>
            <w:vAlign w:val="center"/>
          </w:tcPr>
          <w:p>
            <w:pPr>
              <w:spacing w:line="440" w:lineRule="exact"/>
              <w:jc w:val="center"/>
              <w:rPr>
                <w:rFonts w:ascii="Times New Roman" w:hAnsi="Times New Roman" w:eastAsia="宋体" w:cs="Times New Roman"/>
                <w:sz w:val="24"/>
                <w:szCs w:val="24"/>
              </w:rPr>
            </w:pPr>
          </w:p>
        </w:tc>
        <w:tc>
          <w:tcPr>
            <w:tcW w:w="517" w:type="pc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职 务</w:t>
            </w:r>
          </w:p>
        </w:tc>
        <w:tc>
          <w:tcPr>
            <w:tcW w:w="595" w:type="pct"/>
            <w:vAlign w:val="center"/>
          </w:tcPr>
          <w:p>
            <w:pPr>
              <w:spacing w:line="440" w:lineRule="exact"/>
              <w:jc w:val="center"/>
              <w:rPr>
                <w:rFonts w:ascii="Times New Roman" w:hAnsi="Times New Roman" w:eastAsia="宋体" w:cs="Times New Roman"/>
                <w:sz w:val="24"/>
                <w:szCs w:val="24"/>
              </w:rPr>
            </w:pPr>
          </w:p>
        </w:tc>
        <w:tc>
          <w:tcPr>
            <w:tcW w:w="1117" w:type="pct"/>
            <w:gridSpan w:val="3"/>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拟在本合同任职</w:t>
            </w:r>
          </w:p>
        </w:tc>
        <w:tc>
          <w:tcPr>
            <w:tcW w:w="1501" w:type="pct"/>
            <w:vAlign w:val="center"/>
          </w:tcPr>
          <w:p>
            <w:pPr>
              <w:spacing w:line="44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vAlign w:val="center"/>
          </w:tcPr>
          <w:p>
            <w:pPr>
              <w:spacing w:line="44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毕业学校</w:t>
            </w:r>
          </w:p>
        </w:tc>
        <w:tc>
          <w:tcPr>
            <w:tcW w:w="4210" w:type="pct"/>
            <w:gridSpan w:val="8"/>
          </w:tcPr>
          <w:p>
            <w:pPr>
              <w:spacing w:line="440" w:lineRule="exact"/>
              <w:ind w:firstLine="1080" w:firstLineChars="450"/>
              <w:rPr>
                <w:rFonts w:ascii="Times New Roman" w:hAnsi="Times New Roman" w:eastAsia="宋体" w:cs="Times New Roman"/>
                <w:sz w:val="24"/>
                <w:szCs w:val="24"/>
              </w:rPr>
            </w:pPr>
            <w:r>
              <w:rPr>
                <w:rFonts w:ascii="Times New Roman" w:hAnsi="Times New Roman" w:eastAsia="宋体" w:cs="Times New Roman"/>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63" w:type="pct"/>
            <w:gridSpan w:val="2"/>
            <w:vAlign w:val="center"/>
          </w:tcPr>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时  间</w:t>
            </w:r>
          </w:p>
        </w:tc>
        <w:tc>
          <w:tcPr>
            <w:tcW w:w="1751" w:type="pct"/>
            <w:gridSpan w:val="4"/>
            <w:vAlign w:val="center"/>
          </w:tcPr>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参加过的类似项目</w:t>
            </w:r>
          </w:p>
        </w:tc>
        <w:tc>
          <w:tcPr>
            <w:tcW w:w="793" w:type="pct"/>
            <w:vAlign w:val="center"/>
          </w:tcPr>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担任职务</w:t>
            </w:r>
          </w:p>
        </w:tc>
        <w:tc>
          <w:tcPr>
            <w:tcW w:w="1590" w:type="pct"/>
            <w:gridSpan w:val="2"/>
            <w:vAlign w:val="center"/>
          </w:tcPr>
          <w:p>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tcPr>
          <w:p>
            <w:pPr>
              <w:spacing w:line="440" w:lineRule="exact"/>
              <w:rPr>
                <w:rFonts w:ascii="Times New Roman" w:hAnsi="Times New Roman" w:eastAsia="黑体" w:cs="Times New Roman"/>
                <w:sz w:val="24"/>
                <w:szCs w:val="24"/>
              </w:rPr>
            </w:pPr>
          </w:p>
        </w:tc>
        <w:tc>
          <w:tcPr>
            <w:tcW w:w="1751" w:type="pct"/>
            <w:gridSpan w:val="4"/>
          </w:tcPr>
          <w:p>
            <w:pPr>
              <w:spacing w:line="440" w:lineRule="exact"/>
              <w:rPr>
                <w:rFonts w:ascii="Times New Roman" w:hAnsi="Times New Roman" w:eastAsia="黑体" w:cs="Times New Roman"/>
                <w:sz w:val="24"/>
                <w:szCs w:val="24"/>
              </w:rPr>
            </w:pPr>
          </w:p>
        </w:tc>
        <w:tc>
          <w:tcPr>
            <w:tcW w:w="793" w:type="pct"/>
          </w:tcPr>
          <w:p>
            <w:pPr>
              <w:spacing w:line="440" w:lineRule="exact"/>
              <w:rPr>
                <w:rFonts w:ascii="Times New Roman" w:hAnsi="Times New Roman" w:eastAsia="黑体" w:cs="Times New Roman"/>
                <w:sz w:val="24"/>
                <w:szCs w:val="24"/>
              </w:rPr>
            </w:pPr>
          </w:p>
        </w:tc>
        <w:tc>
          <w:tcPr>
            <w:tcW w:w="1590" w:type="pct"/>
            <w:gridSpan w:val="2"/>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tcPr>
          <w:p>
            <w:pPr>
              <w:spacing w:line="440" w:lineRule="exact"/>
              <w:rPr>
                <w:rFonts w:ascii="Times New Roman" w:hAnsi="Times New Roman" w:eastAsia="黑体" w:cs="Times New Roman"/>
                <w:sz w:val="24"/>
                <w:szCs w:val="24"/>
              </w:rPr>
            </w:pPr>
          </w:p>
        </w:tc>
        <w:tc>
          <w:tcPr>
            <w:tcW w:w="1751" w:type="pct"/>
            <w:gridSpan w:val="4"/>
          </w:tcPr>
          <w:p>
            <w:pPr>
              <w:spacing w:line="440" w:lineRule="exact"/>
              <w:rPr>
                <w:rFonts w:ascii="Times New Roman" w:hAnsi="Times New Roman" w:eastAsia="黑体" w:cs="Times New Roman"/>
                <w:sz w:val="24"/>
                <w:szCs w:val="24"/>
              </w:rPr>
            </w:pPr>
          </w:p>
        </w:tc>
        <w:tc>
          <w:tcPr>
            <w:tcW w:w="793" w:type="pct"/>
          </w:tcPr>
          <w:p>
            <w:pPr>
              <w:spacing w:line="440" w:lineRule="exact"/>
              <w:rPr>
                <w:rFonts w:ascii="Times New Roman" w:hAnsi="Times New Roman" w:eastAsia="黑体" w:cs="Times New Roman"/>
                <w:sz w:val="24"/>
                <w:szCs w:val="24"/>
              </w:rPr>
            </w:pPr>
          </w:p>
        </w:tc>
        <w:tc>
          <w:tcPr>
            <w:tcW w:w="1590" w:type="pct"/>
            <w:gridSpan w:val="2"/>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tcPr>
          <w:p>
            <w:pPr>
              <w:spacing w:line="440" w:lineRule="exact"/>
              <w:rPr>
                <w:rFonts w:ascii="Times New Roman" w:hAnsi="Times New Roman" w:eastAsia="黑体" w:cs="Times New Roman"/>
                <w:sz w:val="24"/>
                <w:szCs w:val="24"/>
              </w:rPr>
            </w:pPr>
          </w:p>
        </w:tc>
        <w:tc>
          <w:tcPr>
            <w:tcW w:w="1751" w:type="pct"/>
            <w:gridSpan w:val="4"/>
          </w:tcPr>
          <w:p>
            <w:pPr>
              <w:spacing w:line="440" w:lineRule="exact"/>
              <w:rPr>
                <w:rFonts w:ascii="Times New Roman" w:hAnsi="Times New Roman" w:eastAsia="黑体" w:cs="Times New Roman"/>
                <w:sz w:val="24"/>
                <w:szCs w:val="24"/>
              </w:rPr>
            </w:pPr>
          </w:p>
        </w:tc>
        <w:tc>
          <w:tcPr>
            <w:tcW w:w="793" w:type="pct"/>
          </w:tcPr>
          <w:p>
            <w:pPr>
              <w:spacing w:line="440" w:lineRule="exact"/>
              <w:rPr>
                <w:rFonts w:ascii="Times New Roman" w:hAnsi="Times New Roman" w:eastAsia="黑体" w:cs="Times New Roman"/>
                <w:sz w:val="24"/>
                <w:szCs w:val="24"/>
              </w:rPr>
            </w:pPr>
          </w:p>
        </w:tc>
        <w:tc>
          <w:tcPr>
            <w:tcW w:w="1590" w:type="pct"/>
            <w:gridSpan w:val="2"/>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vAlign w:val="center"/>
          </w:tcPr>
          <w:p>
            <w:pPr>
              <w:spacing w:line="440" w:lineRule="exact"/>
              <w:rPr>
                <w:rFonts w:ascii="Times New Roman" w:hAnsi="Times New Roman" w:eastAsia="黑体" w:cs="Times New Roman"/>
                <w:sz w:val="24"/>
                <w:szCs w:val="24"/>
              </w:rPr>
            </w:pPr>
          </w:p>
        </w:tc>
        <w:tc>
          <w:tcPr>
            <w:tcW w:w="1751" w:type="pct"/>
            <w:gridSpan w:val="4"/>
            <w:vAlign w:val="center"/>
          </w:tcPr>
          <w:p>
            <w:pPr>
              <w:spacing w:line="440" w:lineRule="exact"/>
              <w:rPr>
                <w:rFonts w:ascii="Times New Roman" w:hAnsi="Times New Roman" w:eastAsia="黑体" w:cs="Times New Roman"/>
                <w:sz w:val="24"/>
                <w:szCs w:val="24"/>
              </w:rPr>
            </w:pPr>
          </w:p>
        </w:tc>
        <w:tc>
          <w:tcPr>
            <w:tcW w:w="793" w:type="pct"/>
            <w:vAlign w:val="center"/>
          </w:tcPr>
          <w:p>
            <w:pPr>
              <w:spacing w:line="440" w:lineRule="exact"/>
              <w:rPr>
                <w:rFonts w:ascii="Times New Roman" w:hAnsi="Times New Roman" w:eastAsia="黑体" w:cs="Times New Roman"/>
                <w:sz w:val="24"/>
                <w:szCs w:val="24"/>
              </w:rPr>
            </w:pPr>
          </w:p>
        </w:tc>
        <w:tc>
          <w:tcPr>
            <w:tcW w:w="1590" w:type="pct"/>
            <w:gridSpan w:val="2"/>
            <w:vAlign w:val="center"/>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vAlign w:val="center"/>
          </w:tcPr>
          <w:p>
            <w:pPr>
              <w:spacing w:line="440" w:lineRule="exact"/>
              <w:rPr>
                <w:rFonts w:ascii="Times New Roman" w:hAnsi="Times New Roman" w:eastAsia="黑体" w:cs="Times New Roman"/>
                <w:sz w:val="24"/>
                <w:szCs w:val="24"/>
              </w:rPr>
            </w:pPr>
          </w:p>
        </w:tc>
        <w:tc>
          <w:tcPr>
            <w:tcW w:w="1751" w:type="pct"/>
            <w:gridSpan w:val="4"/>
            <w:vAlign w:val="center"/>
          </w:tcPr>
          <w:p>
            <w:pPr>
              <w:spacing w:line="440" w:lineRule="exact"/>
              <w:rPr>
                <w:rFonts w:ascii="Times New Roman" w:hAnsi="Times New Roman" w:eastAsia="黑体" w:cs="Times New Roman"/>
                <w:sz w:val="24"/>
                <w:szCs w:val="24"/>
              </w:rPr>
            </w:pPr>
          </w:p>
        </w:tc>
        <w:tc>
          <w:tcPr>
            <w:tcW w:w="793" w:type="pct"/>
            <w:vAlign w:val="center"/>
          </w:tcPr>
          <w:p>
            <w:pPr>
              <w:spacing w:line="440" w:lineRule="exact"/>
              <w:rPr>
                <w:rFonts w:ascii="Times New Roman" w:hAnsi="Times New Roman" w:eastAsia="黑体" w:cs="Times New Roman"/>
                <w:sz w:val="24"/>
                <w:szCs w:val="24"/>
              </w:rPr>
            </w:pPr>
          </w:p>
        </w:tc>
        <w:tc>
          <w:tcPr>
            <w:tcW w:w="1590" w:type="pct"/>
            <w:gridSpan w:val="2"/>
            <w:vAlign w:val="center"/>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vAlign w:val="center"/>
          </w:tcPr>
          <w:p>
            <w:pPr>
              <w:spacing w:line="440" w:lineRule="exact"/>
              <w:rPr>
                <w:rFonts w:ascii="Times New Roman" w:hAnsi="Times New Roman" w:eastAsia="黑体" w:cs="Times New Roman"/>
                <w:sz w:val="24"/>
                <w:szCs w:val="24"/>
              </w:rPr>
            </w:pPr>
          </w:p>
        </w:tc>
        <w:tc>
          <w:tcPr>
            <w:tcW w:w="1751" w:type="pct"/>
            <w:gridSpan w:val="4"/>
            <w:vAlign w:val="center"/>
          </w:tcPr>
          <w:p>
            <w:pPr>
              <w:spacing w:line="440" w:lineRule="exact"/>
              <w:rPr>
                <w:rFonts w:ascii="Times New Roman" w:hAnsi="Times New Roman" w:eastAsia="黑体" w:cs="Times New Roman"/>
                <w:sz w:val="24"/>
                <w:szCs w:val="24"/>
              </w:rPr>
            </w:pPr>
          </w:p>
        </w:tc>
        <w:tc>
          <w:tcPr>
            <w:tcW w:w="793" w:type="pct"/>
            <w:vAlign w:val="center"/>
          </w:tcPr>
          <w:p>
            <w:pPr>
              <w:spacing w:line="440" w:lineRule="exact"/>
              <w:rPr>
                <w:rFonts w:ascii="Times New Roman" w:hAnsi="Times New Roman" w:eastAsia="黑体" w:cs="Times New Roman"/>
                <w:sz w:val="24"/>
                <w:szCs w:val="24"/>
              </w:rPr>
            </w:pPr>
          </w:p>
        </w:tc>
        <w:tc>
          <w:tcPr>
            <w:tcW w:w="1590" w:type="pct"/>
            <w:gridSpan w:val="2"/>
            <w:vAlign w:val="center"/>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vAlign w:val="center"/>
          </w:tcPr>
          <w:p>
            <w:pPr>
              <w:spacing w:line="440" w:lineRule="exact"/>
              <w:rPr>
                <w:rFonts w:ascii="Times New Roman" w:hAnsi="Times New Roman" w:eastAsia="黑体" w:cs="Times New Roman"/>
                <w:sz w:val="24"/>
                <w:szCs w:val="24"/>
              </w:rPr>
            </w:pPr>
          </w:p>
        </w:tc>
        <w:tc>
          <w:tcPr>
            <w:tcW w:w="1751" w:type="pct"/>
            <w:gridSpan w:val="4"/>
            <w:vAlign w:val="center"/>
          </w:tcPr>
          <w:p>
            <w:pPr>
              <w:spacing w:line="440" w:lineRule="exact"/>
              <w:rPr>
                <w:rFonts w:ascii="Times New Roman" w:hAnsi="Times New Roman" w:eastAsia="黑体" w:cs="Times New Roman"/>
                <w:sz w:val="24"/>
                <w:szCs w:val="24"/>
              </w:rPr>
            </w:pPr>
          </w:p>
        </w:tc>
        <w:tc>
          <w:tcPr>
            <w:tcW w:w="793" w:type="pct"/>
            <w:vAlign w:val="center"/>
          </w:tcPr>
          <w:p>
            <w:pPr>
              <w:spacing w:line="440" w:lineRule="exact"/>
              <w:rPr>
                <w:rFonts w:ascii="Times New Roman" w:hAnsi="Times New Roman" w:eastAsia="黑体" w:cs="Times New Roman"/>
                <w:sz w:val="24"/>
                <w:szCs w:val="24"/>
              </w:rPr>
            </w:pPr>
          </w:p>
        </w:tc>
        <w:tc>
          <w:tcPr>
            <w:tcW w:w="1590" w:type="pct"/>
            <w:gridSpan w:val="2"/>
            <w:vAlign w:val="center"/>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vAlign w:val="center"/>
          </w:tcPr>
          <w:p>
            <w:pPr>
              <w:spacing w:line="440" w:lineRule="exact"/>
              <w:rPr>
                <w:rFonts w:ascii="Times New Roman" w:hAnsi="Times New Roman" w:eastAsia="黑体" w:cs="Times New Roman"/>
                <w:sz w:val="24"/>
                <w:szCs w:val="24"/>
              </w:rPr>
            </w:pPr>
          </w:p>
        </w:tc>
        <w:tc>
          <w:tcPr>
            <w:tcW w:w="1751" w:type="pct"/>
            <w:gridSpan w:val="4"/>
            <w:vAlign w:val="center"/>
          </w:tcPr>
          <w:p>
            <w:pPr>
              <w:spacing w:line="440" w:lineRule="exact"/>
              <w:rPr>
                <w:rFonts w:ascii="Times New Roman" w:hAnsi="Times New Roman" w:eastAsia="黑体" w:cs="Times New Roman"/>
                <w:sz w:val="24"/>
                <w:szCs w:val="24"/>
              </w:rPr>
            </w:pPr>
          </w:p>
        </w:tc>
        <w:tc>
          <w:tcPr>
            <w:tcW w:w="793" w:type="pct"/>
            <w:vAlign w:val="center"/>
          </w:tcPr>
          <w:p>
            <w:pPr>
              <w:spacing w:line="440" w:lineRule="exact"/>
              <w:rPr>
                <w:rFonts w:ascii="Times New Roman" w:hAnsi="Times New Roman" w:eastAsia="黑体" w:cs="Times New Roman"/>
                <w:sz w:val="24"/>
                <w:szCs w:val="24"/>
              </w:rPr>
            </w:pPr>
          </w:p>
        </w:tc>
        <w:tc>
          <w:tcPr>
            <w:tcW w:w="1590" w:type="pct"/>
            <w:gridSpan w:val="2"/>
            <w:vAlign w:val="center"/>
          </w:tcPr>
          <w:p>
            <w:pPr>
              <w:spacing w:line="440" w:lineRule="exact"/>
              <w:rPr>
                <w:rFonts w:ascii="Times New Roman" w:hAnsi="Times New Roman"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3" w:type="pct"/>
            <w:gridSpan w:val="2"/>
            <w:vAlign w:val="center"/>
          </w:tcPr>
          <w:p>
            <w:pPr>
              <w:spacing w:line="440" w:lineRule="exact"/>
              <w:rPr>
                <w:rFonts w:ascii="Times New Roman" w:hAnsi="Times New Roman" w:eastAsia="黑体" w:cs="Times New Roman"/>
                <w:sz w:val="24"/>
                <w:szCs w:val="24"/>
              </w:rPr>
            </w:pPr>
          </w:p>
        </w:tc>
        <w:tc>
          <w:tcPr>
            <w:tcW w:w="1751" w:type="pct"/>
            <w:gridSpan w:val="4"/>
            <w:vAlign w:val="center"/>
          </w:tcPr>
          <w:p>
            <w:pPr>
              <w:spacing w:line="440" w:lineRule="exact"/>
              <w:rPr>
                <w:rFonts w:ascii="Times New Roman" w:hAnsi="Times New Roman" w:eastAsia="黑体" w:cs="Times New Roman"/>
                <w:sz w:val="24"/>
                <w:szCs w:val="24"/>
              </w:rPr>
            </w:pPr>
          </w:p>
        </w:tc>
        <w:tc>
          <w:tcPr>
            <w:tcW w:w="793" w:type="pct"/>
            <w:vAlign w:val="center"/>
          </w:tcPr>
          <w:p>
            <w:pPr>
              <w:spacing w:line="440" w:lineRule="exact"/>
              <w:rPr>
                <w:rFonts w:ascii="Times New Roman" w:hAnsi="Times New Roman" w:eastAsia="黑体" w:cs="Times New Roman"/>
                <w:sz w:val="24"/>
                <w:szCs w:val="24"/>
              </w:rPr>
            </w:pPr>
          </w:p>
          <w:bookmarkEnd w:id="239"/>
          <w:bookmarkEnd w:id="240"/>
          <w:bookmarkEnd w:id="241"/>
          <w:bookmarkEnd w:id="242"/>
          <w:bookmarkEnd w:id="243"/>
          <w:bookmarkEnd w:id="244"/>
        </w:tc>
        <w:tc>
          <w:tcPr>
            <w:tcW w:w="1590" w:type="pct"/>
            <w:gridSpan w:val="2"/>
            <w:vAlign w:val="center"/>
          </w:tcPr>
          <w:p>
            <w:pPr>
              <w:spacing w:line="440" w:lineRule="exact"/>
              <w:rPr>
                <w:rFonts w:ascii="Times New Roman" w:hAnsi="Times New Roman" w:eastAsia="黑体" w:cs="Times New Roman"/>
                <w:sz w:val="24"/>
                <w:szCs w:val="24"/>
              </w:rPr>
            </w:pPr>
          </w:p>
        </w:tc>
      </w:tr>
    </w:tbl>
    <w:p>
      <w:pPr>
        <w:numPr>
          <w:ilvl w:val="0"/>
          <w:numId w:val="31"/>
        </w:numPr>
        <w:spacing w:before="72" w:after="72" w:line="360" w:lineRule="auto"/>
        <w:jc w:val="center"/>
        <w:rPr>
          <w:rFonts w:ascii="Times New Roman" w:hAnsi="Times New Roman" w:eastAsia="宋体" w:cs="Times New Roman"/>
          <w:b/>
          <w:kern w:val="44"/>
          <w:sz w:val="24"/>
          <w:szCs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p>
    <w:p>
      <w:pPr>
        <w:keepNext/>
        <w:keepLines/>
        <w:numPr>
          <w:ilvl w:val="3"/>
          <w:numId w:val="0"/>
        </w:numPr>
        <w:spacing w:before="120" w:beforeLines="50" w:after="120" w:afterLines="50" w:line="360" w:lineRule="auto"/>
        <w:jc w:val="center"/>
        <w:outlineLvl w:val="3"/>
        <w:rPr>
          <w:rFonts w:ascii="Times New Roman" w:hAnsi="Times New Roman" w:eastAsia="宋体" w:cs="Times New Roman"/>
          <w:b/>
          <w:bCs/>
          <w:sz w:val="28"/>
          <w:szCs w:val="28"/>
        </w:rPr>
      </w:pPr>
      <w:bookmarkStart w:id="254" w:name="_Toc27190"/>
      <w:bookmarkStart w:id="255" w:name="_Toc27848"/>
      <w:bookmarkStart w:id="256" w:name="_Toc19115"/>
      <w:bookmarkStart w:id="257" w:name="_Toc27477"/>
      <w:bookmarkStart w:id="258" w:name="_Toc27115"/>
      <w:bookmarkStart w:id="259" w:name="_Toc10785"/>
      <w:bookmarkStart w:id="260" w:name="_Toc23896"/>
      <w:bookmarkStart w:id="261" w:name="_Toc381489446"/>
      <w:bookmarkStart w:id="262" w:name="_Toc196294636"/>
      <w:r>
        <w:rPr>
          <w:rFonts w:ascii="Times New Roman" w:hAnsi="Times New Roman" w:eastAsia="宋体" w:cs="Times New Roman"/>
          <w:b/>
          <w:bCs/>
          <w:sz w:val="28"/>
          <w:szCs w:val="28"/>
        </w:rPr>
        <w:t>1.</w:t>
      </w:r>
      <w:r>
        <w:rPr>
          <w:rFonts w:hint="eastAsia" w:ascii="Times New Roman" w:hAnsi="Times New Roman" w:eastAsia="宋体" w:cs="Times New Roman"/>
          <w:b/>
          <w:bCs/>
          <w:sz w:val="28"/>
          <w:szCs w:val="28"/>
        </w:rPr>
        <w:t>6</w:t>
      </w:r>
      <w:r>
        <w:rPr>
          <w:rFonts w:ascii="Times New Roman" w:hAnsi="Times New Roman" w:eastAsia="宋体" w:cs="Times New Roman"/>
          <w:b/>
          <w:bCs/>
          <w:sz w:val="28"/>
          <w:szCs w:val="28"/>
        </w:rPr>
        <w:t xml:space="preserve"> 施工组织设计</w:t>
      </w:r>
      <w:bookmarkEnd w:id="254"/>
      <w:bookmarkEnd w:id="255"/>
      <w:bookmarkEnd w:id="256"/>
      <w:bookmarkEnd w:id="257"/>
      <w:bookmarkEnd w:id="258"/>
      <w:bookmarkEnd w:id="259"/>
      <w:bookmarkEnd w:id="260"/>
    </w:p>
    <w:p>
      <w:pPr>
        <w:tabs>
          <w:tab w:val="left" w:pos="1322"/>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lang w:val="en-GB"/>
        </w:rPr>
        <w:t>施工组织设计必须科学合理、真实可行，能充分体现出自身技术和专业优势。其</w:t>
      </w:r>
      <w:r>
        <w:rPr>
          <w:rFonts w:ascii="Times New Roman" w:hAnsi="Times New Roman" w:eastAsia="宋体" w:cs="Times New Roman"/>
          <w:sz w:val="24"/>
        </w:rPr>
        <w:t>要点和</w:t>
      </w:r>
      <w:r>
        <w:rPr>
          <w:rFonts w:ascii="Times New Roman" w:hAnsi="Times New Roman" w:eastAsia="宋体" w:cs="Times New Roman"/>
          <w:sz w:val="24"/>
          <w:lang w:val="en-GB"/>
        </w:rPr>
        <w:t>主要内容为：</w:t>
      </w:r>
    </w:p>
    <w:p>
      <w:pPr>
        <w:numPr>
          <w:ilvl w:val="0"/>
          <w:numId w:val="32"/>
        </w:numPr>
        <w:tabs>
          <w:tab w:val="left" w:pos="1322"/>
        </w:tabs>
        <w:spacing w:line="360" w:lineRule="auto"/>
        <w:rPr>
          <w:rFonts w:ascii="Times New Roman" w:hAnsi="Times New Roman" w:eastAsia="宋体" w:cs="Times New Roman"/>
          <w:sz w:val="24"/>
          <w:lang w:val="en-GB"/>
        </w:rPr>
      </w:pPr>
      <w:r>
        <w:rPr>
          <w:rFonts w:hint="eastAsia" w:ascii="Times New Roman" w:hAnsi="Times New Roman" w:eastAsia="宋体" w:cs="Times New Roman"/>
          <w:sz w:val="24"/>
          <w:lang w:val="en-GB"/>
        </w:rPr>
        <w:t>对工程重点、难点的分析及对策</w:t>
      </w:r>
      <w:r>
        <w:rPr>
          <w:rFonts w:ascii="Times New Roman" w:hAnsi="Times New Roman" w:eastAsia="宋体" w:cs="Times New Roman"/>
          <w:sz w:val="24"/>
          <w:lang w:val="en-GB"/>
        </w:rPr>
        <w:t>；</w:t>
      </w:r>
    </w:p>
    <w:p>
      <w:pPr>
        <w:numPr>
          <w:ilvl w:val="0"/>
          <w:numId w:val="32"/>
        </w:numPr>
        <w:tabs>
          <w:tab w:val="left" w:pos="1322"/>
        </w:tabs>
        <w:spacing w:line="360" w:lineRule="auto"/>
        <w:rPr>
          <w:rFonts w:ascii="Times New Roman" w:hAnsi="Times New Roman" w:eastAsia="宋体" w:cs="Times New Roman"/>
          <w:sz w:val="24"/>
          <w:lang w:val="en-GB"/>
        </w:rPr>
      </w:pPr>
      <w:r>
        <w:rPr>
          <w:rFonts w:ascii="Times New Roman" w:hAnsi="Times New Roman" w:eastAsia="宋体" w:cs="Times New Roman"/>
          <w:sz w:val="24"/>
          <w:lang w:val="en-GB"/>
        </w:rPr>
        <w:t>施工进度计划；</w:t>
      </w:r>
    </w:p>
    <w:p>
      <w:pPr>
        <w:numPr>
          <w:ilvl w:val="0"/>
          <w:numId w:val="32"/>
        </w:numPr>
        <w:tabs>
          <w:tab w:val="left" w:pos="1322"/>
        </w:tabs>
        <w:spacing w:line="360" w:lineRule="auto"/>
        <w:rPr>
          <w:rFonts w:ascii="Times New Roman" w:hAnsi="Times New Roman" w:eastAsia="宋体" w:cs="Times New Roman"/>
          <w:sz w:val="24"/>
          <w:lang w:val="en-GB"/>
        </w:rPr>
      </w:pPr>
      <w:r>
        <w:rPr>
          <w:rFonts w:ascii="Times New Roman" w:hAnsi="Times New Roman" w:eastAsia="宋体" w:cs="Times New Roman"/>
          <w:sz w:val="24"/>
          <w:lang w:val="en-GB"/>
        </w:rPr>
        <w:t>所选用的主要材料及设备；</w:t>
      </w:r>
    </w:p>
    <w:p>
      <w:pPr>
        <w:topLinePunct/>
        <w:adjustRightInd w:val="0"/>
        <w:snapToGrid w:val="0"/>
        <w:spacing w:line="360" w:lineRule="auto"/>
        <w:jc w:val="center"/>
        <w:rPr>
          <w:rFonts w:ascii="Times New Roman" w:hAnsi="Times New Roman" w:eastAsia="Times New Roman" w:cs="Times New Roman"/>
          <w:spacing w:val="4"/>
          <w:kern w:val="0"/>
          <w:sz w:val="36"/>
          <w:szCs w:val="20"/>
        </w:rPr>
      </w:pPr>
      <w:r>
        <w:rPr>
          <w:rFonts w:ascii="Times New Roman" w:hAnsi="Times New Roman" w:eastAsia="黑体" w:cs="Times New Roman"/>
          <w:spacing w:val="4"/>
          <w:kern w:val="0"/>
          <w:sz w:val="36"/>
          <w:szCs w:val="20"/>
        </w:rPr>
        <w:t>主要材料品牌厂家明细表</w:t>
      </w:r>
    </w:p>
    <w:tbl>
      <w:tblPr>
        <w:tblStyle w:val="3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2233"/>
        <w:gridCol w:w="1319"/>
        <w:gridCol w:w="240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序号</w:t>
            </w:r>
          </w:p>
        </w:tc>
        <w:tc>
          <w:tcPr>
            <w:tcW w:w="131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材料、设备名称</w:t>
            </w:r>
          </w:p>
        </w:tc>
        <w:tc>
          <w:tcPr>
            <w:tcW w:w="77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hint="eastAsia" w:ascii="Times New Roman" w:hAnsi="Times New Roman" w:eastAsia="宋体" w:cs="Times New Roman"/>
                <w:snapToGrid w:val="0"/>
                <w:kern w:val="0"/>
                <w:sz w:val="24"/>
                <w:szCs w:val="24"/>
                <w:lang w:eastAsia="zh-CN"/>
              </w:rPr>
            </w:pPr>
            <w:r>
              <w:rPr>
                <w:rFonts w:hint="eastAsia" w:ascii="Times New Roman" w:hAnsi="Times New Roman" w:eastAsia="宋体" w:cs="Times New Roman"/>
                <w:snapToGrid w:val="0"/>
                <w:kern w:val="0"/>
                <w:sz w:val="24"/>
                <w:szCs w:val="24"/>
                <w:lang w:eastAsia="zh-CN"/>
              </w:rPr>
              <w:t>规格型号</w:t>
            </w:r>
          </w:p>
        </w:tc>
        <w:tc>
          <w:tcPr>
            <w:tcW w:w="14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品牌</w:t>
            </w:r>
          </w:p>
        </w:tc>
        <w:tc>
          <w:tcPr>
            <w:tcW w:w="89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1"/>
              <w:jc w:val="center"/>
              <w:rPr>
                <w:rFonts w:ascii="Times New Roman" w:hAnsi="Times New Roman" w:eastAsia="宋体" w:cs="Times New Roman"/>
                <w:snapToGrid w:val="0"/>
                <w:kern w:val="0"/>
                <w:sz w:val="24"/>
                <w:szCs w:val="24"/>
              </w:rPr>
            </w:pPr>
            <w:r>
              <w:rPr>
                <w:rFonts w:ascii="Times New Roman" w:hAnsi="Times New Roman"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77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40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89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77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40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89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77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40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89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77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40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89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77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40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89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310"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774"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1408"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c>
          <w:tcPr>
            <w:tcW w:w="896" w:type="pct"/>
            <w:tcBorders>
              <w:top w:val="single" w:color="auto" w:sz="4" w:space="0"/>
              <w:left w:val="single" w:color="auto" w:sz="4" w:space="0"/>
              <w:bottom w:val="single" w:color="auto" w:sz="4" w:space="0"/>
              <w:right w:val="single" w:color="auto" w:sz="4" w:space="0"/>
            </w:tcBorders>
          </w:tcPr>
          <w:p>
            <w:pPr>
              <w:adjustRightInd w:val="0"/>
              <w:snapToGrid w:val="0"/>
              <w:spacing w:line="360" w:lineRule="auto"/>
              <w:ind w:right="11"/>
              <w:rPr>
                <w:rFonts w:ascii="Times New Roman" w:hAnsi="Times New Roman" w:eastAsia="宋体" w:cs="Times New Roman"/>
                <w:snapToGrid w:val="0"/>
                <w:kern w:val="0"/>
                <w:sz w:val="24"/>
                <w:szCs w:val="24"/>
              </w:rPr>
            </w:pPr>
          </w:p>
        </w:tc>
      </w:tr>
    </w:tbl>
    <w:p>
      <w:pPr>
        <w:numPr>
          <w:ilvl w:val="0"/>
          <w:numId w:val="32"/>
        </w:numPr>
        <w:tabs>
          <w:tab w:val="left" w:pos="1322"/>
        </w:tabs>
        <w:spacing w:line="360" w:lineRule="auto"/>
        <w:rPr>
          <w:rFonts w:ascii="Times New Roman" w:hAnsi="Times New Roman" w:eastAsia="宋体" w:cs="Times New Roman"/>
          <w:sz w:val="24"/>
          <w:lang w:val="en-GB"/>
        </w:rPr>
      </w:pPr>
      <w:r>
        <w:rPr>
          <w:rFonts w:ascii="Times New Roman" w:hAnsi="Times New Roman" w:eastAsia="宋体" w:cs="Times New Roman"/>
          <w:sz w:val="24"/>
          <w:lang w:val="en-GB"/>
        </w:rPr>
        <w:t>…</w:t>
      </w:r>
    </w:p>
    <w:p>
      <w:pPr>
        <w:tabs>
          <w:tab w:val="left" w:pos="851"/>
        </w:tabs>
        <w:spacing w:before="72" w:after="72" w:line="360" w:lineRule="auto"/>
        <w:ind w:left="840"/>
        <w:rPr>
          <w:rFonts w:ascii="Times New Roman" w:hAnsi="Times New Roman" w:eastAsia="宋体" w:cs="Times New Roman"/>
          <w:b/>
          <w:kern w:val="44"/>
          <w:szCs w:val="32"/>
        </w:rPr>
      </w:pPr>
    </w:p>
    <w:bookmarkEnd w:id="261"/>
    <w:bookmarkEnd w:id="262"/>
    <w:p>
      <w:pPr>
        <w:spacing w:before="72" w:after="72" w:line="360" w:lineRule="auto"/>
        <w:rPr>
          <w:rFonts w:ascii="Times New Roman" w:hAnsi="Times New Roman" w:eastAsia="宋体" w:cs="Times New Roman"/>
          <w:sz w:val="24"/>
        </w:rPr>
      </w:pPr>
    </w:p>
    <w:p>
      <w:pPr>
        <w:spacing w:before="72" w:after="72" w:line="360" w:lineRule="auto"/>
        <w:rPr>
          <w:rFonts w:ascii="Times New Roman" w:hAnsi="Times New Roman" w:eastAsia="宋体" w:cs="Times New Roman"/>
          <w:sz w:val="24"/>
        </w:rPr>
      </w:pPr>
    </w:p>
    <w:p>
      <w:pPr>
        <w:adjustRightInd w:val="0"/>
        <w:snapToGrid w:val="0"/>
        <w:spacing w:before="72" w:after="72" w:line="480" w:lineRule="auto"/>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投标人名称（加盖公章）：</w:t>
      </w:r>
    </w:p>
    <w:p>
      <w:pPr>
        <w:adjustRightInd w:val="0"/>
        <w:snapToGrid w:val="0"/>
        <w:spacing w:before="72" w:after="72" w:line="480" w:lineRule="auto"/>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法定代表人或其委托代理人（签字或盖章）：</w:t>
      </w:r>
    </w:p>
    <w:p>
      <w:pPr>
        <w:spacing w:before="72" w:after="72" w:line="400" w:lineRule="exact"/>
        <w:ind w:firstLine="3578" w:firstLineChars="1491"/>
        <w:rPr>
          <w:rFonts w:ascii="Times New Roman" w:hAnsi="Times New Roman" w:eastAsia="宋体" w:cs="Times New Roman"/>
          <w:sz w:val="24"/>
        </w:rPr>
        <w:sectPr>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pPr>
      <w:r>
        <w:rPr>
          <w:rFonts w:ascii="Times New Roman" w:hAnsi="Times New Roman" w:eastAsia="宋体" w:cs="Times New Roman"/>
          <w:sz w:val="24"/>
        </w:rPr>
        <w:t>日期：   年   月   日</w:t>
      </w:r>
    </w:p>
    <w:p>
      <w:pPr>
        <w:widowControl/>
        <w:numPr>
          <w:ilvl w:val="0"/>
          <w:numId w:val="29"/>
        </w:numPr>
        <w:spacing w:before="156" w:beforeAutospacing="1" w:after="156" w:afterAutospacing="1"/>
        <w:jc w:val="center"/>
        <w:outlineLvl w:val="2"/>
        <w:rPr>
          <w:rFonts w:ascii="Times New Roman" w:hAnsi="Times New Roman" w:eastAsia="宋体" w:cs="Times New Roman"/>
          <w:b/>
          <w:bCs/>
          <w:kern w:val="0"/>
          <w:sz w:val="24"/>
          <w:szCs w:val="24"/>
        </w:rPr>
      </w:pPr>
      <w:bookmarkStart w:id="263" w:name="_Toc423021980"/>
      <w:bookmarkStart w:id="264" w:name="_Toc11275"/>
      <w:bookmarkStart w:id="265" w:name="_Toc16304"/>
      <w:bookmarkStart w:id="266" w:name="_Toc16891"/>
      <w:bookmarkStart w:id="267" w:name="_Toc21472"/>
      <w:bookmarkStart w:id="268" w:name="_Toc381489454"/>
      <w:bookmarkStart w:id="269" w:name="_Toc52165078"/>
      <w:bookmarkStart w:id="270" w:name="_Toc183316730"/>
      <w:bookmarkStart w:id="271" w:name="_Toc50691030"/>
      <w:bookmarkStart w:id="272" w:name="_Toc169318448"/>
      <w:bookmarkStart w:id="273" w:name="_Toc168288376"/>
      <w:bookmarkStart w:id="274" w:name="_Toc50737294"/>
      <w:bookmarkStart w:id="275" w:name="_Toc182886670"/>
      <w:bookmarkStart w:id="276" w:name="_Toc168730818"/>
      <w:bookmarkStart w:id="277" w:name="_Toc50737326"/>
      <w:bookmarkStart w:id="278" w:name="_Toc50736474"/>
      <w:r>
        <w:rPr>
          <w:rFonts w:ascii="Times New Roman" w:hAnsi="Times New Roman" w:eastAsia="宋体" w:cs="Times New Roman"/>
          <w:b/>
          <w:bCs/>
          <w:kern w:val="0"/>
          <w:sz w:val="24"/>
          <w:szCs w:val="24"/>
        </w:rPr>
        <w:t xml:space="preserve"> </w:t>
      </w:r>
      <w:bookmarkStart w:id="279" w:name="_Toc31541"/>
      <w:bookmarkStart w:id="280" w:name="_Toc21517"/>
      <w:bookmarkStart w:id="281" w:name="_Toc10875"/>
      <w:r>
        <w:rPr>
          <w:rFonts w:ascii="Times New Roman" w:hAnsi="Times New Roman" w:eastAsia="宋体" w:cs="Times New Roman"/>
          <w:b/>
          <w:bCs/>
          <w:kern w:val="0"/>
          <w:sz w:val="24"/>
          <w:szCs w:val="24"/>
        </w:rPr>
        <w:t>经济标文件</w:t>
      </w:r>
      <w:bookmarkEnd w:id="263"/>
      <w:bookmarkEnd w:id="264"/>
      <w:bookmarkEnd w:id="265"/>
      <w:bookmarkEnd w:id="266"/>
      <w:bookmarkEnd w:id="267"/>
      <w:bookmarkEnd w:id="268"/>
      <w:bookmarkEnd w:id="279"/>
      <w:bookmarkEnd w:id="280"/>
      <w:bookmarkEnd w:id="281"/>
    </w:p>
    <w:p>
      <w:pPr>
        <w:keepNext/>
        <w:keepLines/>
        <w:numPr>
          <w:ilvl w:val="3"/>
          <w:numId w:val="0"/>
        </w:numPr>
        <w:spacing w:before="120" w:beforeLines="50" w:after="120" w:afterLines="50" w:line="360" w:lineRule="auto"/>
        <w:jc w:val="center"/>
        <w:outlineLvl w:val="3"/>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1.1报价表</w:t>
      </w:r>
      <w:bookmarkStart w:id="282" w:name="_Toc196109464"/>
      <w:bookmarkStart w:id="283" w:name="_Toc196294653"/>
    </w:p>
    <w:tbl>
      <w:tblPr>
        <w:tblStyle w:val="37"/>
        <w:tblpPr w:leftFromText="180" w:rightFromText="180" w:vertAnchor="text" w:horzAnchor="margin" w:tblpXSpec="center" w:tblpY="214"/>
        <w:tblW w:w="51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7"/>
        <w:gridCol w:w="2775"/>
        <w:gridCol w:w="2561"/>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restart"/>
            <w:shd w:val="clear" w:color="auto" w:fill="EAEAEA"/>
            <w:vAlign w:val="center"/>
          </w:tcPr>
          <w:p>
            <w:pPr>
              <w:pStyle w:val="2"/>
              <w:rPr>
                <w:rFonts w:hint="default"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lang w:val="en-US" w:eastAsia="zh-CN"/>
              </w:rPr>
              <w:t>1号  电梯</w:t>
            </w:r>
          </w:p>
        </w:tc>
        <w:tc>
          <w:tcPr>
            <w:tcW w:w="1612" w:type="pct"/>
            <w:shd w:val="clear" w:color="auto" w:fill="EAEAEA"/>
            <w:vAlign w:val="center"/>
          </w:tcPr>
          <w:p>
            <w:pPr>
              <w:pStyle w:val="2"/>
              <w:rPr>
                <w:rFonts w:hint="eastAsia" w:eastAsia="宋体" w:asciiTheme="minorEastAsia" w:hAnsi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投标产品品牌</w:t>
            </w:r>
            <w:r>
              <w:rPr>
                <w:rFonts w:hint="eastAsia" w:asciiTheme="minorEastAsia" w:hAnsiTheme="minorEastAsia" w:eastAsiaTheme="minorEastAsia" w:cstheme="minorEastAsia"/>
                <w:b/>
                <w:bCs/>
                <w:szCs w:val="21"/>
                <w:highlight w:val="none"/>
                <w:lang w:val="en-US" w:eastAsia="zh-CN"/>
              </w:rPr>
              <w:t>及型号</w:t>
            </w:r>
          </w:p>
        </w:tc>
        <w:tc>
          <w:tcPr>
            <w:tcW w:w="1489" w:type="pct"/>
            <w:shd w:val="clear" w:color="auto" w:fill="EAEAEA"/>
            <w:vAlign w:val="center"/>
          </w:tcPr>
          <w:p>
            <w:pPr>
              <w:pStyle w:val="2"/>
              <w:rPr>
                <w:rFonts w:hint="eastAsia"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额定速度</w:t>
            </w:r>
          </w:p>
        </w:tc>
        <w:tc>
          <w:tcPr>
            <w:tcW w:w="1514" w:type="pct"/>
            <w:shd w:val="clear" w:color="auto" w:fill="EAEAEA"/>
            <w:vAlign w:val="center"/>
          </w:tcPr>
          <w:p>
            <w:pPr>
              <w:pStyle w:val="2"/>
              <w:rPr>
                <w:rFonts w:hint="default"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载重/层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设备</w:t>
            </w:r>
            <w:r>
              <w:rPr>
                <w:rFonts w:hint="eastAsia" w:asciiTheme="minorEastAsia" w:hAnsiTheme="minorEastAsia" w:eastAsiaTheme="minorEastAsia" w:cstheme="minorEastAsia"/>
                <w:b/>
                <w:bCs/>
                <w:szCs w:val="21"/>
                <w:highlight w:val="none"/>
                <w:lang w:val="en-US" w:eastAsia="zh-CN"/>
              </w:rPr>
              <w:t>报价</w:t>
            </w:r>
            <w:r>
              <w:rPr>
                <w:rFonts w:hint="eastAsia" w:asciiTheme="minorEastAsia" w:hAnsiTheme="minorEastAsia" w:eastAsiaTheme="minorEastAsia" w:cstheme="minorEastAsia"/>
                <w:b/>
                <w:bCs/>
                <w:szCs w:val="21"/>
                <w:highlight w:val="none"/>
              </w:rPr>
              <w:t>(元)</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运输</w:t>
            </w:r>
            <w:r>
              <w:rPr>
                <w:rFonts w:hint="eastAsia" w:asciiTheme="minorEastAsia" w:hAnsiTheme="minorEastAsia" w:eastAsiaTheme="minorEastAsia" w:cstheme="minorEastAsia"/>
                <w:b/>
                <w:bCs/>
                <w:szCs w:val="21"/>
                <w:highlight w:val="none"/>
                <w:lang w:val="en-US" w:eastAsia="zh-CN"/>
              </w:rPr>
              <w:t>费报价(元)</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pacing w:val="-8"/>
                <w:szCs w:val="21"/>
                <w:highlight w:val="none"/>
                <w:lang w:val="en-US" w:eastAsia="zh-CN"/>
              </w:rPr>
              <w:t>拆除安装费报价(元)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vAlign w:val="center"/>
          </w:tcPr>
          <w:p>
            <w:pPr>
              <w:jc w:val="center"/>
              <w:rPr>
                <w:rFonts w:hint="eastAsia" w:asciiTheme="minorEastAsia" w:hAnsiTheme="minorEastAsia" w:eastAsiaTheme="minorEastAsia" w:cstheme="minorEastAsia"/>
                <w:szCs w:val="21"/>
                <w:highlight w:val="none"/>
              </w:rPr>
            </w:pPr>
          </w:p>
        </w:tc>
        <w:tc>
          <w:tcPr>
            <w:tcW w:w="1489" w:type="pct"/>
            <w:vAlign w:val="center"/>
          </w:tcPr>
          <w:p>
            <w:pPr>
              <w:jc w:val="center"/>
              <w:rPr>
                <w:rFonts w:hint="eastAsia"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restart"/>
            <w:shd w:val="clear" w:color="auto" w:fill="EAEAEA"/>
            <w:vAlign w:val="center"/>
          </w:tcPr>
          <w:p>
            <w:pPr>
              <w:jc w:val="center"/>
              <w:rPr>
                <w:rFonts w:hint="default"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lang w:val="en-US" w:eastAsia="zh-CN"/>
              </w:rPr>
              <w:t>2号  电梯</w:t>
            </w: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投标产品品牌</w:t>
            </w:r>
            <w:r>
              <w:rPr>
                <w:rFonts w:hint="eastAsia" w:asciiTheme="minorEastAsia" w:hAnsiTheme="minorEastAsia" w:eastAsiaTheme="minorEastAsia" w:cstheme="minorEastAsia"/>
                <w:b/>
                <w:bCs/>
                <w:szCs w:val="21"/>
                <w:highlight w:val="none"/>
                <w:lang w:val="en-US" w:eastAsia="zh-CN"/>
              </w:rPr>
              <w:t>及型号</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额定速度</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zCs w:val="21"/>
                <w:highlight w:val="none"/>
              </w:rPr>
              <w:t>载重/层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设备</w:t>
            </w:r>
            <w:r>
              <w:rPr>
                <w:rFonts w:hint="eastAsia" w:asciiTheme="minorEastAsia" w:hAnsiTheme="minorEastAsia" w:eastAsiaTheme="minorEastAsia" w:cstheme="minorEastAsia"/>
                <w:b/>
                <w:bCs/>
                <w:szCs w:val="21"/>
                <w:highlight w:val="none"/>
                <w:lang w:val="en-US" w:eastAsia="zh-CN"/>
              </w:rPr>
              <w:t>报价</w:t>
            </w:r>
            <w:r>
              <w:rPr>
                <w:rFonts w:hint="eastAsia" w:asciiTheme="minorEastAsia" w:hAnsiTheme="minorEastAsia" w:eastAsiaTheme="minorEastAsia" w:cstheme="minorEastAsia"/>
                <w:b/>
                <w:bCs/>
                <w:szCs w:val="21"/>
                <w:highlight w:val="none"/>
              </w:rPr>
              <w:t>(元)</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运输</w:t>
            </w:r>
            <w:r>
              <w:rPr>
                <w:rFonts w:hint="eastAsia" w:asciiTheme="minorEastAsia" w:hAnsiTheme="minorEastAsia" w:eastAsiaTheme="minorEastAsia" w:cstheme="minorEastAsia"/>
                <w:b/>
                <w:bCs/>
                <w:szCs w:val="21"/>
                <w:highlight w:val="none"/>
                <w:lang w:val="en-US" w:eastAsia="zh-CN"/>
              </w:rPr>
              <w:t>费报价(元)</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pacing w:val="-8"/>
                <w:szCs w:val="21"/>
                <w:highlight w:val="none"/>
                <w:lang w:val="en-US" w:eastAsia="zh-CN"/>
              </w:rPr>
              <w:t>拆除安装费报价(元)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restart"/>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lang w:val="en-US" w:eastAsia="zh-CN"/>
              </w:rPr>
              <w:t>3号  电梯</w:t>
            </w: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投标产品品牌</w:t>
            </w:r>
            <w:r>
              <w:rPr>
                <w:rFonts w:hint="eastAsia" w:asciiTheme="minorEastAsia" w:hAnsiTheme="minorEastAsia" w:eastAsiaTheme="minorEastAsia" w:cstheme="minorEastAsia"/>
                <w:b/>
                <w:bCs/>
                <w:szCs w:val="21"/>
                <w:highlight w:val="none"/>
                <w:lang w:val="en-US" w:eastAsia="zh-CN"/>
              </w:rPr>
              <w:t>及型号</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额定速度</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zCs w:val="21"/>
                <w:highlight w:val="none"/>
              </w:rPr>
              <w:t>载重/层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设备</w:t>
            </w:r>
            <w:r>
              <w:rPr>
                <w:rFonts w:hint="eastAsia" w:asciiTheme="minorEastAsia" w:hAnsiTheme="minorEastAsia" w:eastAsiaTheme="minorEastAsia" w:cstheme="minorEastAsia"/>
                <w:b/>
                <w:bCs/>
                <w:szCs w:val="21"/>
                <w:highlight w:val="none"/>
                <w:lang w:val="en-US" w:eastAsia="zh-CN"/>
              </w:rPr>
              <w:t>报价</w:t>
            </w:r>
            <w:r>
              <w:rPr>
                <w:rFonts w:hint="eastAsia" w:asciiTheme="minorEastAsia" w:hAnsiTheme="minorEastAsia" w:eastAsiaTheme="minorEastAsia" w:cstheme="minorEastAsia"/>
                <w:b/>
                <w:bCs/>
                <w:szCs w:val="21"/>
                <w:highlight w:val="none"/>
              </w:rPr>
              <w:t>(元)</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运输</w:t>
            </w:r>
            <w:r>
              <w:rPr>
                <w:rFonts w:hint="eastAsia" w:asciiTheme="minorEastAsia" w:hAnsiTheme="minorEastAsia" w:eastAsiaTheme="minorEastAsia" w:cstheme="minorEastAsia"/>
                <w:b/>
                <w:bCs/>
                <w:szCs w:val="21"/>
                <w:highlight w:val="none"/>
                <w:lang w:val="en-US" w:eastAsia="zh-CN"/>
              </w:rPr>
              <w:t>费报价(元)</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pacing w:val="-8"/>
                <w:szCs w:val="21"/>
                <w:highlight w:val="none"/>
                <w:lang w:val="en-US" w:eastAsia="zh-CN"/>
              </w:rPr>
              <w:t>拆除安装费报价(元)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restart"/>
            <w:shd w:val="clear" w:color="auto" w:fill="EAEAEA"/>
            <w:vAlign w:val="center"/>
          </w:tcPr>
          <w:p>
            <w:pPr>
              <w:jc w:val="center"/>
              <w:rPr>
                <w:rFonts w:hint="eastAsia"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lang w:val="en-US" w:eastAsia="zh-CN"/>
              </w:rPr>
              <w:t>6号  电梯</w:t>
            </w: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投标产品品牌</w:t>
            </w:r>
            <w:r>
              <w:rPr>
                <w:rFonts w:hint="eastAsia" w:asciiTheme="minorEastAsia" w:hAnsiTheme="minorEastAsia" w:eastAsiaTheme="minorEastAsia" w:cstheme="minorEastAsia"/>
                <w:b/>
                <w:bCs/>
                <w:szCs w:val="21"/>
                <w:highlight w:val="none"/>
                <w:lang w:val="en-US" w:eastAsia="zh-CN"/>
              </w:rPr>
              <w:t>及型号</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额定速度</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zCs w:val="21"/>
                <w:highlight w:val="none"/>
              </w:rPr>
              <w:t>载重/层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highlight w:val="none"/>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highlight w:val="none"/>
              </w:rPr>
            </w:pPr>
          </w:p>
        </w:tc>
        <w:tc>
          <w:tcPr>
            <w:tcW w:w="1612"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设备</w:t>
            </w:r>
            <w:r>
              <w:rPr>
                <w:rFonts w:hint="eastAsia" w:asciiTheme="minorEastAsia" w:hAnsiTheme="minorEastAsia" w:eastAsiaTheme="minorEastAsia" w:cstheme="minorEastAsia"/>
                <w:b/>
                <w:bCs/>
                <w:szCs w:val="21"/>
                <w:highlight w:val="none"/>
                <w:lang w:val="en-US" w:eastAsia="zh-CN"/>
              </w:rPr>
              <w:t>报价</w:t>
            </w:r>
            <w:r>
              <w:rPr>
                <w:rFonts w:hint="eastAsia" w:asciiTheme="minorEastAsia" w:hAnsiTheme="minorEastAsia" w:eastAsiaTheme="minorEastAsia" w:cstheme="minorEastAsia"/>
                <w:b/>
                <w:bCs/>
                <w:szCs w:val="21"/>
                <w:highlight w:val="none"/>
              </w:rPr>
              <w:t>(元)</w:t>
            </w:r>
          </w:p>
        </w:tc>
        <w:tc>
          <w:tcPr>
            <w:tcW w:w="1489" w:type="pct"/>
            <w:shd w:val="clear" w:color="auto" w:fill="EAEAEA"/>
            <w:vAlign w:val="center"/>
          </w:tcPr>
          <w:p>
            <w:pPr>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运输</w:t>
            </w:r>
            <w:r>
              <w:rPr>
                <w:rFonts w:hint="eastAsia" w:asciiTheme="minorEastAsia" w:hAnsiTheme="minorEastAsia" w:eastAsiaTheme="minorEastAsia" w:cstheme="minorEastAsia"/>
                <w:b/>
                <w:bCs/>
                <w:szCs w:val="21"/>
                <w:highlight w:val="none"/>
                <w:lang w:val="en-US" w:eastAsia="zh-CN"/>
              </w:rPr>
              <w:t>费报价(元)</w:t>
            </w:r>
          </w:p>
        </w:tc>
        <w:tc>
          <w:tcPr>
            <w:tcW w:w="1514" w:type="pct"/>
            <w:shd w:val="clear" w:color="auto" w:fill="EAEAEA"/>
            <w:vAlign w:val="center"/>
          </w:tcPr>
          <w:p>
            <w:pPr>
              <w:jc w:val="center"/>
              <w:rPr>
                <w:rFonts w:asciiTheme="minorEastAsia" w:hAnsiTheme="minorEastAsia" w:eastAsiaTheme="minorEastAsia" w:cstheme="minorEastAsia"/>
                <w:b/>
                <w:bCs/>
                <w:spacing w:val="-8"/>
                <w:szCs w:val="21"/>
                <w:highlight w:val="none"/>
              </w:rPr>
            </w:pPr>
            <w:r>
              <w:rPr>
                <w:rFonts w:hint="eastAsia" w:asciiTheme="minorEastAsia" w:hAnsiTheme="minorEastAsia" w:eastAsiaTheme="minorEastAsia" w:cstheme="minorEastAsia"/>
                <w:b/>
                <w:bCs/>
                <w:spacing w:val="-8"/>
                <w:szCs w:val="21"/>
                <w:highlight w:val="none"/>
                <w:lang w:val="en-US" w:eastAsia="zh-CN"/>
              </w:rPr>
              <w:t>拆除安装费报价(元)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82" w:type="pct"/>
            <w:vMerge w:val="continue"/>
            <w:shd w:val="clear" w:color="auto" w:fill="EAEAEA"/>
            <w:vAlign w:val="center"/>
          </w:tcPr>
          <w:p>
            <w:pPr>
              <w:jc w:val="center"/>
              <w:rPr>
                <w:highlight w:val="none"/>
              </w:rPr>
            </w:pPr>
          </w:p>
        </w:tc>
        <w:tc>
          <w:tcPr>
            <w:tcW w:w="1612" w:type="pct"/>
            <w:vAlign w:val="center"/>
          </w:tcPr>
          <w:p>
            <w:pPr>
              <w:jc w:val="center"/>
              <w:rPr>
                <w:rFonts w:asciiTheme="minorEastAsia" w:hAnsiTheme="minorEastAsia" w:eastAsiaTheme="minorEastAsia" w:cstheme="minorEastAsia"/>
                <w:szCs w:val="21"/>
                <w:highlight w:val="none"/>
              </w:rPr>
            </w:pPr>
          </w:p>
        </w:tc>
        <w:tc>
          <w:tcPr>
            <w:tcW w:w="1489" w:type="pct"/>
            <w:vAlign w:val="center"/>
          </w:tcPr>
          <w:p>
            <w:pPr>
              <w:jc w:val="center"/>
              <w:rPr>
                <w:rFonts w:asciiTheme="minorEastAsia" w:hAnsiTheme="minorEastAsia" w:eastAsiaTheme="minorEastAsia" w:cstheme="minorEastAsia"/>
                <w:szCs w:val="21"/>
                <w:highlight w:val="none"/>
              </w:rPr>
            </w:pPr>
          </w:p>
        </w:tc>
        <w:tc>
          <w:tcPr>
            <w:tcW w:w="1514" w:type="pct"/>
            <w:vAlign w:val="center"/>
          </w:tcPr>
          <w:p>
            <w:pPr>
              <w:jc w:val="center"/>
              <w:rPr>
                <w:rFonts w:asciiTheme="minorEastAsia" w:hAnsiTheme="minorEastAsia" w:eastAsiaTheme="minorEastAsia" w:cstheme="minorEastAsia"/>
                <w:spacing w:val="-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995" w:type="pct"/>
            <w:gridSpan w:val="2"/>
            <w:shd w:val="clear" w:color="auto" w:fill="EAEAEA"/>
            <w:vAlign w:val="center"/>
          </w:tcPr>
          <w:p>
            <w:pPr>
              <w:jc w:val="center"/>
              <w:rPr>
                <w:rFonts w:hint="default" w:asciiTheme="minorEastAsia" w:hAnsiTheme="minorEastAsia" w:cstheme="minorEastAsia"/>
                <w:b/>
                <w:bCs/>
                <w:szCs w:val="21"/>
                <w:highlight w:val="none"/>
                <w:lang w:val="en-US" w:eastAsia="zh-CN"/>
              </w:rPr>
            </w:pPr>
            <w:r>
              <w:rPr>
                <w:rFonts w:hint="default" w:asciiTheme="minorEastAsia" w:hAnsiTheme="minorEastAsia" w:cstheme="minorEastAsia"/>
                <w:b/>
                <w:bCs/>
                <w:szCs w:val="21"/>
                <w:highlight w:val="none"/>
                <w:lang w:val="en-US" w:eastAsia="zh-CN"/>
              </w:rPr>
              <w:t>新购买的4台电梯总报价</w:t>
            </w:r>
          </w:p>
        </w:tc>
        <w:tc>
          <w:tcPr>
            <w:tcW w:w="3004" w:type="pct"/>
            <w:gridSpan w:val="2"/>
            <w:shd w:val="clear" w:color="auto" w:fill="EAEAEA"/>
            <w:vAlign w:val="center"/>
          </w:tcPr>
          <w:p>
            <w:pPr>
              <w:jc w:val="left"/>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人民币          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995" w:type="pct"/>
            <w:gridSpan w:val="2"/>
            <w:shd w:val="clear" w:color="auto" w:fill="EAEAEA"/>
            <w:vAlign w:val="center"/>
          </w:tcPr>
          <w:p>
            <w:pPr>
              <w:jc w:val="center"/>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折旧回收的4台旧梯总报价</w:t>
            </w:r>
          </w:p>
        </w:tc>
        <w:tc>
          <w:tcPr>
            <w:tcW w:w="3004" w:type="pct"/>
            <w:gridSpan w:val="2"/>
            <w:shd w:val="clear" w:color="auto" w:fill="EAEAEA"/>
            <w:vAlign w:val="center"/>
          </w:tcPr>
          <w:p>
            <w:pPr>
              <w:jc w:val="left"/>
              <w:rPr>
                <w:rFonts w:hint="eastAsia" w:asciiTheme="minorEastAsia" w:hAnsiTheme="minorEastAsia" w:eastAsia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人民币          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995" w:type="pct"/>
            <w:gridSpan w:val="2"/>
            <w:shd w:val="clear" w:color="auto" w:fill="EAEAEA"/>
            <w:vAlign w:val="center"/>
          </w:tcPr>
          <w:p>
            <w:pPr>
              <w:jc w:val="center"/>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项目投标总报价</w:t>
            </w:r>
          </w:p>
          <w:p>
            <w:pPr>
              <w:jc w:val="center"/>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（抵扣旧梯回收后的报价，即新购买的4台电梯总报价-折旧回收的4台旧梯总报价）</w:t>
            </w:r>
          </w:p>
        </w:tc>
        <w:tc>
          <w:tcPr>
            <w:tcW w:w="3004" w:type="pct"/>
            <w:gridSpan w:val="2"/>
            <w:shd w:val="clear" w:color="auto" w:fill="EAEAEA"/>
            <w:vAlign w:val="center"/>
          </w:tcPr>
          <w:p>
            <w:pPr>
              <w:jc w:val="both"/>
              <w:rPr>
                <w:rFonts w:hint="eastAsia" w:asciiTheme="minorEastAsia" w:hAnsiTheme="minorEastAsia" w:cstheme="minorEastAsia"/>
                <w:b/>
                <w:bCs/>
                <w:szCs w:val="21"/>
                <w:highlight w:val="none"/>
                <w:lang w:val="en-US" w:eastAsia="zh-CN"/>
              </w:rPr>
            </w:pPr>
            <w:r>
              <w:rPr>
                <w:rFonts w:hint="eastAsia" w:asciiTheme="minorEastAsia" w:hAnsiTheme="minorEastAsia" w:eastAsiaTheme="minorEastAsia" w:cstheme="minorEastAsia"/>
                <w:b/>
                <w:bCs/>
                <w:szCs w:val="21"/>
                <w:highlight w:val="none"/>
              </w:rPr>
              <w:t>人民币          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995" w:type="pct"/>
            <w:gridSpan w:val="2"/>
            <w:shd w:val="clear" w:color="auto" w:fill="EAEAEA"/>
            <w:vAlign w:val="center"/>
          </w:tcPr>
          <w:p>
            <w:pPr>
              <w:jc w:val="center"/>
              <w:rPr>
                <w:rFonts w:hint="eastAsia" w:asciiTheme="minorEastAsia" w:hAnsiTheme="minorEastAsia" w:cstheme="minorEastAsia"/>
                <w:b/>
                <w:bCs/>
                <w:szCs w:val="21"/>
                <w:highlight w:val="none"/>
                <w:lang w:val="en-US" w:eastAsia="zh-CN"/>
              </w:rPr>
            </w:pPr>
            <w:r>
              <w:rPr>
                <w:rFonts w:hint="eastAsia" w:asciiTheme="minorEastAsia" w:hAnsiTheme="minorEastAsia" w:cstheme="minorEastAsia"/>
                <w:b/>
                <w:bCs/>
                <w:szCs w:val="21"/>
                <w:highlight w:val="none"/>
                <w:lang w:val="en-US" w:eastAsia="zh-CN"/>
              </w:rPr>
              <w:t>项目投标报价</w:t>
            </w:r>
            <w:r>
              <w:rPr>
                <w:rFonts w:hint="eastAsia" w:ascii="宋体" w:hAnsi="宋体" w:cs="宋体"/>
                <w:b/>
                <w:bCs/>
                <w:color w:val="000000" w:themeColor="text1"/>
                <w:kern w:val="0"/>
                <w:szCs w:val="21"/>
                <w:highlight w:val="none"/>
                <w14:textFill>
                  <w14:solidFill>
                    <w14:schemeClr w14:val="tx1"/>
                  </w14:solidFill>
                </w14:textFill>
              </w:rPr>
              <w:t>所含增值税税率</w:t>
            </w:r>
          </w:p>
        </w:tc>
        <w:tc>
          <w:tcPr>
            <w:tcW w:w="3004" w:type="pct"/>
            <w:gridSpan w:val="2"/>
            <w:shd w:val="clear" w:color="auto" w:fill="EAEAEA"/>
            <w:vAlign w:val="center"/>
          </w:tcPr>
          <w:p>
            <w:pPr>
              <w:jc w:val="both"/>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5000" w:type="pct"/>
            <w:gridSpan w:val="4"/>
            <w:vAlign w:val="bottom"/>
          </w:tcPr>
          <w:p>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备</w:t>
            </w:r>
            <w:r>
              <w:rPr>
                <w:rFonts w:hint="eastAsia" w:ascii="宋体" w:hAnsi="宋体" w:eastAsia="宋体" w:cs="宋体"/>
                <w:sz w:val="21"/>
                <w:szCs w:val="21"/>
                <w:highlight w:val="none"/>
              </w:rPr>
              <w:t>注：</w:t>
            </w:r>
          </w:p>
          <w:p>
            <w:pPr>
              <w:pStyle w:val="16"/>
              <w:numPr>
                <w:ilvl w:val="0"/>
                <w:numId w:val="33"/>
              </w:num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项目投标总报价</w:t>
            </w:r>
            <w:r>
              <w:rPr>
                <w:rFonts w:hint="eastAsia" w:ascii="宋体" w:hAnsi="宋体" w:eastAsia="宋体" w:cs="宋体"/>
                <w:sz w:val="21"/>
                <w:szCs w:val="21"/>
                <w:highlight w:val="none"/>
              </w:rPr>
              <w:t>已包含：</w:t>
            </w:r>
            <w:r>
              <w:rPr>
                <w:rFonts w:hint="eastAsia" w:ascii="宋体" w:hAnsi="宋体" w:cs="宋体"/>
                <w:b w:val="0"/>
                <w:bCs w:val="0"/>
                <w:szCs w:val="21"/>
                <w:highlight w:val="none"/>
                <w:lang w:val="en-US" w:eastAsia="zh-CN"/>
              </w:rPr>
              <w:t>折旧回收旧梯</w:t>
            </w:r>
            <w:r>
              <w:rPr>
                <w:rFonts w:hint="eastAsia" w:ascii="宋体" w:hAnsi="宋体" w:eastAsia="宋体" w:cs="宋体"/>
                <w:sz w:val="21"/>
                <w:szCs w:val="21"/>
                <w:highlight w:val="none"/>
                <w:lang w:val="en-US" w:eastAsia="zh-CN"/>
              </w:rPr>
              <w:t>、设备金额、包装费、运输费、保险费、设备装卸费、保管费、质保维护费、拆除安装费、绿色施工安全防护措施费、调试费</w:t>
            </w:r>
            <w:r>
              <w:rPr>
                <w:rFonts w:hint="eastAsia" w:ascii="宋体" w:hAnsi="宋体" w:cs="宋体"/>
                <w:sz w:val="21"/>
                <w:szCs w:val="21"/>
                <w:highlight w:val="none"/>
                <w:lang w:val="en-US" w:eastAsia="zh-CN"/>
              </w:rPr>
              <w:t>、</w:t>
            </w:r>
            <w:r>
              <w:rPr>
                <w:rFonts w:hint="eastAsia" w:ascii="宋体" w:hAnsi="宋体" w:eastAsia="宋体" w:cs="宋体"/>
                <w:color w:val="auto"/>
                <w:sz w:val="21"/>
                <w:szCs w:val="21"/>
                <w:highlight w:val="none"/>
                <w:lang w:val="en-US" w:eastAsia="zh-CN"/>
              </w:rPr>
              <w:t>电梯监督检</w:t>
            </w:r>
            <w:r>
              <w:rPr>
                <w:rFonts w:hint="eastAsia" w:ascii="宋体" w:hAnsi="宋体" w:cs="宋体"/>
                <w:color w:val="auto"/>
                <w:sz w:val="21"/>
                <w:szCs w:val="21"/>
                <w:highlight w:val="none"/>
                <w:lang w:val="en-US" w:eastAsia="zh-CN"/>
              </w:rPr>
              <w:t>验费</w:t>
            </w:r>
            <w:r>
              <w:rPr>
                <w:rFonts w:hint="eastAsia" w:ascii="宋体" w:hAnsi="宋体" w:cs="宋体"/>
                <w:sz w:val="21"/>
                <w:szCs w:val="21"/>
                <w:highlight w:val="none"/>
                <w:lang w:val="en-US" w:eastAsia="zh-CN"/>
              </w:rPr>
              <w:t>以及</w:t>
            </w:r>
            <w:r>
              <w:rPr>
                <w:rFonts w:hint="eastAsia" w:ascii="宋体" w:hAnsi="宋体" w:eastAsia="宋体" w:cs="宋体"/>
                <w:sz w:val="21"/>
                <w:szCs w:val="21"/>
                <w:highlight w:val="none"/>
                <w:lang w:val="en-US" w:eastAsia="zh-CN"/>
              </w:rPr>
              <w:t>税费等与项目相关的</w:t>
            </w:r>
            <w:r>
              <w:rPr>
                <w:rFonts w:hint="eastAsia" w:ascii="宋体" w:hAnsi="宋体" w:cs="宋体"/>
                <w:sz w:val="21"/>
                <w:szCs w:val="21"/>
                <w:highlight w:val="none"/>
                <w:lang w:val="en-US" w:eastAsia="zh-CN"/>
              </w:rPr>
              <w:t>包括但不限于上述的</w:t>
            </w:r>
            <w:r>
              <w:rPr>
                <w:rFonts w:hint="eastAsia" w:ascii="宋体" w:hAnsi="宋体" w:eastAsia="宋体" w:cs="宋体"/>
                <w:sz w:val="21"/>
                <w:szCs w:val="21"/>
                <w:highlight w:val="none"/>
                <w:lang w:val="en-US" w:eastAsia="zh-CN"/>
              </w:rPr>
              <w:t>所有费用。</w:t>
            </w:r>
          </w:p>
          <w:p>
            <w:pPr>
              <w:pStyle w:val="16"/>
              <w:numPr>
                <w:ilvl w:val="0"/>
                <w:numId w:val="33"/>
              </w:num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招标人须对4台旧电梯留用下列器件：</w:t>
            </w:r>
            <w:r>
              <w:rPr>
                <w:rFonts w:hint="eastAsia" w:ascii="宋体" w:hAnsi="宋体" w:eastAsia="宋体" w:cs="宋体"/>
                <w:i w:val="0"/>
                <w:caps w:val="0"/>
                <w:color w:val="auto"/>
                <w:spacing w:val="0"/>
                <w:sz w:val="21"/>
                <w:szCs w:val="21"/>
                <w:highlight w:val="none"/>
                <w:shd w:val="clear" w:fill="auto"/>
              </w:rPr>
              <w:t>驱动变频器、门机盒、门电机和内呼显示板</w:t>
            </w:r>
            <w:r>
              <w:rPr>
                <w:rFonts w:hint="eastAsia" w:ascii="宋体" w:hAnsi="宋体" w:eastAsia="宋体" w:cs="宋体"/>
                <w:i w:val="0"/>
                <w:caps w:val="0"/>
                <w:color w:val="auto"/>
                <w:spacing w:val="0"/>
                <w:sz w:val="21"/>
                <w:szCs w:val="21"/>
                <w:highlight w:val="none"/>
                <w:shd w:val="clear" w:fill="auto"/>
                <w:lang w:eastAsia="zh-CN"/>
              </w:rPr>
              <w:t>。</w:t>
            </w:r>
          </w:p>
          <w:p>
            <w:pPr>
              <w:pStyle w:val="16"/>
              <w:numPr>
                <w:ilvl w:val="0"/>
                <w:numId w:val="33"/>
              </w:numPr>
              <w:ind w:left="0" w:leftChars="0" w:firstLine="420" w:firstLineChars="0"/>
              <w:rPr>
                <w:rFonts w:hint="default" w:eastAsia="宋体"/>
                <w:highlight w:val="none"/>
                <w:lang w:val="en-US" w:eastAsia="zh-CN"/>
              </w:rPr>
            </w:pPr>
            <w:r>
              <w:rPr>
                <w:rFonts w:hint="eastAsia" w:ascii="宋体" w:hAnsi="宋体" w:eastAsia="宋体" w:cs="宋体"/>
                <w:sz w:val="21"/>
                <w:szCs w:val="21"/>
                <w:highlight w:val="none"/>
                <w:lang w:val="en-US" w:eastAsia="zh-CN"/>
              </w:rPr>
              <w:t>施工工期：</w:t>
            </w:r>
            <w:r>
              <w:rPr>
                <w:rFonts w:hint="eastAsia" w:ascii="宋体" w:hAnsi="宋体" w:eastAsia="宋体" w:cs="宋体"/>
                <w:color w:val="auto"/>
                <w:sz w:val="21"/>
                <w:szCs w:val="21"/>
                <w:highlight w:val="none"/>
              </w:rPr>
              <w:t>每台电梯的施工期不能够超过</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天</w:t>
            </w:r>
            <w:r>
              <w:rPr>
                <w:rFonts w:hint="eastAsia" w:ascii="宋体" w:hAnsi="宋体" w:eastAsia="宋体" w:cs="宋体"/>
                <w:sz w:val="21"/>
                <w:szCs w:val="21"/>
                <w:highlight w:val="none"/>
                <w:lang w:eastAsia="zh-CN"/>
              </w:rPr>
              <w:t>。</w:t>
            </w:r>
          </w:p>
        </w:tc>
      </w:tr>
    </w:tbl>
    <w:p>
      <w:pPr>
        <w:spacing w:before="72" w:after="72" w:line="360" w:lineRule="auto"/>
        <w:ind w:left="720" w:hanging="720"/>
        <w:rPr>
          <w:rFonts w:ascii="Times New Roman" w:hAnsi="Times New Roman" w:eastAsia="宋体" w:cs="Times New Roman"/>
          <w:bCs/>
          <w:sz w:val="24"/>
          <w:highlight w:val="none"/>
        </w:rPr>
      </w:pPr>
      <w:r>
        <w:rPr>
          <w:rFonts w:ascii="Times New Roman" w:hAnsi="Times New Roman" w:eastAsia="宋体" w:cs="Times New Roman"/>
          <w:bCs/>
          <w:sz w:val="24"/>
          <w:highlight w:val="none"/>
        </w:rPr>
        <w:t>注：</w:t>
      </w:r>
    </w:p>
    <w:p>
      <w:pPr>
        <w:numPr>
          <w:ilvl w:val="0"/>
          <w:numId w:val="34"/>
        </w:num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投标人须按要求填写所有信息，不得随意更改本表格式。</w:t>
      </w:r>
    </w:p>
    <w:p>
      <w:pPr>
        <w:numPr>
          <w:ilvl w:val="0"/>
          <w:numId w:val="34"/>
        </w:num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sz w:val="24"/>
        </w:rPr>
        <w:t>此表是投标文件的必要文件，是投标文件的组成部分，还应另</w:t>
      </w:r>
      <w:r>
        <w:rPr>
          <w:rFonts w:hint="eastAsia" w:ascii="Times New Roman" w:hAnsi="Times New Roman" w:eastAsia="宋体" w:cs="Times New Roman"/>
          <w:sz w:val="24"/>
        </w:rPr>
        <w:t>复印一份并加盖投标人公章，若有优惠声明将其一起封装在唱标信封中</w:t>
      </w:r>
      <w:r>
        <w:rPr>
          <w:rFonts w:ascii="Times New Roman" w:hAnsi="Times New Roman" w:eastAsia="宋体" w:cs="Times New Roman"/>
          <w:sz w:val="24"/>
        </w:rPr>
        <w:t>，作为唱标之用。</w:t>
      </w:r>
    </w:p>
    <w:p>
      <w:pPr>
        <w:adjustRightInd w:val="0"/>
        <w:snapToGrid w:val="0"/>
        <w:spacing w:line="520" w:lineRule="exact"/>
        <w:ind w:firstLine="3578" w:firstLineChars="1491"/>
        <w:rPr>
          <w:rFonts w:ascii="Times New Roman" w:hAnsi="Times New Roman" w:eastAsia="宋体" w:cs="Times New Roman"/>
          <w:sz w:val="24"/>
          <w:u w:val="single"/>
        </w:rPr>
      </w:pPr>
      <w:bookmarkStart w:id="284" w:name="_Toc381489457"/>
      <w:r>
        <w:rPr>
          <w:rFonts w:ascii="Times New Roman" w:hAnsi="Times New Roman" w:eastAsia="宋体" w:cs="Times New Roman"/>
          <w:sz w:val="24"/>
        </w:rPr>
        <w:t>投标人名称（加盖公章）：</w:t>
      </w:r>
    </w:p>
    <w:p>
      <w:pPr>
        <w:adjustRightInd w:val="0"/>
        <w:snapToGrid w:val="0"/>
        <w:spacing w:line="520" w:lineRule="exact"/>
        <w:ind w:firstLine="3578" w:firstLineChars="1491"/>
        <w:rPr>
          <w:rFonts w:ascii="Times New Roman" w:hAnsi="Times New Roman" w:eastAsia="宋体" w:cs="Times New Roman"/>
          <w:sz w:val="24"/>
          <w:u w:val="single"/>
        </w:rPr>
      </w:pPr>
      <w:r>
        <w:rPr>
          <w:rFonts w:ascii="Times New Roman" w:hAnsi="Times New Roman" w:eastAsia="宋体" w:cs="Times New Roman"/>
          <w:sz w:val="24"/>
        </w:rPr>
        <w:t>法定代表人或其委托代理人（签字或盖章）：</w:t>
      </w:r>
    </w:p>
    <w:p>
      <w:pPr>
        <w:adjustRightInd w:val="0"/>
        <w:snapToGrid w:val="0"/>
        <w:spacing w:line="520" w:lineRule="exact"/>
        <w:ind w:firstLine="3578" w:firstLineChars="1491"/>
      </w:pPr>
      <w:r>
        <w:rPr>
          <w:rFonts w:ascii="Times New Roman" w:hAnsi="Times New Roman" w:eastAsia="宋体" w:cs="Times New Roman"/>
          <w:sz w:val="24"/>
        </w:rPr>
        <w:t>日期：   年   月   日</w:t>
      </w:r>
      <w:bookmarkEnd w:id="0"/>
      <w:bookmarkEnd w:id="269"/>
      <w:bookmarkEnd w:id="270"/>
      <w:bookmarkEnd w:id="271"/>
      <w:bookmarkEnd w:id="272"/>
      <w:bookmarkEnd w:id="273"/>
      <w:bookmarkEnd w:id="274"/>
      <w:bookmarkEnd w:id="275"/>
      <w:bookmarkEnd w:id="276"/>
      <w:bookmarkEnd w:id="277"/>
      <w:bookmarkEnd w:id="278"/>
      <w:bookmarkEnd w:id="282"/>
      <w:bookmarkEnd w:id="283"/>
      <w:bookmarkEnd w:id="284"/>
    </w:p>
    <w:sectPr>
      <w:headerReference r:id="rId14" w:type="first"/>
      <w:footerReference r:id="rId15" w:type="first"/>
      <w:pgSz w:w="11905" w:h="16838"/>
      <w:pgMar w:top="1440" w:right="1800" w:bottom="1440" w:left="1800" w:header="850" w:footer="822" w:gutter="0"/>
      <w:pgBorders>
        <w:top w:val="none" w:sz="0" w:space="0"/>
        <w:left w:val="none" w:sz="0" w:space="0"/>
        <w:bottom w:val="none" w:sz="0" w:space="0"/>
        <w:right w:val="none" w:sz="0" w:space="0"/>
      </w:pgBorders>
      <w:cols w:space="72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92"/>
      <w:rPr>
        <w:rStyle w:val="42"/>
      </w:rPr>
    </w:pPr>
    <w:r>
      <w:fldChar w:fldCharType="begin"/>
    </w:r>
    <w:r>
      <w:rPr>
        <w:rStyle w:val="42"/>
      </w:rPr>
      <w:instrText xml:space="preserve">PAGE  </w:instrText>
    </w:r>
    <w:r>
      <w:fldChar w:fldCharType="separate"/>
    </w:r>
    <w:r>
      <w:rPr>
        <w:rStyle w:val="42"/>
        <w:rFonts w:hint="eastAsia"/>
      </w:rPr>
      <w:t>一</w:t>
    </w:r>
    <w:r>
      <w:rPr>
        <w:rStyle w:val="42"/>
      </w:rPr>
      <w:t>–2</w:t>
    </w:r>
    <w:r>
      <w:fldChar w:fldCharType="end"/>
    </w:r>
  </w:p>
  <w:p>
    <w:pPr>
      <w:pStyle w:val="24"/>
      <w:ind w:firstLine="392"/>
    </w:pPr>
    <w:r>
      <w:rPr>
        <w:kern w:val="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rPr>
        <w:rStyle w:val="4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270" b="254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JxmCBgsCAAAEBAAADgAAAAAAAAABACAAAAAfAQAA&#10;ZHJzL2Uyb0RvYy54bWxQSwUGAAAAAAYABgBZAQAAnAU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r>
      <w:rPr>
        <w:rFonts w:hint="eastAsia"/>
        <w:lang w:val="en-US" w:eastAsia="zh-CN"/>
      </w:rPr>
      <w:t>1210-2340YDZB5909</w:t>
    </w:r>
    <w:r>
      <w:rPr>
        <w:rFonts w:hint="eastAsia"/>
        <w:szCs w:val="21"/>
      </w:rPr>
      <w:t xml:space="preserve">                                广东有德招标采购有限公司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pPr>
    <w:r>
      <mc:AlternateContent>
        <mc:Choice Requires="wps">
          <w:drawing>
            <wp:anchor distT="0" distB="0" distL="114300" distR="114300" simplePos="0" relativeHeight="251662336" behindDoc="0" locked="0" layoutInCell="1" allowOverlap="1">
              <wp:simplePos x="0" y="0"/>
              <wp:positionH relativeFrom="margin">
                <wp:posOffset>2851150</wp:posOffset>
              </wp:positionH>
              <wp:positionV relativeFrom="paragraph">
                <wp:posOffset>0</wp:posOffset>
              </wp:positionV>
              <wp:extent cx="1828800" cy="1828800"/>
              <wp:effectExtent l="3175"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24.5pt;margin-top:0pt;height:144pt;width:144pt;mso-position-horizontal-relative:margin;mso-wrap-style:none;z-index:251662336;mso-width-relative:page;mso-height-relative:page;" filled="f" stroked="f" coordsize="21600,21600" o:gfxdata="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XedzVAAAACAEAAA8AAAAAAAAAAQAgAAAAIgAAAGRycy9k&#10;b3ducmV2LnhtbFBLAQIUABQAAAAIAIdO4kCGLlBtBQIAAAYEAAAOAAAAAAAAAAEAIAAAACQBAABk&#10;cnMvZTJvRG9jLnhtbFBLBQYAAAAABgAGAFkBAACbBQ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rPr>
        <w:rFonts w:hint="eastAsia"/>
        <w:lang w:val="en-US" w:eastAsia="zh-CN"/>
      </w:rPr>
      <w:t>1210-2340YDZB5909</w:t>
    </w:r>
    <w:r>
      <w:rPr>
        <w:rFonts w:hint="eastAsia"/>
        <w:szCs w:val="21"/>
      </w:rPr>
      <w:t xml:space="preserve">                                        广东有德招标采购有限公司 编制</w: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LOZEG0EAgAABgQAAA4AAAAAAAAAAQAgAAAAHgEAAGRycy9lMm9E&#10;b2MueG1sUEsFBgAAAAAGAAYAWQEAAJQFAAAAAA==&#10;">
              <v:fill on="f" focussize="0,0"/>
              <v:stroke on="f"/>
              <v:imagedata o:title=""/>
              <o:lock v:ext="edit" aspectratio="f"/>
              <v:textbox inset="0mm,0mm,0mm,0mm" style="mso-fit-shape-to-text:t;">
                <w:txbxContent>
                  <w:p>
                    <w:pPr>
                      <w:pStyle w:val="2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127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2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81</w:t>
                          </w:r>
                          <w:r>
                            <w:rPr>
                              <w:rFonts w:hint="eastAsia"/>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e10z0AAAAAMBAAAPAAAAAAAAAAEAIAAAACIAAABkcnMv&#10;ZG93bnJldi54bWxQSwECFAAUAAAACACHTuJAmEtTAAsCAAAEBAAADgAAAAAAAAABACAAAAAfAQAA&#10;ZHJzL2Uyb0RvYy54bWxQSwUGAAAAAAYABgBZAQAAnAUAAAAA&#10;">
              <v:fill on="f" focussize="0,0"/>
              <v:stroke on="f"/>
              <v:imagedata o:title=""/>
              <o:lock v:ext="edit" aspectratio="f"/>
              <v:textbox inset="0mm,0mm,0mm,0mm" style="mso-fit-shape-to-text:t;">
                <w:txbxContent>
                  <w:p>
                    <w:pPr>
                      <w:pStyle w:val="2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81</w:t>
                    </w:r>
                    <w:r>
                      <w:rPr>
                        <w:rFonts w:hint="eastAsia"/>
                        <w:sz w:val="21"/>
                        <w:szCs w:val="21"/>
                      </w:rPr>
                      <w:fldChar w:fldCharType="end"/>
                    </w:r>
                  </w:p>
                </w:txbxContent>
              </v:textbox>
            </v:shape>
          </w:pict>
        </mc:Fallback>
      </mc:AlternateContent>
    </w:r>
    <w:r>
      <w:rPr>
        <w:rFonts w:hint="eastAsia"/>
        <w:lang w:val="en-US" w:eastAsia="zh-CN"/>
      </w:rPr>
      <w:t>1210-2340YDZB5909</w:t>
    </w:r>
    <w:r>
      <w:rPr>
        <w:rFonts w:hint="eastAsia"/>
        <w:szCs w:val="21"/>
      </w:rPr>
      <w:t xml:space="preserve">                                 广东有德招标采购有限公司 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uto" w:sz="4" w:space="0"/>
      </w:pBdr>
      <w:jc w:val="righ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r>
      <w:rPr>
        <w:rFonts w:hint="eastAsia"/>
        <w:sz w:val="21"/>
        <w:szCs w:val="21"/>
        <w:lang w:eastAsia="zh-CN"/>
      </w:rPr>
      <w:t>1210-2340YDZB5909</w:t>
    </w:r>
    <w:r>
      <w:rPr>
        <w:rFonts w:hint="eastAsia"/>
        <w:sz w:val="21"/>
        <w:szCs w:val="21"/>
      </w:rPr>
      <w:t xml:space="preserve">                               广东有德招标采购有限公司 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96</w:t>
                          </w:r>
                          <w:r>
                            <w:rPr>
                              <w:rFonts w:hint="eastAsia"/>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KWbgUCAAAG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qZJuOLMCkMvfvrx/fTz9+nX&#10;N0Y5Mqh3vqC6e0eVYXgNAxUnsd7dgfzimYXbVtidukGEvlWiJoLzeDN7dHXE8RGk6t9BTY3EPkAC&#10;Gho00T3ygxE6Pc7x8jhqCEzGlsvFcpnTkaSzaRN7iGK67tCHNwoMi0HJkV4/wYvDnQ9j6VQSu1nY&#10;6q6jvCg6+1eCMGMm0Y+MR+5hqAaqjpoqqI8kBGEcKPpOFLSAXznraZhKbunvcNa9tWRFnLspwCmo&#10;pkBYSRdLHjgbw9swzufeod61hDuZfUN2bXUS8sDhzJLGI1lxHuU4f4/3qerh+6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6pebnPAAAABQEAAA8AAAAAAAAAAQAgAAAAIgAAAGRycy9kb3ducmV2&#10;LnhtbFBLAQIUABQAAAAIAIdO4kClkpZuBQIAAAYEAAAOAAAAAAAAAAEAIAAAAB4BAABkcnMvZTJv&#10;RG9jLnhtbFBLBQYAAAAABgAGAFkBAACVBQAAAAA=&#10;">
              <v:fill on="f" focussize="0,0"/>
              <v:stroke on="f"/>
              <v:imagedata o:title=""/>
              <o:lock v:ext="edit" aspectratio="f"/>
              <v:textbox inset="0mm,0mm,0mm,0mm" style="mso-fit-shape-to-text:t;">
                <w:txbxContent>
                  <w:p>
                    <w:pPr>
                      <w:pStyle w:val="2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96</w:t>
                    </w:r>
                    <w:r>
                      <w:rPr>
                        <w:rFonts w:hint="eastAsia"/>
                        <w:sz w:val="21"/>
                        <w:szCs w:val="21"/>
                      </w:rPr>
                      <w:fldChar w:fldCharType="end"/>
                    </w:r>
                  </w:p>
                </w:txbxContent>
              </v:textbox>
            </v:shape>
          </w:pict>
        </mc:Fallback>
      </mc:AlternateContent>
    </w:r>
    <w:r>
      <w:rPr>
        <w:rFonts w:hint="eastAsia"/>
        <w:lang w:val="en-US" w:eastAsia="zh-CN"/>
      </w:rPr>
      <w:t>1210-2340YDZB5909</w:t>
    </w:r>
    <w:r>
      <w:rPr>
        <w:rFonts w:hint="eastAsia"/>
        <w:szCs w:val="21"/>
      </w:rPr>
      <w:t xml:space="preserve">                                        广东有德招标采购有限公司 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spacing w:before="72" w:after="72"/>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spacing w:before="72" w:after="7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spacing w:before="72" w:after="72"/>
      <w:jc w:val="both"/>
      <w:rPr>
        <w:rFonts w:hint="default" w:eastAsia="宋体"/>
        <w:sz w:val="21"/>
        <w:szCs w:val="21"/>
        <w:lang w:val="en-US" w:eastAsia="zh-CN"/>
      </w:rPr>
    </w:pPr>
    <w:r>
      <w:rPr>
        <w:szCs w:val="13"/>
      </w:rPr>
      <w:drawing>
        <wp:inline distT="0" distB="0" distL="0" distR="0">
          <wp:extent cx="800100" cy="238125"/>
          <wp:effectExtent l="0" t="0" r="0" b="9525"/>
          <wp:docPr id="15" name="图片 15" descr="有德招标logo横式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有德招标logo横式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238125"/>
                  </a:xfrm>
                  <a:prstGeom prst="rect">
                    <a:avLst/>
                  </a:prstGeom>
                  <a:noFill/>
                  <a:ln>
                    <a:noFill/>
                  </a:ln>
                </pic:spPr>
              </pic:pic>
            </a:graphicData>
          </a:graphic>
        </wp:inline>
      </w:drawing>
    </w:r>
    <w:r>
      <w:rPr>
        <w:rFonts w:hint="eastAsia"/>
        <w:sz w:val="21"/>
        <w:szCs w:val="21"/>
        <w:lang w:val="en-US" w:eastAsia="zh-CN"/>
      </w:rPr>
      <w:t>南方报业传媒大厦电梯更换项目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spacing w:before="72" w:after="72"/>
      <w:jc w:val="right"/>
      <w:rPr>
        <w:sz w:val="21"/>
        <w:szCs w:val="21"/>
      </w:rPr>
    </w:pPr>
    <w:r>
      <w:rPr>
        <w:szCs w:val="13"/>
      </w:rPr>
      <w:drawing>
        <wp:inline distT="0" distB="0" distL="0" distR="0">
          <wp:extent cx="800100" cy="238125"/>
          <wp:effectExtent l="0" t="0" r="0" b="9525"/>
          <wp:docPr id="14" name="图片 14" descr="有德招标logo横式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有德招标logo横式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238125"/>
                  </a:xfrm>
                  <a:prstGeom prst="rect">
                    <a:avLst/>
                  </a:prstGeom>
                  <a:noFill/>
                  <a:ln>
                    <a:noFill/>
                  </a:ln>
                </pic:spPr>
              </pic:pic>
            </a:graphicData>
          </a:graphic>
        </wp:inline>
      </w:drawing>
    </w:r>
    <w:r>
      <w:rPr>
        <w:rFonts w:hint="eastAsia"/>
        <w:szCs w:val="13"/>
      </w:rPr>
      <w:t xml:space="preserve">                                  </w:t>
    </w:r>
    <w:r>
      <w:rPr>
        <w:rFonts w:hint="eastAsia"/>
        <w:sz w:val="21"/>
        <w:szCs w:val="21"/>
      </w:rPr>
      <w:t xml:space="preserve"> </w:t>
    </w:r>
    <w:r>
      <w:rPr>
        <w:rFonts w:hint="eastAsia"/>
        <w:sz w:val="21"/>
        <w:szCs w:val="21"/>
        <w:lang w:eastAsia="zh-CN"/>
      </w:rPr>
      <w:t>南方日报社</w:t>
    </w:r>
    <w:r>
      <w:rPr>
        <w:rFonts w:hint="eastAsia"/>
        <w:sz w:val="21"/>
        <w:szCs w:val="21"/>
      </w:rPr>
      <w:t>跑道改造工程</w:t>
    </w:r>
  </w:p>
  <w:p>
    <w:pPr>
      <w:pStyle w:val="25"/>
      <w:pBdr>
        <w:bottom w:val="none" w:color="auto" w:sz="0" w:space="1"/>
      </w:pBdr>
      <w:spacing w:before="72" w:after="72"/>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spacing w:before="72" w:after="72"/>
      <w:jc w:val="left"/>
      <w:rPr>
        <w:rFonts w:hint="default" w:eastAsia="宋体"/>
        <w:lang w:val="en-US" w:eastAsia="zh-CN"/>
      </w:rPr>
    </w:pPr>
    <w:r>
      <w:rPr>
        <w:szCs w:val="13"/>
      </w:rPr>
      <w:drawing>
        <wp:inline distT="0" distB="0" distL="0" distR="0">
          <wp:extent cx="800100" cy="238125"/>
          <wp:effectExtent l="0" t="0" r="0" b="9525"/>
          <wp:docPr id="13" name="图片 13" descr="有德招标logo横式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有德招标logo横式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238125"/>
                  </a:xfrm>
                  <a:prstGeom prst="rect">
                    <a:avLst/>
                  </a:prstGeom>
                  <a:noFill/>
                  <a:ln>
                    <a:noFill/>
                  </a:ln>
                </pic:spPr>
              </pic:pic>
            </a:graphicData>
          </a:graphic>
        </wp:inline>
      </w:drawing>
    </w:r>
    <w:r>
      <w:rPr>
        <w:rFonts w:hint="eastAsia"/>
        <w:sz w:val="21"/>
        <w:szCs w:val="21"/>
        <w:lang w:val="en-US" w:eastAsia="zh-CN"/>
      </w:rPr>
      <w:t>南方报业传媒大厦电梯更换项目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spacing w:before="72" w:after="72"/>
      <w:jc w:val="right"/>
      <w:rPr>
        <w:i/>
        <w:iCs/>
      </w:rPr>
    </w:pPr>
    <w:r>
      <w:rPr>
        <w:szCs w:val="13"/>
      </w:rPr>
      <w:drawing>
        <wp:inline distT="0" distB="0" distL="0" distR="0">
          <wp:extent cx="800100" cy="238125"/>
          <wp:effectExtent l="0" t="0" r="0" b="9525"/>
          <wp:docPr id="12" name="图片 12" descr="有德招标logo横式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有德招标logo横式改"/>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238125"/>
                  </a:xfrm>
                  <a:prstGeom prst="rect">
                    <a:avLst/>
                  </a:prstGeom>
                  <a:noFill/>
                  <a:ln>
                    <a:noFill/>
                  </a:ln>
                </pic:spPr>
              </pic:pic>
            </a:graphicData>
          </a:graphic>
        </wp:inline>
      </w:drawing>
    </w:r>
    <w:r>
      <w:rPr>
        <w:rFonts w:hint="eastAsia"/>
        <w:szCs w:val="13"/>
      </w:rPr>
      <w:t xml:space="preserve">                                   </w:t>
    </w:r>
    <w:r>
      <w:rPr>
        <w:rFonts w:hint="eastAsia"/>
        <w:sz w:val="21"/>
        <w:szCs w:val="21"/>
        <w:lang w:eastAsia="zh-CN"/>
      </w:rPr>
      <w:t>南方日报社</w:t>
    </w:r>
    <w:r>
      <w:rPr>
        <w:rFonts w:hint="eastAsia"/>
        <w:sz w:val="21"/>
        <w:szCs w:val="21"/>
      </w:rPr>
      <w:t>跑道改造工程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A4617"/>
    <w:multiLevelType w:val="singleLevel"/>
    <w:tmpl w:val="823A4617"/>
    <w:lvl w:ilvl="0" w:tentative="0">
      <w:start w:val="1"/>
      <w:numFmt w:val="decimal"/>
      <w:suff w:val="space"/>
      <w:lvlText w:val="%1."/>
      <w:lvlJc w:val="left"/>
    </w:lvl>
  </w:abstractNum>
  <w:abstractNum w:abstractNumId="1">
    <w:nsid w:val="8780B64F"/>
    <w:multiLevelType w:val="singleLevel"/>
    <w:tmpl w:val="8780B64F"/>
    <w:lvl w:ilvl="0" w:tentative="0">
      <w:start w:val="1"/>
      <w:numFmt w:val="decimal"/>
      <w:suff w:val="space"/>
      <w:lvlText w:val="%1."/>
      <w:lvlJc w:val="left"/>
    </w:lvl>
  </w:abstractNum>
  <w:abstractNum w:abstractNumId="2">
    <w:nsid w:val="B1427654"/>
    <w:multiLevelType w:val="singleLevel"/>
    <w:tmpl w:val="B1427654"/>
    <w:lvl w:ilvl="0" w:tentative="0">
      <w:start w:val="31"/>
      <w:numFmt w:val="decimal"/>
      <w:suff w:val="nothing"/>
      <w:lvlText w:val="%1．"/>
      <w:lvlJc w:val="left"/>
    </w:lvl>
  </w:abstractNum>
  <w:abstractNum w:abstractNumId="3">
    <w:nsid w:val="B8A5746E"/>
    <w:multiLevelType w:val="singleLevel"/>
    <w:tmpl w:val="B8A5746E"/>
    <w:lvl w:ilvl="0" w:tentative="0">
      <w:start w:val="1"/>
      <w:numFmt w:val="decimal"/>
      <w:suff w:val="nothing"/>
      <w:lvlText w:val="%1"/>
      <w:lvlJc w:val="left"/>
      <w:pPr>
        <w:ind w:left="0" w:leftChars="0" w:firstLine="0" w:firstLineChars="0"/>
      </w:pPr>
      <w:rPr>
        <w:rFonts w:hint="default"/>
      </w:rPr>
    </w:lvl>
  </w:abstractNum>
  <w:abstractNum w:abstractNumId="4">
    <w:nsid w:val="BCC8C0EC"/>
    <w:multiLevelType w:val="singleLevel"/>
    <w:tmpl w:val="BCC8C0EC"/>
    <w:lvl w:ilvl="0" w:tentative="0">
      <w:start w:val="1"/>
      <w:numFmt w:val="decimal"/>
      <w:suff w:val="space"/>
      <w:lvlText w:val="%1."/>
      <w:lvlJc w:val="left"/>
    </w:lvl>
  </w:abstractNum>
  <w:abstractNum w:abstractNumId="5">
    <w:nsid w:val="BFA14CCB"/>
    <w:multiLevelType w:val="singleLevel"/>
    <w:tmpl w:val="BFA14CCB"/>
    <w:lvl w:ilvl="0" w:tentative="0">
      <w:start w:val="1"/>
      <w:numFmt w:val="decimal"/>
      <w:suff w:val="nothing"/>
      <w:lvlText w:val="%1、"/>
      <w:lvlJc w:val="left"/>
      <w:pPr>
        <w:ind w:left="0" w:firstLine="420"/>
      </w:pPr>
      <w:rPr>
        <w:rFonts w:hint="default"/>
        <w:b w:val="0"/>
      </w:rPr>
    </w:lvl>
  </w:abstractNum>
  <w:abstractNum w:abstractNumId="6">
    <w:nsid w:val="C45FBAA4"/>
    <w:multiLevelType w:val="singleLevel"/>
    <w:tmpl w:val="C45FBAA4"/>
    <w:lvl w:ilvl="0" w:tentative="0">
      <w:start w:val="1"/>
      <w:numFmt w:val="decimal"/>
      <w:suff w:val="space"/>
      <w:lvlText w:val="(%1)"/>
      <w:lvlJc w:val="left"/>
    </w:lvl>
  </w:abstractNum>
  <w:abstractNum w:abstractNumId="7">
    <w:nsid w:val="C6C02C5E"/>
    <w:multiLevelType w:val="singleLevel"/>
    <w:tmpl w:val="C6C02C5E"/>
    <w:lvl w:ilvl="0" w:tentative="0">
      <w:start w:val="1"/>
      <w:numFmt w:val="decimal"/>
      <w:suff w:val="nothing"/>
      <w:lvlText w:val="%1、"/>
      <w:lvlJc w:val="left"/>
      <w:pPr>
        <w:ind w:left="573" w:firstLine="420"/>
      </w:pPr>
      <w:rPr>
        <w:rFonts w:hint="default"/>
        <w:color w:val="auto"/>
      </w:rPr>
    </w:lvl>
  </w:abstractNum>
  <w:abstractNum w:abstractNumId="8">
    <w:nsid w:val="CDB3B7A1"/>
    <w:multiLevelType w:val="singleLevel"/>
    <w:tmpl w:val="CDB3B7A1"/>
    <w:lvl w:ilvl="0" w:tentative="0">
      <w:start w:val="1"/>
      <w:numFmt w:val="decimal"/>
      <w:suff w:val="nothing"/>
      <w:lvlText w:val="%1、"/>
      <w:lvlJc w:val="left"/>
    </w:lvl>
  </w:abstractNum>
  <w:abstractNum w:abstractNumId="9">
    <w:nsid w:val="E4153D27"/>
    <w:multiLevelType w:val="singleLevel"/>
    <w:tmpl w:val="E4153D27"/>
    <w:lvl w:ilvl="0" w:tentative="0">
      <w:start w:val="1"/>
      <w:numFmt w:val="decimal"/>
      <w:suff w:val="nothing"/>
      <w:lvlText w:val="%1"/>
      <w:lvlJc w:val="left"/>
      <w:pPr>
        <w:ind w:left="0" w:leftChars="0" w:firstLine="0" w:firstLineChars="0"/>
      </w:pPr>
      <w:rPr>
        <w:rFonts w:hint="default"/>
      </w:rPr>
    </w:lvl>
  </w:abstractNum>
  <w:abstractNum w:abstractNumId="10">
    <w:nsid w:val="EFAC930F"/>
    <w:multiLevelType w:val="singleLevel"/>
    <w:tmpl w:val="EFAC930F"/>
    <w:lvl w:ilvl="0" w:tentative="0">
      <w:start w:val="1"/>
      <w:numFmt w:val="decimal"/>
      <w:suff w:val="nothing"/>
      <w:lvlText w:val="%1、"/>
      <w:lvlJc w:val="left"/>
      <w:pPr>
        <w:ind w:left="0" w:firstLine="420"/>
      </w:pPr>
      <w:rPr>
        <w:rFonts w:hint="default"/>
      </w:rPr>
    </w:lvl>
  </w:abstractNum>
  <w:abstractNum w:abstractNumId="11">
    <w:nsid w:val="F1170567"/>
    <w:multiLevelType w:val="singleLevel"/>
    <w:tmpl w:val="F1170567"/>
    <w:lvl w:ilvl="0" w:tentative="0">
      <w:start w:val="1"/>
      <w:numFmt w:val="decimal"/>
      <w:suff w:val="space"/>
      <w:lvlText w:val="%1."/>
      <w:lvlJc w:val="left"/>
    </w:lvl>
  </w:abstractNum>
  <w:abstractNum w:abstractNumId="12">
    <w:nsid w:val="F60E9D9F"/>
    <w:multiLevelType w:val="singleLevel"/>
    <w:tmpl w:val="F60E9D9F"/>
    <w:lvl w:ilvl="0" w:tentative="0">
      <w:start w:val="1"/>
      <w:numFmt w:val="decimal"/>
      <w:suff w:val="space"/>
      <w:lvlText w:val="(%1)"/>
      <w:lvlJc w:val="left"/>
    </w:lvl>
  </w:abstractNum>
  <w:abstractNum w:abstractNumId="13">
    <w:nsid w:val="0B5ED09F"/>
    <w:multiLevelType w:val="singleLevel"/>
    <w:tmpl w:val="0B5ED09F"/>
    <w:lvl w:ilvl="0" w:tentative="0">
      <w:start w:val="1"/>
      <w:numFmt w:val="decimal"/>
      <w:suff w:val="space"/>
      <w:lvlText w:val="%1."/>
      <w:lvlJc w:val="left"/>
    </w:lvl>
  </w:abstractNum>
  <w:abstractNum w:abstractNumId="14">
    <w:nsid w:val="129E4B4C"/>
    <w:multiLevelType w:val="singleLevel"/>
    <w:tmpl w:val="129E4B4C"/>
    <w:lvl w:ilvl="0" w:tentative="0">
      <w:start w:val="1"/>
      <w:numFmt w:val="decimal"/>
      <w:suff w:val="space"/>
      <w:lvlText w:val="%1."/>
      <w:lvlJc w:val="left"/>
    </w:lvl>
  </w:abstractNum>
  <w:abstractNum w:abstractNumId="15">
    <w:nsid w:val="23F7628A"/>
    <w:multiLevelType w:val="multilevel"/>
    <w:tmpl w:val="23F7628A"/>
    <w:lvl w:ilvl="0" w:tentative="0">
      <w:start w:val="5"/>
      <w:numFmt w:val="decimal"/>
      <w:lvlText w:val="%1"/>
      <w:lvlJc w:val="left"/>
      <w:pPr>
        <w:tabs>
          <w:tab w:val="left" w:pos="525"/>
        </w:tabs>
        <w:ind w:left="525" w:hanging="525"/>
      </w:pPr>
      <w:rPr>
        <w:rFonts w:hint="default"/>
      </w:rPr>
    </w:lvl>
    <w:lvl w:ilvl="1" w:tentative="0">
      <w:start w:val="1"/>
      <w:numFmt w:val="decimal"/>
      <w:lvlText w:val="%1.%2"/>
      <w:lvlJc w:val="left"/>
      <w:pPr>
        <w:tabs>
          <w:tab w:val="left" w:pos="945"/>
        </w:tabs>
        <w:ind w:left="945" w:hanging="525"/>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2340"/>
        </w:tabs>
        <w:ind w:left="2340" w:hanging="108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540"/>
        </w:tabs>
        <w:ind w:left="3540" w:hanging="144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740"/>
        </w:tabs>
        <w:ind w:left="4740" w:hanging="180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16">
    <w:nsid w:val="2BC9CA8D"/>
    <w:multiLevelType w:val="singleLevel"/>
    <w:tmpl w:val="2BC9CA8D"/>
    <w:lvl w:ilvl="0" w:tentative="0">
      <w:start w:val="1"/>
      <w:numFmt w:val="chineseCounting"/>
      <w:suff w:val="nothing"/>
      <w:lvlText w:val="%1、"/>
      <w:lvlJc w:val="left"/>
      <w:rPr>
        <w:rFonts w:hint="eastAsia"/>
        <w:lang w:val="en-US"/>
      </w:rPr>
    </w:lvl>
  </w:abstractNum>
  <w:abstractNum w:abstractNumId="17">
    <w:nsid w:val="33CF5BA0"/>
    <w:multiLevelType w:val="multilevel"/>
    <w:tmpl w:val="33CF5BA0"/>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4500D48"/>
    <w:multiLevelType w:val="singleLevel"/>
    <w:tmpl w:val="34500D48"/>
    <w:lvl w:ilvl="0" w:tentative="0">
      <w:start w:val="1"/>
      <w:numFmt w:val="chineseCounting"/>
      <w:suff w:val="space"/>
      <w:lvlText w:val="（%1）"/>
      <w:lvlJc w:val="left"/>
      <w:rPr>
        <w:rFonts w:hint="eastAsia"/>
      </w:rPr>
    </w:lvl>
  </w:abstractNum>
  <w:abstractNum w:abstractNumId="19">
    <w:nsid w:val="46A61FC5"/>
    <w:multiLevelType w:val="multilevel"/>
    <w:tmpl w:val="46A61FC5"/>
    <w:lvl w:ilvl="0" w:tentative="0">
      <w:start w:val="1"/>
      <w:numFmt w:val="chineseCountingThousand"/>
      <w:lvlText w:val="(%1)"/>
      <w:lvlJc w:val="left"/>
      <w:pPr>
        <w:ind w:left="42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FC16286"/>
    <w:multiLevelType w:val="singleLevel"/>
    <w:tmpl w:val="4FC16286"/>
    <w:lvl w:ilvl="0" w:tentative="0">
      <w:start w:val="1"/>
      <w:numFmt w:val="decimal"/>
      <w:suff w:val="nothing"/>
      <w:lvlText w:val="%1、"/>
      <w:lvlJc w:val="left"/>
      <w:pPr>
        <w:ind w:left="0" w:firstLine="420"/>
      </w:pPr>
      <w:rPr>
        <w:rFonts w:hint="default"/>
      </w:rPr>
    </w:lvl>
  </w:abstractNum>
  <w:abstractNum w:abstractNumId="21">
    <w:nsid w:val="5617398D"/>
    <w:multiLevelType w:val="singleLevel"/>
    <w:tmpl w:val="5617398D"/>
    <w:lvl w:ilvl="0" w:tentative="0">
      <w:start w:val="1"/>
      <w:numFmt w:val="decimal"/>
      <w:lvlText w:val="（%1）"/>
      <w:lvlJc w:val="left"/>
      <w:pPr>
        <w:tabs>
          <w:tab w:val="left" w:pos="0"/>
        </w:tabs>
        <w:ind w:left="425" w:hanging="425"/>
      </w:pPr>
      <w:rPr>
        <w:rFonts w:hint="default"/>
      </w:rPr>
    </w:lvl>
  </w:abstractNum>
  <w:abstractNum w:abstractNumId="22">
    <w:nsid w:val="58B6B721"/>
    <w:multiLevelType w:val="singleLevel"/>
    <w:tmpl w:val="58B6B721"/>
    <w:lvl w:ilvl="0" w:tentative="0">
      <w:start w:val="1"/>
      <w:numFmt w:val="decimal"/>
      <w:suff w:val="nothing"/>
      <w:lvlText w:val="%1、"/>
      <w:lvlJc w:val="left"/>
      <w:pPr>
        <w:tabs>
          <w:tab w:val="left" w:pos="0"/>
        </w:tabs>
        <w:ind w:left="0" w:firstLine="420"/>
      </w:pPr>
      <w:rPr>
        <w:rFonts w:hint="default"/>
      </w:rPr>
    </w:lvl>
  </w:abstractNum>
  <w:abstractNum w:abstractNumId="23">
    <w:nsid w:val="58BAC2E9"/>
    <w:multiLevelType w:val="singleLevel"/>
    <w:tmpl w:val="58BAC2E9"/>
    <w:lvl w:ilvl="0" w:tentative="0">
      <w:start w:val="1"/>
      <w:numFmt w:val="decimal"/>
      <w:lvlText w:val="%1."/>
      <w:lvlJc w:val="left"/>
      <w:pPr>
        <w:tabs>
          <w:tab w:val="left" w:pos="0"/>
        </w:tabs>
        <w:ind w:left="425" w:hanging="425"/>
      </w:pPr>
      <w:rPr>
        <w:rFonts w:hint="default"/>
      </w:rPr>
    </w:lvl>
  </w:abstractNum>
  <w:abstractNum w:abstractNumId="24">
    <w:nsid w:val="58BAC30E"/>
    <w:multiLevelType w:val="singleLevel"/>
    <w:tmpl w:val="58BAC30E"/>
    <w:lvl w:ilvl="0" w:tentative="0">
      <w:start w:val="1"/>
      <w:numFmt w:val="decimal"/>
      <w:lvlText w:val="%1."/>
      <w:lvlJc w:val="left"/>
      <w:pPr>
        <w:tabs>
          <w:tab w:val="left" w:pos="0"/>
        </w:tabs>
        <w:ind w:left="425" w:hanging="425"/>
      </w:pPr>
      <w:rPr>
        <w:rFonts w:hint="default"/>
      </w:rPr>
    </w:lvl>
  </w:abstractNum>
  <w:abstractNum w:abstractNumId="25">
    <w:nsid w:val="58BAC34E"/>
    <w:multiLevelType w:val="singleLevel"/>
    <w:tmpl w:val="58BAC34E"/>
    <w:lvl w:ilvl="0" w:tentative="0">
      <w:start w:val="1"/>
      <w:numFmt w:val="decimal"/>
      <w:lvlText w:val="（%1）"/>
      <w:lvlJc w:val="left"/>
      <w:pPr>
        <w:tabs>
          <w:tab w:val="left" w:pos="0"/>
        </w:tabs>
        <w:ind w:left="425" w:hanging="425"/>
      </w:pPr>
      <w:rPr>
        <w:rFonts w:hint="default"/>
      </w:rPr>
    </w:lvl>
  </w:abstractNum>
  <w:abstractNum w:abstractNumId="26">
    <w:nsid w:val="58C7ABA9"/>
    <w:multiLevelType w:val="singleLevel"/>
    <w:tmpl w:val="58C7ABA9"/>
    <w:lvl w:ilvl="0" w:tentative="0">
      <w:start w:val="1"/>
      <w:numFmt w:val="decimal"/>
      <w:suff w:val="nothing"/>
      <w:lvlText w:val="（%1）"/>
      <w:lvlJc w:val="left"/>
      <w:pPr>
        <w:tabs>
          <w:tab w:val="left" w:pos="0"/>
        </w:tabs>
        <w:ind w:left="0" w:firstLine="420"/>
      </w:pPr>
      <w:rPr>
        <w:rFonts w:hint="default"/>
        <w:b/>
      </w:rPr>
    </w:lvl>
  </w:abstractNum>
  <w:abstractNum w:abstractNumId="27">
    <w:nsid w:val="58C7BCBD"/>
    <w:multiLevelType w:val="singleLevel"/>
    <w:tmpl w:val="58C7BCBD"/>
    <w:lvl w:ilvl="0" w:tentative="0">
      <w:start w:val="1"/>
      <w:numFmt w:val="decimal"/>
      <w:suff w:val="nothing"/>
      <w:lvlText w:val="%1、"/>
      <w:lvlJc w:val="left"/>
      <w:pPr>
        <w:tabs>
          <w:tab w:val="left" w:pos="0"/>
        </w:tabs>
        <w:ind w:left="0" w:firstLine="420"/>
      </w:pPr>
      <w:rPr>
        <w:rFonts w:hint="default"/>
      </w:rPr>
    </w:lvl>
  </w:abstractNum>
  <w:abstractNum w:abstractNumId="28">
    <w:nsid w:val="59FAA673"/>
    <w:multiLevelType w:val="singleLevel"/>
    <w:tmpl w:val="59FAA673"/>
    <w:lvl w:ilvl="0" w:tentative="0">
      <w:start w:val="2"/>
      <w:numFmt w:val="decimal"/>
      <w:lvlText w:val="%1."/>
      <w:lvlJc w:val="left"/>
      <w:pPr>
        <w:tabs>
          <w:tab w:val="left" w:pos="0"/>
        </w:tabs>
        <w:ind w:left="425" w:hanging="425"/>
      </w:pPr>
      <w:rPr>
        <w:rFonts w:hint="default"/>
      </w:rPr>
    </w:lvl>
  </w:abstractNum>
  <w:abstractNum w:abstractNumId="29">
    <w:nsid w:val="59FAAD77"/>
    <w:multiLevelType w:val="singleLevel"/>
    <w:tmpl w:val="59FAAD77"/>
    <w:lvl w:ilvl="0" w:tentative="0">
      <w:start w:val="1"/>
      <w:numFmt w:val="decimal"/>
      <w:suff w:val="nothing"/>
      <w:lvlText w:val="（%1）"/>
      <w:lvlJc w:val="left"/>
      <w:pPr>
        <w:tabs>
          <w:tab w:val="left" w:pos="0"/>
        </w:tabs>
        <w:ind w:left="0" w:firstLine="420"/>
      </w:pPr>
      <w:rPr>
        <w:rFonts w:hint="default"/>
      </w:rPr>
    </w:lvl>
  </w:abstractNum>
  <w:abstractNum w:abstractNumId="30">
    <w:nsid w:val="6B939352"/>
    <w:multiLevelType w:val="singleLevel"/>
    <w:tmpl w:val="6B939352"/>
    <w:lvl w:ilvl="0" w:tentative="0">
      <w:start w:val="1"/>
      <w:numFmt w:val="decimal"/>
      <w:lvlText w:val="%1)"/>
      <w:lvlJc w:val="left"/>
      <w:pPr>
        <w:ind w:left="425" w:hanging="425"/>
      </w:pPr>
      <w:rPr>
        <w:rFonts w:hint="default"/>
      </w:rPr>
    </w:lvl>
  </w:abstractNum>
  <w:abstractNum w:abstractNumId="31">
    <w:nsid w:val="6C73457C"/>
    <w:multiLevelType w:val="multilevel"/>
    <w:tmpl w:val="6C73457C"/>
    <w:lvl w:ilvl="0" w:tentative="0">
      <w:start w:val="1"/>
      <w:numFmt w:val="chineseCountingThousand"/>
      <w:lvlText w:val="(%1)"/>
      <w:lvlJc w:val="left"/>
      <w:pPr>
        <w:ind w:left="420" w:hanging="420"/>
      </w:pPr>
      <w:rPr>
        <w:rFonts w:hint="default"/>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7EB2C94"/>
    <w:multiLevelType w:val="singleLevel"/>
    <w:tmpl w:val="77EB2C94"/>
    <w:lvl w:ilvl="0" w:tentative="0">
      <w:start w:val="1"/>
      <w:numFmt w:val="decimal"/>
      <w:suff w:val="space"/>
      <w:lvlText w:val="(%1)"/>
      <w:lvlJc w:val="left"/>
    </w:lvl>
  </w:abstractNum>
  <w:abstractNum w:abstractNumId="33">
    <w:nsid w:val="7DD0642A"/>
    <w:multiLevelType w:val="singleLevel"/>
    <w:tmpl w:val="7DD0642A"/>
    <w:lvl w:ilvl="0" w:tentative="0">
      <w:start w:val="1"/>
      <w:numFmt w:val="decimal"/>
      <w:suff w:val="space"/>
      <w:lvlText w:val="%1."/>
      <w:lvlJc w:val="left"/>
      <w:rPr>
        <w:rFonts w:hint="default"/>
        <w:color w:val="auto"/>
      </w:rPr>
    </w:lvl>
  </w:abstractNum>
  <w:num w:numId="1">
    <w:abstractNumId w:val="16"/>
  </w:num>
  <w:num w:numId="2">
    <w:abstractNumId w:val="20"/>
  </w:num>
  <w:num w:numId="3">
    <w:abstractNumId w:val="10"/>
  </w:num>
  <w:num w:numId="4">
    <w:abstractNumId w:val="5"/>
  </w:num>
  <w:num w:numId="5">
    <w:abstractNumId w:val="21"/>
  </w:num>
  <w:num w:numId="6">
    <w:abstractNumId w:val="7"/>
  </w:num>
  <w:num w:numId="7">
    <w:abstractNumId w:val="23"/>
  </w:num>
  <w:num w:numId="8">
    <w:abstractNumId w:val="24"/>
  </w:num>
  <w:num w:numId="9">
    <w:abstractNumId w:val="25"/>
  </w:num>
  <w:num w:numId="10">
    <w:abstractNumId w:val="28"/>
  </w:num>
  <w:num w:numId="11">
    <w:abstractNumId w:val="2"/>
  </w:num>
  <w:num w:numId="12">
    <w:abstractNumId w:val="3"/>
  </w:num>
  <w:num w:numId="13">
    <w:abstractNumId w:val="31"/>
  </w:num>
  <w:num w:numId="14">
    <w:abstractNumId w:val="8"/>
  </w:num>
  <w:num w:numId="15">
    <w:abstractNumId w:val="19"/>
  </w:num>
  <w:num w:numId="16">
    <w:abstractNumId w:val="29"/>
  </w:num>
  <w:num w:numId="17">
    <w:abstractNumId w:val="15"/>
  </w:num>
  <w:num w:numId="18">
    <w:abstractNumId w:val="17"/>
  </w:num>
  <w:num w:numId="19">
    <w:abstractNumId w:val="33"/>
  </w:num>
  <w:num w:numId="20">
    <w:abstractNumId w:val="11"/>
  </w:num>
  <w:num w:numId="21">
    <w:abstractNumId w:val="13"/>
  </w:num>
  <w:num w:numId="22">
    <w:abstractNumId w:val="12"/>
  </w:num>
  <w:num w:numId="23">
    <w:abstractNumId w:val="6"/>
  </w:num>
  <w:num w:numId="24">
    <w:abstractNumId w:val="32"/>
  </w:num>
  <w:num w:numId="25">
    <w:abstractNumId w:val="30"/>
  </w:num>
  <w:num w:numId="26">
    <w:abstractNumId w:val="0"/>
  </w:num>
  <w:num w:numId="27">
    <w:abstractNumId w:val="1"/>
  </w:num>
  <w:num w:numId="28">
    <w:abstractNumId w:val="14"/>
  </w:num>
  <w:num w:numId="29">
    <w:abstractNumId w:val="18"/>
  </w:num>
  <w:num w:numId="30">
    <w:abstractNumId w:val="9"/>
  </w:num>
  <w:num w:numId="31">
    <w:abstractNumId w:val="26"/>
  </w:num>
  <w:num w:numId="32">
    <w:abstractNumId w:val="27"/>
  </w:num>
  <w:num w:numId="33">
    <w:abstractNumId w:val="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0ZGUwZjViYTg4NTNkMzk0MmNiNTI2Zjk0MGViNzIifQ=="/>
  </w:docVars>
  <w:rsids>
    <w:rsidRoot w:val="00DC40A3"/>
    <w:rsid w:val="00006929"/>
    <w:rsid w:val="0007292B"/>
    <w:rsid w:val="000F67EA"/>
    <w:rsid w:val="00140281"/>
    <w:rsid w:val="00144729"/>
    <w:rsid w:val="001B2A9A"/>
    <w:rsid w:val="001D72CF"/>
    <w:rsid w:val="002673EC"/>
    <w:rsid w:val="00271227"/>
    <w:rsid w:val="002E317B"/>
    <w:rsid w:val="003343EE"/>
    <w:rsid w:val="003B5AAA"/>
    <w:rsid w:val="00446A48"/>
    <w:rsid w:val="00474582"/>
    <w:rsid w:val="004D7624"/>
    <w:rsid w:val="004E77E1"/>
    <w:rsid w:val="005128B9"/>
    <w:rsid w:val="00527666"/>
    <w:rsid w:val="00530AF4"/>
    <w:rsid w:val="005376AA"/>
    <w:rsid w:val="005A11D2"/>
    <w:rsid w:val="00630D4C"/>
    <w:rsid w:val="00695980"/>
    <w:rsid w:val="006A2B70"/>
    <w:rsid w:val="006C284C"/>
    <w:rsid w:val="006C681E"/>
    <w:rsid w:val="006D6D07"/>
    <w:rsid w:val="00752711"/>
    <w:rsid w:val="007D4897"/>
    <w:rsid w:val="007E2EEE"/>
    <w:rsid w:val="007F1B20"/>
    <w:rsid w:val="008320B4"/>
    <w:rsid w:val="0085048D"/>
    <w:rsid w:val="00887E1A"/>
    <w:rsid w:val="00907E57"/>
    <w:rsid w:val="00920C7C"/>
    <w:rsid w:val="0095711F"/>
    <w:rsid w:val="009D5E86"/>
    <w:rsid w:val="00A11AE4"/>
    <w:rsid w:val="00A30742"/>
    <w:rsid w:val="00A66A5C"/>
    <w:rsid w:val="00A84BF4"/>
    <w:rsid w:val="00A8571F"/>
    <w:rsid w:val="00AB39EC"/>
    <w:rsid w:val="00AF4289"/>
    <w:rsid w:val="00BB77BF"/>
    <w:rsid w:val="00C32869"/>
    <w:rsid w:val="00C5134B"/>
    <w:rsid w:val="00C53459"/>
    <w:rsid w:val="00D6019B"/>
    <w:rsid w:val="00D878E6"/>
    <w:rsid w:val="00DC40A3"/>
    <w:rsid w:val="00DE745D"/>
    <w:rsid w:val="00E37D62"/>
    <w:rsid w:val="00E45DBB"/>
    <w:rsid w:val="00E56EB6"/>
    <w:rsid w:val="00E95941"/>
    <w:rsid w:val="00EA2D37"/>
    <w:rsid w:val="00EA3030"/>
    <w:rsid w:val="00EA6070"/>
    <w:rsid w:val="00F020B8"/>
    <w:rsid w:val="00F13D61"/>
    <w:rsid w:val="00F57B2F"/>
    <w:rsid w:val="00F74099"/>
    <w:rsid w:val="00F91AB1"/>
    <w:rsid w:val="00FC6693"/>
    <w:rsid w:val="01176EA7"/>
    <w:rsid w:val="01541EA9"/>
    <w:rsid w:val="01787946"/>
    <w:rsid w:val="01AD4A8C"/>
    <w:rsid w:val="01C37741"/>
    <w:rsid w:val="01D612B0"/>
    <w:rsid w:val="02054F52"/>
    <w:rsid w:val="022713FE"/>
    <w:rsid w:val="02567523"/>
    <w:rsid w:val="026223A4"/>
    <w:rsid w:val="026B1802"/>
    <w:rsid w:val="029633E9"/>
    <w:rsid w:val="02D212D8"/>
    <w:rsid w:val="02E809FA"/>
    <w:rsid w:val="02F2197A"/>
    <w:rsid w:val="02FB2871"/>
    <w:rsid w:val="0302785C"/>
    <w:rsid w:val="031F2043"/>
    <w:rsid w:val="03547DD9"/>
    <w:rsid w:val="035A307B"/>
    <w:rsid w:val="03633E0A"/>
    <w:rsid w:val="039E565E"/>
    <w:rsid w:val="03F45851"/>
    <w:rsid w:val="046046C1"/>
    <w:rsid w:val="04614AB8"/>
    <w:rsid w:val="047F0FEB"/>
    <w:rsid w:val="04C07CFC"/>
    <w:rsid w:val="04ED064B"/>
    <w:rsid w:val="05045994"/>
    <w:rsid w:val="05172A4B"/>
    <w:rsid w:val="055E1657"/>
    <w:rsid w:val="057C377D"/>
    <w:rsid w:val="0590515C"/>
    <w:rsid w:val="059E7B97"/>
    <w:rsid w:val="05B63E37"/>
    <w:rsid w:val="05C76240"/>
    <w:rsid w:val="060774EA"/>
    <w:rsid w:val="061E65E2"/>
    <w:rsid w:val="0626656B"/>
    <w:rsid w:val="06A82D0D"/>
    <w:rsid w:val="06CB49BC"/>
    <w:rsid w:val="06CE625A"/>
    <w:rsid w:val="06D91C1A"/>
    <w:rsid w:val="0708351A"/>
    <w:rsid w:val="071023CF"/>
    <w:rsid w:val="07133013"/>
    <w:rsid w:val="073768BF"/>
    <w:rsid w:val="073E77C2"/>
    <w:rsid w:val="076F5347"/>
    <w:rsid w:val="07A45B5F"/>
    <w:rsid w:val="07B35551"/>
    <w:rsid w:val="07B36AFB"/>
    <w:rsid w:val="083810FF"/>
    <w:rsid w:val="08531A68"/>
    <w:rsid w:val="086329D2"/>
    <w:rsid w:val="086E4EAC"/>
    <w:rsid w:val="089963F4"/>
    <w:rsid w:val="08C3151F"/>
    <w:rsid w:val="08C43471"/>
    <w:rsid w:val="08EF09C2"/>
    <w:rsid w:val="091343F8"/>
    <w:rsid w:val="0920518D"/>
    <w:rsid w:val="093700E7"/>
    <w:rsid w:val="094D3F61"/>
    <w:rsid w:val="097A7FD3"/>
    <w:rsid w:val="098B592A"/>
    <w:rsid w:val="09CB16BA"/>
    <w:rsid w:val="09CB5382"/>
    <w:rsid w:val="0A033CD7"/>
    <w:rsid w:val="0A1A4BAB"/>
    <w:rsid w:val="0A1D552E"/>
    <w:rsid w:val="0A37733B"/>
    <w:rsid w:val="0A3D6BD0"/>
    <w:rsid w:val="0A8C7778"/>
    <w:rsid w:val="0AEE0C79"/>
    <w:rsid w:val="0B4B7E79"/>
    <w:rsid w:val="0BA01023"/>
    <w:rsid w:val="0BE502CE"/>
    <w:rsid w:val="0C044C87"/>
    <w:rsid w:val="0C05627A"/>
    <w:rsid w:val="0C101BCC"/>
    <w:rsid w:val="0C435C81"/>
    <w:rsid w:val="0C9E222B"/>
    <w:rsid w:val="0CA05FA3"/>
    <w:rsid w:val="0CF30165"/>
    <w:rsid w:val="0D317F0C"/>
    <w:rsid w:val="0D704E80"/>
    <w:rsid w:val="0DAA28D1"/>
    <w:rsid w:val="0DAB1053"/>
    <w:rsid w:val="0E0B1B42"/>
    <w:rsid w:val="0E213113"/>
    <w:rsid w:val="0E43308A"/>
    <w:rsid w:val="0E4A0A8E"/>
    <w:rsid w:val="0E5634A5"/>
    <w:rsid w:val="0E7C617B"/>
    <w:rsid w:val="0E8448BD"/>
    <w:rsid w:val="0E9057B8"/>
    <w:rsid w:val="0EA025EA"/>
    <w:rsid w:val="0EB421D9"/>
    <w:rsid w:val="0F2A5FF8"/>
    <w:rsid w:val="0F467336"/>
    <w:rsid w:val="0F851480"/>
    <w:rsid w:val="100E1475"/>
    <w:rsid w:val="101051ED"/>
    <w:rsid w:val="105929AB"/>
    <w:rsid w:val="10771A3D"/>
    <w:rsid w:val="108005C5"/>
    <w:rsid w:val="10A51DDA"/>
    <w:rsid w:val="10BD6575"/>
    <w:rsid w:val="10C304B2"/>
    <w:rsid w:val="10CA4A67"/>
    <w:rsid w:val="10CC55B8"/>
    <w:rsid w:val="10F93ED3"/>
    <w:rsid w:val="111C4EB4"/>
    <w:rsid w:val="11617323"/>
    <w:rsid w:val="11B12A00"/>
    <w:rsid w:val="11C95F9C"/>
    <w:rsid w:val="11CC15E8"/>
    <w:rsid w:val="11DC7A7D"/>
    <w:rsid w:val="11F8062F"/>
    <w:rsid w:val="120E13E9"/>
    <w:rsid w:val="12306196"/>
    <w:rsid w:val="123C051C"/>
    <w:rsid w:val="129F3BA3"/>
    <w:rsid w:val="12CF0159"/>
    <w:rsid w:val="12CF75E2"/>
    <w:rsid w:val="12F47048"/>
    <w:rsid w:val="130B2DAA"/>
    <w:rsid w:val="13272F7A"/>
    <w:rsid w:val="13785584"/>
    <w:rsid w:val="13813FAC"/>
    <w:rsid w:val="138E124B"/>
    <w:rsid w:val="13A10C91"/>
    <w:rsid w:val="13A863A8"/>
    <w:rsid w:val="13B642FE"/>
    <w:rsid w:val="13DD5162"/>
    <w:rsid w:val="13E71085"/>
    <w:rsid w:val="13FF738B"/>
    <w:rsid w:val="141A5AA2"/>
    <w:rsid w:val="148F7029"/>
    <w:rsid w:val="14A07A50"/>
    <w:rsid w:val="14AC7BEA"/>
    <w:rsid w:val="14B22D17"/>
    <w:rsid w:val="14D013EF"/>
    <w:rsid w:val="14EC71A7"/>
    <w:rsid w:val="15747FCD"/>
    <w:rsid w:val="15793835"/>
    <w:rsid w:val="15BA52B3"/>
    <w:rsid w:val="15CD2B5C"/>
    <w:rsid w:val="15E56F1F"/>
    <w:rsid w:val="15E6711C"/>
    <w:rsid w:val="16014658"/>
    <w:rsid w:val="162B5C2A"/>
    <w:rsid w:val="163048F5"/>
    <w:rsid w:val="163340A9"/>
    <w:rsid w:val="16387D22"/>
    <w:rsid w:val="16501F3B"/>
    <w:rsid w:val="1659380B"/>
    <w:rsid w:val="16612FB3"/>
    <w:rsid w:val="167C538B"/>
    <w:rsid w:val="16881F81"/>
    <w:rsid w:val="16BE3BF5"/>
    <w:rsid w:val="16CC0580"/>
    <w:rsid w:val="16DC1E25"/>
    <w:rsid w:val="16E8315C"/>
    <w:rsid w:val="176C18A3"/>
    <w:rsid w:val="17ED63CD"/>
    <w:rsid w:val="17F665A1"/>
    <w:rsid w:val="18045F74"/>
    <w:rsid w:val="181F06C4"/>
    <w:rsid w:val="18365A0D"/>
    <w:rsid w:val="1844637C"/>
    <w:rsid w:val="18820C52"/>
    <w:rsid w:val="18C413C4"/>
    <w:rsid w:val="19045B0B"/>
    <w:rsid w:val="19190201"/>
    <w:rsid w:val="194A1770"/>
    <w:rsid w:val="197D220D"/>
    <w:rsid w:val="197E766C"/>
    <w:rsid w:val="19B61701"/>
    <w:rsid w:val="1A0E2798"/>
    <w:rsid w:val="1A1D09B9"/>
    <w:rsid w:val="1A252301"/>
    <w:rsid w:val="1A4C32C6"/>
    <w:rsid w:val="1A536B80"/>
    <w:rsid w:val="1A9A04D5"/>
    <w:rsid w:val="1AFD5957"/>
    <w:rsid w:val="1B4D19EC"/>
    <w:rsid w:val="1B970EB9"/>
    <w:rsid w:val="1B9B2757"/>
    <w:rsid w:val="1BAC0A44"/>
    <w:rsid w:val="1BE13EE2"/>
    <w:rsid w:val="1BFC2ACA"/>
    <w:rsid w:val="1C054074"/>
    <w:rsid w:val="1C081C03"/>
    <w:rsid w:val="1C2C63DC"/>
    <w:rsid w:val="1C633F8E"/>
    <w:rsid w:val="1C9A47BD"/>
    <w:rsid w:val="1C9B75DB"/>
    <w:rsid w:val="1CC7556F"/>
    <w:rsid w:val="1CDB6B83"/>
    <w:rsid w:val="1CFE2569"/>
    <w:rsid w:val="1D0C4F8F"/>
    <w:rsid w:val="1D386C4A"/>
    <w:rsid w:val="1D65080B"/>
    <w:rsid w:val="1D6E4A6B"/>
    <w:rsid w:val="1D6E79F7"/>
    <w:rsid w:val="1DCB5658"/>
    <w:rsid w:val="1E0A27C2"/>
    <w:rsid w:val="1E262C77"/>
    <w:rsid w:val="1E3B5B2B"/>
    <w:rsid w:val="1E43073E"/>
    <w:rsid w:val="1E4E469D"/>
    <w:rsid w:val="1E650DFA"/>
    <w:rsid w:val="1E672DC4"/>
    <w:rsid w:val="1E6856C4"/>
    <w:rsid w:val="1E8F3BD2"/>
    <w:rsid w:val="1E930AF8"/>
    <w:rsid w:val="1EBC6803"/>
    <w:rsid w:val="1EF50143"/>
    <w:rsid w:val="1EFF4DAB"/>
    <w:rsid w:val="1F3F789D"/>
    <w:rsid w:val="1F8359DC"/>
    <w:rsid w:val="1FD20711"/>
    <w:rsid w:val="1FD560AD"/>
    <w:rsid w:val="1FDA1374"/>
    <w:rsid w:val="1FDD7A2F"/>
    <w:rsid w:val="20083A02"/>
    <w:rsid w:val="201F14D6"/>
    <w:rsid w:val="20337402"/>
    <w:rsid w:val="203C5B8B"/>
    <w:rsid w:val="207B4272"/>
    <w:rsid w:val="209D2ACD"/>
    <w:rsid w:val="20A47342"/>
    <w:rsid w:val="20B322F1"/>
    <w:rsid w:val="20C34823"/>
    <w:rsid w:val="20CC5161"/>
    <w:rsid w:val="20D12777"/>
    <w:rsid w:val="20EA45D9"/>
    <w:rsid w:val="20F76008"/>
    <w:rsid w:val="211D3C0E"/>
    <w:rsid w:val="21333432"/>
    <w:rsid w:val="219A700D"/>
    <w:rsid w:val="21BA76AF"/>
    <w:rsid w:val="21CB5418"/>
    <w:rsid w:val="21FF43F4"/>
    <w:rsid w:val="221E19EC"/>
    <w:rsid w:val="226118D9"/>
    <w:rsid w:val="2285767F"/>
    <w:rsid w:val="22FD64A8"/>
    <w:rsid w:val="23241284"/>
    <w:rsid w:val="2338088B"/>
    <w:rsid w:val="235B56A9"/>
    <w:rsid w:val="23BB74CF"/>
    <w:rsid w:val="23BD0FAE"/>
    <w:rsid w:val="23FA3475"/>
    <w:rsid w:val="246859D2"/>
    <w:rsid w:val="2479115B"/>
    <w:rsid w:val="24AD52A9"/>
    <w:rsid w:val="24C234A3"/>
    <w:rsid w:val="250A4358"/>
    <w:rsid w:val="25641E0C"/>
    <w:rsid w:val="2646237C"/>
    <w:rsid w:val="265142B9"/>
    <w:rsid w:val="269B7D7A"/>
    <w:rsid w:val="269D6AE5"/>
    <w:rsid w:val="26B02E2F"/>
    <w:rsid w:val="26D47839"/>
    <w:rsid w:val="26EB3E67"/>
    <w:rsid w:val="26F03350"/>
    <w:rsid w:val="2727745C"/>
    <w:rsid w:val="27286E69"/>
    <w:rsid w:val="27316143"/>
    <w:rsid w:val="27337CE7"/>
    <w:rsid w:val="27377E1D"/>
    <w:rsid w:val="274963E0"/>
    <w:rsid w:val="27DA4FB6"/>
    <w:rsid w:val="27E61773"/>
    <w:rsid w:val="27FD1D81"/>
    <w:rsid w:val="285A2DA2"/>
    <w:rsid w:val="28734952"/>
    <w:rsid w:val="289522DC"/>
    <w:rsid w:val="28C332ED"/>
    <w:rsid w:val="28C73537"/>
    <w:rsid w:val="28CF4308"/>
    <w:rsid w:val="28DA0F6A"/>
    <w:rsid w:val="291D6A31"/>
    <w:rsid w:val="292942DD"/>
    <w:rsid w:val="292B06BD"/>
    <w:rsid w:val="293A2B6E"/>
    <w:rsid w:val="29565583"/>
    <w:rsid w:val="29A273A6"/>
    <w:rsid w:val="29B35110"/>
    <w:rsid w:val="2A377AEF"/>
    <w:rsid w:val="2A4D25AA"/>
    <w:rsid w:val="2A566386"/>
    <w:rsid w:val="2A6E765D"/>
    <w:rsid w:val="2A823D46"/>
    <w:rsid w:val="2A8939A3"/>
    <w:rsid w:val="2AD43590"/>
    <w:rsid w:val="2AEC6B2B"/>
    <w:rsid w:val="2AFF4821"/>
    <w:rsid w:val="2B035552"/>
    <w:rsid w:val="2B0E790F"/>
    <w:rsid w:val="2BB774C0"/>
    <w:rsid w:val="2BDE61D2"/>
    <w:rsid w:val="2BE772F2"/>
    <w:rsid w:val="2C581F9E"/>
    <w:rsid w:val="2C636655"/>
    <w:rsid w:val="2C972AC7"/>
    <w:rsid w:val="2CA70AD9"/>
    <w:rsid w:val="2CCB0D67"/>
    <w:rsid w:val="2D344CBA"/>
    <w:rsid w:val="2D391DD0"/>
    <w:rsid w:val="2D85152B"/>
    <w:rsid w:val="2DD37B2E"/>
    <w:rsid w:val="2DE31109"/>
    <w:rsid w:val="2E24038A"/>
    <w:rsid w:val="2E312BB1"/>
    <w:rsid w:val="2E774A9E"/>
    <w:rsid w:val="2E7C6418"/>
    <w:rsid w:val="2E864BA1"/>
    <w:rsid w:val="2ED31DB0"/>
    <w:rsid w:val="2EE06631"/>
    <w:rsid w:val="2EFF6701"/>
    <w:rsid w:val="2F0B41EE"/>
    <w:rsid w:val="2F650C5A"/>
    <w:rsid w:val="2FAC0788"/>
    <w:rsid w:val="2FF2206D"/>
    <w:rsid w:val="303B153B"/>
    <w:rsid w:val="30A6421B"/>
    <w:rsid w:val="30CB2D3F"/>
    <w:rsid w:val="315C42DF"/>
    <w:rsid w:val="3163741B"/>
    <w:rsid w:val="31674283"/>
    <w:rsid w:val="31750EFD"/>
    <w:rsid w:val="3175714F"/>
    <w:rsid w:val="318178A1"/>
    <w:rsid w:val="31936BF7"/>
    <w:rsid w:val="31BE4652"/>
    <w:rsid w:val="31C95F0D"/>
    <w:rsid w:val="320504D2"/>
    <w:rsid w:val="327F0285"/>
    <w:rsid w:val="328361F2"/>
    <w:rsid w:val="32987598"/>
    <w:rsid w:val="32A9519D"/>
    <w:rsid w:val="32EB76C8"/>
    <w:rsid w:val="3304054E"/>
    <w:rsid w:val="33195511"/>
    <w:rsid w:val="3369470F"/>
    <w:rsid w:val="338F08C6"/>
    <w:rsid w:val="340A1DD0"/>
    <w:rsid w:val="343668E0"/>
    <w:rsid w:val="34411CF2"/>
    <w:rsid w:val="344D7F0F"/>
    <w:rsid w:val="346566C4"/>
    <w:rsid w:val="34684E59"/>
    <w:rsid w:val="34A22009"/>
    <w:rsid w:val="34D85012"/>
    <w:rsid w:val="34FE1DEC"/>
    <w:rsid w:val="35221DED"/>
    <w:rsid w:val="35262C3A"/>
    <w:rsid w:val="356D4D36"/>
    <w:rsid w:val="35887450"/>
    <w:rsid w:val="35944234"/>
    <w:rsid w:val="35976322"/>
    <w:rsid w:val="35A3072E"/>
    <w:rsid w:val="360F3524"/>
    <w:rsid w:val="363E3FB3"/>
    <w:rsid w:val="365C7130"/>
    <w:rsid w:val="36893B13"/>
    <w:rsid w:val="36985DB9"/>
    <w:rsid w:val="36C4095C"/>
    <w:rsid w:val="36DA7167"/>
    <w:rsid w:val="36E92171"/>
    <w:rsid w:val="36F86858"/>
    <w:rsid w:val="37337890"/>
    <w:rsid w:val="3735270F"/>
    <w:rsid w:val="37404B77"/>
    <w:rsid w:val="374951C3"/>
    <w:rsid w:val="374E46CA"/>
    <w:rsid w:val="37764687"/>
    <w:rsid w:val="37BF0C34"/>
    <w:rsid w:val="37C67FFB"/>
    <w:rsid w:val="37E77EE4"/>
    <w:rsid w:val="37F330E7"/>
    <w:rsid w:val="37F715D3"/>
    <w:rsid w:val="37F94635"/>
    <w:rsid w:val="38107BD1"/>
    <w:rsid w:val="384A30E3"/>
    <w:rsid w:val="38507FCD"/>
    <w:rsid w:val="385F4FE0"/>
    <w:rsid w:val="38D429A8"/>
    <w:rsid w:val="38E0462A"/>
    <w:rsid w:val="38F73ABA"/>
    <w:rsid w:val="38F77929"/>
    <w:rsid w:val="38FD0155"/>
    <w:rsid w:val="397D3044"/>
    <w:rsid w:val="39914D36"/>
    <w:rsid w:val="39917A5F"/>
    <w:rsid w:val="39981C2C"/>
    <w:rsid w:val="39B20619"/>
    <w:rsid w:val="39D32C64"/>
    <w:rsid w:val="39F8091D"/>
    <w:rsid w:val="3A4A0FBD"/>
    <w:rsid w:val="3A4F789D"/>
    <w:rsid w:val="3A60428A"/>
    <w:rsid w:val="3AA30FC0"/>
    <w:rsid w:val="3ACA20F9"/>
    <w:rsid w:val="3AFB0F10"/>
    <w:rsid w:val="3B037579"/>
    <w:rsid w:val="3B1B48C3"/>
    <w:rsid w:val="3BC86AD9"/>
    <w:rsid w:val="3C0B1D86"/>
    <w:rsid w:val="3C163377"/>
    <w:rsid w:val="3C187054"/>
    <w:rsid w:val="3C357F95"/>
    <w:rsid w:val="3C366730"/>
    <w:rsid w:val="3C4816E7"/>
    <w:rsid w:val="3C4A1471"/>
    <w:rsid w:val="3C4A1903"/>
    <w:rsid w:val="3C677CBB"/>
    <w:rsid w:val="3C7765F8"/>
    <w:rsid w:val="3CF61143"/>
    <w:rsid w:val="3D2A7BD6"/>
    <w:rsid w:val="3D4A04E3"/>
    <w:rsid w:val="3D510A70"/>
    <w:rsid w:val="3D7A6218"/>
    <w:rsid w:val="3D8F6FFF"/>
    <w:rsid w:val="3DAF6FA3"/>
    <w:rsid w:val="3DB17760"/>
    <w:rsid w:val="3DE955BD"/>
    <w:rsid w:val="3E3F4D6C"/>
    <w:rsid w:val="3E682515"/>
    <w:rsid w:val="3E7E65D8"/>
    <w:rsid w:val="3EFE69D5"/>
    <w:rsid w:val="3F0A1E1B"/>
    <w:rsid w:val="3F3E1132"/>
    <w:rsid w:val="3F4168C2"/>
    <w:rsid w:val="3F4E3DFE"/>
    <w:rsid w:val="3F6B20CC"/>
    <w:rsid w:val="3F7A1B1A"/>
    <w:rsid w:val="3F7F1139"/>
    <w:rsid w:val="3FC10BDC"/>
    <w:rsid w:val="3FC21B5F"/>
    <w:rsid w:val="3FDA3FAC"/>
    <w:rsid w:val="3FE1257F"/>
    <w:rsid w:val="40901DB6"/>
    <w:rsid w:val="40B76E3C"/>
    <w:rsid w:val="410B2CF0"/>
    <w:rsid w:val="41131769"/>
    <w:rsid w:val="412A5860"/>
    <w:rsid w:val="413138AC"/>
    <w:rsid w:val="414A1B98"/>
    <w:rsid w:val="414E4314"/>
    <w:rsid w:val="41C2018E"/>
    <w:rsid w:val="41C537DA"/>
    <w:rsid w:val="41F8477C"/>
    <w:rsid w:val="420B38E3"/>
    <w:rsid w:val="42250957"/>
    <w:rsid w:val="425D6E2C"/>
    <w:rsid w:val="42605908"/>
    <w:rsid w:val="426B7D29"/>
    <w:rsid w:val="42A67168"/>
    <w:rsid w:val="42A866F4"/>
    <w:rsid w:val="42C429E8"/>
    <w:rsid w:val="42C60FBA"/>
    <w:rsid w:val="42EB7271"/>
    <w:rsid w:val="42EC17E9"/>
    <w:rsid w:val="42ED2FE9"/>
    <w:rsid w:val="433A4069"/>
    <w:rsid w:val="438B2A61"/>
    <w:rsid w:val="43D971A0"/>
    <w:rsid w:val="43EF2D90"/>
    <w:rsid w:val="44136A7F"/>
    <w:rsid w:val="442333DA"/>
    <w:rsid w:val="444B7FA4"/>
    <w:rsid w:val="445552E9"/>
    <w:rsid w:val="448B2AB9"/>
    <w:rsid w:val="448B4867"/>
    <w:rsid w:val="44907625"/>
    <w:rsid w:val="44C36473"/>
    <w:rsid w:val="451231DA"/>
    <w:rsid w:val="45230F44"/>
    <w:rsid w:val="458419F0"/>
    <w:rsid w:val="45C85647"/>
    <w:rsid w:val="45CD7101"/>
    <w:rsid w:val="46132D66"/>
    <w:rsid w:val="466003D0"/>
    <w:rsid w:val="466B16B2"/>
    <w:rsid w:val="46717472"/>
    <w:rsid w:val="467852BF"/>
    <w:rsid w:val="46A6528A"/>
    <w:rsid w:val="46BC1A74"/>
    <w:rsid w:val="46C24890"/>
    <w:rsid w:val="46FA5CD4"/>
    <w:rsid w:val="46FF32EA"/>
    <w:rsid w:val="47217705"/>
    <w:rsid w:val="47A3636C"/>
    <w:rsid w:val="47A520E4"/>
    <w:rsid w:val="47CF0F0F"/>
    <w:rsid w:val="480E5EDB"/>
    <w:rsid w:val="481E52B8"/>
    <w:rsid w:val="483A5C59"/>
    <w:rsid w:val="48664C0C"/>
    <w:rsid w:val="48783354"/>
    <w:rsid w:val="48FE0DE1"/>
    <w:rsid w:val="493A685C"/>
    <w:rsid w:val="495518E8"/>
    <w:rsid w:val="49584238"/>
    <w:rsid w:val="496911ED"/>
    <w:rsid w:val="4972062B"/>
    <w:rsid w:val="4977185E"/>
    <w:rsid w:val="498507B5"/>
    <w:rsid w:val="49E515DF"/>
    <w:rsid w:val="49F64E79"/>
    <w:rsid w:val="4A314B3B"/>
    <w:rsid w:val="4A5E3D98"/>
    <w:rsid w:val="4B354775"/>
    <w:rsid w:val="4B634A6C"/>
    <w:rsid w:val="4B7B561F"/>
    <w:rsid w:val="4BB33A7C"/>
    <w:rsid w:val="4BE34F89"/>
    <w:rsid w:val="4BFA6367"/>
    <w:rsid w:val="4C096053"/>
    <w:rsid w:val="4C140938"/>
    <w:rsid w:val="4C69669A"/>
    <w:rsid w:val="4CA26BF2"/>
    <w:rsid w:val="4CA60963"/>
    <w:rsid w:val="4CBF1BCC"/>
    <w:rsid w:val="4CE23492"/>
    <w:rsid w:val="4D001B6A"/>
    <w:rsid w:val="4D253E6C"/>
    <w:rsid w:val="4D26640B"/>
    <w:rsid w:val="4D604C76"/>
    <w:rsid w:val="4D635245"/>
    <w:rsid w:val="4D86596E"/>
    <w:rsid w:val="4DAE377E"/>
    <w:rsid w:val="4DFF5E61"/>
    <w:rsid w:val="4E1A4EAE"/>
    <w:rsid w:val="4E50267E"/>
    <w:rsid w:val="4E504E57"/>
    <w:rsid w:val="4E640DE5"/>
    <w:rsid w:val="4E6D1482"/>
    <w:rsid w:val="4E8F764A"/>
    <w:rsid w:val="4E9F7C91"/>
    <w:rsid w:val="4EB45DB7"/>
    <w:rsid w:val="4ED11A10"/>
    <w:rsid w:val="4ED844D2"/>
    <w:rsid w:val="4F195165"/>
    <w:rsid w:val="4F4E0840"/>
    <w:rsid w:val="4F5434AE"/>
    <w:rsid w:val="4F5D5A10"/>
    <w:rsid w:val="4F9D18F3"/>
    <w:rsid w:val="4FC71BA0"/>
    <w:rsid w:val="4FD44B11"/>
    <w:rsid w:val="4FD80B7D"/>
    <w:rsid w:val="501047BA"/>
    <w:rsid w:val="5039516E"/>
    <w:rsid w:val="507232D7"/>
    <w:rsid w:val="50F11EF6"/>
    <w:rsid w:val="51330760"/>
    <w:rsid w:val="520531AA"/>
    <w:rsid w:val="524644C3"/>
    <w:rsid w:val="524F1749"/>
    <w:rsid w:val="52C378C2"/>
    <w:rsid w:val="53220201"/>
    <w:rsid w:val="53283F8F"/>
    <w:rsid w:val="5345477B"/>
    <w:rsid w:val="53682029"/>
    <w:rsid w:val="536C61AC"/>
    <w:rsid w:val="53A939D4"/>
    <w:rsid w:val="53C81E7D"/>
    <w:rsid w:val="53CF2AB7"/>
    <w:rsid w:val="53DA3115"/>
    <w:rsid w:val="540D1D71"/>
    <w:rsid w:val="54134879"/>
    <w:rsid w:val="542B09E1"/>
    <w:rsid w:val="54CF07A0"/>
    <w:rsid w:val="54D20290"/>
    <w:rsid w:val="54EB209C"/>
    <w:rsid w:val="54F77CF7"/>
    <w:rsid w:val="55157E55"/>
    <w:rsid w:val="55296902"/>
    <w:rsid w:val="55991287"/>
    <w:rsid w:val="55A76017"/>
    <w:rsid w:val="55AE6607"/>
    <w:rsid w:val="55C220B3"/>
    <w:rsid w:val="55D91A4A"/>
    <w:rsid w:val="55F31685"/>
    <w:rsid w:val="55F358E5"/>
    <w:rsid w:val="55F83D27"/>
    <w:rsid w:val="55FA5DFE"/>
    <w:rsid w:val="560E354A"/>
    <w:rsid w:val="565533B2"/>
    <w:rsid w:val="566C01A4"/>
    <w:rsid w:val="56701B0F"/>
    <w:rsid w:val="56861DB7"/>
    <w:rsid w:val="569B6BD5"/>
    <w:rsid w:val="569C7CA0"/>
    <w:rsid w:val="56D40166"/>
    <w:rsid w:val="56E95231"/>
    <w:rsid w:val="56FE536D"/>
    <w:rsid w:val="575B0482"/>
    <w:rsid w:val="575E56A4"/>
    <w:rsid w:val="577259FA"/>
    <w:rsid w:val="577E46FF"/>
    <w:rsid w:val="57803FD4"/>
    <w:rsid w:val="57FB5D50"/>
    <w:rsid w:val="58634DC4"/>
    <w:rsid w:val="589A7A9D"/>
    <w:rsid w:val="58B11F8B"/>
    <w:rsid w:val="58BC0710"/>
    <w:rsid w:val="58F04E46"/>
    <w:rsid w:val="58F5454D"/>
    <w:rsid w:val="592E22B3"/>
    <w:rsid w:val="5943350B"/>
    <w:rsid w:val="59831B59"/>
    <w:rsid w:val="59A16003"/>
    <w:rsid w:val="59BB5797"/>
    <w:rsid w:val="59ED058E"/>
    <w:rsid w:val="59FF596B"/>
    <w:rsid w:val="5A1B3170"/>
    <w:rsid w:val="5A343383"/>
    <w:rsid w:val="5A4C63EF"/>
    <w:rsid w:val="5A6220B6"/>
    <w:rsid w:val="5A757F1C"/>
    <w:rsid w:val="5AB84409"/>
    <w:rsid w:val="5AD14B46"/>
    <w:rsid w:val="5ADF3707"/>
    <w:rsid w:val="5AE34FA5"/>
    <w:rsid w:val="5AE665C9"/>
    <w:rsid w:val="5B0F651F"/>
    <w:rsid w:val="5B4B6A98"/>
    <w:rsid w:val="5B9F398F"/>
    <w:rsid w:val="5BF671C1"/>
    <w:rsid w:val="5C0056E3"/>
    <w:rsid w:val="5C0A6562"/>
    <w:rsid w:val="5C0D7E00"/>
    <w:rsid w:val="5C344BD1"/>
    <w:rsid w:val="5C3B496D"/>
    <w:rsid w:val="5C4850FD"/>
    <w:rsid w:val="5C5D48E3"/>
    <w:rsid w:val="5C7E07A2"/>
    <w:rsid w:val="5C8C0E5F"/>
    <w:rsid w:val="5C950521"/>
    <w:rsid w:val="5CAE4A67"/>
    <w:rsid w:val="5CDA384F"/>
    <w:rsid w:val="5CE46DB3"/>
    <w:rsid w:val="5D3C4B72"/>
    <w:rsid w:val="5D804D2D"/>
    <w:rsid w:val="5DAF116F"/>
    <w:rsid w:val="5DBA41CB"/>
    <w:rsid w:val="5DBE5856"/>
    <w:rsid w:val="5DC34C1A"/>
    <w:rsid w:val="5DC6470A"/>
    <w:rsid w:val="5E1C257C"/>
    <w:rsid w:val="5E40312C"/>
    <w:rsid w:val="5E5D6E1D"/>
    <w:rsid w:val="5E820631"/>
    <w:rsid w:val="5E87050B"/>
    <w:rsid w:val="5E923D8E"/>
    <w:rsid w:val="5ED576C9"/>
    <w:rsid w:val="5ED62196"/>
    <w:rsid w:val="5F4408E8"/>
    <w:rsid w:val="5F661D01"/>
    <w:rsid w:val="5F667F53"/>
    <w:rsid w:val="5FB962D5"/>
    <w:rsid w:val="5FC82935"/>
    <w:rsid w:val="5FF4730D"/>
    <w:rsid w:val="5FFC23DD"/>
    <w:rsid w:val="602672CF"/>
    <w:rsid w:val="604858AA"/>
    <w:rsid w:val="608A5EC3"/>
    <w:rsid w:val="608C190D"/>
    <w:rsid w:val="6118527D"/>
    <w:rsid w:val="613D2AB4"/>
    <w:rsid w:val="61B6058E"/>
    <w:rsid w:val="61E9502F"/>
    <w:rsid w:val="62A2184C"/>
    <w:rsid w:val="62A27171"/>
    <w:rsid w:val="631C57E4"/>
    <w:rsid w:val="63562AB1"/>
    <w:rsid w:val="63696264"/>
    <w:rsid w:val="63B4281C"/>
    <w:rsid w:val="63CD3482"/>
    <w:rsid w:val="63E063D1"/>
    <w:rsid w:val="63E80317"/>
    <w:rsid w:val="63EE73DF"/>
    <w:rsid w:val="640D4E41"/>
    <w:rsid w:val="64841BFD"/>
    <w:rsid w:val="64E5191A"/>
    <w:rsid w:val="64EF2799"/>
    <w:rsid w:val="64F14763"/>
    <w:rsid w:val="65073979"/>
    <w:rsid w:val="657607C4"/>
    <w:rsid w:val="657A02B4"/>
    <w:rsid w:val="65856959"/>
    <w:rsid w:val="65C275E4"/>
    <w:rsid w:val="65F610D8"/>
    <w:rsid w:val="660109D5"/>
    <w:rsid w:val="66240220"/>
    <w:rsid w:val="662B7E84"/>
    <w:rsid w:val="66527633"/>
    <w:rsid w:val="666D606B"/>
    <w:rsid w:val="668A2779"/>
    <w:rsid w:val="668F4233"/>
    <w:rsid w:val="674F5770"/>
    <w:rsid w:val="676B07FC"/>
    <w:rsid w:val="679236F0"/>
    <w:rsid w:val="67A05FCC"/>
    <w:rsid w:val="67B66256"/>
    <w:rsid w:val="67C24194"/>
    <w:rsid w:val="68427403"/>
    <w:rsid w:val="68CD2E07"/>
    <w:rsid w:val="68EE304C"/>
    <w:rsid w:val="68F0088D"/>
    <w:rsid w:val="6902504E"/>
    <w:rsid w:val="695D4175"/>
    <w:rsid w:val="69C750A6"/>
    <w:rsid w:val="69CE5517"/>
    <w:rsid w:val="69DF4B8A"/>
    <w:rsid w:val="6A313C26"/>
    <w:rsid w:val="6A366774"/>
    <w:rsid w:val="6A42336B"/>
    <w:rsid w:val="6A503CD9"/>
    <w:rsid w:val="6A7B2E18"/>
    <w:rsid w:val="6AE14069"/>
    <w:rsid w:val="6AEB755E"/>
    <w:rsid w:val="6B0241B7"/>
    <w:rsid w:val="6B1A4527"/>
    <w:rsid w:val="6B3233DF"/>
    <w:rsid w:val="6B6932A5"/>
    <w:rsid w:val="6B8044C1"/>
    <w:rsid w:val="6B822ED8"/>
    <w:rsid w:val="6B917038"/>
    <w:rsid w:val="6BAF2C82"/>
    <w:rsid w:val="6BDA27FB"/>
    <w:rsid w:val="6BE446D9"/>
    <w:rsid w:val="6BEA6080"/>
    <w:rsid w:val="6BEC5C84"/>
    <w:rsid w:val="6BF33773"/>
    <w:rsid w:val="6BF90704"/>
    <w:rsid w:val="6C494E84"/>
    <w:rsid w:val="6C5F1FB2"/>
    <w:rsid w:val="6C8E13C7"/>
    <w:rsid w:val="6CAD65E6"/>
    <w:rsid w:val="6CC57153"/>
    <w:rsid w:val="6CFE479A"/>
    <w:rsid w:val="6D3005C9"/>
    <w:rsid w:val="6D433682"/>
    <w:rsid w:val="6D5A3980"/>
    <w:rsid w:val="6D7101EF"/>
    <w:rsid w:val="6D8C327A"/>
    <w:rsid w:val="6E285ECE"/>
    <w:rsid w:val="6E9A19C7"/>
    <w:rsid w:val="6EBA5BC5"/>
    <w:rsid w:val="6EEE56CD"/>
    <w:rsid w:val="6EF2710D"/>
    <w:rsid w:val="6F2678A4"/>
    <w:rsid w:val="6F2E0BF5"/>
    <w:rsid w:val="6F835F56"/>
    <w:rsid w:val="6F8E2E2E"/>
    <w:rsid w:val="6FB62831"/>
    <w:rsid w:val="6FC7059A"/>
    <w:rsid w:val="6FF14A55"/>
    <w:rsid w:val="70291255"/>
    <w:rsid w:val="702D4E7B"/>
    <w:rsid w:val="70551E77"/>
    <w:rsid w:val="708E2D72"/>
    <w:rsid w:val="70C60851"/>
    <w:rsid w:val="70DE247E"/>
    <w:rsid w:val="70F13108"/>
    <w:rsid w:val="70F40F7A"/>
    <w:rsid w:val="711205DD"/>
    <w:rsid w:val="714C7FF0"/>
    <w:rsid w:val="714F6A99"/>
    <w:rsid w:val="717464FF"/>
    <w:rsid w:val="717B788E"/>
    <w:rsid w:val="71917FD9"/>
    <w:rsid w:val="719D5B0A"/>
    <w:rsid w:val="71C37B6F"/>
    <w:rsid w:val="71DD2F93"/>
    <w:rsid w:val="71E931C4"/>
    <w:rsid w:val="71FE401B"/>
    <w:rsid w:val="720008BB"/>
    <w:rsid w:val="722069BE"/>
    <w:rsid w:val="726F6CC7"/>
    <w:rsid w:val="730E4732"/>
    <w:rsid w:val="730F6B18"/>
    <w:rsid w:val="73335F32"/>
    <w:rsid w:val="735375BE"/>
    <w:rsid w:val="73781BAB"/>
    <w:rsid w:val="739934D9"/>
    <w:rsid w:val="73A47E25"/>
    <w:rsid w:val="73BD4394"/>
    <w:rsid w:val="73DC213A"/>
    <w:rsid w:val="740438D8"/>
    <w:rsid w:val="740A4EF9"/>
    <w:rsid w:val="744E5AB7"/>
    <w:rsid w:val="74795BDB"/>
    <w:rsid w:val="74F905B1"/>
    <w:rsid w:val="74FB5A2B"/>
    <w:rsid w:val="753C7334"/>
    <w:rsid w:val="75A629FF"/>
    <w:rsid w:val="75B94387"/>
    <w:rsid w:val="75D05CCE"/>
    <w:rsid w:val="75DA7C0D"/>
    <w:rsid w:val="75E61C85"/>
    <w:rsid w:val="75E65FB4"/>
    <w:rsid w:val="76123CE0"/>
    <w:rsid w:val="763B75EC"/>
    <w:rsid w:val="768947FB"/>
    <w:rsid w:val="76C10813"/>
    <w:rsid w:val="76D91A38"/>
    <w:rsid w:val="77130569"/>
    <w:rsid w:val="7718792D"/>
    <w:rsid w:val="77363AF2"/>
    <w:rsid w:val="773D3BE0"/>
    <w:rsid w:val="775007C6"/>
    <w:rsid w:val="775A15AE"/>
    <w:rsid w:val="777D11CF"/>
    <w:rsid w:val="7783749C"/>
    <w:rsid w:val="77884E32"/>
    <w:rsid w:val="77935205"/>
    <w:rsid w:val="77A17922"/>
    <w:rsid w:val="77B2124F"/>
    <w:rsid w:val="77ED2B68"/>
    <w:rsid w:val="77FE6B23"/>
    <w:rsid w:val="78035CD9"/>
    <w:rsid w:val="784263EB"/>
    <w:rsid w:val="785E75C1"/>
    <w:rsid w:val="78B34F4F"/>
    <w:rsid w:val="790C1713"/>
    <w:rsid w:val="791434A5"/>
    <w:rsid w:val="7927654D"/>
    <w:rsid w:val="79665461"/>
    <w:rsid w:val="796B643A"/>
    <w:rsid w:val="79785A86"/>
    <w:rsid w:val="79871BB9"/>
    <w:rsid w:val="79AC5D9F"/>
    <w:rsid w:val="79BE3826"/>
    <w:rsid w:val="79BF6786"/>
    <w:rsid w:val="79FA156C"/>
    <w:rsid w:val="7A1E49B8"/>
    <w:rsid w:val="7A251E31"/>
    <w:rsid w:val="7A2E2EA2"/>
    <w:rsid w:val="7A594430"/>
    <w:rsid w:val="7A61783D"/>
    <w:rsid w:val="7AB4796D"/>
    <w:rsid w:val="7AC53928"/>
    <w:rsid w:val="7AF366E7"/>
    <w:rsid w:val="7AFE57A6"/>
    <w:rsid w:val="7B4231CA"/>
    <w:rsid w:val="7B845591"/>
    <w:rsid w:val="7B9B1144"/>
    <w:rsid w:val="7BE3278D"/>
    <w:rsid w:val="7C0A27CB"/>
    <w:rsid w:val="7C3F595C"/>
    <w:rsid w:val="7CF621F6"/>
    <w:rsid w:val="7D18760A"/>
    <w:rsid w:val="7D1D0EF5"/>
    <w:rsid w:val="7D3E2A5C"/>
    <w:rsid w:val="7D6D67EE"/>
    <w:rsid w:val="7D7F0706"/>
    <w:rsid w:val="7DC40580"/>
    <w:rsid w:val="7E4454AB"/>
    <w:rsid w:val="7E6E2FBA"/>
    <w:rsid w:val="7E751792"/>
    <w:rsid w:val="7EA00544"/>
    <w:rsid w:val="7EAD5FB9"/>
    <w:rsid w:val="7ECF1219"/>
    <w:rsid w:val="7ED00580"/>
    <w:rsid w:val="7ED2256C"/>
    <w:rsid w:val="7EE50A3C"/>
    <w:rsid w:val="7F6A648E"/>
    <w:rsid w:val="7F8A2782"/>
    <w:rsid w:val="7F96077B"/>
    <w:rsid w:val="7FA722B7"/>
    <w:rsid w:val="7FBC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0"/>
    <w:pPr>
      <w:keepNext/>
      <w:keepLines/>
      <w:spacing w:after="120" w:line="360" w:lineRule="auto"/>
      <w:jc w:val="left"/>
      <w:outlineLvl w:val="0"/>
    </w:pPr>
    <w:rPr>
      <w:rFonts w:ascii="Times New Roman" w:hAnsi="Times New Roman" w:eastAsia="宋体" w:cs="Times New Roman"/>
      <w:kern w:val="44"/>
      <w:sz w:val="28"/>
      <w:szCs w:val="28"/>
    </w:rPr>
  </w:style>
  <w:style w:type="paragraph" w:styleId="3">
    <w:name w:val="heading 2"/>
    <w:basedOn w:val="1"/>
    <w:next w:val="1"/>
    <w:link w:val="50"/>
    <w:qFormat/>
    <w:uiPriority w:val="0"/>
    <w:pPr>
      <w:keepNext/>
      <w:keepLines/>
      <w:spacing w:before="120" w:after="120" w:line="415" w:lineRule="auto"/>
      <w:ind w:left="454"/>
      <w:jc w:val="center"/>
      <w:outlineLvl w:val="1"/>
    </w:pPr>
    <w:rPr>
      <w:rFonts w:ascii="Arial" w:hAnsi="Arial" w:eastAsia="宋体" w:cs="Times New Roman"/>
      <w:b/>
      <w:color w:val="000000"/>
      <w:sz w:val="24"/>
      <w:szCs w:val="24"/>
    </w:rPr>
  </w:style>
  <w:style w:type="paragraph" w:styleId="4">
    <w:name w:val="heading 3"/>
    <w:basedOn w:val="1"/>
    <w:next w:val="1"/>
    <w:link w:val="51"/>
    <w:qFormat/>
    <w:uiPriority w:val="0"/>
    <w:pPr>
      <w:widowControl/>
      <w:spacing w:before="100" w:beforeAutospacing="1" w:after="100" w:afterAutospacing="1"/>
      <w:jc w:val="left"/>
      <w:outlineLvl w:val="2"/>
    </w:pPr>
    <w:rPr>
      <w:rFonts w:ascii="宋体" w:hAnsi="宋体" w:eastAsia="宋体" w:cs="宋体"/>
      <w:kern w:val="0"/>
      <w:sz w:val="27"/>
      <w:szCs w:val="27"/>
    </w:rPr>
  </w:style>
  <w:style w:type="paragraph" w:styleId="5">
    <w:name w:val="heading 4"/>
    <w:basedOn w:val="1"/>
    <w:next w:val="1"/>
    <w:link w:val="52"/>
    <w:qFormat/>
    <w:uiPriority w:val="0"/>
    <w:pPr>
      <w:keepNext/>
      <w:keepLines/>
      <w:widowControl w:val="0"/>
      <w:spacing w:before="0" w:beforeLines="50" w:beforeAutospacing="0" w:after="0" w:afterLines="50" w:afterAutospacing="0" w:line="360" w:lineRule="auto"/>
      <w:ind w:left="284" w:hanging="284"/>
      <w:outlineLvl w:val="3"/>
    </w:pPr>
    <w:rPr>
      <w:rFonts w:ascii="Arial" w:hAnsi="Arial" w:cs="Times New Roman"/>
      <w:color w:val="000000"/>
      <w:kern w:val="2"/>
      <w:sz w:val="21"/>
      <w:szCs w:val="21"/>
    </w:rPr>
  </w:style>
  <w:style w:type="paragraph" w:styleId="6">
    <w:name w:val="heading 5"/>
    <w:basedOn w:val="1"/>
    <w:next w:val="1"/>
    <w:link w:val="53"/>
    <w:qFormat/>
    <w:uiPriority w:val="0"/>
    <w:pPr>
      <w:spacing w:line="240" w:lineRule="exact"/>
      <w:outlineLvl w:val="4"/>
    </w:p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9"/>
    <w:link w:val="55"/>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9"/>
    <w:link w:val="56"/>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9"/>
    <w:link w:val="57"/>
    <w:qFormat/>
    <w:uiPriority w:val="0"/>
    <w:pPr>
      <w:keepNext/>
      <w:keepLines/>
      <w:spacing w:before="240" w:after="64" w:line="320" w:lineRule="auto"/>
      <w:outlineLvl w:val="8"/>
    </w:pPr>
    <w:rPr>
      <w:rFonts w:ascii="Arial" w:hAnsi="Arial" w:eastAsia="黑体" w:cs="Times New Roman"/>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next w:val="1"/>
    <w:qFormat/>
    <w:uiPriority w:val="0"/>
    <w:pPr>
      <w:ind w:firstLine="420"/>
    </w:pPr>
    <w:rPr>
      <w:rFonts w:ascii="Times New Roman" w:hAnsi="Times New Roman" w:eastAsia="宋体" w:cs="Times New Roman"/>
      <w:szCs w:val="20"/>
    </w:rPr>
  </w:style>
  <w:style w:type="paragraph" w:styleId="12">
    <w:name w:val="caption"/>
    <w:basedOn w:val="1"/>
    <w:next w:val="1"/>
    <w:qFormat/>
    <w:uiPriority w:val="0"/>
    <w:rPr>
      <w:rFonts w:ascii="Cambria" w:hAnsi="Cambria" w:eastAsia="黑体" w:cs="Times New Roman"/>
      <w:sz w:val="20"/>
      <w:szCs w:val="20"/>
    </w:rPr>
  </w:style>
  <w:style w:type="paragraph" w:styleId="13">
    <w:name w:val="Document Map"/>
    <w:basedOn w:val="1"/>
    <w:link w:val="58"/>
    <w:qFormat/>
    <w:uiPriority w:val="0"/>
    <w:pPr>
      <w:shd w:val="clear" w:color="auto" w:fill="000080"/>
    </w:pPr>
    <w:rPr>
      <w:rFonts w:ascii="Times New Roman" w:hAnsi="Times New Roman" w:eastAsia="宋体" w:cs="Times New Roman"/>
      <w:szCs w:val="20"/>
    </w:rPr>
  </w:style>
  <w:style w:type="paragraph" w:styleId="14">
    <w:name w:val="annotation text"/>
    <w:basedOn w:val="1"/>
    <w:link w:val="59"/>
    <w:qFormat/>
    <w:uiPriority w:val="0"/>
    <w:pPr>
      <w:spacing w:line="360" w:lineRule="auto"/>
      <w:ind w:firstLine="523" w:firstLineChars="218"/>
      <w:jc w:val="left"/>
    </w:pPr>
    <w:rPr>
      <w:rFonts w:ascii="宋体" w:hAnsi="宋体" w:eastAsia="宋体" w:cs="Times New Roman"/>
      <w:sz w:val="24"/>
      <w:szCs w:val="24"/>
    </w:rPr>
  </w:style>
  <w:style w:type="paragraph" w:styleId="15">
    <w:name w:val="Body Text"/>
    <w:basedOn w:val="1"/>
    <w:next w:val="16"/>
    <w:link w:val="60"/>
    <w:qFormat/>
    <w:uiPriority w:val="0"/>
    <w:pPr>
      <w:spacing w:after="120"/>
    </w:pPr>
    <w:rPr>
      <w:rFonts w:ascii="Times New Roman" w:hAnsi="Times New Roman" w:eastAsia="宋体" w:cs="Times New Roman"/>
      <w:szCs w:val="20"/>
    </w:rPr>
  </w:style>
  <w:style w:type="paragraph" w:styleId="16">
    <w:name w:val="Body Text First Indent"/>
    <w:basedOn w:val="15"/>
    <w:link w:val="74"/>
    <w:qFormat/>
    <w:uiPriority w:val="0"/>
    <w:pPr>
      <w:ind w:firstLine="420"/>
    </w:pPr>
  </w:style>
  <w:style w:type="paragraph" w:styleId="17">
    <w:name w:val="Body Text Indent"/>
    <w:basedOn w:val="1"/>
    <w:link w:val="61"/>
    <w:qFormat/>
    <w:uiPriority w:val="0"/>
    <w:pPr>
      <w:ind w:firstLine="570"/>
    </w:pPr>
    <w:rPr>
      <w:rFonts w:ascii="Times New Roman" w:hAnsi="Times New Roman" w:eastAsia="宋体" w:cs="Times New Roman"/>
      <w:sz w:val="28"/>
      <w:szCs w:val="20"/>
    </w:rPr>
  </w:style>
  <w:style w:type="paragraph" w:styleId="18">
    <w:name w:val="toc 3"/>
    <w:basedOn w:val="1"/>
    <w:next w:val="1"/>
    <w:qFormat/>
    <w:uiPriority w:val="39"/>
    <w:pPr>
      <w:snapToGrid w:val="0"/>
      <w:spacing w:line="360" w:lineRule="auto"/>
      <w:ind w:left="400" w:leftChars="400"/>
      <w:jc w:val="left"/>
    </w:pPr>
    <w:rPr>
      <w:rFonts w:ascii="Times New Roman" w:hAnsi="Times New Roman" w:eastAsia="宋体" w:cs="Times New Roman"/>
      <w:sz w:val="24"/>
      <w:szCs w:val="20"/>
    </w:rPr>
  </w:style>
  <w:style w:type="paragraph" w:styleId="19">
    <w:name w:val="Plain Text"/>
    <w:basedOn w:val="1"/>
    <w:next w:val="1"/>
    <w:link w:val="62"/>
    <w:qFormat/>
    <w:uiPriority w:val="0"/>
    <w:rPr>
      <w:rFonts w:ascii="宋体" w:hAnsi="Courier New" w:eastAsia="宋体" w:cs="Times New Roman"/>
      <w:szCs w:val="20"/>
    </w:rPr>
  </w:style>
  <w:style w:type="paragraph" w:styleId="20">
    <w:name w:val="Date"/>
    <w:basedOn w:val="1"/>
    <w:next w:val="1"/>
    <w:link w:val="63"/>
    <w:qFormat/>
    <w:uiPriority w:val="0"/>
    <w:rPr>
      <w:rFonts w:ascii="Times New Roman" w:hAnsi="Times New Roman" w:eastAsia="宋体" w:cs="Times New Roman"/>
      <w:szCs w:val="20"/>
    </w:rPr>
  </w:style>
  <w:style w:type="paragraph" w:styleId="21">
    <w:name w:val="Body Text Indent 2"/>
    <w:basedOn w:val="1"/>
    <w:link w:val="64"/>
    <w:qFormat/>
    <w:uiPriority w:val="0"/>
    <w:pPr>
      <w:spacing w:line="400" w:lineRule="exact"/>
      <w:ind w:left="425"/>
    </w:pPr>
    <w:rPr>
      <w:rFonts w:ascii="Times New Roman" w:hAnsi="Times New Roman" w:eastAsia="宋体" w:cs="Times New Roman"/>
      <w:color w:val="000000"/>
      <w:sz w:val="24"/>
      <w:szCs w:val="20"/>
    </w:rPr>
  </w:style>
  <w:style w:type="paragraph" w:styleId="22">
    <w:name w:val="endnote text"/>
    <w:basedOn w:val="1"/>
    <w:link w:val="65"/>
    <w:qFormat/>
    <w:uiPriority w:val="0"/>
    <w:pPr>
      <w:snapToGrid w:val="0"/>
      <w:jc w:val="left"/>
    </w:pPr>
    <w:rPr>
      <w:rFonts w:ascii="Times New Roman" w:hAnsi="Times New Roman" w:eastAsia="宋体" w:cs="Times New Roman"/>
      <w:szCs w:val="20"/>
    </w:rPr>
  </w:style>
  <w:style w:type="paragraph" w:styleId="23">
    <w:name w:val="Balloon Text"/>
    <w:basedOn w:val="1"/>
    <w:link w:val="66"/>
    <w:qFormat/>
    <w:uiPriority w:val="0"/>
    <w:rPr>
      <w:rFonts w:ascii="Times New Roman" w:hAnsi="Times New Roman" w:eastAsia="宋体" w:cs="Times New Roman"/>
      <w:sz w:val="18"/>
      <w:szCs w:val="18"/>
    </w:rPr>
  </w:style>
  <w:style w:type="paragraph" w:styleId="24">
    <w:name w:val="footer"/>
    <w:basedOn w:val="1"/>
    <w:link w:val="67"/>
    <w:unhideWhenUsed/>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5">
    <w:name w:val="header"/>
    <w:basedOn w:val="1"/>
    <w:link w:val="68"/>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eastAsia="宋体" w:cs="Times New Roman"/>
      <w:caps/>
      <w:kern w:val="0"/>
      <w:sz w:val="24"/>
      <w:szCs w:val="32"/>
    </w:rPr>
  </w:style>
  <w:style w:type="paragraph" w:styleId="27">
    <w:name w:val="toc 4"/>
    <w:basedOn w:val="1"/>
    <w:next w:val="1"/>
    <w:unhideWhenUsed/>
    <w:qFormat/>
    <w:uiPriority w:val="39"/>
    <w:pPr>
      <w:ind w:left="1260" w:leftChars="600"/>
    </w:pPr>
    <w:rPr>
      <w:rFonts w:ascii="Times New Roman" w:hAnsi="Times New Roman" w:eastAsia="宋体" w:cs="Times New Roman"/>
    </w:rPr>
  </w:style>
  <w:style w:type="paragraph" w:styleId="28">
    <w:name w:val="index heading"/>
    <w:basedOn w:val="1"/>
    <w:next w:val="29"/>
    <w:qFormat/>
    <w:uiPriority w:val="0"/>
    <w:rPr>
      <w:rFonts w:ascii="Times New Roman" w:hAnsi="Times New Roman" w:eastAsia="宋体" w:cs="Times New Roman"/>
      <w:szCs w:val="20"/>
    </w:rPr>
  </w:style>
  <w:style w:type="paragraph" w:styleId="29">
    <w:name w:val="index 1"/>
    <w:basedOn w:val="1"/>
    <w:next w:val="1"/>
    <w:unhideWhenUsed/>
    <w:qFormat/>
    <w:uiPriority w:val="0"/>
  </w:style>
  <w:style w:type="paragraph" w:styleId="30">
    <w:name w:val="footnote text"/>
    <w:basedOn w:val="1"/>
    <w:link w:val="69"/>
    <w:qFormat/>
    <w:uiPriority w:val="0"/>
    <w:pPr>
      <w:snapToGrid w:val="0"/>
      <w:spacing w:line="360" w:lineRule="auto"/>
      <w:ind w:firstLine="523" w:firstLineChars="218"/>
      <w:jc w:val="left"/>
    </w:pPr>
    <w:rPr>
      <w:rFonts w:ascii="宋体" w:hAnsi="宋体" w:eastAsia="宋体" w:cs="Times New Roman"/>
      <w:sz w:val="18"/>
      <w:szCs w:val="18"/>
    </w:rPr>
  </w:style>
  <w:style w:type="paragraph" w:styleId="31">
    <w:name w:val="Body Text Indent 3"/>
    <w:basedOn w:val="1"/>
    <w:link w:val="70"/>
    <w:qFormat/>
    <w:uiPriority w:val="0"/>
    <w:pPr>
      <w:tabs>
        <w:tab w:val="left" w:pos="0"/>
      </w:tabs>
      <w:spacing w:line="400" w:lineRule="exact"/>
      <w:ind w:left="563" w:leftChars="228" w:hanging="84" w:hangingChars="35"/>
    </w:pPr>
    <w:rPr>
      <w:rFonts w:ascii="Times New Roman" w:hAnsi="Times New Roman" w:eastAsia="宋体" w:cs="Times New Roman"/>
      <w:color w:val="000000"/>
      <w:sz w:val="24"/>
      <w:szCs w:val="20"/>
    </w:rPr>
  </w:style>
  <w:style w:type="paragraph" w:styleId="32">
    <w:name w:val="toc 2"/>
    <w:basedOn w:val="1"/>
    <w:next w:val="1"/>
    <w:qFormat/>
    <w:uiPriority w:val="39"/>
    <w:pPr>
      <w:tabs>
        <w:tab w:val="right" w:leader="dot" w:pos="9060"/>
      </w:tabs>
      <w:snapToGrid w:val="0"/>
      <w:spacing w:line="360" w:lineRule="auto"/>
      <w:ind w:left="420" w:leftChars="200"/>
      <w:jc w:val="left"/>
    </w:pPr>
    <w:rPr>
      <w:rFonts w:ascii="Times New Roman" w:hAnsi="Times New Roman" w:eastAsia="宋体" w:cs="Times New Roman"/>
      <w:sz w:val="24"/>
      <w:szCs w:val="24"/>
    </w:rPr>
  </w:style>
  <w:style w:type="paragraph" w:styleId="33">
    <w:name w:val="Body Text 2"/>
    <w:basedOn w:val="1"/>
    <w:link w:val="71"/>
    <w:qFormat/>
    <w:uiPriority w:val="0"/>
    <w:rPr>
      <w:rFonts w:ascii="宋体" w:hAnsi="宋体" w:eastAsia="宋体" w:cs="Times New Roman"/>
      <w:szCs w:val="24"/>
      <w:u w:val="single"/>
    </w:rPr>
  </w:style>
  <w:style w:type="paragraph" w:styleId="34">
    <w:name w:val="Normal (Web)"/>
    <w:basedOn w:val="1"/>
    <w:qFormat/>
    <w:uiPriority w:val="0"/>
    <w:pPr>
      <w:jc w:val="left"/>
    </w:pPr>
    <w:rPr>
      <w:rFonts w:ascii="Times New Roman" w:hAnsi="Times New Roman" w:eastAsia="宋体" w:cs="Times New Roman"/>
      <w:kern w:val="0"/>
      <w:sz w:val="24"/>
    </w:rPr>
  </w:style>
  <w:style w:type="paragraph" w:styleId="35">
    <w:name w:val="Title"/>
    <w:basedOn w:val="1"/>
    <w:next w:val="1"/>
    <w:link w:val="72"/>
    <w:qFormat/>
    <w:uiPriority w:val="0"/>
    <w:pPr>
      <w:spacing w:before="120" w:after="60"/>
      <w:jc w:val="center"/>
    </w:pPr>
    <w:rPr>
      <w:rFonts w:ascii="Arial" w:hAnsi="Arial" w:eastAsia="宋体" w:cs="Times New Roman"/>
      <w:b/>
      <w:sz w:val="44"/>
      <w:szCs w:val="20"/>
    </w:rPr>
  </w:style>
  <w:style w:type="paragraph" w:styleId="36">
    <w:name w:val="annotation subject"/>
    <w:basedOn w:val="14"/>
    <w:next w:val="14"/>
    <w:link w:val="73"/>
    <w:qFormat/>
    <w:uiPriority w:val="0"/>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styleId="46">
    <w:name w:val="footnote reference"/>
    <w:qFormat/>
    <w:uiPriority w:val="0"/>
    <w:rPr>
      <w:vertAlign w:val="superscript"/>
    </w:rPr>
  </w:style>
  <w:style w:type="paragraph" w:customStyle="1" w:styleId="47">
    <w:name w:val="_Style 3"/>
    <w:basedOn w:val="1"/>
    <w:next w:val="31"/>
    <w:qFormat/>
    <w:uiPriority w:val="0"/>
    <w:pPr>
      <w:ind w:firstLine="420" w:firstLineChars="200"/>
    </w:pPr>
    <w:rPr>
      <w:rFonts w:ascii="Times New Roman" w:hAnsi="Times New Roman" w:cs="Arial"/>
      <w:sz w:val="24"/>
      <w:szCs w:val="22"/>
    </w:rPr>
  </w:style>
  <w:style w:type="paragraph" w:customStyle="1" w:styleId="48">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character" w:customStyle="1" w:styleId="49">
    <w:name w:val="标题 1 字符1"/>
    <w:basedOn w:val="39"/>
    <w:link w:val="2"/>
    <w:qFormat/>
    <w:uiPriority w:val="0"/>
    <w:rPr>
      <w:rFonts w:ascii="Times New Roman" w:hAnsi="Times New Roman" w:eastAsia="宋体" w:cs="Times New Roman"/>
      <w:kern w:val="44"/>
      <w:sz w:val="28"/>
      <w:szCs w:val="28"/>
    </w:rPr>
  </w:style>
  <w:style w:type="character" w:customStyle="1" w:styleId="50">
    <w:name w:val="标题 2 字符1"/>
    <w:basedOn w:val="39"/>
    <w:link w:val="3"/>
    <w:qFormat/>
    <w:uiPriority w:val="0"/>
    <w:rPr>
      <w:rFonts w:ascii="Arial" w:hAnsi="Arial" w:eastAsia="宋体" w:cs="Times New Roman"/>
      <w:b/>
      <w:color w:val="000000"/>
      <w:sz w:val="24"/>
      <w:szCs w:val="24"/>
    </w:rPr>
  </w:style>
  <w:style w:type="character" w:customStyle="1" w:styleId="51">
    <w:name w:val="标题 3 字符1"/>
    <w:basedOn w:val="39"/>
    <w:link w:val="4"/>
    <w:qFormat/>
    <w:uiPriority w:val="0"/>
    <w:rPr>
      <w:rFonts w:ascii="宋体" w:hAnsi="宋体" w:eastAsia="宋体" w:cs="宋体"/>
      <w:kern w:val="0"/>
      <w:sz w:val="27"/>
      <w:szCs w:val="27"/>
    </w:rPr>
  </w:style>
  <w:style w:type="character" w:customStyle="1" w:styleId="52">
    <w:name w:val="标题 4 字符1"/>
    <w:basedOn w:val="39"/>
    <w:link w:val="5"/>
    <w:qFormat/>
    <w:uiPriority w:val="0"/>
    <w:rPr>
      <w:rFonts w:ascii="Arial" w:hAnsi="Arial" w:eastAsia="宋体" w:cs="Times New Roman"/>
      <w:color w:val="000000"/>
      <w:szCs w:val="21"/>
    </w:rPr>
  </w:style>
  <w:style w:type="character" w:customStyle="1" w:styleId="53">
    <w:name w:val="标题 5 字符1"/>
    <w:basedOn w:val="39"/>
    <w:link w:val="6"/>
    <w:qFormat/>
    <w:uiPriority w:val="0"/>
    <w:rPr>
      <w:rFonts w:ascii="Arial" w:hAnsi="Arial" w:eastAsia="宋体" w:cs="Times New Roman"/>
      <w:color w:val="000000"/>
      <w:szCs w:val="21"/>
    </w:rPr>
  </w:style>
  <w:style w:type="character" w:customStyle="1" w:styleId="54">
    <w:name w:val="标题 6 字符1"/>
    <w:basedOn w:val="39"/>
    <w:link w:val="7"/>
    <w:qFormat/>
    <w:uiPriority w:val="0"/>
    <w:rPr>
      <w:rFonts w:ascii="Arial" w:hAnsi="Arial" w:eastAsia="黑体" w:cs="Times New Roman"/>
      <w:b/>
      <w:bCs/>
      <w:sz w:val="24"/>
      <w:szCs w:val="24"/>
    </w:rPr>
  </w:style>
  <w:style w:type="character" w:customStyle="1" w:styleId="55">
    <w:name w:val="标题 7 字符1"/>
    <w:basedOn w:val="39"/>
    <w:link w:val="8"/>
    <w:qFormat/>
    <w:uiPriority w:val="0"/>
    <w:rPr>
      <w:rFonts w:ascii="Times New Roman" w:hAnsi="Times New Roman" w:eastAsia="宋体" w:cs="Times New Roman"/>
      <w:b/>
      <w:sz w:val="24"/>
      <w:szCs w:val="20"/>
    </w:rPr>
  </w:style>
  <w:style w:type="character" w:customStyle="1" w:styleId="56">
    <w:name w:val="标题 8 字符1"/>
    <w:basedOn w:val="39"/>
    <w:link w:val="10"/>
    <w:qFormat/>
    <w:uiPriority w:val="0"/>
    <w:rPr>
      <w:rFonts w:ascii="Arial" w:hAnsi="Arial" w:eastAsia="黑体" w:cs="Times New Roman"/>
      <w:sz w:val="24"/>
      <w:szCs w:val="20"/>
    </w:rPr>
  </w:style>
  <w:style w:type="character" w:customStyle="1" w:styleId="57">
    <w:name w:val="标题 9 字符1"/>
    <w:basedOn w:val="39"/>
    <w:link w:val="11"/>
    <w:qFormat/>
    <w:uiPriority w:val="0"/>
    <w:rPr>
      <w:rFonts w:ascii="Arial" w:hAnsi="Arial" w:eastAsia="黑体" w:cs="Times New Roman"/>
      <w:szCs w:val="20"/>
    </w:rPr>
  </w:style>
  <w:style w:type="character" w:customStyle="1" w:styleId="58">
    <w:name w:val="文档结构图 字符1"/>
    <w:basedOn w:val="39"/>
    <w:link w:val="13"/>
    <w:qFormat/>
    <w:uiPriority w:val="0"/>
    <w:rPr>
      <w:rFonts w:ascii="Times New Roman" w:hAnsi="Times New Roman" w:eastAsia="宋体" w:cs="Times New Roman"/>
      <w:szCs w:val="20"/>
      <w:shd w:val="clear" w:color="auto" w:fill="000080"/>
    </w:rPr>
  </w:style>
  <w:style w:type="character" w:customStyle="1" w:styleId="59">
    <w:name w:val="批注文字 字符1"/>
    <w:basedOn w:val="39"/>
    <w:link w:val="14"/>
    <w:qFormat/>
    <w:uiPriority w:val="0"/>
    <w:rPr>
      <w:rFonts w:ascii="宋体" w:hAnsi="宋体" w:eastAsia="宋体" w:cs="Times New Roman"/>
      <w:sz w:val="24"/>
      <w:szCs w:val="24"/>
    </w:rPr>
  </w:style>
  <w:style w:type="character" w:customStyle="1" w:styleId="60">
    <w:name w:val="正文文本 字符1"/>
    <w:basedOn w:val="39"/>
    <w:link w:val="15"/>
    <w:qFormat/>
    <w:uiPriority w:val="0"/>
    <w:rPr>
      <w:rFonts w:ascii="Times New Roman" w:hAnsi="Times New Roman" w:eastAsia="宋体" w:cs="Times New Roman"/>
      <w:szCs w:val="20"/>
    </w:rPr>
  </w:style>
  <w:style w:type="character" w:customStyle="1" w:styleId="61">
    <w:name w:val="正文文本缩进 字符1"/>
    <w:basedOn w:val="39"/>
    <w:link w:val="17"/>
    <w:qFormat/>
    <w:uiPriority w:val="0"/>
    <w:rPr>
      <w:rFonts w:ascii="Times New Roman" w:hAnsi="Times New Roman" w:eastAsia="宋体" w:cs="Times New Roman"/>
      <w:sz w:val="28"/>
      <w:szCs w:val="20"/>
    </w:rPr>
  </w:style>
  <w:style w:type="character" w:customStyle="1" w:styleId="62">
    <w:name w:val="纯文本 字符1"/>
    <w:basedOn w:val="39"/>
    <w:link w:val="19"/>
    <w:qFormat/>
    <w:uiPriority w:val="0"/>
    <w:rPr>
      <w:rFonts w:ascii="宋体" w:hAnsi="Courier New" w:eastAsia="宋体" w:cs="Times New Roman"/>
      <w:szCs w:val="20"/>
    </w:rPr>
  </w:style>
  <w:style w:type="character" w:customStyle="1" w:styleId="63">
    <w:name w:val="日期 字符1"/>
    <w:basedOn w:val="39"/>
    <w:link w:val="20"/>
    <w:qFormat/>
    <w:uiPriority w:val="0"/>
    <w:rPr>
      <w:rFonts w:ascii="Times New Roman" w:hAnsi="Times New Roman" w:eastAsia="宋体" w:cs="Times New Roman"/>
      <w:szCs w:val="20"/>
    </w:rPr>
  </w:style>
  <w:style w:type="character" w:customStyle="1" w:styleId="64">
    <w:name w:val="正文文本缩进 2 字符1"/>
    <w:basedOn w:val="39"/>
    <w:link w:val="21"/>
    <w:qFormat/>
    <w:uiPriority w:val="0"/>
    <w:rPr>
      <w:rFonts w:ascii="Times New Roman" w:hAnsi="Times New Roman" w:eastAsia="宋体" w:cs="Times New Roman"/>
      <w:color w:val="000000"/>
      <w:sz w:val="24"/>
      <w:szCs w:val="20"/>
    </w:rPr>
  </w:style>
  <w:style w:type="character" w:customStyle="1" w:styleId="65">
    <w:name w:val="尾注文本 字符1"/>
    <w:basedOn w:val="39"/>
    <w:link w:val="22"/>
    <w:qFormat/>
    <w:uiPriority w:val="0"/>
    <w:rPr>
      <w:rFonts w:ascii="Times New Roman" w:hAnsi="Times New Roman" w:eastAsia="宋体" w:cs="Times New Roman"/>
      <w:szCs w:val="20"/>
    </w:rPr>
  </w:style>
  <w:style w:type="character" w:customStyle="1" w:styleId="66">
    <w:name w:val="批注框文本 字符1"/>
    <w:basedOn w:val="39"/>
    <w:link w:val="23"/>
    <w:qFormat/>
    <w:uiPriority w:val="0"/>
    <w:rPr>
      <w:rFonts w:ascii="Times New Roman" w:hAnsi="Times New Roman" w:eastAsia="宋体" w:cs="Times New Roman"/>
      <w:sz w:val="18"/>
      <w:szCs w:val="18"/>
    </w:rPr>
  </w:style>
  <w:style w:type="character" w:customStyle="1" w:styleId="67">
    <w:name w:val="页脚 字符1"/>
    <w:basedOn w:val="39"/>
    <w:link w:val="24"/>
    <w:qFormat/>
    <w:uiPriority w:val="0"/>
    <w:rPr>
      <w:rFonts w:ascii="Times New Roman" w:hAnsi="Times New Roman" w:eastAsia="宋体" w:cs="Times New Roman"/>
      <w:sz w:val="18"/>
      <w:szCs w:val="18"/>
    </w:rPr>
  </w:style>
  <w:style w:type="character" w:customStyle="1" w:styleId="68">
    <w:name w:val="页眉 字符1"/>
    <w:basedOn w:val="39"/>
    <w:link w:val="25"/>
    <w:qFormat/>
    <w:uiPriority w:val="0"/>
    <w:rPr>
      <w:rFonts w:ascii="Times New Roman" w:hAnsi="Times New Roman" w:eastAsia="宋体" w:cs="Times New Roman"/>
      <w:sz w:val="18"/>
      <w:szCs w:val="18"/>
    </w:rPr>
  </w:style>
  <w:style w:type="character" w:customStyle="1" w:styleId="69">
    <w:name w:val="脚注文本 字符1"/>
    <w:basedOn w:val="39"/>
    <w:link w:val="30"/>
    <w:qFormat/>
    <w:uiPriority w:val="0"/>
    <w:rPr>
      <w:rFonts w:ascii="宋体" w:hAnsi="宋体" w:eastAsia="宋体" w:cs="Times New Roman"/>
      <w:sz w:val="18"/>
      <w:szCs w:val="18"/>
    </w:rPr>
  </w:style>
  <w:style w:type="character" w:customStyle="1" w:styleId="70">
    <w:name w:val="正文文本缩进 3 字符1"/>
    <w:basedOn w:val="39"/>
    <w:link w:val="31"/>
    <w:qFormat/>
    <w:uiPriority w:val="0"/>
    <w:rPr>
      <w:rFonts w:ascii="Times New Roman" w:hAnsi="Times New Roman" w:eastAsia="宋体" w:cs="Times New Roman"/>
      <w:color w:val="000000"/>
      <w:sz w:val="24"/>
      <w:szCs w:val="20"/>
    </w:rPr>
  </w:style>
  <w:style w:type="character" w:customStyle="1" w:styleId="71">
    <w:name w:val="正文文本 2 字符1"/>
    <w:basedOn w:val="39"/>
    <w:link w:val="33"/>
    <w:qFormat/>
    <w:uiPriority w:val="0"/>
    <w:rPr>
      <w:rFonts w:ascii="宋体" w:hAnsi="宋体" w:eastAsia="宋体" w:cs="Times New Roman"/>
      <w:szCs w:val="24"/>
      <w:u w:val="single"/>
    </w:rPr>
  </w:style>
  <w:style w:type="character" w:customStyle="1" w:styleId="72">
    <w:name w:val="标题 字符1"/>
    <w:basedOn w:val="39"/>
    <w:link w:val="35"/>
    <w:qFormat/>
    <w:uiPriority w:val="0"/>
    <w:rPr>
      <w:rFonts w:ascii="Arial" w:hAnsi="Arial" w:eastAsia="宋体" w:cs="Times New Roman"/>
      <w:b/>
      <w:sz w:val="44"/>
      <w:szCs w:val="20"/>
    </w:rPr>
  </w:style>
  <w:style w:type="character" w:customStyle="1" w:styleId="73">
    <w:name w:val="批注主题 字符1"/>
    <w:basedOn w:val="59"/>
    <w:link w:val="36"/>
    <w:qFormat/>
    <w:uiPriority w:val="0"/>
    <w:rPr>
      <w:rFonts w:ascii="宋体" w:hAnsi="宋体" w:eastAsia="宋体" w:cs="Times New Roman"/>
      <w:b/>
      <w:bCs/>
      <w:sz w:val="24"/>
      <w:szCs w:val="24"/>
    </w:rPr>
  </w:style>
  <w:style w:type="character" w:customStyle="1" w:styleId="74">
    <w:name w:val="正文文本首行缩进 字符"/>
    <w:basedOn w:val="60"/>
    <w:link w:val="16"/>
    <w:qFormat/>
    <w:uiPriority w:val="0"/>
    <w:rPr>
      <w:rFonts w:ascii="Times New Roman" w:hAnsi="Times New Roman" w:eastAsia="宋体" w:cs="Times New Roman"/>
      <w:szCs w:val="20"/>
    </w:rPr>
  </w:style>
  <w:style w:type="character" w:customStyle="1" w:styleId="75">
    <w:name w:val="批注文字 字符"/>
    <w:semiHidden/>
    <w:qFormat/>
    <w:uiPriority w:val="99"/>
    <w:rPr>
      <w:rFonts w:ascii="Calibri" w:hAnsi="Calibri" w:eastAsia="宋体" w:cs="Times New Roman"/>
    </w:rPr>
  </w:style>
  <w:style w:type="character" w:customStyle="1" w:styleId="76">
    <w:name w:val="页脚 字符"/>
    <w:semiHidden/>
    <w:qFormat/>
    <w:uiPriority w:val="99"/>
    <w:rPr>
      <w:rFonts w:ascii="Calibri" w:hAnsi="Calibri" w:eastAsia="宋体" w:cs="Times New Roman"/>
      <w:sz w:val="18"/>
      <w:szCs w:val="18"/>
    </w:rPr>
  </w:style>
  <w:style w:type="character" w:customStyle="1" w:styleId="77">
    <w:name w:val="正文文本 2 字符"/>
    <w:semiHidden/>
    <w:qFormat/>
    <w:uiPriority w:val="99"/>
    <w:rPr>
      <w:rFonts w:ascii="Calibri" w:hAnsi="Calibri" w:eastAsia="宋体" w:cs="Times New Roman"/>
    </w:rPr>
  </w:style>
  <w:style w:type="character" w:customStyle="1" w:styleId="78">
    <w:name w:val="标题 8 字符"/>
    <w:semiHidden/>
    <w:qFormat/>
    <w:uiPriority w:val="9"/>
    <w:rPr>
      <w:rFonts w:ascii="等线 Light" w:hAnsi="等线 Light" w:eastAsia="等线 Light" w:cs="Times New Roman"/>
      <w:sz w:val="24"/>
      <w:szCs w:val="24"/>
    </w:rPr>
  </w:style>
  <w:style w:type="character" w:customStyle="1" w:styleId="79">
    <w:name w:val="标题 6 字符"/>
    <w:semiHidden/>
    <w:qFormat/>
    <w:uiPriority w:val="9"/>
    <w:rPr>
      <w:rFonts w:ascii="等线 Light" w:hAnsi="等线 Light" w:eastAsia="等线 Light" w:cs="Times New Roman"/>
      <w:b/>
      <w:bCs/>
      <w:sz w:val="24"/>
      <w:szCs w:val="24"/>
    </w:rPr>
  </w:style>
  <w:style w:type="character" w:customStyle="1" w:styleId="80">
    <w:name w:val="标题 2 字符"/>
    <w:semiHidden/>
    <w:qFormat/>
    <w:uiPriority w:val="9"/>
    <w:rPr>
      <w:rFonts w:ascii="等线 Light" w:hAnsi="等线 Light" w:eastAsia="等线 Light" w:cs="Times New Roman"/>
      <w:b/>
      <w:bCs/>
      <w:sz w:val="32"/>
      <w:szCs w:val="32"/>
    </w:rPr>
  </w:style>
  <w:style w:type="character" w:customStyle="1" w:styleId="81">
    <w:name w:val="批注框文本 字符"/>
    <w:semiHidden/>
    <w:qFormat/>
    <w:uiPriority w:val="99"/>
    <w:rPr>
      <w:rFonts w:ascii="Calibri" w:hAnsi="Calibri" w:eastAsia="宋体" w:cs="Times New Roman"/>
      <w:sz w:val="18"/>
      <w:szCs w:val="18"/>
    </w:rPr>
  </w:style>
  <w:style w:type="character" w:customStyle="1" w:styleId="82">
    <w:name w:val="标题 字符"/>
    <w:qFormat/>
    <w:uiPriority w:val="10"/>
    <w:rPr>
      <w:rFonts w:ascii="等线 Light" w:hAnsi="等线 Light" w:eastAsia="等线 Light" w:cs="Times New Roman"/>
      <w:b/>
      <w:bCs/>
      <w:sz w:val="32"/>
      <w:szCs w:val="32"/>
    </w:rPr>
  </w:style>
  <w:style w:type="character" w:customStyle="1" w:styleId="83">
    <w:name w:val="标题 7 字符"/>
    <w:semiHidden/>
    <w:qFormat/>
    <w:uiPriority w:val="9"/>
    <w:rPr>
      <w:rFonts w:ascii="Calibri" w:hAnsi="Calibri" w:eastAsia="宋体" w:cs="Times New Roman"/>
      <w:b/>
      <w:bCs/>
      <w:sz w:val="24"/>
      <w:szCs w:val="24"/>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纯文本 字符"/>
    <w:semiHidden/>
    <w:qFormat/>
    <w:uiPriority w:val="99"/>
    <w:rPr>
      <w:rFonts w:ascii="等线" w:hAnsi="Courier New" w:cs="Courier New"/>
    </w:rPr>
  </w:style>
  <w:style w:type="character" w:customStyle="1" w:styleId="86">
    <w:name w:val="日期 字符"/>
    <w:semiHidden/>
    <w:qFormat/>
    <w:uiPriority w:val="99"/>
    <w:rPr>
      <w:rFonts w:ascii="Calibri" w:hAnsi="Calibri" w:eastAsia="宋体" w:cs="Times New Roman"/>
    </w:rPr>
  </w:style>
  <w:style w:type="character" w:customStyle="1" w:styleId="87">
    <w:name w:val="标题 4 字符"/>
    <w:semiHidden/>
    <w:qFormat/>
    <w:uiPriority w:val="9"/>
    <w:rPr>
      <w:rFonts w:ascii="等线 Light" w:hAnsi="等线 Light" w:eastAsia="等线 Light" w:cs="Times New Roman"/>
      <w:b/>
      <w:bCs/>
      <w:sz w:val="28"/>
      <w:szCs w:val="28"/>
    </w:rPr>
  </w:style>
  <w:style w:type="character" w:customStyle="1" w:styleId="88">
    <w:name w:val="批注主题 字符"/>
    <w:semiHidden/>
    <w:qFormat/>
    <w:uiPriority w:val="99"/>
    <w:rPr>
      <w:rFonts w:ascii="Calibri" w:hAnsi="Calibri" w:eastAsia="宋体" w:cs="Times New Roman"/>
      <w:b/>
      <w:bCs/>
    </w:rPr>
  </w:style>
  <w:style w:type="character" w:customStyle="1" w:styleId="89">
    <w:name w:val="标题 1 字符"/>
    <w:qFormat/>
    <w:uiPriority w:val="9"/>
    <w:rPr>
      <w:rFonts w:ascii="Calibri" w:hAnsi="Calibri" w:eastAsia="宋体" w:cs="Times New Roman"/>
      <w:b/>
      <w:bCs/>
      <w:kern w:val="44"/>
      <w:sz w:val="44"/>
      <w:szCs w:val="44"/>
    </w:rPr>
  </w:style>
  <w:style w:type="character" w:customStyle="1" w:styleId="90">
    <w:name w:val="脚注文本 字符"/>
    <w:semiHidden/>
    <w:qFormat/>
    <w:uiPriority w:val="99"/>
    <w:rPr>
      <w:rFonts w:ascii="Calibri" w:hAnsi="Calibri" w:eastAsia="宋体" w:cs="Times New Roman"/>
      <w:sz w:val="18"/>
      <w:szCs w:val="18"/>
    </w:rPr>
  </w:style>
  <w:style w:type="character" w:customStyle="1" w:styleId="91">
    <w:name w:val="页眉 字符"/>
    <w:semiHidden/>
    <w:qFormat/>
    <w:uiPriority w:val="99"/>
    <w:rPr>
      <w:rFonts w:ascii="Calibri" w:hAnsi="Calibri" w:eastAsia="宋体" w:cs="Times New Roman"/>
      <w:sz w:val="18"/>
      <w:szCs w:val="18"/>
    </w:rPr>
  </w:style>
  <w:style w:type="character" w:customStyle="1" w:styleId="92">
    <w:name w:val="正文首行缩进 字符"/>
    <w:semiHidden/>
    <w:qFormat/>
    <w:uiPriority w:val="99"/>
  </w:style>
  <w:style w:type="character" w:customStyle="1" w:styleId="93">
    <w:name w:val="正文文本 字符"/>
    <w:semiHidden/>
    <w:qFormat/>
    <w:uiPriority w:val="99"/>
    <w:rPr>
      <w:rFonts w:ascii="Calibri" w:hAnsi="Calibri" w:eastAsia="宋体" w:cs="Times New Roman"/>
    </w:rPr>
  </w:style>
  <w:style w:type="character" w:customStyle="1" w:styleId="94">
    <w:name w:val="标题 3 字符"/>
    <w:semiHidden/>
    <w:qFormat/>
    <w:uiPriority w:val="9"/>
    <w:rPr>
      <w:rFonts w:ascii="Calibri" w:hAnsi="Calibri" w:eastAsia="宋体" w:cs="Times New Roman"/>
      <w:b/>
      <w:bCs/>
      <w:sz w:val="32"/>
      <w:szCs w:val="32"/>
    </w:rPr>
  </w:style>
  <w:style w:type="character" w:customStyle="1" w:styleId="95">
    <w:name w:val="文档结构图 字符"/>
    <w:semiHidden/>
    <w:qFormat/>
    <w:uiPriority w:val="99"/>
    <w:rPr>
      <w:rFonts w:ascii="Microsoft YaHei UI" w:hAnsi="Calibri" w:eastAsia="Microsoft YaHei UI" w:cs="Times New Roman"/>
      <w:sz w:val="18"/>
      <w:szCs w:val="18"/>
    </w:rPr>
  </w:style>
  <w:style w:type="character" w:customStyle="1" w:styleId="96">
    <w:name w:val="正文文本缩进 字符"/>
    <w:semiHidden/>
    <w:qFormat/>
    <w:uiPriority w:val="99"/>
    <w:rPr>
      <w:rFonts w:ascii="Calibri" w:hAnsi="Calibri" w:eastAsia="宋体" w:cs="Times New Roman"/>
    </w:rPr>
  </w:style>
  <w:style w:type="character" w:customStyle="1" w:styleId="97">
    <w:name w:val="正文文本缩进 2 字符"/>
    <w:semiHidden/>
    <w:qFormat/>
    <w:uiPriority w:val="99"/>
    <w:rPr>
      <w:rFonts w:ascii="Calibri" w:hAnsi="Calibri" w:eastAsia="宋体" w:cs="Times New Roman"/>
    </w:rPr>
  </w:style>
  <w:style w:type="character" w:customStyle="1" w:styleId="98">
    <w:name w:val="尾注文本 字符"/>
    <w:semiHidden/>
    <w:qFormat/>
    <w:uiPriority w:val="99"/>
    <w:rPr>
      <w:rFonts w:ascii="Calibri" w:hAnsi="Calibri" w:eastAsia="宋体" w:cs="Times New Roman"/>
    </w:rPr>
  </w:style>
  <w:style w:type="character" w:customStyle="1" w:styleId="99">
    <w:name w:val="标题 5 字符"/>
    <w:semiHidden/>
    <w:qFormat/>
    <w:uiPriority w:val="9"/>
    <w:rPr>
      <w:rFonts w:ascii="Calibri" w:hAnsi="Calibri" w:eastAsia="宋体" w:cs="Times New Roman"/>
      <w:b/>
      <w:bCs/>
      <w:sz w:val="28"/>
      <w:szCs w:val="28"/>
    </w:rPr>
  </w:style>
  <w:style w:type="character" w:customStyle="1" w:styleId="100">
    <w:name w:val="标题 9 字符"/>
    <w:semiHidden/>
    <w:qFormat/>
    <w:uiPriority w:val="9"/>
    <w:rPr>
      <w:rFonts w:ascii="等线 Light" w:hAnsi="等线 Light" w:eastAsia="等线 Light" w:cs="Times New Roman"/>
      <w:szCs w:val="21"/>
    </w:rPr>
  </w:style>
  <w:style w:type="paragraph" w:customStyle="1" w:styleId="101">
    <w:name w:val="表头"/>
    <w:basedOn w:val="1"/>
    <w:qFormat/>
    <w:uiPriority w:val="0"/>
    <w:pPr>
      <w:spacing w:line="360" w:lineRule="auto"/>
      <w:jc w:val="center"/>
    </w:pPr>
    <w:rPr>
      <w:rFonts w:ascii="黑体" w:hAnsi="Times New Roman" w:eastAsia="黑体" w:cs="Times New Roman"/>
      <w:kern w:val="0"/>
      <w:sz w:val="24"/>
      <w:szCs w:val="20"/>
    </w:rPr>
  </w:style>
  <w:style w:type="paragraph" w:customStyle="1" w:styleId="102">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03">
    <w:name w:val="题注5"/>
    <w:basedOn w:val="1"/>
    <w:next w:val="12"/>
    <w:qFormat/>
    <w:uiPriority w:val="0"/>
    <w:pPr>
      <w:jc w:val="center"/>
    </w:pPr>
    <w:rPr>
      <w:rFonts w:ascii="Times New Roman" w:hAnsi="Times New Roman" w:eastAsia="宋体" w:cs="Times New Roman"/>
      <w:b/>
      <w:color w:val="000000"/>
      <w:sz w:val="24"/>
      <w:szCs w:val="21"/>
    </w:rPr>
  </w:style>
  <w:style w:type="paragraph" w:styleId="104">
    <w:name w:val="List Paragraph"/>
    <w:basedOn w:val="1"/>
    <w:qFormat/>
    <w:uiPriority w:val="34"/>
    <w:pPr>
      <w:ind w:firstLine="420" w:firstLineChars="200"/>
    </w:pPr>
    <w:rPr>
      <w:rFonts w:ascii="Times New Roman" w:hAnsi="Times New Roman" w:eastAsia="宋体" w:cs="Times New Roman"/>
      <w:szCs w:val="20"/>
    </w:rPr>
  </w:style>
  <w:style w:type="paragraph" w:customStyle="1" w:styleId="105">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6">
    <w:name w:val="公文抬头"/>
    <w:basedOn w:val="9"/>
    <w:qFormat/>
    <w:uiPriority w:val="0"/>
    <w:pPr>
      <w:ind w:firstLine="0"/>
    </w:pPr>
    <w:rPr>
      <w:rFonts w:ascii="仿宋_GB2312" w:eastAsia="仿宋_GB2312"/>
      <w:sz w:val="30"/>
      <w:szCs w:val="24"/>
    </w:rPr>
  </w:style>
  <w:style w:type="paragraph" w:customStyle="1" w:styleId="107">
    <w:name w:val="题注4"/>
    <w:basedOn w:val="1"/>
    <w:next w:val="12"/>
    <w:qFormat/>
    <w:uiPriority w:val="0"/>
    <w:pPr>
      <w:ind w:left="-62" w:leftChars="-64" w:right="-50" w:rightChars="-50" w:hanging="2"/>
      <w:jc w:val="center"/>
    </w:pPr>
    <w:rPr>
      <w:rFonts w:ascii="Times New Roman" w:hAnsi="Times New Roman" w:eastAsia="宋体" w:cs="Times New Roman"/>
      <w:b/>
      <w:color w:val="FF0000"/>
      <w:szCs w:val="21"/>
      <w:lang w:val="en-GB"/>
    </w:rPr>
  </w:style>
  <w:style w:type="paragraph" w:customStyle="1" w:styleId="108">
    <w:name w:val="Char Char Char Char"/>
    <w:basedOn w:val="1"/>
    <w:qFormat/>
    <w:uiPriority w:val="0"/>
    <w:rPr>
      <w:rFonts w:ascii="Times New Roman" w:hAnsi="Times New Roman" w:eastAsia="宋体" w:cs="Times New Roman"/>
      <w:sz w:val="30"/>
      <w:szCs w:val="24"/>
    </w:rPr>
  </w:style>
  <w:style w:type="paragraph" w:customStyle="1" w:styleId="109">
    <w:name w:val="_Style 25"/>
    <w:basedOn w:val="1"/>
    <w:next w:val="1"/>
    <w:qFormat/>
    <w:uiPriority w:val="0"/>
    <w:rPr>
      <w:rFonts w:ascii="Times New Roman" w:hAnsi="Times New Roman" w:eastAsia="宋体" w:cs="Times New Roman"/>
    </w:rPr>
  </w:style>
  <w:style w:type="paragraph" w:customStyle="1" w:styleId="110">
    <w:name w:val="正题"/>
    <w:basedOn w:val="111"/>
    <w:next w:val="111"/>
    <w:unhideWhenUsed/>
    <w:qFormat/>
    <w:uiPriority w:val="99"/>
    <w:pPr>
      <w:ind w:firstLine="0" w:firstLineChars="0"/>
      <w:jc w:val="center"/>
    </w:pPr>
    <w:rPr>
      <w:rFonts w:hAnsi="Calibri" w:eastAsia="黑体"/>
      <w:b/>
      <w:sz w:val="36"/>
    </w:rPr>
  </w:style>
  <w:style w:type="paragraph" w:customStyle="1" w:styleId="111">
    <w:name w:val="文一"/>
    <w:basedOn w:val="1"/>
    <w:unhideWhenUsed/>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szCs w:val="20"/>
    </w:rPr>
  </w:style>
  <w:style w:type="paragraph" w:customStyle="1" w:styleId="112">
    <w:name w:val="Char"/>
    <w:basedOn w:val="1"/>
    <w:qFormat/>
    <w:uiPriority w:val="0"/>
    <w:rPr>
      <w:rFonts w:ascii="Tahoma" w:hAnsi="Tahoma" w:eastAsia="宋体" w:cs="Times New Roman"/>
      <w:sz w:val="24"/>
      <w:szCs w:val="20"/>
    </w:rPr>
  </w:style>
  <w:style w:type="paragraph" w:customStyle="1" w:styleId="113">
    <w:name w:val="Table Paragraph"/>
    <w:basedOn w:val="1"/>
    <w:qFormat/>
    <w:uiPriority w:val="1"/>
    <w:rPr>
      <w:rFonts w:ascii="宋体" w:hAnsi="宋体" w:eastAsia="宋体" w:cs="宋体"/>
      <w:lang w:val="zh-CN" w:bidi="zh-CN"/>
    </w:rPr>
  </w:style>
  <w:style w:type="paragraph" w:customStyle="1" w:styleId="1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5">
    <w:name w:val="发文落款"/>
    <w:basedOn w:val="114"/>
    <w:qFormat/>
    <w:uiPriority w:val="0"/>
    <w:pPr>
      <w:ind w:left="4094" w:right="607" w:firstLine="0"/>
      <w:jc w:val="center"/>
    </w:pPr>
  </w:style>
  <w:style w:type="paragraph" w:customStyle="1" w:styleId="116">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cs="Times New Roman"/>
      <w:bCs/>
      <w:kern w:val="0"/>
      <w:sz w:val="32"/>
    </w:rPr>
  </w:style>
  <w:style w:type="paragraph" w:customStyle="1" w:styleId="117">
    <w:name w:val="修订1"/>
    <w:semiHidden/>
    <w:qFormat/>
    <w:uiPriority w:val="99"/>
    <w:rPr>
      <w:rFonts w:ascii="Times New Roman" w:hAnsi="Times New Roman" w:eastAsia="宋体" w:cs="Times New Roman"/>
      <w:kern w:val="2"/>
      <w:sz w:val="21"/>
      <w:lang w:val="en-US" w:eastAsia="zh-CN" w:bidi="ar-SA"/>
    </w:rPr>
  </w:style>
  <w:style w:type="paragraph" w:customStyle="1" w:styleId="118">
    <w:name w:val="Char Char Char1 Char"/>
    <w:basedOn w:val="13"/>
    <w:qFormat/>
    <w:uiPriority w:val="0"/>
    <w:rPr>
      <w:rFonts w:ascii="Tahoma" w:hAnsi="Tahoma"/>
      <w:sz w:val="24"/>
      <w:szCs w:val="24"/>
    </w:rPr>
  </w:style>
  <w:style w:type="paragraph" w:customStyle="1" w:styleId="119">
    <w:name w:val="Char1"/>
    <w:basedOn w:val="1"/>
    <w:qFormat/>
    <w:uiPriority w:val="0"/>
    <w:pPr>
      <w:ind w:left="567" w:hanging="279"/>
    </w:pPr>
    <w:rPr>
      <w:rFonts w:ascii="Times New Roman" w:hAnsi="Times New Roman" w:eastAsia="宋体" w:cs="Times New Roman"/>
      <w:sz w:val="24"/>
      <w:szCs w:val="24"/>
    </w:rPr>
  </w:style>
  <w:style w:type="paragraph" w:customStyle="1" w:styleId="120">
    <w:name w:val="图"/>
    <w:basedOn w:val="1"/>
    <w:qFormat/>
    <w:uiPriority w:val="0"/>
    <w:pPr>
      <w:keepNext/>
      <w:adjustRightInd w:val="0"/>
      <w:spacing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121">
    <w:name w:val="TOC 标题1"/>
    <w:basedOn w:val="2"/>
    <w:next w:val="1"/>
    <w:qFormat/>
    <w:uiPriority w:val="39"/>
    <w:pPr>
      <w:widowControl/>
      <w:spacing w:before="480" w:after="0" w:line="276" w:lineRule="auto"/>
      <w:outlineLvl w:val="9"/>
    </w:pPr>
    <w:rPr>
      <w:rFonts w:ascii="Cambria" w:hAnsi="Cambria"/>
      <w:color w:val="365F91"/>
      <w:kern w:val="0"/>
    </w:rPr>
  </w:style>
  <w:style w:type="paragraph" w:customStyle="1" w:styleId="122">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我的正文"/>
    <w:basedOn w:val="1"/>
    <w:qFormat/>
    <w:uiPriority w:val="0"/>
    <w:pPr>
      <w:spacing w:line="360" w:lineRule="auto"/>
      <w:ind w:firstLine="482" w:firstLineChars="200"/>
    </w:pPr>
    <w:rPr>
      <w:rFonts w:ascii="宋体"/>
      <w:sz w:val="24"/>
      <w:szCs w:val="24"/>
    </w:rPr>
  </w:style>
  <w:style w:type="paragraph" w:customStyle="1" w:styleId="124">
    <w:name w:val="p0"/>
    <w:basedOn w:val="1"/>
    <w:qFormat/>
    <w:uiPriority w:val="0"/>
    <w:pPr>
      <w:widowControl/>
    </w:pPr>
    <w:rPr>
      <w:kern w:val="0"/>
      <w:szCs w:val="21"/>
    </w:rPr>
  </w:style>
  <w:style w:type="paragraph" w:customStyle="1" w:styleId="125">
    <w:name w:val="p18"/>
    <w:basedOn w:val="1"/>
    <w:qFormat/>
    <w:uiPriority w:val="0"/>
    <w:pPr>
      <w:widowControl/>
    </w:pPr>
    <w:rPr>
      <w:rFonts w:ascii="宋体" w:hAnsi="宋体" w:cs="宋体"/>
      <w:kern w:val="0"/>
      <w:szCs w:val="21"/>
    </w:rPr>
  </w:style>
  <w:style w:type="character" w:customStyle="1" w:styleId="126">
    <w:name w:val="15"/>
    <w:qFormat/>
    <w:uiPriority w:val="0"/>
    <w:rPr>
      <w:rFonts w:hint="default" w:ascii="Times New Roman" w:hAnsi="Times New Roman" w:cs="Times New Roman"/>
      <w:sz w:val="21"/>
      <w:szCs w:val="21"/>
    </w:rPr>
  </w:style>
  <w:style w:type="character" w:customStyle="1" w:styleId="127">
    <w:name w:val="ca-2"/>
    <w:basedOn w:val="39"/>
    <w:qFormat/>
    <w:uiPriority w:val="0"/>
  </w:style>
  <w:style w:type="paragraph" w:customStyle="1" w:styleId="128">
    <w:name w:val="p20"/>
    <w:basedOn w:val="1"/>
    <w:qFormat/>
    <w:uiPriority w:val="0"/>
    <w:pPr>
      <w:widowControl/>
      <w:spacing w:after="120" w:line="480" w:lineRule="auto"/>
    </w:pPr>
    <w:rPr>
      <w:kern w:val="0"/>
      <w:szCs w:val="21"/>
    </w:rPr>
  </w:style>
  <w:style w:type="paragraph" w:customStyle="1" w:styleId="129">
    <w:name w:val="列表段落1"/>
    <w:basedOn w:val="1"/>
    <w:qFormat/>
    <w:uiPriority w:val="34"/>
    <w:pPr>
      <w:ind w:firstLine="420" w:firstLineChars="200"/>
    </w:pPr>
    <w:rPr>
      <w:rFonts w:eastAsia="黑体"/>
      <w:bCs/>
      <w:sz w:val="30"/>
      <w:szCs w:val="30"/>
    </w:rPr>
  </w:style>
  <w:style w:type="paragraph" w:customStyle="1" w:styleId="130">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76</Pages>
  <Words>32829</Words>
  <Characters>34974</Characters>
  <Lines>1</Lines>
  <Paragraphs>1</Paragraphs>
  <TotalTime>11</TotalTime>
  <ScaleCrop>false</ScaleCrop>
  <LinksUpToDate>false</LinksUpToDate>
  <CharactersWithSpaces>36803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2021-08-11T02:35:00Z</dcterms:created>
  <dc:creator>Administrator</dc:creator>
  <cp:lastModifiedBy>运营账号</cp:lastModifiedBy>
  <dcterms:modified xsi:type="dcterms:W3CDTF">2023-02-21T09:20:15Z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D26CFFAD1C124D02B1F8DCAF598DB206</vt:lpwstr>
  </property>
</Properties>
</file>