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3776F">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11"/>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2BC36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11C0F02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C40222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6134459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0BE40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B3E80D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085CA25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7198340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7D9A3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A3D2DB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8E7029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38E7C75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1E11060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45861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D73F38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2EF270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D1766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37E1A0C8">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65E5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EEFDFB4">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737B81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37E3EF82">
            <w:pPr>
              <w:rPr>
                <w:rFonts w:hint="eastAsia" w:ascii="宋体" w:hAnsi="宋体" w:eastAsia="宋体" w:cs="宋体"/>
                <w:highlight w:val="none"/>
              </w:rPr>
            </w:pPr>
            <w:r>
              <w:rPr>
                <w:rFonts w:hint="eastAsia" w:ascii="宋体" w:hAnsi="宋体" w:eastAsia="宋体" w:cs="宋体"/>
                <w:highlight w:val="none"/>
              </w:rPr>
              <w:t>1、报价具体要求</w:t>
            </w:r>
          </w:p>
          <w:p w14:paraId="2103FC3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0950B7F0">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4646F2">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2DB9D1B3">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720592C9">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w:t>
            </w:r>
            <w:r>
              <w:rPr>
                <w:rFonts w:hint="eastAsia" w:ascii="宋体" w:hAnsi="宋体" w:cs="宋体"/>
                <w:highlight w:val="none"/>
                <w:lang w:val="en-US" w:eastAsia="zh-CN"/>
              </w:rPr>
              <w:t>八</w:t>
            </w:r>
            <w:r>
              <w:rPr>
                <w:rFonts w:hint="eastAsia" w:ascii="宋体" w:hAnsi="宋体" w:eastAsia="宋体" w:cs="宋体"/>
                <w:highlight w:val="none"/>
              </w:rPr>
              <w:t>、报价</w:t>
            </w:r>
            <w:r>
              <w:rPr>
                <w:rFonts w:hint="eastAsia" w:ascii="宋体" w:hAnsi="宋体" w:cs="宋体"/>
                <w:highlight w:val="none"/>
                <w:lang w:val="en-US" w:eastAsia="zh-CN"/>
              </w:rPr>
              <w:t>函</w:t>
            </w:r>
            <w:r>
              <w:rPr>
                <w:rFonts w:hint="eastAsia" w:ascii="宋体" w:hAnsi="宋体" w:eastAsia="宋体" w:cs="宋体"/>
                <w:highlight w:val="none"/>
              </w:rPr>
              <w:t>》。</w:t>
            </w:r>
          </w:p>
          <w:p w14:paraId="4960EF6F">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4E11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07547A">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7D09577E">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4F72182B">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024719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237509F7">
            <w:pPr>
              <w:pStyle w:val="6"/>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C0B07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55FC0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2CF6AD2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3F53C0F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80F2EB">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447265557"/>
      <w:bookmarkStart w:id="1" w:name="_Toc26678"/>
      <w:bookmarkStart w:id="2" w:name="_Toc447265271"/>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0E64D712">
      <w:pPr>
        <w:pStyle w:val="14"/>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1"/>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792D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85FE59">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505CA5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850905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2AC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46ABF11">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491FCF6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5597062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62B0A02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449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3CA4852">
            <w:pPr>
              <w:snapToGrid w:val="0"/>
              <w:jc w:val="center"/>
              <w:rPr>
                <w:rFonts w:hint="eastAsia" w:ascii="宋体" w:hAnsi="宋体" w:eastAsia="宋体" w:cs="宋体"/>
                <w:sz w:val="21"/>
                <w:szCs w:val="21"/>
                <w:highlight w:val="none"/>
              </w:rPr>
            </w:pPr>
          </w:p>
        </w:tc>
        <w:tc>
          <w:tcPr>
            <w:tcW w:w="609" w:type="pct"/>
            <w:vMerge w:val="continue"/>
          </w:tcPr>
          <w:p w14:paraId="663270C7">
            <w:pPr>
              <w:snapToGrid w:val="0"/>
              <w:jc w:val="center"/>
              <w:rPr>
                <w:rFonts w:hint="eastAsia" w:ascii="宋体" w:hAnsi="宋体" w:eastAsia="宋体" w:cs="宋体"/>
                <w:sz w:val="21"/>
                <w:szCs w:val="21"/>
                <w:highlight w:val="none"/>
              </w:rPr>
            </w:pPr>
          </w:p>
        </w:tc>
        <w:tc>
          <w:tcPr>
            <w:tcW w:w="1289" w:type="pct"/>
            <w:vAlign w:val="center"/>
          </w:tcPr>
          <w:p w14:paraId="60B50F88">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71BAA687">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61D5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EDBBC84">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9B83F24">
            <w:pPr>
              <w:snapToGrid w:val="0"/>
              <w:jc w:val="center"/>
              <w:rPr>
                <w:rFonts w:hint="eastAsia" w:ascii="宋体" w:hAnsi="宋体" w:eastAsia="宋体" w:cs="宋体"/>
                <w:sz w:val="21"/>
                <w:szCs w:val="21"/>
                <w:highlight w:val="none"/>
              </w:rPr>
            </w:pPr>
          </w:p>
        </w:tc>
        <w:tc>
          <w:tcPr>
            <w:tcW w:w="1289" w:type="pct"/>
            <w:vAlign w:val="center"/>
          </w:tcPr>
          <w:p w14:paraId="68C7922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65635672">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7F5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7DF50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3729F94B">
            <w:pPr>
              <w:snapToGrid w:val="0"/>
              <w:jc w:val="center"/>
              <w:rPr>
                <w:rFonts w:hint="eastAsia" w:ascii="宋体" w:hAnsi="宋体" w:eastAsia="宋体" w:cs="宋体"/>
                <w:sz w:val="21"/>
                <w:szCs w:val="21"/>
                <w:highlight w:val="none"/>
              </w:rPr>
            </w:pPr>
          </w:p>
        </w:tc>
        <w:tc>
          <w:tcPr>
            <w:tcW w:w="1289" w:type="pct"/>
          </w:tcPr>
          <w:p w14:paraId="610F40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2E9C96EC">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047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827E70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F6D7131">
            <w:pPr>
              <w:snapToGrid w:val="0"/>
              <w:jc w:val="center"/>
              <w:rPr>
                <w:rFonts w:hint="eastAsia" w:ascii="宋体" w:hAnsi="宋体" w:eastAsia="宋体" w:cs="宋体"/>
                <w:sz w:val="21"/>
                <w:szCs w:val="21"/>
                <w:highlight w:val="none"/>
              </w:rPr>
            </w:pPr>
          </w:p>
        </w:tc>
        <w:tc>
          <w:tcPr>
            <w:tcW w:w="1289" w:type="pct"/>
          </w:tcPr>
          <w:p w14:paraId="7891CCEA">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FB79844">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7C10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C45AC1">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76326B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4544A88">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D136600">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579C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6FC4E3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1EA9D3C">
            <w:pPr>
              <w:snapToGrid w:val="0"/>
              <w:jc w:val="center"/>
              <w:rPr>
                <w:rFonts w:hint="eastAsia" w:ascii="宋体" w:hAnsi="宋体" w:eastAsia="宋体" w:cs="宋体"/>
                <w:sz w:val="21"/>
                <w:szCs w:val="21"/>
                <w:highlight w:val="none"/>
              </w:rPr>
            </w:pPr>
          </w:p>
        </w:tc>
        <w:tc>
          <w:tcPr>
            <w:tcW w:w="1289" w:type="pct"/>
            <w:vAlign w:val="center"/>
          </w:tcPr>
          <w:p w14:paraId="29463E43">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19F5BD50">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68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35E14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A281C4">
            <w:pPr>
              <w:snapToGrid w:val="0"/>
              <w:jc w:val="center"/>
              <w:rPr>
                <w:rFonts w:hint="eastAsia" w:ascii="宋体" w:hAnsi="宋体" w:eastAsia="宋体" w:cs="宋体"/>
                <w:sz w:val="21"/>
                <w:szCs w:val="21"/>
                <w:highlight w:val="none"/>
              </w:rPr>
            </w:pPr>
          </w:p>
        </w:tc>
        <w:tc>
          <w:tcPr>
            <w:tcW w:w="1289" w:type="pct"/>
            <w:vAlign w:val="center"/>
          </w:tcPr>
          <w:p w14:paraId="47E2A924">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4265FF27">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AA2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A1917F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2DB5C2F">
            <w:pPr>
              <w:snapToGrid w:val="0"/>
              <w:jc w:val="center"/>
              <w:rPr>
                <w:rFonts w:hint="eastAsia" w:ascii="宋体" w:hAnsi="宋体" w:eastAsia="宋体" w:cs="宋体"/>
                <w:sz w:val="21"/>
                <w:szCs w:val="21"/>
                <w:highlight w:val="none"/>
              </w:rPr>
            </w:pPr>
          </w:p>
        </w:tc>
        <w:tc>
          <w:tcPr>
            <w:tcW w:w="1289" w:type="pct"/>
            <w:vAlign w:val="center"/>
          </w:tcPr>
          <w:p w14:paraId="2422B4F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0E691728">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24CBB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5E6E677">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1C8ECCAF">
            <w:pPr>
              <w:snapToGrid w:val="0"/>
              <w:jc w:val="center"/>
              <w:rPr>
                <w:rFonts w:hint="eastAsia" w:ascii="宋体" w:hAnsi="宋体" w:eastAsia="宋体" w:cs="宋体"/>
                <w:sz w:val="21"/>
                <w:szCs w:val="21"/>
                <w:highlight w:val="none"/>
              </w:rPr>
            </w:pPr>
          </w:p>
        </w:tc>
        <w:tc>
          <w:tcPr>
            <w:tcW w:w="1289" w:type="pct"/>
            <w:vAlign w:val="center"/>
          </w:tcPr>
          <w:p w14:paraId="1DA6119F">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264378EA">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1C5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6DE11ED9">
            <w:pPr>
              <w:snapToGrid w:val="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综合评分法</w:t>
            </w:r>
          </w:p>
        </w:tc>
        <w:tc>
          <w:tcPr>
            <w:tcW w:w="4498" w:type="pct"/>
            <w:gridSpan w:val="3"/>
            <w:vAlign w:val="center"/>
          </w:tcPr>
          <w:p w14:paraId="47E7D4E7">
            <w:pPr>
              <w:snapToGrid w:val="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本项目采用</w:t>
            </w:r>
            <w:r>
              <w:rPr>
                <w:rFonts w:hint="eastAsia" w:ascii="宋体" w:hAnsi="宋体" w:cs="宋体"/>
                <w:b/>
                <w:bCs/>
                <w:color w:val="000000" w:themeColor="text1"/>
                <w:sz w:val="21"/>
                <w:szCs w:val="21"/>
                <w:highlight w:val="none"/>
                <w:lang w:val="en-US" w:eastAsia="zh-CN"/>
                <w14:textFill>
                  <w14:solidFill>
                    <w14:schemeClr w14:val="tx1"/>
                  </w14:solidFill>
                </w14:textFill>
              </w:rPr>
              <w:t>综合评分法</w:t>
            </w:r>
            <w:r>
              <w:rPr>
                <w:rFonts w:hint="eastAsia" w:ascii="宋体" w:hAnsi="宋体" w:eastAsia="宋体" w:cs="宋体"/>
                <w:color w:val="000000" w:themeColor="text1"/>
                <w:sz w:val="21"/>
                <w:szCs w:val="21"/>
                <w:highlight w:val="none"/>
                <w:lang w:eastAsia="zh-CN"/>
                <w14:textFill>
                  <w14:solidFill>
                    <w14:schemeClr w14:val="tx1"/>
                  </w14:solidFill>
                </w14:textFill>
              </w:rPr>
              <w:t>，即在符合</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采购文件初步评审</w:t>
            </w:r>
            <w:r>
              <w:rPr>
                <w:rFonts w:hint="eastAsia" w:ascii="宋体" w:hAnsi="宋体" w:eastAsia="宋体" w:cs="宋体"/>
                <w:color w:val="000000" w:themeColor="text1"/>
                <w:sz w:val="21"/>
                <w:szCs w:val="21"/>
                <w:highlight w:val="none"/>
                <w:lang w:eastAsia="zh-CN"/>
                <w14:textFill>
                  <w14:solidFill>
                    <w14:schemeClr w14:val="tx1"/>
                  </w14:solidFill>
                </w14:textFill>
              </w:rPr>
              <w:t>相关要求的前提下，由</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小组（</w:t>
            </w:r>
            <w:r>
              <w:rPr>
                <w:rFonts w:hint="eastAsia" w:ascii="宋体" w:hAnsi="宋体" w:eastAsia="宋体" w:cs="宋体"/>
                <w:color w:val="000000" w:themeColor="text1"/>
                <w:sz w:val="21"/>
                <w:szCs w:val="21"/>
                <w:highlight w:val="none"/>
                <w:lang w:val="en-US" w:eastAsia="zh-CN"/>
                <w14:textFill>
                  <w14:solidFill>
                    <w14:schemeClr w14:val="tx1"/>
                  </w14:solidFill>
                </w14:textFill>
              </w:rPr>
              <w:t>由采购人组建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根据</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后附的</w:t>
            </w:r>
            <w:r>
              <w:rPr>
                <w:rFonts w:hint="eastAsia" w:ascii="宋体" w:hAnsi="宋体" w:eastAsia="宋体" w:cs="宋体"/>
                <w:b/>
                <w:bCs/>
                <w:color w:val="000000" w:themeColor="text1"/>
                <w:sz w:val="21"/>
                <w:szCs w:val="21"/>
                <w:highlight w:val="none"/>
                <w:lang w:eastAsia="zh-CN"/>
                <w14:textFill>
                  <w14:solidFill>
                    <w14:schemeClr w14:val="tx1"/>
                  </w14:solidFill>
                </w14:textFill>
              </w:rPr>
              <w:t>评分标准</w:t>
            </w:r>
            <w:r>
              <w:rPr>
                <w:rFonts w:hint="eastAsia" w:ascii="宋体" w:hAnsi="宋体" w:eastAsia="宋体" w:cs="宋体"/>
                <w:color w:val="000000" w:themeColor="text1"/>
                <w:sz w:val="21"/>
                <w:szCs w:val="21"/>
                <w:highlight w:val="none"/>
                <w:lang w:eastAsia="zh-CN"/>
                <w14:textFill>
                  <w14:solidFill>
                    <w14:schemeClr w14:val="tx1"/>
                  </w14:solidFill>
                </w14:textFill>
              </w:rPr>
              <w:t>对各报价商的资质、报价、案例等内容进行评审，得分最高者为中选供应商</w:t>
            </w:r>
            <w:r>
              <w:rPr>
                <w:rFonts w:hint="eastAsia" w:ascii="宋体" w:hAnsi="宋体" w:cs="宋体"/>
                <w:color w:val="000000" w:themeColor="text1"/>
                <w:sz w:val="21"/>
                <w:szCs w:val="21"/>
                <w:highlight w:val="none"/>
                <w:lang w:val="en-US" w:eastAsia="zh-CN"/>
                <w14:textFill>
                  <w14:solidFill>
                    <w14:schemeClr w14:val="tx1"/>
                  </w14:solidFill>
                </w14:textFill>
              </w:rPr>
              <w:t>。</w:t>
            </w:r>
          </w:p>
        </w:tc>
      </w:tr>
    </w:tbl>
    <w:p w14:paraId="10BB91E4">
      <w:pPr>
        <w:pStyle w:val="7"/>
        <w:numPr>
          <w:ilvl w:val="0"/>
          <w:numId w:val="0"/>
        </w:numPr>
        <w:jc w:val="both"/>
        <w:rPr>
          <w:rFonts w:hint="default" w:asciiTheme="minorEastAsia" w:hAnsiTheme="minorEastAsia" w:eastAsiaTheme="minorEastAsia" w:cstheme="minorEastAsia"/>
          <w:b/>
          <w:color w:val="000000" w:themeColor="text1"/>
          <w:sz w:val="21"/>
          <w:szCs w:val="21"/>
          <w:lang w:val="en-US" w:eastAsia="zh-CN"/>
          <w14:textFill>
            <w14:solidFill>
              <w14:schemeClr w14:val="tx1"/>
            </w14:solidFill>
          </w14:textFill>
        </w:rPr>
      </w:pPr>
    </w:p>
    <w:p w14:paraId="04915A7B">
      <w:pPr>
        <w:pStyle w:val="14"/>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sectPr>
          <w:pgSz w:w="11906" w:h="16838"/>
          <w:pgMar w:top="2098" w:right="1587" w:bottom="1984" w:left="1587" w:header="851" w:footer="709" w:gutter="0"/>
          <w:pgNumType w:fmt="decimal"/>
          <w:cols w:space="720" w:num="1"/>
          <w:docGrid w:type="lines" w:linePitch="312" w:charSpace="0"/>
        </w:sectPr>
      </w:pPr>
      <w:bookmarkStart w:id="4" w:name="_Toc474148037"/>
      <w:bookmarkStart w:id="5" w:name="_Toc478566273"/>
      <w:bookmarkStart w:id="6" w:name="_Toc478565718"/>
      <w:bookmarkStart w:id="7" w:name="_Toc478566081"/>
      <w:bookmarkStart w:id="8" w:name="_Toc478566439"/>
      <w:bookmarkStart w:id="9" w:name="_Toc68859970"/>
      <w:bookmarkStart w:id="10" w:name="_Toc20635"/>
    </w:p>
    <w:p w14:paraId="00E59CEE">
      <w:pPr>
        <w:pStyle w:val="14"/>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1B445BD2">
      <w:pPr>
        <w:pStyle w:val="7"/>
        <w:numPr>
          <w:ilvl w:val="0"/>
          <w:numId w:val="3"/>
        </w:numPr>
        <w:spacing w:before="91" w:line="223" w:lineRule="auto"/>
        <w:outlineLvl w:val="1"/>
        <w:rPr>
          <w:rFonts w:hint="eastAsia" w:ascii="仿宋" w:hAnsi="仿宋" w:eastAsia="仿宋" w:cs="仿宋"/>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eastAsia" w:ascii="仿宋" w:hAnsi="仿宋" w:eastAsia="仿宋" w:cs="仿宋"/>
          <w:b w:val="0"/>
          <w:bCs w:val="0"/>
          <w:spacing w:val="-5"/>
          <w:sz w:val="28"/>
          <w:szCs w:val="28"/>
        </w:rPr>
        <w:t>总分为</w:t>
      </w:r>
      <w:r>
        <w:rPr>
          <w:rFonts w:hint="eastAsia" w:ascii="仿宋" w:hAnsi="仿宋" w:eastAsia="仿宋" w:cs="仿宋"/>
          <w:b w:val="0"/>
          <w:bCs w:val="0"/>
          <w:spacing w:val="-37"/>
          <w:sz w:val="28"/>
          <w:szCs w:val="28"/>
        </w:rPr>
        <w:t xml:space="preserve"> </w:t>
      </w:r>
      <w:r>
        <w:rPr>
          <w:rFonts w:hint="eastAsia" w:ascii="仿宋" w:hAnsi="仿宋" w:eastAsia="仿宋" w:cs="仿宋"/>
          <w:b w:val="0"/>
          <w:bCs w:val="0"/>
          <w:spacing w:val="-5"/>
          <w:sz w:val="28"/>
          <w:szCs w:val="28"/>
        </w:rPr>
        <w:t>100</w:t>
      </w:r>
      <w:r>
        <w:rPr>
          <w:rFonts w:hint="eastAsia" w:ascii="仿宋" w:hAnsi="仿宋" w:eastAsia="仿宋" w:cs="仿宋"/>
          <w:b w:val="0"/>
          <w:bCs w:val="0"/>
          <w:spacing w:val="-48"/>
          <w:sz w:val="28"/>
          <w:szCs w:val="28"/>
        </w:rPr>
        <w:t xml:space="preserve"> </w:t>
      </w:r>
      <w:r>
        <w:rPr>
          <w:rFonts w:hint="eastAsia" w:ascii="仿宋" w:hAnsi="仿宋" w:eastAsia="仿宋" w:cs="仿宋"/>
          <w:b w:val="0"/>
          <w:bCs w:val="0"/>
          <w:spacing w:val="-5"/>
          <w:sz w:val="28"/>
          <w:szCs w:val="28"/>
        </w:rPr>
        <w:t>分，</w:t>
      </w:r>
      <w:r>
        <w:rPr>
          <w:rFonts w:hint="eastAsia" w:ascii="仿宋" w:hAnsi="仿宋" w:eastAsia="仿宋" w:cs="仿宋"/>
          <w:spacing w:val="-5"/>
          <w:sz w:val="28"/>
          <w:szCs w:val="28"/>
        </w:rPr>
        <w:t>评分分值分配如下：</w:t>
      </w:r>
    </w:p>
    <w:tbl>
      <w:tblPr>
        <w:tblStyle w:val="12"/>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781A5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07FE0BC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595658B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6533CB0E">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3FA0E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D695435">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商务审查</w:t>
            </w:r>
          </w:p>
        </w:tc>
        <w:tc>
          <w:tcPr>
            <w:tcW w:w="3091" w:type="dxa"/>
            <w:vAlign w:val="center"/>
          </w:tcPr>
          <w:p w14:paraId="6774334E">
            <w:pPr>
              <w:autoSpaceDE w:val="0"/>
              <w:autoSpaceDN w:val="0"/>
              <w:spacing w:before="93" w:beforeLines="30" w:after="93" w:afterLines="30"/>
              <w:jc w:val="center"/>
              <w:rPr>
                <w:rFonts w:hint="default" w:ascii="仿宋" w:hAnsi="仿宋" w:eastAsia="仿宋" w:cs="宋体"/>
                <w:b/>
                <w:color w:val="auto"/>
                <w:szCs w:val="21"/>
                <w:highlight w:val="none"/>
                <w:lang w:val="en-US"/>
              </w:rPr>
            </w:pPr>
            <w:r>
              <w:rPr>
                <w:rFonts w:hint="eastAsia" w:ascii="仿宋" w:hAnsi="仿宋" w:eastAsia="仿宋" w:cs="宋体"/>
                <w:b/>
                <w:color w:val="auto"/>
                <w:szCs w:val="21"/>
                <w:highlight w:val="none"/>
                <w:lang w:val="en-US" w:eastAsia="zh-CN"/>
              </w:rPr>
              <w:t>26</w:t>
            </w:r>
          </w:p>
        </w:tc>
        <w:tc>
          <w:tcPr>
            <w:tcW w:w="3091" w:type="dxa"/>
            <w:vMerge w:val="restart"/>
          </w:tcPr>
          <w:p w14:paraId="0294417B">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本项目商务部分设置评分基准线。若投标人的商务评分低于基准线，其投标应答将被视为存在重大商务技术偏差，则</w:t>
            </w:r>
            <w:r>
              <w:rPr>
                <w:rFonts w:hint="eastAsia" w:ascii="仿宋" w:hAnsi="仿宋" w:eastAsia="仿宋" w:cs="宋体"/>
                <w:b/>
                <w:color w:val="auto"/>
                <w:szCs w:val="21"/>
                <w:highlight w:val="none"/>
                <w:lang w:val="en-US" w:eastAsia="zh-CN"/>
              </w:rPr>
              <w:t>报价</w:t>
            </w:r>
            <w:r>
              <w:rPr>
                <w:rFonts w:hint="eastAsia" w:ascii="仿宋" w:hAnsi="仿宋" w:eastAsia="仿宋" w:cs="宋体"/>
                <w:b/>
                <w:color w:val="auto"/>
                <w:szCs w:val="21"/>
                <w:highlight w:val="none"/>
              </w:rPr>
              <w:t>无效，不进入技术部分评审。</w:t>
            </w:r>
          </w:p>
          <w:p w14:paraId="51AEB945">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商务评分基准线</w:t>
            </w:r>
            <w:r>
              <w:rPr>
                <w:rFonts w:hint="eastAsia" w:ascii="仿宋" w:hAnsi="仿宋" w:eastAsia="仿宋" w:cs="宋体"/>
                <w:b/>
                <w:color w:val="auto"/>
                <w:szCs w:val="21"/>
                <w:highlight w:val="none"/>
                <w:lang w:val="en-US" w:eastAsia="zh-CN"/>
              </w:rPr>
              <w:t>=</w:t>
            </w:r>
            <w:r>
              <w:rPr>
                <w:rFonts w:hint="eastAsia" w:ascii="仿宋" w:hAnsi="仿宋" w:eastAsia="仿宋" w:cs="宋体"/>
                <w:b/>
                <w:color w:val="auto"/>
                <w:szCs w:val="21"/>
                <w:highlight w:val="none"/>
              </w:rPr>
              <w:t>本项目商务部分分值×60%（即</w:t>
            </w:r>
            <w:r>
              <w:rPr>
                <w:rFonts w:hint="eastAsia" w:ascii="仿宋" w:hAnsi="仿宋" w:eastAsia="仿宋" w:cs="宋体"/>
                <w:b/>
                <w:color w:val="auto"/>
                <w:szCs w:val="21"/>
                <w:highlight w:val="none"/>
                <w:lang w:val="en-US" w:eastAsia="zh-CN"/>
              </w:rPr>
              <w:t>26</w:t>
            </w:r>
            <w:r>
              <w:rPr>
                <w:rFonts w:hint="eastAsia" w:ascii="仿宋" w:hAnsi="仿宋" w:eastAsia="仿宋" w:cs="宋体"/>
                <w:b/>
                <w:color w:val="auto"/>
                <w:szCs w:val="21"/>
                <w:highlight w:val="none"/>
              </w:rPr>
              <w:t>×60%=</w:t>
            </w:r>
            <w:r>
              <w:rPr>
                <w:rFonts w:hint="eastAsia" w:ascii="仿宋" w:hAnsi="仿宋" w:eastAsia="仿宋" w:cs="宋体"/>
                <w:b/>
                <w:color w:val="auto"/>
                <w:szCs w:val="21"/>
                <w:highlight w:val="none"/>
                <w:lang w:val="en-US" w:eastAsia="zh-CN"/>
              </w:rPr>
              <w:t>15.6</w:t>
            </w:r>
            <w:r>
              <w:rPr>
                <w:rFonts w:hint="eastAsia" w:ascii="仿宋" w:hAnsi="仿宋" w:eastAsia="仿宋" w:cs="宋体"/>
                <w:b/>
                <w:color w:val="auto"/>
                <w:szCs w:val="21"/>
                <w:highlight w:val="none"/>
              </w:rPr>
              <w:t>分）</w:t>
            </w:r>
          </w:p>
        </w:tc>
      </w:tr>
      <w:tr w14:paraId="51A5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020E05C5">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技术审查</w:t>
            </w:r>
          </w:p>
        </w:tc>
        <w:tc>
          <w:tcPr>
            <w:tcW w:w="3091" w:type="dxa"/>
            <w:vAlign w:val="center"/>
          </w:tcPr>
          <w:p w14:paraId="1FA42599">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54</w:t>
            </w:r>
          </w:p>
        </w:tc>
        <w:tc>
          <w:tcPr>
            <w:tcW w:w="3091" w:type="dxa"/>
            <w:vMerge w:val="continue"/>
          </w:tcPr>
          <w:p w14:paraId="558B396E">
            <w:pPr>
              <w:autoSpaceDE w:val="0"/>
              <w:autoSpaceDN w:val="0"/>
              <w:spacing w:before="93" w:beforeLines="30" w:after="93" w:afterLines="30"/>
              <w:jc w:val="center"/>
              <w:rPr>
                <w:rFonts w:hint="eastAsia" w:ascii="仿宋" w:hAnsi="仿宋" w:eastAsia="仿宋" w:cs="宋体"/>
                <w:b/>
                <w:color w:val="auto"/>
                <w:szCs w:val="21"/>
                <w:highlight w:val="none"/>
              </w:rPr>
            </w:pPr>
          </w:p>
        </w:tc>
      </w:tr>
      <w:tr w14:paraId="500A0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1E4EFC6B">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价格评审</w:t>
            </w:r>
          </w:p>
        </w:tc>
        <w:tc>
          <w:tcPr>
            <w:tcW w:w="3091" w:type="dxa"/>
            <w:vAlign w:val="center"/>
          </w:tcPr>
          <w:p w14:paraId="26B4C99B">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20</w:t>
            </w:r>
          </w:p>
        </w:tc>
        <w:tc>
          <w:tcPr>
            <w:tcW w:w="3091" w:type="dxa"/>
            <w:vMerge w:val="continue"/>
          </w:tcPr>
          <w:p w14:paraId="2CE2923B">
            <w:pPr>
              <w:autoSpaceDE w:val="0"/>
              <w:autoSpaceDN w:val="0"/>
              <w:spacing w:before="93" w:beforeLines="30" w:after="93" w:afterLines="30"/>
              <w:jc w:val="center"/>
              <w:rPr>
                <w:rFonts w:hint="eastAsia" w:ascii="仿宋" w:hAnsi="仿宋" w:eastAsia="仿宋" w:cs="宋体"/>
                <w:b/>
                <w:color w:val="auto"/>
                <w:szCs w:val="21"/>
                <w:highlight w:val="none"/>
              </w:rPr>
            </w:pPr>
          </w:p>
        </w:tc>
      </w:tr>
      <w:tr w14:paraId="50AD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12191DE3">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总和</w:t>
            </w:r>
          </w:p>
        </w:tc>
        <w:tc>
          <w:tcPr>
            <w:tcW w:w="3091" w:type="dxa"/>
            <w:vAlign w:val="center"/>
          </w:tcPr>
          <w:p w14:paraId="6B3B5B42">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100</w:t>
            </w:r>
          </w:p>
        </w:tc>
        <w:tc>
          <w:tcPr>
            <w:tcW w:w="3091" w:type="dxa"/>
            <w:vMerge w:val="continue"/>
          </w:tcPr>
          <w:p w14:paraId="352B8F19">
            <w:pPr>
              <w:autoSpaceDE w:val="0"/>
              <w:autoSpaceDN w:val="0"/>
              <w:spacing w:before="93" w:beforeLines="30" w:after="93" w:afterLines="30"/>
              <w:jc w:val="center"/>
              <w:rPr>
                <w:rFonts w:hint="eastAsia" w:ascii="仿宋" w:hAnsi="仿宋" w:eastAsia="仿宋" w:cs="宋体"/>
                <w:b/>
                <w:color w:val="auto"/>
                <w:szCs w:val="21"/>
                <w:highlight w:val="none"/>
              </w:rPr>
            </w:pPr>
          </w:p>
        </w:tc>
      </w:tr>
    </w:tbl>
    <w:p w14:paraId="2DDB62A4">
      <w:pPr>
        <w:pStyle w:val="7"/>
        <w:numPr>
          <w:ilvl w:val="0"/>
          <w:numId w:val="3"/>
        </w:numPr>
        <w:spacing w:before="91" w:line="223" w:lineRule="auto"/>
        <w:ind w:left="0" w:leftChars="0" w:firstLine="0" w:firstLineChars="0"/>
        <w:outlineLvl w:val="1"/>
        <w:rPr>
          <w:rFonts w:hint="eastAsia" w:ascii="仿宋" w:hAnsi="仿宋" w:eastAsia="仿宋" w:cs="仿宋"/>
          <w:color w:val="auto"/>
          <w:spacing w:val="-3"/>
          <w:sz w:val="28"/>
          <w:szCs w:val="28"/>
          <w:highlight w:val="none"/>
          <w:lang w:eastAsia="zh-CN"/>
          <w14:textOutline w14:w="5103" w14:cap="sq" w14:cmpd="sng">
            <w14:solidFill>
              <w14:srgbClr w14:val="000000"/>
            </w14:solidFill>
            <w14:prstDash w14:val="solid"/>
            <w14:bevel/>
          </w14:textOutline>
        </w:rPr>
      </w:pPr>
      <w:r>
        <w:rPr>
          <w:rFonts w:hint="eastAsia" w:ascii="仿宋" w:hAnsi="仿宋" w:eastAsia="仿宋" w:cs="仿宋"/>
          <w:color w:val="auto"/>
          <w:spacing w:val="-3"/>
          <w:sz w:val="28"/>
          <w:szCs w:val="28"/>
          <w:highlight w:val="none"/>
          <w:lang w:val="en-US" w:eastAsia="zh-CN"/>
          <w14:textOutline w14:w="5103" w14:cap="sq" w14:cmpd="sng">
            <w14:solidFill>
              <w14:srgbClr w14:val="000000"/>
            </w14:solidFill>
            <w14:prstDash w14:val="solid"/>
            <w14:bevel/>
          </w14:textOutline>
        </w:rPr>
        <w:t>商务评分表</w:t>
      </w:r>
      <w:r>
        <w:rPr>
          <w:rFonts w:hint="eastAsia" w:ascii="仿宋" w:hAnsi="仿宋" w:eastAsia="仿宋" w:cs="仿宋"/>
          <w:color w:val="auto"/>
          <w:spacing w:val="-3"/>
          <w:sz w:val="28"/>
          <w:szCs w:val="28"/>
          <w:highlight w:val="none"/>
          <w:lang w:eastAsia="zh-CN"/>
          <w14:textOutline w14:w="5103" w14:cap="sq" w14:cmpd="sng">
            <w14:solidFill>
              <w14:srgbClr w14:val="000000"/>
            </w14:solidFill>
            <w14:prstDash w14:val="solid"/>
            <w14:bevel/>
          </w14:textOutline>
        </w:rPr>
        <w:t>：</w:t>
      </w:r>
    </w:p>
    <w:p w14:paraId="361C096E">
      <w:pPr>
        <w:pStyle w:val="10"/>
        <w:ind w:firstLine="0"/>
        <w:rPr>
          <w:rFonts w:hint="eastAsia" w:ascii="仿宋" w:hAnsi="仿宋" w:eastAsia="仿宋" w:cs="宋体"/>
          <w:b/>
          <w:color w:val="auto"/>
          <w:szCs w:val="21"/>
          <w:highlight w:val="none"/>
        </w:rPr>
      </w:pPr>
    </w:p>
    <w:tbl>
      <w:tblPr>
        <w:tblStyle w:val="12"/>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3780D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4890F0E3">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评分项</w:t>
            </w:r>
          </w:p>
        </w:tc>
        <w:tc>
          <w:tcPr>
            <w:tcW w:w="6184" w:type="dxa"/>
            <w:shd w:val="clear" w:color="auto" w:fill="F1F1F1" w:themeFill="background1" w:themeFillShade="F2"/>
            <w:vAlign w:val="center"/>
          </w:tcPr>
          <w:p w14:paraId="52426034">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权重</w:t>
            </w:r>
          </w:p>
        </w:tc>
      </w:tr>
      <w:tr w14:paraId="40271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03354862">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商务</w:t>
            </w:r>
          </w:p>
        </w:tc>
        <w:tc>
          <w:tcPr>
            <w:tcW w:w="6184" w:type="dxa"/>
            <w:shd w:val="clear" w:color="auto" w:fill="F1F1F1" w:themeFill="background1" w:themeFillShade="F2"/>
            <w:vAlign w:val="center"/>
          </w:tcPr>
          <w:p w14:paraId="089C6AEF">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26</w:t>
            </w:r>
          </w:p>
        </w:tc>
      </w:tr>
      <w:tr w14:paraId="24E0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67F8FA5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序号</w:t>
            </w:r>
          </w:p>
        </w:tc>
        <w:tc>
          <w:tcPr>
            <w:tcW w:w="1068" w:type="dxa"/>
            <w:shd w:val="clear" w:color="auto" w:fill="F1F1F1" w:themeFill="background1" w:themeFillShade="F2"/>
            <w:vAlign w:val="center"/>
          </w:tcPr>
          <w:p w14:paraId="376C05A5">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内容</w:t>
            </w:r>
          </w:p>
        </w:tc>
        <w:tc>
          <w:tcPr>
            <w:tcW w:w="928" w:type="dxa"/>
            <w:shd w:val="clear" w:color="auto" w:fill="F1F1F1" w:themeFill="background1" w:themeFillShade="F2"/>
            <w:vAlign w:val="center"/>
          </w:tcPr>
          <w:p w14:paraId="4A1067E0">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分值</w:t>
            </w:r>
          </w:p>
        </w:tc>
        <w:tc>
          <w:tcPr>
            <w:tcW w:w="6184" w:type="dxa"/>
            <w:shd w:val="clear" w:color="auto" w:fill="F1F1F1" w:themeFill="background1" w:themeFillShade="F2"/>
          </w:tcPr>
          <w:p w14:paraId="70ADACF3">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评分准则</w:t>
            </w:r>
          </w:p>
        </w:tc>
      </w:tr>
      <w:tr w14:paraId="7F26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3CA29967">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w:t>
            </w:r>
          </w:p>
        </w:tc>
        <w:tc>
          <w:tcPr>
            <w:tcW w:w="1068" w:type="dxa"/>
            <w:vAlign w:val="center"/>
          </w:tcPr>
          <w:p w14:paraId="4E9C6943">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企业综合实力</w:t>
            </w:r>
          </w:p>
        </w:tc>
        <w:tc>
          <w:tcPr>
            <w:tcW w:w="928" w:type="dxa"/>
            <w:vAlign w:val="center"/>
          </w:tcPr>
          <w:p w14:paraId="4F5C68B0">
            <w:pPr>
              <w:spacing w:before="93" w:beforeLines="30" w:after="93" w:afterLines="30"/>
              <w:jc w:val="center"/>
              <w:rPr>
                <w:rFonts w:hint="eastAsia"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3</w:t>
            </w:r>
          </w:p>
        </w:tc>
        <w:tc>
          <w:tcPr>
            <w:tcW w:w="6184" w:type="dxa"/>
            <w:vAlign w:val="top"/>
          </w:tcPr>
          <w:p w14:paraId="73659487">
            <w:pPr>
              <w:spacing w:before="93" w:beforeLines="30" w:after="93" w:afterLines="30"/>
              <w:rPr>
                <w:rFonts w:hint="eastAsia"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考察供应商综合实力</w:t>
            </w:r>
          </w:p>
          <w:p w14:paraId="272B5DD3">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管理体系认证证书情况，每具备一项以下认证证书得</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分，本项满分</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rPr>
              <w:t>分。具体如下：</w:t>
            </w:r>
          </w:p>
          <w:p w14:paraId="6C29165F">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、具备有效期内的ISO9001或TL9000质量管理体系认证的；</w:t>
            </w:r>
          </w:p>
          <w:p w14:paraId="0FED6278">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lang w:val="en-US" w:eastAsia="zh-CN"/>
              </w:rPr>
              <w:t>2</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、具备有效期内的ISO45001或OHSAS18001或SA8000职业健康安全管理体系认证的；</w:t>
            </w:r>
          </w:p>
          <w:p w14:paraId="4A2166F5">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、具备有效期内的ISO14001环境管理体系认证的。</w:t>
            </w:r>
          </w:p>
          <w:p w14:paraId="36FE5E94">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注：需提供有效的证书复印件/扫描件作为证明材料，同时提供在全国认证认可信息公共服务平台（http://cx.cnca.cn/）对体系证书的信息查询截图作为评审依据，查询截图显示证书已暂停、失效或撤销的或证明材料不完整的均不得分。</w:t>
            </w:r>
          </w:p>
        </w:tc>
      </w:tr>
      <w:tr w14:paraId="210A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0CFAD4E">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2</w:t>
            </w:r>
          </w:p>
        </w:tc>
        <w:tc>
          <w:tcPr>
            <w:tcW w:w="1068" w:type="dxa"/>
            <w:vAlign w:val="center"/>
          </w:tcPr>
          <w:p w14:paraId="3E3E8C3F">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拟投入服务团队情况</w:t>
            </w:r>
          </w:p>
        </w:tc>
        <w:tc>
          <w:tcPr>
            <w:tcW w:w="928" w:type="dxa"/>
            <w:vAlign w:val="center"/>
          </w:tcPr>
          <w:p w14:paraId="0DD2231C">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15</w:t>
            </w:r>
          </w:p>
        </w:tc>
        <w:tc>
          <w:tcPr>
            <w:tcW w:w="6184" w:type="dxa"/>
            <w:vAlign w:val="center"/>
          </w:tcPr>
          <w:p w14:paraId="2A740617">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考察</w:t>
            </w:r>
            <w:r>
              <w:rPr>
                <w:rFonts w:hint="eastAsia" w:ascii="仿宋" w:hAnsi="仿宋" w:eastAsia="仿宋" w:cs="宋体"/>
                <w:bCs/>
                <w:color w:val="auto"/>
                <w:szCs w:val="21"/>
                <w:highlight w:val="none"/>
                <w:lang w:val="en-US" w:eastAsia="zh-CN"/>
              </w:rPr>
              <w:t>供应商</w:t>
            </w:r>
            <w:r>
              <w:rPr>
                <w:rFonts w:hint="eastAsia" w:ascii="仿宋" w:hAnsi="仿宋" w:eastAsia="仿宋" w:cs="宋体"/>
                <w:bCs/>
                <w:color w:val="auto"/>
                <w:szCs w:val="21"/>
                <w:highlight w:val="none"/>
              </w:rPr>
              <w:t>拟投入到本项目的服务人员情况，具体如下：</w:t>
            </w:r>
          </w:p>
          <w:p w14:paraId="425CF6FC">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1、项目经理情况（</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分）</w:t>
            </w:r>
          </w:p>
          <w:p w14:paraId="45CAC7A6">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按照以下所列标准，根据本项目配置的项目经理情况进行打分，最终累加合计以下2项的得分。具体如下：</w:t>
            </w:r>
          </w:p>
          <w:p w14:paraId="39056846">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（1）具备本科（含）及以上学历的，得</w:t>
            </w:r>
            <w:r>
              <w:rPr>
                <w:rFonts w:hint="eastAsia" w:ascii="仿宋" w:hAnsi="仿宋" w:eastAsia="仿宋" w:cs="宋体"/>
                <w:bCs/>
                <w:color w:val="auto"/>
                <w:szCs w:val="21"/>
                <w:highlight w:val="none"/>
                <w:lang w:val="en-US" w:eastAsia="zh-CN"/>
              </w:rPr>
              <w:t>2.5</w:t>
            </w:r>
            <w:r>
              <w:rPr>
                <w:rFonts w:hint="eastAsia" w:ascii="仿宋" w:hAnsi="仿宋" w:eastAsia="仿宋" w:cs="宋体"/>
                <w:bCs/>
                <w:color w:val="auto"/>
                <w:szCs w:val="21"/>
                <w:highlight w:val="none"/>
              </w:rPr>
              <w:t>分；</w:t>
            </w:r>
          </w:p>
          <w:p w14:paraId="4F04A5BA">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（2）所学专业为</w:t>
            </w:r>
            <w:r>
              <w:rPr>
                <w:rFonts w:hint="eastAsia" w:ascii="仿宋" w:hAnsi="仿宋" w:eastAsia="仿宋" w:cs="宋体"/>
                <w:bCs/>
                <w:color w:val="auto"/>
                <w:szCs w:val="21"/>
                <w:highlight w:val="none"/>
                <w:lang w:val="en-US" w:eastAsia="zh-CN"/>
              </w:rPr>
              <w:t>工商管理、广告、新闻学、设计、新媒体</w:t>
            </w:r>
            <w:r>
              <w:rPr>
                <w:rFonts w:hint="eastAsia" w:ascii="仿宋" w:hAnsi="仿宋" w:eastAsia="仿宋" w:cs="宋体"/>
                <w:bCs/>
                <w:color w:val="auto"/>
                <w:szCs w:val="21"/>
                <w:highlight w:val="none"/>
              </w:rPr>
              <w:t>等相关专业的，得</w:t>
            </w:r>
            <w:r>
              <w:rPr>
                <w:rFonts w:hint="eastAsia" w:ascii="仿宋" w:hAnsi="仿宋" w:eastAsia="仿宋" w:cs="宋体"/>
                <w:bCs/>
                <w:color w:val="auto"/>
                <w:szCs w:val="21"/>
                <w:highlight w:val="none"/>
                <w:lang w:val="en-US" w:eastAsia="zh-CN"/>
              </w:rPr>
              <w:t>2.5</w:t>
            </w:r>
            <w:r>
              <w:rPr>
                <w:rFonts w:hint="eastAsia" w:ascii="仿宋" w:hAnsi="仿宋" w:eastAsia="仿宋" w:cs="宋体"/>
                <w:bCs/>
                <w:color w:val="auto"/>
                <w:szCs w:val="21"/>
                <w:highlight w:val="none"/>
              </w:rPr>
              <w:t>分。</w:t>
            </w:r>
          </w:p>
          <w:p w14:paraId="5B4994BF">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注1：①需提供项目经理的学历证书复印件或学信网查询截图作为证明材料，未提供则不得分。②提供</w:t>
            </w:r>
            <w:r>
              <w:rPr>
                <w:rFonts w:hint="eastAsia" w:ascii="仿宋" w:hAnsi="仿宋" w:eastAsia="仿宋" w:cs="宋体"/>
                <w:b/>
                <w:bCs w:val="0"/>
                <w:color w:val="auto"/>
                <w:szCs w:val="21"/>
                <w:highlight w:val="none"/>
                <w:lang w:val="en-US" w:eastAsia="zh-CN"/>
              </w:rPr>
              <w:t>近半年</w:t>
            </w:r>
            <w:r>
              <w:rPr>
                <w:rFonts w:hint="eastAsia" w:ascii="仿宋" w:hAnsi="仿宋" w:eastAsia="仿宋" w:cs="宋体"/>
                <w:bCs/>
                <w:color w:val="auto"/>
                <w:szCs w:val="21"/>
                <w:highlight w:val="none"/>
              </w:rPr>
              <w:t>以来任意一个月的有效缴纳社保的证明复印件，或单位代缴个人所得税税单等，未提供则不得分。</w:t>
            </w:r>
          </w:p>
          <w:p w14:paraId="25C127F0">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2、其他团队成员情况（</w:t>
            </w:r>
            <w:r>
              <w:rPr>
                <w:rFonts w:hint="eastAsia" w:ascii="仿宋" w:hAnsi="仿宋" w:eastAsia="仿宋" w:cs="宋体"/>
                <w:bCs/>
                <w:color w:val="auto"/>
                <w:szCs w:val="21"/>
                <w:highlight w:val="none"/>
                <w:lang w:val="en-US" w:eastAsia="zh-CN"/>
              </w:rPr>
              <w:t>10</w:t>
            </w:r>
            <w:r>
              <w:rPr>
                <w:rFonts w:hint="eastAsia" w:ascii="仿宋" w:hAnsi="仿宋" w:eastAsia="仿宋" w:cs="宋体"/>
                <w:bCs/>
                <w:color w:val="auto"/>
                <w:szCs w:val="21"/>
                <w:highlight w:val="none"/>
              </w:rPr>
              <w:t>分）</w:t>
            </w:r>
          </w:p>
          <w:p w14:paraId="18D2070A">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按照以下所列标准，根据本项目配置的其他团队成员情况进行打分，最终累加合计以下</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rPr>
              <w:t>项的得分。具体如下：</w:t>
            </w:r>
          </w:p>
          <w:p w14:paraId="0C089AF9">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（1）拟安排的成员架构（除项目</w:t>
            </w:r>
            <w:r>
              <w:rPr>
                <w:rFonts w:hint="eastAsia" w:ascii="仿宋" w:hAnsi="仿宋" w:eastAsia="仿宋" w:cs="宋体"/>
                <w:bCs/>
                <w:color w:val="auto"/>
                <w:szCs w:val="21"/>
                <w:highlight w:val="none"/>
                <w:lang w:val="en-US" w:eastAsia="zh-CN"/>
              </w:rPr>
              <w:t>经理</w:t>
            </w:r>
            <w:r>
              <w:rPr>
                <w:rFonts w:hint="eastAsia" w:ascii="仿宋" w:hAnsi="仿宋" w:eastAsia="仿宋" w:cs="宋体"/>
                <w:bCs/>
                <w:color w:val="auto"/>
                <w:szCs w:val="21"/>
                <w:highlight w:val="none"/>
              </w:rPr>
              <w:t>外</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w:t>
            </w:r>
            <w:r>
              <w:rPr>
                <w:rFonts w:hint="eastAsia" w:ascii="仿宋" w:hAnsi="仿宋" w:eastAsia="仿宋" w:cs="宋体"/>
                <w:bCs/>
                <w:color w:val="auto"/>
                <w:szCs w:val="21"/>
                <w:highlight w:val="none"/>
                <w:lang w:val="en-US" w:eastAsia="zh-Hans"/>
              </w:rPr>
              <w:t>其中</w:t>
            </w:r>
            <w:r>
              <w:rPr>
                <w:rFonts w:hint="eastAsia" w:ascii="仿宋" w:hAnsi="仿宋" w:eastAsia="仿宋" w:cs="宋体"/>
                <w:bCs/>
                <w:color w:val="auto"/>
                <w:szCs w:val="21"/>
                <w:highlight w:val="none"/>
              </w:rPr>
              <w:t>1</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3</w:t>
            </w:r>
            <w:r>
              <w:rPr>
                <w:rFonts w:hint="eastAsia" w:ascii="仿宋" w:hAnsi="仿宋" w:eastAsia="仿宋" w:cs="宋体"/>
                <w:bCs/>
                <w:color w:val="auto"/>
                <w:szCs w:val="21"/>
                <w:highlight w:val="none"/>
                <w:lang w:val="en-US" w:eastAsia="zh-Hans"/>
              </w:rPr>
              <w:t>人</w:t>
            </w:r>
            <w:r>
              <w:rPr>
                <w:rFonts w:hint="eastAsia" w:ascii="仿宋" w:hAnsi="仿宋" w:eastAsia="仿宋" w:cs="宋体"/>
                <w:bCs/>
                <w:color w:val="auto"/>
                <w:szCs w:val="21"/>
                <w:highlight w:val="none"/>
              </w:rPr>
              <w:t>得</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rPr>
              <w:t>分，4</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6</w:t>
            </w:r>
            <w:r>
              <w:rPr>
                <w:rFonts w:hint="eastAsia" w:ascii="仿宋" w:hAnsi="仿宋" w:eastAsia="仿宋" w:cs="宋体"/>
                <w:bCs/>
                <w:color w:val="auto"/>
                <w:szCs w:val="21"/>
                <w:highlight w:val="none"/>
                <w:lang w:val="en-US" w:eastAsia="zh-Hans"/>
              </w:rPr>
              <w:t>人</w:t>
            </w:r>
            <w:r>
              <w:rPr>
                <w:rFonts w:hint="eastAsia" w:ascii="仿宋" w:hAnsi="仿宋" w:eastAsia="仿宋" w:cs="宋体"/>
                <w:bCs/>
                <w:color w:val="auto"/>
                <w:szCs w:val="21"/>
                <w:highlight w:val="none"/>
              </w:rPr>
              <w:t>得</w:t>
            </w:r>
            <w:r>
              <w:rPr>
                <w:rFonts w:hint="eastAsia" w:ascii="仿宋" w:hAnsi="仿宋" w:eastAsia="仿宋" w:cs="宋体"/>
                <w:bCs/>
                <w:color w:val="auto"/>
                <w:szCs w:val="21"/>
                <w:highlight w:val="none"/>
                <w:lang w:val="en-US" w:eastAsia="zh-CN"/>
              </w:rPr>
              <w:t>7</w:t>
            </w:r>
            <w:r>
              <w:rPr>
                <w:rFonts w:hint="eastAsia" w:ascii="仿宋" w:hAnsi="仿宋" w:eastAsia="仿宋" w:cs="宋体"/>
                <w:bCs/>
                <w:color w:val="auto"/>
                <w:szCs w:val="21"/>
                <w:highlight w:val="none"/>
              </w:rPr>
              <w:t>分；</w:t>
            </w:r>
          </w:p>
          <w:p w14:paraId="4C390A80">
            <w:pPr>
              <w:spacing w:before="93" w:beforeLines="30" w:after="93" w:afterLines="30"/>
              <w:rPr>
                <w:rFonts w:hint="eastAsia"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rPr>
              <w:t>（</w:t>
            </w:r>
            <w:r>
              <w:rPr>
                <w:rFonts w:hint="eastAsia" w:ascii="仿宋" w:hAnsi="仿宋" w:eastAsia="仿宋" w:cs="宋体"/>
                <w:bCs/>
                <w:color w:val="auto"/>
                <w:szCs w:val="21"/>
                <w:highlight w:val="none"/>
                <w:lang w:val="en-US" w:eastAsia="zh-CN"/>
              </w:rPr>
              <w:t>2</w:t>
            </w:r>
            <w:r>
              <w:rPr>
                <w:rFonts w:hint="eastAsia" w:ascii="仿宋" w:hAnsi="仿宋" w:eastAsia="仿宋" w:cs="宋体"/>
                <w:bCs/>
                <w:color w:val="auto"/>
                <w:szCs w:val="21"/>
                <w:highlight w:val="none"/>
              </w:rPr>
              <w:t>）团队成员中（除项目</w:t>
            </w:r>
            <w:r>
              <w:rPr>
                <w:rFonts w:hint="eastAsia" w:ascii="仿宋" w:hAnsi="仿宋" w:eastAsia="仿宋" w:cs="宋体"/>
                <w:bCs/>
                <w:color w:val="auto"/>
                <w:szCs w:val="21"/>
                <w:highlight w:val="none"/>
                <w:lang w:val="en-US" w:eastAsia="zh-CN"/>
              </w:rPr>
              <w:t>经理</w:t>
            </w:r>
            <w:r>
              <w:rPr>
                <w:rFonts w:hint="eastAsia" w:ascii="仿宋" w:hAnsi="仿宋" w:eastAsia="仿宋" w:cs="宋体"/>
                <w:bCs/>
                <w:color w:val="auto"/>
                <w:szCs w:val="21"/>
                <w:highlight w:val="none"/>
              </w:rPr>
              <w:t>外</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每</w:t>
            </w:r>
            <w:r>
              <w:rPr>
                <w:rFonts w:hint="eastAsia" w:ascii="仿宋" w:hAnsi="仿宋" w:eastAsia="仿宋" w:cs="宋体"/>
                <w:bCs/>
                <w:color w:val="auto"/>
                <w:szCs w:val="21"/>
                <w:highlight w:val="none"/>
                <w:lang w:eastAsia="zh-CN"/>
              </w:rPr>
              <w:t>有</w:t>
            </w:r>
            <w:r>
              <w:rPr>
                <w:rFonts w:hint="eastAsia" w:ascii="仿宋" w:hAnsi="仿宋" w:eastAsia="仿宋" w:cs="宋体"/>
                <w:bCs/>
                <w:color w:val="auto"/>
                <w:szCs w:val="21"/>
                <w:highlight w:val="none"/>
              </w:rPr>
              <w:t>1名具有</w:t>
            </w:r>
            <w:r>
              <w:rPr>
                <w:rFonts w:hint="eastAsia" w:ascii="仿宋" w:hAnsi="仿宋" w:eastAsia="仿宋" w:cs="宋体"/>
                <w:bCs/>
                <w:color w:val="auto"/>
                <w:szCs w:val="21"/>
                <w:highlight w:val="none"/>
                <w:lang w:val="en-US" w:eastAsia="zh-CN"/>
              </w:rPr>
              <w:t>新闻、</w:t>
            </w:r>
            <w:r>
              <w:rPr>
                <w:rFonts w:hint="eastAsia" w:ascii="仿宋" w:hAnsi="仿宋" w:eastAsia="仿宋" w:cs="宋体"/>
                <w:bCs/>
                <w:color w:val="auto"/>
                <w:szCs w:val="21"/>
                <w:highlight w:val="none"/>
                <w:lang w:val="en-US" w:eastAsia="zh-Hans"/>
              </w:rPr>
              <w:t>广告</w:t>
            </w:r>
            <w:r>
              <w:rPr>
                <w:rFonts w:hint="eastAsia" w:ascii="仿宋" w:hAnsi="仿宋" w:eastAsia="仿宋" w:cs="宋体"/>
                <w:bCs/>
                <w:color w:val="auto"/>
                <w:szCs w:val="21"/>
                <w:highlight w:val="none"/>
                <w:lang w:val="en-US" w:eastAsia="zh-CN"/>
              </w:rPr>
              <w:t>、新媒体、设计、传播学</w:t>
            </w:r>
            <w:r>
              <w:rPr>
                <w:rFonts w:hint="eastAsia" w:ascii="仿宋" w:hAnsi="仿宋" w:eastAsia="仿宋" w:cs="宋体"/>
                <w:bCs/>
                <w:color w:val="auto"/>
                <w:szCs w:val="21"/>
                <w:highlight w:val="none"/>
                <w:lang w:eastAsia="zh-CN"/>
              </w:rPr>
              <w:t>等</w:t>
            </w:r>
            <w:r>
              <w:rPr>
                <w:rFonts w:hint="eastAsia" w:ascii="仿宋" w:hAnsi="仿宋" w:eastAsia="仿宋" w:cs="宋体"/>
                <w:bCs/>
                <w:color w:val="auto"/>
                <w:szCs w:val="21"/>
                <w:highlight w:val="none"/>
                <w:lang w:val="en-US" w:eastAsia="zh-CN"/>
              </w:rPr>
              <w:t>广告</w:t>
            </w:r>
            <w:r>
              <w:rPr>
                <w:rFonts w:hint="eastAsia" w:ascii="仿宋" w:hAnsi="仿宋" w:eastAsia="仿宋" w:cs="宋体"/>
                <w:bCs/>
                <w:color w:val="auto"/>
                <w:szCs w:val="21"/>
                <w:highlight w:val="none"/>
                <w:lang w:eastAsia="zh-CN"/>
              </w:rPr>
              <w:t>相关专业，</w:t>
            </w:r>
            <w:r>
              <w:rPr>
                <w:rFonts w:hint="eastAsia" w:ascii="仿宋" w:hAnsi="仿宋" w:eastAsia="仿宋" w:cs="宋体"/>
                <w:bCs/>
                <w:color w:val="auto"/>
                <w:szCs w:val="21"/>
                <w:highlight w:val="none"/>
              </w:rPr>
              <w:t>以上每提供1个</w:t>
            </w:r>
            <w:r>
              <w:rPr>
                <w:rFonts w:hint="eastAsia" w:ascii="仿宋" w:hAnsi="仿宋" w:eastAsia="仿宋" w:cs="宋体"/>
                <w:bCs/>
                <w:color w:val="auto"/>
                <w:szCs w:val="21"/>
                <w:highlight w:val="none"/>
                <w:lang w:val="en-US" w:eastAsia="zh-CN"/>
              </w:rPr>
              <w:t>证明</w:t>
            </w:r>
            <w:r>
              <w:rPr>
                <w:rFonts w:hint="eastAsia" w:ascii="仿宋" w:hAnsi="仿宋" w:eastAsia="仿宋" w:cs="宋体"/>
                <w:bCs/>
                <w:color w:val="auto"/>
                <w:szCs w:val="21"/>
                <w:highlight w:val="none"/>
              </w:rPr>
              <w:t>得</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分，最高得</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rPr>
              <w:t>分</w:t>
            </w:r>
            <w:r>
              <w:rPr>
                <w:rFonts w:hint="eastAsia" w:ascii="仿宋" w:hAnsi="仿宋" w:eastAsia="仿宋" w:cs="宋体"/>
                <w:bCs/>
                <w:color w:val="auto"/>
                <w:szCs w:val="21"/>
                <w:highlight w:val="none"/>
                <w:lang w:eastAsia="zh-CN"/>
              </w:rPr>
              <w:t>；</w:t>
            </w:r>
          </w:p>
          <w:p w14:paraId="3433A869">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注2：①需提供</w:t>
            </w:r>
            <w:r>
              <w:rPr>
                <w:rFonts w:hint="eastAsia" w:ascii="仿宋" w:hAnsi="仿宋" w:eastAsia="仿宋" w:cs="宋体"/>
                <w:bCs/>
                <w:color w:val="auto"/>
                <w:szCs w:val="21"/>
                <w:highlight w:val="none"/>
                <w:lang w:val="en-US" w:eastAsia="zh-CN"/>
              </w:rPr>
              <w:t>团队成员</w:t>
            </w:r>
            <w:r>
              <w:rPr>
                <w:rFonts w:hint="eastAsia" w:ascii="仿宋" w:hAnsi="仿宋" w:eastAsia="仿宋" w:cs="宋体"/>
                <w:bCs/>
                <w:color w:val="auto"/>
                <w:szCs w:val="21"/>
                <w:highlight w:val="none"/>
              </w:rPr>
              <w:t>的学历证书复印件或学信网查询截图作为证明材料，未提供则不得分。②提供</w:t>
            </w:r>
            <w:r>
              <w:rPr>
                <w:rFonts w:hint="eastAsia" w:ascii="仿宋" w:hAnsi="仿宋" w:eastAsia="仿宋" w:cs="宋体"/>
                <w:bCs/>
                <w:color w:val="auto"/>
                <w:szCs w:val="21"/>
                <w:highlight w:val="none"/>
                <w:lang w:val="en-US" w:eastAsia="zh-CN"/>
              </w:rPr>
              <w:t>近半年以来</w:t>
            </w:r>
            <w:r>
              <w:rPr>
                <w:rFonts w:hint="eastAsia" w:ascii="仿宋" w:hAnsi="仿宋" w:eastAsia="仿宋" w:cs="宋体"/>
                <w:bCs/>
                <w:color w:val="auto"/>
                <w:szCs w:val="21"/>
                <w:highlight w:val="none"/>
              </w:rPr>
              <w:t>任意一个月的有效缴纳社保的证明复印件，或单位代缴个人所得税税单等，未提供则不得分。</w:t>
            </w:r>
          </w:p>
        </w:tc>
      </w:tr>
      <w:tr w14:paraId="1C3A0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577D592">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3</w:t>
            </w:r>
          </w:p>
        </w:tc>
        <w:tc>
          <w:tcPr>
            <w:tcW w:w="1068" w:type="dxa"/>
            <w:vAlign w:val="center"/>
          </w:tcPr>
          <w:p w14:paraId="5D07B627">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同类项目经验</w:t>
            </w:r>
          </w:p>
        </w:tc>
        <w:tc>
          <w:tcPr>
            <w:tcW w:w="928" w:type="dxa"/>
            <w:vAlign w:val="center"/>
          </w:tcPr>
          <w:p w14:paraId="308E9BE9">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8</w:t>
            </w:r>
          </w:p>
        </w:tc>
        <w:tc>
          <w:tcPr>
            <w:tcW w:w="6184" w:type="dxa"/>
            <w:vAlign w:val="center"/>
          </w:tcPr>
          <w:p w14:paraId="7F621F31">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考察</w:t>
            </w:r>
            <w:r>
              <w:rPr>
                <w:rFonts w:hint="eastAsia" w:ascii="仿宋" w:hAnsi="仿宋" w:eastAsia="仿宋" w:cs="宋体"/>
                <w:bCs/>
                <w:color w:val="auto"/>
                <w:szCs w:val="21"/>
                <w:highlight w:val="none"/>
                <w:lang w:val="en-US" w:eastAsia="zh-CN"/>
              </w:rPr>
              <w:t>报价供应商2021年1月1日至本项目投标文件截止之日内（以合同签订日期为准），承接过的同类项目业绩（同类项目指：线上或线下广告执行、展会活动、政务微信公众号运营或代运营、视频制作、营销策划、活动执行等广告相关项目）的业绩情况。</w:t>
            </w:r>
          </w:p>
          <w:p w14:paraId="4EB5E9FC">
            <w:pPr>
              <w:spacing w:before="93" w:beforeLines="30" w:after="93" w:afterLines="30"/>
              <w:rPr>
                <w:rFonts w:hint="eastAsia" w:ascii="仿宋" w:hAnsi="仿宋" w:eastAsia="仿宋" w:cs="宋体"/>
                <w:bCs/>
                <w:color w:val="auto"/>
                <w:szCs w:val="21"/>
                <w:highlight w:val="none"/>
                <w:lang w:eastAsia="zh-CN"/>
              </w:rPr>
            </w:pPr>
            <w:r>
              <w:rPr>
                <w:rFonts w:hint="eastAsia" w:ascii="仿宋" w:hAnsi="仿宋" w:eastAsia="仿宋" w:cs="宋体"/>
                <w:bCs/>
                <w:color w:val="auto"/>
                <w:szCs w:val="21"/>
                <w:highlight w:val="none"/>
              </w:rPr>
              <w:t>投标人每具备一份有效的同类项目业绩，得</w:t>
            </w:r>
            <w:r>
              <w:rPr>
                <w:rFonts w:hint="eastAsia" w:ascii="仿宋" w:hAnsi="仿宋" w:eastAsia="仿宋" w:cs="宋体"/>
                <w:bCs/>
                <w:color w:val="auto"/>
                <w:szCs w:val="21"/>
                <w:highlight w:val="none"/>
                <w:lang w:val="en-US" w:eastAsia="zh-CN"/>
              </w:rPr>
              <w:t>2</w:t>
            </w:r>
            <w:r>
              <w:rPr>
                <w:rFonts w:hint="eastAsia" w:ascii="仿宋" w:hAnsi="仿宋" w:eastAsia="仿宋" w:cs="宋体"/>
                <w:bCs/>
                <w:color w:val="auto"/>
                <w:szCs w:val="21"/>
                <w:highlight w:val="none"/>
              </w:rPr>
              <w:t>分</w:t>
            </w:r>
            <w:r>
              <w:rPr>
                <w:rFonts w:hint="eastAsia" w:ascii="仿宋" w:hAnsi="仿宋" w:eastAsia="仿宋" w:cs="宋体"/>
                <w:bCs/>
                <w:color w:val="auto"/>
                <w:szCs w:val="21"/>
                <w:highlight w:val="none"/>
                <w:lang w:eastAsia="zh-CN"/>
              </w:rPr>
              <w:t>；</w:t>
            </w:r>
          </w:p>
          <w:p w14:paraId="6F0F0409">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本项最高不超过</w:t>
            </w:r>
            <w:r>
              <w:rPr>
                <w:rFonts w:hint="eastAsia" w:ascii="仿宋" w:hAnsi="仿宋" w:eastAsia="仿宋" w:cs="宋体"/>
                <w:bCs/>
                <w:color w:val="auto"/>
                <w:szCs w:val="21"/>
                <w:highlight w:val="none"/>
                <w:lang w:val="en-US" w:eastAsia="zh-CN"/>
              </w:rPr>
              <w:t>8</w:t>
            </w:r>
            <w:r>
              <w:rPr>
                <w:rFonts w:hint="eastAsia" w:ascii="仿宋" w:hAnsi="仿宋" w:eastAsia="仿宋" w:cs="宋体"/>
                <w:bCs/>
                <w:color w:val="auto"/>
                <w:szCs w:val="21"/>
                <w:highlight w:val="none"/>
              </w:rPr>
              <w:t>分。</w:t>
            </w:r>
          </w:p>
          <w:p w14:paraId="17AC934B">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color w:val="auto"/>
                <w:szCs w:val="21"/>
                <w:highlight w:val="none"/>
                <w:lang w:val="en-US" w:eastAsia="zh-CN"/>
              </w:rPr>
              <w:t>项目小组</w:t>
            </w:r>
            <w:r>
              <w:rPr>
                <w:rFonts w:hint="eastAsia" w:ascii="仿宋" w:hAnsi="仿宋" w:eastAsia="仿宋" w:cs="宋体"/>
                <w:bCs/>
                <w:color w:val="auto"/>
                <w:szCs w:val="21"/>
                <w:highlight w:val="none"/>
              </w:rPr>
              <w:t>无法确定业绩关键信息的将不予认可。</w:t>
            </w:r>
          </w:p>
        </w:tc>
      </w:tr>
    </w:tbl>
    <w:p w14:paraId="51F4A8D3">
      <w:pPr>
        <w:rPr>
          <w:highlight w:val="none"/>
        </w:rPr>
      </w:pPr>
    </w:p>
    <w:p w14:paraId="7CF97128">
      <w:pPr>
        <w:pStyle w:val="10"/>
        <w:ind w:firstLine="0"/>
        <w:rPr>
          <w:highlight w:val="none"/>
        </w:rPr>
      </w:pPr>
    </w:p>
    <w:p w14:paraId="4324EB98">
      <w:pPr>
        <w:pStyle w:val="7"/>
        <w:numPr>
          <w:ilvl w:val="0"/>
          <w:numId w:val="3"/>
        </w:numPr>
        <w:spacing w:before="91" w:line="223" w:lineRule="auto"/>
        <w:ind w:left="0" w:leftChars="0" w:firstLine="0" w:firstLineChars="0"/>
        <w:outlineLvl w:val="1"/>
        <w:rPr>
          <w:rFonts w:hint="eastAsia" w:ascii="仿宋" w:hAnsi="仿宋" w:eastAsia="仿宋" w:cs="仿宋"/>
          <w:color w:val="auto"/>
          <w:spacing w:val="-3"/>
          <w:sz w:val="28"/>
          <w:szCs w:val="28"/>
          <w:highlight w:val="none"/>
          <w:lang w:eastAsia="zh-CN"/>
          <w14:textOutline w14:w="5103" w14:cap="sq" w14:cmpd="sng">
            <w14:solidFill>
              <w14:srgbClr w14:val="000000"/>
            </w14:solidFill>
            <w14:prstDash w14:val="solid"/>
            <w14:bevel/>
          </w14:textOutline>
        </w:rPr>
      </w:pPr>
      <w:r>
        <w:rPr>
          <w:rFonts w:hint="eastAsia" w:ascii="仿宋" w:hAnsi="仿宋" w:eastAsia="仿宋" w:cs="仿宋"/>
          <w:color w:val="auto"/>
          <w:spacing w:val="-3"/>
          <w:sz w:val="28"/>
          <w:szCs w:val="28"/>
          <w:highlight w:val="none"/>
          <w:lang w:val="en-US" w:eastAsia="zh-CN"/>
          <w14:textOutline w14:w="5103" w14:cap="sq" w14:cmpd="sng">
            <w14:solidFill>
              <w14:srgbClr w14:val="000000"/>
            </w14:solidFill>
            <w14:prstDash w14:val="solid"/>
            <w14:bevel/>
          </w14:textOutline>
        </w:rPr>
        <w:t>技术评分表</w:t>
      </w:r>
      <w:r>
        <w:rPr>
          <w:rFonts w:hint="eastAsia" w:ascii="仿宋" w:hAnsi="仿宋" w:eastAsia="仿宋" w:cs="仿宋"/>
          <w:color w:val="auto"/>
          <w:spacing w:val="-3"/>
          <w:sz w:val="28"/>
          <w:szCs w:val="28"/>
          <w:highlight w:val="none"/>
          <w:lang w:eastAsia="zh-CN"/>
          <w14:textOutline w14:w="5103" w14:cap="sq" w14:cmpd="sng">
            <w14:solidFill>
              <w14:srgbClr w14:val="000000"/>
            </w14:solidFill>
            <w14:prstDash w14:val="solid"/>
            <w14:bevel/>
          </w14:textOutline>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207CC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B2ABDA4">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评分项</w:t>
            </w:r>
          </w:p>
        </w:tc>
        <w:tc>
          <w:tcPr>
            <w:tcW w:w="6135" w:type="dxa"/>
            <w:shd w:val="clear" w:color="auto" w:fill="F1F1F1" w:themeFill="background1" w:themeFillShade="F2"/>
            <w:vAlign w:val="center"/>
          </w:tcPr>
          <w:p w14:paraId="39201B23">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权重</w:t>
            </w:r>
          </w:p>
        </w:tc>
      </w:tr>
      <w:tr w14:paraId="64E2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B57D323">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技术</w:t>
            </w:r>
          </w:p>
        </w:tc>
        <w:tc>
          <w:tcPr>
            <w:tcW w:w="6135" w:type="dxa"/>
            <w:shd w:val="clear" w:color="auto" w:fill="F1F1F1" w:themeFill="background1" w:themeFillShade="F2"/>
            <w:vAlign w:val="center"/>
          </w:tcPr>
          <w:p w14:paraId="00D90D61">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54</w:t>
            </w:r>
          </w:p>
        </w:tc>
      </w:tr>
      <w:tr w14:paraId="2D2C9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4794295E">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序号</w:t>
            </w:r>
          </w:p>
        </w:tc>
        <w:tc>
          <w:tcPr>
            <w:tcW w:w="1134" w:type="dxa"/>
            <w:shd w:val="clear" w:color="auto" w:fill="F1F1F1" w:themeFill="background1" w:themeFillShade="F2"/>
            <w:vAlign w:val="center"/>
          </w:tcPr>
          <w:p w14:paraId="7C7C7105">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内容</w:t>
            </w:r>
          </w:p>
        </w:tc>
        <w:tc>
          <w:tcPr>
            <w:tcW w:w="851" w:type="dxa"/>
            <w:shd w:val="clear" w:color="auto" w:fill="F1F1F1" w:themeFill="background1" w:themeFillShade="F2"/>
            <w:vAlign w:val="center"/>
          </w:tcPr>
          <w:p w14:paraId="62F0CF9B">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分值</w:t>
            </w:r>
          </w:p>
        </w:tc>
        <w:tc>
          <w:tcPr>
            <w:tcW w:w="6135" w:type="dxa"/>
            <w:shd w:val="clear" w:color="auto" w:fill="F1F1F1" w:themeFill="background1" w:themeFillShade="F2"/>
          </w:tcPr>
          <w:p w14:paraId="7DC285A3">
            <w:pPr>
              <w:autoSpaceDE w:val="0"/>
              <w:autoSpaceDN w:val="0"/>
              <w:spacing w:before="93" w:beforeLines="30" w:after="93" w:afterLines="30"/>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评分准则</w:t>
            </w:r>
          </w:p>
        </w:tc>
      </w:tr>
      <w:tr w14:paraId="1BBE1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52F0FE16">
            <w:pPr>
              <w:autoSpaceDE w:val="0"/>
              <w:autoSpaceDN w:val="0"/>
              <w:spacing w:before="93" w:beforeLines="30" w:after="93" w:afterLines="30"/>
              <w:jc w:val="center"/>
              <w:rPr>
                <w:rFonts w:ascii="仿宋" w:hAnsi="仿宋" w:eastAsia="仿宋" w:cs="宋体"/>
                <w:bCs/>
                <w:color w:val="auto"/>
                <w:szCs w:val="21"/>
                <w:highlight w:val="none"/>
              </w:rPr>
            </w:pPr>
            <w:bookmarkStart w:id="11" w:name="_Hlk164272136"/>
            <w:r>
              <w:rPr>
                <w:rFonts w:ascii="仿宋" w:hAnsi="仿宋" w:eastAsia="仿宋" w:cs="宋体"/>
                <w:bCs/>
                <w:color w:val="auto"/>
                <w:szCs w:val="21"/>
                <w:highlight w:val="none"/>
              </w:rPr>
              <w:t>1</w:t>
            </w:r>
          </w:p>
        </w:tc>
        <w:tc>
          <w:tcPr>
            <w:tcW w:w="1134" w:type="dxa"/>
            <w:shd w:val="clear" w:color="auto" w:fill="auto"/>
            <w:vAlign w:val="center"/>
          </w:tcPr>
          <w:p w14:paraId="13741850">
            <w:pPr>
              <w:autoSpaceDE w:val="0"/>
              <w:autoSpaceDN w:val="0"/>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项目实施方案</w:t>
            </w:r>
          </w:p>
        </w:tc>
        <w:tc>
          <w:tcPr>
            <w:tcW w:w="851" w:type="dxa"/>
            <w:shd w:val="clear" w:color="auto" w:fill="auto"/>
            <w:vAlign w:val="center"/>
          </w:tcPr>
          <w:p w14:paraId="79081EDD">
            <w:pPr>
              <w:autoSpaceDE w:val="0"/>
              <w:autoSpaceDN w:val="0"/>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30</w:t>
            </w:r>
          </w:p>
        </w:tc>
        <w:tc>
          <w:tcPr>
            <w:tcW w:w="6135" w:type="dxa"/>
            <w:shd w:val="clear" w:color="auto" w:fill="auto"/>
            <w:vAlign w:val="center"/>
          </w:tcPr>
          <w:p w14:paraId="548A7236">
            <w:pPr>
              <w:autoSpaceDE w:val="0"/>
              <w:autoSpaceDN w:val="0"/>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考察</w:t>
            </w:r>
            <w:r>
              <w:rPr>
                <w:rFonts w:hint="eastAsia" w:ascii="仿宋" w:hAnsi="仿宋" w:eastAsia="仿宋" w:cs="宋体"/>
                <w:bCs/>
                <w:color w:val="auto"/>
                <w:szCs w:val="21"/>
                <w:highlight w:val="none"/>
                <w:lang w:val="en-US" w:eastAsia="zh-CN"/>
              </w:rPr>
              <w:t>报价供应商</w:t>
            </w:r>
            <w:r>
              <w:rPr>
                <w:rFonts w:hint="eastAsia" w:ascii="仿宋" w:hAnsi="仿宋" w:eastAsia="仿宋" w:cs="宋体"/>
                <w:bCs/>
                <w:color w:val="auto"/>
                <w:szCs w:val="21"/>
                <w:highlight w:val="none"/>
              </w:rPr>
              <w:t>针对本项目</w:t>
            </w:r>
            <w:r>
              <w:rPr>
                <w:rFonts w:hint="eastAsia" w:ascii="仿宋" w:hAnsi="仿宋" w:eastAsia="仿宋" w:cs="宋体"/>
                <w:bCs/>
                <w:color w:val="auto"/>
                <w:szCs w:val="21"/>
                <w:highlight w:val="none"/>
                <w:lang w:val="en-US" w:eastAsia="zh-CN"/>
              </w:rPr>
              <w:t>需求</w:t>
            </w:r>
            <w:r>
              <w:rPr>
                <w:rFonts w:hint="eastAsia" w:ascii="仿宋" w:hAnsi="仿宋" w:eastAsia="仿宋" w:cs="宋体"/>
                <w:bCs/>
                <w:color w:val="auto"/>
                <w:szCs w:val="21"/>
                <w:highlight w:val="none"/>
              </w:rPr>
              <w:t>所编写的技术实施方案情况。技术实施方案包括但不限于</w:t>
            </w:r>
            <w:r>
              <w:rPr>
                <w:rFonts w:hint="eastAsia" w:ascii="仿宋" w:hAnsi="仿宋" w:eastAsia="仿宋" w:cs="宋体"/>
                <w:b w:val="0"/>
                <w:bCs/>
                <w:color w:val="auto"/>
                <w:szCs w:val="21"/>
                <w:highlight w:val="none"/>
                <w:lang w:val="en-US" w:eastAsia="zh-CN"/>
              </w:rPr>
              <w:t>项目服务组织措施、响应措施、质量保障、</w:t>
            </w:r>
            <w:r>
              <w:rPr>
                <w:rFonts w:hint="eastAsia" w:ascii="仿宋" w:hAnsi="仿宋" w:eastAsia="仿宋" w:cs="宋体"/>
                <w:b w:val="0"/>
                <w:bCs/>
                <w:color w:val="auto"/>
                <w:szCs w:val="21"/>
                <w:highlight w:val="none"/>
              </w:rPr>
              <w:t>项目保密措施、应急保障措施等</w:t>
            </w:r>
            <w:r>
              <w:rPr>
                <w:rFonts w:hint="eastAsia" w:ascii="仿宋" w:hAnsi="仿宋" w:eastAsia="仿宋" w:cs="宋体"/>
                <w:b w:val="0"/>
                <w:bCs/>
                <w:color w:val="auto"/>
                <w:szCs w:val="21"/>
                <w:highlight w:val="none"/>
                <w:lang w:val="en-US" w:eastAsia="zh-CN"/>
              </w:rPr>
              <w:t>有关</w:t>
            </w:r>
            <w:r>
              <w:rPr>
                <w:rFonts w:hint="eastAsia" w:ascii="仿宋" w:hAnsi="仿宋" w:eastAsia="仿宋" w:cs="宋体"/>
                <w:b w:val="0"/>
                <w:bCs/>
                <w:color w:val="auto"/>
                <w:szCs w:val="21"/>
                <w:highlight w:val="none"/>
              </w:rPr>
              <w:t>内容</w:t>
            </w:r>
            <w:r>
              <w:rPr>
                <w:rFonts w:hint="eastAsia" w:ascii="仿宋" w:hAnsi="仿宋" w:eastAsia="仿宋" w:cs="宋体"/>
                <w:bCs/>
                <w:color w:val="auto"/>
                <w:szCs w:val="21"/>
                <w:highlight w:val="none"/>
              </w:rPr>
              <w:t>。根据上述内容要点进行综合评分，具体如下：</w:t>
            </w:r>
          </w:p>
          <w:p w14:paraId="60745125">
            <w:pPr>
              <w:autoSpaceDE w:val="0"/>
              <w:autoSpaceDN w:val="0"/>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1、实施方案规划详细、科学合理、契合实际情况，符合项目进度要求，项目管理架构清晰，可行性较高，得</w:t>
            </w:r>
            <w:r>
              <w:rPr>
                <w:rFonts w:hint="eastAsia" w:ascii="仿宋" w:hAnsi="仿宋" w:eastAsia="仿宋" w:cs="宋体"/>
                <w:bCs/>
                <w:color w:val="auto"/>
                <w:szCs w:val="21"/>
                <w:highlight w:val="none"/>
                <w:lang w:val="en-US" w:eastAsia="zh-CN"/>
              </w:rPr>
              <w:t>21-30</w:t>
            </w:r>
            <w:r>
              <w:rPr>
                <w:rFonts w:hint="eastAsia" w:ascii="仿宋" w:hAnsi="仿宋" w:eastAsia="仿宋" w:cs="宋体"/>
                <w:bCs/>
                <w:color w:val="auto"/>
                <w:szCs w:val="21"/>
                <w:highlight w:val="none"/>
              </w:rPr>
              <w:t>分；</w:t>
            </w:r>
          </w:p>
          <w:p w14:paraId="3ACD57C7">
            <w:pPr>
              <w:autoSpaceDE w:val="0"/>
              <w:autoSpaceDN w:val="0"/>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2、实施方案规划较详细、合理，基本契合实际情况，符合项目进度要求，项目管理架构较为清晰，具有一定可行性，得</w:t>
            </w:r>
            <w:r>
              <w:rPr>
                <w:rFonts w:hint="eastAsia" w:ascii="仿宋" w:hAnsi="仿宋" w:eastAsia="仿宋" w:cs="宋体"/>
                <w:bCs/>
                <w:color w:val="auto"/>
                <w:szCs w:val="21"/>
                <w:highlight w:val="none"/>
                <w:lang w:val="en-US" w:eastAsia="zh-CN"/>
              </w:rPr>
              <w:t>16-20</w:t>
            </w:r>
            <w:r>
              <w:rPr>
                <w:rFonts w:hint="eastAsia" w:ascii="仿宋" w:hAnsi="仿宋" w:eastAsia="仿宋" w:cs="宋体"/>
                <w:bCs/>
                <w:color w:val="auto"/>
                <w:szCs w:val="21"/>
                <w:highlight w:val="none"/>
              </w:rPr>
              <w:t>分；</w:t>
            </w:r>
          </w:p>
          <w:p w14:paraId="3CB95814">
            <w:pPr>
              <w:autoSpaceDE w:val="0"/>
              <w:autoSpaceDN w:val="0"/>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3、实施方案规划一般，内容较为笼统，上述所列的内容要点存在欠缺，需进一步细化才能满足实际需求，可行性一般，得</w:t>
            </w:r>
            <w:r>
              <w:rPr>
                <w:rFonts w:hint="eastAsia" w:ascii="仿宋" w:hAnsi="仿宋" w:eastAsia="仿宋" w:cs="宋体"/>
                <w:bCs/>
                <w:color w:val="auto"/>
                <w:szCs w:val="21"/>
                <w:highlight w:val="none"/>
                <w:lang w:val="en-US" w:eastAsia="zh-CN"/>
              </w:rPr>
              <w:t>10-15</w:t>
            </w:r>
            <w:r>
              <w:rPr>
                <w:rFonts w:hint="eastAsia" w:ascii="仿宋" w:hAnsi="仿宋" w:eastAsia="仿宋" w:cs="宋体"/>
                <w:bCs/>
                <w:color w:val="auto"/>
                <w:szCs w:val="21"/>
                <w:highlight w:val="none"/>
              </w:rPr>
              <w:t>分；</w:t>
            </w:r>
          </w:p>
          <w:p w14:paraId="6760697B">
            <w:pPr>
              <w:autoSpaceDE w:val="0"/>
              <w:autoSpaceDN w:val="0"/>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4、实施方案内容不完善，无法有效体现上述所列各要点或存在严重的偏差，与项目要求关联性差，可操作性较差，得</w:t>
            </w:r>
            <w:r>
              <w:rPr>
                <w:rFonts w:hint="eastAsia" w:ascii="仿宋" w:hAnsi="仿宋" w:eastAsia="仿宋" w:cs="宋体"/>
                <w:bCs/>
                <w:color w:val="auto"/>
                <w:szCs w:val="21"/>
                <w:highlight w:val="none"/>
                <w:lang w:val="en-US" w:eastAsia="zh-CN"/>
              </w:rPr>
              <w:t>1-9</w:t>
            </w:r>
            <w:r>
              <w:rPr>
                <w:rFonts w:hint="eastAsia" w:ascii="仿宋" w:hAnsi="仿宋" w:eastAsia="仿宋" w:cs="宋体"/>
                <w:bCs/>
                <w:color w:val="auto"/>
                <w:szCs w:val="21"/>
                <w:highlight w:val="none"/>
              </w:rPr>
              <w:t>分；</w:t>
            </w:r>
          </w:p>
          <w:p w14:paraId="077D1BC4">
            <w:pPr>
              <w:autoSpaceDE w:val="0"/>
              <w:autoSpaceDN w:val="0"/>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5、</w:t>
            </w:r>
            <w:bookmarkStart w:id="12" w:name="OLE_LINK9"/>
            <w:r>
              <w:rPr>
                <w:rFonts w:hint="eastAsia" w:ascii="仿宋" w:hAnsi="仿宋" w:eastAsia="仿宋" w:cs="宋体"/>
                <w:bCs/>
                <w:color w:val="auto"/>
                <w:szCs w:val="21"/>
                <w:highlight w:val="none"/>
              </w:rPr>
              <w:t>未提供相关内容则不得分。</w:t>
            </w:r>
            <w:bookmarkEnd w:id="12"/>
          </w:p>
        </w:tc>
      </w:tr>
      <w:tr w14:paraId="38A53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BDABA6A">
            <w:pPr>
              <w:spacing w:before="93" w:beforeLines="30" w:after="93" w:afterLines="30"/>
              <w:jc w:val="center"/>
              <w:rPr>
                <w:rFonts w:ascii="仿宋" w:hAnsi="仿宋" w:eastAsia="仿宋" w:cs="宋体"/>
                <w:bCs/>
                <w:color w:val="auto"/>
                <w:szCs w:val="21"/>
                <w:highlight w:val="none"/>
              </w:rPr>
            </w:pPr>
            <w:bookmarkStart w:id="13" w:name="_Hlk163650616"/>
            <w:r>
              <w:rPr>
                <w:rFonts w:hint="eastAsia" w:ascii="仿宋" w:hAnsi="仿宋" w:eastAsia="仿宋" w:cs="宋体"/>
                <w:bCs/>
                <w:color w:val="auto"/>
                <w:szCs w:val="21"/>
                <w:highlight w:val="none"/>
              </w:rPr>
              <w:t>2</w:t>
            </w:r>
          </w:p>
        </w:tc>
        <w:tc>
          <w:tcPr>
            <w:tcW w:w="1134" w:type="dxa"/>
            <w:vAlign w:val="center"/>
          </w:tcPr>
          <w:p w14:paraId="3ADEE28F">
            <w:pPr>
              <w:spacing w:before="93" w:beforeLines="30" w:after="93" w:afterLines="30"/>
              <w:jc w:val="center"/>
              <w:rPr>
                <w:rFonts w:ascii="仿宋" w:hAnsi="仿宋" w:eastAsia="仿宋" w:cs="宋体"/>
                <w:bCs/>
                <w:color w:val="auto"/>
                <w:szCs w:val="21"/>
                <w:highlight w:val="none"/>
              </w:rPr>
            </w:pPr>
            <w:r>
              <w:rPr>
                <w:rFonts w:hint="eastAsia" w:ascii="仿宋" w:hAnsi="仿宋" w:eastAsia="仿宋" w:cs="宋体"/>
                <w:bCs/>
                <w:color w:val="auto"/>
                <w:szCs w:val="21"/>
                <w:highlight w:val="none"/>
              </w:rPr>
              <w:t>项目执行进度计划</w:t>
            </w:r>
          </w:p>
        </w:tc>
        <w:tc>
          <w:tcPr>
            <w:tcW w:w="851" w:type="dxa"/>
            <w:vAlign w:val="center"/>
          </w:tcPr>
          <w:p w14:paraId="4ADF2E96">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24</w:t>
            </w:r>
          </w:p>
        </w:tc>
        <w:tc>
          <w:tcPr>
            <w:tcW w:w="6135" w:type="dxa"/>
          </w:tcPr>
          <w:p w14:paraId="39F02A69">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考察</w:t>
            </w:r>
            <w:r>
              <w:rPr>
                <w:rFonts w:hint="eastAsia" w:ascii="仿宋" w:hAnsi="仿宋" w:eastAsia="仿宋" w:cs="宋体"/>
                <w:bCs/>
                <w:color w:val="auto"/>
                <w:szCs w:val="21"/>
                <w:highlight w:val="none"/>
                <w:lang w:val="en-US" w:eastAsia="zh-CN"/>
              </w:rPr>
              <w:t>报价供应商</w:t>
            </w:r>
            <w:r>
              <w:rPr>
                <w:rFonts w:hint="eastAsia" w:ascii="仿宋" w:hAnsi="仿宋" w:eastAsia="仿宋" w:cs="宋体"/>
                <w:bCs/>
                <w:color w:val="auto"/>
                <w:szCs w:val="21"/>
                <w:highlight w:val="none"/>
              </w:rPr>
              <w:t>针对本项目所编制的详细计划进度表。</w:t>
            </w:r>
            <w:r>
              <w:rPr>
                <w:rFonts w:hint="eastAsia" w:ascii="仿宋" w:hAnsi="仿宋" w:eastAsia="仿宋" w:cs="宋体"/>
                <w:bCs/>
                <w:color w:val="auto"/>
                <w:szCs w:val="21"/>
                <w:highlight w:val="none"/>
                <w:lang w:val="en-US" w:eastAsia="zh-CN"/>
              </w:rPr>
              <w:t>进度表应包含月度、季度计划进度</w:t>
            </w:r>
            <w:r>
              <w:rPr>
                <w:rFonts w:hint="eastAsia" w:ascii="仿宋" w:hAnsi="仿宋" w:eastAsia="仿宋" w:cs="宋体"/>
                <w:bCs/>
                <w:color w:val="auto"/>
                <w:szCs w:val="21"/>
                <w:highlight w:val="none"/>
              </w:rPr>
              <w:t>等</w:t>
            </w:r>
            <w:r>
              <w:rPr>
                <w:rFonts w:hint="eastAsia" w:ascii="仿宋" w:hAnsi="仿宋" w:eastAsia="仿宋" w:cs="宋体"/>
                <w:bCs/>
                <w:color w:val="auto"/>
                <w:szCs w:val="21"/>
                <w:highlight w:val="none"/>
                <w:lang w:val="en-US" w:eastAsia="zh-CN"/>
              </w:rPr>
              <w:t>有关</w:t>
            </w:r>
            <w:r>
              <w:rPr>
                <w:rFonts w:hint="eastAsia" w:ascii="仿宋" w:hAnsi="仿宋" w:eastAsia="仿宋" w:cs="宋体"/>
                <w:bCs/>
                <w:color w:val="auto"/>
                <w:szCs w:val="21"/>
                <w:highlight w:val="none"/>
              </w:rPr>
              <w:t>内容。根据上述内容要点进行综合评分，具体如下：</w:t>
            </w:r>
          </w:p>
          <w:p w14:paraId="2ECD8CF8">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1、</w:t>
            </w:r>
            <w:r>
              <w:rPr>
                <w:rFonts w:hint="eastAsia" w:ascii="仿宋" w:hAnsi="仿宋" w:eastAsia="仿宋" w:cs="宋体"/>
                <w:bCs/>
                <w:color w:val="auto"/>
                <w:szCs w:val="21"/>
                <w:highlight w:val="none"/>
                <w:lang w:val="en-US" w:eastAsia="zh-CN"/>
              </w:rPr>
              <w:t>计划进度</w:t>
            </w:r>
            <w:r>
              <w:rPr>
                <w:rFonts w:hint="eastAsia" w:ascii="仿宋" w:hAnsi="仿宋" w:eastAsia="仿宋" w:cs="宋体"/>
                <w:bCs/>
                <w:color w:val="auto"/>
                <w:szCs w:val="21"/>
                <w:highlight w:val="none"/>
              </w:rPr>
              <w:t>详细、思路清晰，能够覆盖上述所列各要点内容，可行性强，能够满足实际需求，得</w:t>
            </w:r>
            <w:r>
              <w:rPr>
                <w:rFonts w:hint="eastAsia" w:ascii="仿宋" w:hAnsi="仿宋" w:eastAsia="仿宋" w:cs="宋体"/>
                <w:bCs/>
                <w:color w:val="auto"/>
                <w:szCs w:val="21"/>
                <w:highlight w:val="none"/>
                <w:lang w:val="en-US" w:eastAsia="zh-CN"/>
              </w:rPr>
              <w:t>21-24</w:t>
            </w:r>
            <w:r>
              <w:rPr>
                <w:rFonts w:hint="eastAsia" w:ascii="仿宋" w:hAnsi="仿宋" w:eastAsia="仿宋" w:cs="宋体"/>
                <w:bCs/>
                <w:color w:val="auto"/>
                <w:szCs w:val="21"/>
                <w:highlight w:val="none"/>
              </w:rPr>
              <w:t>分；</w:t>
            </w:r>
          </w:p>
          <w:p w14:paraId="49A3B6CF">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2、</w:t>
            </w:r>
            <w:r>
              <w:rPr>
                <w:rFonts w:hint="eastAsia" w:ascii="仿宋" w:hAnsi="仿宋" w:eastAsia="仿宋" w:cs="宋体"/>
                <w:bCs/>
                <w:color w:val="auto"/>
                <w:szCs w:val="21"/>
                <w:highlight w:val="none"/>
                <w:lang w:val="en-US" w:eastAsia="zh-CN"/>
              </w:rPr>
              <w:t>计划进度</w:t>
            </w:r>
            <w:r>
              <w:rPr>
                <w:rFonts w:hint="eastAsia" w:ascii="仿宋" w:hAnsi="仿宋" w:eastAsia="仿宋" w:cs="宋体"/>
                <w:bCs/>
                <w:color w:val="auto"/>
                <w:szCs w:val="21"/>
                <w:highlight w:val="none"/>
              </w:rPr>
              <w:t>比较详细，思路也比较清晰，基本能够覆盖上述所列各要点内容，可行性较强，基本能够满足实际需求，得</w:t>
            </w:r>
            <w:r>
              <w:rPr>
                <w:rFonts w:hint="eastAsia" w:ascii="仿宋" w:hAnsi="仿宋" w:eastAsia="仿宋" w:cs="宋体"/>
                <w:bCs/>
                <w:color w:val="auto"/>
                <w:szCs w:val="21"/>
                <w:highlight w:val="none"/>
                <w:lang w:val="en-US" w:eastAsia="zh-CN"/>
              </w:rPr>
              <w:t>16-20</w:t>
            </w:r>
            <w:r>
              <w:rPr>
                <w:rFonts w:hint="eastAsia" w:ascii="仿宋" w:hAnsi="仿宋" w:eastAsia="仿宋" w:cs="宋体"/>
                <w:bCs/>
                <w:color w:val="auto"/>
                <w:szCs w:val="21"/>
                <w:highlight w:val="none"/>
              </w:rPr>
              <w:t>分；</w:t>
            </w:r>
          </w:p>
          <w:p w14:paraId="5F3791B4">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3、</w:t>
            </w:r>
            <w:r>
              <w:rPr>
                <w:rFonts w:hint="eastAsia" w:ascii="仿宋" w:hAnsi="仿宋" w:eastAsia="仿宋" w:cs="宋体"/>
                <w:bCs/>
                <w:color w:val="auto"/>
                <w:szCs w:val="21"/>
                <w:highlight w:val="none"/>
                <w:lang w:val="en-US" w:eastAsia="zh-CN"/>
              </w:rPr>
              <w:t>计划进度</w:t>
            </w:r>
            <w:r>
              <w:rPr>
                <w:rFonts w:hint="eastAsia" w:ascii="仿宋" w:hAnsi="仿宋" w:eastAsia="仿宋" w:cs="宋体"/>
                <w:bCs/>
                <w:color w:val="auto"/>
                <w:szCs w:val="21"/>
                <w:highlight w:val="none"/>
              </w:rPr>
              <w:t>一般，整体内容较为笼统，上述所列的内容要点存在欠缺，可行性一般，得</w:t>
            </w:r>
            <w:r>
              <w:rPr>
                <w:rFonts w:hint="eastAsia" w:ascii="仿宋" w:hAnsi="仿宋" w:eastAsia="仿宋" w:cs="宋体"/>
                <w:bCs/>
                <w:color w:val="auto"/>
                <w:szCs w:val="21"/>
                <w:highlight w:val="none"/>
                <w:lang w:val="en-US" w:eastAsia="zh-CN"/>
              </w:rPr>
              <w:t>10-15</w:t>
            </w:r>
            <w:r>
              <w:rPr>
                <w:rFonts w:hint="eastAsia" w:ascii="仿宋" w:hAnsi="仿宋" w:eastAsia="仿宋" w:cs="宋体"/>
                <w:bCs/>
                <w:color w:val="auto"/>
                <w:szCs w:val="21"/>
                <w:highlight w:val="none"/>
              </w:rPr>
              <w:t>分；</w:t>
            </w:r>
          </w:p>
          <w:p w14:paraId="123FFFF4">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4、</w:t>
            </w:r>
            <w:r>
              <w:rPr>
                <w:rFonts w:hint="eastAsia" w:ascii="仿宋" w:hAnsi="仿宋" w:eastAsia="仿宋" w:cs="宋体"/>
                <w:bCs/>
                <w:color w:val="auto"/>
                <w:szCs w:val="21"/>
                <w:highlight w:val="none"/>
                <w:lang w:val="en-US" w:eastAsia="zh-CN"/>
              </w:rPr>
              <w:t>计划进度</w:t>
            </w:r>
            <w:r>
              <w:rPr>
                <w:rFonts w:hint="eastAsia" w:ascii="仿宋" w:hAnsi="仿宋" w:eastAsia="仿宋" w:cs="宋体"/>
                <w:bCs/>
                <w:color w:val="auto"/>
                <w:szCs w:val="21"/>
                <w:highlight w:val="none"/>
              </w:rPr>
              <w:t>较差，无法体现上述所列各要点或存在严重的偏差，可行性较差，得</w:t>
            </w:r>
            <w:r>
              <w:rPr>
                <w:rFonts w:hint="eastAsia" w:ascii="仿宋" w:hAnsi="仿宋" w:eastAsia="仿宋" w:cs="宋体"/>
                <w:bCs/>
                <w:color w:val="auto"/>
                <w:szCs w:val="21"/>
                <w:highlight w:val="none"/>
                <w:lang w:val="en-US" w:eastAsia="zh-CN"/>
              </w:rPr>
              <w:t>1-9</w:t>
            </w:r>
            <w:r>
              <w:rPr>
                <w:rFonts w:hint="eastAsia" w:ascii="仿宋" w:hAnsi="仿宋" w:eastAsia="仿宋" w:cs="宋体"/>
                <w:bCs/>
                <w:color w:val="auto"/>
                <w:szCs w:val="21"/>
                <w:highlight w:val="none"/>
              </w:rPr>
              <w:t>分；</w:t>
            </w:r>
          </w:p>
          <w:p w14:paraId="6CCC0DA6">
            <w:pPr>
              <w:spacing w:before="93" w:beforeLines="30" w:after="93" w:afterLines="30"/>
              <w:rPr>
                <w:rFonts w:ascii="仿宋" w:hAnsi="仿宋" w:eastAsia="仿宋" w:cs="宋体"/>
                <w:bCs/>
                <w:color w:val="auto"/>
                <w:szCs w:val="21"/>
                <w:highlight w:val="none"/>
              </w:rPr>
            </w:pPr>
            <w:r>
              <w:rPr>
                <w:rFonts w:hint="eastAsia" w:ascii="仿宋" w:hAnsi="仿宋" w:eastAsia="仿宋" w:cs="宋体"/>
                <w:bCs/>
                <w:color w:val="auto"/>
                <w:szCs w:val="21"/>
                <w:highlight w:val="none"/>
              </w:rPr>
              <w:t>5、未提供相关内容则不得分。</w:t>
            </w:r>
          </w:p>
        </w:tc>
      </w:tr>
      <w:bookmarkEnd w:id="11"/>
      <w:bookmarkEnd w:id="13"/>
    </w:tbl>
    <w:p w14:paraId="76D6C05A">
      <w:pPr>
        <w:pStyle w:val="7"/>
        <w:spacing w:before="91" w:line="223" w:lineRule="auto"/>
        <w:outlineLvl w:val="1"/>
        <w:rPr>
          <w:rFonts w:hint="default" w:ascii="Times New Roman" w:hAnsi="Times New Roman" w:eastAsia="仿宋_GB2312" w:cs="Times New Roman"/>
          <w:color w:val="auto"/>
          <w:spacing w:val="-3"/>
          <w:sz w:val="28"/>
          <w:szCs w:val="28"/>
          <w:highlight w:val="none"/>
          <w14:textOutline w14:w="5103" w14:cap="sq" w14:cmpd="sng">
            <w14:solidFill>
              <w14:srgbClr w14:val="000000"/>
            </w14:solidFill>
            <w14:prstDash w14:val="solid"/>
            <w14:bevel/>
          </w14:textOutline>
        </w:rPr>
      </w:pPr>
    </w:p>
    <w:p w14:paraId="560F883C">
      <w:pPr>
        <w:pStyle w:val="7"/>
        <w:spacing w:before="91" w:line="223" w:lineRule="auto"/>
        <w:outlineLvl w:val="1"/>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pacing w:val="-3"/>
          <w:sz w:val="28"/>
          <w:szCs w:val="28"/>
          <w:highlight w:val="none"/>
          <w14:textOutline w14:w="5103" w14:cap="sq" w14:cmpd="sng">
            <w14:solidFill>
              <w14:srgbClr w14:val="000000"/>
            </w14:solidFill>
            <w14:prstDash w14:val="solid"/>
            <w14:bevel/>
          </w14:textOutline>
        </w:rPr>
        <w:t>（</w:t>
      </w:r>
      <w:r>
        <w:rPr>
          <w:rFonts w:hint="eastAsia" w:ascii="仿宋" w:hAnsi="仿宋" w:eastAsia="仿宋" w:cs="仿宋"/>
          <w:color w:val="auto"/>
          <w:spacing w:val="-3"/>
          <w:sz w:val="28"/>
          <w:szCs w:val="28"/>
          <w:highlight w:val="none"/>
          <w:lang w:val="en-US" w:eastAsia="zh-CN"/>
          <w14:textOutline w14:w="5103" w14:cap="sq" w14:cmpd="sng">
            <w14:solidFill>
              <w14:srgbClr w14:val="000000"/>
            </w14:solidFill>
            <w14:prstDash w14:val="solid"/>
            <w14:bevel/>
          </w14:textOutline>
        </w:rPr>
        <w:t>4</w:t>
      </w:r>
      <w:r>
        <w:rPr>
          <w:rFonts w:hint="eastAsia" w:ascii="仿宋" w:hAnsi="仿宋" w:eastAsia="仿宋" w:cs="仿宋"/>
          <w:color w:val="auto"/>
          <w:spacing w:val="-3"/>
          <w:sz w:val="28"/>
          <w:szCs w:val="28"/>
          <w:highlight w:val="none"/>
          <w14:textOutline w14:w="5103" w14:cap="sq" w14:cmpd="sng">
            <w14:solidFill>
              <w14:srgbClr w14:val="000000"/>
            </w14:solidFill>
            <w14:prstDash w14:val="solid"/>
            <w14:bevel/>
          </w14:textOutline>
        </w:rPr>
        <w:t>）</w:t>
      </w:r>
      <w:r>
        <w:rPr>
          <w:rFonts w:hint="eastAsia" w:ascii="仿宋" w:hAnsi="仿宋" w:eastAsia="仿宋" w:cs="仿宋"/>
          <w:color w:val="auto"/>
          <w:spacing w:val="-3"/>
          <w:sz w:val="28"/>
          <w:szCs w:val="28"/>
          <w:highlight w:val="none"/>
          <w:lang w:val="en-US" w:eastAsia="zh-CN"/>
          <w14:textOutline w14:w="5103" w14:cap="sq" w14:cmpd="sng">
            <w14:solidFill>
              <w14:srgbClr w14:val="000000"/>
            </w14:solidFill>
            <w14:prstDash w14:val="solid"/>
            <w14:bevel/>
          </w14:textOutline>
        </w:rPr>
        <w:t>价格评分表</w:t>
      </w:r>
      <w:r>
        <w:rPr>
          <w:rFonts w:hint="eastAsia" w:ascii="仿宋" w:hAnsi="仿宋" w:eastAsia="仿宋" w:cs="仿宋"/>
          <w:color w:val="auto"/>
          <w:spacing w:val="-3"/>
          <w:sz w:val="28"/>
          <w:szCs w:val="28"/>
          <w:highlight w:val="none"/>
          <w:lang w:eastAsia="zh-CN"/>
          <w14:textOutline w14:w="5103" w14:cap="sq" w14:cmpd="sng">
            <w14:solidFill>
              <w14:srgbClr w14:val="000000"/>
            </w14:solidFill>
            <w14:prstDash w14:val="solid"/>
            <w14:bevel/>
          </w14:textOutline>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7C62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02DBE890">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评分项</w:t>
            </w:r>
          </w:p>
        </w:tc>
        <w:tc>
          <w:tcPr>
            <w:tcW w:w="6146" w:type="dxa"/>
            <w:shd w:val="clear" w:color="auto" w:fill="F1F1F1" w:themeFill="background1" w:themeFillShade="F2"/>
            <w:vAlign w:val="center"/>
          </w:tcPr>
          <w:p w14:paraId="26A823A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权重</w:t>
            </w:r>
          </w:p>
        </w:tc>
      </w:tr>
      <w:tr w14:paraId="5FAC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11BB658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价格</w:t>
            </w:r>
          </w:p>
        </w:tc>
        <w:tc>
          <w:tcPr>
            <w:tcW w:w="6146" w:type="dxa"/>
            <w:shd w:val="clear" w:color="auto" w:fill="F1F1F1" w:themeFill="background1" w:themeFillShade="F2"/>
            <w:vAlign w:val="center"/>
          </w:tcPr>
          <w:p w14:paraId="34BE2946">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20</w:t>
            </w:r>
          </w:p>
        </w:tc>
      </w:tr>
      <w:tr w14:paraId="049B4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38B1F289">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序号</w:t>
            </w:r>
          </w:p>
        </w:tc>
        <w:tc>
          <w:tcPr>
            <w:tcW w:w="1134" w:type="dxa"/>
            <w:shd w:val="clear" w:color="auto" w:fill="F1F1F1" w:themeFill="background1" w:themeFillShade="F2"/>
            <w:vAlign w:val="center"/>
          </w:tcPr>
          <w:p w14:paraId="5006E20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内容</w:t>
            </w:r>
          </w:p>
        </w:tc>
        <w:tc>
          <w:tcPr>
            <w:tcW w:w="851" w:type="dxa"/>
            <w:shd w:val="clear" w:color="auto" w:fill="F1F1F1" w:themeFill="background1" w:themeFillShade="F2"/>
            <w:vAlign w:val="center"/>
          </w:tcPr>
          <w:p w14:paraId="2DB2EE6C">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分值</w:t>
            </w:r>
          </w:p>
        </w:tc>
        <w:tc>
          <w:tcPr>
            <w:tcW w:w="6146" w:type="dxa"/>
            <w:shd w:val="clear" w:color="auto" w:fill="F1F1F1" w:themeFill="background1" w:themeFillShade="F2"/>
          </w:tcPr>
          <w:p w14:paraId="73431FC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评分准则</w:t>
            </w:r>
          </w:p>
        </w:tc>
      </w:tr>
      <w:tr w14:paraId="1865D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A9FBB6F">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w:t>
            </w:r>
          </w:p>
        </w:tc>
        <w:tc>
          <w:tcPr>
            <w:tcW w:w="1134" w:type="dxa"/>
            <w:vAlign w:val="center"/>
          </w:tcPr>
          <w:p w14:paraId="7071B30C">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价格分</w:t>
            </w:r>
          </w:p>
        </w:tc>
        <w:tc>
          <w:tcPr>
            <w:tcW w:w="851" w:type="dxa"/>
            <w:vAlign w:val="center"/>
          </w:tcPr>
          <w:p w14:paraId="4A9A1555">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20</w:t>
            </w:r>
          </w:p>
        </w:tc>
        <w:tc>
          <w:tcPr>
            <w:tcW w:w="6146" w:type="dxa"/>
          </w:tcPr>
          <w:p w14:paraId="10C43F3D">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本项目价格分统一采用</w:t>
            </w:r>
            <w:r>
              <w:rPr>
                <w:rFonts w:hint="eastAsia" w:ascii="仿宋" w:hAnsi="仿宋" w:eastAsia="仿宋" w:cs="宋体"/>
                <w:bCs/>
                <w:color w:val="auto"/>
                <w:szCs w:val="21"/>
                <w:highlight w:val="none"/>
                <w:u w:val="single"/>
              </w:rPr>
              <w:t>低价优先法</w:t>
            </w:r>
            <w:r>
              <w:rPr>
                <w:rFonts w:hint="eastAsia" w:ascii="仿宋" w:hAnsi="仿宋" w:eastAsia="仿宋" w:cs="宋体"/>
                <w:bCs/>
                <w:color w:val="auto"/>
                <w:szCs w:val="21"/>
                <w:highlight w:val="none"/>
              </w:rPr>
              <w:t>计算，即满足</w:t>
            </w:r>
            <w:r>
              <w:rPr>
                <w:rFonts w:hint="eastAsia" w:ascii="仿宋" w:hAnsi="仿宋" w:eastAsia="仿宋" w:cs="宋体"/>
                <w:bCs/>
                <w:color w:val="auto"/>
                <w:szCs w:val="21"/>
                <w:highlight w:val="none"/>
                <w:lang w:val="en-US" w:eastAsia="zh-CN"/>
              </w:rPr>
              <w:t>采购</w:t>
            </w:r>
            <w:r>
              <w:rPr>
                <w:rFonts w:hint="eastAsia" w:ascii="仿宋" w:hAnsi="仿宋" w:eastAsia="仿宋" w:cs="宋体"/>
                <w:bCs/>
                <w:color w:val="auto"/>
                <w:szCs w:val="21"/>
                <w:highlight w:val="none"/>
              </w:rPr>
              <w:t>文件要求且最后</w:t>
            </w:r>
            <w:r>
              <w:rPr>
                <w:rFonts w:hint="eastAsia" w:ascii="仿宋" w:hAnsi="仿宋" w:eastAsia="仿宋" w:cs="宋体"/>
                <w:bCs/>
                <w:color w:val="auto"/>
                <w:szCs w:val="21"/>
                <w:highlight w:val="none"/>
                <w:lang w:val="en-US" w:eastAsia="zh-CN"/>
              </w:rPr>
              <w:t>不</w:t>
            </w:r>
            <w:r>
              <w:rPr>
                <w:rFonts w:hint="eastAsia" w:ascii="仿宋" w:hAnsi="仿宋" w:eastAsia="仿宋" w:cs="宋体"/>
                <w:bCs/>
                <w:color w:val="auto"/>
                <w:szCs w:val="21"/>
                <w:highlight w:val="none"/>
              </w:rPr>
              <w:t>含税总价报价为最低的投标人报价作为基准价，其价格得分为满分，满分为20分。具体公式如下：</w:t>
            </w:r>
          </w:p>
          <w:p w14:paraId="01BBD516">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报价得分=（基准价/有效评审价）×价格分分值。</w:t>
            </w:r>
          </w:p>
          <w:p w14:paraId="776EBB95">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说明：本项目有效评审价为通过初步评审的</w:t>
            </w:r>
            <w:r>
              <w:rPr>
                <w:rFonts w:hint="eastAsia" w:ascii="仿宋" w:hAnsi="仿宋" w:eastAsia="仿宋" w:cs="宋体"/>
                <w:bCs/>
                <w:color w:val="auto"/>
                <w:szCs w:val="21"/>
                <w:highlight w:val="none"/>
                <w:lang w:val="en-US" w:eastAsia="zh-CN"/>
              </w:rPr>
              <w:t>报价供应商</w:t>
            </w:r>
            <w:r>
              <w:rPr>
                <w:rFonts w:hint="eastAsia" w:ascii="仿宋" w:hAnsi="仿宋" w:eastAsia="仿宋" w:cs="宋体"/>
                <w:bCs/>
                <w:color w:val="auto"/>
                <w:szCs w:val="21"/>
                <w:highlight w:val="none"/>
              </w:rPr>
              <w:t>项目总价（</w:t>
            </w:r>
            <w:r>
              <w:rPr>
                <w:rFonts w:hint="eastAsia" w:ascii="仿宋" w:hAnsi="仿宋" w:eastAsia="仿宋" w:cs="宋体"/>
                <w:bCs/>
                <w:color w:val="auto"/>
                <w:szCs w:val="21"/>
                <w:highlight w:val="none"/>
                <w:lang w:val="en-US" w:eastAsia="zh-CN"/>
              </w:rPr>
              <w:t>不增值</w:t>
            </w:r>
            <w:r>
              <w:rPr>
                <w:rFonts w:hint="eastAsia" w:ascii="仿宋" w:hAnsi="仿宋" w:eastAsia="仿宋" w:cs="宋体"/>
                <w:bCs/>
                <w:color w:val="auto"/>
                <w:szCs w:val="21"/>
                <w:highlight w:val="none"/>
              </w:rPr>
              <w:t>含税）。如价格有算术性修正，请以修正后的价格为准。</w:t>
            </w:r>
          </w:p>
          <w:p w14:paraId="58785ACC">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备注：价格得分四舍五入，小数点后保留两位有效数。</w:t>
            </w:r>
          </w:p>
        </w:tc>
      </w:tr>
    </w:tbl>
    <w:p w14:paraId="3B121FD8">
      <w:pPr>
        <w:pStyle w:val="5"/>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116ACA1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A47940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5CDFED3E">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7B65F8B">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CB0E43E">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38AF61D4">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37D36992">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2C094DC1">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FA00B71">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445AFC72">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2EE2079C">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4E2FBFCB">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793684B0">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0B13BBB3">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64ABC431">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6FC61FA2">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559EE0E">
      <w:pPr>
        <w:pStyle w:val="15"/>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120CB6D">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BFFE151">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6EE405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B700AA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32C3296B">
      <w:pPr>
        <w:pStyle w:val="15"/>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40B3636A">
      <w:pPr>
        <w:pStyle w:val="15"/>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6A255C2">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1446DD5">
      <w:pPr>
        <w:pStyle w:val="15"/>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24C4ADF">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9A9C3AA">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60AAF6DE">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7FEC8A80">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E796FFD">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4" w:name="_Toc478566085"/>
      <w:bookmarkStart w:id="15" w:name="_Toc478566443"/>
      <w:bookmarkStart w:id="16" w:name="_Toc478566277"/>
      <w:bookmarkStart w:id="17" w:name="_Toc474148041"/>
      <w:bookmarkStart w:id="18" w:name="_Toc478565722"/>
    </w:p>
    <w:p w14:paraId="3E24EA87">
      <w:pPr>
        <w:pStyle w:val="15"/>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4"/>
      <w:bookmarkEnd w:id="15"/>
      <w:bookmarkEnd w:id="16"/>
      <w:bookmarkEnd w:id="17"/>
      <w:bookmarkEnd w:id="18"/>
    </w:p>
    <w:p w14:paraId="6BF7B86C">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A3E4C35">
      <w:pPr>
        <w:pStyle w:val="15"/>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6DA5C4B1">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7D37F80B">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485E36">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EFA5BF4">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739245F1">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2EFBBB52">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C4717F1">
      <w:pPr>
        <w:pStyle w:val="15"/>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A4D96CE">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C48A2DD">
      <w:pPr>
        <w:pStyle w:val="15"/>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49C6AACD">
      <w:pPr>
        <w:pStyle w:val="15"/>
        <w:spacing w:line="240" w:lineRule="auto"/>
        <w:ind w:firstLine="420"/>
        <w:rPr>
          <w:rFonts w:hint="eastAsia" w:ascii="仿宋_GB2312" w:hAnsi="仿宋_GB2312" w:eastAsia="仿宋_GB2312" w:cs="仿宋_GB2312"/>
          <w:sz w:val="24"/>
          <w:szCs w:val="24"/>
          <w:highlight w:val="none"/>
        </w:rPr>
      </w:pPr>
    </w:p>
    <w:p w14:paraId="35A3A201">
      <w:pPr>
        <w:pStyle w:val="15"/>
        <w:spacing w:line="240" w:lineRule="auto"/>
        <w:ind w:firstLine="420"/>
        <w:rPr>
          <w:rFonts w:hint="eastAsia" w:ascii="仿宋_GB2312" w:hAnsi="仿宋_GB2312" w:eastAsia="仿宋_GB2312" w:cs="仿宋_GB2312"/>
          <w:sz w:val="24"/>
          <w:szCs w:val="24"/>
          <w:highlight w:val="none"/>
        </w:rPr>
      </w:pPr>
    </w:p>
    <w:p w14:paraId="6D9DD99D">
      <w:pPr>
        <w:pStyle w:val="15"/>
        <w:spacing w:line="240" w:lineRule="auto"/>
        <w:ind w:firstLine="420"/>
        <w:rPr>
          <w:rFonts w:hint="eastAsia" w:ascii="仿宋_GB2312" w:hAnsi="仿宋_GB2312" w:eastAsia="仿宋_GB2312" w:cs="仿宋_GB2312"/>
          <w:sz w:val="24"/>
          <w:szCs w:val="24"/>
          <w:highlight w:val="none"/>
        </w:rPr>
      </w:pPr>
    </w:p>
    <w:p w14:paraId="6AADE613">
      <w:pPr>
        <w:pStyle w:val="15"/>
        <w:spacing w:line="240" w:lineRule="auto"/>
        <w:ind w:firstLine="420"/>
        <w:rPr>
          <w:rFonts w:hint="eastAsia" w:ascii="仿宋_GB2312" w:hAnsi="仿宋_GB2312" w:eastAsia="仿宋_GB2312" w:cs="仿宋_GB2312"/>
          <w:sz w:val="24"/>
          <w:szCs w:val="24"/>
          <w:highlight w:val="none"/>
        </w:rPr>
      </w:pPr>
    </w:p>
    <w:p w14:paraId="651CA018">
      <w:pPr>
        <w:pStyle w:val="15"/>
        <w:spacing w:line="240" w:lineRule="auto"/>
        <w:ind w:firstLine="420"/>
        <w:rPr>
          <w:rFonts w:hint="eastAsia" w:ascii="仿宋_GB2312" w:hAnsi="仿宋_GB2312" w:eastAsia="仿宋_GB2312" w:cs="仿宋_GB2312"/>
          <w:sz w:val="24"/>
          <w:szCs w:val="24"/>
          <w:highlight w:val="none"/>
        </w:rPr>
      </w:pPr>
    </w:p>
    <w:p w14:paraId="3DE6C918">
      <w:pPr>
        <w:pStyle w:val="15"/>
        <w:spacing w:line="240" w:lineRule="auto"/>
        <w:ind w:firstLine="420"/>
        <w:rPr>
          <w:rFonts w:hint="eastAsia" w:ascii="仿宋_GB2312" w:hAnsi="仿宋_GB2312" w:eastAsia="仿宋_GB2312" w:cs="仿宋_GB2312"/>
          <w:sz w:val="24"/>
          <w:szCs w:val="24"/>
          <w:highlight w:val="none"/>
        </w:rPr>
      </w:pPr>
    </w:p>
    <w:p w14:paraId="50882CE2">
      <w:pPr>
        <w:pStyle w:val="15"/>
        <w:spacing w:line="240" w:lineRule="auto"/>
        <w:ind w:firstLine="420"/>
        <w:rPr>
          <w:rFonts w:hint="eastAsia" w:ascii="仿宋_GB2312" w:hAnsi="仿宋_GB2312" w:eastAsia="仿宋_GB2312" w:cs="仿宋_GB2312"/>
          <w:sz w:val="24"/>
          <w:szCs w:val="24"/>
          <w:highlight w:val="none"/>
        </w:rPr>
      </w:pPr>
    </w:p>
    <w:p w14:paraId="058E8F67">
      <w:pPr>
        <w:pStyle w:val="15"/>
        <w:spacing w:line="240" w:lineRule="auto"/>
        <w:ind w:firstLine="420"/>
        <w:rPr>
          <w:rFonts w:hint="eastAsia" w:ascii="仿宋_GB2312" w:hAnsi="仿宋_GB2312" w:eastAsia="仿宋_GB2312" w:cs="仿宋_GB2312"/>
          <w:sz w:val="24"/>
          <w:szCs w:val="24"/>
          <w:highlight w:val="none"/>
        </w:rPr>
      </w:pPr>
    </w:p>
    <w:p w14:paraId="5FA4C1A0">
      <w:pPr>
        <w:pStyle w:val="15"/>
        <w:spacing w:line="240" w:lineRule="auto"/>
        <w:ind w:firstLine="420"/>
        <w:rPr>
          <w:rFonts w:hint="eastAsia" w:ascii="仿宋_GB2312" w:hAnsi="仿宋_GB2312" w:eastAsia="仿宋_GB2312" w:cs="仿宋_GB2312"/>
          <w:sz w:val="24"/>
          <w:szCs w:val="24"/>
          <w:highlight w:val="none"/>
        </w:rPr>
      </w:pPr>
    </w:p>
    <w:p w14:paraId="544ECB1E">
      <w:pPr>
        <w:pStyle w:val="15"/>
        <w:spacing w:line="240" w:lineRule="auto"/>
        <w:ind w:firstLine="420"/>
        <w:rPr>
          <w:rFonts w:hint="eastAsia" w:ascii="仿宋_GB2312" w:hAnsi="仿宋_GB2312" w:eastAsia="仿宋_GB2312" w:cs="仿宋_GB2312"/>
          <w:sz w:val="24"/>
          <w:szCs w:val="24"/>
          <w:highlight w:val="none"/>
        </w:rPr>
      </w:pPr>
    </w:p>
    <w:p w14:paraId="72CC936B">
      <w:pPr>
        <w:pStyle w:val="15"/>
        <w:spacing w:line="240" w:lineRule="auto"/>
        <w:ind w:firstLine="420"/>
        <w:rPr>
          <w:rFonts w:hint="eastAsia" w:ascii="仿宋_GB2312" w:hAnsi="仿宋_GB2312" w:eastAsia="仿宋_GB2312" w:cs="仿宋_GB2312"/>
          <w:sz w:val="24"/>
          <w:szCs w:val="24"/>
          <w:highlight w:val="none"/>
        </w:rPr>
      </w:pPr>
    </w:p>
    <w:p w14:paraId="2A98F92E">
      <w:pPr>
        <w:pStyle w:val="15"/>
        <w:spacing w:line="240" w:lineRule="auto"/>
        <w:ind w:firstLine="420"/>
        <w:rPr>
          <w:rFonts w:hint="eastAsia" w:ascii="仿宋_GB2312" w:hAnsi="仿宋_GB2312" w:eastAsia="仿宋_GB2312" w:cs="仿宋_GB2312"/>
          <w:sz w:val="24"/>
          <w:szCs w:val="24"/>
          <w:highlight w:val="none"/>
        </w:rPr>
      </w:pPr>
    </w:p>
    <w:p w14:paraId="0923E743">
      <w:pPr>
        <w:pStyle w:val="15"/>
        <w:spacing w:line="240" w:lineRule="auto"/>
        <w:ind w:firstLine="420"/>
        <w:rPr>
          <w:rFonts w:hint="eastAsia" w:ascii="仿宋_GB2312" w:hAnsi="仿宋_GB2312" w:eastAsia="仿宋_GB2312" w:cs="仿宋_GB2312"/>
          <w:sz w:val="24"/>
          <w:szCs w:val="24"/>
          <w:highlight w:val="none"/>
        </w:rPr>
      </w:pPr>
    </w:p>
    <w:p w14:paraId="671A15FD">
      <w:pPr>
        <w:pStyle w:val="15"/>
        <w:spacing w:line="240" w:lineRule="auto"/>
        <w:ind w:firstLine="420"/>
        <w:rPr>
          <w:rFonts w:hint="eastAsia" w:ascii="仿宋_GB2312" w:hAnsi="仿宋_GB2312" w:eastAsia="仿宋_GB2312" w:cs="仿宋_GB2312"/>
          <w:sz w:val="24"/>
          <w:szCs w:val="24"/>
          <w:highlight w:val="none"/>
        </w:rPr>
      </w:pPr>
    </w:p>
    <w:p w14:paraId="236B1E43">
      <w:pPr>
        <w:pStyle w:val="15"/>
        <w:spacing w:line="240" w:lineRule="auto"/>
        <w:ind w:firstLine="420"/>
        <w:rPr>
          <w:rFonts w:hint="eastAsia" w:ascii="仿宋_GB2312" w:hAnsi="仿宋_GB2312" w:eastAsia="仿宋_GB2312" w:cs="仿宋_GB2312"/>
          <w:sz w:val="24"/>
          <w:szCs w:val="24"/>
          <w:highlight w:val="none"/>
        </w:rPr>
      </w:pPr>
    </w:p>
    <w:p w14:paraId="747AD58F">
      <w:pPr>
        <w:pStyle w:val="15"/>
        <w:spacing w:line="240" w:lineRule="auto"/>
        <w:ind w:firstLine="420"/>
        <w:rPr>
          <w:rFonts w:hint="eastAsia" w:ascii="仿宋_GB2312" w:hAnsi="仿宋_GB2312" w:eastAsia="仿宋_GB2312" w:cs="仿宋_GB2312"/>
          <w:sz w:val="24"/>
          <w:szCs w:val="24"/>
          <w:highlight w:val="none"/>
        </w:rPr>
      </w:pPr>
    </w:p>
    <w:p w14:paraId="2AD62EF4">
      <w:pPr>
        <w:pStyle w:val="15"/>
        <w:spacing w:line="240" w:lineRule="auto"/>
        <w:ind w:firstLine="420"/>
        <w:rPr>
          <w:rFonts w:hint="eastAsia" w:ascii="仿宋_GB2312" w:hAnsi="仿宋_GB2312" w:eastAsia="仿宋_GB2312" w:cs="仿宋_GB2312"/>
          <w:sz w:val="24"/>
          <w:szCs w:val="24"/>
          <w:highlight w:val="none"/>
        </w:rPr>
      </w:pPr>
    </w:p>
    <w:p w14:paraId="5A16DAA7">
      <w:pPr>
        <w:pStyle w:val="15"/>
        <w:spacing w:line="240" w:lineRule="auto"/>
        <w:ind w:firstLine="420"/>
        <w:rPr>
          <w:rFonts w:hint="eastAsia" w:ascii="仿宋_GB2312" w:hAnsi="仿宋_GB2312" w:eastAsia="仿宋_GB2312" w:cs="仿宋_GB2312"/>
          <w:sz w:val="24"/>
          <w:szCs w:val="24"/>
          <w:highlight w:val="none"/>
        </w:rPr>
      </w:pPr>
    </w:p>
    <w:p w14:paraId="60F974F4">
      <w:pPr>
        <w:pStyle w:val="15"/>
        <w:spacing w:line="240" w:lineRule="auto"/>
        <w:ind w:firstLine="420"/>
        <w:rPr>
          <w:rFonts w:hint="eastAsia" w:ascii="仿宋_GB2312" w:hAnsi="仿宋_GB2312" w:eastAsia="仿宋_GB2312" w:cs="仿宋_GB2312"/>
          <w:sz w:val="24"/>
          <w:szCs w:val="24"/>
          <w:highlight w:val="none"/>
        </w:rPr>
      </w:pPr>
    </w:p>
    <w:p w14:paraId="2D2DF7A2">
      <w:pPr>
        <w:pStyle w:val="15"/>
        <w:spacing w:line="240" w:lineRule="auto"/>
        <w:ind w:firstLine="420"/>
        <w:rPr>
          <w:rFonts w:hint="eastAsia" w:ascii="仿宋_GB2312" w:hAnsi="仿宋_GB2312" w:eastAsia="仿宋_GB2312" w:cs="仿宋_GB2312"/>
          <w:sz w:val="24"/>
          <w:szCs w:val="24"/>
          <w:highlight w:val="none"/>
        </w:rPr>
      </w:pPr>
    </w:p>
    <w:p w14:paraId="19EA6EA2">
      <w:pPr>
        <w:pStyle w:val="15"/>
        <w:spacing w:line="240" w:lineRule="auto"/>
        <w:ind w:firstLine="420"/>
        <w:rPr>
          <w:rFonts w:hint="eastAsia" w:ascii="仿宋_GB2312" w:hAnsi="仿宋_GB2312" w:eastAsia="仿宋_GB2312" w:cs="仿宋_GB2312"/>
          <w:sz w:val="24"/>
          <w:szCs w:val="24"/>
          <w:highlight w:val="none"/>
        </w:rPr>
      </w:pPr>
    </w:p>
    <w:p w14:paraId="42E4857E">
      <w:pPr>
        <w:pStyle w:val="15"/>
        <w:spacing w:line="240" w:lineRule="auto"/>
        <w:ind w:firstLine="420"/>
        <w:rPr>
          <w:rFonts w:hint="eastAsia" w:ascii="仿宋_GB2312" w:hAnsi="仿宋_GB2312" w:eastAsia="仿宋_GB2312" w:cs="仿宋_GB2312"/>
          <w:sz w:val="24"/>
          <w:szCs w:val="24"/>
          <w:highlight w:val="none"/>
        </w:rPr>
      </w:pPr>
    </w:p>
    <w:p w14:paraId="15108D6A">
      <w:pPr>
        <w:pStyle w:val="15"/>
        <w:spacing w:line="240" w:lineRule="auto"/>
        <w:ind w:firstLine="420"/>
        <w:rPr>
          <w:rFonts w:hint="eastAsia" w:ascii="仿宋_GB2312" w:hAnsi="仿宋_GB2312" w:eastAsia="仿宋_GB2312" w:cs="仿宋_GB2312"/>
          <w:sz w:val="24"/>
          <w:szCs w:val="24"/>
          <w:highlight w:val="none"/>
        </w:rPr>
      </w:pPr>
    </w:p>
    <w:p w14:paraId="484528FA">
      <w:pPr>
        <w:pStyle w:val="15"/>
        <w:spacing w:line="240" w:lineRule="auto"/>
        <w:ind w:firstLine="420"/>
        <w:rPr>
          <w:rFonts w:hint="eastAsia" w:ascii="仿宋_GB2312" w:hAnsi="仿宋_GB2312" w:eastAsia="仿宋_GB2312" w:cs="仿宋_GB2312"/>
          <w:sz w:val="24"/>
          <w:szCs w:val="24"/>
          <w:highlight w:val="none"/>
        </w:rPr>
      </w:pPr>
    </w:p>
    <w:p w14:paraId="1A8B1B9A">
      <w:pPr>
        <w:pStyle w:val="15"/>
        <w:spacing w:line="240" w:lineRule="auto"/>
        <w:ind w:firstLine="420"/>
        <w:rPr>
          <w:rFonts w:hint="eastAsia" w:ascii="仿宋_GB2312" w:hAnsi="仿宋_GB2312" w:eastAsia="仿宋_GB2312" w:cs="仿宋_GB2312"/>
          <w:sz w:val="24"/>
          <w:szCs w:val="24"/>
          <w:highlight w:val="none"/>
        </w:rPr>
      </w:pPr>
    </w:p>
    <w:p w14:paraId="66727AF7">
      <w:pPr>
        <w:pStyle w:val="15"/>
        <w:spacing w:line="240" w:lineRule="auto"/>
        <w:ind w:firstLine="420"/>
        <w:rPr>
          <w:rFonts w:hint="eastAsia" w:ascii="仿宋_GB2312" w:hAnsi="仿宋_GB2312" w:eastAsia="仿宋_GB2312" w:cs="仿宋_GB2312"/>
          <w:sz w:val="24"/>
          <w:szCs w:val="24"/>
          <w:highlight w:val="none"/>
        </w:rPr>
      </w:pPr>
    </w:p>
    <w:p w14:paraId="054B154E">
      <w:pPr>
        <w:pStyle w:val="15"/>
        <w:spacing w:line="240" w:lineRule="auto"/>
        <w:ind w:firstLine="420"/>
        <w:rPr>
          <w:rFonts w:hint="eastAsia" w:ascii="仿宋_GB2312" w:hAnsi="仿宋_GB2312" w:eastAsia="仿宋_GB2312" w:cs="仿宋_GB2312"/>
          <w:sz w:val="24"/>
          <w:szCs w:val="24"/>
          <w:highlight w:val="none"/>
        </w:rPr>
      </w:pPr>
    </w:p>
    <w:p w14:paraId="4BD58ABA">
      <w:pPr>
        <w:pStyle w:val="15"/>
        <w:spacing w:line="240" w:lineRule="auto"/>
        <w:ind w:firstLine="420"/>
        <w:rPr>
          <w:rFonts w:hint="eastAsia" w:ascii="仿宋_GB2312" w:hAnsi="仿宋_GB2312" w:eastAsia="仿宋_GB2312" w:cs="仿宋_GB2312"/>
          <w:sz w:val="24"/>
          <w:szCs w:val="24"/>
          <w:highlight w:val="none"/>
        </w:rPr>
      </w:pPr>
    </w:p>
    <w:p w14:paraId="49648736">
      <w:pPr>
        <w:pStyle w:val="15"/>
        <w:spacing w:line="240" w:lineRule="auto"/>
        <w:ind w:firstLine="420"/>
        <w:rPr>
          <w:rFonts w:hint="eastAsia" w:ascii="仿宋_GB2312" w:hAnsi="仿宋_GB2312" w:eastAsia="仿宋_GB2312" w:cs="仿宋_GB2312"/>
          <w:sz w:val="24"/>
          <w:szCs w:val="24"/>
          <w:highlight w:val="none"/>
        </w:rPr>
      </w:pPr>
      <w:bookmarkStart w:id="56" w:name="_GoBack"/>
      <w:bookmarkEnd w:id="56"/>
    </w:p>
    <w:p w14:paraId="04423F78">
      <w:pPr>
        <w:pStyle w:val="15"/>
        <w:spacing w:line="240" w:lineRule="auto"/>
        <w:ind w:firstLine="420"/>
        <w:rPr>
          <w:rFonts w:hint="eastAsia" w:ascii="仿宋_GB2312" w:hAnsi="仿宋_GB2312" w:eastAsia="仿宋_GB2312" w:cs="仿宋_GB2312"/>
          <w:sz w:val="24"/>
          <w:szCs w:val="24"/>
          <w:highlight w:val="none"/>
        </w:rPr>
      </w:pPr>
    </w:p>
    <w:p w14:paraId="266B56D2">
      <w:pPr>
        <w:pStyle w:val="15"/>
        <w:spacing w:line="240" w:lineRule="auto"/>
        <w:ind w:firstLine="420"/>
        <w:rPr>
          <w:rFonts w:hint="eastAsia" w:ascii="仿宋_GB2312" w:hAnsi="仿宋_GB2312" w:eastAsia="仿宋_GB2312" w:cs="仿宋_GB2312"/>
          <w:sz w:val="24"/>
          <w:szCs w:val="24"/>
          <w:highlight w:val="none"/>
        </w:rPr>
      </w:pPr>
    </w:p>
    <w:p w14:paraId="55408DE5">
      <w:pPr>
        <w:pStyle w:val="15"/>
        <w:spacing w:line="240" w:lineRule="auto"/>
        <w:ind w:firstLine="420"/>
        <w:rPr>
          <w:rFonts w:hint="eastAsia" w:ascii="仿宋_GB2312" w:hAnsi="仿宋_GB2312" w:eastAsia="仿宋_GB2312" w:cs="仿宋_GB2312"/>
          <w:sz w:val="24"/>
          <w:szCs w:val="24"/>
          <w:highlight w:val="none"/>
        </w:rPr>
      </w:pPr>
    </w:p>
    <w:p w14:paraId="58C0AAD0">
      <w:pPr>
        <w:pStyle w:val="15"/>
        <w:spacing w:line="240" w:lineRule="auto"/>
        <w:ind w:firstLine="420"/>
        <w:rPr>
          <w:rFonts w:hint="eastAsia" w:ascii="仿宋_GB2312" w:hAnsi="仿宋_GB2312" w:eastAsia="仿宋_GB2312" w:cs="仿宋_GB2312"/>
          <w:sz w:val="24"/>
          <w:szCs w:val="24"/>
          <w:highlight w:val="none"/>
        </w:rPr>
      </w:pPr>
    </w:p>
    <w:p w14:paraId="42C593A8">
      <w:pPr>
        <w:pStyle w:val="15"/>
        <w:spacing w:line="240" w:lineRule="auto"/>
        <w:ind w:left="0" w:leftChars="0" w:firstLine="0" w:firstLineChars="0"/>
        <w:rPr>
          <w:rFonts w:hint="eastAsia" w:ascii="宋体" w:hAnsi="宋体" w:eastAsia="宋体" w:cs="宋体"/>
          <w:sz w:val="21"/>
          <w:highlight w:val="none"/>
        </w:rPr>
      </w:pPr>
    </w:p>
    <w:p w14:paraId="02CCA942">
      <w:pPr>
        <w:pStyle w:val="14"/>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9"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9"/>
    </w:p>
    <w:p w14:paraId="7D2A3EA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8F3813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E11213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72BAF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0798F8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10C16DC">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4F23FDE">
      <w:pPr>
        <w:pStyle w:val="14"/>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1E6B8F29">
      <w:pPr>
        <w:pStyle w:val="14"/>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35D64567">
      <w:pPr>
        <w:pStyle w:val="14"/>
        <w:numPr>
          <w:ilvl w:val="0"/>
          <w:numId w:val="0"/>
        </w:numPr>
        <w:snapToGrid w:val="0"/>
        <w:spacing w:before="120" w:after="120"/>
        <w:ind w:leftChars="0"/>
        <w:jc w:val="center"/>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bCs/>
          <w:sz w:val="28"/>
          <w:szCs w:val="28"/>
          <w:lang w:val="en-US" w:eastAsia="zh-CN"/>
        </w:rPr>
        <w:t>南方网朋友圈广告投放服务项目采购需求书</w:t>
      </w:r>
    </w:p>
    <w:p w14:paraId="5F8B5DFB">
      <w:pPr>
        <w:pStyle w:val="7"/>
        <w:keepNext w:val="0"/>
        <w:keepLines w:val="0"/>
        <w:pageBreakBefore w:val="0"/>
        <w:kinsoku/>
        <w:overflowPunct/>
        <w:topLinePunct w:val="0"/>
        <w:bidi w:val="0"/>
        <w:snapToGrid/>
        <w:spacing w:before="0" w:beforeAutospacing="0" w:after="0" w:afterAutospacing="0" w:line="240" w:lineRule="auto"/>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（1）在2026年5月前，按甲方所需，在广东地区提供定向朋友圈图片或视频广告投放不少于两次；</w:t>
      </w:r>
    </w:p>
    <w:p w14:paraId="6F2913B1">
      <w:pPr>
        <w:pStyle w:val="7"/>
        <w:keepNext w:val="0"/>
        <w:keepLines w:val="0"/>
        <w:pageBreakBefore w:val="0"/>
        <w:kinsoku/>
        <w:overflowPunct/>
        <w:topLinePunct w:val="0"/>
        <w:bidi w:val="0"/>
        <w:snapToGrid/>
        <w:spacing w:before="0" w:beforeAutospacing="0" w:after="0" w:afterAutospacing="0" w:line="240" w:lineRule="auto"/>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（2）投放曝光量合共达到700万；</w:t>
      </w:r>
    </w:p>
    <w:p w14:paraId="6E22FE86">
      <w:pPr>
        <w:pStyle w:val="7"/>
        <w:keepNext w:val="0"/>
        <w:keepLines w:val="0"/>
        <w:pageBreakBefore w:val="0"/>
        <w:kinsoku/>
        <w:overflowPunct/>
        <w:topLinePunct w:val="0"/>
        <w:bidi w:val="0"/>
        <w:snapToGrid/>
        <w:spacing w:before="0" w:beforeAutospacing="0" w:after="0" w:afterAutospacing="0" w:line="240" w:lineRule="auto"/>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（3）服务期内，乙方每次开展投放业务后需向甲方确认推广成果；</w:t>
      </w:r>
    </w:p>
    <w:p w14:paraId="39F96298">
      <w:pPr>
        <w:pStyle w:val="7"/>
        <w:widowControl w:val="0"/>
        <w:numPr>
          <w:ilvl w:val="0"/>
          <w:numId w:val="0"/>
        </w:numPr>
        <w:spacing w:after="120"/>
        <w:jc w:val="left"/>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val="0"/>
          <w:bCs w:val="0"/>
          <w:color w:val="auto"/>
          <w:kern w:val="2"/>
          <w:sz w:val="28"/>
          <w:szCs w:val="28"/>
          <w:highlight w:val="none"/>
          <w:lang w:val="en-US" w:eastAsia="zh-CN" w:bidi="ar-SA"/>
        </w:rPr>
        <w:t xml:space="preserve">    （4）服务期满，乙方应按甲方要求生成项目验收总结报告，对本项目平台宣传推广的效果进行总结。</w:t>
      </w:r>
    </w:p>
    <w:p w14:paraId="2A5B7FD1">
      <w:pPr>
        <w:pStyle w:val="7"/>
        <w:widowControl w:val="0"/>
        <w:numPr>
          <w:ilvl w:val="0"/>
          <w:numId w:val="0"/>
        </w:numPr>
        <w:spacing w:after="12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EF2E647">
      <w:pPr>
        <w:pStyle w:val="14"/>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1917"/>
      <w:r>
        <w:rPr>
          <w:rFonts w:hint="eastAsia" w:ascii="方正小标宋简体" w:hAnsi="方正小标宋简体" w:eastAsia="方正小标宋简体" w:cs="方正小标宋简体"/>
          <w:b/>
          <w:kern w:val="2"/>
          <w:sz w:val="36"/>
          <w:szCs w:val="36"/>
          <w:lang w:val="en-US" w:eastAsia="zh-CN" w:bidi="ar-SA"/>
        </w:rPr>
        <w:t>商务合同</w:t>
      </w:r>
      <w:bookmarkEnd w:id="20"/>
    </w:p>
    <w:p w14:paraId="7BE2D53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93786C2">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5BFCE287">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419DEB58">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000000" w:themeColor="text1"/>
          <w:szCs w:val="21"/>
          <w:u w:val="single"/>
          <w:lang w:val="en-US" w:eastAsia="zh-CN"/>
          <w14:textFill>
            <w14:solidFill>
              <w14:schemeClr w14:val="tx1"/>
            </w14:solidFill>
          </w14:textFill>
        </w:rPr>
        <w:t xml:space="preserve">广东南方网络信息科技有限公司 </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029A873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4F136B8C">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4C65A543">
      <w:pPr>
        <w:spacing w:line="360" w:lineRule="auto"/>
        <w:jc w:val="center"/>
        <w:rPr>
          <w:rFonts w:hint="eastAsia" w:ascii="宋体" w:hAnsi="宋体" w:eastAsia="宋体" w:cs="宋体"/>
          <w:b/>
          <w:bCs w:val="0"/>
          <w:sz w:val="32"/>
          <w:szCs w:val="32"/>
          <w:lang w:val="en-US" w:eastAsia="zh-CN"/>
        </w:rPr>
      </w:pPr>
    </w:p>
    <w:p w14:paraId="1F9A2765">
      <w:pPr>
        <w:spacing w:line="360" w:lineRule="auto"/>
        <w:jc w:val="center"/>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bCs/>
          <w:sz w:val="28"/>
          <w:szCs w:val="28"/>
          <w:lang w:val="en-US" w:eastAsia="zh-CN"/>
        </w:rPr>
        <w:t>南方网朋友圈广告投放服务项目</w:t>
      </w:r>
      <w:r>
        <w:rPr>
          <w:rFonts w:hint="eastAsia" w:ascii="仿宋_GB2312" w:hAnsi="仿宋_GB2312" w:eastAsia="仿宋_GB2312" w:cs="仿宋_GB2312"/>
          <w:b/>
          <w:bCs w:val="0"/>
          <w:sz w:val="28"/>
          <w:szCs w:val="28"/>
          <w:lang w:val="en-US" w:eastAsia="zh-CN"/>
        </w:rPr>
        <w:t xml:space="preserve">合同书 </w:t>
      </w:r>
    </w:p>
    <w:p w14:paraId="6FB9EFD0">
      <w:pPr>
        <w:pStyle w:val="7"/>
        <w:rPr>
          <w:rFonts w:hint="eastAsia" w:ascii="仿宋_GB2312" w:hAnsi="仿宋_GB2312" w:eastAsia="仿宋_GB2312" w:cs="仿宋_GB2312"/>
          <w:sz w:val="28"/>
          <w:szCs w:val="28"/>
          <w:lang w:val="en-US" w:eastAsia="zh-CN"/>
        </w:rPr>
      </w:pPr>
    </w:p>
    <w:p w14:paraId="06C03A8B">
      <w:pPr>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甲方：</w:t>
      </w:r>
      <w:r>
        <w:rPr>
          <w:rFonts w:hint="eastAsia" w:ascii="仿宋_GB2312" w:hAnsi="仿宋_GB2312" w:eastAsia="仿宋_GB2312" w:cs="仿宋_GB2312"/>
          <w:b/>
          <w:sz w:val="28"/>
          <w:szCs w:val="28"/>
          <w:lang w:val="en-US" w:eastAsia="zh-CN"/>
        </w:rPr>
        <w:t>广东南方网络信息科技有限公司</w:t>
      </w:r>
    </w:p>
    <w:p w14:paraId="33909251">
      <w:pPr>
        <w:adjustRightInd w:val="0"/>
        <w:snapToGrid w:val="0"/>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公司地址：广东省广州市越秀区广州大道中289号新闻中心3楼整层</w:t>
      </w:r>
    </w:p>
    <w:p w14:paraId="42BA64F7">
      <w:pPr>
        <w:adjustRightInd w:val="0"/>
        <w:snapToGrid w:val="0"/>
        <w:spacing w:line="360" w:lineRule="auto"/>
        <w:rPr>
          <w:rFonts w:hint="eastAsia" w:ascii="仿宋_GB2312" w:hAnsi="仿宋_GB2312" w:eastAsia="仿宋_GB2312" w:cs="仿宋_GB2312"/>
          <w:b/>
          <w:sz w:val="28"/>
          <w:szCs w:val="28"/>
        </w:rPr>
      </w:pPr>
    </w:p>
    <w:p w14:paraId="28CAA05B">
      <w:pPr>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乙方：</w:t>
      </w:r>
    </w:p>
    <w:p w14:paraId="43FC1D9C">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公司地址：</w:t>
      </w:r>
    </w:p>
    <w:p w14:paraId="0C58FCA3">
      <w:pPr>
        <w:adjustRightInd w:val="0"/>
        <w:snapToGrid w:val="0"/>
        <w:spacing w:line="360" w:lineRule="auto"/>
        <w:rPr>
          <w:rFonts w:hint="eastAsia" w:ascii="仿宋_GB2312" w:hAnsi="仿宋_GB2312" w:eastAsia="仿宋_GB2312" w:cs="仿宋_GB2312"/>
          <w:sz w:val="28"/>
          <w:szCs w:val="28"/>
        </w:rPr>
      </w:pPr>
    </w:p>
    <w:p w14:paraId="09E64782">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甲乙双方依照《中华人民共和国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》、《中华人民共和国广告法》、《中华人民共和国著作权法》等有关法律、法规，就甲方委托乙方协助其在腾讯广告服务平台进行宣传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广告投放等事宜，经友好协商，签订如下协议：</w:t>
      </w:r>
    </w:p>
    <w:p w14:paraId="0D6B664A">
      <w:pPr>
        <w:adjustRightInd w:val="0"/>
        <w:snapToGrid w:val="0"/>
        <w:spacing w:line="360" w:lineRule="auto"/>
        <w:rPr>
          <w:rFonts w:hint="eastAsia" w:ascii="仿宋_GB2312" w:hAnsi="仿宋_GB2312" w:eastAsia="仿宋_GB2312" w:cs="仿宋_GB2312"/>
          <w:sz w:val="28"/>
          <w:szCs w:val="28"/>
        </w:rPr>
      </w:pPr>
    </w:p>
    <w:p w14:paraId="57DA473B">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第一条 合作事项</w:t>
      </w:r>
    </w:p>
    <w:p w14:paraId="0BB36D1A">
      <w:pPr>
        <w:pStyle w:val="3"/>
        <w:tabs>
          <w:tab w:val="left" w:pos="1080"/>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1、甲方委托乙方在腾讯广告服务平台为甲方提供宣传推广服务，并因此向乙方支付约定的费用报酬。</w:t>
      </w:r>
    </w:p>
    <w:p w14:paraId="6DD2E70B">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2、本协议约定的推广服务的项目名称为：</w:t>
      </w:r>
      <w:r>
        <w:rPr>
          <w:rFonts w:hint="eastAsia" w:ascii="仿宋_GB2312" w:hAnsi="仿宋_GB2312" w:eastAsia="仿宋_GB2312" w:cs="仿宋_GB2312"/>
          <w:kern w:val="2"/>
          <w:sz w:val="28"/>
          <w:szCs w:val="28"/>
          <w:u w:val="single"/>
          <w:lang w:val="en-US" w:eastAsia="zh-CN" w:bidi="ar-SA"/>
        </w:rPr>
        <w:t xml:space="preserve"> 朋友圈广告投放服务项目 </w:t>
      </w:r>
      <w:r>
        <w:rPr>
          <w:rFonts w:hint="eastAsia" w:ascii="仿宋_GB2312" w:hAnsi="仿宋_GB2312" w:eastAsia="仿宋_GB2312" w:cs="仿宋_GB2312"/>
          <w:sz w:val="28"/>
          <w:szCs w:val="28"/>
        </w:rPr>
        <w:t>。</w:t>
      </w:r>
    </w:p>
    <w:p w14:paraId="2D92B1DD">
      <w:pPr>
        <w:pStyle w:val="3"/>
        <w:tabs>
          <w:tab w:val="left" w:pos="1080"/>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3、根据与甲方沟通，针对本项目，乙方在腾讯广告服务平台</w:t>
      </w:r>
      <w:r>
        <w:rPr>
          <w:rFonts w:hint="eastAsia" w:ascii="仿宋_GB2312" w:hAnsi="仿宋_GB2312" w:eastAsia="仿宋_GB2312" w:cs="仿宋_GB2312"/>
          <w:sz w:val="28"/>
          <w:szCs w:val="28"/>
          <w:u w:val="single"/>
          <w:lang w:val="en-US" w:eastAsia="zh-CN"/>
        </w:rPr>
        <w:t xml:space="preserve"> 朋友圈广告 </w:t>
      </w:r>
      <w:r>
        <w:rPr>
          <w:rFonts w:hint="eastAsia" w:ascii="仿宋_GB2312" w:hAnsi="仿宋_GB2312" w:eastAsia="仿宋_GB2312" w:cs="仿宋_GB2312"/>
          <w:sz w:val="28"/>
          <w:szCs w:val="28"/>
        </w:rPr>
        <w:t>进行宣传推广。</w:t>
      </w:r>
    </w:p>
    <w:p w14:paraId="07099C85">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本协议所指的“腾讯广告服务平台”系指由北京腾讯文化传媒有限公司或其关联公司、或其合作伙伴自主研发并运营的广告平台（包括广点通系统、微信公众平台广告服务系统、品牌排期广告系统等、具体以腾讯广告服务平台实际提供为准，简称“腾讯平台”），甲方有权选择进行广告投放的具体渠道平台。</w:t>
      </w:r>
    </w:p>
    <w:p w14:paraId="2BDD6E99">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本协议所指的“甲方产品”是指甲方指定的商品、服务或其他任何合法的宣传对象。无论该商品或服务是甲方自己所有或经营，还是由他人所有或经营，甲方均享有履行本协议所需要的包括但不限于著作权、商标权、肖像权等合法数据推广权利。</w:t>
      </w:r>
    </w:p>
    <w:p w14:paraId="51A42FFE">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6、本协议所指的“数据推广”是可能包含以下一种方式或几种方式的结合：</w:t>
      </w:r>
    </w:p>
    <w:p w14:paraId="1CE613DC">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广告发布：在腾讯广告服务平台上为甲方产品以图片、文字、视频、音频等形式发布广告；</w:t>
      </w:r>
    </w:p>
    <w:p w14:paraId="29CD8238">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推介内容发布：由甲方提供对其产品进行描述、介绍或推广的、以文字为主要表现形式的内容，并在腾讯广告服务平台发布；</w:t>
      </w:r>
    </w:p>
    <w:p w14:paraId="67338600">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链接推广：由甲方提供网络链接地址，并在腾讯广告服务平台发布。腾讯广告服务平台的用户可以通过点击链接跳转到相应网页，甲方应保证跳转链接所指向的落地页内容及资质的合法性。</w:t>
      </w:r>
    </w:p>
    <w:p w14:paraId="04F0E868">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根据我方指定条件，能对投放目标人群进行筛选，并在定点范围内实现朋友圈有效投放。</w:t>
      </w:r>
    </w:p>
    <w:p w14:paraId="70C5C435">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通过点击投放内容跳转广州公积金微信公众号的功能，并根据广告触发用户进行画像分析和人群拓展lookalike，在腾讯流量生态中为公积金公众号进行人群扩充。实现“高潜”人群与广州公积金宣传匹配，从而更有效地、更为精准地触达目标用户。</w:t>
      </w:r>
    </w:p>
    <w:p w14:paraId="6FE93454">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精准定制投放数量，优化用户属性和标签：通过用户行为、人群属性、行业标签以及关键词等类别，使广告能够传达给客户目标人群，同时在运营中验证，验证时复盘优化，完善感兴趣人群的用户画像，完成用户转化。</w:t>
      </w:r>
    </w:p>
    <w:p w14:paraId="585824E6">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投放结束后，生成广告触达人群分析报告，包括但不限于对用户属性、用户行为、行为标签等内容进行分析，逐步完善公积金用户画像，实现广告转化。</w:t>
      </w:r>
    </w:p>
    <w:p w14:paraId="061F034A">
      <w:pPr>
        <w:pStyle w:val="3"/>
        <w:numPr>
          <w:ilvl w:val="0"/>
          <w:numId w:val="0"/>
        </w:numPr>
        <w:adjustRightInd w:val="0"/>
        <w:snapToGrid w:val="0"/>
        <w:ind w:left="426" w:leftChars="0"/>
        <w:rPr>
          <w:rFonts w:hint="eastAsia" w:ascii="仿宋_GB2312" w:hAnsi="仿宋_GB2312" w:eastAsia="仿宋_GB2312" w:cs="仿宋_GB2312"/>
          <w:sz w:val="28"/>
          <w:szCs w:val="28"/>
        </w:rPr>
      </w:pPr>
    </w:p>
    <w:p w14:paraId="2FE42FB7">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第二条 数据推广方式</w:t>
      </w:r>
    </w:p>
    <w:p w14:paraId="00AFED64">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竞价广告推广：</w:t>
      </w:r>
    </w:p>
    <w:p w14:paraId="6F214D07">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竞价广告推广指依据《广告竞价规则》进行竞价推广，包括但不限于 CPM、CPC、OCPM、OCPC、CPV等竞价投放；对于竞价推广方式，甲方委托乙方在广告后台开通相应的账号，以线上竞价方式投放广告。</w:t>
      </w:r>
    </w:p>
    <w:p w14:paraId="56F3FFE8">
      <w:pPr>
        <w:pStyle w:val="3"/>
        <w:adjustRightInd w:val="0"/>
        <w:snapToGrid w:val="0"/>
        <w:spacing w:line="400" w:lineRule="exact"/>
        <w:ind w:left="852" w:leftChars="405" w:hanging="2" w:firstLineChars="0"/>
        <w:rPr>
          <w:rFonts w:hint="eastAsia" w:ascii="仿宋_GB2312" w:hAnsi="仿宋_GB2312" w:eastAsia="仿宋_GB2312" w:cs="仿宋_GB2312"/>
          <w:sz w:val="28"/>
          <w:szCs w:val="28"/>
        </w:rPr>
      </w:pPr>
    </w:p>
    <w:p w14:paraId="6719CD83">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第三条 合作期间</w:t>
      </w:r>
    </w:p>
    <w:p w14:paraId="0C53C7A2">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甲乙双方的合作期间为： </w:t>
      </w:r>
      <w:r>
        <w:rPr>
          <w:rFonts w:hint="eastAsia" w:ascii="仿宋_GB2312" w:hAnsi="仿宋_GB2312" w:eastAsia="仿宋_GB2312" w:cs="仿宋_GB2312"/>
          <w:sz w:val="28"/>
          <w:szCs w:val="28"/>
          <w:u w:val="single"/>
          <w:lang w:val="en-US" w:eastAsia="zh-CN"/>
        </w:rPr>
        <w:t>合同签订之日起至2026年5月1日</w:t>
      </w:r>
      <w:r>
        <w:rPr>
          <w:rFonts w:hint="eastAsia" w:ascii="仿宋_GB2312" w:hAnsi="仿宋_GB2312" w:eastAsia="仿宋_GB2312" w:cs="仿宋_GB2312"/>
          <w:sz w:val="28"/>
          <w:szCs w:val="28"/>
          <w:lang w:val="en-US" w:eastAsia="zh-CN"/>
        </w:rPr>
        <w:t>（广告投放期以腾讯广告平台审核通过并上线投放为准）</w:t>
      </w:r>
    </w:p>
    <w:p w14:paraId="04B79CDB">
      <w:pPr>
        <w:adjustRightInd w:val="0"/>
        <w:snapToGrid w:val="0"/>
        <w:spacing w:line="360" w:lineRule="auto"/>
        <w:rPr>
          <w:rFonts w:hint="eastAsia" w:ascii="仿宋_GB2312" w:hAnsi="仿宋_GB2312" w:eastAsia="仿宋_GB2312" w:cs="仿宋_GB2312"/>
          <w:sz w:val="28"/>
          <w:szCs w:val="28"/>
        </w:rPr>
      </w:pPr>
    </w:p>
    <w:p w14:paraId="61C0E929">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第四条 宣传推广内容的提交及审核</w:t>
      </w:r>
    </w:p>
    <w:p w14:paraId="0DD43C6D">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1、在本协议约定的范围内，宣传推广的具体内容由甲方提交给乙方并经腾讯广告服务平台审查后接受的为准。</w:t>
      </w:r>
    </w:p>
    <w:p w14:paraId="193A4548">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2、依据广告投放的方式，甲方应将相应的广告内容素材提前提交给乙方，这些内容素材可能包括：视频素材、推介文章样稿、链接地址等。</w:t>
      </w:r>
    </w:p>
    <w:p w14:paraId="461617D5">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3、甲方应当在广告投放前提前至少2个工作日将内容素材提交乙方。</w:t>
      </w:r>
    </w:p>
    <w:p w14:paraId="2D052B09">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4、乙方将依据本协议的约定对甲方提交的内容素材进行审查，乙方的审查责任限于：</w:t>
      </w:r>
    </w:p>
    <w:p w14:paraId="569BF985">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（1）对于广告，乙方依据《中华人民共和国广告法》及相关法律，对广告内容的合法性进行形式审查；</w:t>
      </w:r>
    </w:p>
    <w:p w14:paraId="61D84962">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（2）对于推介文章，乙方依据相关法律对文章内容进行形式审查；</w:t>
      </w:r>
    </w:p>
    <w:p w14:paraId="1FD7979F">
      <w:pPr>
        <w:pStyle w:val="3"/>
        <w:tabs>
          <w:tab w:val="left" w:pos="1080"/>
          <w:tab w:val="left" w:pos="5175"/>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（3）对于链接，乙方仅在技术上审查链接地址是否支持手机、平板电脑等移动终端设备适配且能快速顺利打开。乙方不负责对链接网页的内容进行审查。</w:t>
      </w:r>
    </w:p>
    <w:p w14:paraId="5205F481">
      <w:pPr>
        <w:pStyle w:val="3"/>
        <w:tabs>
          <w:tab w:val="left" w:pos="1080"/>
          <w:tab w:val="left" w:pos="4962"/>
        </w:tabs>
        <w:adjustRightInd w:val="0"/>
        <w:snapToGrid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甲方应确保并为提交内容素材的真实性、合法性负责。因提交内容素材侵犯第三人权利的，乙方不承担任何责任；无论是否属于乙方审查责任范围内，只要乙方发现甲方内容素材为法律禁止发布或若发布将很可能导致违法风险，或存在严重违背社会公序良俗的情形的，乙方均可拒绝或停止对此内容提供推广服务。但乙方应及时通知甲方该等情形的存在并说明理由。</w:t>
      </w:r>
    </w:p>
    <w:p w14:paraId="4B20AE50">
      <w:pPr>
        <w:adjustRightInd w:val="0"/>
        <w:snapToGrid w:val="0"/>
        <w:spacing w:line="360" w:lineRule="auto"/>
        <w:rPr>
          <w:rFonts w:hint="eastAsia" w:ascii="仿宋_GB2312" w:hAnsi="仿宋_GB2312" w:eastAsia="仿宋_GB2312" w:cs="仿宋_GB2312"/>
          <w:b/>
          <w:sz w:val="28"/>
          <w:szCs w:val="28"/>
        </w:rPr>
      </w:pPr>
    </w:p>
    <w:p w14:paraId="2CED8D75">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第五条 广告数据统计</w:t>
      </w:r>
    </w:p>
    <w:p w14:paraId="271B0F35">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1、甲乙双方确认，本协议项下的所有数据（包括但不限于信息发布位、发布时间、浏览量、点击量等）由乙方统计。乙方保证统计数据的客观、真实</w:t>
      </w:r>
      <w:r>
        <w:rPr>
          <w:rFonts w:hint="eastAsia" w:ascii="仿宋_GB2312" w:hAnsi="仿宋_GB2312" w:eastAsia="仿宋_GB2312" w:cs="仿宋_GB2312"/>
          <w:sz w:val="28"/>
          <w:szCs w:val="28"/>
          <w:lang w:eastAsia="zh-CN"/>
        </w:rPr>
        <w:t>、准确、完整</w:t>
      </w:r>
      <w:r>
        <w:rPr>
          <w:rFonts w:hint="eastAsia" w:ascii="仿宋_GB2312" w:hAnsi="仿宋_GB2312" w:eastAsia="仿宋_GB2312" w:cs="仿宋_GB2312"/>
          <w:sz w:val="28"/>
          <w:szCs w:val="28"/>
        </w:rPr>
        <w:t>。</w:t>
      </w:r>
    </w:p>
    <w:p w14:paraId="3E77EBFA">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2、甲方可自行委托第三方统计机构进行数据统计，但第三方统计机构应同时向甲乙双方报送书面统计结果。</w:t>
      </w:r>
    </w:p>
    <w:p w14:paraId="19BD3285">
      <w:pPr>
        <w:adjustRightInd w:val="0"/>
        <w:snapToGrid w:val="0"/>
        <w:spacing w:line="360" w:lineRule="auto"/>
        <w:rPr>
          <w:rFonts w:hint="eastAsia" w:ascii="仿宋_GB2312" w:hAnsi="仿宋_GB2312" w:eastAsia="仿宋_GB2312" w:cs="仿宋_GB2312"/>
          <w:sz w:val="28"/>
          <w:szCs w:val="28"/>
        </w:rPr>
      </w:pPr>
    </w:p>
    <w:p w14:paraId="67B91471">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第六条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sz w:val="28"/>
          <w:szCs w:val="28"/>
        </w:rPr>
        <w:t>宣传推广费用</w:t>
      </w:r>
    </w:p>
    <w:p w14:paraId="7D3DABFC">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1、支付期限</w:t>
      </w:r>
    </w:p>
    <w:p w14:paraId="5B5822A4">
      <w:pPr>
        <w:pStyle w:val="16"/>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分两期支付，第一期为合约金额的50%，即</w:t>
      </w:r>
      <w:r>
        <w:rPr>
          <w:rFonts w:hint="eastAsia" w:ascii="仿宋_GB2312" w:hAnsi="仿宋_GB2312" w:eastAsia="仿宋_GB2312" w:cs="仿宋_GB2312"/>
          <w:kern w:val="2"/>
          <w:sz w:val="28"/>
          <w:szCs w:val="28"/>
          <w:u w:val="single"/>
          <w:lang w:val="en-US" w:eastAsia="zh-CN" w:bidi="ar-SA"/>
        </w:rPr>
        <w:t xml:space="preserve">       </w:t>
      </w:r>
      <w:r>
        <w:rPr>
          <w:rFonts w:hint="eastAsia" w:ascii="仿宋_GB2312" w:hAnsi="仿宋_GB2312" w:eastAsia="仿宋_GB2312" w:cs="仿宋_GB2312"/>
          <w:kern w:val="2"/>
          <w:sz w:val="28"/>
          <w:szCs w:val="28"/>
          <w:u w:val="none"/>
          <w:lang w:val="en-US" w:eastAsia="zh-CN" w:bidi="ar-SA"/>
        </w:rPr>
        <w:t>元</w:t>
      </w:r>
      <w:r>
        <w:rPr>
          <w:rFonts w:hint="eastAsia" w:ascii="仿宋_GB2312" w:hAnsi="仿宋_GB2312" w:eastAsia="仿宋_GB2312" w:cs="仿宋_GB2312"/>
          <w:kern w:val="2"/>
          <w:sz w:val="28"/>
          <w:szCs w:val="28"/>
          <w:lang w:val="en-US" w:eastAsia="zh-CN" w:bidi="ar-SA"/>
        </w:rPr>
        <w:t>，于签合同后、乙方向甲方提供有效发票后的一个月内，在甲方收到最终客户发对应款项的前提下，由甲方支付给乙方；第二期为合约金额的50%，即</w:t>
      </w:r>
      <w:r>
        <w:rPr>
          <w:rFonts w:hint="eastAsia" w:ascii="仿宋_GB2312" w:hAnsi="仿宋_GB2312" w:eastAsia="仿宋_GB2312" w:cs="仿宋_GB2312"/>
          <w:kern w:val="2"/>
          <w:sz w:val="28"/>
          <w:szCs w:val="28"/>
          <w:u w:val="single"/>
          <w:lang w:val="en-US" w:eastAsia="zh-CN" w:bidi="ar-SA"/>
        </w:rPr>
        <w:t xml:space="preserve">         </w:t>
      </w:r>
      <w:r>
        <w:rPr>
          <w:rFonts w:hint="eastAsia" w:ascii="仿宋_GB2312" w:hAnsi="仿宋_GB2312" w:eastAsia="仿宋_GB2312" w:cs="仿宋_GB2312"/>
          <w:kern w:val="2"/>
          <w:sz w:val="28"/>
          <w:szCs w:val="28"/>
          <w:u w:val="none"/>
          <w:lang w:val="en-US" w:eastAsia="zh-CN" w:bidi="ar-SA"/>
        </w:rPr>
        <w:t>元</w:t>
      </w:r>
      <w:r>
        <w:rPr>
          <w:rFonts w:hint="eastAsia" w:ascii="仿宋_GB2312" w:hAnsi="仿宋_GB2312" w:eastAsia="仿宋_GB2312" w:cs="仿宋_GB2312"/>
          <w:kern w:val="2"/>
          <w:sz w:val="28"/>
          <w:szCs w:val="28"/>
          <w:lang w:val="en-US" w:eastAsia="zh-CN" w:bidi="ar-SA"/>
        </w:rPr>
        <w:t>，于项目验收后、乙方向甲方提供有效发票后的一个月内，在甲方收到最终客户发对应款项的前提下，由甲方支付给乙方。（乙方每次投放后需向甲方提供投放成效汇总报告以作验收用，合共两次）</w:t>
      </w:r>
    </w:p>
    <w:p w14:paraId="578E79EE">
      <w:pPr>
        <w:pStyle w:val="16"/>
        <w:rPr>
          <w:rFonts w:hint="eastAsia" w:ascii="仿宋_GB2312" w:hAnsi="仿宋_GB2312" w:eastAsia="仿宋_GB2312" w:cs="仿宋_GB2312"/>
          <w:sz w:val="28"/>
          <w:szCs w:val="28"/>
          <w:lang w:val="en-US"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14:paraId="3A0E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noWrap w:val="0"/>
            <w:vAlign w:val="top"/>
          </w:tcPr>
          <w:p w14:paraId="2F9943D6">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投放地区</w:t>
            </w:r>
          </w:p>
        </w:tc>
        <w:tc>
          <w:tcPr>
            <w:tcW w:w="2130" w:type="dxa"/>
            <w:noWrap w:val="0"/>
            <w:vAlign w:val="top"/>
          </w:tcPr>
          <w:p w14:paraId="0575289B">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曝光量（CPM）</w:t>
            </w:r>
          </w:p>
        </w:tc>
        <w:tc>
          <w:tcPr>
            <w:tcW w:w="2130" w:type="dxa"/>
            <w:noWrap w:val="0"/>
            <w:vAlign w:val="top"/>
          </w:tcPr>
          <w:p w14:paraId="4454CFA4">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单价（CPM）</w:t>
            </w:r>
          </w:p>
        </w:tc>
        <w:tc>
          <w:tcPr>
            <w:tcW w:w="2130" w:type="dxa"/>
            <w:noWrap w:val="0"/>
            <w:vAlign w:val="top"/>
          </w:tcPr>
          <w:p w14:paraId="24A5EA10">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总金额（元）</w:t>
            </w:r>
          </w:p>
        </w:tc>
      </w:tr>
      <w:tr w14:paraId="65400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noWrap w:val="0"/>
            <w:vAlign w:val="top"/>
          </w:tcPr>
          <w:p w14:paraId="2991C68A">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广东</w:t>
            </w:r>
          </w:p>
        </w:tc>
        <w:tc>
          <w:tcPr>
            <w:tcW w:w="2130" w:type="dxa"/>
            <w:noWrap w:val="0"/>
            <w:vAlign w:val="top"/>
          </w:tcPr>
          <w:p w14:paraId="30155A38">
            <w:pPr>
              <w:adjustRightInd w:val="0"/>
              <w:snapToGrid w:val="0"/>
              <w:spacing w:line="360" w:lineRule="auto"/>
              <w:jc w:val="center"/>
              <w:rPr>
                <w:rFonts w:hint="default" w:ascii="仿宋_GB2312" w:hAnsi="仿宋_GB2312" w:eastAsia="宋体" w:cs="仿宋_GB2312"/>
                <w:sz w:val="28"/>
                <w:szCs w:val="28"/>
                <w:vertAlign w:val="baseline"/>
                <w:lang w:val="en-US" w:eastAsia="zh-CN"/>
              </w:rPr>
            </w:pPr>
            <w:r>
              <w:rPr>
                <w:rFonts w:hint="eastAsia" w:ascii="仿宋_GB2312" w:hAnsi="仿宋_GB2312" w:eastAsia="仿宋_GB2312" w:cs="仿宋_GB2312"/>
                <w:sz w:val="28"/>
                <w:szCs w:val="28"/>
                <w:lang w:val="en-US" w:eastAsia="zh-CN"/>
              </w:rPr>
              <w:t>7000</w:t>
            </w:r>
          </w:p>
        </w:tc>
        <w:tc>
          <w:tcPr>
            <w:tcW w:w="2130" w:type="dxa"/>
            <w:noWrap w:val="0"/>
            <w:vAlign w:val="top"/>
          </w:tcPr>
          <w:p w14:paraId="1D53C449">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p>
        </w:tc>
        <w:tc>
          <w:tcPr>
            <w:tcW w:w="2130" w:type="dxa"/>
            <w:noWrap w:val="0"/>
            <w:vAlign w:val="top"/>
          </w:tcPr>
          <w:p w14:paraId="5D96E47E">
            <w:pPr>
              <w:adjustRightInd w:val="0"/>
              <w:snapToGrid w:val="0"/>
              <w:spacing w:line="360" w:lineRule="auto"/>
              <w:jc w:val="center"/>
              <w:rPr>
                <w:rFonts w:hint="eastAsia" w:ascii="仿宋_GB2312" w:hAnsi="仿宋_GB2312" w:eastAsia="仿宋_GB2312" w:cs="仿宋_GB2312"/>
                <w:sz w:val="28"/>
                <w:szCs w:val="28"/>
                <w:vertAlign w:val="baseline"/>
                <w:lang w:val="en-US" w:eastAsia="zh-CN"/>
              </w:rPr>
            </w:pPr>
          </w:p>
        </w:tc>
      </w:tr>
    </w:tbl>
    <w:p w14:paraId="284AE5EE">
      <w:pPr>
        <w:adjustRightInd w:val="0"/>
        <w:snapToGrid w:val="0"/>
        <w:spacing w:line="360" w:lineRule="auto"/>
        <w:rPr>
          <w:rFonts w:hint="eastAsia" w:ascii="仿宋_GB2312" w:hAnsi="仿宋_GB2312" w:eastAsia="仿宋_GB2312" w:cs="仿宋_GB2312"/>
          <w:sz w:val="28"/>
          <w:szCs w:val="28"/>
          <w:lang w:val="en-US" w:eastAsia="zh-CN"/>
        </w:rPr>
      </w:pPr>
    </w:p>
    <w:p w14:paraId="163C7EFE">
      <w:pPr>
        <w:adjustRightInd w:val="0"/>
        <w:snapToGrid w:val="0"/>
        <w:spacing w:line="360" w:lineRule="auto"/>
        <w:rPr>
          <w:rFonts w:hint="eastAsia" w:ascii="仿宋_GB2312" w:hAnsi="仿宋_GB2312" w:eastAsia="仿宋_GB2312" w:cs="仿宋_GB2312"/>
          <w:sz w:val="28"/>
          <w:szCs w:val="28"/>
        </w:rPr>
      </w:pPr>
    </w:p>
    <w:p w14:paraId="1B0839D1">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2、甲方应将费用支付到如下乙方指定的银行账户：</w:t>
      </w:r>
    </w:p>
    <w:p w14:paraId="27E05E9B">
      <w:pPr>
        <w:widowControl/>
        <w:spacing w:line="360" w:lineRule="auto"/>
        <w:jc w:val="left"/>
        <w:rPr>
          <w:rFonts w:hint="eastAsia" w:ascii="仿宋_GB2312" w:hAnsi="仿宋_GB2312" w:eastAsia="仿宋_GB2312" w:cs="仿宋_GB2312"/>
          <w:bCs/>
          <w:kern w:val="0"/>
          <w:sz w:val="28"/>
          <w:szCs w:val="28"/>
          <w:lang w:eastAsia="zh-CN"/>
        </w:rPr>
      </w:pPr>
      <w:r>
        <w:rPr>
          <w:rFonts w:hint="eastAsia" w:ascii="仿宋_GB2312" w:hAnsi="仿宋_GB2312" w:eastAsia="仿宋_GB2312" w:cs="仿宋_GB2312"/>
          <w:bCs/>
          <w:sz w:val="28"/>
          <w:szCs w:val="28"/>
        </w:rPr>
        <w:t>公司户名：</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br w:type="textWrapping"/>
      </w:r>
      <w:r>
        <w:rPr>
          <w:rFonts w:hint="eastAsia" w:ascii="仿宋_GB2312" w:hAnsi="仿宋_GB2312" w:eastAsia="仿宋_GB2312" w:cs="仿宋_GB2312"/>
          <w:bCs/>
          <w:kern w:val="0"/>
          <w:sz w:val="28"/>
          <w:szCs w:val="28"/>
        </w:rPr>
        <w:t>开户银行：</w:t>
      </w:r>
      <w:r>
        <w:rPr>
          <w:rFonts w:hint="eastAsia" w:ascii="仿宋_GB2312" w:hAnsi="仿宋_GB2312" w:eastAsia="仿宋_GB2312" w:cs="仿宋_GB2312"/>
          <w:bCs/>
          <w:kern w:val="0"/>
          <w:sz w:val="28"/>
          <w:szCs w:val="28"/>
          <w:lang w:val="en-US" w:eastAsia="zh-CN"/>
        </w:rPr>
        <w:t xml:space="preserve"> </w:t>
      </w:r>
    </w:p>
    <w:p w14:paraId="2CAF640E">
      <w:pPr>
        <w:widowControl/>
        <w:spacing w:line="36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Cs/>
          <w:kern w:val="0"/>
          <w:sz w:val="28"/>
          <w:szCs w:val="28"/>
        </w:rPr>
        <w:t>公司账号：</w:t>
      </w:r>
      <w:r>
        <w:rPr>
          <w:rFonts w:hint="eastAsia" w:ascii="仿宋_GB2312" w:hAnsi="仿宋_GB2312" w:eastAsia="仿宋_GB2312" w:cs="仿宋_GB2312"/>
          <w:bCs/>
          <w:kern w:val="0"/>
          <w:sz w:val="28"/>
          <w:szCs w:val="28"/>
          <w:lang w:val="en-US" w:eastAsia="zh-CN"/>
        </w:rPr>
        <w:t xml:space="preserve"> </w:t>
      </w:r>
    </w:p>
    <w:p w14:paraId="3719632E">
      <w:pPr>
        <w:adjustRightInd w:val="0"/>
        <w:snapToGrid w:val="0"/>
        <w:spacing w:line="360" w:lineRule="auto"/>
        <w:rPr>
          <w:rFonts w:hint="eastAsia" w:ascii="仿宋_GB2312" w:hAnsi="仿宋_GB2312" w:eastAsia="仿宋_GB2312" w:cs="仿宋_GB2312"/>
          <w:b/>
          <w:sz w:val="28"/>
          <w:szCs w:val="28"/>
        </w:rPr>
      </w:pPr>
    </w:p>
    <w:p w14:paraId="4290593F">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第七条 违约责任</w:t>
      </w:r>
    </w:p>
    <w:p w14:paraId="0B2E525D">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1、甲方应按照本协议约定的时间和数额支付数据推广费用。如甲方未按约定及时足额支付费用，每延误一天，需按欠付费用总额的3‰支付违约金。</w:t>
      </w:r>
    </w:p>
    <w:p w14:paraId="59A9FE0C">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若未经甲方允许将甲方商业秘密、推广数据等信息内容进行转移、复制、传播、转让、许可或以任何方式披露、允许、提供他人使用，或从事任何其他非本协议项下目的之外的商业或经营活动，甲方有权单方面解除本协议并向乙方追究责任。</w:t>
      </w:r>
    </w:p>
    <w:p w14:paraId="04232D23">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3、乙方若擅自对甲方数据内容进行重大删改，导致甲方欲宣传的产品或服务的社会评价严重降低的，甲方有权单方面解除本协议并向乙方追究责任。</w:t>
      </w:r>
    </w:p>
    <w:p w14:paraId="050C2953">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4、任何一方的解约通知必须以书面形式送达对方。</w:t>
      </w:r>
    </w:p>
    <w:p w14:paraId="562B7024">
      <w:pPr>
        <w:pStyle w:val="3"/>
        <w:tabs>
          <w:tab w:val="left" w:pos="1080"/>
        </w:tabs>
        <w:adjustRightInd w:val="0"/>
        <w:snapToGrid w:val="0"/>
        <w:ind w:firstLine="0" w:firstLineChars="0"/>
        <w:rPr>
          <w:rFonts w:hint="eastAsia" w:ascii="仿宋_GB2312" w:hAnsi="仿宋_GB2312" w:eastAsia="仿宋_GB2312" w:cs="仿宋_GB2312"/>
          <w:b/>
          <w:sz w:val="28"/>
          <w:szCs w:val="28"/>
        </w:rPr>
      </w:pPr>
    </w:p>
    <w:p w14:paraId="2D644A5B">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第八条 保密条款</w:t>
      </w:r>
    </w:p>
    <w:p w14:paraId="254F22BE">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1、双方对本协议的具体内容负有保密责任，未经对方事先书面同意，任何一方不得将双方的合作及本协议的具体内容披露给任何第三方。</w:t>
      </w:r>
    </w:p>
    <w:p w14:paraId="71C6B428">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2、本协议的终止、解除、撤销或无效均不影响本保密条款的有效性及对双方的约束力。</w:t>
      </w:r>
    </w:p>
    <w:p w14:paraId="0CF63FDA">
      <w:pPr>
        <w:adjustRightInd w:val="0"/>
        <w:snapToGrid w:val="0"/>
        <w:spacing w:line="360" w:lineRule="auto"/>
        <w:rPr>
          <w:rFonts w:hint="eastAsia" w:ascii="仿宋_GB2312" w:hAnsi="仿宋_GB2312" w:eastAsia="仿宋_GB2312" w:cs="仿宋_GB2312"/>
          <w:sz w:val="28"/>
          <w:szCs w:val="28"/>
        </w:rPr>
      </w:pPr>
    </w:p>
    <w:p w14:paraId="6A3B375A">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第九条 不可抗力和情势变更</w:t>
      </w:r>
    </w:p>
    <w:p w14:paraId="0DDB1A0C">
      <w:pPr>
        <w:adjustRightInd w:val="0"/>
        <w:snapToGrid w:val="0"/>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1、甲方或乙方因不可抗力或情势变更导致部分或全部迟延或不能履行义务的，不承担违约责任，但应及时采取措施减少因不可抗力或情势变更造成的损失。</w:t>
      </w:r>
    </w:p>
    <w:p w14:paraId="1C6714E5">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2、下列事项为本协议约定的情势变更：</w:t>
      </w:r>
    </w:p>
    <w:p w14:paraId="7D0BE7A0">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腾讯广告服务平台”的服务器终止或遭遇不法攻击导致临时性不能正常运行且经腾讯广告服务平台尽力抢修仍无法恢复使用。如发生如上情况时，乙方可以不经通知甲方，先行中止提供推广平台的信息发布及推广服务。但乙方应于该情形发生后12小时内通知甲方，并协商继续履行等事项。</w:t>
      </w:r>
    </w:p>
    <w:p w14:paraId="6CD3CD8D">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（2）其他在</w:t>
      </w:r>
      <w:r>
        <w:rPr>
          <w:rFonts w:hint="eastAsia" w:ascii="仿宋_GB2312" w:hAnsi="仿宋_GB2312" w:eastAsia="仿宋_GB2312" w:cs="仿宋_GB2312"/>
          <w:kern w:val="0"/>
          <w:sz w:val="28"/>
          <w:szCs w:val="28"/>
        </w:rPr>
        <w:t>合同成立以后发生的当事人在订立合同时无法预见的的客观情况的重大变化</w:t>
      </w:r>
      <w:r>
        <w:rPr>
          <w:rFonts w:hint="eastAsia" w:ascii="仿宋_GB2312" w:hAnsi="仿宋_GB2312" w:eastAsia="仿宋_GB2312" w:cs="仿宋_GB2312"/>
          <w:sz w:val="28"/>
          <w:szCs w:val="28"/>
        </w:rPr>
        <w:t>。</w:t>
      </w:r>
    </w:p>
    <w:p w14:paraId="6C0A2B60">
      <w:pPr>
        <w:pStyle w:val="3"/>
        <w:tabs>
          <w:tab w:val="left" w:pos="1080"/>
        </w:tabs>
        <w:adjustRightInd w:val="0"/>
        <w:snapToGrid w:val="0"/>
        <w:ind w:firstLine="0" w:firstLineChars="0"/>
        <w:rPr>
          <w:rFonts w:hint="eastAsia" w:ascii="仿宋_GB2312" w:hAnsi="仿宋_GB2312" w:eastAsia="仿宋_GB2312" w:cs="仿宋_GB2312"/>
          <w:sz w:val="28"/>
          <w:szCs w:val="28"/>
        </w:rPr>
      </w:pPr>
    </w:p>
    <w:p w14:paraId="6D3EABC7">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第十条 争议解决</w:t>
      </w:r>
    </w:p>
    <w:p w14:paraId="222D483D">
      <w:pPr>
        <w:pStyle w:val="3"/>
        <w:tabs>
          <w:tab w:val="left" w:pos="1080"/>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1、因本协议引起的任何争议，双方应友好协商解决，协商不成，向甲方所在地人民法院诉讼解决。</w:t>
      </w:r>
    </w:p>
    <w:p w14:paraId="53084B86">
      <w:pPr>
        <w:pStyle w:val="3"/>
        <w:tabs>
          <w:tab w:val="left" w:pos="1080"/>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2、本协议的订立、履行和解释均适用中华人民共和国法律。</w:t>
      </w:r>
    </w:p>
    <w:p w14:paraId="64C85E9E">
      <w:pPr>
        <w:adjustRightInd w:val="0"/>
        <w:snapToGrid w:val="0"/>
        <w:spacing w:line="360" w:lineRule="auto"/>
        <w:rPr>
          <w:rFonts w:hint="eastAsia" w:ascii="仿宋_GB2312" w:hAnsi="仿宋_GB2312" w:eastAsia="仿宋_GB2312" w:cs="仿宋_GB2312"/>
          <w:sz w:val="28"/>
          <w:szCs w:val="28"/>
        </w:rPr>
      </w:pPr>
    </w:p>
    <w:p w14:paraId="5FBED038">
      <w:pPr>
        <w:pStyle w:val="3"/>
        <w:tabs>
          <w:tab w:val="left" w:pos="1080"/>
        </w:tabs>
        <w:adjustRightInd w:val="0"/>
        <w:snapToGrid w:val="0"/>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第十一条 协议的生效</w:t>
      </w:r>
    </w:p>
    <w:p w14:paraId="5F56814D">
      <w:pPr>
        <w:pStyle w:val="9"/>
        <w:numPr>
          <w:ilvl w:val="0"/>
          <w:numId w:val="5"/>
        </w:numPr>
        <w:adjustRightInd w:val="0"/>
        <w:snapToGrid w:val="0"/>
        <w:spacing w:line="360" w:lineRule="auto"/>
        <w:ind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本协议自双方授权代表签字或盖章之日起生效。</w:t>
      </w:r>
    </w:p>
    <w:p w14:paraId="3BB77456">
      <w:pPr>
        <w:pStyle w:val="9"/>
        <w:numPr>
          <w:ilvl w:val="0"/>
          <w:numId w:val="5"/>
        </w:numPr>
        <w:tabs>
          <w:tab w:val="left" w:pos="520"/>
          <w:tab w:val="left" w:pos="780"/>
        </w:tabs>
        <w:adjustRightInd w:val="0"/>
        <w:snapToGrid w:val="0"/>
        <w:spacing w:line="360" w:lineRule="auto"/>
        <w:ind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陆</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份，甲方执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份，乙方执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份，具有同等法律效力。</w:t>
      </w:r>
    </w:p>
    <w:p w14:paraId="513D702A">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甲方（盖章）：</w:t>
      </w:r>
      <w:r>
        <w:rPr>
          <w:rFonts w:hint="eastAsia" w:ascii="仿宋_GB2312" w:hAnsi="仿宋_GB2312" w:eastAsia="仿宋_GB2312" w:cs="仿宋_GB2312"/>
          <w:b/>
          <w:sz w:val="28"/>
          <w:szCs w:val="28"/>
          <w:lang w:val="en-US" w:eastAsia="zh-CN"/>
        </w:rPr>
        <w:t>广东南方网络信息科技有限公司</w:t>
      </w:r>
      <w:r>
        <w:rPr>
          <w:rFonts w:hint="eastAsia" w:ascii="仿宋_GB2312" w:hAnsi="仿宋_GB2312" w:eastAsia="仿宋_GB2312" w:cs="仿宋_GB2312"/>
          <w:b/>
          <w:sz w:val="28"/>
          <w:szCs w:val="28"/>
        </w:rPr>
        <w:t xml:space="preserve">                        </w:t>
      </w:r>
    </w:p>
    <w:p w14:paraId="23996DBB">
      <w:pPr>
        <w:pStyle w:val="8"/>
        <w:pBdr>
          <w:bottom w:val="none" w:color="auto" w:sz="0" w:space="0"/>
        </w:pBdr>
        <w:adjustRightInd w:val="0"/>
        <w:spacing w:line="360" w:lineRule="auto"/>
        <w:jc w:val="both"/>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授权</w:t>
      </w:r>
      <w:r>
        <w:rPr>
          <w:rFonts w:hint="eastAsia" w:ascii="仿宋_GB2312" w:hAnsi="仿宋_GB2312" w:eastAsia="仿宋_GB2312" w:cs="仿宋_GB2312"/>
          <w:b/>
          <w:sz w:val="28"/>
          <w:szCs w:val="28"/>
        </w:rPr>
        <w:t xml:space="preserve">代表（签字）：                       </w:t>
      </w:r>
    </w:p>
    <w:p w14:paraId="3F4265DF">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日期：</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年</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月</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 xml:space="preserve">日              </w:t>
      </w:r>
    </w:p>
    <w:p w14:paraId="1F6FFAC1">
      <w:pPr>
        <w:adjustRightInd w:val="0"/>
        <w:snapToGrid w:val="0"/>
        <w:spacing w:line="360" w:lineRule="auto"/>
        <w:rPr>
          <w:rFonts w:hint="eastAsia" w:ascii="仿宋_GB2312" w:hAnsi="仿宋_GB2312" w:eastAsia="仿宋_GB2312" w:cs="仿宋_GB2312"/>
          <w:b/>
          <w:sz w:val="28"/>
          <w:szCs w:val="28"/>
        </w:rPr>
      </w:pPr>
    </w:p>
    <w:p w14:paraId="143914E0">
      <w:pPr>
        <w:adjustRightInd w:val="0"/>
        <w:snapToGrid w:val="0"/>
        <w:spacing w:line="360" w:lineRule="auto"/>
        <w:rPr>
          <w:rFonts w:hint="eastAsia" w:ascii="仿宋_GB2312" w:hAnsi="仿宋_GB2312" w:eastAsia="仿宋_GB2312" w:cs="仿宋_GB2312"/>
          <w:b/>
          <w:sz w:val="28"/>
          <w:szCs w:val="28"/>
        </w:rPr>
      </w:pPr>
    </w:p>
    <w:p w14:paraId="10F6FCD0">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乙方（盖章）：</w:t>
      </w:r>
    </w:p>
    <w:p w14:paraId="09BDBAF1">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代表（签字）： </w:t>
      </w:r>
    </w:p>
    <w:p w14:paraId="615207C0">
      <w:pPr>
        <w:pStyle w:val="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28"/>
          <w:szCs w:val="28"/>
        </w:rPr>
        <w:t>日期：</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年</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月</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b/>
          <w:sz w:val="28"/>
          <w:szCs w:val="28"/>
        </w:rPr>
        <w:t>日</w:t>
      </w:r>
    </w:p>
    <w:p w14:paraId="0F862D83">
      <w:pPr>
        <w:pStyle w:val="7"/>
        <w:rPr>
          <w:rFonts w:hint="eastAsia"/>
          <w:lang w:val="en-US" w:eastAsia="zh-CN"/>
        </w:rPr>
      </w:pPr>
    </w:p>
    <w:p w14:paraId="1D2217EE">
      <w:pPr>
        <w:pStyle w:val="7"/>
        <w:rPr>
          <w:rFonts w:hint="eastAsia"/>
          <w:lang w:val="en-US" w:eastAsia="zh-CN"/>
        </w:rPr>
      </w:pPr>
    </w:p>
    <w:p w14:paraId="57CE80DF">
      <w:pPr>
        <w:pStyle w:val="7"/>
        <w:rPr>
          <w:rFonts w:hint="eastAsia"/>
          <w:lang w:val="en-US" w:eastAsia="zh-CN"/>
        </w:rPr>
      </w:pPr>
    </w:p>
    <w:p w14:paraId="4911522B">
      <w:pPr>
        <w:pStyle w:val="7"/>
        <w:rPr>
          <w:rFonts w:hint="eastAsia"/>
          <w:lang w:val="en-US" w:eastAsia="zh-CN"/>
        </w:rPr>
      </w:pPr>
    </w:p>
    <w:p w14:paraId="28D603D1">
      <w:pPr>
        <w:pStyle w:val="14"/>
        <w:numPr>
          <w:ilvl w:val="0"/>
          <w:numId w:val="0"/>
        </w:numPr>
        <w:snapToGrid w:val="0"/>
        <w:spacing w:before="120" w:after="120"/>
        <w:ind w:leftChars="0"/>
        <w:jc w:val="both"/>
        <w:rPr>
          <w:rFonts w:hint="eastAsia" w:ascii="方正小标宋简体" w:hAnsi="方正小标宋简体" w:eastAsia="方正小标宋简体" w:cs="方正小标宋简体"/>
          <w:b/>
          <w:kern w:val="2"/>
          <w:sz w:val="36"/>
          <w:szCs w:val="36"/>
          <w:lang w:val="en-US" w:eastAsia="zh-CN" w:bidi="ar-SA"/>
        </w:rPr>
        <w:sectPr>
          <w:pgSz w:w="11906" w:h="16838"/>
          <w:pgMar w:top="1587" w:right="1587" w:bottom="1304" w:left="1587" w:header="851" w:footer="709" w:gutter="0"/>
          <w:pgNumType w:fmt="decimal"/>
          <w:cols w:space="720" w:num="1"/>
          <w:docGrid w:type="lines" w:linePitch="312" w:charSpace="0"/>
        </w:sectPr>
      </w:pPr>
      <w:bookmarkStart w:id="21" w:name="_Toc21956"/>
    </w:p>
    <w:p w14:paraId="26231761">
      <w:pPr>
        <w:pStyle w:val="14"/>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r>
        <w:rPr>
          <w:rFonts w:hint="eastAsia" w:ascii="方正小标宋简体" w:hAnsi="方正小标宋简体" w:eastAsia="方正小标宋简体" w:cs="方正小标宋简体"/>
          <w:b/>
          <w:kern w:val="2"/>
          <w:sz w:val="36"/>
          <w:szCs w:val="36"/>
          <w:lang w:val="en-US" w:eastAsia="zh-CN" w:bidi="ar-SA"/>
        </w:rPr>
        <w:t>响应文件格式</w:t>
      </w:r>
      <w:bookmarkEnd w:id="21"/>
    </w:p>
    <w:p w14:paraId="76122411">
      <w:pPr>
        <w:pStyle w:val="5"/>
        <w:keepNext/>
        <w:keepLines/>
        <w:pageBreakBefore w:val="0"/>
        <w:widowControl w:val="0"/>
        <w:numPr>
          <w:ilvl w:val="1"/>
          <w:numId w:val="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2" w:name="_Toc32326"/>
      <w:bookmarkStart w:id="23" w:name="_Toc1878"/>
      <w:r>
        <w:rPr>
          <w:rFonts w:hint="eastAsia" w:ascii="宋体" w:hAnsi="宋体" w:eastAsia="宋体" w:cs="宋体"/>
          <w:highlight w:val="none"/>
        </w:rPr>
        <w:t>应答函</w:t>
      </w:r>
      <w:bookmarkEnd w:id="22"/>
      <w:bookmarkEnd w:id="23"/>
    </w:p>
    <w:p w14:paraId="21172756">
      <w:pPr>
        <w:pStyle w:val="17"/>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68E5EAE">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46A6EB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4C128F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69148BAA">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D1EDC13">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5C92B48">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49A8FF26">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7AA0A9DC">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4691277">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3E1A0AC">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0ECFB8A">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0D69390">
      <w:pPr>
        <w:pStyle w:val="17"/>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5D789FCB">
      <w:pPr>
        <w:pStyle w:val="17"/>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392F9D5">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585C7036">
      <w:pPr>
        <w:pStyle w:val="17"/>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72AE5A8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1B0063E">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2E5283F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E73851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55D1EA4">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08473F8E">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4" w:name="_Toc56432234"/>
      <w:bookmarkStart w:id="25" w:name="_Toc1651899"/>
      <w:bookmarkStart w:id="26" w:name="_Toc17459"/>
      <w:bookmarkStart w:id="27" w:name="_Toc26153"/>
      <w:bookmarkStart w:id="28" w:name="_Toc18365"/>
      <w:bookmarkStart w:id="29" w:name="_Toc68688804"/>
      <w:bookmarkStart w:id="30" w:name="_Toc475472674"/>
      <w:bookmarkStart w:id="31"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4"/>
      <w:bookmarkEnd w:id="25"/>
      <w:bookmarkEnd w:id="26"/>
      <w:bookmarkEnd w:id="27"/>
      <w:bookmarkEnd w:id="28"/>
      <w:bookmarkEnd w:id="29"/>
      <w:bookmarkEnd w:id="30"/>
    </w:p>
    <w:p w14:paraId="4D61C28A">
      <w:pPr>
        <w:jc w:val="center"/>
        <w:rPr>
          <w:rFonts w:hint="eastAsia" w:ascii="宋体" w:hAnsi="宋体" w:eastAsia="宋体" w:cs="宋体"/>
          <w:b/>
          <w:sz w:val="24"/>
          <w:highlight w:val="none"/>
        </w:rPr>
      </w:pPr>
    </w:p>
    <w:p w14:paraId="1B1DFDA1">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49070A9">
      <w:pPr>
        <w:spacing w:line="440" w:lineRule="exact"/>
        <w:rPr>
          <w:rFonts w:hint="eastAsia" w:ascii="宋体" w:hAnsi="宋体" w:eastAsia="宋体" w:cs="宋体"/>
          <w:szCs w:val="21"/>
          <w:highlight w:val="none"/>
        </w:rPr>
      </w:pPr>
    </w:p>
    <w:p w14:paraId="37B5C6A6">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9159DC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15C2CD8">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8968E8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65C08E8">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E8BC62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2E32A2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6CF6D507">
      <w:pPr>
        <w:topLinePunct/>
        <w:snapToGrid w:val="0"/>
        <w:spacing w:line="440" w:lineRule="exact"/>
        <w:ind w:firstLine="420" w:firstLineChars="200"/>
        <w:rPr>
          <w:rFonts w:hint="eastAsia" w:ascii="宋体" w:hAnsi="宋体" w:eastAsia="宋体" w:cs="宋体"/>
          <w:bCs/>
          <w:szCs w:val="21"/>
          <w:highlight w:val="none"/>
        </w:rPr>
      </w:pPr>
    </w:p>
    <w:p w14:paraId="276E4A1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25CA9F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395B01B9">
      <w:pPr>
        <w:spacing w:line="500" w:lineRule="exact"/>
        <w:rPr>
          <w:rFonts w:hint="eastAsia" w:ascii="宋体" w:hAnsi="宋体" w:eastAsia="宋体" w:cs="宋体"/>
          <w:szCs w:val="21"/>
          <w:highlight w:val="none"/>
        </w:rPr>
      </w:pPr>
    </w:p>
    <w:p w14:paraId="6CC49FF4">
      <w:pPr>
        <w:spacing w:line="440" w:lineRule="exact"/>
        <w:rPr>
          <w:rFonts w:hint="eastAsia" w:ascii="宋体" w:hAnsi="宋体" w:eastAsia="宋体" w:cs="宋体"/>
          <w:szCs w:val="21"/>
          <w:highlight w:val="none"/>
        </w:rPr>
      </w:pPr>
    </w:p>
    <w:p w14:paraId="44991BB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4B25EDA">
      <w:pPr>
        <w:spacing w:line="500" w:lineRule="exact"/>
        <w:rPr>
          <w:rFonts w:hint="eastAsia" w:ascii="宋体" w:hAnsi="宋体" w:eastAsia="宋体" w:cs="宋体"/>
          <w:szCs w:val="21"/>
          <w:highlight w:val="none"/>
        </w:rPr>
      </w:pPr>
    </w:p>
    <w:p w14:paraId="66ACA13D">
      <w:pPr>
        <w:spacing w:line="440" w:lineRule="exact"/>
        <w:rPr>
          <w:rFonts w:hint="eastAsia" w:ascii="宋体" w:hAnsi="宋体" w:eastAsia="宋体" w:cs="宋体"/>
          <w:szCs w:val="21"/>
          <w:highlight w:val="none"/>
        </w:rPr>
      </w:pPr>
    </w:p>
    <w:p w14:paraId="3AB0207A">
      <w:pPr>
        <w:spacing w:line="500" w:lineRule="exact"/>
        <w:rPr>
          <w:rFonts w:hint="eastAsia" w:ascii="宋体" w:hAnsi="宋体" w:eastAsia="宋体" w:cs="宋体"/>
          <w:szCs w:val="21"/>
          <w:highlight w:val="none"/>
        </w:rPr>
      </w:pPr>
    </w:p>
    <w:p w14:paraId="6A213C70">
      <w:pPr>
        <w:spacing w:line="440" w:lineRule="exact"/>
        <w:rPr>
          <w:rFonts w:hint="eastAsia" w:ascii="宋体" w:hAnsi="宋体" w:eastAsia="宋体" w:cs="宋体"/>
          <w:szCs w:val="21"/>
          <w:highlight w:val="none"/>
        </w:rPr>
      </w:pPr>
    </w:p>
    <w:p w14:paraId="1C298CA6">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C2801CE">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3F872542">
      <w:pPr>
        <w:spacing w:line="440" w:lineRule="exact"/>
        <w:ind w:firstLine="4305" w:firstLineChars="2050"/>
        <w:rPr>
          <w:rFonts w:hint="eastAsia" w:ascii="宋体" w:hAnsi="宋体" w:eastAsia="宋体" w:cs="宋体"/>
          <w:szCs w:val="21"/>
          <w:highlight w:val="none"/>
        </w:rPr>
      </w:pPr>
    </w:p>
    <w:p w14:paraId="4BA40CB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D064A07">
      <w:pPr>
        <w:topLinePunct/>
        <w:spacing w:line="440" w:lineRule="exact"/>
        <w:ind w:left="422"/>
        <w:jc w:val="left"/>
        <w:rPr>
          <w:rFonts w:hint="eastAsia" w:ascii="宋体" w:hAnsi="宋体" w:eastAsia="宋体" w:cs="宋体"/>
          <w:highlight w:val="none"/>
        </w:rPr>
      </w:pPr>
    </w:p>
    <w:p w14:paraId="1FCD1FD7">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2" w:name="_Toc438052122"/>
      <w:bookmarkStart w:id="33" w:name="_Toc475472675"/>
      <w:bookmarkStart w:id="34" w:name="_Toc8603"/>
      <w:bookmarkStart w:id="35" w:name="_Toc68688805"/>
      <w:bookmarkStart w:id="36" w:name="_Toc1651900"/>
      <w:bookmarkStart w:id="37" w:name="_Toc3806"/>
      <w:bookmarkStart w:id="38" w:name="_Toc27262"/>
      <w:bookmarkStart w:id="39" w:name="_Toc5643223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2"/>
      <w:bookmarkEnd w:id="33"/>
      <w:bookmarkEnd w:id="34"/>
      <w:bookmarkEnd w:id="35"/>
      <w:bookmarkEnd w:id="36"/>
      <w:bookmarkEnd w:id="37"/>
      <w:bookmarkEnd w:id="38"/>
      <w:bookmarkEnd w:id="39"/>
    </w:p>
    <w:p w14:paraId="5935EF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D4A10E5">
      <w:pPr>
        <w:jc w:val="center"/>
        <w:rPr>
          <w:rFonts w:hint="eastAsia" w:ascii="宋体" w:hAnsi="宋体" w:eastAsia="宋体" w:cs="宋体"/>
          <w:b/>
          <w:sz w:val="24"/>
          <w:highlight w:val="none"/>
        </w:rPr>
      </w:pPr>
    </w:p>
    <w:p w14:paraId="5FAF79C2">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76B51E3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5665A3E5">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48EFE91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A5B7324">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D506C8B">
      <w:pPr>
        <w:pStyle w:val="6"/>
        <w:rPr>
          <w:rFonts w:hint="eastAsia" w:ascii="宋体" w:hAnsi="宋体" w:eastAsia="宋体" w:cs="宋体"/>
          <w:highlight w:val="none"/>
        </w:rPr>
      </w:pPr>
    </w:p>
    <w:p w14:paraId="042E052C">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BE818AF">
      <w:pPr>
        <w:pStyle w:val="6"/>
        <w:rPr>
          <w:rFonts w:hint="eastAsia" w:ascii="宋体" w:hAnsi="宋体" w:eastAsia="宋体" w:cs="宋体"/>
          <w:highlight w:val="none"/>
        </w:rPr>
      </w:pPr>
    </w:p>
    <w:p w14:paraId="0911F1F4">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57C74C66">
      <w:pPr>
        <w:pStyle w:val="6"/>
        <w:rPr>
          <w:rFonts w:hint="eastAsia" w:ascii="宋体" w:hAnsi="宋体" w:eastAsia="宋体" w:cs="宋体"/>
          <w:highlight w:val="none"/>
        </w:rPr>
      </w:pPr>
    </w:p>
    <w:p w14:paraId="1B0C180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223D30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DAB3B6B">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3C8397D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4870B2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44870B2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8BC929">
                            <w:pPr>
                              <w:jc w:val="center"/>
                              <w:rPr>
                                <w:szCs w:val="21"/>
                              </w:rPr>
                            </w:pPr>
                            <w:r>
                              <w:rPr>
                                <w:rFonts w:hint="eastAsia"/>
                                <w:szCs w:val="21"/>
                              </w:rPr>
                              <w:t>委托代理人身份证正面复印件贴于此处</w:t>
                            </w:r>
                          </w:p>
                          <w:p w14:paraId="4E330B8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6E8BC929">
                      <w:pPr>
                        <w:jc w:val="center"/>
                        <w:rPr>
                          <w:szCs w:val="21"/>
                        </w:rPr>
                      </w:pPr>
                      <w:r>
                        <w:rPr>
                          <w:rFonts w:hint="eastAsia"/>
                          <w:szCs w:val="21"/>
                        </w:rPr>
                        <w:t>委托代理人身份证正面复印件贴于此处</w:t>
                      </w:r>
                    </w:p>
                    <w:p w14:paraId="4E330B83">
                      <w:pPr>
                        <w:jc w:val="center"/>
                        <w:rPr>
                          <w:szCs w:val="21"/>
                        </w:rPr>
                      </w:pPr>
                    </w:p>
                  </w:txbxContent>
                </v:textbox>
              </v:shape>
            </w:pict>
          </mc:Fallback>
        </mc:AlternateContent>
      </w:r>
    </w:p>
    <w:p w14:paraId="334F3A3D">
      <w:pPr>
        <w:spacing w:line="440" w:lineRule="exact"/>
        <w:rPr>
          <w:rFonts w:hint="eastAsia" w:ascii="宋体" w:hAnsi="宋体" w:eastAsia="宋体" w:cs="宋体"/>
          <w:szCs w:val="21"/>
          <w:highlight w:val="none"/>
        </w:rPr>
      </w:pPr>
    </w:p>
    <w:p w14:paraId="676391A1">
      <w:pPr>
        <w:spacing w:line="500" w:lineRule="exact"/>
        <w:rPr>
          <w:rFonts w:hint="eastAsia" w:ascii="宋体" w:hAnsi="宋体" w:eastAsia="宋体" w:cs="宋体"/>
          <w:szCs w:val="21"/>
          <w:highlight w:val="none"/>
        </w:rPr>
      </w:pPr>
    </w:p>
    <w:p w14:paraId="37DAC0AE">
      <w:pPr>
        <w:spacing w:line="440" w:lineRule="exact"/>
        <w:rPr>
          <w:rFonts w:hint="eastAsia" w:ascii="宋体" w:hAnsi="宋体" w:eastAsia="宋体" w:cs="宋体"/>
          <w:szCs w:val="21"/>
          <w:highlight w:val="none"/>
        </w:rPr>
      </w:pPr>
    </w:p>
    <w:p w14:paraId="161AC6B7">
      <w:pPr>
        <w:topLinePunct/>
        <w:snapToGrid w:val="0"/>
        <w:spacing w:line="440" w:lineRule="exact"/>
        <w:rPr>
          <w:rFonts w:hint="eastAsia" w:ascii="宋体" w:hAnsi="宋体" w:eastAsia="宋体" w:cs="宋体"/>
          <w:highlight w:val="none"/>
        </w:rPr>
      </w:pPr>
    </w:p>
    <w:p w14:paraId="43CECC20">
      <w:pPr>
        <w:topLinePunct/>
        <w:snapToGrid w:val="0"/>
        <w:spacing w:line="440" w:lineRule="exact"/>
        <w:ind w:firstLine="420" w:firstLineChars="200"/>
        <w:rPr>
          <w:rFonts w:hint="eastAsia" w:ascii="宋体" w:hAnsi="宋体" w:eastAsia="宋体" w:cs="宋体"/>
          <w:bCs/>
          <w:szCs w:val="21"/>
          <w:highlight w:val="none"/>
        </w:rPr>
      </w:pPr>
    </w:p>
    <w:p w14:paraId="4AC2F11B">
      <w:pPr>
        <w:topLinePunct/>
        <w:snapToGrid w:val="0"/>
        <w:spacing w:line="440" w:lineRule="exact"/>
        <w:ind w:firstLine="420" w:firstLineChars="200"/>
        <w:rPr>
          <w:rFonts w:hint="eastAsia" w:ascii="宋体" w:hAnsi="宋体" w:eastAsia="宋体" w:cs="宋体"/>
          <w:bCs/>
          <w:szCs w:val="21"/>
          <w:highlight w:val="none"/>
        </w:rPr>
      </w:pPr>
    </w:p>
    <w:p w14:paraId="2FC2D2DB">
      <w:pPr>
        <w:topLinePunct/>
        <w:snapToGrid w:val="0"/>
        <w:spacing w:line="440" w:lineRule="exact"/>
        <w:ind w:firstLine="420" w:firstLineChars="200"/>
        <w:rPr>
          <w:rFonts w:hint="eastAsia" w:ascii="宋体" w:hAnsi="宋体" w:eastAsia="宋体" w:cs="宋体"/>
          <w:bCs/>
          <w:szCs w:val="21"/>
          <w:highlight w:val="none"/>
        </w:rPr>
      </w:pPr>
    </w:p>
    <w:p w14:paraId="3BE8B548">
      <w:pPr>
        <w:widowControl/>
        <w:jc w:val="left"/>
        <w:rPr>
          <w:rFonts w:hint="eastAsia" w:ascii="宋体" w:hAnsi="宋体" w:eastAsia="宋体" w:cs="宋体"/>
          <w:b/>
          <w:bCs/>
          <w:sz w:val="32"/>
          <w:szCs w:val="32"/>
          <w:highlight w:val="none"/>
        </w:rPr>
      </w:pPr>
    </w:p>
    <w:p w14:paraId="5009AA50">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0" w:name="_Toc8223"/>
      <w:bookmarkStart w:id="41" w:name="_Toc18794"/>
      <w:r>
        <w:rPr>
          <w:rFonts w:hint="eastAsia" w:ascii="宋体" w:hAnsi="宋体" w:eastAsia="宋体" w:cs="宋体"/>
          <w:highlight w:val="none"/>
        </w:rPr>
        <w:t>供应商基本情况</w:t>
      </w:r>
      <w:bookmarkEnd w:id="31"/>
      <w:bookmarkEnd w:id="40"/>
      <w:bookmarkEnd w:id="41"/>
    </w:p>
    <w:p w14:paraId="5D88877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69F037A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color w:val="333333"/>
          <w:highlight w:val="none"/>
        </w:rPr>
      </w:pPr>
    </w:p>
    <w:p w14:paraId="3CACD1D5">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color w:val="333333"/>
          <w:highlight w:val="none"/>
        </w:rPr>
        <w:sectPr>
          <w:pgSz w:w="11906" w:h="16838"/>
          <w:pgMar w:top="1587" w:right="1587" w:bottom="1304" w:left="1587" w:header="851" w:footer="709" w:gutter="0"/>
          <w:pgNumType w:fmt="decimal"/>
          <w:cols w:space="720" w:num="1"/>
          <w:docGrid w:type="lines" w:linePitch="312" w:charSpace="0"/>
        </w:sectPr>
      </w:pPr>
    </w:p>
    <w:p w14:paraId="3EF7152E">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2"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2"/>
    </w:p>
    <w:p w14:paraId="1E733352">
      <w:pPr>
        <w:pStyle w:val="17"/>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供应商控股及管理关系情况申报表</w:t>
      </w:r>
    </w:p>
    <w:p w14:paraId="2FFE28D6">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16745D4A">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w:t>
      </w:r>
      <w:r>
        <w:rPr>
          <w:rFonts w:hint="eastAsia" w:ascii="宋体" w:hAnsi="宋体" w:cs="宋体"/>
          <w:highlight w:val="none"/>
          <w:u w:val="single"/>
          <w:lang w:val="en-US" w:eastAsia="zh-CN"/>
        </w:rPr>
        <w:t xml:space="preserve">    </w:t>
      </w:r>
      <w:r>
        <w:rPr>
          <w:rFonts w:hint="eastAsia" w:ascii="宋体" w:hAnsi="宋体" w:eastAsia="宋体" w:cs="宋体"/>
          <w:highlight w:val="none"/>
          <w:u w:val="single"/>
        </w:rPr>
        <w:t>）</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1"/>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431"/>
        <w:gridCol w:w="2241"/>
        <w:gridCol w:w="3635"/>
      </w:tblGrid>
      <w:tr w14:paraId="7AD8713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3" w:type="pct"/>
            <w:vAlign w:val="center"/>
          </w:tcPr>
          <w:p w14:paraId="07BE31E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36" w:type="pct"/>
            <w:gridSpan w:val="2"/>
            <w:vAlign w:val="center"/>
          </w:tcPr>
          <w:p w14:paraId="29A7AE15">
            <w:pPr>
              <w:spacing w:line="360" w:lineRule="auto"/>
              <w:rPr>
                <w:rFonts w:hint="eastAsia" w:ascii="宋体" w:hAnsi="宋体" w:eastAsia="宋体" w:cs="宋体"/>
                <w:szCs w:val="21"/>
                <w:highlight w:val="none"/>
              </w:rPr>
            </w:pPr>
          </w:p>
        </w:tc>
      </w:tr>
      <w:tr w14:paraId="23CAD7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3" w:type="pct"/>
            <w:vMerge w:val="restart"/>
            <w:vAlign w:val="center"/>
          </w:tcPr>
          <w:p w14:paraId="46C0C9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9" w:type="pct"/>
            <w:vAlign w:val="center"/>
          </w:tcPr>
          <w:p w14:paraId="5E4B668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86" w:type="pct"/>
            <w:vAlign w:val="center"/>
          </w:tcPr>
          <w:p w14:paraId="0DDF161C">
            <w:pPr>
              <w:spacing w:line="360" w:lineRule="auto"/>
              <w:rPr>
                <w:rFonts w:hint="eastAsia" w:ascii="宋体" w:hAnsi="宋体" w:eastAsia="宋体" w:cs="宋体"/>
                <w:szCs w:val="21"/>
                <w:highlight w:val="none"/>
              </w:rPr>
            </w:pPr>
          </w:p>
        </w:tc>
      </w:tr>
      <w:tr w14:paraId="4E3766A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3" w:type="pct"/>
            <w:vMerge w:val="continue"/>
            <w:vAlign w:val="center"/>
          </w:tcPr>
          <w:p w14:paraId="13BF54E5">
            <w:pPr>
              <w:spacing w:line="360" w:lineRule="auto"/>
              <w:rPr>
                <w:rFonts w:hint="eastAsia" w:ascii="宋体" w:hAnsi="宋体" w:eastAsia="宋体" w:cs="宋体"/>
                <w:szCs w:val="21"/>
                <w:highlight w:val="none"/>
              </w:rPr>
            </w:pPr>
          </w:p>
        </w:tc>
        <w:tc>
          <w:tcPr>
            <w:tcW w:w="1349" w:type="pct"/>
            <w:vAlign w:val="center"/>
          </w:tcPr>
          <w:p w14:paraId="065C465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86" w:type="pct"/>
            <w:vAlign w:val="center"/>
          </w:tcPr>
          <w:p w14:paraId="2CA999B1">
            <w:pPr>
              <w:spacing w:line="360" w:lineRule="auto"/>
              <w:rPr>
                <w:rFonts w:hint="eastAsia" w:ascii="宋体" w:hAnsi="宋体" w:eastAsia="宋体" w:cs="宋体"/>
                <w:szCs w:val="21"/>
                <w:highlight w:val="none"/>
              </w:rPr>
            </w:pPr>
          </w:p>
        </w:tc>
      </w:tr>
      <w:tr w14:paraId="479285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3" w:type="pct"/>
            <w:vAlign w:val="center"/>
          </w:tcPr>
          <w:p w14:paraId="1C5587D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4E42A3D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2E9233BE">
            <w:pPr>
              <w:spacing w:line="360" w:lineRule="auto"/>
              <w:rPr>
                <w:rFonts w:hint="eastAsia" w:ascii="宋体" w:hAnsi="宋体" w:eastAsia="宋体" w:cs="宋体"/>
                <w:szCs w:val="21"/>
                <w:highlight w:val="none"/>
              </w:rPr>
            </w:pPr>
          </w:p>
        </w:tc>
      </w:tr>
      <w:tr w14:paraId="20677D2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3" w:type="pct"/>
            <w:vAlign w:val="center"/>
          </w:tcPr>
          <w:p w14:paraId="1B415B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0477867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2D2C8889">
            <w:pPr>
              <w:spacing w:line="360" w:lineRule="auto"/>
              <w:rPr>
                <w:rFonts w:hint="eastAsia" w:ascii="宋体" w:hAnsi="宋体" w:eastAsia="宋体" w:cs="宋体"/>
                <w:szCs w:val="21"/>
                <w:highlight w:val="none"/>
              </w:rPr>
            </w:pPr>
          </w:p>
        </w:tc>
      </w:tr>
      <w:tr w14:paraId="5782B91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3" w:type="pct"/>
            <w:vMerge w:val="restart"/>
            <w:vAlign w:val="center"/>
          </w:tcPr>
          <w:p w14:paraId="2FA1758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9" w:type="pct"/>
            <w:vAlign w:val="center"/>
          </w:tcPr>
          <w:p w14:paraId="354E75A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86" w:type="pct"/>
            <w:vAlign w:val="center"/>
          </w:tcPr>
          <w:p w14:paraId="67644C64">
            <w:pPr>
              <w:spacing w:line="360" w:lineRule="auto"/>
              <w:rPr>
                <w:rFonts w:hint="eastAsia" w:ascii="宋体" w:hAnsi="宋体" w:eastAsia="宋体" w:cs="宋体"/>
                <w:szCs w:val="21"/>
                <w:highlight w:val="none"/>
              </w:rPr>
            </w:pPr>
          </w:p>
        </w:tc>
      </w:tr>
      <w:tr w14:paraId="42D7DC1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3" w:type="pct"/>
            <w:vMerge w:val="continue"/>
            <w:vAlign w:val="center"/>
          </w:tcPr>
          <w:p w14:paraId="534F8C70">
            <w:pPr>
              <w:spacing w:line="360" w:lineRule="auto"/>
              <w:rPr>
                <w:rFonts w:hint="eastAsia" w:ascii="宋体" w:hAnsi="宋体" w:eastAsia="宋体" w:cs="宋体"/>
                <w:szCs w:val="21"/>
                <w:highlight w:val="none"/>
              </w:rPr>
            </w:pPr>
          </w:p>
        </w:tc>
        <w:tc>
          <w:tcPr>
            <w:tcW w:w="1349" w:type="pct"/>
            <w:vAlign w:val="center"/>
          </w:tcPr>
          <w:p w14:paraId="79C8A29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86" w:type="pct"/>
            <w:vAlign w:val="center"/>
          </w:tcPr>
          <w:p w14:paraId="128DCF80">
            <w:pPr>
              <w:spacing w:line="360" w:lineRule="auto"/>
              <w:rPr>
                <w:rFonts w:hint="eastAsia" w:ascii="宋体" w:hAnsi="宋体" w:eastAsia="宋体" w:cs="宋体"/>
                <w:szCs w:val="21"/>
                <w:highlight w:val="none"/>
              </w:rPr>
            </w:pPr>
          </w:p>
        </w:tc>
      </w:tr>
      <w:tr w14:paraId="663FC6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78C3349">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DF6740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4302E112">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95BD0AA">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2E1BAA84">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1AADB78">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0E8BCE4">
      <w:pPr>
        <w:pStyle w:val="17"/>
        <w:widowControl/>
        <w:numPr>
          <w:ilvl w:val="0"/>
          <w:numId w:val="8"/>
        </w:numPr>
        <w:snapToGrid w:val="0"/>
        <w:spacing w:line="360" w:lineRule="auto"/>
        <w:ind w:firstLineChars="0"/>
        <w:jc w:val="left"/>
        <w:rPr>
          <w:rFonts w:hint="eastAsia" w:ascii="宋体" w:hAnsi="宋体" w:eastAsia="宋体" w:cs="宋体"/>
          <w:szCs w:val="21"/>
          <w:highlight w:val="none"/>
        </w:rPr>
      </w:pPr>
      <w:r>
        <w:rPr>
          <w:rFonts w:hint="eastAsia" w:ascii="宋体" w:hAnsi="宋体" w:eastAsia="宋体" w:cs="宋体"/>
          <w:highlight w:val="none"/>
        </w:rPr>
        <w:br w:type="page"/>
      </w:r>
    </w:p>
    <w:p w14:paraId="6A0E1C9C">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3" w:name="_Toc13174"/>
      <w:bookmarkStart w:id="44" w:name="_Toc12072"/>
      <w:r>
        <w:rPr>
          <w:rFonts w:hint="eastAsia" w:ascii="宋体" w:hAnsi="宋体" w:eastAsia="宋体" w:cs="宋体"/>
          <w:highlight w:val="none"/>
        </w:rPr>
        <w:t>技术商务偏离表</w:t>
      </w:r>
      <w:bookmarkEnd w:id="43"/>
      <w:bookmarkEnd w:id="44"/>
    </w:p>
    <w:p w14:paraId="38539980">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7F0EFB82">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32E6D92">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1A39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70FF6B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66427E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CD6A21A">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F98CBD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0E93BB8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57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527178E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738BC53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C830D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BF5988F">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A9286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64681F1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2E3172E">
            <w:pPr>
              <w:spacing w:after="120" w:line="360" w:lineRule="atLeast"/>
              <w:ind w:left="851" w:hanging="851"/>
              <w:jc w:val="center"/>
              <w:rPr>
                <w:rFonts w:hint="eastAsia" w:ascii="宋体" w:hAnsi="宋体" w:eastAsia="宋体" w:cs="宋体"/>
                <w:szCs w:val="21"/>
                <w:highlight w:val="none"/>
              </w:rPr>
            </w:pPr>
          </w:p>
        </w:tc>
      </w:tr>
      <w:tr w14:paraId="0E2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EA6CF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7B24F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2B51BDD">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EBED77D">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DDDE3D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E3BF5B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3DA39F3">
            <w:pPr>
              <w:spacing w:after="120" w:line="360" w:lineRule="atLeast"/>
              <w:ind w:left="851" w:hanging="851"/>
              <w:jc w:val="center"/>
              <w:rPr>
                <w:rFonts w:hint="eastAsia" w:ascii="宋体" w:hAnsi="宋体" w:eastAsia="宋体" w:cs="宋体"/>
                <w:szCs w:val="21"/>
                <w:highlight w:val="none"/>
              </w:rPr>
            </w:pPr>
          </w:p>
        </w:tc>
      </w:tr>
      <w:tr w14:paraId="5C6C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B1B8BF6">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F888602">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F39F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D64E2D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7E9CFD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5C9081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9E6A550">
            <w:pPr>
              <w:spacing w:after="120" w:line="360" w:lineRule="atLeast"/>
              <w:ind w:left="851" w:hanging="851"/>
              <w:jc w:val="center"/>
              <w:rPr>
                <w:rFonts w:hint="eastAsia" w:ascii="宋体" w:hAnsi="宋体" w:eastAsia="宋体" w:cs="宋体"/>
                <w:szCs w:val="21"/>
                <w:highlight w:val="none"/>
              </w:rPr>
            </w:pPr>
          </w:p>
        </w:tc>
      </w:tr>
      <w:tr w14:paraId="396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D5C2B6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BA2202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F3329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77F049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8F3A39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85E7AA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5F8867">
            <w:pPr>
              <w:spacing w:after="120" w:line="360" w:lineRule="atLeast"/>
              <w:ind w:left="851" w:hanging="851"/>
              <w:jc w:val="center"/>
              <w:rPr>
                <w:rFonts w:hint="eastAsia" w:ascii="宋体" w:hAnsi="宋体" w:eastAsia="宋体" w:cs="宋体"/>
                <w:szCs w:val="21"/>
                <w:highlight w:val="none"/>
              </w:rPr>
            </w:pPr>
          </w:p>
        </w:tc>
      </w:tr>
      <w:tr w14:paraId="6208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4D8D5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C1D20BD">
            <w:pPr>
              <w:spacing w:after="120" w:line="360" w:lineRule="atLeast"/>
              <w:ind w:left="851" w:hanging="851"/>
              <w:jc w:val="center"/>
              <w:rPr>
                <w:rFonts w:hint="eastAsia" w:ascii="宋体" w:hAnsi="宋体" w:eastAsia="宋体" w:cs="宋体"/>
                <w:szCs w:val="21"/>
                <w:highlight w:val="none"/>
              </w:rPr>
            </w:pPr>
          </w:p>
        </w:tc>
      </w:tr>
    </w:tbl>
    <w:p w14:paraId="660FAE0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1AD7E592">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5077D938">
      <w:pPr>
        <w:widowControl/>
        <w:snapToGrid w:val="0"/>
        <w:spacing w:line="360" w:lineRule="exact"/>
        <w:jc w:val="left"/>
        <w:rPr>
          <w:rFonts w:hint="eastAsia" w:ascii="宋体" w:hAnsi="宋体" w:eastAsia="宋体" w:cs="宋体"/>
          <w:szCs w:val="21"/>
          <w:highlight w:val="none"/>
        </w:rPr>
      </w:pPr>
    </w:p>
    <w:p w14:paraId="29CE5CC2">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476321849"/>
      <w:bookmarkStart w:id="46" w:name="_Toc10360"/>
      <w:bookmarkStart w:id="47"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5"/>
      <w:bookmarkEnd w:id="46"/>
      <w:bookmarkEnd w:id="47"/>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3204"/>
        <w:gridCol w:w="1677"/>
        <w:gridCol w:w="1375"/>
        <w:gridCol w:w="1155"/>
      </w:tblGrid>
      <w:tr w14:paraId="2429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4F0A2F56">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239E1D4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028A753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7F2621D9">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2F0735E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5B5C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227E95BA">
            <w:pPr>
              <w:jc w:val="center"/>
              <w:rPr>
                <w:rFonts w:hint="eastAsia" w:ascii="宋体" w:hAnsi="宋体" w:eastAsia="宋体" w:cs="宋体"/>
                <w:szCs w:val="21"/>
                <w:highlight w:val="none"/>
              </w:rPr>
            </w:pPr>
          </w:p>
          <w:p w14:paraId="0B0903A2">
            <w:pPr>
              <w:jc w:val="center"/>
              <w:rPr>
                <w:rFonts w:hint="eastAsia" w:ascii="宋体" w:hAnsi="宋体" w:eastAsia="宋体" w:cs="宋体"/>
                <w:szCs w:val="21"/>
                <w:highlight w:val="none"/>
              </w:rPr>
            </w:pPr>
          </w:p>
        </w:tc>
        <w:tc>
          <w:tcPr>
            <w:tcW w:w="1880" w:type="pct"/>
            <w:vAlign w:val="center"/>
          </w:tcPr>
          <w:p w14:paraId="6FB85119">
            <w:pPr>
              <w:widowControl/>
              <w:jc w:val="center"/>
              <w:rPr>
                <w:rFonts w:hint="eastAsia" w:ascii="宋体" w:hAnsi="宋体" w:eastAsia="宋体" w:cs="宋体"/>
                <w:szCs w:val="21"/>
                <w:highlight w:val="none"/>
              </w:rPr>
            </w:pPr>
          </w:p>
          <w:p w14:paraId="16AAEE83">
            <w:pPr>
              <w:jc w:val="center"/>
              <w:rPr>
                <w:rFonts w:hint="eastAsia" w:ascii="宋体" w:hAnsi="宋体" w:eastAsia="宋体" w:cs="宋体"/>
                <w:szCs w:val="21"/>
                <w:highlight w:val="none"/>
              </w:rPr>
            </w:pPr>
          </w:p>
        </w:tc>
        <w:tc>
          <w:tcPr>
            <w:tcW w:w="984" w:type="pct"/>
          </w:tcPr>
          <w:p w14:paraId="166E68C3">
            <w:pPr>
              <w:jc w:val="center"/>
              <w:rPr>
                <w:rFonts w:hint="eastAsia" w:ascii="宋体" w:hAnsi="宋体" w:eastAsia="宋体" w:cs="宋体"/>
                <w:szCs w:val="21"/>
                <w:highlight w:val="none"/>
              </w:rPr>
            </w:pPr>
          </w:p>
        </w:tc>
        <w:tc>
          <w:tcPr>
            <w:tcW w:w="807" w:type="pct"/>
            <w:vAlign w:val="center"/>
          </w:tcPr>
          <w:p w14:paraId="5021DB42">
            <w:pPr>
              <w:jc w:val="center"/>
              <w:rPr>
                <w:rFonts w:hint="eastAsia" w:ascii="宋体" w:hAnsi="宋体" w:eastAsia="宋体" w:cs="宋体"/>
                <w:szCs w:val="21"/>
                <w:highlight w:val="none"/>
              </w:rPr>
            </w:pPr>
          </w:p>
        </w:tc>
        <w:tc>
          <w:tcPr>
            <w:tcW w:w="677" w:type="pct"/>
            <w:vAlign w:val="center"/>
          </w:tcPr>
          <w:p w14:paraId="49E0AE49">
            <w:pPr>
              <w:jc w:val="center"/>
              <w:rPr>
                <w:rFonts w:hint="eastAsia" w:ascii="宋体" w:hAnsi="宋体" w:eastAsia="宋体" w:cs="宋体"/>
                <w:szCs w:val="21"/>
                <w:highlight w:val="none"/>
              </w:rPr>
            </w:pPr>
          </w:p>
        </w:tc>
      </w:tr>
      <w:tr w14:paraId="25F1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6DB8AA">
            <w:pPr>
              <w:jc w:val="center"/>
              <w:rPr>
                <w:rFonts w:hint="eastAsia" w:ascii="宋体" w:hAnsi="宋体" w:eastAsia="宋体" w:cs="宋体"/>
                <w:szCs w:val="21"/>
                <w:highlight w:val="none"/>
              </w:rPr>
            </w:pPr>
          </w:p>
          <w:p w14:paraId="44FD8575">
            <w:pPr>
              <w:jc w:val="center"/>
              <w:rPr>
                <w:rFonts w:hint="eastAsia" w:ascii="宋体" w:hAnsi="宋体" w:eastAsia="宋体" w:cs="宋体"/>
                <w:szCs w:val="21"/>
                <w:highlight w:val="none"/>
              </w:rPr>
            </w:pPr>
          </w:p>
        </w:tc>
        <w:tc>
          <w:tcPr>
            <w:tcW w:w="1880" w:type="pct"/>
            <w:vAlign w:val="center"/>
          </w:tcPr>
          <w:p w14:paraId="75709C2A">
            <w:pPr>
              <w:widowControl/>
              <w:jc w:val="center"/>
              <w:rPr>
                <w:rFonts w:hint="eastAsia" w:ascii="宋体" w:hAnsi="宋体" w:eastAsia="宋体" w:cs="宋体"/>
                <w:szCs w:val="21"/>
                <w:highlight w:val="none"/>
              </w:rPr>
            </w:pPr>
          </w:p>
          <w:p w14:paraId="76E01147">
            <w:pPr>
              <w:jc w:val="center"/>
              <w:rPr>
                <w:rFonts w:hint="eastAsia" w:ascii="宋体" w:hAnsi="宋体" w:eastAsia="宋体" w:cs="宋体"/>
                <w:szCs w:val="21"/>
                <w:highlight w:val="none"/>
              </w:rPr>
            </w:pPr>
          </w:p>
        </w:tc>
        <w:tc>
          <w:tcPr>
            <w:tcW w:w="984" w:type="pct"/>
          </w:tcPr>
          <w:p w14:paraId="4467FB19">
            <w:pPr>
              <w:jc w:val="center"/>
              <w:rPr>
                <w:rFonts w:hint="eastAsia" w:ascii="宋体" w:hAnsi="宋体" w:eastAsia="宋体" w:cs="宋体"/>
                <w:szCs w:val="21"/>
                <w:highlight w:val="none"/>
              </w:rPr>
            </w:pPr>
          </w:p>
        </w:tc>
        <w:tc>
          <w:tcPr>
            <w:tcW w:w="807" w:type="pct"/>
            <w:vAlign w:val="center"/>
          </w:tcPr>
          <w:p w14:paraId="4F8AC49B">
            <w:pPr>
              <w:jc w:val="center"/>
              <w:rPr>
                <w:rFonts w:hint="eastAsia" w:ascii="宋体" w:hAnsi="宋体" w:eastAsia="宋体" w:cs="宋体"/>
                <w:szCs w:val="21"/>
                <w:highlight w:val="none"/>
              </w:rPr>
            </w:pPr>
          </w:p>
        </w:tc>
        <w:tc>
          <w:tcPr>
            <w:tcW w:w="677" w:type="pct"/>
            <w:vAlign w:val="center"/>
          </w:tcPr>
          <w:p w14:paraId="147844FC">
            <w:pPr>
              <w:jc w:val="center"/>
              <w:rPr>
                <w:rFonts w:hint="eastAsia" w:ascii="宋体" w:hAnsi="宋体" w:eastAsia="宋体" w:cs="宋体"/>
                <w:szCs w:val="21"/>
                <w:highlight w:val="none"/>
              </w:rPr>
            </w:pPr>
          </w:p>
        </w:tc>
      </w:tr>
      <w:tr w14:paraId="1A621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4FB82E74">
            <w:pPr>
              <w:jc w:val="center"/>
              <w:rPr>
                <w:rFonts w:hint="eastAsia" w:ascii="宋体" w:hAnsi="宋体" w:eastAsia="宋体" w:cs="宋体"/>
                <w:szCs w:val="21"/>
                <w:highlight w:val="none"/>
              </w:rPr>
            </w:pPr>
          </w:p>
          <w:p w14:paraId="3D2755E1">
            <w:pPr>
              <w:jc w:val="center"/>
              <w:rPr>
                <w:rFonts w:hint="eastAsia" w:ascii="宋体" w:hAnsi="宋体" w:eastAsia="宋体" w:cs="宋体"/>
                <w:szCs w:val="21"/>
                <w:highlight w:val="none"/>
              </w:rPr>
            </w:pPr>
          </w:p>
        </w:tc>
        <w:tc>
          <w:tcPr>
            <w:tcW w:w="1880" w:type="pct"/>
            <w:vAlign w:val="center"/>
          </w:tcPr>
          <w:p w14:paraId="3955B474">
            <w:pPr>
              <w:widowControl/>
              <w:jc w:val="center"/>
              <w:rPr>
                <w:rFonts w:hint="eastAsia" w:ascii="宋体" w:hAnsi="宋体" w:eastAsia="宋体" w:cs="宋体"/>
                <w:szCs w:val="21"/>
                <w:highlight w:val="none"/>
              </w:rPr>
            </w:pPr>
          </w:p>
          <w:p w14:paraId="15F1B739">
            <w:pPr>
              <w:jc w:val="center"/>
              <w:rPr>
                <w:rFonts w:hint="eastAsia" w:ascii="宋体" w:hAnsi="宋体" w:eastAsia="宋体" w:cs="宋体"/>
                <w:szCs w:val="21"/>
                <w:highlight w:val="none"/>
              </w:rPr>
            </w:pPr>
          </w:p>
        </w:tc>
        <w:tc>
          <w:tcPr>
            <w:tcW w:w="984" w:type="pct"/>
          </w:tcPr>
          <w:p w14:paraId="0F015FE8">
            <w:pPr>
              <w:jc w:val="center"/>
              <w:rPr>
                <w:rFonts w:hint="eastAsia" w:ascii="宋体" w:hAnsi="宋体" w:eastAsia="宋体" w:cs="宋体"/>
                <w:szCs w:val="21"/>
                <w:highlight w:val="none"/>
              </w:rPr>
            </w:pPr>
          </w:p>
        </w:tc>
        <w:tc>
          <w:tcPr>
            <w:tcW w:w="807" w:type="pct"/>
            <w:vAlign w:val="center"/>
          </w:tcPr>
          <w:p w14:paraId="3D9CB883">
            <w:pPr>
              <w:jc w:val="center"/>
              <w:rPr>
                <w:rFonts w:hint="eastAsia" w:ascii="宋体" w:hAnsi="宋体" w:eastAsia="宋体" w:cs="宋体"/>
                <w:szCs w:val="21"/>
                <w:highlight w:val="none"/>
              </w:rPr>
            </w:pPr>
          </w:p>
        </w:tc>
        <w:tc>
          <w:tcPr>
            <w:tcW w:w="677" w:type="pct"/>
            <w:vAlign w:val="center"/>
          </w:tcPr>
          <w:p w14:paraId="138CE968">
            <w:pPr>
              <w:jc w:val="center"/>
              <w:rPr>
                <w:rFonts w:hint="eastAsia" w:ascii="宋体" w:hAnsi="宋体" w:eastAsia="宋体" w:cs="宋体"/>
                <w:szCs w:val="21"/>
                <w:highlight w:val="none"/>
              </w:rPr>
            </w:pPr>
          </w:p>
        </w:tc>
      </w:tr>
      <w:tr w14:paraId="205A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68F0468">
            <w:pPr>
              <w:jc w:val="center"/>
              <w:rPr>
                <w:rFonts w:hint="eastAsia" w:ascii="宋体" w:hAnsi="宋体" w:eastAsia="宋体" w:cs="宋体"/>
                <w:szCs w:val="21"/>
                <w:highlight w:val="none"/>
              </w:rPr>
            </w:pPr>
          </w:p>
          <w:p w14:paraId="4AD9612C">
            <w:pPr>
              <w:jc w:val="center"/>
              <w:rPr>
                <w:rFonts w:hint="eastAsia" w:ascii="宋体" w:hAnsi="宋体" w:eastAsia="宋体" w:cs="宋体"/>
                <w:szCs w:val="21"/>
                <w:highlight w:val="none"/>
              </w:rPr>
            </w:pPr>
          </w:p>
        </w:tc>
        <w:tc>
          <w:tcPr>
            <w:tcW w:w="1880" w:type="pct"/>
            <w:vAlign w:val="center"/>
          </w:tcPr>
          <w:p w14:paraId="4D333A4E">
            <w:pPr>
              <w:widowControl/>
              <w:jc w:val="center"/>
              <w:rPr>
                <w:rFonts w:hint="eastAsia" w:ascii="宋体" w:hAnsi="宋体" w:eastAsia="宋体" w:cs="宋体"/>
                <w:szCs w:val="21"/>
                <w:highlight w:val="none"/>
              </w:rPr>
            </w:pPr>
          </w:p>
          <w:p w14:paraId="2A4D4DAA">
            <w:pPr>
              <w:jc w:val="center"/>
              <w:rPr>
                <w:rFonts w:hint="eastAsia" w:ascii="宋体" w:hAnsi="宋体" w:eastAsia="宋体" w:cs="宋体"/>
                <w:szCs w:val="21"/>
                <w:highlight w:val="none"/>
              </w:rPr>
            </w:pPr>
          </w:p>
        </w:tc>
        <w:tc>
          <w:tcPr>
            <w:tcW w:w="984" w:type="pct"/>
          </w:tcPr>
          <w:p w14:paraId="482530CF">
            <w:pPr>
              <w:jc w:val="center"/>
              <w:rPr>
                <w:rFonts w:hint="eastAsia" w:ascii="宋体" w:hAnsi="宋体" w:eastAsia="宋体" w:cs="宋体"/>
                <w:szCs w:val="21"/>
                <w:highlight w:val="none"/>
              </w:rPr>
            </w:pPr>
          </w:p>
        </w:tc>
        <w:tc>
          <w:tcPr>
            <w:tcW w:w="807" w:type="pct"/>
            <w:vAlign w:val="center"/>
          </w:tcPr>
          <w:p w14:paraId="1E47128B">
            <w:pPr>
              <w:jc w:val="center"/>
              <w:rPr>
                <w:rFonts w:hint="eastAsia" w:ascii="宋体" w:hAnsi="宋体" w:eastAsia="宋体" w:cs="宋体"/>
                <w:szCs w:val="21"/>
                <w:highlight w:val="none"/>
              </w:rPr>
            </w:pPr>
          </w:p>
        </w:tc>
        <w:tc>
          <w:tcPr>
            <w:tcW w:w="677" w:type="pct"/>
            <w:vAlign w:val="center"/>
          </w:tcPr>
          <w:p w14:paraId="5C0DCFE4">
            <w:pPr>
              <w:jc w:val="center"/>
              <w:rPr>
                <w:rFonts w:hint="eastAsia" w:ascii="宋体" w:hAnsi="宋体" w:eastAsia="宋体" w:cs="宋体"/>
                <w:szCs w:val="21"/>
                <w:highlight w:val="none"/>
              </w:rPr>
            </w:pPr>
          </w:p>
        </w:tc>
      </w:tr>
      <w:tr w14:paraId="3DC9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D913219">
            <w:pPr>
              <w:jc w:val="center"/>
              <w:rPr>
                <w:rFonts w:hint="eastAsia" w:ascii="宋体" w:hAnsi="宋体" w:eastAsia="宋体" w:cs="宋体"/>
                <w:szCs w:val="21"/>
                <w:highlight w:val="none"/>
              </w:rPr>
            </w:pPr>
          </w:p>
          <w:p w14:paraId="10F4FEF7">
            <w:pPr>
              <w:jc w:val="center"/>
              <w:rPr>
                <w:rFonts w:hint="eastAsia" w:ascii="宋体" w:hAnsi="宋体" w:eastAsia="宋体" w:cs="宋体"/>
                <w:szCs w:val="21"/>
                <w:highlight w:val="none"/>
              </w:rPr>
            </w:pPr>
          </w:p>
        </w:tc>
        <w:tc>
          <w:tcPr>
            <w:tcW w:w="1880" w:type="pct"/>
            <w:vAlign w:val="center"/>
          </w:tcPr>
          <w:p w14:paraId="5B17939E">
            <w:pPr>
              <w:widowControl/>
              <w:jc w:val="center"/>
              <w:rPr>
                <w:rFonts w:hint="eastAsia" w:ascii="宋体" w:hAnsi="宋体" w:eastAsia="宋体" w:cs="宋体"/>
                <w:szCs w:val="21"/>
                <w:highlight w:val="none"/>
              </w:rPr>
            </w:pPr>
          </w:p>
          <w:p w14:paraId="22E0C55A">
            <w:pPr>
              <w:jc w:val="center"/>
              <w:rPr>
                <w:rFonts w:hint="eastAsia" w:ascii="宋体" w:hAnsi="宋体" w:eastAsia="宋体" w:cs="宋体"/>
                <w:szCs w:val="21"/>
                <w:highlight w:val="none"/>
              </w:rPr>
            </w:pPr>
          </w:p>
        </w:tc>
        <w:tc>
          <w:tcPr>
            <w:tcW w:w="984" w:type="pct"/>
          </w:tcPr>
          <w:p w14:paraId="4227A863">
            <w:pPr>
              <w:jc w:val="center"/>
              <w:rPr>
                <w:rFonts w:hint="eastAsia" w:ascii="宋体" w:hAnsi="宋体" w:eastAsia="宋体" w:cs="宋体"/>
                <w:szCs w:val="21"/>
                <w:highlight w:val="none"/>
              </w:rPr>
            </w:pPr>
          </w:p>
        </w:tc>
        <w:tc>
          <w:tcPr>
            <w:tcW w:w="807" w:type="pct"/>
            <w:vAlign w:val="center"/>
          </w:tcPr>
          <w:p w14:paraId="6D3C4D5B">
            <w:pPr>
              <w:jc w:val="center"/>
              <w:rPr>
                <w:rFonts w:hint="eastAsia" w:ascii="宋体" w:hAnsi="宋体" w:eastAsia="宋体" w:cs="宋体"/>
                <w:szCs w:val="21"/>
                <w:highlight w:val="none"/>
              </w:rPr>
            </w:pPr>
          </w:p>
        </w:tc>
        <w:tc>
          <w:tcPr>
            <w:tcW w:w="677" w:type="pct"/>
            <w:vAlign w:val="center"/>
          </w:tcPr>
          <w:p w14:paraId="57E532DE">
            <w:pPr>
              <w:jc w:val="center"/>
              <w:rPr>
                <w:rFonts w:hint="eastAsia" w:ascii="宋体" w:hAnsi="宋体" w:eastAsia="宋体" w:cs="宋体"/>
                <w:szCs w:val="21"/>
                <w:highlight w:val="none"/>
              </w:rPr>
            </w:pPr>
          </w:p>
        </w:tc>
      </w:tr>
      <w:tr w14:paraId="6018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73FD12B">
            <w:pPr>
              <w:jc w:val="center"/>
              <w:rPr>
                <w:rFonts w:hint="eastAsia" w:ascii="宋体" w:hAnsi="宋体" w:eastAsia="宋体" w:cs="宋体"/>
                <w:szCs w:val="21"/>
                <w:highlight w:val="none"/>
              </w:rPr>
            </w:pPr>
          </w:p>
          <w:p w14:paraId="7FD2F3DC">
            <w:pPr>
              <w:jc w:val="center"/>
              <w:rPr>
                <w:rFonts w:hint="eastAsia" w:ascii="宋体" w:hAnsi="宋体" w:eastAsia="宋体" w:cs="宋体"/>
                <w:szCs w:val="21"/>
                <w:highlight w:val="none"/>
              </w:rPr>
            </w:pPr>
          </w:p>
        </w:tc>
        <w:tc>
          <w:tcPr>
            <w:tcW w:w="1880" w:type="pct"/>
            <w:vAlign w:val="center"/>
          </w:tcPr>
          <w:p w14:paraId="076813FC">
            <w:pPr>
              <w:widowControl/>
              <w:jc w:val="center"/>
              <w:rPr>
                <w:rFonts w:hint="eastAsia" w:ascii="宋体" w:hAnsi="宋体" w:eastAsia="宋体" w:cs="宋体"/>
                <w:szCs w:val="21"/>
                <w:highlight w:val="none"/>
              </w:rPr>
            </w:pPr>
          </w:p>
          <w:p w14:paraId="4434CC9E">
            <w:pPr>
              <w:jc w:val="center"/>
              <w:rPr>
                <w:rFonts w:hint="eastAsia" w:ascii="宋体" w:hAnsi="宋体" w:eastAsia="宋体" w:cs="宋体"/>
                <w:szCs w:val="21"/>
                <w:highlight w:val="none"/>
              </w:rPr>
            </w:pPr>
          </w:p>
        </w:tc>
        <w:tc>
          <w:tcPr>
            <w:tcW w:w="984" w:type="pct"/>
          </w:tcPr>
          <w:p w14:paraId="580B563B">
            <w:pPr>
              <w:jc w:val="center"/>
              <w:rPr>
                <w:rFonts w:hint="eastAsia" w:ascii="宋体" w:hAnsi="宋体" w:eastAsia="宋体" w:cs="宋体"/>
                <w:szCs w:val="21"/>
                <w:highlight w:val="none"/>
              </w:rPr>
            </w:pPr>
          </w:p>
        </w:tc>
        <w:tc>
          <w:tcPr>
            <w:tcW w:w="807" w:type="pct"/>
            <w:vAlign w:val="center"/>
          </w:tcPr>
          <w:p w14:paraId="34341EAA">
            <w:pPr>
              <w:jc w:val="center"/>
              <w:rPr>
                <w:rFonts w:hint="eastAsia" w:ascii="宋体" w:hAnsi="宋体" w:eastAsia="宋体" w:cs="宋体"/>
                <w:szCs w:val="21"/>
                <w:highlight w:val="none"/>
              </w:rPr>
            </w:pPr>
          </w:p>
        </w:tc>
        <w:tc>
          <w:tcPr>
            <w:tcW w:w="677" w:type="pct"/>
            <w:vAlign w:val="center"/>
          </w:tcPr>
          <w:p w14:paraId="2F0B6AA1">
            <w:pPr>
              <w:jc w:val="center"/>
              <w:rPr>
                <w:rFonts w:hint="eastAsia" w:ascii="宋体" w:hAnsi="宋体" w:eastAsia="宋体" w:cs="宋体"/>
                <w:szCs w:val="21"/>
                <w:highlight w:val="none"/>
              </w:rPr>
            </w:pPr>
          </w:p>
        </w:tc>
      </w:tr>
    </w:tbl>
    <w:p w14:paraId="67B9C2F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75DD2D5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0ADD4BF9">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3DE7B77D">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50F1E44C">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18330"/>
      <w:bookmarkStart w:id="49" w:name="_Toc104"/>
      <w:bookmarkStart w:id="50" w:name="_Toc68688822"/>
      <w:bookmarkStart w:id="51" w:name="_Toc15928"/>
      <w:bookmarkStart w:id="52" w:name="_Toc1651923"/>
      <w:bookmarkStart w:id="53" w:name="_Toc56432254"/>
      <w:r>
        <w:rPr>
          <w:rFonts w:hint="eastAsia" w:ascii="宋体" w:hAnsi="宋体" w:eastAsia="宋体" w:cs="宋体"/>
          <w:highlight w:val="none"/>
        </w:rPr>
        <w:t>本项目的实施方案</w:t>
      </w:r>
      <w:bookmarkEnd w:id="48"/>
      <w:bookmarkEnd w:id="49"/>
    </w:p>
    <w:p w14:paraId="4A329BCD">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E2FBC38">
      <w:pPr>
        <w:widowControl/>
        <w:numPr>
          <w:ilvl w:val="0"/>
          <w:numId w:val="0"/>
        </w:numPr>
        <w:jc w:val="left"/>
        <w:rPr>
          <w:rFonts w:hint="eastAsia" w:ascii="宋体" w:hAnsi="宋体" w:cs="宋体"/>
          <w:kern w:val="2"/>
          <w:sz w:val="21"/>
          <w:szCs w:val="24"/>
          <w:lang w:val="en-US" w:eastAsia="zh-CN" w:bidi="ar-SA"/>
        </w:rPr>
      </w:pPr>
    </w:p>
    <w:p w14:paraId="3AA65CB3">
      <w:pPr>
        <w:widowControl/>
        <w:numPr>
          <w:ilvl w:val="0"/>
          <w:numId w:val="0"/>
        </w:numPr>
        <w:jc w:val="left"/>
        <w:rPr>
          <w:rFonts w:hint="eastAsia" w:ascii="宋体" w:hAnsi="宋体" w:cs="宋体"/>
          <w:kern w:val="2"/>
          <w:sz w:val="21"/>
          <w:szCs w:val="24"/>
          <w:lang w:val="en-US" w:eastAsia="zh-CN" w:bidi="ar-SA"/>
        </w:rPr>
      </w:pPr>
    </w:p>
    <w:p w14:paraId="2D745FE8">
      <w:pPr>
        <w:widowControl/>
        <w:numPr>
          <w:ilvl w:val="0"/>
          <w:numId w:val="0"/>
        </w:numPr>
        <w:jc w:val="left"/>
        <w:rPr>
          <w:rFonts w:hint="default"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w:t>
      </w:r>
    </w:p>
    <w:p w14:paraId="3CE690B3">
      <w:pPr>
        <w:widowControl/>
        <w:numPr>
          <w:ilvl w:val="0"/>
          <w:numId w:val="0"/>
        </w:numPr>
        <w:jc w:val="left"/>
        <w:rPr>
          <w:rFonts w:hint="eastAsia" w:ascii="宋体" w:hAnsi="宋体" w:cs="宋体"/>
          <w:kern w:val="2"/>
          <w:sz w:val="21"/>
          <w:szCs w:val="24"/>
          <w:lang w:val="en-US" w:eastAsia="zh-CN" w:bidi="ar-SA"/>
        </w:rPr>
      </w:pPr>
    </w:p>
    <w:p w14:paraId="2A476A4C">
      <w:pPr>
        <w:widowControl/>
        <w:numPr>
          <w:ilvl w:val="0"/>
          <w:numId w:val="0"/>
        </w:numPr>
        <w:jc w:val="left"/>
        <w:rPr>
          <w:rFonts w:hint="eastAsia" w:ascii="宋体" w:hAnsi="宋体" w:eastAsia="宋体" w:cs="宋体"/>
          <w:b/>
          <w:bCs/>
          <w:sz w:val="32"/>
          <w:szCs w:val="32"/>
          <w:highlight w:val="none"/>
        </w:rPr>
      </w:pPr>
      <w:r>
        <w:rPr>
          <w:rFonts w:hint="eastAsia" w:ascii="宋体" w:hAnsi="宋体" w:eastAsia="宋体" w:cs="宋体"/>
          <w:highlight w:val="none"/>
        </w:rPr>
        <w:br w:type="page"/>
      </w:r>
    </w:p>
    <w:p w14:paraId="20DB03CC">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4" w:name="_Toc17083"/>
      <w:bookmarkStart w:id="55"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0"/>
      <w:bookmarkEnd w:id="51"/>
      <w:bookmarkEnd w:id="52"/>
      <w:bookmarkEnd w:id="53"/>
      <w:bookmarkEnd w:id="54"/>
      <w:r>
        <w:rPr>
          <w:rFonts w:hint="eastAsia" w:ascii="宋体" w:hAnsi="宋体" w:eastAsia="宋体" w:cs="宋体"/>
          <w:highlight w:val="none"/>
        </w:rPr>
        <w:t>函</w:t>
      </w:r>
      <w:bookmarkEnd w:id="55"/>
    </w:p>
    <w:p w14:paraId="273FB77C">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南方网朋友圈广告投放服务项目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r>
        <w:rPr>
          <w:rFonts w:hint="eastAsia" w:ascii="方正小标宋简体" w:hAnsi="方正小标宋简体" w:eastAsia="方正小标宋简体" w:cs="方正小标宋简体"/>
          <w:b/>
          <w:sz w:val="32"/>
          <w:szCs w:val="32"/>
          <w:lang w:val="en-US" w:eastAsia="zh-CN"/>
        </w:rPr>
        <w:t>服务类</w:t>
      </w:r>
      <w:r>
        <w:rPr>
          <w:rFonts w:hint="eastAsia" w:ascii="方正小标宋简体" w:hAnsi="方正小标宋简体" w:eastAsia="方正小标宋简体" w:cs="方正小标宋简体"/>
          <w:b/>
          <w:sz w:val="32"/>
          <w:szCs w:val="32"/>
          <w:lang w:eastAsia="zh-CN"/>
        </w:rPr>
        <w:t>）</w:t>
      </w:r>
    </w:p>
    <w:p w14:paraId="2B892A63">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02E3D600">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朋友圈广告投放服务项目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eastAsia="宋体" w:cs="宋体"/>
          <w:b w:val="0"/>
          <w:bCs/>
          <w:sz w:val="21"/>
          <w:szCs w:val="21"/>
          <w:u w:val="single"/>
          <w:lang w:val="en-US" w:eastAsia="zh-CN"/>
        </w:rPr>
        <w:t xml:space="preserve"> NFWJYCG2025031</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873"/>
      </w:tblGrid>
      <w:tr w14:paraId="4FF4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4"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0FBDBFF">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82D9A99">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（1）在2026年5月前，按甲方所需，在广东地区提供定向朋友圈图片或视频广告投放不少于两次；</w:t>
            </w:r>
          </w:p>
          <w:p w14:paraId="41DF008B">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（2）投放曝光量合共达到700万；</w:t>
            </w:r>
          </w:p>
          <w:p w14:paraId="6DB13592">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（3）服务期内，乙方每次开展投放业务后需向甲方确认推广成果；</w:t>
            </w:r>
          </w:p>
          <w:p w14:paraId="56B6D909">
            <w:pPr>
              <w:rPr>
                <w:rFonts w:hint="default"/>
                <w:lang w:val="en-US"/>
              </w:rPr>
            </w:pPr>
            <w:r>
              <w:rPr>
                <w:rFonts w:hint="eastAsia" w:asciiTheme="minorEastAsia" w:hAnsiTheme="minorEastAsia" w:eastAsiaTheme="minorEastAsia" w:cstheme="minorEastAsia"/>
                <w:lang w:val="en-US" w:eastAsia="zh-CN"/>
              </w:rPr>
              <w:t>（4）服务期满，乙方应按甲方要求生成项目验收总结报告，对本项目平台宣传推广的效果进行总结。</w:t>
            </w:r>
          </w:p>
        </w:tc>
      </w:tr>
      <w:tr w14:paraId="2B80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44AD8A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24046A0">
            <w:pPr>
              <w:widowControl/>
              <w:jc w:val="center"/>
              <w:textAlignment w:val="center"/>
              <w:rPr>
                <w:rFonts w:hint="eastAsia" w:ascii="宋体" w:hAnsi="宋体" w:eastAsia="宋体" w:cs="宋体"/>
                <w:b w:val="0"/>
                <w:bCs w:val="0"/>
                <w:color w:val="000000"/>
                <w:sz w:val="21"/>
                <w:szCs w:val="21"/>
                <w:u w:val="single"/>
                <w:lang w:val="en-US" w:eastAsia="zh-CN"/>
              </w:rPr>
            </w:pPr>
          </w:p>
        </w:tc>
      </w:tr>
      <w:tr w14:paraId="53F2C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3C0EC4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1AE4598">
            <w:pPr>
              <w:pStyle w:val="10"/>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5D88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E64F77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B515CFF">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700D23D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7BDC29AB">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424E5444">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1F7E0C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360" w:hanging="36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8DB4E8A"/>
    <w:multiLevelType w:val="singleLevel"/>
    <w:tmpl w:val="68DB4E8A"/>
    <w:lvl w:ilvl="0" w:tentative="0">
      <w:start w:val="2"/>
      <w:numFmt w:val="chineseCounting"/>
      <w:suff w:val="space"/>
      <w:lvlText w:val="第%1章"/>
      <w:lvlJc w:val="left"/>
      <w:rPr>
        <w:rFonts w:hint="eastAsia"/>
      </w:rPr>
    </w:lvl>
  </w:abstractNum>
  <w:abstractNum w:abstractNumId="7">
    <w:nsid w:val="7EC89450"/>
    <w:multiLevelType w:val="singleLevel"/>
    <w:tmpl w:val="7EC89450"/>
    <w:lvl w:ilvl="0" w:tentative="0">
      <w:start w:val="1"/>
      <w:numFmt w:val="decimal"/>
      <w:suff w:val="nothing"/>
      <w:lvlText w:val="（%1）"/>
      <w:lvlJc w:val="left"/>
    </w:lvl>
  </w:abstractNum>
  <w:num w:numId="1">
    <w:abstractNumId w:val="6"/>
  </w:num>
  <w:num w:numId="2">
    <w:abstractNumId w:val="3"/>
  </w:num>
  <w:num w:numId="3">
    <w:abstractNumId w:val="7"/>
  </w:num>
  <w:num w:numId="4">
    <w:abstractNumId w:val="4"/>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112B8"/>
    <w:rsid w:val="305112B8"/>
    <w:rsid w:val="5A385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6">
    <w:name w:val="Normal Indent"/>
    <w:basedOn w:val="1"/>
    <w:next w:val="1"/>
    <w:qFormat/>
    <w:uiPriority w:val="0"/>
    <w:pPr>
      <w:ind w:firstLine="420" w:firstLineChars="200"/>
    </w:pPr>
  </w:style>
  <w:style w:type="paragraph" w:styleId="7">
    <w:name w:val="Body Text"/>
    <w:basedOn w:val="1"/>
    <w:qFormat/>
    <w:uiPriority w:val="99"/>
    <w:pPr>
      <w:spacing w:after="12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Indent 3"/>
    <w:basedOn w:val="1"/>
    <w:qFormat/>
    <w:uiPriority w:val="0"/>
    <w:pPr>
      <w:spacing w:line="240" w:lineRule="exact"/>
      <w:ind w:firstLine="360"/>
    </w:pPr>
  </w:style>
  <w:style w:type="paragraph" w:styleId="10">
    <w:name w:val="Body Text First Indent"/>
    <w:basedOn w:val="7"/>
    <w:qFormat/>
    <w:uiPriority w:val="0"/>
    <w:pPr>
      <w:spacing w:after="120"/>
      <w:ind w:firstLine="420"/>
      <w:jc w:val="both"/>
    </w:pPr>
    <w:rPr>
      <w:sz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t1bt1"/>
    <w:basedOn w:val="4"/>
    <w:autoRedefine/>
    <w:qFormat/>
    <w:uiPriority w:val="0"/>
    <w:pPr>
      <w:spacing w:line="240" w:lineRule="auto"/>
      <w:jc w:val="center"/>
    </w:pPr>
    <w:rPr>
      <w:rFonts w:ascii="黑体" w:eastAsia="黑体"/>
      <w:sz w:val="36"/>
      <w:szCs w:val="36"/>
    </w:rPr>
  </w:style>
  <w:style w:type="paragraph" w:customStyle="1" w:styleId="15">
    <w:name w:val="正文00"/>
    <w:basedOn w:val="1"/>
    <w:autoRedefine/>
    <w:qFormat/>
    <w:uiPriority w:val="0"/>
    <w:pPr>
      <w:topLinePunct/>
      <w:spacing w:line="360" w:lineRule="auto"/>
      <w:ind w:firstLine="200" w:firstLineChars="200"/>
    </w:pPr>
    <w:rPr>
      <w:sz w:val="24"/>
      <w:szCs w:val="21"/>
    </w:rPr>
  </w:style>
  <w:style w:type="paragraph" w:customStyle="1" w:styleId="16">
    <w:name w:val="_Style 3"/>
    <w:basedOn w:val="1"/>
    <w:qFormat/>
    <w:uiPriority w:val="0"/>
    <w:pPr>
      <w:ind w:firstLine="420" w:firstLineChars="200"/>
    </w:pPr>
    <w:rPr>
      <w:rFonts w:ascii="等线" w:hAnsi="等线" w:eastAsia="等线" w:cs="Times New Roman"/>
      <w:sz w:val="20"/>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1546</Words>
  <Characters>1566</Characters>
  <Lines>0</Lines>
  <Paragraphs>0</Paragraphs>
  <TotalTime>2</TotalTime>
  <ScaleCrop>false</ScaleCrop>
  <LinksUpToDate>false</LinksUpToDate>
  <CharactersWithSpaces>1572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2025-09-11T10:32:00Z</dcterms:created>
  <dc:creator>Kiko.希</dc:creator>
  <cp:lastModifiedBy>杨波</cp:lastModifiedBy>
  <cp:lastPrinted>2025-09-12T05:16:09Z</cp:lastPrinted>
  <dcterms:modified xsi:type="dcterms:W3CDTF">2025-09-12T05:16:18Z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14C45460780E444E87E4224355E4B389_11</vt:lpwstr>
  </property>
  <property fmtid="{D5CDD505-2E9C-101B-9397-08002B2CF9AE}" pid="4" name="KSOTemplateDocerSaveRecord">
    <vt:lpwstr>eyJoZGlkIjoiZjZjNDZkZDQ2MWQ4MmY5YTc3NDA3YzU2MDk3MjZjOWUiLCJ1c2VySWQiOiI4NTAxOTU4NTgifQ==</vt:lpwstr>
  </property>
</Properties>
</file>