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52"/>
          <w:szCs w:val="52"/>
          <w:highlight w:val="none"/>
        </w:rPr>
      </w:pPr>
    </w:p>
    <w:p>
      <w:pPr>
        <w:spacing w:line="360" w:lineRule="auto"/>
        <w:jc w:val="center"/>
        <w:rPr>
          <w:rFonts w:hint="eastAsia" w:ascii="宋体" w:hAnsi="宋体" w:cs="宋体"/>
          <w:b/>
          <w:bCs/>
          <w:color w:val="auto"/>
          <w:sz w:val="52"/>
          <w:szCs w:val="52"/>
          <w:highlight w:val="none"/>
        </w:rPr>
      </w:pPr>
    </w:p>
    <w:p>
      <w:pPr>
        <w:spacing w:line="360" w:lineRule="auto"/>
        <w:jc w:val="center"/>
        <w:rPr>
          <w:rFonts w:hint="eastAsia" w:ascii="宋体" w:hAnsi="宋体" w:eastAsia="宋体" w:cs="宋体"/>
          <w:b/>
          <w:bCs/>
          <w:color w:val="auto"/>
          <w:sz w:val="52"/>
          <w:szCs w:val="52"/>
          <w:highlight w:val="none"/>
          <w:lang w:eastAsia="zh-CN"/>
        </w:rPr>
      </w:pPr>
      <w:bookmarkStart w:id="0" w:name="OLE_LINK6"/>
      <w:r>
        <w:rPr>
          <w:rFonts w:hint="eastAsia" w:ascii="宋体" w:hAnsi="宋体" w:cs="宋体"/>
          <w:b/>
          <w:bCs/>
          <w:color w:val="auto"/>
          <w:kern w:val="2"/>
          <w:sz w:val="52"/>
          <w:szCs w:val="52"/>
          <w:highlight w:val="none"/>
          <w:u w:val="none"/>
          <w:lang w:val="en-US" w:eastAsia="zh-CN" w:bidi="ar-SA"/>
        </w:rPr>
        <w:t>深圳分社新址装修项目（机电设备部分）</w:t>
      </w:r>
    </w:p>
    <w:bookmarkEnd w:id="0"/>
    <w:p>
      <w:pPr>
        <w:spacing w:line="360" w:lineRule="auto"/>
        <w:rPr>
          <w:rFonts w:hint="eastAsia" w:ascii="宋体" w:hAnsi="宋体" w:cs="宋体"/>
          <w:color w:val="auto"/>
          <w:sz w:val="30"/>
          <w:highlight w:val="none"/>
        </w:rPr>
      </w:pPr>
    </w:p>
    <w:p>
      <w:pPr>
        <w:spacing w:line="360" w:lineRule="auto"/>
        <w:rPr>
          <w:rFonts w:hint="eastAsia" w:ascii="宋体" w:hAnsi="宋体" w:cs="宋体"/>
          <w:color w:val="auto"/>
          <w:sz w:val="30"/>
          <w:highlight w:val="none"/>
        </w:rPr>
      </w:pPr>
    </w:p>
    <w:p>
      <w:pPr>
        <w:spacing w:line="360" w:lineRule="auto"/>
        <w:jc w:val="center"/>
        <w:rPr>
          <w:rFonts w:hint="eastAsia" w:ascii="宋体" w:hAnsi="宋体" w:cs="宋体"/>
          <w:b/>
          <w:color w:val="auto"/>
          <w:spacing w:val="20"/>
          <w:kern w:val="10"/>
          <w:sz w:val="84"/>
          <w:szCs w:val="84"/>
          <w:highlight w:val="none"/>
        </w:rPr>
      </w:pPr>
      <w:r>
        <w:rPr>
          <w:rFonts w:hint="eastAsia" w:ascii="宋体" w:hAnsi="宋体" w:cs="宋体"/>
          <w:b/>
          <w:color w:val="auto"/>
          <w:spacing w:val="20"/>
          <w:kern w:val="10"/>
          <w:sz w:val="84"/>
          <w:szCs w:val="84"/>
          <w:highlight w:val="none"/>
        </w:rPr>
        <w:t>招标文件</w:t>
      </w:r>
    </w:p>
    <w:p>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M4400000707531845</w:t>
      </w:r>
      <w:r>
        <w:rPr>
          <w:rFonts w:hint="eastAsia" w:ascii="宋体" w:hAnsi="宋体" w:cs="宋体"/>
          <w:color w:val="auto"/>
          <w:sz w:val="36"/>
          <w:szCs w:val="36"/>
          <w:highlight w:val="none"/>
        </w:rPr>
        <w:t>）</w:t>
      </w:r>
    </w:p>
    <w:p>
      <w:pPr>
        <w:tabs>
          <w:tab w:val="left" w:pos="8118"/>
        </w:tabs>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ab/>
      </w:r>
    </w:p>
    <w:p>
      <w:pPr>
        <w:spacing w:line="360" w:lineRule="auto"/>
        <w:jc w:val="center"/>
        <w:rPr>
          <w:rFonts w:hint="eastAsia" w:ascii="宋体" w:hAnsi="宋体" w:cs="宋体"/>
          <w:color w:val="auto"/>
          <w:sz w:val="28"/>
          <w:szCs w:val="28"/>
          <w:highlight w:val="none"/>
        </w:rPr>
      </w:pPr>
    </w:p>
    <w:p>
      <w:pPr>
        <w:spacing w:line="360" w:lineRule="auto"/>
        <w:jc w:val="center"/>
        <w:rPr>
          <w:rFonts w:hint="eastAsia" w:ascii="宋体" w:hAnsi="宋体" w:cs="宋体"/>
          <w:color w:val="auto"/>
          <w:sz w:val="28"/>
          <w:szCs w:val="28"/>
          <w:highlight w:val="none"/>
        </w:rPr>
      </w:pPr>
    </w:p>
    <w:p>
      <w:pPr>
        <w:spacing w:line="360" w:lineRule="auto"/>
        <w:jc w:val="center"/>
        <w:rPr>
          <w:rFonts w:hint="eastAsia" w:ascii="宋体" w:hAnsi="宋体" w:cs="宋体"/>
          <w:color w:val="auto"/>
          <w:sz w:val="28"/>
          <w:szCs w:val="28"/>
          <w:highlight w:val="none"/>
        </w:rPr>
      </w:pPr>
    </w:p>
    <w:p>
      <w:pPr>
        <w:snapToGrid w:val="0"/>
        <w:spacing w:line="600" w:lineRule="atLeast"/>
        <w:rPr>
          <w:rFonts w:hint="eastAsia" w:ascii="宋体" w:hAnsi="宋体" w:cs="宋体"/>
          <w:color w:val="auto"/>
          <w:sz w:val="30"/>
          <w:highlight w:val="none"/>
        </w:rPr>
      </w:pPr>
    </w:p>
    <w:p>
      <w:pPr>
        <w:snapToGrid w:val="0"/>
        <w:spacing w:line="600" w:lineRule="atLeast"/>
        <w:rPr>
          <w:rFonts w:hint="eastAsia" w:ascii="宋体" w:hAnsi="宋体" w:cs="宋体"/>
          <w:color w:val="auto"/>
          <w:sz w:val="30"/>
          <w:highlight w:val="none"/>
        </w:rPr>
      </w:pPr>
    </w:p>
    <w:p>
      <w:pPr>
        <w:snapToGrid w:val="0"/>
        <w:spacing w:line="600" w:lineRule="atLeast"/>
        <w:ind w:firstLine="1200" w:firstLineChars="400"/>
        <w:rPr>
          <w:rFonts w:hint="eastAsia" w:ascii="宋体" w:hAnsi="宋体" w:cs="宋体"/>
          <w:color w:val="auto"/>
          <w:sz w:val="30"/>
          <w:highlight w:val="none"/>
        </w:rPr>
      </w:pPr>
    </w:p>
    <w:p>
      <w:pPr>
        <w:snapToGrid w:val="0"/>
        <w:spacing w:line="600" w:lineRule="atLeast"/>
        <w:ind w:firstLine="1200" w:firstLineChars="400"/>
        <w:rPr>
          <w:rFonts w:hint="eastAsia" w:ascii="宋体" w:hAnsi="宋体" w:cs="宋体"/>
          <w:color w:val="auto"/>
          <w:sz w:val="30"/>
          <w:highlight w:val="none"/>
          <w:u w:val="single"/>
        </w:rPr>
      </w:pPr>
      <w:r>
        <w:rPr>
          <w:rFonts w:hint="eastAsia" w:ascii="宋体" w:hAnsi="宋体" w:cs="宋体"/>
          <w:color w:val="auto"/>
          <w:sz w:val="30"/>
          <w:highlight w:val="none"/>
        </w:rPr>
        <w:t>招   标   人：</w:t>
      </w:r>
      <w:r>
        <w:rPr>
          <w:rFonts w:hint="eastAsia" w:ascii="宋体" w:hAnsi="宋体" w:cs="宋体"/>
          <w:color w:val="auto"/>
          <w:sz w:val="30"/>
          <w:highlight w:val="none"/>
          <w:u w:val="single"/>
        </w:rPr>
        <w:t>广东南方报业传媒集团物业管理有限公司</w:t>
      </w:r>
    </w:p>
    <w:p>
      <w:pPr>
        <w:snapToGrid w:val="0"/>
        <w:spacing w:line="600" w:lineRule="atLeast"/>
        <w:ind w:firstLine="1200" w:firstLineChars="400"/>
        <w:rPr>
          <w:rFonts w:hint="eastAsia" w:ascii="宋体" w:hAnsi="宋体" w:cs="宋体"/>
          <w:color w:val="auto"/>
          <w:sz w:val="30"/>
          <w:highlight w:val="none"/>
          <w:u w:val="single"/>
        </w:rPr>
      </w:pPr>
      <w:r>
        <w:rPr>
          <w:rFonts w:hint="eastAsia" w:ascii="宋体" w:hAnsi="宋体" w:cs="宋体"/>
          <w:color w:val="auto"/>
          <w:sz w:val="30"/>
          <w:highlight w:val="none"/>
        </w:rPr>
        <w:t>招标代理机构：</w:t>
      </w:r>
      <w:r>
        <w:rPr>
          <w:rFonts w:hint="eastAsia" w:ascii="宋体" w:hAnsi="宋体" w:cs="宋体"/>
          <w:color w:val="auto"/>
          <w:sz w:val="30"/>
          <w:highlight w:val="none"/>
          <w:u w:val="single"/>
        </w:rPr>
        <w:t>广东省机电设备招标有限公司</w:t>
      </w:r>
    </w:p>
    <w:p>
      <w:pPr>
        <w:snapToGrid w:val="0"/>
        <w:spacing w:line="600" w:lineRule="atLeast"/>
        <w:ind w:firstLine="1200" w:firstLineChars="400"/>
        <w:rPr>
          <w:rFonts w:hint="eastAsia" w:ascii="宋体" w:hAnsi="宋体" w:cs="宋体"/>
          <w:color w:val="auto"/>
          <w:sz w:val="30"/>
          <w:highlight w:val="none"/>
          <w:u w:val="single"/>
        </w:rPr>
      </w:pPr>
    </w:p>
    <w:p>
      <w:pPr>
        <w:spacing w:line="360" w:lineRule="auto"/>
        <w:jc w:val="center"/>
        <w:rPr>
          <w:rFonts w:hint="eastAsia" w:ascii="宋体" w:hAnsi="宋体" w:cs="宋体"/>
          <w:b/>
          <w:color w:val="auto"/>
          <w:sz w:val="28"/>
          <w:szCs w:val="28"/>
          <w:highlight w:val="none"/>
        </w:rPr>
        <w:sectPr>
          <w:headerReference r:id="rId3" w:type="default"/>
          <w:footerReference r:id="rId4"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color w:val="auto"/>
          <w:sz w:val="30"/>
          <w:szCs w:val="30"/>
          <w:highlight w:val="none"/>
        </w:rPr>
        <w:t>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7</w:t>
      </w:r>
      <w:r>
        <w:rPr>
          <w:rFonts w:hint="eastAsia" w:ascii="宋体" w:hAnsi="宋体" w:cs="宋体"/>
          <w:color w:val="auto"/>
          <w:sz w:val="30"/>
          <w:szCs w:val="30"/>
          <w:highlight w:val="none"/>
        </w:rPr>
        <w:t>月</w:t>
      </w:r>
    </w:p>
    <w:p>
      <w:pPr>
        <w:spacing w:line="360" w:lineRule="auto"/>
        <w:jc w:val="center"/>
        <w:outlineLvl w:val="0"/>
        <w:rPr>
          <w:rFonts w:hint="eastAsia" w:ascii="宋体" w:hAnsi="宋体" w:cs="宋体"/>
          <w:b/>
          <w:color w:val="auto"/>
          <w:sz w:val="28"/>
          <w:szCs w:val="28"/>
          <w:highlight w:val="none"/>
        </w:rPr>
      </w:pPr>
      <w:bookmarkStart w:id="1" w:name="_Toc27156"/>
      <w:r>
        <w:rPr>
          <w:rFonts w:hint="eastAsia" w:ascii="宋体" w:hAnsi="宋体" w:cs="宋体"/>
          <w:b/>
          <w:color w:val="auto"/>
          <w:sz w:val="28"/>
          <w:szCs w:val="28"/>
          <w:highlight w:val="none"/>
        </w:rPr>
        <w:t>投标提示</w:t>
      </w:r>
      <w:bookmarkEnd w:id="1"/>
    </w:p>
    <w:p>
      <w:pPr>
        <w:pStyle w:val="3"/>
        <w:rPr>
          <w:rFonts w:hint="eastAsia"/>
        </w:rPr>
      </w:pPr>
    </w:p>
    <w:p>
      <w:pPr>
        <w:snapToGrid w:val="0"/>
        <w:spacing w:line="360" w:lineRule="auto"/>
        <w:jc w:val="center"/>
        <w:rPr>
          <w:rFonts w:hint="eastAsia" w:ascii="宋体" w:hAnsi="宋体" w:cs="宋体"/>
          <w:color w:val="auto"/>
          <w:highlight w:val="none"/>
        </w:rPr>
      </w:pPr>
      <w:r>
        <w:rPr>
          <w:rFonts w:hint="eastAsia" w:ascii="宋体" w:hAnsi="宋体" w:cs="宋体"/>
          <w:b/>
          <w:color w:val="auto"/>
          <w:highlight w:val="none"/>
        </w:rPr>
        <w:t>（本提示内容非招标文件的组成部分，仅为投标人制作文件提醒。如有不一致，以招标文件为准）</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1、潜在投标</w:t>
      </w:r>
      <w:r>
        <w:rPr>
          <w:rFonts w:hint="eastAsia" w:ascii="宋体" w:hAnsi="宋体" w:cs="宋体"/>
          <w:color w:val="auto"/>
          <w:highlight w:val="none"/>
          <w:lang w:val="en-US" w:eastAsia="zh-CN"/>
        </w:rPr>
        <w:t>人</w:t>
      </w:r>
      <w:r>
        <w:rPr>
          <w:rFonts w:hint="eastAsia" w:ascii="宋体" w:hAnsi="宋体" w:cs="宋体"/>
          <w:color w:val="auto"/>
          <w:highlight w:val="none"/>
        </w:rPr>
        <w:t>须按招标文件及公告要求登记。</w:t>
      </w:r>
    </w:p>
    <w:p>
      <w:pPr>
        <w:snapToGrid w:val="0"/>
        <w:spacing w:line="360" w:lineRule="auto"/>
        <w:rPr>
          <w:rFonts w:hint="eastAsia" w:ascii="宋体" w:hAnsi="宋体" w:cs="宋体"/>
          <w:color w:val="auto"/>
          <w:highlight w:val="none"/>
        </w:rPr>
      </w:pPr>
      <w:r>
        <w:rPr>
          <w:rFonts w:hint="eastAsia" w:ascii="宋体" w:hAnsi="宋体" w:cs="宋体"/>
          <w:color w:val="auto"/>
          <w:highlight w:val="none"/>
        </w:rPr>
        <w:t>2、本公司启用网上登记系统进行</w:t>
      </w:r>
      <w:r>
        <w:rPr>
          <w:rFonts w:hint="eastAsia" w:ascii="宋体" w:hAnsi="宋体" w:cs="宋体"/>
          <w:color w:val="auto"/>
          <w:highlight w:val="none"/>
          <w:lang w:eastAsia="zh-CN"/>
        </w:rPr>
        <w:t>投标人</w:t>
      </w:r>
      <w:r>
        <w:rPr>
          <w:rFonts w:hint="eastAsia" w:ascii="宋体" w:hAnsi="宋体" w:cs="宋体"/>
          <w:color w:val="auto"/>
          <w:highlight w:val="none"/>
        </w:rPr>
        <w:t>登记及购买文件。请登录广咨电子招投标交易平台网站（www.gzebid.cn）进行</w:t>
      </w:r>
      <w:r>
        <w:rPr>
          <w:rFonts w:hint="eastAsia" w:ascii="宋体" w:hAnsi="宋体" w:cs="宋体"/>
          <w:color w:val="auto"/>
          <w:highlight w:val="none"/>
          <w:lang w:eastAsia="zh-CN"/>
        </w:rPr>
        <w:t>投标人</w:t>
      </w:r>
      <w:r>
        <w:rPr>
          <w:rFonts w:hint="eastAsia" w:ascii="宋体" w:hAnsi="宋体" w:cs="宋体"/>
          <w:color w:val="auto"/>
          <w:highlight w:val="none"/>
        </w:rPr>
        <w:t>注册登记。</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3、为避免因迟到而失去投标/报价资格，请</w:t>
      </w:r>
      <w:r>
        <w:rPr>
          <w:rFonts w:hint="eastAsia" w:ascii="宋体" w:hAnsi="宋体" w:cs="宋体"/>
          <w:color w:val="auto"/>
          <w:highlight w:val="none"/>
          <w:lang w:eastAsia="zh-CN"/>
        </w:rPr>
        <w:t>投标人</w:t>
      </w:r>
      <w:r>
        <w:rPr>
          <w:rFonts w:hint="eastAsia" w:ascii="宋体" w:hAnsi="宋体" w:cs="宋体"/>
          <w:b/>
          <w:color w:val="auto"/>
          <w:highlight w:val="none"/>
          <w:u w:val="single"/>
        </w:rPr>
        <w:t>适当提前到达开标现场</w:t>
      </w:r>
      <w:r>
        <w:rPr>
          <w:rFonts w:hint="eastAsia" w:ascii="宋体" w:hAnsi="宋体" w:cs="宋体"/>
          <w:color w:val="auto"/>
          <w:highlight w:val="none"/>
        </w:rPr>
        <w:t>。</w:t>
      </w:r>
    </w:p>
    <w:p>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4、投标/报价文件应按顺序</w:t>
      </w:r>
      <w:r>
        <w:rPr>
          <w:rFonts w:hint="eastAsia" w:ascii="宋体" w:hAnsi="宋体" w:cs="宋体"/>
          <w:b/>
          <w:color w:val="auto"/>
          <w:highlight w:val="none"/>
          <w:u w:val="single"/>
        </w:rPr>
        <w:t>编制页码</w:t>
      </w:r>
      <w:r>
        <w:rPr>
          <w:rFonts w:hint="eastAsia" w:ascii="宋体" w:hAnsi="宋体" w:cs="宋体"/>
          <w:color w:val="auto"/>
          <w:highlight w:val="none"/>
        </w:rPr>
        <w:t>。</w:t>
      </w:r>
    </w:p>
    <w:p>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5、请仔细检查投标/报价文件是否已按招标文件要求</w:t>
      </w:r>
      <w:r>
        <w:rPr>
          <w:rFonts w:hint="eastAsia" w:ascii="宋体" w:hAnsi="宋体" w:cs="宋体"/>
          <w:b/>
          <w:color w:val="auto"/>
          <w:highlight w:val="none"/>
          <w:u w:val="single"/>
        </w:rPr>
        <w:t>盖章、签字（签章）、签署日期</w:t>
      </w:r>
      <w:r>
        <w:rPr>
          <w:rFonts w:hint="eastAsia" w:ascii="宋体" w:hAnsi="宋体" w:cs="宋体"/>
          <w:color w:val="auto"/>
          <w:highlight w:val="none"/>
        </w:rPr>
        <w:t>。</w:t>
      </w:r>
    </w:p>
    <w:p>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6、请正确填写《开标/报价一览表》。多子包项目请仔细检查子包号，子包号与子包名称必须对应。</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投标人</w:t>
      </w:r>
      <w:r>
        <w:rPr>
          <w:rFonts w:hint="eastAsia" w:ascii="宋体" w:hAnsi="宋体" w:cs="宋体"/>
          <w:color w:val="auto"/>
          <w:highlight w:val="none"/>
        </w:rPr>
        <w:t>须通过广咨电子招投标交易平台网站（</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"http://www.gzebid.cn）获取子账号的方式递交投标/报价保证金及中标/" </w:instrText>
      </w:r>
      <w:r>
        <w:rPr>
          <w:rFonts w:hint="eastAsia" w:ascii="宋体" w:hAnsi="宋体" w:cs="宋体"/>
          <w:color w:val="auto"/>
          <w:highlight w:val="none"/>
        </w:rPr>
        <w:fldChar w:fldCharType="separate"/>
      </w:r>
      <w:r>
        <w:rPr>
          <w:rFonts w:hint="eastAsia" w:ascii="宋体" w:hAnsi="宋体" w:cs="宋体"/>
          <w:color w:val="auto"/>
          <w:highlight w:val="none"/>
        </w:rPr>
        <w:t>http://www.gzebid.cn）获取子账号的方式递交投标/报价保证金及中标/</w:t>
      </w:r>
      <w:r>
        <w:rPr>
          <w:rFonts w:hint="eastAsia" w:ascii="宋体" w:hAnsi="宋体" w:cs="宋体"/>
          <w:color w:val="auto"/>
          <w:highlight w:val="none"/>
        </w:rPr>
        <w:fldChar w:fldCharType="end"/>
      </w:r>
      <w:r>
        <w:rPr>
          <w:rFonts w:hint="eastAsia" w:ascii="宋体" w:hAnsi="宋体" w:cs="宋体"/>
          <w:color w:val="auto"/>
          <w:highlight w:val="none"/>
        </w:rPr>
        <w:t>成交服务费。</w:t>
      </w:r>
    </w:p>
    <w:p>
      <w:pPr>
        <w:snapToGrid w:val="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、每个</w:t>
      </w:r>
      <w:r>
        <w:rPr>
          <w:rFonts w:hint="eastAsia" w:ascii="宋体" w:hAnsi="宋体" w:cs="宋体"/>
          <w:color w:val="auto"/>
          <w:highlight w:val="none"/>
          <w:lang w:eastAsia="zh-CN"/>
        </w:rPr>
        <w:t>投标人</w:t>
      </w:r>
      <w:r>
        <w:rPr>
          <w:rFonts w:hint="eastAsia" w:ascii="宋体" w:hAnsi="宋体" w:cs="宋体"/>
          <w:color w:val="auto"/>
          <w:highlight w:val="none"/>
        </w:rPr>
        <w:t>每个项目的保证金缴纳账户是唯一的，本司将根据唯一保证金缴纳账户的缴纳情况，确认</w:t>
      </w:r>
      <w:r>
        <w:rPr>
          <w:rFonts w:hint="eastAsia" w:ascii="宋体" w:hAnsi="宋体" w:cs="宋体"/>
          <w:color w:val="auto"/>
          <w:highlight w:val="none"/>
          <w:lang w:eastAsia="zh-CN"/>
        </w:rPr>
        <w:t>投标人</w:t>
      </w:r>
      <w:r>
        <w:rPr>
          <w:rFonts w:hint="eastAsia" w:ascii="宋体" w:hAnsi="宋体" w:cs="宋体"/>
          <w:color w:val="auto"/>
          <w:highlight w:val="none"/>
        </w:rPr>
        <w:t>是否已按规定缴纳项目保证金。所以请各</w:t>
      </w:r>
      <w:r>
        <w:rPr>
          <w:rFonts w:hint="eastAsia" w:ascii="宋体" w:hAnsi="宋体" w:cs="宋体"/>
          <w:color w:val="auto"/>
          <w:highlight w:val="none"/>
          <w:lang w:eastAsia="zh-CN"/>
        </w:rPr>
        <w:t>投标人</w:t>
      </w:r>
      <w:r>
        <w:rPr>
          <w:rFonts w:hint="eastAsia" w:ascii="宋体" w:hAnsi="宋体" w:cs="宋体"/>
          <w:color w:val="auto"/>
          <w:highlight w:val="none"/>
        </w:rPr>
        <w:t>缴纳保证金前务必核对正确的缴纳账户，错缴误缴导致未按项目缴纳保证金的情况将由</w:t>
      </w:r>
      <w:r>
        <w:rPr>
          <w:rFonts w:hint="eastAsia" w:ascii="宋体" w:hAnsi="宋体" w:cs="宋体"/>
          <w:color w:val="auto"/>
          <w:highlight w:val="none"/>
          <w:lang w:eastAsia="zh-CN"/>
        </w:rPr>
        <w:t>投标人</w:t>
      </w:r>
      <w:r>
        <w:rPr>
          <w:rFonts w:hint="eastAsia" w:ascii="宋体" w:hAnsi="宋体" w:cs="宋体"/>
          <w:color w:val="auto"/>
          <w:highlight w:val="none"/>
        </w:rPr>
        <w:t>自行负责。</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、投标/报价保证金必须于招标文件递交截止时间前到达广东省机电设备招标有限公司的账户。</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、未中标</w:t>
      </w:r>
      <w:r>
        <w:rPr>
          <w:rFonts w:hint="eastAsia" w:ascii="宋体" w:hAnsi="宋体" w:cs="宋体"/>
          <w:color w:val="auto"/>
          <w:highlight w:val="none"/>
          <w:lang w:val="en-US" w:eastAsia="zh-CN"/>
        </w:rPr>
        <w:t>的投标人</w:t>
      </w:r>
      <w:r>
        <w:rPr>
          <w:rFonts w:hint="eastAsia" w:ascii="宋体" w:hAnsi="宋体" w:cs="宋体"/>
          <w:color w:val="auto"/>
          <w:highlight w:val="none"/>
        </w:rPr>
        <w:t>的投标保证金退款程序：在</w:t>
      </w:r>
      <w:r>
        <w:rPr>
          <w:rFonts w:hint="eastAsia" w:ascii="宋体" w:hAnsi="宋体" w:cs="宋体"/>
          <w:b/>
          <w:color w:val="auto"/>
          <w:highlight w:val="none"/>
          <w:u w:val="single"/>
        </w:rPr>
        <w:t>中标通知书发出后的五个工作日内</w:t>
      </w:r>
      <w:r>
        <w:rPr>
          <w:rFonts w:hint="eastAsia" w:ascii="宋体" w:hAnsi="宋体" w:cs="宋体"/>
          <w:color w:val="auto"/>
          <w:highlight w:val="none"/>
        </w:rPr>
        <w:t>按规定程序原额退还。</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、中标</w:t>
      </w:r>
      <w:r>
        <w:rPr>
          <w:rFonts w:hint="eastAsia" w:ascii="宋体" w:hAnsi="宋体" w:cs="宋体"/>
          <w:color w:val="auto"/>
          <w:highlight w:val="none"/>
          <w:lang w:eastAsia="zh-CN"/>
        </w:rPr>
        <w:t>人</w:t>
      </w:r>
      <w:r>
        <w:rPr>
          <w:rFonts w:hint="eastAsia" w:ascii="宋体" w:hAnsi="宋体" w:cs="宋体"/>
          <w:color w:val="auto"/>
          <w:highlight w:val="none"/>
        </w:rPr>
        <w:t>的投标保证金退款程序：在</w:t>
      </w:r>
      <w:r>
        <w:rPr>
          <w:rFonts w:hint="eastAsia" w:ascii="宋体" w:hAnsi="宋体" w:cs="宋体"/>
          <w:b/>
          <w:color w:val="auto"/>
          <w:highlight w:val="none"/>
          <w:u w:val="single"/>
        </w:rPr>
        <w:t>收到</w:t>
      </w:r>
      <w:r>
        <w:rPr>
          <w:rFonts w:hint="eastAsia" w:ascii="宋体" w:hAnsi="宋体" w:cs="宋体"/>
          <w:color w:val="auto"/>
          <w:highlight w:val="none"/>
        </w:rPr>
        <w:t>中标</w:t>
      </w:r>
      <w:r>
        <w:rPr>
          <w:rFonts w:hint="eastAsia" w:ascii="宋体" w:hAnsi="宋体" w:cs="宋体"/>
          <w:color w:val="auto"/>
          <w:highlight w:val="none"/>
          <w:lang w:val="en-US" w:eastAsia="zh-CN"/>
        </w:rPr>
        <w:t>人</w:t>
      </w:r>
      <w:r>
        <w:rPr>
          <w:rFonts w:hint="eastAsia" w:ascii="宋体" w:hAnsi="宋体" w:cs="宋体"/>
          <w:color w:val="auto"/>
          <w:highlight w:val="none"/>
        </w:rPr>
        <w:t>提交的</w:t>
      </w:r>
      <w:r>
        <w:rPr>
          <w:rFonts w:hint="eastAsia" w:ascii="宋体" w:hAnsi="宋体" w:cs="宋体"/>
          <w:b/>
          <w:color w:val="auto"/>
          <w:highlight w:val="none"/>
          <w:u w:val="single"/>
        </w:rPr>
        <w:t>合同原件或复印件后五个工作日内</w:t>
      </w:r>
      <w:r>
        <w:rPr>
          <w:rFonts w:hint="eastAsia" w:ascii="宋体" w:hAnsi="宋体" w:cs="宋体"/>
          <w:color w:val="auto"/>
          <w:highlight w:val="none"/>
        </w:rPr>
        <w:t>原额退还。</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、如招标文件有澄清、修改或者延期的，我司会在相关媒体上发布公告，并</w:t>
      </w:r>
      <w:r>
        <w:rPr>
          <w:rFonts w:hint="eastAsia" w:ascii="宋体" w:hAnsi="宋体" w:cs="宋体"/>
          <w:b/>
          <w:color w:val="auto"/>
          <w:highlight w:val="none"/>
          <w:u w:val="single"/>
        </w:rPr>
        <w:t>以电子邮件的形式</w:t>
      </w:r>
      <w:r>
        <w:rPr>
          <w:rFonts w:hint="eastAsia" w:ascii="宋体" w:hAnsi="宋体" w:cs="宋体"/>
          <w:color w:val="auto"/>
          <w:highlight w:val="none"/>
        </w:rPr>
        <w:t>通知所有登记及购买招标文件的</w:t>
      </w:r>
      <w:r>
        <w:rPr>
          <w:rFonts w:hint="eastAsia" w:ascii="宋体" w:hAnsi="宋体" w:cs="宋体"/>
          <w:color w:val="auto"/>
          <w:highlight w:val="none"/>
          <w:lang w:eastAsia="zh-CN"/>
        </w:rPr>
        <w:t>投标人</w:t>
      </w:r>
      <w:r>
        <w:rPr>
          <w:rFonts w:hint="eastAsia" w:ascii="宋体" w:hAnsi="宋体" w:cs="宋体"/>
          <w:color w:val="auto"/>
          <w:highlight w:val="none"/>
        </w:rPr>
        <w:t>。</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、如投标/报价产品属于许可证管理范围内的，须提交相应的许可证复印件。</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、如</w:t>
      </w:r>
      <w:r>
        <w:rPr>
          <w:rFonts w:hint="eastAsia" w:ascii="宋体" w:hAnsi="宋体" w:cs="宋体"/>
          <w:color w:val="auto"/>
          <w:highlight w:val="none"/>
          <w:lang w:eastAsia="zh-CN"/>
        </w:rPr>
        <w:t>投标人</w:t>
      </w:r>
      <w:r>
        <w:rPr>
          <w:rFonts w:hint="eastAsia" w:ascii="宋体" w:hAnsi="宋体" w:cs="宋体"/>
          <w:color w:val="auto"/>
          <w:highlight w:val="none"/>
        </w:rPr>
        <w:t>以非独立法人注册的分公司名义代表总公司盖章和签署文件的，须提供总公司的营业执照副本复印件及总公司针对本项目投标/报价的授权书原件。</w:t>
      </w:r>
    </w:p>
    <w:p>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、为了提高采购效率，节约社会交易成本与时间，本司希望购买了招标文件而决定不参加本次投标的</w:t>
      </w:r>
      <w:r>
        <w:rPr>
          <w:rFonts w:hint="eastAsia" w:ascii="宋体" w:hAnsi="宋体" w:cs="宋体"/>
          <w:color w:val="auto"/>
          <w:highlight w:val="none"/>
          <w:lang w:eastAsia="zh-CN"/>
        </w:rPr>
        <w:t>投标人</w:t>
      </w:r>
      <w:r>
        <w:rPr>
          <w:rFonts w:hint="eastAsia" w:ascii="宋体" w:hAnsi="宋体" w:cs="宋体"/>
          <w:color w:val="auto"/>
          <w:highlight w:val="none"/>
        </w:rPr>
        <w:t>，在投标/报价文件递交截止时间的3日前，按《投标/报价邀请函》中的联系方式，以书面形式告知招标代理机构。对您的支持与配合，谨此致谢。</w:t>
      </w:r>
    </w:p>
    <w:p>
      <w:pPr>
        <w:tabs>
          <w:tab w:val="left" w:pos="851"/>
        </w:tabs>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、因场地有限，本公司无法提供停车位，不便之处敬请谅解</w:t>
      </w:r>
      <w:r>
        <w:rPr>
          <w:rFonts w:hint="eastAsia" w:ascii="宋体" w:hAnsi="宋体" w:cs="宋体"/>
          <w:color w:val="auto"/>
          <w:szCs w:val="21"/>
          <w:highlight w:val="none"/>
        </w:rPr>
        <w:t>。</w:t>
      </w:r>
    </w:p>
    <w:p>
      <w:pPr>
        <w:tabs>
          <w:tab w:val="left" w:pos="851"/>
        </w:tabs>
        <w:snapToGrid w:val="0"/>
        <w:spacing w:line="360" w:lineRule="auto"/>
        <w:jc w:val="center"/>
        <w:rPr>
          <w:rFonts w:hint="eastAsia" w:ascii="宋体" w:hAnsi="宋体" w:cs="宋体"/>
          <w:b/>
          <w:color w:val="auto"/>
          <w:sz w:val="44"/>
          <w:szCs w:val="32"/>
          <w:highlight w:val="none"/>
        </w:rPr>
        <w:sectPr>
          <w:footerReference r:id="rId5" w:type="default"/>
          <w:pgSz w:w="11906" w:h="16838"/>
          <w:pgMar w:top="1134" w:right="1418" w:bottom="1134" w:left="1418" w:header="851" w:footer="992" w:gutter="0"/>
          <w:pgNumType w:start="1"/>
          <w:cols w:space="720" w:num="1"/>
          <w:docGrid w:type="lines" w:linePitch="312" w:charSpace="0"/>
        </w:sectPr>
      </w:pPr>
    </w:p>
    <w:p>
      <w:pPr>
        <w:pStyle w:val="17"/>
        <w:rPr>
          <w:rFonts w:hint="eastAsia" w:hAnsi="宋体" w:cs="宋体"/>
          <w:color w:val="auto"/>
          <w:highlight w:val="none"/>
        </w:rPr>
      </w:pPr>
    </w:p>
    <w:p>
      <w:pPr>
        <w:tabs>
          <w:tab w:val="left" w:pos="851"/>
        </w:tabs>
        <w:snapToGrid w:val="0"/>
        <w:spacing w:line="360" w:lineRule="auto"/>
        <w:jc w:val="center"/>
        <w:rPr>
          <w:rFonts w:hint="eastAsia" w:ascii="宋体" w:hAnsi="宋体" w:cs="宋体"/>
          <w:b/>
          <w:color w:val="auto"/>
          <w:sz w:val="44"/>
          <w:szCs w:val="32"/>
          <w:highlight w:val="none"/>
        </w:rPr>
      </w:pPr>
      <w:r>
        <w:rPr>
          <w:rFonts w:hint="eastAsia" w:ascii="宋体" w:hAnsi="宋体" w:cs="宋体"/>
          <w:b/>
          <w:color w:val="auto"/>
          <w:sz w:val="44"/>
          <w:szCs w:val="32"/>
          <w:highlight w:val="none"/>
        </w:rPr>
        <w:t>目 录</w:t>
      </w:r>
    </w:p>
    <w:p>
      <w:pPr>
        <w:pStyle w:val="31"/>
        <w:tabs>
          <w:tab w:val="right" w:leader="dot" w:pos="9070"/>
        </w:tabs>
        <w:rPr>
          <w:rFonts w:hint="eastAsia" w:ascii="宋体" w:hAnsi="宋体" w:cs="宋体"/>
          <w:color w:val="auto"/>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p>
    <w:p>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_Toc12054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第一章  投标邀请函</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_Toc12054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_Toc9976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第二章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_Toc9976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_Toc5009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第三章  用户需求书</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_Toc5009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_Toc30591 </w:instrText>
      </w:r>
      <w:r>
        <w:rPr>
          <w:rFonts w:hint="eastAsia" w:ascii="宋体" w:hAnsi="宋体" w:cs="宋体"/>
          <w:color w:val="auto"/>
          <w:sz w:val="32"/>
          <w:szCs w:val="32"/>
          <w:highlight w:val="none"/>
        </w:rPr>
        <w:fldChar w:fldCharType="separate"/>
      </w:r>
      <w:r>
        <w:rPr>
          <w:rFonts w:hint="eastAsia" w:ascii="宋体" w:hAnsi="宋体" w:cs="宋体"/>
          <w:bCs/>
          <w:color w:val="auto"/>
          <w:sz w:val="32"/>
          <w:szCs w:val="32"/>
          <w:highlight w:val="none"/>
        </w:rPr>
        <w:t>第四章  合同格式</w:t>
      </w:r>
      <w:bookmarkStart w:id="2" w:name="_Hlt175214022"/>
      <w:bookmarkStart w:id="3" w:name="_Hlt175214023"/>
      <w:r>
        <w:rPr>
          <w:rFonts w:hint="eastAsia" w:ascii="宋体" w:hAnsi="宋体" w:cs="宋体"/>
          <w:bCs/>
          <w:color w:val="auto"/>
          <w:sz w:val="32"/>
          <w:szCs w:val="32"/>
          <w:highlight w:val="none"/>
        </w:rPr>
        <w:t>（</w:t>
      </w:r>
      <w:bookmarkEnd w:id="2"/>
      <w:bookmarkEnd w:id="3"/>
      <w:r>
        <w:rPr>
          <w:rFonts w:hint="eastAsia" w:ascii="宋体" w:hAnsi="宋体" w:cs="宋体"/>
          <w:bCs/>
          <w:color w:val="auto"/>
          <w:sz w:val="32"/>
          <w:szCs w:val="32"/>
          <w:highlight w:val="none"/>
        </w:rPr>
        <w:t>参考）</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_Toc30591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1"/>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_Toc31761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第五章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_Toc31761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1"/>
        <w:tabs>
          <w:tab w:val="right" w:leader="dot" w:pos="9070"/>
        </w:tabs>
        <w:spacing w:line="480" w:lineRule="auto"/>
        <w:rPr>
          <w:rFonts w:hint="eastAsia" w:ascii="宋体" w:hAnsi="宋体" w:cs="宋体"/>
          <w:color w:val="auto"/>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_Toc5715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第六章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_Toc5715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pPr>
        <w:pStyle w:val="31"/>
        <w:tabs>
          <w:tab w:val="right" w:leader="dot" w:pos="9070"/>
        </w:tabs>
        <w:rPr>
          <w:rFonts w:hint="eastAsia" w:ascii="宋体" w:hAnsi="宋体" w:cs="宋体"/>
          <w:color w:val="auto"/>
          <w:highlight w:val="none"/>
        </w:rPr>
      </w:pPr>
    </w:p>
    <w:p>
      <w:pPr>
        <w:rPr>
          <w:rFonts w:hint="eastAsia" w:ascii="宋体" w:hAnsi="宋体" w:cs="宋体"/>
          <w:color w:val="auto"/>
          <w:sz w:val="30"/>
          <w:szCs w:val="30"/>
          <w:highlight w:val="none"/>
        </w:rPr>
        <w:sectPr>
          <w:footerReference r:id="rId6" w:type="default"/>
          <w:pgSz w:w="11906" w:h="16838"/>
          <w:pgMar w:top="1134" w:right="1418" w:bottom="1134" w:left="1418" w:header="851" w:footer="992" w:gutter="0"/>
          <w:cols w:space="720" w:num="1"/>
          <w:docGrid w:type="lines" w:linePitch="312" w:charSpace="0"/>
        </w:sectPr>
      </w:pPr>
      <w:r>
        <w:rPr>
          <w:rFonts w:hint="eastAsia" w:ascii="宋体" w:hAnsi="宋体" w:cs="宋体"/>
          <w:color w:val="auto"/>
          <w:szCs w:val="30"/>
          <w:highlight w:val="none"/>
        </w:rPr>
        <w:fldChar w:fldCharType="end"/>
      </w:r>
    </w:p>
    <w:p>
      <w:pPr>
        <w:pStyle w:val="17"/>
        <w:rPr>
          <w:rFonts w:hint="eastAsia" w:hAnsi="宋体" w:cs="宋体"/>
          <w:color w:val="auto"/>
          <w:highlight w:val="none"/>
        </w:rPr>
      </w:pPr>
    </w:p>
    <w:p>
      <w:pPr>
        <w:spacing w:before="312" w:beforeLines="100" w:after="312" w:afterLines="100"/>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spacing w:line="360" w:lineRule="auto"/>
        <w:jc w:val="center"/>
        <w:rPr>
          <w:rFonts w:hint="eastAsia" w:ascii="宋体" w:hAnsi="宋体" w:cs="宋体"/>
          <w:b/>
          <w:color w:val="auto"/>
          <w:sz w:val="44"/>
          <w:highlight w:val="none"/>
        </w:rPr>
      </w:pPr>
    </w:p>
    <w:p>
      <w:pPr>
        <w:jc w:val="center"/>
        <w:outlineLvl w:val="0"/>
        <w:rPr>
          <w:rFonts w:hint="eastAsia" w:ascii="宋体" w:hAnsi="宋体" w:cs="宋体"/>
          <w:b/>
          <w:color w:val="auto"/>
          <w:sz w:val="44"/>
          <w:szCs w:val="44"/>
          <w:highlight w:val="none"/>
        </w:rPr>
      </w:pPr>
      <w:bookmarkStart w:id="4" w:name="_Toc12054"/>
      <w:r>
        <w:rPr>
          <w:rFonts w:hint="eastAsia" w:ascii="宋体" w:hAnsi="宋体" w:cs="宋体"/>
          <w:b/>
          <w:color w:val="auto"/>
          <w:sz w:val="44"/>
          <w:szCs w:val="44"/>
          <w:highlight w:val="none"/>
        </w:rPr>
        <w:t>第一章</w:t>
      </w:r>
      <w:bookmarkStart w:id="5" w:name="_Toc477186208"/>
      <w:r>
        <w:rPr>
          <w:rFonts w:hint="eastAsia" w:ascii="宋体" w:hAnsi="宋体" w:cs="宋体"/>
          <w:b/>
          <w:color w:val="auto"/>
          <w:sz w:val="44"/>
          <w:szCs w:val="44"/>
          <w:highlight w:val="none"/>
        </w:rPr>
        <w:t xml:space="preserve">  投标邀请函</w:t>
      </w:r>
      <w:bookmarkEnd w:id="4"/>
      <w:bookmarkEnd w:id="5"/>
    </w:p>
    <w:p>
      <w:pPr>
        <w:tabs>
          <w:tab w:val="left" w:pos="6420"/>
        </w:tabs>
        <w:adjustRightInd w:val="0"/>
        <w:snapToGrid w:val="0"/>
        <w:spacing w:line="360" w:lineRule="auto"/>
        <w:jc w:val="center"/>
        <w:rPr>
          <w:rFonts w:hint="eastAsia" w:ascii="宋体" w:hAnsi="宋体" w:cs="宋体"/>
          <w:b/>
          <w:color w:val="auto"/>
          <w:kern w:val="28"/>
          <w:sz w:val="32"/>
          <w:highlight w:val="none"/>
        </w:rPr>
      </w:pPr>
      <w:r>
        <w:rPr>
          <w:rFonts w:hint="eastAsia" w:ascii="宋体" w:hAnsi="宋体" w:cs="宋体"/>
          <w:color w:val="auto"/>
          <w:sz w:val="24"/>
          <w:highlight w:val="none"/>
        </w:rPr>
        <w:br w:type="page"/>
      </w:r>
      <w:r>
        <w:rPr>
          <w:rFonts w:hint="eastAsia" w:ascii="宋体" w:hAnsi="宋体" w:cs="宋体"/>
          <w:b/>
          <w:color w:val="auto"/>
          <w:kern w:val="28"/>
          <w:sz w:val="32"/>
          <w:highlight w:val="none"/>
        </w:rPr>
        <w:t>投 标 邀 请 函</w:t>
      </w:r>
    </w:p>
    <w:p>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lang w:eastAsia="zh-CN"/>
        </w:rPr>
        <w:t>M4400000707531845</w:t>
      </w:r>
      <w:r>
        <w:rPr>
          <w:rFonts w:hint="eastAsia" w:ascii="宋体" w:hAnsi="宋体" w:cs="宋体"/>
          <w:color w:val="auto"/>
          <w:szCs w:val="24"/>
          <w:highlight w:val="none"/>
        </w:rPr>
        <w:t>]</w:t>
      </w:r>
    </w:p>
    <w:p>
      <w:pPr>
        <w:spacing w:line="360" w:lineRule="auto"/>
        <w:ind w:left="-359" w:leftChars="-171" w:firstLine="464" w:firstLineChars="220"/>
        <w:rPr>
          <w:rFonts w:hint="eastAsia" w:ascii="宋体" w:hAnsi="宋体" w:cs="宋体"/>
          <w:b/>
          <w:color w:val="auto"/>
          <w:kern w:val="28"/>
          <w:sz w:val="32"/>
          <w:highlight w:val="none"/>
        </w:rPr>
      </w:pPr>
      <w:r>
        <w:rPr>
          <w:rFonts w:hint="eastAsia" w:ascii="宋体" w:hAnsi="宋体" w:cs="宋体"/>
          <w:b/>
          <w:color w:val="auto"/>
          <w:kern w:val="28"/>
          <w:highlight w:val="none"/>
        </w:rPr>
        <w:t>广东省机电设备招标有限公司</w:t>
      </w:r>
      <w:r>
        <w:rPr>
          <w:rFonts w:hint="eastAsia" w:ascii="宋体" w:hAnsi="宋体" w:cs="宋体"/>
          <w:color w:val="auto"/>
          <w:kern w:val="28"/>
          <w:highlight w:val="none"/>
        </w:rPr>
        <w:t>（以下称“招标代理机构”）受</w:t>
      </w:r>
      <w:r>
        <w:rPr>
          <w:rFonts w:hint="eastAsia" w:ascii="宋体" w:hAnsi="宋体" w:cs="宋体"/>
          <w:b/>
          <w:bCs/>
          <w:color w:val="auto"/>
          <w:highlight w:val="none"/>
        </w:rPr>
        <w:t>广东南方报业传媒集团物业管理有限公司</w:t>
      </w:r>
      <w:r>
        <w:rPr>
          <w:rFonts w:hint="eastAsia" w:ascii="宋体" w:hAnsi="宋体" w:cs="宋体"/>
          <w:color w:val="auto"/>
          <w:kern w:val="28"/>
          <w:highlight w:val="none"/>
        </w:rPr>
        <w:t>（以下称“招标人”）的委托，就</w:t>
      </w:r>
      <w:r>
        <w:rPr>
          <w:rFonts w:hint="eastAsia" w:ascii="宋体" w:hAnsi="宋体" w:cs="宋体"/>
          <w:b/>
          <w:bCs/>
          <w:color w:val="auto"/>
          <w:highlight w:val="none"/>
          <w:lang w:eastAsia="zh-CN"/>
        </w:rPr>
        <w:t>深圳分社新址装修项目（机电设备部分）</w:t>
      </w:r>
      <w:r>
        <w:rPr>
          <w:rFonts w:hint="eastAsia" w:ascii="宋体" w:hAnsi="宋体" w:cs="宋体"/>
          <w:color w:val="auto"/>
          <w:kern w:val="28"/>
          <w:highlight w:val="none"/>
        </w:rPr>
        <w:t>进行国内公开招标。</w:t>
      </w:r>
      <w:r>
        <w:rPr>
          <w:rFonts w:hint="eastAsia" w:ascii="宋体" w:hAnsi="宋体" w:cs="宋体"/>
          <w:color w:val="auto"/>
          <w:highlight w:val="none"/>
        </w:rPr>
        <w:t xml:space="preserve">有关事项如下： </w:t>
      </w:r>
    </w:p>
    <w:p>
      <w:pPr>
        <w:tabs>
          <w:tab w:val="left" w:pos="0"/>
        </w:tabs>
        <w:spacing w:line="360" w:lineRule="auto"/>
        <w:outlineLvl w:val="0"/>
        <w:rPr>
          <w:rFonts w:hint="eastAsia" w:ascii="宋体" w:hAnsi="宋体" w:cs="宋体"/>
          <w:b/>
          <w:color w:val="auto"/>
          <w:highlight w:val="none"/>
        </w:rPr>
      </w:pPr>
      <w:bookmarkStart w:id="6" w:name="_Toc477186209"/>
      <w:bookmarkStart w:id="7" w:name="_Toc19867"/>
      <w:bookmarkStart w:id="8" w:name="_Toc477185848"/>
      <w:bookmarkStart w:id="9" w:name="_Toc476177325"/>
      <w:bookmarkStart w:id="10" w:name="_Toc476177879"/>
      <w:r>
        <w:rPr>
          <w:rFonts w:hint="eastAsia" w:ascii="宋体" w:hAnsi="宋体" w:cs="宋体"/>
          <w:b/>
          <w:color w:val="auto"/>
          <w:highlight w:val="none"/>
        </w:rPr>
        <w:t>一、项目概况</w:t>
      </w:r>
      <w:bookmarkEnd w:id="6"/>
      <w:bookmarkEnd w:id="7"/>
      <w:bookmarkEnd w:id="8"/>
      <w:bookmarkEnd w:id="9"/>
      <w:bookmarkEnd w:id="10"/>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4"/>
          <w:highlight w:val="none"/>
        </w:rPr>
        <w:t>项目编号：</w:t>
      </w:r>
      <w:r>
        <w:rPr>
          <w:rFonts w:hint="eastAsia" w:ascii="宋体" w:hAnsi="宋体" w:cs="宋体"/>
          <w:color w:val="auto"/>
          <w:szCs w:val="24"/>
          <w:highlight w:val="none"/>
          <w:lang w:eastAsia="zh-CN"/>
        </w:rPr>
        <w:t>M4400000707531845</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b/>
          <w:color w:val="auto"/>
          <w:szCs w:val="21"/>
          <w:highlight w:val="none"/>
          <w:lang w:eastAsia="zh-CN"/>
        </w:rPr>
        <w:t>深圳分社新址装修项目（机电设备部分）</w:t>
      </w:r>
      <w:r>
        <w:rPr>
          <w:rFonts w:hint="eastAsia" w:ascii="宋体" w:hAnsi="宋体" w:cs="宋体"/>
          <w:b/>
          <w:color w:val="auto"/>
          <w:szCs w:val="21"/>
          <w:highlight w:val="none"/>
        </w:rPr>
        <w:t>。</w:t>
      </w:r>
    </w:p>
    <w:p>
      <w:pPr>
        <w:tabs>
          <w:tab w:val="left" w:pos="540"/>
        </w:tabs>
        <w:spacing w:line="360" w:lineRule="auto"/>
        <w:outlineLvl w:val="0"/>
        <w:rPr>
          <w:rFonts w:hint="eastAsia" w:ascii="宋体" w:hAnsi="宋体" w:cs="宋体"/>
          <w:color w:val="auto"/>
          <w:szCs w:val="21"/>
          <w:highlight w:val="none"/>
          <w:lang w:val="en-US" w:eastAsia="zh-CN"/>
        </w:rPr>
      </w:pPr>
      <w:bookmarkStart w:id="11" w:name="_Toc17501"/>
      <w:r>
        <w:rPr>
          <w:rFonts w:hint="eastAsia" w:ascii="宋体" w:hAnsi="宋体" w:cs="宋体"/>
          <w:color w:val="auto"/>
          <w:szCs w:val="21"/>
          <w:highlight w:val="none"/>
        </w:rPr>
        <w:t>3.最高限价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人民币58.4万元（含暂列金10万元）。</w:t>
      </w:r>
    </w:p>
    <w:p>
      <w:pPr>
        <w:tabs>
          <w:tab w:val="left" w:pos="540"/>
        </w:tabs>
        <w:spacing w:line="360" w:lineRule="auto"/>
        <w:outlineLvl w:val="0"/>
        <w:rPr>
          <w:rFonts w:hint="eastAsia" w:ascii="宋体" w:hAnsi="宋体" w:cs="宋体"/>
          <w:b/>
          <w:color w:val="auto"/>
          <w:highlight w:val="none"/>
        </w:rPr>
      </w:pPr>
      <w:r>
        <w:rPr>
          <w:rFonts w:hint="eastAsia" w:ascii="宋体" w:hAnsi="宋体" w:cs="宋体"/>
          <w:b/>
          <w:color w:val="auto"/>
          <w:highlight w:val="none"/>
          <w:lang w:val="zh-CN"/>
        </w:rPr>
        <w:t>注：</w:t>
      </w:r>
      <w:r>
        <w:rPr>
          <w:rFonts w:hint="eastAsia" w:ascii="宋体" w:hAnsi="宋体" w:cs="宋体"/>
          <w:b/>
          <w:color w:val="auto"/>
          <w:highlight w:val="none"/>
        </w:rPr>
        <w:t>如投标报价超过最高限价，则其投标文件作无效投标处理。</w:t>
      </w:r>
      <w:bookmarkEnd w:id="11"/>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4.采购数量：1项</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5.项目内容及要求：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noWrap w:val="0"/>
            <w:vAlign w:val="center"/>
          </w:tcPr>
          <w:p>
            <w:pPr>
              <w:spacing w:line="360" w:lineRule="auto"/>
              <w:jc w:val="center"/>
              <w:rPr>
                <w:rFonts w:hint="eastAsia" w:ascii="宋体" w:hAnsi="宋体" w:cs="宋体"/>
                <w:color w:val="auto"/>
                <w:szCs w:val="21"/>
                <w:highlight w:val="none"/>
              </w:rPr>
            </w:pPr>
            <w:bookmarkStart w:id="12" w:name="_Toc476177326"/>
            <w:bookmarkStart w:id="13" w:name="_Toc477185849"/>
            <w:bookmarkStart w:id="14" w:name="_Toc477186210"/>
            <w:bookmarkStart w:id="15" w:name="_Toc476177880"/>
            <w:r>
              <w:rPr>
                <w:rFonts w:hint="eastAsia" w:ascii="宋体" w:hAnsi="宋体" w:cs="宋体"/>
                <w:color w:val="auto"/>
                <w:szCs w:val="21"/>
                <w:highlight w:val="none"/>
              </w:rPr>
              <w:t>序号</w:t>
            </w:r>
          </w:p>
        </w:tc>
        <w:tc>
          <w:tcPr>
            <w:tcW w:w="497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采购内容/用途</w:t>
            </w:r>
          </w:p>
        </w:tc>
        <w:tc>
          <w:tcPr>
            <w:tcW w:w="315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974"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深圳分社新址装修项目（机电设备部分）</w:t>
            </w:r>
          </w:p>
        </w:tc>
        <w:tc>
          <w:tcPr>
            <w:tcW w:w="315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详见用户需求</w:t>
            </w:r>
          </w:p>
        </w:tc>
      </w:tr>
    </w:tbl>
    <w:p>
      <w:pPr>
        <w:tabs>
          <w:tab w:val="left" w:pos="540"/>
        </w:tabs>
        <w:spacing w:line="360" w:lineRule="auto"/>
        <w:outlineLvl w:val="0"/>
        <w:rPr>
          <w:rFonts w:hint="eastAsia" w:ascii="宋体" w:hAnsi="宋体" w:cs="宋体"/>
          <w:b/>
          <w:color w:val="auto"/>
          <w:highlight w:val="none"/>
        </w:rPr>
      </w:pPr>
      <w:bookmarkStart w:id="16" w:name="_Toc22610"/>
      <w:r>
        <w:rPr>
          <w:rFonts w:hint="eastAsia" w:ascii="宋体" w:hAnsi="宋体" w:cs="宋体"/>
          <w:b/>
          <w:color w:val="auto"/>
          <w:highlight w:val="none"/>
          <w:lang w:val="zh-CN"/>
        </w:rPr>
        <w:t>注：投标人应对项目所有的内容进行投标，不允许只对其中部分内容进行投标</w:t>
      </w:r>
      <w:r>
        <w:rPr>
          <w:rFonts w:hint="eastAsia" w:ascii="宋体" w:hAnsi="宋体" w:cs="宋体"/>
          <w:b/>
          <w:color w:val="auto"/>
          <w:highlight w:val="none"/>
        </w:rPr>
        <w:t>。</w:t>
      </w:r>
      <w:bookmarkEnd w:id="16"/>
    </w:p>
    <w:p>
      <w:pPr>
        <w:tabs>
          <w:tab w:val="left" w:pos="540"/>
        </w:tabs>
        <w:spacing w:line="360" w:lineRule="auto"/>
        <w:outlineLvl w:val="0"/>
        <w:rPr>
          <w:rFonts w:hint="eastAsia" w:ascii="宋体" w:hAnsi="宋体" w:cs="宋体"/>
          <w:b/>
          <w:color w:val="auto"/>
          <w:highlight w:val="none"/>
        </w:rPr>
      </w:pPr>
      <w:bookmarkStart w:id="17" w:name="_Toc9782"/>
      <w:r>
        <w:rPr>
          <w:rFonts w:hint="eastAsia" w:ascii="宋体" w:hAnsi="宋体" w:cs="宋体"/>
          <w:b/>
          <w:color w:val="auto"/>
          <w:highlight w:val="none"/>
        </w:rPr>
        <w:t>二、合格投标人资格条件</w:t>
      </w:r>
      <w:bookmarkEnd w:id="12"/>
      <w:bookmarkEnd w:id="13"/>
      <w:bookmarkEnd w:id="14"/>
      <w:bookmarkEnd w:id="15"/>
      <w:bookmarkEnd w:id="17"/>
    </w:p>
    <w:p>
      <w:pPr>
        <w:shd w:val="clear" w:color="auto" w:fill="auto"/>
        <w:spacing w:line="360" w:lineRule="auto"/>
        <w:ind w:left="-359" w:leftChars="-171" w:firstLine="462" w:firstLineChars="220"/>
        <w:rPr>
          <w:rFonts w:hint="eastAsia" w:ascii="宋体" w:hAnsi="宋体" w:eastAsia="宋体" w:cs="宋体"/>
          <w:bCs/>
          <w:color w:val="auto"/>
          <w:kern w:val="28"/>
          <w:szCs w:val="22"/>
          <w:highlight w:val="none"/>
        </w:rPr>
      </w:pPr>
      <w:bookmarkStart w:id="18" w:name="_Toc477186211"/>
      <w:bookmarkStart w:id="19" w:name="_Toc477185850"/>
      <w:bookmarkStart w:id="20" w:name="_Toc476177327"/>
      <w:bookmarkStart w:id="21" w:name="_Toc476177881"/>
      <w:bookmarkStart w:id="22" w:name="_Toc2035"/>
      <w:r>
        <w:rPr>
          <w:rFonts w:hint="eastAsia" w:ascii="宋体" w:hAnsi="宋体" w:eastAsia="宋体" w:cs="宋体"/>
          <w:bCs/>
          <w:color w:val="auto"/>
          <w:kern w:val="28"/>
          <w:szCs w:val="22"/>
          <w:highlight w:val="none"/>
        </w:rPr>
        <w:t>2.1投标人具有独立承担民事责任能力的在中华人民共和国境内注册的法人或其他组织。（需提供营业执照复印件或事业法人登记证或合法注册证明文件复印件。（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shd w:val="clear" w:color="auto" w:fill="auto"/>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eastAsia="宋体" w:cs="宋体"/>
          <w:bCs/>
          <w:color w:val="auto"/>
          <w:kern w:val="28"/>
          <w:szCs w:val="22"/>
          <w:highlight w:val="none"/>
        </w:rPr>
        <w:t>2.2</w:t>
      </w:r>
      <w:r>
        <w:rPr>
          <w:rFonts w:hint="eastAsia" w:ascii="宋体" w:hAnsi="宋体" w:eastAsia="宋体" w:cs="宋体"/>
          <w:bCs/>
          <w:color w:val="000000"/>
          <w:kern w:val="28"/>
          <w:szCs w:val="22"/>
          <w:highlight w:val="none"/>
        </w:rPr>
        <w:t>投标人所属的单位负责人为同一人或者存在控股、管理等关联关系的不同供应商，不得参加同一合同项下的采购活动，投标人应提交书面声明</w:t>
      </w:r>
      <w:r>
        <w:rPr>
          <w:rFonts w:hint="eastAsia" w:ascii="宋体" w:hAnsi="宋体" w:cs="宋体"/>
          <w:bCs/>
          <w:color w:val="000000"/>
          <w:kern w:val="28"/>
          <w:szCs w:val="22"/>
          <w:highlight w:val="none"/>
          <w:lang w:eastAsia="zh-CN"/>
        </w:rPr>
        <w:t>（</w:t>
      </w:r>
      <w:r>
        <w:rPr>
          <w:rFonts w:hint="eastAsia" w:ascii="宋体" w:hAnsi="宋体" w:cs="宋体"/>
          <w:bCs/>
          <w:color w:val="000000"/>
          <w:kern w:val="28"/>
          <w:szCs w:val="22"/>
          <w:highlight w:val="none"/>
          <w:lang w:val="en-US" w:eastAsia="zh-CN"/>
        </w:rPr>
        <w:t>格式自拟，须加盖公章</w:t>
      </w:r>
      <w:r>
        <w:rPr>
          <w:rFonts w:hint="eastAsia" w:ascii="宋体" w:hAnsi="宋体" w:cs="宋体"/>
          <w:bCs/>
          <w:color w:val="000000"/>
          <w:kern w:val="28"/>
          <w:szCs w:val="22"/>
          <w:highlight w:val="none"/>
          <w:lang w:eastAsia="zh-CN"/>
        </w:rPr>
        <w:t>）</w:t>
      </w:r>
      <w:r>
        <w:rPr>
          <w:rFonts w:hint="eastAsia" w:ascii="宋体" w:hAnsi="宋体" w:eastAsia="宋体" w:cs="宋体"/>
          <w:bCs/>
          <w:color w:val="auto"/>
          <w:kern w:val="28"/>
          <w:szCs w:val="22"/>
          <w:highlight w:val="none"/>
        </w:rPr>
        <w:t>。</w:t>
      </w:r>
    </w:p>
    <w:p>
      <w:pPr>
        <w:spacing w:line="360" w:lineRule="auto"/>
        <w:ind w:left="-359" w:leftChars="-171" w:firstLine="462" w:firstLineChars="220"/>
        <w:rPr>
          <w:rFonts w:hint="eastAsia" w:ascii="宋体" w:hAnsi="宋体" w:eastAsia="宋体" w:cs="宋体"/>
          <w:b w:val="0"/>
          <w:bCs/>
          <w:color w:val="auto"/>
          <w:kern w:val="28"/>
          <w:szCs w:val="22"/>
          <w:highlight w:val="none"/>
          <w:lang w:val="en-US" w:eastAsia="zh-CN"/>
        </w:rPr>
      </w:pPr>
      <w:r>
        <w:rPr>
          <w:rFonts w:hint="eastAsia" w:ascii="宋体" w:hAnsi="宋体" w:eastAsia="宋体" w:cs="宋体"/>
          <w:b w:val="0"/>
          <w:bCs/>
          <w:color w:val="auto"/>
          <w:kern w:val="28"/>
          <w:szCs w:val="22"/>
          <w:highlight w:val="none"/>
          <w:lang w:val="en-US" w:eastAsia="zh-CN"/>
        </w:rPr>
        <w:t>2.3投标人具有建筑机电安装工程专业承包三级或以上资质，并具有建设行政主管部门颁发的有效的《安全生产许可证》。（提供有效证书复印件）</w:t>
      </w:r>
    </w:p>
    <w:p>
      <w:pPr>
        <w:spacing w:line="360" w:lineRule="auto"/>
        <w:ind w:left="-359" w:leftChars="-171" w:firstLine="462" w:firstLineChars="220"/>
        <w:rPr>
          <w:rFonts w:hint="eastAsia" w:ascii="宋体" w:hAnsi="宋体" w:eastAsia="宋体" w:cs="宋体"/>
          <w:b w:val="0"/>
          <w:bCs/>
          <w:color w:val="auto"/>
          <w:kern w:val="28"/>
          <w:szCs w:val="22"/>
          <w:highlight w:val="none"/>
          <w:lang w:val="en-US" w:eastAsia="zh-CN"/>
        </w:rPr>
      </w:pPr>
      <w:r>
        <w:rPr>
          <w:rFonts w:hint="eastAsia" w:ascii="宋体" w:hAnsi="宋体" w:eastAsia="宋体" w:cs="宋体"/>
          <w:b w:val="0"/>
          <w:bCs/>
          <w:color w:val="auto"/>
          <w:kern w:val="28"/>
          <w:szCs w:val="22"/>
          <w:highlight w:val="none"/>
          <w:lang w:val="en-US" w:eastAsia="zh-CN"/>
        </w:rPr>
        <w:t>注：资质内容按照建市[2014]159号文颁布的新版《建筑业企业资质标准》中对应的资质类别及等级的承包工程范围和《住房和城乡建设部关于建筑业企业资质管理有关问题的通知》（建市[2015]154号）、《住房和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p>
    <w:p>
      <w:pPr>
        <w:spacing w:line="360" w:lineRule="auto"/>
        <w:ind w:left="-359" w:leftChars="-171" w:firstLine="462" w:firstLineChars="220"/>
        <w:rPr>
          <w:rFonts w:hint="eastAsia" w:ascii="宋体" w:hAnsi="宋体" w:eastAsia="宋体" w:cs="宋体"/>
          <w:bCs/>
          <w:color w:val="auto"/>
          <w:kern w:val="28"/>
          <w:szCs w:val="22"/>
          <w:highlight w:val="none"/>
          <w:lang w:eastAsia="zh-CN"/>
        </w:rPr>
      </w:pPr>
      <w:r>
        <w:rPr>
          <w:rFonts w:hint="eastAsia" w:ascii="宋体" w:hAnsi="宋体" w:eastAsia="宋体" w:cs="宋体"/>
          <w:b w:val="0"/>
          <w:bCs/>
          <w:color w:val="auto"/>
          <w:kern w:val="28"/>
          <w:szCs w:val="22"/>
          <w:highlight w:val="none"/>
          <w:lang w:val="en-US" w:eastAsia="zh-CN"/>
        </w:rPr>
        <w:t>2.4投标人</w:t>
      </w:r>
      <w:r>
        <w:rPr>
          <w:rFonts w:hint="eastAsia" w:ascii="宋体" w:hAnsi="宋体" w:eastAsia="宋体" w:cs="宋体"/>
          <w:bCs/>
          <w:color w:val="auto"/>
          <w:kern w:val="28"/>
          <w:szCs w:val="22"/>
          <w:highlight w:val="none"/>
        </w:rPr>
        <w:t>拟派本项目负责人为</w:t>
      </w:r>
      <w:r>
        <w:rPr>
          <w:rFonts w:hint="eastAsia" w:ascii="宋体" w:hAnsi="宋体" w:cs="宋体"/>
          <w:b w:val="0"/>
          <w:bCs/>
          <w:color w:val="auto"/>
          <w:kern w:val="28"/>
          <w:szCs w:val="22"/>
          <w:highlight w:val="none"/>
          <w:lang w:val="en-US" w:eastAsia="zh-CN"/>
        </w:rPr>
        <w:t>机电工程</w:t>
      </w:r>
      <w:r>
        <w:rPr>
          <w:rFonts w:hint="eastAsia" w:ascii="宋体" w:hAnsi="宋体" w:eastAsia="宋体" w:cs="宋体"/>
          <w:b w:val="0"/>
          <w:bCs/>
          <w:color w:val="auto"/>
          <w:kern w:val="28"/>
          <w:szCs w:val="22"/>
          <w:highlight w:val="none"/>
          <w:lang w:val="en-US" w:eastAsia="zh-CN"/>
        </w:rPr>
        <w:t>专业贰级（或以上）的注册建造师</w:t>
      </w:r>
      <w:r>
        <w:rPr>
          <w:rFonts w:hint="eastAsia" w:ascii="宋体" w:hAnsi="宋体" w:eastAsia="宋体" w:cs="宋体"/>
          <w:bCs/>
          <w:color w:val="auto"/>
          <w:kern w:val="28"/>
          <w:szCs w:val="22"/>
          <w:highlight w:val="none"/>
        </w:rPr>
        <w:t>，持有</w:t>
      </w:r>
      <w:r>
        <w:rPr>
          <w:rFonts w:hint="eastAsia" w:ascii="宋体" w:hAnsi="宋体" w:eastAsia="宋体" w:cs="宋体"/>
          <w:bCs/>
          <w:color w:val="auto"/>
          <w:kern w:val="28"/>
          <w:szCs w:val="22"/>
          <w:highlight w:val="none"/>
          <w:lang w:val="en-US" w:eastAsia="zh-CN"/>
        </w:rPr>
        <w:t>在有效期内的</w:t>
      </w:r>
      <w:r>
        <w:rPr>
          <w:rFonts w:hint="eastAsia" w:ascii="宋体" w:hAnsi="宋体" w:eastAsia="宋体" w:cs="宋体"/>
          <w:bCs/>
          <w:color w:val="auto"/>
          <w:kern w:val="28"/>
          <w:szCs w:val="22"/>
          <w:highlight w:val="none"/>
        </w:rPr>
        <w:t>安全生产考核合格证（B类）或建筑施工企业项目负责人安全生产考核合格证书。</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lang w:val="en-US" w:eastAsia="zh-CN"/>
        </w:rPr>
        <w:t>提供有效证书复印件</w:t>
      </w:r>
      <w:r>
        <w:rPr>
          <w:rFonts w:hint="eastAsia" w:ascii="宋体" w:hAnsi="宋体" w:eastAsia="宋体" w:cs="宋体"/>
          <w:bCs/>
          <w:color w:val="auto"/>
          <w:kern w:val="28"/>
          <w:szCs w:val="2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630" w:firstLineChars="300"/>
        <w:textAlignment w:val="auto"/>
        <w:rPr>
          <w:rFonts w:hint="eastAsia" w:ascii="宋体" w:hAnsi="宋体" w:eastAsia="宋体" w:cs="宋体"/>
          <w:bCs/>
          <w:color w:val="auto"/>
          <w:kern w:val="28"/>
          <w:sz w:val="21"/>
          <w:szCs w:val="22"/>
          <w:highlight w:val="none"/>
          <w:lang w:val="en-US" w:eastAsia="zh-CN" w:bidi="ar-SA"/>
        </w:rPr>
      </w:pPr>
      <w:r>
        <w:rPr>
          <w:rFonts w:hint="eastAsia" w:ascii="宋体" w:hAnsi="宋体" w:eastAsia="宋体" w:cs="宋体"/>
          <w:bCs/>
          <w:color w:val="auto"/>
          <w:kern w:val="28"/>
          <w:szCs w:val="22"/>
          <w:highlight w:val="none"/>
        </w:rPr>
        <w:t>注：拟派项目负责人资格要求按建造师的专业及等级标准按《注册建造师执业管理办法（试行）》及《注册建造师执业工程规模标准（试行）》；注册建造师根据《住房和城乡建设部办公厅关于取消一级建造师临时执业证书的通知》（建办市〔2019〕50号）不包括延续注册成功的一级注册临时建造师。《广东省住房和城乡建设厅关于取消二级建造师临时执业证书的通知》（粤建市〔2019〕153号）规定。根据广东省住建厅《关于明确二级建造师注册执业有关问题的通知》（粤建市函〔2023〕469号），二级建造师应在考试取得执业资格的省、自治区、直辖市申请注册，二级注册建造师可随注册企业在全国范围内执业。根据《住房和城乡建设部办公厅关于全面实行一级建造师电子注册证书的通知》（建办市〔2021〕40号），自 2022年1月1日起，一级建造师统一使用电子证书，纸质注册证书作废，具体操作流程可查阅《住房和城乡建设部一级建造师电子证照申领和使用手册》。项目总负责人在任职期间不得担任专职安全员</w:t>
      </w:r>
      <w:r>
        <w:rPr>
          <w:rFonts w:hint="eastAsia" w:ascii="宋体" w:hAnsi="宋体" w:eastAsia="宋体" w:cs="宋体"/>
          <w:bCs/>
          <w:color w:val="auto"/>
          <w:kern w:val="28"/>
          <w:sz w:val="21"/>
          <w:szCs w:val="22"/>
          <w:highlight w:val="none"/>
          <w:lang w:val="en-US" w:eastAsia="zh-CN" w:bidi="ar-SA"/>
        </w:rPr>
        <w:t>，专职安全员在任职期间也不得担任项目总负责人，项目总负责人和专职安全员不为同一人。</w:t>
      </w:r>
    </w:p>
    <w:p>
      <w:pPr>
        <w:shd w:val="clear" w:color="auto" w:fill="auto"/>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eastAsia="宋体" w:cs="宋体"/>
          <w:bCs/>
          <w:color w:val="auto"/>
          <w:kern w:val="28"/>
          <w:szCs w:val="22"/>
          <w:highlight w:val="none"/>
          <w:lang w:val="en-US" w:eastAsia="zh-CN"/>
        </w:rPr>
        <w:t>2.5</w:t>
      </w:r>
      <w:r>
        <w:rPr>
          <w:rFonts w:hint="eastAsia" w:ascii="宋体" w:hAnsi="宋体" w:eastAsia="宋体" w:cs="宋体"/>
          <w:b w:val="0"/>
          <w:bCs/>
          <w:color w:val="auto"/>
          <w:kern w:val="28"/>
          <w:szCs w:val="22"/>
          <w:highlight w:val="none"/>
          <w:lang w:val="en-US" w:eastAsia="zh-CN"/>
        </w:rPr>
        <w:t>投标人</w:t>
      </w:r>
      <w:r>
        <w:rPr>
          <w:rFonts w:hint="eastAsia" w:ascii="宋体" w:hAnsi="宋体" w:eastAsia="宋体" w:cs="宋体"/>
          <w:bCs/>
          <w:color w:val="auto"/>
          <w:kern w:val="28"/>
          <w:szCs w:val="22"/>
          <w:highlight w:val="none"/>
        </w:rPr>
        <w:t>拟担任本工程的</w:t>
      </w:r>
      <w:r>
        <w:rPr>
          <w:rFonts w:hint="eastAsia" w:ascii="宋体" w:hAnsi="宋体" w:eastAsia="宋体" w:cs="宋体"/>
          <w:bCs/>
          <w:color w:val="auto"/>
          <w:kern w:val="28"/>
          <w:szCs w:val="22"/>
          <w:highlight w:val="none"/>
          <w:lang w:val="en-US" w:eastAsia="zh-CN"/>
        </w:rPr>
        <w:t>专职</w:t>
      </w:r>
      <w:r>
        <w:rPr>
          <w:rFonts w:hint="eastAsia" w:ascii="宋体" w:hAnsi="宋体" w:eastAsia="宋体" w:cs="宋体"/>
          <w:bCs/>
          <w:color w:val="auto"/>
          <w:kern w:val="28"/>
          <w:szCs w:val="22"/>
          <w:highlight w:val="none"/>
        </w:rPr>
        <w:t>安全员须具有有效期内的安全生产考核合格证（C类）或建筑施工企业专职安全生产管理人员安全生产考核合格证书</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lang w:val="en-US" w:eastAsia="zh-CN"/>
        </w:rPr>
        <w:t>C3</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lang w:val="en-US" w:eastAsia="zh-CN"/>
        </w:rPr>
        <w:t>提供有效证书复印件</w:t>
      </w:r>
      <w:r>
        <w:rPr>
          <w:rFonts w:hint="eastAsia" w:ascii="宋体" w:hAnsi="宋体" w:eastAsia="宋体" w:cs="宋体"/>
          <w:bCs/>
          <w:color w:val="auto"/>
          <w:kern w:val="28"/>
          <w:szCs w:val="22"/>
          <w:highlight w:val="none"/>
          <w:lang w:eastAsia="zh-CN"/>
        </w:rPr>
        <w:t>）。</w:t>
      </w:r>
    </w:p>
    <w:p>
      <w:pPr>
        <w:shd w:val="clear" w:color="auto" w:fill="auto"/>
        <w:spacing w:line="360" w:lineRule="auto"/>
        <w:ind w:left="-359" w:leftChars="-171" w:firstLine="462" w:firstLineChars="220"/>
        <w:rPr>
          <w:rFonts w:hint="eastAsia" w:ascii="宋体" w:hAnsi="宋体" w:cs="宋体"/>
          <w:bCs/>
          <w:color w:val="000000"/>
          <w:kern w:val="28"/>
          <w:szCs w:val="22"/>
          <w:highlight w:val="none"/>
        </w:rPr>
      </w:pPr>
      <w:r>
        <w:rPr>
          <w:rFonts w:hint="eastAsia" w:ascii="宋体" w:hAnsi="宋体" w:cs="宋体"/>
          <w:bCs/>
          <w:color w:val="000000"/>
          <w:kern w:val="28"/>
          <w:szCs w:val="22"/>
          <w:highlight w:val="none"/>
        </w:rPr>
        <w:t>2.</w:t>
      </w:r>
      <w:r>
        <w:rPr>
          <w:rFonts w:hint="eastAsia" w:ascii="宋体" w:hAnsi="宋体" w:cs="宋体"/>
          <w:bCs/>
          <w:color w:val="000000"/>
          <w:kern w:val="28"/>
          <w:szCs w:val="22"/>
          <w:highlight w:val="none"/>
          <w:lang w:val="en-US" w:eastAsia="zh-CN"/>
        </w:rPr>
        <w:t>6投标人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bCs/>
          <w:color w:val="000000"/>
          <w:kern w:val="28"/>
          <w:szCs w:val="22"/>
          <w:highlight w:val="none"/>
          <w:lang w:eastAsia="zh-CN"/>
        </w:rPr>
        <w:t>（</w:t>
      </w:r>
      <w:r>
        <w:rPr>
          <w:rFonts w:hint="eastAsia" w:ascii="宋体" w:hAnsi="宋体" w:cs="宋体"/>
          <w:bCs/>
          <w:color w:val="000000"/>
          <w:kern w:val="28"/>
          <w:szCs w:val="22"/>
          <w:highlight w:val="none"/>
          <w:lang w:val="en-US" w:eastAsia="zh-CN"/>
        </w:rPr>
        <w:t>格式自拟，须加盖公章</w:t>
      </w:r>
      <w:r>
        <w:rPr>
          <w:rFonts w:hint="eastAsia" w:ascii="宋体" w:hAnsi="宋体" w:cs="宋体"/>
          <w:bCs/>
          <w:color w:val="000000"/>
          <w:kern w:val="28"/>
          <w:szCs w:val="22"/>
          <w:highlight w:val="none"/>
          <w:lang w:eastAsia="zh-CN"/>
        </w:rPr>
        <w:t>）</w:t>
      </w:r>
    </w:p>
    <w:p>
      <w:pPr>
        <w:shd w:val="clear" w:color="auto" w:fill="auto"/>
        <w:spacing w:line="360" w:lineRule="auto"/>
        <w:ind w:left="-359" w:leftChars="-171" w:firstLine="462" w:firstLineChars="220"/>
        <w:rPr>
          <w:rFonts w:hint="eastAsia" w:ascii="宋体" w:hAnsi="宋体" w:eastAsia="宋体" w:cs="宋体"/>
          <w:bCs/>
          <w:color w:val="auto"/>
          <w:kern w:val="28"/>
          <w:szCs w:val="22"/>
          <w:highlight w:val="none"/>
          <w:lang w:val="en-US" w:eastAsia="zh-CN"/>
        </w:rPr>
      </w:pPr>
      <w:r>
        <w:rPr>
          <w:rFonts w:hint="eastAsia" w:ascii="宋体" w:hAnsi="宋体" w:cs="宋体"/>
          <w:bCs/>
          <w:color w:val="000000"/>
          <w:kern w:val="28"/>
          <w:szCs w:val="22"/>
          <w:highlight w:val="none"/>
          <w:lang w:val="en-US" w:eastAsia="zh-CN"/>
        </w:rPr>
        <w:t>2.7</w:t>
      </w:r>
      <w:r>
        <w:rPr>
          <w:rFonts w:hint="eastAsia" w:ascii="宋体" w:hAnsi="宋体" w:cs="宋体"/>
          <w:bCs/>
          <w:color w:val="000000"/>
          <w:kern w:val="28"/>
          <w:szCs w:val="22"/>
          <w:highlight w:val="none"/>
        </w:rPr>
        <w:t>投标人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r>
        <w:rPr>
          <w:rFonts w:hint="eastAsia" w:ascii="宋体" w:hAnsi="宋体" w:cs="宋体"/>
          <w:bCs/>
          <w:color w:val="000000"/>
          <w:kern w:val="28"/>
          <w:szCs w:val="22"/>
          <w:highlight w:val="none"/>
          <w:lang w:val="en-US" w:eastAsia="zh-CN"/>
        </w:rPr>
        <w:t>.</w:t>
      </w:r>
    </w:p>
    <w:p>
      <w:pPr>
        <w:shd w:val="clear" w:color="auto" w:fill="auto"/>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eastAsia="宋体" w:cs="宋体"/>
          <w:bCs/>
          <w:color w:val="auto"/>
          <w:kern w:val="28"/>
          <w:szCs w:val="22"/>
          <w:highlight w:val="none"/>
          <w:lang w:val="en-US" w:eastAsia="zh-CN"/>
        </w:rPr>
        <w:t>2.8</w:t>
      </w:r>
      <w:r>
        <w:rPr>
          <w:rFonts w:hint="eastAsia" w:ascii="宋体" w:hAnsi="宋体" w:cs="宋体"/>
          <w:bCs/>
          <w:color w:val="000000"/>
          <w:kern w:val="28"/>
          <w:szCs w:val="22"/>
          <w:highlight w:val="none"/>
        </w:rPr>
        <w:t>本项目不接受备选方案，</w:t>
      </w:r>
      <w:r>
        <w:rPr>
          <w:rFonts w:hint="eastAsia" w:ascii="宋体" w:hAnsi="宋体" w:cs="宋体"/>
          <w:bCs/>
          <w:color w:val="000000"/>
          <w:kern w:val="28"/>
          <w:szCs w:val="22"/>
          <w:highlight w:val="none"/>
          <w:lang w:val="en-US" w:eastAsia="zh-CN"/>
        </w:rPr>
        <w:t>不允许违法分包或转包，</w:t>
      </w:r>
      <w:r>
        <w:rPr>
          <w:rFonts w:hint="eastAsia" w:ascii="宋体" w:hAnsi="宋体" w:cs="宋体"/>
          <w:bCs/>
          <w:color w:val="000000"/>
          <w:kern w:val="28"/>
          <w:szCs w:val="22"/>
          <w:highlight w:val="none"/>
        </w:rPr>
        <w:t>不接受联合体投标</w:t>
      </w:r>
      <w:r>
        <w:rPr>
          <w:rFonts w:hint="eastAsia" w:ascii="宋体" w:hAnsi="宋体" w:eastAsia="宋体" w:cs="宋体"/>
          <w:bCs/>
          <w:color w:val="auto"/>
          <w:kern w:val="28"/>
          <w:szCs w:val="22"/>
          <w:highlight w:val="none"/>
        </w:rPr>
        <w:t>。</w:t>
      </w:r>
    </w:p>
    <w:p>
      <w:pPr>
        <w:tabs>
          <w:tab w:val="left" w:pos="540"/>
        </w:tabs>
        <w:spacing w:line="360" w:lineRule="auto"/>
        <w:outlineLvl w:val="0"/>
        <w:rPr>
          <w:rFonts w:hint="eastAsia" w:ascii="宋体" w:hAnsi="宋体" w:cs="宋体"/>
          <w:b/>
          <w:color w:val="auto"/>
          <w:highlight w:val="none"/>
        </w:rPr>
      </w:pPr>
      <w:r>
        <w:rPr>
          <w:rFonts w:hint="eastAsia" w:ascii="宋体" w:hAnsi="宋体" w:cs="宋体"/>
          <w:b/>
          <w:color w:val="auto"/>
          <w:highlight w:val="none"/>
        </w:rPr>
        <w:t>三、获取招标文件的</w:t>
      </w:r>
      <w:bookmarkEnd w:id="18"/>
      <w:bookmarkEnd w:id="19"/>
      <w:bookmarkEnd w:id="20"/>
      <w:bookmarkEnd w:id="21"/>
      <w:r>
        <w:rPr>
          <w:rFonts w:hint="eastAsia" w:ascii="宋体" w:hAnsi="宋体" w:cs="宋体"/>
          <w:b/>
          <w:color w:val="auto"/>
          <w:highlight w:val="none"/>
        </w:rPr>
        <w:t>方式</w:t>
      </w:r>
      <w:bookmarkEnd w:id="22"/>
    </w:p>
    <w:p>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rPr>
        <w:t>3.1符合资格的投标人应当在202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7</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31</w:t>
      </w:r>
      <w:r>
        <w:rPr>
          <w:rFonts w:hint="eastAsia" w:ascii="宋体" w:hAnsi="宋体" w:cs="宋体"/>
          <w:bCs/>
          <w:color w:val="auto"/>
          <w:kern w:val="28"/>
          <w:szCs w:val="22"/>
          <w:highlight w:val="none"/>
        </w:rPr>
        <w:t>日起至202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8</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7</w:t>
      </w:r>
      <w:r>
        <w:rPr>
          <w:rFonts w:hint="eastAsia" w:ascii="宋体" w:hAnsi="宋体" w:cs="宋体"/>
          <w:bCs/>
          <w:color w:val="auto"/>
          <w:kern w:val="28"/>
          <w:szCs w:val="22"/>
          <w:highlight w:val="none"/>
        </w:rPr>
        <w:t>日期间（9:00～12:00，14:00～17:30，法定节假日除外）按以下方式登记并获取招标文件。</w:t>
      </w:r>
    </w:p>
    <w:p>
      <w:pPr>
        <w:spacing w:line="360" w:lineRule="auto"/>
        <w:ind w:left="-359" w:leftChars="-171" w:firstLine="462" w:firstLineChars="220"/>
        <w:rPr>
          <w:rFonts w:hint="eastAsia" w:ascii="宋体" w:hAnsi="宋体" w:cs="宋体"/>
          <w:bCs/>
          <w:color w:val="auto"/>
          <w:szCs w:val="21"/>
          <w:highlight w:val="none"/>
        </w:rPr>
      </w:pPr>
      <w:r>
        <w:rPr>
          <w:rFonts w:hint="eastAsia" w:ascii="宋体" w:hAnsi="宋体" w:cs="宋体"/>
          <w:color w:val="auto"/>
          <w:highlight w:val="none"/>
        </w:rPr>
        <w:t>本项目只接受网上登记，</w:t>
      </w:r>
      <w:r>
        <w:rPr>
          <w:rFonts w:hint="eastAsia" w:ascii="宋体" w:hAnsi="宋体" w:cs="宋体"/>
          <w:bCs/>
          <w:color w:val="auto"/>
          <w:szCs w:val="21"/>
          <w:highlight w:val="none"/>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w:t>
      </w:r>
      <w:r>
        <w:rPr>
          <w:rFonts w:hint="eastAsia" w:ascii="宋体" w:hAnsi="宋体" w:cs="宋体"/>
          <w:bCs/>
          <w:color w:val="auto"/>
          <w:szCs w:val="21"/>
          <w:highlight w:val="none"/>
          <w:lang w:eastAsia="zh-CN"/>
        </w:rPr>
        <w:t>400-9030-870</w:t>
      </w:r>
      <w:r>
        <w:rPr>
          <w:rFonts w:hint="eastAsia" w:ascii="宋体" w:hAnsi="宋体" w:cs="宋体"/>
          <w:bCs/>
          <w:color w:val="auto"/>
          <w:szCs w:val="21"/>
          <w:highlight w:val="none"/>
        </w:rPr>
        <w:t>，网站客服(QQ)：3151435402）。</w:t>
      </w:r>
    </w:p>
    <w:p>
      <w:pPr>
        <w:spacing w:line="360" w:lineRule="auto"/>
        <w:ind w:left="-359" w:leftChars="-171" w:firstLine="462" w:firstLineChars="220"/>
        <w:rPr>
          <w:rFonts w:hint="eastAsia" w:ascii="宋体" w:hAnsi="宋体" w:cs="宋体"/>
          <w:bCs/>
          <w:color w:val="auto"/>
          <w:szCs w:val="21"/>
          <w:highlight w:val="none"/>
        </w:rPr>
      </w:pPr>
      <w:r>
        <w:rPr>
          <w:rFonts w:hint="eastAsia" w:ascii="宋体" w:hAnsi="宋体" w:cs="宋体"/>
          <w:bCs/>
          <w:color w:val="auto"/>
          <w:szCs w:val="21"/>
          <w:highlight w:val="none"/>
        </w:rPr>
        <w:t>3.2招标文件售价人民币300元，售后不退。</w:t>
      </w:r>
    </w:p>
    <w:p>
      <w:pPr>
        <w:spacing w:line="360" w:lineRule="auto"/>
        <w:ind w:left="-359" w:leftChars="-171" w:firstLine="462" w:firstLineChars="220"/>
        <w:rPr>
          <w:rFonts w:hint="eastAsia" w:ascii="宋体" w:hAnsi="宋体" w:cs="宋体"/>
          <w:color w:val="auto"/>
          <w:highlight w:val="none"/>
        </w:rPr>
      </w:pPr>
      <w:r>
        <w:rPr>
          <w:rFonts w:hint="eastAsia" w:ascii="宋体" w:hAnsi="宋体" w:cs="宋体"/>
          <w:bCs/>
          <w:color w:val="auto"/>
          <w:szCs w:val="21"/>
          <w:highlight w:val="none"/>
        </w:rPr>
        <w:t>3.3发布</w:t>
      </w:r>
      <w:r>
        <w:rPr>
          <w:rFonts w:hint="eastAsia" w:ascii="宋体" w:hAnsi="宋体" w:cs="宋体"/>
          <w:color w:val="auto"/>
          <w:highlight w:val="none"/>
        </w:rPr>
        <w:t>公告的媒介：本项目招标公告同时在中国招标投标公共服务平台、广咨电子招投</w:t>
      </w:r>
      <w:r>
        <w:rPr>
          <w:rFonts w:hint="eastAsia" w:ascii="宋体" w:hAnsi="宋体" w:cs="宋体"/>
          <w:bCs/>
          <w:color w:val="auto"/>
          <w:kern w:val="28"/>
          <w:szCs w:val="22"/>
          <w:highlight w:val="none"/>
        </w:rPr>
        <w:t>标交易平台</w:t>
      </w:r>
      <w:r>
        <w:rPr>
          <w:rFonts w:hint="eastAsia" w:ascii="宋体" w:hAnsi="宋体" w:cs="宋体"/>
          <w:color w:val="auto"/>
          <w:highlight w:val="none"/>
        </w:rPr>
        <w:t>（广东省机电设备招标有限公司网）</w:t>
      </w:r>
      <w:r>
        <w:rPr>
          <w:rFonts w:hint="eastAsia" w:ascii="宋体" w:hAnsi="宋体" w:cs="宋体"/>
          <w:bCs/>
          <w:color w:val="auto"/>
          <w:kern w:val="28"/>
          <w:szCs w:val="22"/>
          <w:highlight w:val="none"/>
        </w:rPr>
        <w:t>、</w:t>
      </w:r>
      <w:r>
        <w:rPr>
          <w:rFonts w:hint="eastAsia" w:ascii="宋体" w:hAnsi="宋体" w:cs="宋体"/>
          <w:color w:val="auto"/>
          <w:highlight w:val="none"/>
        </w:rPr>
        <w:t>南方网、《南方日报》</w:t>
      </w:r>
      <w:r>
        <w:rPr>
          <w:rFonts w:hint="eastAsia" w:ascii="宋体" w:hAnsi="宋体" w:cs="宋体"/>
          <w:bCs/>
          <w:color w:val="auto"/>
          <w:kern w:val="28"/>
          <w:szCs w:val="22"/>
          <w:highlight w:val="none"/>
        </w:rPr>
        <w:t>发布。</w:t>
      </w:r>
    </w:p>
    <w:p>
      <w:pPr>
        <w:tabs>
          <w:tab w:val="left" w:pos="540"/>
        </w:tabs>
        <w:spacing w:line="360" w:lineRule="auto"/>
        <w:outlineLvl w:val="0"/>
        <w:rPr>
          <w:rFonts w:hint="eastAsia" w:ascii="宋体" w:hAnsi="宋体" w:cs="宋体"/>
          <w:b/>
          <w:highlight w:val="none"/>
        </w:rPr>
      </w:pPr>
      <w:bookmarkStart w:id="23" w:name="_Toc476177328"/>
      <w:bookmarkStart w:id="24" w:name="_Toc476177882"/>
      <w:bookmarkStart w:id="25" w:name="_Toc477186212"/>
      <w:bookmarkStart w:id="26" w:name="_Toc1650"/>
      <w:bookmarkStart w:id="27" w:name="_Toc477185851"/>
      <w:r>
        <w:rPr>
          <w:rFonts w:hint="eastAsia" w:ascii="宋体" w:hAnsi="宋体" w:cs="宋体"/>
          <w:b/>
          <w:highlight w:val="none"/>
        </w:rPr>
        <w:t>四、投标文件的递交截止时间和递交地点</w:t>
      </w:r>
      <w:bookmarkEnd w:id="23"/>
      <w:bookmarkEnd w:id="24"/>
      <w:bookmarkEnd w:id="25"/>
      <w:bookmarkEnd w:id="26"/>
      <w:bookmarkEnd w:id="27"/>
    </w:p>
    <w:p>
      <w:pPr>
        <w:spacing w:line="360" w:lineRule="auto"/>
        <w:ind w:left="-359" w:leftChars="-171" w:firstLine="359" w:firstLineChars="171"/>
        <w:rPr>
          <w:rFonts w:hint="eastAsia" w:ascii="宋体" w:hAnsi="宋体" w:cs="宋体"/>
          <w:b/>
          <w:bCs/>
          <w:szCs w:val="21"/>
          <w:highlight w:val="none"/>
        </w:rPr>
      </w:pPr>
      <w:bookmarkStart w:id="28" w:name="_Toc476177329"/>
      <w:bookmarkStart w:id="29" w:name="_Toc477185852"/>
      <w:bookmarkStart w:id="30" w:name="_Toc477186213"/>
      <w:bookmarkStart w:id="31" w:name="_Toc476177883"/>
      <w:r>
        <w:rPr>
          <w:rFonts w:hint="eastAsia" w:ascii="宋体" w:hAnsi="宋体" w:cs="宋体"/>
          <w:bCs/>
          <w:kern w:val="28"/>
          <w:szCs w:val="22"/>
          <w:highlight w:val="none"/>
        </w:rPr>
        <w:t>4.1、递交投标文件截止时间：2025年</w:t>
      </w:r>
      <w:r>
        <w:rPr>
          <w:rFonts w:hint="eastAsia" w:ascii="宋体" w:hAnsi="宋体" w:cs="宋体"/>
          <w:bCs/>
          <w:kern w:val="28"/>
          <w:szCs w:val="22"/>
          <w:highlight w:val="none"/>
          <w:lang w:val="en-US" w:eastAsia="zh-CN"/>
        </w:rPr>
        <w:t>8</w:t>
      </w:r>
      <w:r>
        <w:rPr>
          <w:rFonts w:hint="eastAsia" w:ascii="宋体" w:hAnsi="宋体" w:cs="宋体"/>
          <w:bCs/>
          <w:kern w:val="28"/>
          <w:szCs w:val="22"/>
          <w:highlight w:val="none"/>
        </w:rPr>
        <w:t>月</w:t>
      </w:r>
      <w:r>
        <w:rPr>
          <w:rFonts w:hint="eastAsia" w:ascii="宋体" w:hAnsi="宋体" w:cs="宋体"/>
          <w:bCs/>
          <w:kern w:val="28"/>
          <w:szCs w:val="22"/>
          <w:highlight w:val="none"/>
          <w:lang w:val="en-US" w:eastAsia="zh-CN"/>
        </w:rPr>
        <w:t>21</w:t>
      </w:r>
      <w:r>
        <w:rPr>
          <w:rFonts w:hint="eastAsia" w:ascii="宋体" w:hAnsi="宋体" w:cs="宋体"/>
          <w:bCs/>
          <w:kern w:val="28"/>
          <w:szCs w:val="22"/>
          <w:highlight w:val="none"/>
        </w:rPr>
        <w:t>日</w:t>
      </w:r>
      <w:r>
        <w:rPr>
          <w:rFonts w:hint="eastAsia" w:ascii="宋体" w:hAnsi="宋体" w:cs="宋体"/>
          <w:bCs/>
          <w:kern w:val="28"/>
          <w:szCs w:val="22"/>
          <w:highlight w:val="none"/>
          <w:lang w:val="en-US" w:eastAsia="zh-CN"/>
        </w:rPr>
        <w:t>09</w:t>
      </w:r>
      <w:r>
        <w:rPr>
          <w:rFonts w:hint="eastAsia" w:ascii="宋体" w:hAnsi="宋体" w:cs="宋体"/>
          <w:bCs/>
          <w:kern w:val="28"/>
          <w:szCs w:val="22"/>
          <w:highlight w:val="none"/>
        </w:rPr>
        <w:t>:30（北京时间）</w:t>
      </w:r>
      <w:r>
        <w:rPr>
          <w:rFonts w:hint="eastAsia" w:ascii="宋体" w:hAnsi="宋体" w:cs="宋体"/>
          <w:b/>
          <w:bCs/>
          <w:szCs w:val="21"/>
          <w:highlight w:val="none"/>
        </w:rPr>
        <w:t>，迟于此时间递交的投标文件将被拒绝。</w:t>
      </w:r>
    </w:p>
    <w:p>
      <w:pPr>
        <w:spacing w:line="360" w:lineRule="auto"/>
        <w:ind w:left="-359" w:leftChars="-171" w:firstLine="359" w:firstLineChars="171"/>
        <w:rPr>
          <w:rFonts w:hint="eastAsia" w:ascii="宋体" w:hAnsi="宋体" w:cs="宋体"/>
          <w:bCs/>
          <w:kern w:val="28"/>
          <w:szCs w:val="22"/>
          <w:highlight w:val="none"/>
        </w:rPr>
      </w:pPr>
      <w:r>
        <w:rPr>
          <w:rFonts w:hint="eastAsia" w:ascii="宋体" w:hAnsi="宋体" w:cs="宋体"/>
          <w:bCs/>
          <w:kern w:val="28"/>
          <w:szCs w:val="22"/>
          <w:highlight w:val="none"/>
        </w:rPr>
        <w:t>4.2、递交电子投标文件地点：投标人应在截止时间前通过广咨电子招投标交易平台（网址：www.gzebid.cn）递交电子投标文件。逾期送达的投标文件，电子招标投标交易平台将予以拒收。</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注： 本项目为全流程电子招投标项目，投标人需于投标截止时间前在广咨电子招投标交易平台（网址：www.gzebid.cn）上传电子投标文件。</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电子投标文件上传流程：</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1、潜在投标人制作完成投标文件，签字盖章后，扫描为PDF格式。</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2、登录广咨电子招投标交易平台系统，进入项目在【在线报价】处上传已签字盖章PDF格式的投标文件。</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3、如PDF电子投标文件需使用电子章，可使用平台的在线签章功能。使用标信通APP移动CA对投标文件进行在线签章。</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4、在线填写报价明细与开标一览表。</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5、确认报价。</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本项目使用系统加密方式加密电子投标文件，供应商无需使用广咨国际数字化投标工具客户端。相关操作见网站“平台服务&gt;&gt;操作手册》广咨国际数字化采购咨询平台供应商操作手册”</w:t>
      </w:r>
    </w:p>
    <w:p>
      <w:pPr>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由于本项目为电子标项目，若出现线上线下无法同步开标或解密异常或可能无法实现所有已按时递交投标文件的投标人均可顺利完成在线开标的情况或其他不可控的因素时，由招标代理机构另行通知线上开标时间或终止线上流程（直接以线下开评标为准），所有参与方免责。</w:t>
      </w:r>
    </w:p>
    <w:bookmarkEnd w:id="28"/>
    <w:bookmarkEnd w:id="29"/>
    <w:bookmarkEnd w:id="30"/>
    <w:bookmarkEnd w:id="31"/>
    <w:p>
      <w:pPr>
        <w:tabs>
          <w:tab w:val="left" w:pos="540"/>
        </w:tabs>
        <w:spacing w:line="360" w:lineRule="auto"/>
        <w:outlineLvl w:val="0"/>
        <w:rPr>
          <w:rFonts w:hint="eastAsia" w:ascii="宋体" w:hAnsi="宋体" w:cs="宋体"/>
          <w:b/>
          <w:highlight w:val="none"/>
        </w:rPr>
      </w:pPr>
      <w:bookmarkStart w:id="32" w:name="_Toc477185853"/>
      <w:bookmarkStart w:id="33" w:name="_Toc476177330"/>
      <w:bookmarkStart w:id="34" w:name="_Toc476177884"/>
      <w:bookmarkStart w:id="35" w:name="_Toc477186214"/>
      <w:bookmarkStart w:id="36" w:name="_Toc19972"/>
      <w:r>
        <w:rPr>
          <w:rFonts w:hint="eastAsia" w:ascii="宋体" w:hAnsi="宋体" w:cs="宋体"/>
          <w:b/>
          <w:highlight w:val="none"/>
        </w:rPr>
        <w:t>五、兹定于下列时间和地点公开开标</w:t>
      </w:r>
      <w:bookmarkEnd w:id="32"/>
      <w:bookmarkEnd w:id="33"/>
      <w:bookmarkEnd w:id="34"/>
      <w:bookmarkEnd w:id="35"/>
      <w:bookmarkEnd w:id="36"/>
    </w:p>
    <w:p>
      <w:pPr>
        <w:spacing w:line="360" w:lineRule="auto"/>
        <w:ind w:left="-359" w:leftChars="-171" w:firstLine="359" w:firstLineChars="171"/>
        <w:rPr>
          <w:rFonts w:hint="eastAsia" w:ascii="宋体" w:hAnsi="宋体" w:cs="宋体"/>
          <w:szCs w:val="21"/>
          <w:highlight w:val="none"/>
        </w:rPr>
      </w:pPr>
      <w:r>
        <w:rPr>
          <w:rFonts w:hint="eastAsia" w:ascii="宋体" w:hAnsi="宋体" w:cs="宋体"/>
          <w:szCs w:val="21"/>
          <w:highlight w:val="none"/>
        </w:rPr>
        <w:t>5.1、投标截止时间和开标时间</w:t>
      </w:r>
      <w:r>
        <w:rPr>
          <w:rFonts w:hint="eastAsia" w:ascii="宋体" w:hAnsi="宋体" w:cs="宋体"/>
          <w:bCs/>
          <w:kern w:val="28"/>
          <w:szCs w:val="22"/>
          <w:highlight w:val="none"/>
        </w:rPr>
        <w:t>2025年</w:t>
      </w:r>
      <w:r>
        <w:rPr>
          <w:rFonts w:hint="eastAsia" w:ascii="宋体" w:hAnsi="宋体" w:cs="宋体"/>
          <w:bCs/>
          <w:kern w:val="28"/>
          <w:szCs w:val="22"/>
          <w:highlight w:val="none"/>
          <w:lang w:val="en-US" w:eastAsia="zh-CN"/>
        </w:rPr>
        <w:t>8</w:t>
      </w:r>
      <w:r>
        <w:rPr>
          <w:rFonts w:hint="eastAsia" w:ascii="宋体" w:hAnsi="宋体" w:cs="宋体"/>
          <w:bCs/>
          <w:kern w:val="28"/>
          <w:szCs w:val="22"/>
          <w:highlight w:val="none"/>
        </w:rPr>
        <w:t>月</w:t>
      </w:r>
      <w:r>
        <w:rPr>
          <w:rFonts w:hint="eastAsia" w:ascii="宋体" w:hAnsi="宋体" w:cs="宋体"/>
          <w:bCs/>
          <w:kern w:val="28"/>
          <w:szCs w:val="22"/>
          <w:highlight w:val="none"/>
          <w:lang w:val="en-US" w:eastAsia="zh-CN"/>
        </w:rPr>
        <w:t>21</w:t>
      </w:r>
      <w:r>
        <w:rPr>
          <w:rFonts w:hint="eastAsia" w:ascii="宋体" w:hAnsi="宋体" w:cs="宋体"/>
          <w:bCs/>
          <w:kern w:val="28"/>
          <w:szCs w:val="22"/>
          <w:highlight w:val="none"/>
        </w:rPr>
        <w:t>日</w:t>
      </w:r>
      <w:r>
        <w:rPr>
          <w:rFonts w:hint="eastAsia" w:ascii="宋体" w:hAnsi="宋体" w:cs="宋体"/>
          <w:szCs w:val="21"/>
          <w:highlight w:val="none"/>
          <w:lang w:val="en-US" w:eastAsia="zh-CN"/>
        </w:rPr>
        <w:t>09</w:t>
      </w:r>
      <w:r>
        <w:rPr>
          <w:rFonts w:hint="eastAsia" w:ascii="宋体" w:hAnsi="宋体" w:cs="宋体"/>
          <w:szCs w:val="21"/>
          <w:highlight w:val="none"/>
        </w:rPr>
        <w:t>:30（北京时间）</w:t>
      </w:r>
    </w:p>
    <w:p>
      <w:pPr>
        <w:spacing w:line="360" w:lineRule="auto"/>
        <w:ind w:left="-359" w:leftChars="-171" w:firstLine="359" w:firstLineChars="171"/>
        <w:rPr>
          <w:rFonts w:hint="eastAsia" w:ascii="宋体" w:hAnsi="宋体" w:cs="宋体"/>
          <w:bCs/>
          <w:color w:val="auto"/>
          <w:kern w:val="28"/>
          <w:szCs w:val="22"/>
          <w:highlight w:val="none"/>
        </w:rPr>
      </w:pPr>
      <w:r>
        <w:rPr>
          <w:rFonts w:hint="eastAsia" w:ascii="宋体" w:hAnsi="宋体" w:cs="宋体"/>
          <w:bCs/>
          <w:szCs w:val="21"/>
          <w:highlight w:val="none"/>
        </w:rPr>
        <w:t>5.</w:t>
      </w:r>
      <w:r>
        <w:rPr>
          <w:rFonts w:hint="eastAsia" w:ascii="宋体" w:hAnsi="宋体" w:cs="宋体"/>
          <w:szCs w:val="21"/>
          <w:highlight w:val="none"/>
        </w:rPr>
        <w:t>2</w:t>
      </w:r>
      <w:r>
        <w:rPr>
          <w:rFonts w:hint="eastAsia" w:ascii="宋体" w:hAnsi="宋体" w:cs="宋体"/>
          <w:bCs/>
          <w:kern w:val="28"/>
          <w:szCs w:val="22"/>
          <w:highlight w:val="none"/>
        </w:rPr>
        <w:t>、开标地点：广东省机电设备招标有限公司10楼会议室（地址：广州市环市中路316号金鹰大厦10楼）/广咨电子招投标交易平台（网址：</w:t>
      </w:r>
      <w:r>
        <w:rPr>
          <w:rFonts w:hint="eastAsia" w:ascii="宋体" w:hAnsi="宋体" w:cs="宋体"/>
          <w:bCs/>
          <w:color w:val="auto"/>
          <w:kern w:val="28"/>
          <w:szCs w:val="22"/>
          <w:highlight w:val="none"/>
        </w:rPr>
        <w:fldChar w:fldCharType="begin"/>
      </w:r>
      <w:r>
        <w:rPr>
          <w:rFonts w:hint="eastAsia" w:ascii="宋体" w:hAnsi="宋体" w:cs="宋体"/>
          <w:bCs/>
          <w:color w:val="auto"/>
          <w:kern w:val="28"/>
          <w:szCs w:val="22"/>
          <w:highlight w:val="none"/>
        </w:rPr>
        <w:instrText xml:space="preserve"> HYPERLINK "http://www.gzebid.cn）开标系统。" </w:instrText>
      </w:r>
      <w:r>
        <w:rPr>
          <w:rFonts w:hint="eastAsia" w:ascii="宋体" w:hAnsi="宋体" w:cs="宋体"/>
          <w:bCs/>
          <w:color w:val="auto"/>
          <w:kern w:val="28"/>
          <w:szCs w:val="22"/>
          <w:highlight w:val="none"/>
        </w:rPr>
        <w:fldChar w:fldCharType="separate"/>
      </w:r>
      <w:r>
        <w:rPr>
          <w:rStyle w:val="29"/>
          <w:rFonts w:hint="eastAsia" w:ascii="宋体" w:hAnsi="宋体" w:cs="宋体"/>
          <w:bCs/>
          <w:color w:val="auto"/>
          <w:kern w:val="28"/>
          <w:szCs w:val="22"/>
          <w:highlight w:val="none"/>
          <w:u w:val="none"/>
        </w:rPr>
        <w:t>www.gzebid.cn）开标系统。</w:t>
      </w:r>
      <w:r>
        <w:rPr>
          <w:rFonts w:hint="eastAsia" w:ascii="宋体" w:hAnsi="宋体" w:cs="宋体"/>
          <w:bCs/>
          <w:color w:val="auto"/>
          <w:kern w:val="28"/>
          <w:szCs w:val="22"/>
          <w:highlight w:val="none"/>
        </w:rPr>
        <w:fldChar w:fldCharType="end"/>
      </w:r>
    </w:p>
    <w:p>
      <w:pPr>
        <w:spacing w:line="360" w:lineRule="auto"/>
        <w:ind w:left="-359" w:leftChars="-171" w:firstLine="359" w:firstLineChars="171"/>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.3、投标人应按招标文件的要求准时参加开标会议。投标人代表未出席开标会，不影响开标，且不得对开标程序、结果等提出任何异议。</w:t>
      </w:r>
    </w:p>
    <w:p>
      <w:pPr>
        <w:tabs>
          <w:tab w:val="left" w:pos="540"/>
        </w:tabs>
        <w:spacing w:line="360" w:lineRule="auto"/>
        <w:outlineLvl w:val="0"/>
        <w:rPr>
          <w:rFonts w:hint="eastAsia" w:ascii="宋体" w:hAnsi="宋体" w:cs="宋体"/>
          <w:b/>
          <w:color w:val="auto"/>
          <w:highlight w:val="none"/>
        </w:rPr>
      </w:pPr>
      <w:bookmarkStart w:id="37" w:name="_Toc25490"/>
      <w:bookmarkStart w:id="38" w:name="_Toc476177885"/>
      <w:bookmarkStart w:id="39" w:name="_Toc477185854"/>
      <w:bookmarkStart w:id="40" w:name="_Toc476177331"/>
      <w:bookmarkStart w:id="41" w:name="_Toc477186215"/>
      <w:r>
        <w:rPr>
          <w:rFonts w:hint="eastAsia" w:ascii="宋体" w:hAnsi="宋体" w:cs="宋体"/>
          <w:b/>
          <w:color w:val="auto"/>
          <w:highlight w:val="none"/>
        </w:rPr>
        <w:t>六、其他说明</w:t>
      </w:r>
      <w:bookmarkEnd w:id="37"/>
      <w:bookmarkEnd w:id="38"/>
      <w:bookmarkEnd w:id="39"/>
      <w:bookmarkEnd w:id="40"/>
      <w:bookmarkEnd w:id="41"/>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1、各投标人的资料复印件应加盖单位公章保证所提供资料的真实性，如发现有虚假、隐瞒情况者，招标人将取消其投标资格。</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bCs/>
          <w:color w:val="auto"/>
          <w:highlight w:val="none"/>
        </w:rPr>
        <w:t>购买了招标文件，而不参加投标的投标人，请在开标前3日以书面或邮件形式通知招标代理机构。</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3、招标代理机构和招标人将不负责投标人准备投标文件和递交投标文件所发生的任何成本或费用。</w:t>
      </w:r>
    </w:p>
    <w:p>
      <w:pPr>
        <w:tabs>
          <w:tab w:val="left" w:pos="540"/>
        </w:tabs>
        <w:spacing w:line="360" w:lineRule="auto"/>
        <w:outlineLvl w:val="0"/>
        <w:rPr>
          <w:rFonts w:hint="eastAsia" w:ascii="宋体" w:hAnsi="宋体" w:cs="宋体"/>
          <w:b/>
          <w:color w:val="auto"/>
          <w:highlight w:val="none"/>
        </w:rPr>
      </w:pPr>
      <w:bookmarkStart w:id="42" w:name="_Toc476177332"/>
      <w:bookmarkStart w:id="43" w:name="_Toc477186216"/>
      <w:bookmarkStart w:id="44" w:name="_Toc477185855"/>
      <w:bookmarkStart w:id="45" w:name="_Toc476177886"/>
      <w:bookmarkStart w:id="46" w:name="_Toc32203"/>
      <w:r>
        <w:rPr>
          <w:rFonts w:hint="eastAsia" w:ascii="宋体" w:hAnsi="宋体" w:cs="宋体"/>
          <w:b/>
          <w:color w:val="auto"/>
          <w:highlight w:val="none"/>
        </w:rPr>
        <w:t>七、招标代理机构所在地和</w:t>
      </w:r>
      <w:bookmarkEnd w:id="42"/>
      <w:bookmarkEnd w:id="43"/>
      <w:bookmarkEnd w:id="44"/>
      <w:bookmarkEnd w:id="45"/>
      <w:bookmarkEnd w:id="46"/>
      <w:r>
        <w:rPr>
          <w:rFonts w:hint="eastAsia" w:ascii="宋体" w:hAnsi="宋体" w:cs="宋体"/>
          <w:b/>
          <w:color w:val="auto"/>
          <w:highlight w:val="none"/>
        </w:rPr>
        <w:t>联系方式</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1、招标人联系方式</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 标 人：广东南方报业传媒集团物业管理有限公司</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地    址：广东省广州市越秀区广州大道中289号</w:t>
      </w:r>
    </w:p>
    <w:p>
      <w:pPr>
        <w:spacing w:line="360" w:lineRule="auto"/>
        <w:ind w:left="-359" w:leftChars="-171" w:firstLine="359" w:firstLineChars="17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谢先生</w:t>
      </w:r>
    </w:p>
    <w:p>
      <w:pPr>
        <w:spacing w:line="360" w:lineRule="auto"/>
        <w:ind w:left="-359" w:leftChars="-171" w:firstLine="359" w:firstLineChars="171"/>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 xml:space="preserve">电  </w:t>
      </w:r>
      <w:r>
        <w:rPr>
          <w:rFonts w:hint="eastAsia" w:ascii="宋体" w:hAnsi="宋体" w:eastAsia="宋体" w:cs="宋体"/>
          <w:color w:val="auto"/>
          <w:highlight w:val="none"/>
          <w:lang w:val="en-US" w:eastAsia="zh-CN"/>
        </w:rPr>
        <w:t xml:space="preserve">话：020-83003053  </w:t>
      </w:r>
      <w:r>
        <w:rPr>
          <w:rFonts w:hint="eastAsia" w:ascii="宋体" w:hAnsi="宋体" w:cs="宋体"/>
          <w:color w:val="auto"/>
          <w:highlight w:val="none"/>
          <w:lang w:val="en-US" w:eastAsia="zh-CN"/>
        </w:rPr>
        <w:t>13570352336</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2、招标代理机构联系方式</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招标代理机构名称：广东省机电设备招标有限公司</w:t>
      </w:r>
    </w:p>
    <w:p>
      <w:pPr>
        <w:spacing w:line="360" w:lineRule="auto"/>
        <w:ind w:left="-359" w:leftChars="-171" w:firstLine="359" w:firstLineChars="171"/>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联系人：胡小姐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刘先生</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020-</w:t>
      </w:r>
      <w:r>
        <w:rPr>
          <w:rFonts w:hint="eastAsia" w:ascii="宋体" w:hAnsi="宋体" w:cs="宋体"/>
          <w:color w:val="auto"/>
          <w:szCs w:val="21"/>
          <w:highlight w:val="none"/>
        </w:rPr>
        <w:t>83544332</w:t>
      </w:r>
    </w:p>
    <w:p>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电子邮件：</w:t>
      </w:r>
      <w:r>
        <w:rPr>
          <w:rFonts w:hint="eastAsia" w:ascii="宋体" w:hAnsi="宋体" w:cs="宋体"/>
          <w:color w:val="auto"/>
          <w:szCs w:val="21"/>
          <w:highlight w:val="none"/>
          <w:lang w:eastAsia="zh-CN"/>
        </w:rPr>
        <w:t>jdzbhu@163.com</w:t>
      </w:r>
    </w:p>
    <w:p>
      <w:pPr>
        <w:wordWrap w:val="0"/>
        <w:spacing w:line="360" w:lineRule="auto"/>
        <w:ind w:firstLine="420" w:firstLineChars="200"/>
        <w:jc w:val="right"/>
        <w:rPr>
          <w:rFonts w:hint="eastAsia" w:ascii="宋体" w:hAnsi="宋体" w:cs="宋体"/>
          <w:color w:val="auto"/>
          <w:highlight w:val="none"/>
        </w:rPr>
      </w:pPr>
      <w:r>
        <w:rPr>
          <w:rFonts w:hint="eastAsia" w:ascii="宋体" w:hAnsi="宋体" w:cs="宋体"/>
          <w:color w:val="auto"/>
          <w:highlight w:val="none"/>
        </w:rPr>
        <w:t xml:space="preserve">  招标人：</w:t>
      </w:r>
      <w:r>
        <w:rPr>
          <w:rFonts w:hint="eastAsia" w:ascii="宋体" w:hAnsi="宋体" w:cs="宋体"/>
          <w:bCs/>
          <w:color w:val="auto"/>
          <w:highlight w:val="none"/>
        </w:rPr>
        <w:t>广东南方报业传媒集团物业管理有限公司</w:t>
      </w:r>
    </w:p>
    <w:p>
      <w:pPr>
        <w:spacing w:line="360" w:lineRule="auto"/>
        <w:jc w:val="right"/>
        <w:rPr>
          <w:rFonts w:hint="eastAsia" w:ascii="宋体" w:hAnsi="宋体" w:cs="宋体"/>
          <w:color w:val="auto"/>
          <w:highlight w:val="none"/>
        </w:rPr>
      </w:pPr>
      <w:r>
        <w:rPr>
          <w:rFonts w:hint="eastAsia" w:ascii="宋体" w:hAnsi="宋体" w:cs="宋体"/>
          <w:color w:val="auto"/>
          <w:highlight w:val="none"/>
        </w:rPr>
        <w:t xml:space="preserve">招标代理：广东省机电设备招标有限公司 </w:t>
      </w:r>
    </w:p>
    <w:p>
      <w:pPr>
        <w:wordWrap w:val="0"/>
        <w:spacing w:line="360" w:lineRule="auto"/>
        <w:ind w:firstLine="420" w:firstLineChars="200"/>
        <w:jc w:val="right"/>
        <w:rPr>
          <w:rFonts w:hint="eastAsia" w:ascii="宋体" w:hAnsi="宋体" w:cs="宋体"/>
          <w:color w:val="auto"/>
          <w:highlight w:val="none"/>
        </w:rPr>
        <w:sectPr>
          <w:footerReference r:id="rId7"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7</w:t>
      </w:r>
      <w:r>
        <w:rPr>
          <w:rFonts w:hint="eastAsia" w:ascii="宋体" w:hAnsi="宋体" w:cs="宋体"/>
          <w:color w:val="auto"/>
          <w:highlight w:val="none"/>
        </w:rPr>
        <w:t>月</w:t>
      </w:r>
      <w:r>
        <w:rPr>
          <w:rFonts w:hint="eastAsia" w:ascii="宋体" w:hAnsi="宋体" w:cs="宋体"/>
          <w:color w:val="auto"/>
          <w:highlight w:val="none"/>
          <w:lang w:val="en-US" w:eastAsia="zh-CN"/>
        </w:rPr>
        <w:t>31</w:t>
      </w:r>
      <w:r>
        <w:rPr>
          <w:rFonts w:hint="eastAsia" w:ascii="宋体" w:hAnsi="宋体" w:cs="宋体"/>
          <w:color w:val="auto"/>
          <w:highlight w:val="none"/>
        </w:rPr>
        <w:t>日</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napToGrid w:val="0"/>
        <w:spacing w:line="360" w:lineRule="auto"/>
        <w:jc w:val="center"/>
        <w:rPr>
          <w:rFonts w:hint="eastAsia" w:ascii="宋体" w:hAnsi="宋体" w:cs="宋体"/>
          <w:b/>
          <w:color w:val="auto"/>
          <w:sz w:val="44"/>
          <w:highlight w:val="none"/>
        </w:rPr>
      </w:pPr>
    </w:p>
    <w:p>
      <w:pPr>
        <w:snapToGrid w:val="0"/>
        <w:spacing w:line="360" w:lineRule="auto"/>
        <w:jc w:val="center"/>
        <w:rPr>
          <w:rFonts w:hint="eastAsia" w:ascii="宋体" w:hAnsi="宋体" w:cs="宋体"/>
          <w:b/>
          <w:color w:val="auto"/>
          <w:sz w:val="44"/>
          <w:highlight w:val="none"/>
        </w:rPr>
      </w:pPr>
    </w:p>
    <w:p>
      <w:pPr>
        <w:jc w:val="center"/>
        <w:outlineLvl w:val="0"/>
        <w:rPr>
          <w:rFonts w:hint="eastAsia" w:ascii="宋体" w:hAnsi="宋体" w:cs="宋体"/>
          <w:b/>
          <w:color w:val="auto"/>
          <w:sz w:val="44"/>
          <w:szCs w:val="44"/>
          <w:highlight w:val="none"/>
        </w:rPr>
      </w:pPr>
      <w:bookmarkStart w:id="47" w:name="_Toc9976"/>
      <w:r>
        <w:rPr>
          <w:rFonts w:hint="eastAsia" w:ascii="宋体" w:hAnsi="宋体" w:cs="宋体"/>
          <w:b/>
          <w:color w:val="auto"/>
          <w:sz w:val="44"/>
          <w:szCs w:val="44"/>
          <w:highlight w:val="none"/>
        </w:rPr>
        <w:t>第二章</w:t>
      </w:r>
      <w:bookmarkStart w:id="48" w:name="_Toc477186217"/>
      <w:r>
        <w:rPr>
          <w:rFonts w:hint="eastAsia" w:ascii="宋体" w:hAnsi="宋体" w:cs="宋体"/>
          <w:b/>
          <w:color w:val="auto"/>
          <w:sz w:val="44"/>
          <w:szCs w:val="44"/>
          <w:highlight w:val="none"/>
        </w:rPr>
        <w:t xml:space="preserve">  投标人须知</w:t>
      </w:r>
      <w:bookmarkEnd w:id="47"/>
      <w:bookmarkEnd w:id="48"/>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投标人须知前附表</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noWrap w:val="0"/>
            <w:vAlign w:val="center"/>
          </w:tcPr>
          <w:p>
            <w:pPr>
              <w:pStyle w:val="22"/>
              <w:ind w:left="1265" w:right="42" w:rightChars="20" w:hanging="1265"/>
              <w:jc w:val="center"/>
              <w:rPr>
                <w:rFonts w:hint="eastAsia" w:hAnsi="宋体" w:cs="宋体"/>
                <w:b/>
                <w:bCs/>
                <w:color w:val="auto"/>
                <w:highlight w:val="none"/>
              </w:rPr>
            </w:pPr>
            <w:bookmarkStart w:id="49" w:name="_Toc476177888"/>
            <w:bookmarkStart w:id="50" w:name="_Toc30250"/>
            <w:bookmarkStart w:id="51" w:name="_Toc119753876"/>
            <w:bookmarkStart w:id="52" w:name="_Toc476177333"/>
            <w:r>
              <w:rPr>
                <w:rFonts w:hint="eastAsia" w:hAnsi="宋体" w:cs="宋体"/>
                <w:b/>
                <w:bCs/>
                <w:color w:val="auto"/>
                <w:highlight w:val="none"/>
              </w:rPr>
              <w:t>项号</w:t>
            </w:r>
          </w:p>
        </w:tc>
        <w:tc>
          <w:tcPr>
            <w:tcW w:w="8443" w:type="dxa"/>
            <w:noWrap w:val="0"/>
            <w:vAlign w:val="center"/>
          </w:tcPr>
          <w:p>
            <w:pPr>
              <w:pStyle w:val="22"/>
              <w:ind w:left="252" w:leftChars="120" w:firstLine="2509" w:firstLineChars="1190"/>
              <w:rPr>
                <w:rFonts w:hint="eastAsia" w:hAnsi="宋体" w:cs="宋体"/>
                <w:b/>
                <w:bCs/>
                <w:color w:val="auto"/>
                <w:highlight w:val="none"/>
              </w:rPr>
            </w:pPr>
            <w:r>
              <w:rPr>
                <w:rFonts w:hint="eastAsia" w:hAnsi="宋体" w:cs="宋体"/>
                <w:b/>
                <w:bCs/>
                <w:color w:val="auto"/>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noWrap w:val="0"/>
            <w:vAlign w:val="center"/>
          </w:tcPr>
          <w:p>
            <w:pPr>
              <w:pStyle w:val="22"/>
              <w:ind w:left="-2394" w:leftChars="-1140" w:right="-107" w:rightChars="-51" w:firstLine="2284" w:firstLineChars="1088"/>
              <w:jc w:val="center"/>
              <w:rPr>
                <w:rFonts w:hint="eastAsia" w:hAnsi="宋体" w:cs="宋体"/>
                <w:color w:val="auto"/>
                <w:highlight w:val="none"/>
              </w:rPr>
            </w:pPr>
            <w:r>
              <w:rPr>
                <w:rFonts w:hint="eastAsia" w:hAnsi="宋体" w:cs="宋体"/>
                <w:color w:val="auto"/>
                <w:highlight w:val="none"/>
              </w:rPr>
              <w:t>1</w:t>
            </w:r>
          </w:p>
        </w:tc>
        <w:tc>
          <w:tcPr>
            <w:tcW w:w="8443" w:type="dxa"/>
            <w:noWrap w:val="0"/>
            <w:vAlign w:val="top"/>
          </w:tcPr>
          <w:p>
            <w:pPr>
              <w:pStyle w:val="22"/>
              <w:ind w:left="1" w:firstLine="0"/>
              <w:rPr>
                <w:rFonts w:hint="eastAsia" w:hAnsi="宋体" w:eastAsia="宋体" w:cs="宋体"/>
                <w:b/>
                <w:color w:val="auto"/>
                <w:highlight w:val="none"/>
                <w:lang w:eastAsia="zh-CN"/>
              </w:rPr>
            </w:pPr>
            <w:r>
              <w:rPr>
                <w:rFonts w:hint="eastAsia" w:hAnsi="宋体" w:cs="宋体"/>
                <w:b/>
                <w:color w:val="auto"/>
                <w:highlight w:val="none"/>
              </w:rPr>
              <w:t>项目名称：</w:t>
            </w:r>
            <w:r>
              <w:rPr>
                <w:rFonts w:hint="eastAsia" w:hAnsi="宋体" w:cs="宋体"/>
                <w:b/>
                <w:color w:val="auto"/>
                <w:highlight w:val="none"/>
                <w:lang w:eastAsia="zh-CN"/>
              </w:rPr>
              <w:t>深圳分社新址装修项目（机电设备部分）</w:t>
            </w:r>
          </w:p>
          <w:p>
            <w:pPr>
              <w:pStyle w:val="22"/>
              <w:ind w:left="1265" w:hanging="1265"/>
              <w:rPr>
                <w:rFonts w:hint="eastAsia" w:hAnsi="宋体" w:cs="宋体"/>
                <w:color w:val="auto"/>
                <w:highlight w:val="none"/>
              </w:rPr>
            </w:pPr>
            <w:r>
              <w:rPr>
                <w:rFonts w:hint="eastAsia" w:hAnsi="宋体" w:cs="宋体"/>
                <w:b/>
                <w:bCs/>
                <w:color w:val="auto"/>
                <w:highlight w:val="none"/>
              </w:rPr>
              <w:t>招标人名称：</w:t>
            </w:r>
            <w:r>
              <w:rPr>
                <w:rFonts w:hint="eastAsia" w:hAnsi="宋体" w:cs="宋体"/>
                <w:b/>
                <w:color w:val="auto"/>
                <w:highlight w:val="none"/>
              </w:rPr>
              <w:t>广东南方报业传媒集团物业管理有限公司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2</w:t>
            </w:r>
          </w:p>
        </w:tc>
        <w:tc>
          <w:tcPr>
            <w:tcW w:w="8443" w:type="dxa"/>
            <w:noWrap w:val="0"/>
            <w:vAlign w:val="center"/>
          </w:tcPr>
          <w:p>
            <w:pPr>
              <w:pStyle w:val="22"/>
              <w:ind w:left="1103" w:hanging="1103" w:hangingChars="523"/>
              <w:rPr>
                <w:rFonts w:hint="eastAsia" w:hAnsi="宋体" w:cs="宋体"/>
                <w:b/>
                <w:color w:val="auto"/>
                <w:highlight w:val="none"/>
                <w:u w:val="single"/>
              </w:rPr>
            </w:pPr>
            <w:r>
              <w:rPr>
                <w:rFonts w:hint="eastAsia" w:hAnsi="宋体" w:cs="宋体"/>
                <w:b/>
                <w:bCs/>
                <w:color w:val="auto"/>
                <w:highlight w:val="none"/>
              </w:rPr>
              <w:t>资金来源：</w:t>
            </w:r>
            <w:r>
              <w:rPr>
                <w:rFonts w:hint="eastAsia" w:hAnsi="宋体" w:cs="宋体"/>
                <w:color w:val="auto"/>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3</w:t>
            </w:r>
          </w:p>
        </w:tc>
        <w:tc>
          <w:tcPr>
            <w:tcW w:w="8443" w:type="dxa"/>
            <w:noWrap w:val="0"/>
            <w:vAlign w:val="center"/>
          </w:tcPr>
          <w:p>
            <w:pPr>
              <w:pStyle w:val="22"/>
              <w:ind w:left="1265" w:hanging="1265"/>
              <w:rPr>
                <w:rFonts w:hint="eastAsia" w:hAnsi="宋体" w:cs="宋体"/>
                <w:color w:val="auto"/>
                <w:highlight w:val="none"/>
              </w:rPr>
            </w:pPr>
            <w:r>
              <w:rPr>
                <w:rFonts w:hint="eastAsia" w:hAnsi="宋体" w:cs="宋体"/>
                <w:b/>
                <w:bCs/>
                <w:color w:val="auto"/>
                <w:highlight w:val="none"/>
              </w:rPr>
              <w:t>招标方式：</w:t>
            </w:r>
            <w:r>
              <w:rPr>
                <w:rFonts w:hint="eastAsia" w:hAnsi="宋体" w:cs="宋体"/>
                <w:color w:val="auto"/>
                <w:highlight w:val="none"/>
              </w:rPr>
              <w:t>国内公开招标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4</w:t>
            </w:r>
          </w:p>
        </w:tc>
        <w:tc>
          <w:tcPr>
            <w:tcW w:w="8443" w:type="dxa"/>
            <w:noWrap w:val="0"/>
            <w:vAlign w:val="center"/>
          </w:tcPr>
          <w:p>
            <w:pPr>
              <w:pStyle w:val="22"/>
              <w:ind w:left="1" w:firstLine="0"/>
              <w:jc w:val="left"/>
              <w:rPr>
                <w:rFonts w:hint="eastAsia" w:hAnsi="宋体" w:cs="宋体"/>
                <w:b/>
                <w:bCs/>
                <w:color w:val="auto"/>
                <w:highlight w:val="none"/>
              </w:rPr>
            </w:pPr>
            <w:r>
              <w:rPr>
                <w:rFonts w:hint="eastAsia" w:hAnsi="宋体" w:cs="宋体"/>
                <w:b/>
                <w:color w:val="auto"/>
                <w:highlight w:val="none"/>
              </w:rPr>
              <w:t>招标信息发布：</w:t>
            </w:r>
            <w:r>
              <w:rPr>
                <w:rFonts w:hint="eastAsia" w:hAnsi="宋体" w:cs="宋体"/>
                <w:bCs/>
                <w:color w:val="auto"/>
                <w:highlight w:val="none"/>
              </w:rPr>
              <w:t>中</w:t>
            </w:r>
            <w:r>
              <w:rPr>
                <w:rFonts w:hint="eastAsia" w:hAnsi="宋体" w:cs="宋体"/>
                <w:color w:val="auto"/>
                <w:highlight w:val="none"/>
              </w:rPr>
              <w:t>国招标投标公共服务平台、广咨电子招投标交易平台网站（广东省机电设备招标有限公司网）、南方网、《南方日报》。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5</w:t>
            </w:r>
          </w:p>
        </w:tc>
        <w:tc>
          <w:tcPr>
            <w:tcW w:w="8443" w:type="dxa"/>
            <w:noWrap w:val="0"/>
            <w:vAlign w:val="center"/>
          </w:tcPr>
          <w:p>
            <w:pPr>
              <w:pStyle w:val="22"/>
              <w:ind w:left="1265" w:hanging="1265"/>
              <w:rPr>
                <w:rFonts w:hint="eastAsia" w:hAnsi="宋体" w:cs="宋体"/>
                <w:color w:val="auto"/>
                <w:highlight w:val="none"/>
              </w:rPr>
            </w:pPr>
            <w:r>
              <w:rPr>
                <w:rFonts w:hint="eastAsia" w:hAnsi="宋体" w:cs="宋体"/>
                <w:b/>
                <w:bCs/>
                <w:color w:val="auto"/>
                <w:highlight w:val="none"/>
              </w:rPr>
              <w:t>招标范围：</w:t>
            </w:r>
            <w:r>
              <w:rPr>
                <w:rFonts w:hint="eastAsia" w:hAnsi="宋体" w:cs="宋体"/>
                <w:color w:val="auto"/>
                <w:highlight w:val="none"/>
              </w:rPr>
              <w:t>详见投标人须知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6</w:t>
            </w:r>
          </w:p>
        </w:tc>
        <w:tc>
          <w:tcPr>
            <w:tcW w:w="8443" w:type="dxa"/>
            <w:noWrap w:val="0"/>
            <w:vAlign w:val="center"/>
          </w:tcPr>
          <w:p>
            <w:pPr>
              <w:pStyle w:val="22"/>
              <w:ind w:left="1265" w:hanging="1265"/>
              <w:rPr>
                <w:rFonts w:hint="eastAsia" w:hAnsi="宋体" w:cs="宋体"/>
                <w:color w:val="auto"/>
                <w:highlight w:val="none"/>
              </w:rPr>
            </w:pPr>
            <w:r>
              <w:rPr>
                <w:rFonts w:hint="eastAsia" w:hAnsi="宋体" w:cs="宋体"/>
                <w:b/>
                <w:bCs/>
                <w:color w:val="auto"/>
                <w:highlight w:val="none"/>
              </w:rPr>
              <w:t>踏勘现场：</w:t>
            </w:r>
            <w:r>
              <w:rPr>
                <w:rFonts w:hint="eastAsia" w:hAnsi="宋体" w:cs="宋体"/>
                <w:color w:val="auto"/>
                <w:highlight w:val="none"/>
              </w:rPr>
              <w:t>招标人不组织集中踏勘现场。投标人如有意愿踏勘现场提前与招标人联系，踏勘现场发生的费用自理。</w:t>
            </w:r>
          </w:p>
          <w:p>
            <w:pPr>
              <w:pStyle w:val="22"/>
              <w:ind w:left="1265" w:hanging="1265"/>
              <w:rPr>
                <w:rFonts w:hAnsi="宋体" w:cs="宋体"/>
                <w:color w:val="auto"/>
                <w:highlight w:val="none"/>
              </w:rPr>
            </w:pPr>
            <w:r>
              <w:rPr>
                <w:rFonts w:hint="eastAsia" w:hAnsi="宋体" w:cs="宋体"/>
                <w:b/>
                <w:bCs/>
                <w:color w:val="auto"/>
                <w:highlight w:val="none"/>
              </w:rPr>
              <w:t>踏勘时间：</w:t>
            </w:r>
            <w:r>
              <w:rPr>
                <w:rFonts w:hint="eastAsia" w:hAnsi="宋体" w:eastAsia="宋体" w:cs="宋体"/>
                <w:b w:val="0"/>
                <w:bCs w:val="0"/>
                <w:color w:val="auto"/>
                <w:highlight w:val="none"/>
                <w:lang w:val="en-US" w:eastAsia="zh-CN"/>
              </w:rPr>
              <w:t>202</w:t>
            </w:r>
            <w:r>
              <w:rPr>
                <w:rFonts w:hint="eastAsia" w:hAnsi="宋体" w:cs="宋体"/>
                <w:b w:val="0"/>
                <w:bCs w:val="0"/>
                <w:color w:val="auto"/>
                <w:highlight w:val="none"/>
                <w:lang w:val="en-US" w:eastAsia="zh-CN"/>
              </w:rPr>
              <w:t>5</w:t>
            </w:r>
            <w:r>
              <w:rPr>
                <w:rFonts w:hint="eastAsia" w:hAnsi="宋体" w:eastAsia="宋体" w:cs="宋体"/>
                <w:b w:val="0"/>
                <w:bCs w:val="0"/>
                <w:color w:val="auto"/>
                <w:highlight w:val="none"/>
                <w:lang w:val="en-US" w:eastAsia="zh-CN"/>
              </w:rPr>
              <w:t>年</w:t>
            </w:r>
            <w:r>
              <w:rPr>
                <w:rFonts w:hint="eastAsia" w:hAnsi="宋体" w:cs="宋体"/>
                <w:b w:val="0"/>
                <w:bCs w:val="0"/>
                <w:color w:val="auto"/>
                <w:highlight w:val="none"/>
                <w:lang w:val="en-US" w:eastAsia="zh-CN"/>
              </w:rPr>
              <w:t>8</w:t>
            </w:r>
            <w:r>
              <w:rPr>
                <w:rFonts w:hint="eastAsia" w:hAnsi="宋体" w:eastAsia="宋体" w:cs="宋体"/>
                <w:b w:val="0"/>
                <w:bCs w:val="0"/>
                <w:color w:val="auto"/>
                <w:highlight w:val="none"/>
                <w:lang w:val="en-US" w:eastAsia="zh-CN"/>
              </w:rPr>
              <w:t>月</w:t>
            </w:r>
            <w:r>
              <w:rPr>
                <w:rFonts w:hint="eastAsia" w:hAnsi="宋体" w:cs="宋体"/>
                <w:b w:val="0"/>
                <w:bCs w:val="0"/>
                <w:color w:val="auto"/>
                <w:highlight w:val="none"/>
                <w:lang w:val="en-US" w:eastAsia="zh-CN"/>
              </w:rPr>
              <w:t>8</w:t>
            </w:r>
            <w:r>
              <w:rPr>
                <w:rFonts w:hint="eastAsia" w:hAnsi="宋体" w:eastAsia="宋体" w:cs="宋体"/>
                <w:b w:val="0"/>
                <w:bCs w:val="0"/>
                <w:color w:val="auto"/>
                <w:highlight w:val="none"/>
                <w:lang w:val="en-US" w:eastAsia="zh-CN"/>
              </w:rPr>
              <w:t>日</w:t>
            </w:r>
            <w:r>
              <w:rPr>
                <w:rFonts w:hint="eastAsia" w:hAnsi="宋体" w:cs="宋体"/>
                <w:color w:val="auto"/>
                <w:highlight w:val="none"/>
              </w:rPr>
              <w:t>上午</w:t>
            </w:r>
            <w:r>
              <w:rPr>
                <w:rFonts w:hint="eastAsia" w:hAnsi="宋体" w:cs="宋体"/>
                <w:color w:val="auto"/>
                <w:highlight w:val="none"/>
                <w:lang w:val="en-US" w:eastAsia="zh-CN"/>
              </w:rPr>
              <w:t>11</w:t>
            </w:r>
            <w:r>
              <w:rPr>
                <w:rFonts w:hint="eastAsia" w:hAnsi="宋体" w:cs="宋体"/>
                <w:color w:val="auto"/>
                <w:highlight w:val="none"/>
              </w:rPr>
              <w:t>:00-12:00；下午2:30-5:00。</w:t>
            </w:r>
          </w:p>
          <w:p>
            <w:pPr>
              <w:pStyle w:val="22"/>
              <w:ind w:left="1265" w:hanging="1265"/>
              <w:rPr>
                <w:rFonts w:hint="eastAsia" w:hAnsi="宋体" w:cs="宋体"/>
                <w:color w:val="auto"/>
                <w:highlight w:val="none"/>
              </w:rPr>
            </w:pPr>
            <w:r>
              <w:rPr>
                <w:rFonts w:hint="eastAsia" w:hAnsi="宋体" w:cs="宋体"/>
                <w:b/>
                <w:bCs/>
                <w:color w:val="auto"/>
                <w:highlight w:val="none"/>
              </w:rPr>
              <w:t>踏勘地点：深圳市福田区华强北街道振华路与上步中路交汇处滨江爱义南方大厦B座12层、13层</w:t>
            </w:r>
            <w:r>
              <w:rPr>
                <w:rFonts w:hint="eastAsia" w:hAnsi="宋体" w:cs="宋体"/>
                <w:color w:val="auto"/>
                <w:highlight w:val="none"/>
              </w:rPr>
              <w:t>。</w:t>
            </w:r>
          </w:p>
          <w:p>
            <w:pPr>
              <w:spacing w:line="360" w:lineRule="auto"/>
              <w:ind w:left="-359" w:leftChars="-171" w:firstLine="359" w:firstLineChars="17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谢先生</w:t>
            </w:r>
          </w:p>
          <w:p>
            <w:pPr>
              <w:spacing w:line="360" w:lineRule="auto"/>
              <w:ind w:left="-359" w:leftChars="-171" w:firstLine="359" w:firstLineChars="171"/>
              <w:rPr>
                <w:rFonts w:hint="default" w:hAnsi="宋体" w:eastAsia="宋体" w:cs="宋体"/>
                <w:b/>
                <w:bCs/>
                <w:color w:val="auto"/>
                <w:highlight w:val="none"/>
                <w:lang w:val="en-US" w:eastAsia="zh-CN"/>
              </w:rPr>
            </w:pPr>
            <w:r>
              <w:rPr>
                <w:rFonts w:hint="eastAsia" w:ascii="宋体" w:hAnsi="宋体" w:eastAsia="宋体" w:cs="宋体"/>
                <w:color w:val="auto"/>
                <w:szCs w:val="21"/>
                <w:highlight w:val="none"/>
                <w:lang w:val="en-US" w:eastAsia="zh-CN"/>
              </w:rPr>
              <w:t xml:space="preserve">电  </w:t>
            </w:r>
            <w:r>
              <w:rPr>
                <w:rFonts w:hint="eastAsia" w:ascii="宋体" w:hAnsi="宋体" w:eastAsia="宋体" w:cs="宋体"/>
                <w:color w:val="auto"/>
                <w:highlight w:val="none"/>
                <w:lang w:val="en-US" w:eastAsia="zh-CN"/>
              </w:rPr>
              <w:t xml:space="preserve">话：020-83003053  </w:t>
            </w:r>
            <w:r>
              <w:rPr>
                <w:rFonts w:hint="eastAsia" w:ascii="宋体" w:hAnsi="宋体" w:cs="宋体"/>
                <w:color w:val="auto"/>
                <w:highlight w:val="none"/>
                <w:lang w:val="en-US" w:eastAsia="zh-CN"/>
              </w:rPr>
              <w:t>13570352336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7</w:t>
            </w:r>
          </w:p>
        </w:tc>
        <w:tc>
          <w:tcPr>
            <w:tcW w:w="8443" w:type="dxa"/>
            <w:noWrap w:val="0"/>
            <w:vAlign w:val="center"/>
          </w:tcPr>
          <w:p>
            <w:pPr>
              <w:pStyle w:val="22"/>
              <w:ind w:left="1" w:firstLine="0"/>
              <w:jc w:val="left"/>
              <w:rPr>
                <w:rFonts w:hint="eastAsia" w:hAnsi="宋体" w:cs="宋体"/>
                <w:color w:val="auto"/>
                <w:highlight w:val="none"/>
              </w:rPr>
            </w:pPr>
            <w:r>
              <w:rPr>
                <w:rFonts w:hint="eastAsia"/>
                <w:highlight w:val="none"/>
              </w:rPr>
              <w:t>纸质投标文件份数：中文正本1份；中文副本2份；投标文件电子文档1份（usb闪存盘）。以上投标文件，仅用于招标人存档使用，不作为评审依据。（纸质投标文件如采用邮递方式送达的，请务必提前寄出并通知招标代理项目联系人，保证投标文件在提交截止时间前送达指定地点并密封完好）。邮寄地址：广东省广州市越秀区环市中路316号金鹰大厦10楼1032，收件人：</w:t>
            </w:r>
            <w:r>
              <w:rPr>
                <w:rFonts w:hint="eastAsia"/>
                <w:highlight w:val="none"/>
                <w:lang w:val="en-US" w:eastAsia="zh-CN"/>
              </w:rPr>
              <w:t>胡</w:t>
            </w:r>
            <w:r>
              <w:rPr>
                <w:rFonts w:hint="eastAsia"/>
                <w:highlight w:val="none"/>
              </w:rPr>
              <w:t>工，联系方式：020-8354</w:t>
            </w:r>
            <w:r>
              <w:rPr>
                <w:rFonts w:hint="eastAsia"/>
                <w:highlight w:val="none"/>
                <w:lang w:val="en-US" w:eastAsia="zh-CN"/>
              </w:rPr>
              <w:t>4332</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8</w:t>
            </w:r>
          </w:p>
        </w:tc>
        <w:tc>
          <w:tcPr>
            <w:tcW w:w="8443" w:type="dxa"/>
            <w:noWrap w:val="0"/>
            <w:vAlign w:val="center"/>
          </w:tcPr>
          <w:p>
            <w:pPr>
              <w:pStyle w:val="22"/>
              <w:ind w:left="1265" w:hanging="1265"/>
              <w:rPr>
                <w:rFonts w:hint="eastAsia" w:hAnsi="宋体" w:cs="宋体"/>
                <w:color w:val="auto"/>
                <w:highlight w:val="none"/>
              </w:rPr>
            </w:pPr>
            <w:r>
              <w:rPr>
                <w:rFonts w:hint="eastAsia" w:hAnsi="宋体" w:cs="宋体"/>
                <w:b/>
                <w:bCs/>
                <w:color w:val="auto"/>
                <w:highlight w:val="none"/>
              </w:rPr>
              <w:t>投标有效期：</w:t>
            </w:r>
            <w:r>
              <w:rPr>
                <w:rFonts w:hint="eastAsia" w:hAnsi="宋体" w:cs="宋体"/>
                <w:b/>
                <w:color w:val="auto"/>
                <w:highlight w:val="none"/>
                <w:u w:val="single"/>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9</w:t>
            </w:r>
          </w:p>
        </w:tc>
        <w:tc>
          <w:tcPr>
            <w:tcW w:w="8443" w:type="dxa"/>
            <w:noWrap w:val="0"/>
            <w:vAlign w:val="top"/>
          </w:tcPr>
          <w:p>
            <w:pPr>
              <w:pStyle w:val="22"/>
              <w:spacing w:before="120" w:after="120"/>
              <w:ind w:left="1" w:firstLine="0"/>
              <w:rPr>
                <w:rFonts w:hint="eastAsia" w:hAnsi="宋体" w:cs="宋体"/>
                <w:b/>
                <w:bCs/>
                <w:color w:val="auto"/>
                <w:highlight w:val="none"/>
              </w:rPr>
            </w:pPr>
            <w:r>
              <w:rPr>
                <w:rFonts w:hint="eastAsia" w:hAnsi="宋体" w:cs="宋体"/>
                <w:b/>
                <w:bCs/>
                <w:color w:val="auto"/>
                <w:highlight w:val="none"/>
              </w:rPr>
              <w:t>投标保证金：</w:t>
            </w:r>
          </w:p>
          <w:p>
            <w:pPr>
              <w:pStyle w:val="22"/>
              <w:spacing w:before="120" w:after="120"/>
              <w:ind w:left="1" w:firstLine="0"/>
              <w:rPr>
                <w:rFonts w:hint="eastAsia" w:hAnsi="宋体" w:cs="宋体"/>
                <w:b/>
                <w:bCs/>
                <w:color w:val="auto"/>
                <w:highlight w:val="none"/>
              </w:rPr>
            </w:pPr>
            <w:r>
              <w:rPr>
                <w:rFonts w:hint="eastAsia" w:hAnsi="宋体" w:cs="宋体"/>
                <w:b/>
                <w:bCs/>
                <w:color w:val="auto"/>
                <w:highlight w:val="none"/>
              </w:rPr>
              <w:t>1、投标保证金金额：</w:t>
            </w:r>
          </w:p>
          <w:p>
            <w:pPr>
              <w:pStyle w:val="22"/>
              <w:spacing w:before="120" w:after="120"/>
              <w:ind w:left="1" w:firstLine="0"/>
              <w:rPr>
                <w:rFonts w:hint="eastAsia" w:hAnsi="宋体" w:cs="宋体"/>
                <w:b/>
                <w:bCs/>
                <w:color w:val="auto"/>
                <w:highlight w:val="none"/>
              </w:rPr>
            </w:pPr>
            <w:r>
              <w:rPr>
                <w:rFonts w:hint="eastAsia" w:hAnsi="宋体" w:cs="宋体"/>
                <w:b/>
                <w:bCs/>
                <w:color w:val="auto"/>
                <w:highlight w:val="none"/>
              </w:rPr>
              <w:t>投标人必须提交</w:t>
            </w:r>
            <w:r>
              <w:rPr>
                <w:rFonts w:hint="eastAsia" w:hAnsi="宋体" w:cs="宋体"/>
                <w:b/>
                <w:bCs/>
                <w:color w:val="auto"/>
                <w:highlight w:val="none"/>
                <w:lang w:val="en-US" w:eastAsia="zh-CN"/>
              </w:rPr>
              <w:t>¥</w:t>
            </w:r>
            <w:r>
              <w:rPr>
                <w:rFonts w:hint="eastAsia" w:hAnsi="宋体" w:cs="宋体"/>
                <w:b/>
                <w:bCs/>
                <w:color w:val="auto"/>
                <w:highlight w:val="none"/>
                <w:u w:val="single"/>
                <w:lang w:val="en-US" w:eastAsia="zh-CN"/>
              </w:rPr>
              <w:t>10</w:t>
            </w:r>
            <w:r>
              <w:rPr>
                <w:rFonts w:hint="eastAsia" w:hAnsi="宋体" w:cs="宋体"/>
                <w:b/>
                <w:bCs/>
                <w:color w:val="auto"/>
                <w:highlight w:val="none"/>
                <w:u w:val="single"/>
              </w:rPr>
              <w:t>000.00</w:t>
            </w:r>
            <w:r>
              <w:rPr>
                <w:rFonts w:hint="eastAsia" w:hAnsi="宋体" w:cs="宋体"/>
                <w:b/>
                <w:bCs/>
                <w:color w:val="auto"/>
                <w:highlight w:val="none"/>
              </w:rPr>
              <w:t>元(大写：人民币</w:t>
            </w:r>
            <w:r>
              <w:rPr>
                <w:rFonts w:hint="eastAsia" w:hAnsi="宋体" w:cs="宋体"/>
                <w:b/>
                <w:bCs/>
                <w:color w:val="auto"/>
                <w:highlight w:val="none"/>
                <w:lang w:val="en-US" w:eastAsia="zh-CN"/>
              </w:rPr>
              <w:t>壹</w:t>
            </w:r>
            <w:r>
              <w:rPr>
                <w:rFonts w:hint="eastAsia" w:hAnsi="宋体" w:cs="宋体"/>
                <w:b/>
                <w:bCs/>
                <w:color w:val="auto"/>
                <w:highlight w:val="none"/>
              </w:rPr>
              <w:t>万元整)的投标保证金</w:t>
            </w:r>
          </w:p>
          <w:p>
            <w:pPr>
              <w:pStyle w:val="22"/>
              <w:spacing w:before="120" w:after="120" w:line="360" w:lineRule="auto"/>
              <w:ind w:left="1" w:firstLine="0"/>
              <w:rPr>
                <w:rFonts w:hint="eastAsia" w:hAnsi="宋体" w:cs="宋体"/>
                <w:color w:val="auto"/>
                <w:highlight w:val="none"/>
              </w:rPr>
            </w:pPr>
            <w:r>
              <w:rPr>
                <w:rFonts w:hint="eastAsia" w:hAnsi="宋体" w:cs="宋体"/>
                <w:b/>
                <w:bCs/>
                <w:color w:val="auto"/>
                <w:highlight w:val="none"/>
              </w:rPr>
              <w:t>2、投标保证金缴纳方式：</w:t>
            </w:r>
            <w:r>
              <w:rPr>
                <w:rFonts w:hint="eastAsia" w:hAnsi="宋体" w:cs="宋体"/>
                <w:color w:val="auto"/>
                <w:highlight w:val="none"/>
              </w:rPr>
              <w:t>（1）按银行子账号信息汇款/转账方式缴纳；或（2）电子保函线上缴纳方式：</w:t>
            </w:r>
          </w:p>
          <w:p>
            <w:pPr>
              <w:pStyle w:val="22"/>
              <w:ind w:firstLine="0"/>
              <w:rPr>
                <w:rFonts w:hint="eastAsia" w:hAnsi="宋体" w:cs="宋体"/>
                <w:b/>
                <w:bCs/>
                <w:color w:val="auto"/>
                <w:highlight w:val="none"/>
              </w:rPr>
            </w:pPr>
            <w:r>
              <w:rPr>
                <w:rFonts w:hint="eastAsia" w:hAnsi="宋体" w:cs="宋体"/>
                <w:b/>
                <w:bCs/>
                <w:color w:val="auto"/>
                <w:highlight w:val="none"/>
              </w:rPr>
              <w:t>（1）银行子账号信息汇款/转账缴纳方式：</w:t>
            </w:r>
          </w:p>
          <w:p>
            <w:pPr>
              <w:pStyle w:val="22"/>
              <w:ind w:firstLine="0"/>
              <w:rPr>
                <w:rFonts w:hint="eastAsia" w:hAnsi="宋体" w:cs="宋体"/>
                <w:color w:val="auto"/>
                <w:highlight w:val="none"/>
              </w:rPr>
            </w:pPr>
            <w:r>
              <w:rPr>
                <w:rFonts w:hint="eastAsia" w:hAnsi="宋体" w:cs="宋体"/>
                <w:color w:val="auto"/>
                <w:highlight w:val="none"/>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pPr>
              <w:pStyle w:val="22"/>
              <w:ind w:firstLine="0"/>
              <w:rPr>
                <w:rFonts w:hint="eastAsia" w:hAnsi="宋体" w:cs="宋体"/>
                <w:color w:val="auto"/>
                <w:highlight w:val="none"/>
              </w:rPr>
            </w:pPr>
            <w:r>
              <w:rPr>
                <w:rFonts w:hint="eastAsia" w:hAnsi="宋体" w:cs="宋体"/>
                <w:color w:val="auto"/>
                <w:highlight w:val="none"/>
              </w:rPr>
              <w:t>②投标保证金应从投标人的账号支付，并以资金到达该子账号的时间为准</w:t>
            </w:r>
            <w:r>
              <w:rPr>
                <w:rFonts w:hint="eastAsia" w:hAnsi="宋体" w:cs="宋体"/>
                <w:color w:val="auto"/>
                <w:highlight w:val="none"/>
                <w:lang w:eastAsia="zh-CN"/>
              </w:rPr>
              <w:t>，</w:t>
            </w:r>
            <w:r>
              <w:rPr>
                <w:rFonts w:hint="eastAsia" w:hAnsi="宋体" w:cs="宋体"/>
                <w:color w:val="auto"/>
                <w:highlight w:val="none"/>
              </w:rPr>
              <w:t>如从其他账户、或未缴纳到指定的子账号，视为无效投标保证金。</w:t>
            </w:r>
          </w:p>
          <w:p>
            <w:pPr>
              <w:pStyle w:val="22"/>
              <w:ind w:firstLine="0"/>
              <w:rPr>
                <w:rFonts w:hint="eastAsia" w:hAnsi="宋体" w:cs="宋体"/>
                <w:color w:val="auto"/>
                <w:highlight w:val="none"/>
              </w:rPr>
            </w:pPr>
            <w:r>
              <w:rPr>
                <w:rFonts w:hint="eastAsia" w:hAnsi="宋体" w:cs="宋体"/>
                <w:color w:val="auto"/>
                <w:highlight w:val="none"/>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w:t>
            </w:r>
            <w:r>
              <w:rPr>
                <w:rFonts w:hint="eastAsia" w:hAnsi="宋体" w:cs="宋体"/>
                <w:color w:val="auto"/>
                <w:highlight w:val="none"/>
                <w:lang w:val="en-US" w:eastAsia="zh-CN"/>
              </w:rPr>
              <w:t>人</w:t>
            </w:r>
            <w:r>
              <w:rPr>
                <w:rFonts w:hint="eastAsia" w:hAnsi="宋体" w:cs="宋体"/>
                <w:color w:val="auto"/>
                <w:highlight w:val="none"/>
              </w:rPr>
              <w:t>自行承担责任。</w:t>
            </w:r>
          </w:p>
          <w:p>
            <w:pPr>
              <w:pStyle w:val="22"/>
              <w:ind w:firstLine="0"/>
              <w:rPr>
                <w:rFonts w:hint="eastAsia" w:hAnsi="宋体" w:cs="宋体"/>
                <w:b/>
                <w:bCs/>
                <w:color w:val="auto"/>
                <w:highlight w:val="none"/>
              </w:rPr>
            </w:pPr>
            <w:r>
              <w:rPr>
                <w:rFonts w:hint="eastAsia" w:hAnsi="宋体" w:cs="宋体"/>
                <w:b/>
                <w:bCs/>
                <w:color w:val="auto"/>
                <w:highlight w:val="none"/>
              </w:rPr>
              <w:t>（2）电子保函线上缴纳方式：</w:t>
            </w:r>
          </w:p>
          <w:p>
            <w:pPr>
              <w:pStyle w:val="22"/>
              <w:ind w:firstLine="0"/>
              <w:rPr>
                <w:rFonts w:hint="eastAsia" w:hAnsi="宋体" w:cs="宋体"/>
                <w:color w:val="auto"/>
                <w:highlight w:val="none"/>
              </w:rPr>
            </w:pPr>
            <w:r>
              <w:rPr>
                <w:rFonts w:hint="eastAsia" w:hAnsi="宋体" w:cs="宋体"/>
                <w:color w:val="auto"/>
                <w:highlight w:val="none"/>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pPr>
              <w:pStyle w:val="22"/>
              <w:ind w:firstLine="0"/>
              <w:rPr>
                <w:rFonts w:hint="eastAsia" w:hAnsi="宋体" w:cs="宋体"/>
                <w:color w:val="auto"/>
                <w:highlight w:val="none"/>
              </w:rPr>
            </w:pPr>
            <w:r>
              <w:rPr>
                <w:rFonts w:hint="eastAsia" w:hAnsi="宋体" w:cs="宋体"/>
                <w:color w:val="auto"/>
                <w:highlight w:val="none"/>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pPr>
              <w:pStyle w:val="22"/>
              <w:ind w:firstLineChars="200"/>
              <w:rPr>
                <w:rFonts w:hint="eastAsia" w:hAnsi="宋体" w:cs="宋体"/>
                <w:color w:val="auto"/>
                <w:highlight w:val="none"/>
              </w:rPr>
            </w:pPr>
            <w:r>
              <w:rPr>
                <w:rFonts w:hint="eastAsia" w:hAnsi="宋体" w:cs="宋体"/>
                <w:color w:val="auto"/>
                <w:highlight w:val="none"/>
              </w:rPr>
              <w:t>具体操作可访问广咨电子招投标交易平台：平台服务》办事指引》电子保函方式缴纳保证金。</w:t>
            </w:r>
          </w:p>
          <w:p>
            <w:pPr>
              <w:pStyle w:val="22"/>
              <w:ind w:firstLine="0"/>
              <w:rPr>
                <w:rFonts w:hint="eastAsia" w:hAnsi="宋体" w:cs="宋体"/>
                <w:color w:val="auto"/>
                <w:highlight w:val="none"/>
              </w:rPr>
            </w:pPr>
            <w:r>
              <w:rPr>
                <w:rFonts w:hint="eastAsia" w:hAnsi="宋体" w:cs="宋体"/>
                <w:color w:val="auto"/>
                <w:highlight w:val="none"/>
              </w:rPr>
              <w:t>（投标保证金缴纳指南具体见：广咨电子招投标交易平台网站（www.gzebid.cn）首页&gt;平台服务&gt;办事指南&gt;广咨电子招投标交易平台网上缴纳投标保证金说明，咨询热线电话：</w:t>
            </w:r>
            <w:r>
              <w:rPr>
                <w:rFonts w:hint="eastAsia" w:hAnsi="宋体" w:cs="宋体"/>
                <w:color w:val="auto"/>
                <w:highlight w:val="none"/>
                <w:lang w:eastAsia="zh-CN"/>
              </w:rPr>
              <w:t>400-9030-870</w:t>
            </w:r>
            <w:r>
              <w:rPr>
                <w:rFonts w:hint="eastAsia" w:hAnsi="宋体" w:cs="宋体"/>
                <w:color w:val="auto"/>
                <w:highlight w:val="none"/>
              </w:rPr>
              <w:t xml:space="preserve"> 网站客服(QQ)：3151435402。）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22"/>
              <w:ind w:left="-466" w:leftChars="-222" w:right="42" w:rightChars="20" w:firstLine="464" w:firstLineChars="221"/>
              <w:jc w:val="center"/>
              <w:rPr>
                <w:rFonts w:hAnsi="宋体" w:cs="宋体"/>
                <w:color w:val="auto"/>
                <w:highlight w:val="none"/>
              </w:rPr>
            </w:pPr>
            <w:r>
              <w:rPr>
                <w:rFonts w:hint="eastAsia" w:hAnsi="宋体" w:cs="宋体"/>
                <w:color w:val="auto"/>
                <w:highlight w:val="none"/>
              </w:rPr>
              <w:t>10</w:t>
            </w:r>
          </w:p>
        </w:tc>
        <w:tc>
          <w:tcPr>
            <w:tcW w:w="8443" w:type="dxa"/>
            <w:noWrap w:val="0"/>
            <w:vAlign w:val="top"/>
          </w:tcPr>
          <w:p>
            <w:pPr>
              <w:pStyle w:val="22"/>
              <w:ind w:left="1265" w:hanging="1265"/>
              <w:rPr>
                <w:rFonts w:hint="eastAsia" w:hAnsi="宋体" w:cs="宋体"/>
                <w:color w:val="auto"/>
                <w:highlight w:val="none"/>
              </w:rPr>
            </w:pPr>
            <w:r>
              <w:rPr>
                <w:rFonts w:hint="eastAsia" w:hAnsi="宋体" w:cs="宋体"/>
                <w:color w:val="auto"/>
                <w:highlight w:val="none"/>
              </w:rPr>
              <w:t>投标截止时间：</w:t>
            </w:r>
            <w:r>
              <w:rPr>
                <w:rFonts w:hint="eastAsia" w:hAnsi="宋体" w:cs="宋体"/>
                <w:color w:val="auto"/>
                <w:highlight w:val="none"/>
                <w:u w:val="single"/>
              </w:rPr>
              <w:t>详见投标邀请函</w:t>
            </w:r>
          </w:p>
          <w:p>
            <w:pPr>
              <w:pStyle w:val="22"/>
              <w:ind w:firstLine="0"/>
              <w:rPr>
                <w:rFonts w:hint="eastAsia" w:hAnsi="宋体" w:cs="宋体"/>
                <w:color w:val="auto"/>
                <w:highlight w:val="none"/>
              </w:rPr>
            </w:pPr>
            <w:r>
              <w:rPr>
                <w:rFonts w:hint="eastAsia" w:hAnsi="宋体" w:cs="宋体"/>
                <w:color w:val="auto"/>
                <w:highlight w:val="none"/>
              </w:rPr>
              <w:t>投标文件递交地址：</w:t>
            </w:r>
            <w:r>
              <w:rPr>
                <w:rFonts w:hint="eastAsia" w:hAnsi="宋体" w:cs="宋体"/>
                <w:color w:val="auto"/>
                <w:highlight w:val="none"/>
                <w:u w:val="single"/>
              </w:rPr>
              <w:t>详见投标邀请函</w:t>
            </w:r>
            <w:r>
              <w:rPr>
                <w:rFonts w:hint="eastAsia"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3" w:type="dxa"/>
            <w:noWrap w:val="0"/>
            <w:vAlign w:val="center"/>
          </w:tcPr>
          <w:p>
            <w:pPr>
              <w:pStyle w:val="22"/>
              <w:ind w:left="-466" w:leftChars="-222" w:right="42" w:rightChars="20" w:firstLine="464" w:firstLineChars="221"/>
              <w:jc w:val="center"/>
              <w:rPr>
                <w:rFonts w:hAnsi="宋体" w:cs="宋体"/>
                <w:color w:val="auto"/>
                <w:highlight w:val="none"/>
              </w:rPr>
            </w:pPr>
            <w:r>
              <w:rPr>
                <w:rFonts w:hint="eastAsia" w:hAnsi="宋体" w:cs="宋体"/>
                <w:color w:val="auto"/>
                <w:highlight w:val="none"/>
              </w:rPr>
              <w:t>11</w:t>
            </w:r>
          </w:p>
        </w:tc>
        <w:tc>
          <w:tcPr>
            <w:tcW w:w="8443" w:type="dxa"/>
            <w:noWrap w:val="0"/>
            <w:vAlign w:val="top"/>
          </w:tcPr>
          <w:p>
            <w:pPr>
              <w:pStyle w:val="22"/>
              <w:ind w:left="1265" w:hanging="1265"/>
              <w:rPr>
                <w:rFonts w:hint="eastAsia" w:hAnsi="宋体" w:cs="宋体"/>
                <w:color w:val="auto"/>
                <w:highlight w:val="none"/>
              </w:rPr>
            </w:pPr>
            <w:r>
              <w:rPr>
                <w:rFonts w:hint="eastAsia" w:hAnsi="宋体" w:cs="宋体"/>
                <w:color w:val="auto"/>
                <w:highlight w:val="none"/>
              </w:rPr>
              <w:t>开标时间：</w:t>
            </w:r>
            <w:r>
              <w:rPr>
                <w:rFonts w:hint="eastAsia" w:hAnsi="宋体" w:cs="宋体"/>
                <w:color w:val="auto"/>
                <w:highlight w:val="none"/>
                <w:u w:val="single"/>
              </w:rPr>
              <w:t>详见投标邀请函</w:t>
            </w:r>
          </w:p>
          <w:p>
            <w:pPr>
              <w:pStyle w:val="22"/>
              <w:ind w:left="1265" w:hanging="1265"/>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详见投标邀请函</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12</w:t>
            </w:r>
          </w:p>
        </w:tc>
        <w:tc>
          <w:tcPr>
            <w:tcW w:w="8443" w:type="dxa"/>
            <w:noWrap w:val="0"/>
            <w:vAlign w:val="top"/>
          </w:tcPr>
          <w:p>
            <w:pPr>
              <w:spacing w:line="360" w:lineRule="auto"/>
              <w:ind w:left="-359" w:leftChars="-171" w:firstLine="359" w:firstLineChars="171"/>
              <w:rPr>
                <w:rFonts w:hint="eastAsia" w:ascii="宋体" w:hAnsi="宋体" w:cs="宋体"/>
                <w:color w:val="auto"/>
                <w:highlight w:val="none"/>
              </w:rPr>
            </w:pPr>
            <w:r>
              <w:rPr>
                <w:rFonts w:hint="eastAsia" w:ascii="宋体" w:hAnsi="宋体" w:cs="宋体"/>
                <w:color w:val="auto"/>
                <w:highlight w:val="none"/>
              </w:rPr>
              <w:t>招 标 人：广东南方报业传媒集团物业管理有限公司</w:t>
            </w:r>
          </w:p>
          <w:p>
            <w:pPr>
              <w:spacing w:line="360" w:lineRule="auto"/>
              <w:ind w:left="-359" w:leftChars="-171" w:firstLine="359" w:firstLineChars="171"/>
              <w:rPr>
                <w:rFonts w:hint="eastAsia" w:ascii="宋体" w:hAnsi="宋体" w:cs="宋体"/>
                <w:color w:val="auto"/>
                <w:highlight w:val="none"/>
              </w:rPr>
            </w:pPr>
            <w:r>
              <w:rPr>
                <w:rFonts w:hint="eastAsia" w:ascii="宋体" w:hAnsi="宋体" w:cs="宋体"/>
                <w:color w:val="auto"/>
                <w:highlight w:val="none"/>
              </w:rPr>
              <w:t>地    址：广东省广州市越秀区广州大道中289号</w:t>
            </w:r>
          </w:p>
          <w:p>
            <w:pPr>
              <w:spacing w:line="360" w:lineRule="auto"/>
              <w:ind w:left="-359" w:leftChars="-171" w:firstLine="359" w:firstLineChars="171"/>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lang w:val="en-US" w:eastAsia="zh-CN"/>
              </w:rPr>
              <w:t>谢先生</w:t>
            </w:r>
          </w:p>
          <w:p>
            <w:pPr>
              <w:spacing w:line="360" w:lineRule="auto"/>
              <w:ind w:left="-359" w:leftChars="-171" w:firstLine="359" w:firstLineChars="171"/>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 xml:space="preserve">电  </w:t>
            </w:r>
            <w:r>
              <w:rPr>
                <w:rFonts w:hint="eastAsia" w:ascii="宋体" w:hAnsi="宋体" w:eastAsia="宋体" w:cs="宋体"/>
                <w:color w:val="auto"/>
                <w:highlight w:val="none"/>
                <w:lang w:val="en-US" w:eastAsia="zh-CN"/>
              </w:rPr>
              <w:t xml:space="preserve">话：020-83003053  </w:t>
            </w:r>
            <w:r>
              <w:rPr>
                <w:rFonts w:hint="eastAsia" w:ascii="宋体" w:hAnsi="宋体" w:cs="宋体"/>
                <w:color w:val="auto"/>
                <w:highlight w:val="none"/>
                <w:lang w:val="en-US" w:eastAsia="zh-CN"/>
              </w:rPr>
              <w:t>13570352336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noWrap w:val="0"/>
            <w:vAlign w:val="center"/>
          </w:tcPr>
          <w:p>
            <w:pPr>
              <w:pStyle w:val="22"/>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13</w:t>
            </w:r>
          </w:p>
        </w:tc>
        <w:tc>
          <w:tcPr>
            <w:tcW w:w="8443" w:type="dxa"/>
            <w:noWrap w:val="0"/>
            <w:vAlign w:val="top"/>
          </w:tcPr>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招标代理机构名称：广东省机电设备招标有限公司</w:t>
            </w:r>
          </w:p>
          <w:p>
            <w:pPr>
              <w:spacing w:line="360" w:lineRule="auto"/>
              <w:ind w:left="-359" w:leftChars="-171" w:firstLine="359" w:firstLineChars="171"/>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联系人：胡小姐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刘先生</w:t>
            </w:r>
          </w:p>
          <w:p>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020-</w:t>
            </w:r>
            <w:r>
              <w:rPr>
                <w:rFonts w:hint="eastAsia" w:ascii="宋体" w:hAnsi="宋体" w:cs="宋体"/>
                <w:color w:val="auto"/>
                <w:szCs w:val="21"/>
                <w:highlight w:val="none"/>
              </w:rPr>
              <w:t>83544332</w:t>
            </w:r>
          </w:p>
          <w:p>
            <w:pPr>
              <w:spacing w:line="360" w:lineRule="auto"/>
              <w:ind w:left="-359" w:leftChars="-171" w:firstLine="359" w:firstLineChars="171"/>
              <w:rPr>
                <w:rFonts w:hint="eastAsia" w:ascii="宋体" w:hAnsi="宋体" w:eastAsia="宋体" w:cs="宋体"/>
                <w:color w:val="auto"/>
                <w:highlight w:val="none"/>
                <w:lang w:eastAsia="zh-CN"/>
              </w:rPr>
            </w:pPr>
            <w:r>
              <w:rPr>
                <w:rFonts w:hint="eastAsia" w:ascii="宋体" w:hAnsi="宋体" w:cs="宋体"/>
                <w:color w:val="auto"/>
                <w:szCs w:val="21"/>
                <w:highlight w:val="none"/>
              </w:rPr>
              <w:t>电子邮件：</w:t>
            </w:r>
            <w:r>
              <w:rPr>
                <w:rFonts w:hint="eastAsia" w:ascii="宋体" w:hAnsi="宋体" w:cs="宋体"/>
                <w:color w:val="auto"/>
                <w:szCs w:val="21"/>
                <w:highlight w:val="none"/>
                <w:lang w:eastAsia="zh-CN"/>
              </w:rPr>
              <w:t>jdzbhu@163.com</w:t>
            </w:r>
          </w:p>
        </w:tc>
      </w:tr>
    </w:tbl>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bookmarkEnd w:id="49"/>
    <w:bookmarkEnd w:id="50"/>
    <w:bookmarkEnd w:id="51"/>
    <w:bookmarkEnd w:id="52"/>
    <w:p>
      <w:pPr>
        <w:pStyle w:val="5"/>
        <w:numPr>
          <w:ilvl w:val="0"/>
          <w:numId w:val="0"/>
        </w:numPr>
        <w:ind w:left="422"/>
        <w:jc w:val="center"/>
        <w:rPr>
          <w:rFonts w:hint="eastAsia" w:hAnsi="宋体" w:cs="宋体"/>
          <w:b w:val="0"/>
          <w:bCs/>
          <w:color w:val="auto"/>
          <w:highlight w:val="none"/>
        </w:rPr>
      </w:pPr>
      <w:bookmarkStart w:id="53" w:name="_Toc513818901"/>
      <w:r>
        <w:rPr>
          <w:rFonts w:hint="eastAsia" w:hAnsi="宋体" w:cs="宋体"/>
          <w:color w:val="auto"/>
          <w:highlight w:val="none"/>
        </w:rPr>
        <w:t>一、总则</w:t>
      </w:r>
      <w:bookmarkEnd w:id="53"/>
    </w:p>
    <w:p>
      <w:pPr>
        <w:spacing w:line="360" w:lineRule="auto"/>
        <w:rPr>
          <w:rFonts w:hint="eastAsia" w:ascii="宋体" w:hAnsi="宋体" w:cs="宋体"/>
          <w:b/>
          <w:bCs/>
          <w:color w:val="auto"/>
          <w:highlight w:val="none"/>
        </w:rPr>
      </w:pPr>
      <w:r>
        <w:rPr>
          <w:rFonts w:hint="eastAsia" w:ascii="宋体" w:hAnsi="宋体" w:cs="宋体"/>
          <w:b/>
          <w:bCs/>
          <w:color w:val="auto"/>
          <w:highlight w:val="none"/>
        </w:rPr>
        <w:t>1、项目说明</w:t>
      </w:r>
    </w:p>
    <w:p>
      <w:pPr>
        <w:spacing w:line="360" w:lineRule="auto"/>
        <w:rPr>
          <w:rFonts w:hint="eastAsia" w:ascii="宋体" w:hAnsi="宋体" w:cs="宋体"/>
          <w:color w:val="auto"/>
          <w:highlight w:val="none"/>
        </w:rPr>
      </w:pPr>
      <w:r>
        <w:rPr>
          <w:rFonts w:hint="eastAsia" w:ascii="宋体" w:hAnsi="宋体" w:cs="宋体"/>
          <w:color w:val="auto"/>
          <w:highlight w:val="none"/>
        </w:rPr>
        <w:t>1.1项目说明</w:t>
      </w:r>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广东省机电设备招标有限公司（以下简称“招标代理机构”）受广东南方报业传媒集团物业管理有限公司委托（以下简称“招标人”），就“</w:t>
      </w:r>
      <w:r>
        <w:rPr>
          <w:rFonts w:hint="eastAsia" w:ascii="宋体" w:hAnsi="宋体" w:cs="宋体"/>
          <w:b/>
          <w:bCs/>
          <w:color w:val="auto"/>
          <w:highlight w:val="none"/>
          <w:lang w:eastAsia="zh-CN"/>
        </w:rPr>
        <w:t>深圳分社新址装修项目（机电设备部分）</w:t>
      </w:r>
      <w:r>
        <w:rPr>
          <w:rFonts w:hint="eastAsia" w:ascii="宋体" w:hAnsi="宋体" w:cs="宋体"/>
          <w:color w:val="auto"/>
          <w:highlight w:val="none"/>
        </w:rPr>
        <w:t>”</w:t>
      </w:r>
      <w:r>
        <w:rPr>
          <w:rFonts w:hint="eastAsia" w:ascii="宋体" w:hAnsi="宋体" w:cs="宋体"/>
          <w:bCs/>
          <w:color w:val="auto"/>
          <w:highlight w:val="none"/>
        </w:rPr>
        <w:t>进行国内公开招标。</w:t>
      </w:r>
    </w:p>
    <w:p>
      <w:pPr>
        <w:spacing w:line="360" w:lineRule="auto"/>
        <w:rPr>
          <w:rFonts w:hint="eastAsia" w:ascii="宋体" w:hAnsi="宋体" w:cs="宋体"/>
          <w:color w:val="auto"/>
          <w:highlight w:val="none"/>
        </w:rPr>
      </w:pPr>
      <w:bookmarkStart w:id="54" w:name="_Toc409173217"/>
      <w:bookmarkStart w:id="55" w:name="_Toc409173103"/>
      <w:r>
        <w:rPr>
          <w:rFonts w:hint="eastAsia" w:ascii="宋体" w:hAnsi="宋体" w:cs="宋体"/>
          <w:color w:val="auto"/>
          <w:highlight w:val="none"/>
        </w:rPr>
        <w:t>1.2资金来源</w:t>
      </w:r>
      <w:bookmarkEnd w:id="54"/>
      <w:bookmarkEnd w:id="55"/>
    </w:p>
    <w:p>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自筹资金</w:t>
      </w:r>
    </w:p>
    <w:p>
      <w:pPr>
        <w:spacing w:line="360" w:lineRule="auto"/>
        <w:rPr>
          <w:rFonts w:hint="eastAsia" w:ascii="宋体" w:hAnsi="宋体" w:cs="宋体"/>
          <w:color w:val="auto"/>
          <w:highlight w:val="none"/>
        </w:rPr>
      </w:pPr>
      <w:r>
        <w:rPr>
          <w:rFonts w:hint="eastAsia" w:ascii="宋体" w:hAnsi="宋体" w:cs="宋体"/>
          <w:color w:val="auto"/>
          <w:highlight w:val="none"/>
        </w:rPr>
        <w:t>1.3招标方式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公开招标方式</w:t>
      </w:r>
    </w:p>
    <w:p>
      <w:pPr>
        <w:spacing w:line="360" w:lineRule="auto"/>
        <w:jc w:val="left"/>
        <w:rPr>
          <w:rFonts w:hint="eastAsia" w:ascii="宋体" w:hAnsi="宋体" w:cs="宋体"/>
          <w:color w:val="auto"/>
          <w:highlight w:val="none"/>
        </w:rPr>
      </w:pPr>
      <w:r>
        <w:rPr>
          <w:rFonts w:hint="eastAsia" w:ascii="宋体" w:hAnsi="宋体" w:cs="宋体"/>
          <w:color w:val="auto"/>
          <w:highlight w:val="none"/>
        </w:rPr>
        <w:t>1.4招标项目</w:t>
      </w:r>
    </w:p>
    <w:p>
      <w:pPr>
        <w:spacing w:line="360" w:lineRule="auto"/>
        <w:ind w:firstLine="422" w:firstLineChars="200"/>
        <w:rPr>
          <w:rFonts w:hint="eastAsia" w:ascii="宋体" w:hAnsi="宋体" w:cs="宋体"/>
          <w:b/>
          <w:color w:val="auto"/>
          <w:highlight w:val="none"/>
          <w:u w:val="single"/>
        </w:rPr>
      </w:pPr>
      <w:r>
        <w:rPr>
          <w:rFonts w:hint="eastAsia" w:ascii="宋体" w:hAnsi="宋体" w:cs="宋体"/>
          <w:b/>
          <w:color w:val="auto"/>
          <w:highlight w:val="none"/>
          <w:u w:val="single"/>
          <w:lang w:eastAsia="zh-CN"/>
        </w:rPr>
        <w:t>深圳分社新址装修项目（机电设备部分）</w:t>
      </w:r>
      <w:r>
        <w:rPr>
          <w:rFonts w:hint="eastAsia" w:ascii="宋体" w:hAnsi="宋体" w:cs="宋体"/>
          <w:b/>
          <w:color w:val="auto"/>
          <w:highlight w:val="none"/>
          <w:u w:val="single"/>
        </w:rPr>
        <w:t>（下称“本项目”）</w:t>
      </w:r>
    </w:p>
    <w:p>
      <w:pPr>
        <w:tabs>
          <w:tab w:val="left" w:pos="720"/>
        </w:tabs>
        <w:spacing w:line="360" w:lineRule="auto"/>
        <w:ind w:firstLine="210" w:firstLineChars="100"/>
        <w:rPr>
          <w:rFonts w:hint="eastAsia" w:ascii="宋体" w:hAnsi="宋体" w:cs="宋体"/>
          <w:b/>
          <w:color w:val="auto"/>
          <w:sz w:val="24"/>
          <w:highlight w:val="none"/>
        </w:rPr>
      </w:pPr>
      <w:r>
        <w:rPr>
          <w:rFonts w:hint="eastAsia" w:ascii="宋体" w:hAnsi="宋体" w:cs="宋体"/>
          <w:color w:val="auto"/>
          <w:highlight w:val="none"/>
        </w:rPr>
        <w:t>（详细内容请参阅招标文件中“用户需求书”的相关内容）</w:t>
      </w:r>
    </w:p>
    <w:p>
      <w:pPr>
        <w:tabs>
          <w:tab w:val="left" w:pos="720"/>
        </w:tabs>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2、</w:t>
      </w:r>
      <w:r>
        <w:rPr>
          <w:rFonts w:hint="eastAsia" w:ascii="宋体" w:hAnsi="宋体" w:cs="宋体"/>
          <w:b/>
          <w:bCs/>
          <w:color w:val="auto"/>
          <w:highlight w:val="none"/>
        </w:rPr>
        <w:t>定义及解释</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业主/招标人/甲方/使用单位/采购人/用户：均指广东南方报业传媒集团物业管理有限公司；招标代理机构：</w:t>
      </w:r>
      <w:r>
        <w:rPr>
          <w:rFonts w:hint="eastAsia" w:ascii="宋体" w:hAnsi="宋体" w:cs="宋体"/>
          <w:color w:val="auto"/>
          <w:szCs w:val="21"/>
          <w:highlight w:val="none"/>
        </w:rPr>
        <w:t>广东省机电设备招标有限公司。</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 xml:space="preserve"> 投标人/供应商：指</w:t>
      </w:r>
      <w:r>
        <w:rPr>
          <w:rFonts w:hint="eastAsia" w:ascii="宋体" w:hAnsi="宋体" w:cs="宋体"/>
          <w:color w:val="auto"/>
          <w:spacing w:val="8"/>
          <w:szCs w:val="21"/>
          <w:highlight w:val="none"/>
        </w:rPr>
        <w:t>响应招标、参加投标竞争的法人或者其他组织</w:t>
      </w:r>
      <w:r>
        <w:rPr>
          <w:rFonts w:hint="eastAsia" w:ascii="宋体" w:hAnsi="宋体" w:cs="宋体"/>
          <w:color w:val="auto"/>
          <w:highlight w:val="none"/>
        </w:rPr>
        <w:t>。</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评标委员会：评标委员会是依法组织的专门负责本次招标及评标工作的临时性机构。</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日期：是指公历日。</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合同：指本次招标所产生的合同或合约文件。</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招标文件中的标题或标名仅起引导作用，而不应视为对招标文件内容的理解和解释。</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eastAsia="zh-CN"/>
        </w:rPr>
        <w:t>招标人</w:t>
      </w:r>
      <w:r>
        <w:rPr>
          <w:rFonts w:hint="eastAsia" w:ascii="宋体" w:hAnsi="宋体" w:cs="宋体"/>
          <w:color w:val="auto"/>
          <w:highlight w:val="none"/>
        </w:rPr>
        <w:t>”、“投标人”、“成员”和“各方”等人或有关组织的用词均是指依法成立的公司、组织或行政事业单位下属机构。根据上下文的需要，这些用词的单复数具有相同的定义。</w:t>
      </w:r>
    </w:p>
    <w:p>
      <w:pPr>
        <w:spacing w:line="360" w:lineRule="auto"/>
        <w:ind w:left="630" w:hanging="630" w:hangingChars="3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招标文件中所规定的“书面形式”，是指任何手写的、打印的或印刷的通讯，包括</w:t>
      </w:r>
      <w:r>
        <w:rPr>
          <w:rFonts w:hint="eastAsia" w:ascii="宋体" w:hAnsi="宋体" w:cs="宋体"/>
          <w:color w:val="auto"/>
          <w:highlight w:val="none"/>
          <w:lang w:val="en-US" w:eastAsia="zh-CN"/>
        </w:rPr>
        <w:t>电子邮件</w:t>
      </w:r>
      <w:r>
        <w:rPr>
          <w:rFonts w:hint="eastAsia" w:ascii="宋体" w:hAnsi="宋体" w:cs="宋体"/>
          <w:color w:val="auto"/>
          <w:highlight w:val="none"/>
        </w:rPr>
        <w:t>发送。</w:t>
      </w:r>
    </w:p>
    <w:p>
      <w:pPr>
        <w:spacing w:line="360" w:lineRule="auto"/>
        <w:ind w:left="422" w:hanging="422" w:hangingChars="200"/>
        <w:rPr>
          <w:rFonts w:hint="eastAsia" w:ascii="宋体" w:hAnsi="宋体" w:cs="宋体"/>
          <w:b/>
          <w:color w:val="auto"/>
          <w:highlight w:val="none"/>
        </w:rPr>
      </w:pPr>
      <w:r>
        <w:rPr>
          <w:rFonts w:hint="eastAsia" w:ascii="宋体" w:hAnsi="宋体" w:cs="宋体"/>
          <w:b/>
          <w:color w:val="auto"/>
          <w:highlight w:val="none"/>
        </w:rPr>
        <w:t>3、合格的投标人</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3.1与本项目招标公告（或投标人须知前附表）中合格投标人资格条件一致。</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4、纪律与保密事项</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4.1凡参与招标工作的有关人员均应自觉接受有关主管部门的监督，不得向他人透露已获得招标文件的潜在投标人的名称、数量以及可能影响公平竞争的有关招投标的其他情况。</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4.2开标后，直至向乙方发出《中标通知书》时止，凡与审查、澄清、评价和比较投标的有关资料以及授标意见等，参与招标工作的有关人员均不得向投标人及与评标无关的其他人透露。</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4.3除投标人被要求对投标文件进行澄清外，从开标之日起至授予合同期间，投标人不得就与其投标文件有关的事项主动与评标委员会及</w:t>
      </w:r>
      <w:r>
        <w:rPr>
          <w:rFonts w:hint="eastAsia" w:ascii="宋体" w:hAnsi="宋体" w:cs="宋体"/>
          <w:color w:val="auto"/>
          <w:highlight w:val="none"/>
          <w:lang w:eastAsia="zh-CN"/>
        </w:rPr>
        <w:t>招标人</w:t>
      </w:r>
      <w:r>
        <w:rPr>
          <w:rFonts w:hint="eastAsia" w:ascii="宋体" w:hAnsi="宋体" w:cs="宋体"/>
          <w:color w:val="auto"/>
          <w:highlight w:val="none"/>
        </w:rPr>
        <w:t>联系。</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4.4从开标之日起至授予合同期间，投标人试图在投标文件审查、澄清、比较和评价时对评标委员会施加任何影响或对</w:t>
      </w:r>
      <w:r>
        <w:rPr>
          <w:rFonts w:hint="eastAsia" w:ascii="宋体" w:hAnsi="宋体" w:cs="宋体"/>
          <w:color w:val="auto"/>
          <w:highlight w:val="none"/>
          <w:lang w:eastAsia="zh-CN"/>
        </w:rPr>
        <w:t>招标人</w:t>
      </w:r>
      <w:r>
        <w:rPr>
          <w:rFonts w:hint="eastAsia" w:ascii="宋体" w:hAnsi="宋体" w:cs="宋体"/>
          <w:color w:val="auto"/>
          <w:highlight w:val="none"/>
        </w:rPr>
        <w:t>的比较及授予合同的决定进行影响，都可能导致其投标文件被拒绝。</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4.5投标人不得串通作弊，以不正当的手段妨碍、排挤其他人，扰乱招标市场，破坏公平竞争原则。</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4.6获得本招标文件者，应对文件进行保密，不得用作本次投标以外的任何用途。若有要求，开标后，投标人应归还招标文件中的保密文件和资料。</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4.7由</w:t>
      </w:r>
      <w:r>
        <w:rPr>
          <w:rFonts w:hint="eastAsia" w:ascii="宋体" w:hAnsi="宋体" w:cs="宋体"/>
          <w:color w:val="auto"/>
          <w:highlight w:val="none"/>
          <w:lang w:val="en-US" w:eastAsia="zh-CN"/>
        </w:rPr>
        <w:t>招标人</w:t>
      </w:r>
      <w:r>
        <w:rPr>
          <w:rFonts w:hint="eastAsia" w:ascii="宋体" w:hAnsi="宋体" w:cs="宋体"/>
          <w:color w:val="auto"/>
          <w:highlight w:val="none"/>
        </w:rPr>
        <w:t>向投标人提供的</w:t>
      </w:r>
      <w:r>
        <w:rPr>
          <w:rFonts w:hint="eastAsia" w:ascii="宋体" w:hAnsi="宋体" w:cs="宋体"/>
          <w:color w:val="auto"/>
          <w:highlight w:val="none"/>
          <w:lang w:val="en-US" w:eastAsia="zh-CN"/>
        </w:rPr>
        <w:t>服务要求等相关</w:t>
      </w:r>
      <w:r>
        <w:rPr>
          <w:rFonts w:hint="eastAsia" w:ascii="宋体" w:hAnsi="宋体" w:cs="宋体"/>
          <w:color w:val="auto"/>
          <w:highlight w:val="none"/>
        </w:rPr>
        <w:t>资料，被视为保密资料，仅被用于它所规定的用途，除非得到</w:t>
      </w:r>
      <w:r>
        <w:rPr>
          <w:rFonts w:hint="eastAsia" w:ascii="宋体" w:hAnsi="宋体" w:cs="宋体"/>
          <w:color w:val="auto"/>
          <w:highlight w:val="none"/>
          <w:lang w:eastAsia="zh-CN"/>
        </w:rPr>
        <w:t>招标人</w:t>
      </w:r>
      <w:r>
        <w:rPr>
          <w:rFonts w:hint="eastAsia" w:ascii="宋体" w:hAnsi="宋体" w:cs="宋体"/>
          <w:color w:val="auto"/>
          <w:highlight w:val="none"/>
        </w:rPr>
        <w:t>或招标人的同意，不能向任何第三方透露。开标完成后，投标人应归还所有从</w:t>
      </w:r>
      <w:r>
        <w:rPr>
          <w:rFonts w:hint="eastAsia" w:ascii="宋体" w:hAnsi="宋体" w:cs="宋体"/>
          <w:color w:val="auto"/>
          <w:highlight w:val="none"/>
          <w:lang w:eastAsia="zh-CN"/>
        </w:rPr>
        <w:t>招标人</w:t>
      </w:r>
      <w:r>
        <w:rPr>
          <w:rFonts w:hint="eastAsia" w:ascii="宋体" w:hAnsi="宋体" w:cs="宋体"/>
          <w:color w:val="auto"/>
          <w:highlight w:val="none"/>
        </w:rPr>
        <w:t>处获得的保密资料。</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5、投标人须知</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5.1凡参加本次投标的投标人视为已充分认识和理解了任何与本项目有关的事项及各种困难情况。</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5.2 投标人应保证所提供给</w:t>
      </w:r>
      <w:r>
        <w:rPr>
          <w:rFonts w:hint="eastAsia" w:ascii="宋体" w:hAnsi="宋体" w:cs="宋体"/>
          <w:color w:val="auto"/>
          <w:highlight w:val="none"/>
          <w:lang w:eastAsia="zh-CN"/>
        </w:rPr>
        <w:t>招标人</w:t>
      </w:r>
      <w:r>
        <w:rPr>
          <w:rFonts w:hint="eastAsia" w:ascii="宋体" w:hAnsi="宋体" w:cs="宋体"/>
          <w:color w:val="auto"/>
          <w:highlight w:val="none"/>
        </w:rPr>
        <w:t>的资料和数据是真实的。</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6、投标费用</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6.1投标人应承担获取招标文件及所有与编写和提交投标文件有关的费用，不论投标的结果如何，</w:t>
      </w:r>
      <w:r>
        <w:rPr>
          <w:rFonts w:hint="eastAsia" w:ascii="宋体" w:hAnsi="宋体" w:cs="宋体"/>
          <w:color w:val="auto"/>
          <w:highlight w:val="none"/>
          <w:lang w:eastAsia="zh-CN"/>
        </w:rPr>
        <w:t>招标人</w:t>
      </w:r>
      <w:r>
        <w:rPr>
          <w:rFonts w:hint="eastAsia" w:ascii="宋体" w:hAnsi="宋体" w:cs="宋体"/>
          <w:color w:val="auto"/>
          <w:highlight w:val="none"/>
        </w:rPr>
        <w:t>在任何情况下均无义务和责任承担这些费用。</w:t>
      </w:r>
    </w:p>
    <w:p>
      <w:pPr>
        <w:pStyle w:val="5"/>
        <w:numPr>
          <w:ilvl w:val="0"/>
          <w:numId w:val="0"/>
        </w:numPr>
        <w:ind w:left="422"/>
        <w:jc w:val="center"/>
        <w:rPr>
          <w:rFonts w:hint="eastAsia" w:hAnsi="宋体" w:cs="宋体"/>
          <w:b w:val="0"/>
          <w:bCs/>
          <w:color w:val="auto"/>
          <w:highlight w:val="none"/>
        </w:rPr>
      </w:pPr>
      <w:bookmarkStart w:id="56" w:name="_Toc513818902"/>
      <w:bookmarkStart w:id="57" w:name="_Toc409173104"/>
      <w:bookmarkStart w:id="58" w:name="_Toc409173218"/>
      <w:r>
        <w:rPr>
          <w:rFonts w:hint="eastAsia" w:hAnsi="宋体" w:cs="宋体"/>
          <w:color w:val="auto"/>
          <w:highlight w:val="none"/>
        </w:rPr>
        <w:t>二、招标文件</w:t>
      </w:r>
      <w:bookmarkEnd w:id="56"/>
      <w:bookmarkEnd w:id="57"/>
      <w:bookmarkEnd w:id="58"/>
    </w:p>
    <w:p>
      <w:pPr>
        <w:spacing w:line="360" w:lineRule="auto"/>
        <w:ind w:left="542" w:hanging="542" w:hangingChars="257"/>
        <w:rPr>
          <w:rFonts w:hint="eastAsia" w:ascii="宋体" w:hAnsi="宋体" w:cs="宋体"/>
          <w:b/>
          <w:bCs/>
          <w:color w:val="auto"/>
          <w:highlight w:val="none"/>
        </w:rPr>
      </w:pPr>
      <w:r>
        <w:rPr>
          <w:rFonts w:hint="eastAsia" w:ascii="宋体" w:hAnsi="宋体" w:cs="宋体"/>
          <w:b/>
          <w:bCs/>
          <w:color w:val="auto"/>
          <w:highlight w:val="none"/>
        </w:rPr>
        <w:t>7、招标文件的构成</w:t>
      </w:r>
    </w:p>
    <w:p>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7.1本次招标的有关内容和要求在招标文件中均有说明。招标文件包括：</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第一章  投标邀请函</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第二章  投标人须知</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第三章  用户需求书</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第四章  合同格式</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第五章  投标文件格式</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第六章  评标办法</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8、招标文件的澄清</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8.1任何要求对招标文件进行澄清的投标人，均应以书面形式通知招标代理机构。招标代理机构对其在投标人须知规定的投标截止时间</w:t>
      </w:r>
      <w:r>
        <w:rPr>
          <w:rFonts w:hint="eastAsia" w:ascii="宋体" w:hAnsi="宋体" w:cs="宋体"/>
          <w:b/>
          <w:color w:val="auto"/>
          <w:highlight w:val="none"/>
          <w:u w:val="single"/>
        </w:rPr>
        <w:t>15日以前</w:t>
      </w:r>
      <w:r>
        <w:rPr>
          <w:rFonts w:hint="eastAsia" w:ascii="宋体" w:hAnsi="宋体" w:cs="宋体"/>
          <w:color w:val="auto"/>
          <w:highlight w:val="none"/>
        </w:rPr>
        <w:t>收到的对招标文件的澄清要求将以书面形式予以答复，同时将书面答复</w:t>
      </w:r>
      <w:r>
        <w:rPr>
          <w:rFonts w:hint="eastAsia" w:ascii="宋体" w:hAnsi="宋体" w:cs="宋体"/>
          <w:color w:val="auto"/>
          <w:highlight w:val="none"/>
          <w:lang w:val="en-US" w:eastAsia="zh-CN"/>
        </w:rPr>
        <w:t>发送</w:t>
      </w:r>
      <w:r>
        <w:rPr>
          <w:rFonts w:hint="eastAsia" w:ascii="宋体" w:hAnsi="宋体" w:cs="宋体"/>
          <w:color w:val="auto"/>
          <w:highlight w:val="none"/>
        </w:rPr>
        <w:t>给每个购买招标文件的投标人（答复中包括所有问题，但不包括问题的来源）。</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8.2对于投标</w:t>
      </w:r>
      <w:r>
        <w:rPr>
          <w:rFonts w:hint="eastAsia" w:ascii="宋体" w:hAnsi="宋体" w:cs="宋体"/>
          <w:color w:val="auto"/>
          <w:highlight w:val="none"/>
          <w:lang w:eastAsia="zh-CN"/>
        </w:rPr>
        <w:t>人</w:t>
      </w:r>
      <w:r>
        <w:rPr>
          <w:rFonts w:hint="eastAsia" w:ascii="宋体" w:hAnsi="宋体" w:cs="宋体"/>
          <w:color w:val="auto"/>
          <w:highlight w:val="none"/>
        </w:rPr>
        <w:t>澄清要求的回复，招标代理机构均将以书面形式或</w:t>
      </w:r>
      <w:r>
        <w:rPr>
          <w:rFonts w:hint="eastAsia" w:ascii="宋体" w:hAnsi="宋体" w:cs="宋体"/>
          <w:color w:val="auto"/>
          <w:highlight w:val="none"/>
          <w:u w:val="single"/>
        </w:rPr>
        <w:t>指定网站及媒体上</w:t>
      </w:r>
      <w:r>
        <w:rPr>
          <w:rFonts w:hint="eastAsia" w:ascii="宋体" w:hAnsi="宋体" w:cs="宋体"/>
          <w:color w:val="auto"/>
          <w:highlight w:val="none"/>
        </w:rPr>
        <w:t>发布的信息通知所有投标</w:t>
      </w:r>
      <w:r>
        <w:rPr>
          <w:rFonts w:hint="eastAsia" w:ascii="宋体" w:hAnsi="宋体" w:cs="宋体"/>
          <w:color w:val="auto"/>
          <w:highlight w:val="none"/>
          <w:lang w:eastAsia="zh-CN"/>
        </w:rPr>
        <w:t>人</w:t>
      </w:r>
      <w:r>
        <w:rPr>
          <w:rFonts w:hint="eastAsia" w:ascii="宋体" w:hAnsi="宋体" w:cs="宋体"/>
          <w:color w:val="auto"/>
          <w:highlight w:val="none"/>
        </w:rPr>
        <w:t>，凡在上述网上发布的信息，与招标文件具有同等法律效力，将被视为对所有投标</w:t>
      </w:r>
      <w:r>
        <w:rPr>
          <w:rFonts w:hint="eastAsia" w:ascii="宋体" w:hAnsi="宋体" w:cs="宋体"/>
          <w:color w:val="auto"/>
          <w:highlight w:val="none"/>
          <w:lang w:val="en-US" w:eastAsia="zh-CN"/>
        </w:rPr>
        <w:t>人</w:t>
      </w:r>
      <w:r>
        <w:rPr>
          <w:rFonts w:hint="eastAsia" w:ascii="宋体" w:hAnsi="宋体" w:cs="宋体"/>
          <w:color w:val="auto"/>
          <w:highlight w:val="none"/>
        </w:rPr>
        <w:t>进行了有效通知。</w:t>
      </w:r>
    </w:p>
    <w:p>
      <w:pPr>
        <w:tabs>
          <w:tab w:val="left" w:pos="720"/>
        </w:tabs>
        <w:spacing w:line="360" w:lineRule="auto"/>
        <w:rPr>
          <w:rFonts w:hint="eastAsia" w:ascii="宋体" w:hAnsi="宋体" w:cs="宋体"/>
          <w:b/>
          <w:bCs/>
          <w:color w:val="auto"/>
          <w:highlight w:val="none"/>
        </w:rPr>
      </w:pPr>
      <w:r>
        <w:rPr>
          <w:rFonts w:hint="eastAsia" w:ascii="宋体" w:hAnsi="宋体" w:cs="宋体"/>
          <w:b/>
          <w:bCs/>
          <w:color w:val="auto"/>
          <w:highlight w:val="none"/>
        </w:rPr>
        <w:t>9、招标文件的修改</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9.1在截止投标时间</w:t>
      </w:r>
      <w:r>
        <w:rPr>
          <w:rFonts w:hint="eastAsia" w:ascii="宋体" w:hAnsi="宋体" w:cs="宋体"/>
          <w:b/>
          <w:color w:val="auto"/>
          <w:highlight w:val="none"/>
          <w:u w:val="single"/>
        </w:rPr>
        <w:t>15日前</w:t>
      </w:r>
      <w:r>
        <w:rPr>
          <w:rFonts w:hint="eastAsia" w:ascii="宋体" w:hAnsi="宋体" w:cs="宋体"/>
          <w:color w:val="auto"/>
          <w:highlight w:val="none"/>
        </w:rPr>
        <w:t>的任何时候，无论出于何种原因，</w:t>
      </w:r>
      <w:r>
        <w:rPr>
          <w:rFonts w:hint="eastAsia" w:ascii="宋体" w:hAnsi="宋体" w:cs="宋体"/>
          <w:color w:val="auto"/>
          <w:highlight w:val="none"/>
          <w:lang w:eastAsia="zh-CN"/>
        </w:rPr>
        <w:t>招标人</w:t>
      </w:r>
      <w:r>
        <w:rPr>
          <w:rFonts w:hint="eastAsia" w:ascii="宋体" w:hAnsi="宋体" w:cs="宋体"/>
          <w:color w:val="auto"/>
          <w:highlight w:val="none"/>
        </w:rPr>
        <w:t>或招标代理机构可主动地或在解答投标人提出的需澄清的问题时向投标人发修改文件对招标文件进行修改。</w:t>
      </w:r>
    </w:p>
    <w:p>
      <w:pPr>
        <w:pStyle w:val="18"/>
        <w:spacing w:line="360" w:lineRule="auto"/>
        <w:ind w:left="359" w:leftChars="0" w:hanging="359" w:hangingChars="171"/>
        <w:rPr>
          <w:rFonts w:hint="eastAsia" w:ascii="宋体" w:hAnsi="宋体" w:cs="宋体"/>
          <w:color w:val="auto"/>
          <w:highlight w:val="none"/>
        </w:rPr>
      </w:pPr>
      <w:r>
        <w:rPr>
          <w:rFonts w:hint="eastAsia" w:ascii="宋体" w:hAnsi="宋体" w:cs="宋体"/>
          <w:color w:val="auto"/>
          <w:highlight w:val="none"/>
        </w:rPr>
        <w:t>9.2文件的澄清和修改文件将以书面形式通知所有购买招标文件的投标人，该澄清文件也是招标文件的组成部分，并对投标人具有约束力。</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9.3为使投标人编写招标文件时有充分时间对招标文件的修改部分进行研究，</w:t>
      </w:r>
      <w:r>
        <w:rPr>
          <w:rFonts w:hint="eastAsia" w:ascii="宋体" w:hAnsi="宋体" w:cs="宋体"/>
          <w:color w:val="auto"/>
          <w:highlight w:val="none"/>
          <w:lang w:eastAsia="zh-CN"/>
        </w:rPr>
        <w:t>招标人</w:t>
      </w:r>
      <w:r>
        <w:rPr>
          <w:rFonts w:hint="eastAsia" w:ascii="宋体" w:hAnsi="宋体" w:cs="宋体"/>
          <w:color w:val="auto"/>
          <w:highlight w:val="none"/>
        </w:rPr>
        <w:t>或招标代理机构可</w:t>
      </w:r>
      <w:r>
        <w:rPr>
          <w:rFonts w:hint="eastAsia" w:ascii="宋体" w:hAnsi="宋体" w:cs="宋体"/>
          <w:color w:val="auto"/>
          <w:highlight w:val="none"/>
          <w:lang w:val="en-US" w:eastAsia="zh-CN"/>
        </w:rPr>
        <w:t>自</w:t>
      </w:r>
      <w:r>
        <w:rPr>
          <w:rFonts w:hint="eastAsia" w:ascii="宋体" w:hAnsi="宋体" w:cs="宋体"/>
          <w:color w:val="auto"/>
          <w:highlight w:val="none"/>
        </w:rPr>
        <w:t>行决定，酌情延长投标截止日期，同时将决定以书面形式通知所有购买招标文件的投标人。</w:t>
      </w:r>
    </w:p>
    <w:p>
      <w:pPr>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rPr>
        <w:t>9.4投标人在收到招标代理机构发给的任何澄清和修改文件时，都应在收到后立即以书面形式向招标代理机构确认。</w:t>
      </w:r>
    </w:p>
    <w:p>
      <w:pPr>
        <w:spacing w:line="360" w:lineRule="auto"/>
        <w:ind w:left="491" w:hanging="491" w:hangingChars="234"/>
        <w:rPr>
          <w:rFonts w:hint="eastAsia" w:ascii="宋体" w:hAnsi="宋体" w:cs="宋体"/>
          <w:color w:val="auto"/>
          <w:highlight w:val="none"/>
        </w:rPr>
      </w:pPr>
      <w:r>
        <w:rPr>
          <w:rFonts w:hint="eastAsia" w:ascii="宋体" w:hAnsi="宋体" w:cs="宋体"/>
          <w:color w:val="auto"/>
          <w:highlight w:val="none"/>
        </w:rPr>
        <w:t>9.5对于招标文件的修改或补充文件，招标代理机构均将以书面形式或</w:t>
      </w:r>
      <w:r>
        <w:rPr>
          <w:rFonts w:hint="eastAsia" w:ascii="宋体" w:hAnsi="宋体" w:cs="宋体"/>
          <w:color w:val="auto"/>
          <w:highlight w:val="none"/>
          <w:u w:val="single"/>
        </w:rPr>
        <w:t>指定网站及媒体上</w:t>
      </w:r>
      <w:r>
        <w:rPr>
          <w:rFonts w:hint="eastAsia" w:ascii="宋体" w:hAnsi="宋体" w:cs="宋体"/>
          <w:color w:val="auto"/>
          <w:highlight w:val="none"/>
        </w:rPr>
        <w:t>发布的信息通知所有投标</w:t>
      </w:r>
      <w:r>
        <w:rPr>
          <w:rFonts w:hint="eastAsia" w:ascii="宋体" w:hAnsi="宋体" w:cs="宋体"/>
          <w:color w:val="auto"/>
          <w:highlight w:val="none"/>
          <w:lang w:val="en-US" w:eastAsia="zh-CN"/>
        </w:rPr>
        <w:t>人</w:t>
      </w:r>
      <w:r>
        <w:rPr>
          <w:rFonts w:hint="eastAsia" w:ascii="宋体" w:hAnsi="宋体" w:cs="宋体"/>
          <w:color w:val="auto"/>
          <w:highlight w:val="none"/>
        </w:rPr>
        <w:t>，凡在上述网上发布的信息，与招标文件具有同等法律效力，将被视为对所有投标</w:t>
      </w:r>
      <w:r>
        <w:rPr>
          <w:rFonts w:hint="eastAsia" w:ascii="宋体" w:hAnsi="宋体" w:cs="宋体"/>
          <w:color w:val="auto"/>
          <w:highlight w:val="none"/>
          <w:lang w:val="en-US" w:eastAsia="zh-CN"/>
        </w:rPr>
        <w:t>人</w:t>
      </w:r>
      <w:r>
        <w:rPr>
          <w:rFonts w:hint="eastAsia" w:ascii="宋体" w:hAnsi="宋体" w:cs="宋体"/>
          <w:color w:val="auto"/>
          <w:highlight w:val="none"/>
        </w:rPr>
        <w:t>进行了有效通知。</w:t>
      </w:r>
    </w:p>
    <w:p>
      <w:pPr>
        <w:tabs>
          <w:tab w:val="left" w:pos="720"/>
        </w:tabs>
        <w:spacing w:line="360" w:lineRule="auto"/>
        <w:rPr>
          <w:rFonts w:hint="eastAsia" w:ascii="宋体" w:hAnsi="宋体" w:cs="宋体"/>
          <w:b/>
          <w:bCs/>
          <w:color w:val="auto"/>
          <w:highlight w:val="none"/>
        </w:rPr>
      </w:pPr>
      <w:r>
        <w:rPr>
          <w:rFonts w:hint="eastAsia" w:ascii="宋体" w:hAnsi="宋体" w:cs="宋体"/>
          <w:b/>
          <w:bCs/>
          <w:color w:val="auto"/>
          <w:highlight w:val="none"/>
        </w:rPr>
        <w:t>10、招标语言及计量</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10.1投标文件和来往函件应用中文书写，投标</w:t>
      </w:r>
      <w:r>
        <w:rPr>
          <w:rFonts w:hint="eastAsia" w:ascii="宋体" w:hAnsi="宋体" w:cs="宋体"/>
          <w:color w:val="auto"/>
          <w:highlight w:val="none"/>
          <w:lang w:val="en-US" w:eastAsia="zh-CN"/>
        </w:rPr>
        <w:t>人</w:t>
      </w:r>
      <w:r>
        <w:rPr>
          <w:rFonts w:hint="eastAsia" w:ascii="宋体" w:hAnsi="宋体" w:cs="宋体"/>
          <w:color w:val="auto"/>
          <w:highlight w:val="none"/>
        </w:rPr>
        <w:t>提供的支持文件、技术资料和印刷的文献可以用其它语言，但相应内容应附有中文翻译本（经公证处公证），以中文为准，对不同文字文本投标文件的解释发生异议的，以中文文本为准。</w:t>
      </w:r>
    </w:p>
    <w:p>
      <w:pPr>
        <w:spacing w:line="360" w:lineRule="auto"/>
        <w:rPr>
          <w:rFonts w:hint="eastAsia" w:ascii="宋体" w:hAnsi="宋体" w:cs="宋体"/>
          <w:color w:val="auto"/>
          <w:highlight w:val="none"/>
        </w:rPr>
      </w:pPr>
      <w:r>
        <w:rPr>
          <w:rFonts w:hint="eastAsia" w:ascii="宋体" w:hAnsi="宋体" w:cs="宋体"/>
          <w:color w:val="auto"/>
          <w:highlight w:val="none"/>
        </w:rPr>
        <w:t>10.2招标文件中的所有计量单位和规格说明都使用国家法定计量单位表示。</w:t>
      </w:r>
    </w:p>
    <w:p>
      <w:pPr>
        <w:pStyle w:val="5"/>
        <w:numPr>
          <w:ilvl w:val="0"/>
          <w:numId w:val="0"/>
        </w:numPr>
        <w:ind w:left="422"/>
        <w:jc w:val="center"/>
        <w:rPr>
          <w:rFonts w:hint="eastAsia" w:hAnsi="宋体" w:cs="宋体"/>
          <w:b w:val="0"/>
          <w:bCs/>
          <w:color w:val="auto"/>
          <w:highlight w:val="none"/>
        </w:rPr>
      </w:pPr>
      <w:bookmarkStart w:id="59" w:name="_Toc513818903"/>
      <w:bookmarkStart w:id="60" w:name="_Toc409173105"/>
      <w:bookmarkStart w:id="61" w:name="_Toc409173219"/>
      <w:r>
        <w:rPr>
          <w:rFonts w:hint="eastAsia" w:hAnsi="宋体" w:cs="宋体"/>
          <w:color w:val="auto"/>
          <w:highlight w:val="none"/>
        </w:rPr>
        <w:t>三、投标文件的编制</w:t>
      </w:r>
      <w:bookmarkEnd w:id="59"/>
      <w:bookmarkEnd w:id="60"/>
      <w:bookmarkEnd w:id="61"/>
    </w:p>
    <w:p>
      <w:pPr>
        <w:tabs>
          <w:tab w:val="left" w:pos="540"/>
        </w:tabs>
        <w:spacing w:line="360" w:lineRule="auto"/>
        <w:rPr>
          <w:rFonts w:hint="eastAsia" w:ascii="宋体" w:hAnsi="宋体" w:cs="宋体"/>
          <w:b/>
          <w:bCs/>
          <w:color w:val="auto"/>
          <w:highlight w:val="none"/>
        </w:rPr>
      </w:pPr>
      <w:r>
        <w:rPr>
          <w:rFonts w:hint="eastAsia" w:ascii="宋体" w:hAnsi="宋体" w:cs="宋体"/>
          <w:b/>
          <w:bCs/>
          <w:color w:val="auto"/>
          <w:highlight w:val="none"/>
        </w:rPr>
        <w:t>11、特别说明</w:t>
      </w:r>
    </w:p>
    <w:p>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11.1本招标文件服务指标要求中，重要的、关键的服务指标要求或性能要求，投标人要特别注意，必须对此响应或完全满足或优于这些要求。否则若有一项重要指标未响应或存在负偏差，将按投标无效处理，即废标。</w:t>
      </w:r>
    </w:p>
    <w:p>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11.2本招标文件的商务合同条款部分除保险、终止和合同生效条款外，均不允许实质性偏离。投标人必须对本招标文件的每一项要求给予实质性的响应，否则其投标将被拒绝。</w:t>
      </w:r>
    </w:p>
    <w:p>
      <w:pPr>
        <w:spacing w:line="360" w:lineRule="auto"/>
        <w:rPr>
          <w:rFonts w:hint="eastAsia" w:ascii="宋体" w:hAnsi="宋体" w:cs="宋体"/>
          <w:color w:val="auto"/>
          <w:highlight w:val="none"/>
        </w:rPr>
      </w:pPr>
      <w:r>
        <w:rPr>
          <w:rFonts w:hint="eastAsia" w:ascii="宋体" w:hAnsi="宋体" w:cs="宋体"/>
          <w:color w:val="auto"/>
          <w:highlight w:val="none"/>
        </w:rPr>
        <w:t>11.3 投标人对本投标文件的每一项要求所给予的响应必须是唯一的，否则将视为不响应。</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12、投标语言及计量</w:t>
      </w:r>
    </w:p>
    <w:p>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12.1投标人提交的投标文件以及投标人与</w:t>
      </w:r>
      <w:r>
        <w:rPr>
          <w:rFonts w:hint="eastAsia" w:ascii="宋体" w:hAnsi="宋体" w:cs="宋体"/>
          <w:color w:val="auto"/>
          <w:highlight w:val="none"/>
          <w:lang w:eastAsia="zh-CN"/>
        </w:rPr>
        <w:t>招标人</w:t>
      </w:r>
      <w:r>
        <w:rPr>
          <w:rFonts w:hint="eastAsia" w:ascii="宋体" w:hAnsi="宋体" w:cs="宋体"/>
          <w:color w:val="auto"/>
          <w:highlight w:val="none"/>
        </w:rPr>
        <w:t>就有关投标的所有往来函电均使用中文。投标人提供的支持文件和印刷的文件可以使用英文，但相应内容应附有中文翻译本，在解释时以中文翻译为准。</w:t>
      </w:r>
    </w:p>
    <w:p>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12.2在投标文件及所有投标人与</w:t>
      </w:r>
      <w:r>
        <w:rPr>
          <w:rFonts w:hint="eastAsia" w:ascii="宋体" w:hAnsi="宋体" w:cs="宋体"/>
          <w:color w:val="auto"/>
          <w:highlight w:val="none"/>
          <w:lang w:eastAsia="zh-CN"/>
        </w:rPr>
        <w:t>招标人</w:t>
      </w:r>
      <w:r>
        <w:rPr>
          <w:rFonts w:hint="eastAsia" w:ascii="宋体" w:hAnsi="宋体" w:cs="宋体"/>
          <w:color w:val="auto"/>
          <w:highlight w:val="none"/>
        </w:rPr>
        <w:t>往来文件中所有计量单位和规格说明均须用国家法定计量单位表示。</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13、投标文件的构成</w:t>
      </w:r>
    </w:p>
    <w:p>
      <w:pPr>
        <w:spacing w:line="360" w:lineRule="auto"/>
        <w:rPr>
          <w:rFonts w:hint="eastAsia" w:ascii="宋体" w:hAnsi="宋体" w:cs="宋体"/>
          <w:color w:val="auto"/>
          <w:highlight w:val="none"/>
        </w:rPr>
      </w:pPr>
      <w:r>
        <w:rPr>
          <w:rFonts w:hint="eastAsia" w:ascii="宋体" w:hAnsi="宋体" w:cs="宋体"/>
          <w:color w:val="auto"/>
          <w:highlight w:val="none"/>
        </w:rPr>
        <w:t>13.1投标人编写的投标文件应包括下列部分：</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（1）按投标人须知规定填写投标函、投标报价表。</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（2）按投标人须知出具的资格证明文件，证明投标人是合格的且中标后有能力履行合同。</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（3）按招标文件的规定出具的证明文件。</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（4）按投标人须知规定提交的投标保证金。</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（5）对招标文件第三章做出书面响应。</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（6）投标人应参照招标文件第五章的内容格式提供全面的响应的文件。</w:t>
      </w:r>
    </w:p>
    <w:p>
      <w:pPr>
        <w:spacing w:line="360" w:lineRule="auto"/>
        <w:rPr>
          <w:rFonts w:hint="eastAsia" w:ascii="宋体" w:hAnsi="宋体" w:cs="宋体"/>
          <w:color w:val="auto"/>
          <w:highlight w:val="none"/>
        </w:rPr>
      </w:pPr>
      <w:r>
        <w:rPr>
          <w:rFonts w:hint="eastAsia" w:ascii="宋体" w:hAnsi="宋体" w:cs="宋体"/>
          <w:b/>
          <w:bCs/>
          <w:color w:val="auto"/>
          <w:highlight w:val="none"/>
        </w:rPr>
        <w:t>14、投标文件的要求</w:t>
      </w:r>
    </w:p>
    <w:p>
      <w:pPr>
        <w:spacing w:line="360" w:lineRule="auto"/>
        <w:rPr>
          <w:rFonts w:hint="eastAsia" w:ascii="宋体" w:hAnsi="宋体" w:cs="宋体"/>
          <w:color w:val="auto"/>
          <w:highlight w:val="none"/>
        </w:rPr>
      </w:pPr>
      <w:r>
        <w:rPr>
          <w:rFonts w:hint="eastAsia" w:ascii="宋体" w:hAnsi="宋体" w:cs="宋体"/>
          <w:color w:val="auto"/>
          <w:highlight w:val="none"/>
        </w:rPr>
        <w:t>14.1投标人应依照招标文件中投标文件格式填写，并真正对招标文件的要求做实质性的响应。</w:t>
      </w:r>
    </w:p>
    <w:p>
      <w:pPr>
        <w:spacing w:line="360" w:lineRule="auto"/>
        <w:rPr>
          <w:rFonts w:hint="eastAsia" w:ascii="宋体" w:hAnsi="宋体" w:cs="宋体"/>
          <w:color w:val="auto"/>
          <w:highlight w:val="none"/>
        </w:rPr>
      </w:pPr>
      <w:r>
        <w:rPr>
          <w:rFonts w:hint="eastAsia" w:ascii="宋体" w:hAnsi="宋体" w:cs="宋体"/>
          <w:color w:val="auto"/>
          <w:highlight w:val="none"/>
        </w:rPr>
        <w:t>14.2投标人必须按照招标文件要求，正面回答所有的问题，并按所附格式要求正式签署。</w:t>
      </w:r>
    </w:p>
    <w:p>
      <w:pPr>
        <w:spacing w:line="360" w:lineRule="auto"/>
        <w:rPr>
          <w:rFonts w:hint="eastAsia" w:ascii="宋体" w:hAnsi="宋体" w:cs="宋体"/>
          <w:color w:val="auto"/>
          <w:highlight w:val="none"/>
        </w:rPr>
      </w:pPr>
      <w:r>
        <w:rPr>
          <w:rFonts w:hint="eastAsia" w:ascii="宋体" w:hAnsi="宋体" w:cs="宋体"/>
          <w:color w:val="auto"/>
          <w:highlight w:val="none"/>
        </w:rPr>
        <w:t>14.3投标人对于招标文件的所有“★”号要求，必须作出真实满足的响应，否则将作无效投标处理。</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15、投标报价</w:t>
      </w:r>
    </w:p>
    <w:p>
      <w:pPr>
        <w:tabs>
          <w:tab w:val="left" w:pos="840"/>
        </w:tabs>
        <w:spacing w:line="360" w:lineRule="auto"/>
        <w:ind w:left="525" w:hanging="525" w:hangingChars="250"/>
        <w:rPr>
          <w:rFonts w:hint="eastAsia" w:ascii="宋体" w:hAnsi="宋体" w:cs="宋体"/>
          <w:color w:val="auto"/>
          <w:highlight w:val="none"/>
        </w:rPr>
      </w:pPr>
      <w:r>
        <w:rPr>
          <w:rFonts w:hint="eastAsia" w:ascii="宋体" w:hAnsi="宋体" w:cs="宋体"/>
          <w:color w:val="auto"/>
          <w:highlight w:val="none"/>
        </w:rPr>
        <w:t>15.1</w:t>
      </w:r>
      <w:r>
        <w:rPr>
          <w:rFonts w:hint="eastAsia" w:ascii="宋体" w:hAnsi="宋体" w:cs="宋体"/>
          <w:color w:val="auto"/>
          <w:highlight w:val="none"/>
          <w:u w:val="single"/>
        </w:rPr>
        <w:t>投标人必须按招标文件中“用户需求书”等规定的报价方案报价，否则视为非实质响应性投标。</w:t>
      </w:r>
    </w:p>
    <w:p>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highlight w:val="none"/>
        </w:rPr>
        <w:t>15.</w:t>
      </w:r>
      <w:r>
        <w:rPr>
          <w:rFonts w:hint="eastAsia" w:ascii="宋体" w:hAnsi="宋体" w:cs="宋体"/>
          <w:color w:val="auto"/>
          <w:highlight w:val="none"/>
          <w:lang w:val="en-US" w:eastAsia="zh-CN"/>
        </w:rPr>
        <w:t>2</w:t>
      </w:r>
      <w:r>
        <w:rPr>
          <w:rFonts w:hint="eastAsia" w:ascii="宋体" w:hAnsi="宋体" w:cs="宋体"/>
          <w:color w:val="auto"/>
          <w:szCs w:val="22"/>
          <w:highlight w:val="none"/>
        </w:rPr>
        <w:t>投标人所报的投标价在合同执行期间是固定不变的，不得以任何理由予以变更。以可调整的价格提交的投标文件将作为非响应性投标而予以拒绝。</w:t>
      </w:r>
    </w:p>
    <w:p>
      <w:pPr>
        <w:tabs>
          <w:tab w:val="left" w:pos="840"/>
        </w:tabs>
        <w:spacing w:line="360" w:lineRule="auto"/>
        <w:ind w:left="527" w:hanging="527" w:hangingChars="250"/>
        <w:rPr>
          <w:rFonts w:hint="eastAsia" w:ascii="宋体" w:hAnsi="宋体" w:cs="宋体"/>
          <w:b/>
          <w:bCs/>
          <w:color w:val="auto"/>
          <w:szCs w:val="22"/>
          <w:highlight w:val="none"/>
        </w:rPr>
      </w:pPr>
      <w:r>
        <w:rPr>
          <w:rFonts w:hint="eastAsia" w:ascii="宋体" w:hAnsi="宋体" w:cs="宋体"/>
          <w:b/>
          <w:bCs/>
          <w:color w:val="auto"/>
          <w:szCs w:val="22"/>
          <w:highlight w:val="none"/>
        </w:rPr>
        <w:t>16、投标货币</w:t>
      </w:r>
    </w:p>
    <w:p>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szCs w:val="22"/>
          <w:highlight w:val="none"/>
        </w:rPr>
        <w:t>16.1投标人提供的服务须用人民币报价；</w:t>
      </w:r>
    </w:p>
    <w:p>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szCs w:val="22"/>
          <w:highlight w:val="none"/>
        </w:rPr>
        <w:t>16.2投标文件中的大写金额和小写金额不一致的，以大写金额为准；总价金额与单价金额和数量乘积不一致的，以单价金额和数量乘积为准，但单价金额小数点有明显错误的除外。</w:t>
      </w:r>
    </w:p>
    <w:p>
      <w:pPr>
        <w:tabs>
          <w:tab w:val="left" w:pos="840"/>
        </w:tabs>
        <w:spacing w:line="360" w:lineRule="auto"/>
        <w:ind w:left="527" w:hanging="527" w:hangingChars="250"/>
        <w:rPr>
          <w:rFonts w:hint="eastAsia" w:ascii="宋体" w:hAnsi="宋体" w:cs="宋体"/>
          <w:b/>
          <w:bCs/>
          <w:color w:val="auto"/>
          <w:szCs w:val="22"/>
          <w:highlight w:val="none"/>
        </w:rPr>
      </w:pPr>
      <w:r>
        <w:rPr>
          <w:rFonts w:hint="eastAsia" w:ascii="宋体" w:hAnsi="宋体" w:cs="宋体"/>
          <w:b/>
          <w:bCs/>
          <w:color w:val="auto"/>
          <w:szCs w:val="22"/>
          <w:highlight w:val="none"/>
        </w:rPr>
        <w:t>17、证明投标人合格和资格的文件</w:t>
      </w:r>
    </w:p>
    <w:p>
      <w:pPr>
        <w:tabs>
          <w:tab w:val="left" w:pos="840"/>
        </w:tabs>
        <w:spacing w:line="360" w:lineRule="auto"/>
        <w:ind w:left="525" w:hanging="525" w:hangingChars="250"/>
        <w:rPr>
          <w:rFonts w:hint="eastAsia" w:ascii="宋体" w:hAnsi="宋体" w:cs="宋体"/>
          <w:color w:val="auto"/>
          <w:highlight w:val="none"/>
        </w:rPr>
      </w:pPr>
      <w:r>
        <w:rPr>
          <w:rFonts w:hint="eastAsia" w:ascii="宋体" w:hAnsi="宋体" w:cs="宋体"/>
          <w:color w:val="auto"/>
          <w:szCs w:val="22"/>
          <w:highlight w:val="none"/>
        </w:rPr>
        <w:t>17.1如投标人须知规定，投标人应提交证明</w:t>
      </w:r>
      <w:r>
        <w:rPr>
          <w:rFonts w:hint="eastAsia" w:ascii="宋体" w:hAnsi="宋体" w:cs="宋体"/>
          <w:color w:val="auto"/>
          <w:highlight w:val="none"/>
        </w:rPr>
        <w:t>其有资格参加投标和中标后有能力履行合同的文件，并作为其投标文件的一部分。</w:t>
      </w:r>
    </w:p>
    <w:p>
      <w:pPr>
        <w:spacing w:line="360" w:lineRule="auto"/>
        <w:rPr>
          <w:rFonts w:hint="eastAsia" w:ascii="宋体" w:hAnsi="宋体" w:cs="宋体"/>
          <w:color w:val="auto"/>
          <w:highlight w:val="none"/>
        </w:rPr>
      </w:pPr>
      <w:r>
        <w:rPr>
          <w:rFonts w:hint="eastAsia" w:ascii="宋体" w:hAnsi="宋体" w:cs="宋体"/>
          <w:color w:val="auto"/>
          <w:highlight w:val="none"/>
        </w:rPr>
        <w:t>17.2投标人提交的中标后履行合同的资格证明文件应满足招标文件的要求：</w:t>
      </w:r>
    </w:p>
    <w:p>
      <w:pPr>
        <w:numPr>
          <w:ilvl w:val="0"/>
          <w:numId w:val="2"/>
        </w:numPr>
        <w:tabs>
          <w:tab w:val="left" w:pos="-180"/>
          <w:tab w:val="clear" w:pos="1365"/>
        </w:tabs>
        <w:spacing w:line="360" w:lineRule="auto"/>
        <w:ind w:left="1260" w:hanging="615"/>
        <w:rPr>
          <w:rFonts w:hint="eastAsia" w:ascii="宋体" w:hAnsi="宋体" w:cs="宋体"/>
          <w:color w:val="auto"/>
          <w:highlight w:val="none"/>
        </w:rPr>
      </w:pPr>
      <w:r>
        <w:rPr>
          <w:rFonts w:hint="eastAsia" w:ascii="宋体" w:hAnsi="宋体" w:cs="宋体"/>
          <w:color w:val="auto"/>
          <w:highlight w:val="none"/>
        </w:rPr>
        <w:t>投标人与本次招标项目类似案例的业绩（提供合同复印件）；（如需）</w:t>
      </w:r>
    </w:p>
    <w:p>
      <w:pPr>
        <w:numPr>
          <w:ilvl w:val="0"/>
          <w:numId w:val="2"/>
        </w:numPr>
        <w:tabs>
          <w:tab w:val="clear" w:pos="1365"/>
        </w:tabs>
        <w:spacing w:line="360" w:lineRule="auto"/>
        <w:rPr>
          <w:rFonts w:hint="eastAsia" w:ascii="宋体" w:hAnsi="宋体" w:cs="宋体"/>
          <w:color w:val="auto"/>
          <w:highlight w:val="none"/>
        </w:rPr>
      </w:pPr>
      <w:r>
        <w:rPr>
          <w:rFonts w:hint="eastAsia" w:ascii="宋体" w:hAnsi="宋体" w:cs="宋体"/>
          <w:color w:val="auto"/>
          <w:highlight w:val="none"/>
        </w:rPr>
        <w:t>投标人已具备履行合同所需的人力、财力、物力和服务能力；（如需）</w:t>
      </w:r>
    </w:p>
    <w:p>
      <w:pPr>
        <w:numPr>
          <w:ilvl w:val="0"/>
          <w:numId w:val="2"/>
        </w:numPr>
        <w:tabs>
          <w:tab w:val="clear" w:pos="1365"/>
        </w:tabs>
        <w:spacing w:line="360" w:lineRule="auto"/>
        <w:ind w:left="0" w:firstLine="638" w:firstLineChars="304"/>
        <w:rPr>
          <w:rFonts w:hint="eastAsia" w:ascii="宋体" w:hAnsi="宋体" w:cs="宋体"/>
          <w:color w:val="auto"/>
          <w:highlight w:val="none"/>
        </w:rPr>
      </w:pPr>
      <w:r>
        <w:rPr>
          <w:rFonts w:hint="eastAsia" w:ascii="宋体" w:hAnsi="宋体" w:cs="宋体"/>
          <w:color w:val="auto"/>
          <w:highlight w:val="none"/>
        </w:rPr>
        <w:t>有关确立投标人法律地位和专业服务能力的原始文件副本复印件（如营业执照等资格证书）。（如需）</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val="en-US" w:eastAsia="zh-CN"/>
        </w:rPr>
        <w:t>8</w:t>
      </w:r>
      <w:r>
        <w:rPr>
          <w:rFonts w:hint="eastAsia" w:ascii="宋体" w:hAnsi="宋体" w:cs="宋体"/>
          <w:b/>
          <w:bCs/>
          <w:color w:val="auto"/>
          <w:highlight w:val="none"/>
        </w:rPr>
        <w:t>、投标保证金</w:t>
      </w:r>
    </w:p>
    <w:p>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pPr>
        <w:spacing w:line="360" w:lineRule="auto"/>
        <w:ind w:left="718" w:hanging="718" w:hangingChars="342"/>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.2投标保证金是为了保护</w:t>
      </w:r>
      <w:r>
        <w:rPr>
          <w:rFonts w:hint="eastAsia" w:ascii="宋体" w:hAnsi="宋体" w:cs="宋体"/>
          <w:color w:val="auto"/>
          <w:highlight w:val="none"/>
          <w:lang w:eastAsia="zh-CN"/>
        </w:rPr>
        <w:t>招标人</w:t>
      </w:r>
      <w:r>
        <w:rPr>
          <w:rFonts w:hint="eastAsia" w:ascii="宋体" w:hAnsi="宋体" w:cs="宋体"/>
          <w:color w:val="auto"/>
          <w:highlight w:val="none"/>
        </w:rPr>
        <w:t>免遭因投标人的行为而蒙受损失，</w:t>
      </w:r>
      <w:r>
        <w:rPr>
          <w:rFonts w:hint="eastAsia" w:ascii="宋体" w:hAnsi="宋体" w:cs="宋体"/>
          <w:color w:val="auto"/>
          <w:highlight w:val="none"/>
          <w:lang w:eastAsia="zh-CN"/>
        </w:rPr>
        <w:t>招标人</w:t>
      </w:r>
      <w:r>
        <w:rPr>
          <w:rFonts w:hint="eastAsia" w:ascii="宋体" w:hAnsi="宋体" w:cs="宋体"/>
          <w:color w:val="auto"/>
          <w:highlight w:val="none"/>
        </w:rPr>
        <w:t>在因投标人的行为受到损害时可以依法没收投标人的投标保证金。</w:t>
      </w:r>
    </w:p>
    <w:p>
      <w:pPr>
        <w:spacing w:line="360" w:lineRule="auto"/>
        <w:ind w:left="525" w:hanging="525" w:hangingChars="250"/>
        <w:rPr>
          <w:rFonts w:hint="eastAsia" w:ascii="宋体" w:hAnsi="宋体" w:cs="宋体"/>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8</w:t>
      </w:r>
      <w:r>
        <w:rPr>
          <w:rFonts w:hint="eastAsia" w:ascii="宋体" w:hAnsi="宋体" w:cs="宋体"/>
          <w:bCs/>
          <w:color w:val="auto"/>
          <w:highlight w:val="none"/>
        </w:rPr>
        <w:t>.3投</w:t>
      </w:r>
      <w:r>
        <w:rPr>
          <w:rFonts w:hint="eastAsia" w:ascii="宋体" w:hAnsi="宋体" w:cs="宋体"/>
          <w:color w:val="auto"/>
          <w:highlight w:val="none"/>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cs="宋体"/>
          <w:bCs/>
          <w:color w:val="auto"/>
          <w:highlight w:val="none"/>
        </w:rPr>
        <w:t>投标人</w:t>
      </w:r>
      <w:r>
        <w:rPr>
          <w:rFonts w:hint="eastAsia" w:ascii="宋体" w:hAnsi="宋体" w:cs="宋体"/>
          <w:color w:val="auto"/>
          <w:highlight w:val="none"/>
        </w:rPr>
        <w:t>每个项目的保证金缴纳账户是唯一的，该账号是针对每位</w:t>
      </w:r>
      <w:r>
        <w:rPr>
          <w:rFonts w:hint="eastAsia" w:ascii="宋体" w:hAnsi="宋体" w:cs="宋体"/>
          <w:bCs/>
          <w:color w:val="auto"/>
          <w:highlight w:val="none"/>
        </w:rPr>
        <w:t>投标人</w:t>
      </w:r>
      <w:r>
        <w:rPr>
          <w:rFonts w:hint="eastAsia" w:ascii="宋体" w:hAnsi="宋体" w:cs="宋体"/>
          <w:color w:val="auto"/>
          <w:highlight w:val="none"/>
        </w:rPr>
        <w:t>随机生成的专属账号）。</w:t>
      </w:r>
    </w:p>
    <w:p>
      <w:pPr>
        <w:spacing w:line="360" w:lineRule="auto"/>
        <w:ind w:firstLine="617" w:firstLineChars="294"/>
        <w:rPr>
          <w:rFonts w:hint="eastAsia" w:ascii="宋体" w:hAnsi="宋体" w:cs="宋体"/>
          <w:color w:val="auto"/>
          <w:highlight w:val="none"/>
        </w:rPr>
      </w:pPr>
      <w:r>
        <w:rPr>
          <w:rFonts w:hint="eastAsia" w:ascii="宋体" w:hAnsi="宋体" w:cs="宋体"/>
          <w:color w:val="auto"/>
          <w:highlight w:val="none"/>
        </w:rPr>
        <w:t>①投标保证金应从投标人的账号支付，并以资金到达该子账号的时间为准，如从其他账户、或未缴纳到指定的子账号，视为无效投标保证金。</w:t>
      </w:r>
    </w:p>
    <w:p>
      <w:pPr>
        <w:spacing w:line="360" w:lineRule="auto"/>
        <w:ind w:firstLine="617" w:firstLineChars="294"/>
        <w:rPr>
          <w:rFonts w:hint="eastAsia" w:ascii="宋体" w:hAnsi="宋体" w:cs="宋体"/>
          <w:color w:val="auto"/>
          <w:highlight w:val="none"/>
        </w:rPr>
      </w:pPr>
      <w:r>
        <w:rPr>
          <w:rFonts w:hint="eastAsia" w:ascii="宋体" w:hAnsi="宋体" w:cs="宋体"/>
          <w:color w:val="auto"/>
          <w:highlight w:val="none"/>
        </w:rPr>
        <w:t>②投标人严禁采用EFT系统(广东金融结算系统/广州银行)方式缴纳投标保证，如采用此方式导致招投标系统无法识别缴纳账号信息的，视为未按要求缴纳保证金，由此造成后果由投标</w:t>
      </w:r>
      <w:r>
        <w:rPr>
          <w:rFonts w:hint="eastAsia" w:ascii="宋体" w:hAnsi="宋体" w:cs="宋体"/>
          <w:color w:val="auto"/>
          <w:highlight w:val="none"/>
          <w:lang w:val="en-US" w:eastAsia="zh-CN"/>
        </w:rPr>
        <w:t>人</w:t>
      </w:r>
      <w:r>
        <w:rPr>
          <w:rFonts w:hint="eastAsia" w:ascii="宋体" w:hAnsi="宋体" w:cs="宋体"/>
          <w:color w:val="auto"/>
          <w:highlight w:val="none"/>
        </w:rPr>
        <w:t>自行承担责任。</w:t>
      </w:r>
    </w:p>
    <w:p>
      <w:pPr>
        <w:spacing w:line="360" w:lineRule="auto"/>
        <w:ind w:firstLine="617" w:firstLineChars="294"/>
        <w:rPr>
          <w:rFonts w:hint="eastAsia" w:ascii="宋体" w:hAnsi="宋体" w:cs="宋体"/>
          <w:b/>
          <w:bCs/>
          <w:color w:val="auto"/>
          <w:highlight w:val="none"/>
        </w:rPr>
      </w:pPr>
      <w:r>
        <w:rPr>
          <w:rFonts w:hint="eastAsia" w:ascii="宋体" w:hAnsi="宋体" w:cs="宋体"/>
          <w:color w:val="auto"/>
          <w:highlight w:val="none"/>
        </w:rPr>
        <w:t>③根据银行跨行转账时间惯例，一般需要2个工作日到帐，部分银行需要3至5个工作日到账。为确保投标保证金有效，请投标人预留足够的时间提前转账，以免影响投标。</w:t>
      </w:r>
    </w:p>
    <w:p>
      <w:pPr>
        <w:spacing w:line="360" w:lineRule="auto"/>
        <w:ind w:left="359" w:hanging="359" w:hangingChars="171"/>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.4凡没有根据投标人须知的规定提交投标保证金的投标，将按投标人须知的规定视为非响应性投标予以拒绝。</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.5未中标的投标人的保证金，将按投标人须知发出中标结果通知之日起5个工作日内由收款人原额退还</w:t>
      </w:r>
      <w:r>
        <w:rPr>
          <w:rFonts w:hint="eastAsia" w:ascii="宋体" w:hAnsi="宋体" w:cs="宋体"/>
          <w:b/>
          <w:bCs/>
          <w:color w:val="auto"/>
          <w:highlight w:val="none"/>
        </w:rPr>
        <w:t>（保证金不计利息）</w:t>
      </w:r>
      <w:r>
        <w:rPr>
          <w:rFonts w:hint="eastAsia" w:ascii="宋体" w:hAnsi="宋体" w:cs="宋体"/>
          <w:color w:val="auto"/>
          <w:highlight w:val="none"/>
        </w:rPr>
        <w:t>。为了便于投标保证金顺利退还，所有投标人务必详细填写好投标保证金退还说明并在开标时与标书一起递交。</w:t>
      </w:r>
    </w:p>
    <w:p>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.6</w:t>
      </w:r>
      <w:r>
        <w:rPr>
          <w:rFonts w:hint="eastAsia" w:ascii="宋体" w:hAnsi="宋体" w:cs="宋体"/>
          <w:color w:val="auto"/>
          <w:highlight w:val="none"/>
          <w:lang w:val="en-US" w:eastAsia="zh-CN"/>
        </w:rPr>
        <w:t>中标人</w:t>
      </w:r>
      <w:r>
        <w:rPr>
          <w:rFonts w:hint="eastAsia" w:ascii="宋体" w:hAnsi="宋体" w:cs="宋体"/>
          <w:color w:val="auto"/>
          <w:highlight w:val="none"/>
        </w:rPr>
        <w:t>的投标保证金的退还必须同时满足以下要求：</w:t>
      </w:r>
    </w:p>
    <w:p>
      <w:pPr>
        <w:spacing w:line="360" w:lineRule="auto"/>
        <w:ind w:left="720"/>
        <w:rPr>
          <w:rFonts w:hint="eastAsia" w:ascii="宋体" w:hAnsi="宋体" w:cs="宋体"/>
          <w:color w:val="auto"/>
          <w:szCs w:val="2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按投标人须知规定签订合同；</w:t>
      </w:r>
    </w:p>
    <w:p>
      <w:pPr>
        <w:spacing w:line="360" w:lineRule="auto"/>
        <w:ind w:left="7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按投标人须知规定支付招标代理服务费。如果</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拒绝支付规定的招标代理服务费，</w:t>
      </w:r>
      <w:r>
        <w:rPr>
          <w:rFonts w:hint="eastAsia" w:ascii="宋体" w:hAnsi="宋体" w:cs="宋体"/>
          <w:color w:val="auto"/>
          <w:szCs w:val="22"/>
          <w:highlight w:val="none"/>
          <w:lang w:eastAsia="zh-CN"/>
        </w:rPr>
        <w:t>招标人</w:t>
      </w:r>
      <w:r>
        <w:rPr>
          <w:rFonts w:hint="eastAsia" w:ascii="宋体" w:hAnsi="宋体" w:cs="宋体"/>
          <w:color w:val="auto"/>
          <w:szCs w:val="22"/>
          <w:highlight w:val="none"/>
        </w:rPr>
        <w:t>有</w:t>
      </w:r>
      <w:r>
        <w:rPr>
          <w:rFonts w:hint="eastAsia" w:ascii="宋体" w:hAnsi="宋体" w:cs="宋体"/>
          <w:color w:val="auto"/>
          <w:highlight w:val="none"/>
        </w:rPr>
        <w:t>权在投标人所交的投标保证金中扣除相应费用。</w:t>
      </w:r>
    </w:p>
    <w:p>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.7下列任何一种情况发生时，投标保证金将被没收：</w:t>
      </w:r>
    </w:p>
    <w:p>
      <w:pPr>
        <w:spacing w:line="360" w:lineRule="auto"/>
        <w:ind w:left="720"/>
        <w:rPr>
          <w:rFonts w:hint="eastAsia" w:ascii="宋体" w:hAnsi="宋体" w:cs="宋体"/>
          <w:color w:val="auto"/>
          <w:szCs w:val="22"/>
          <w:highlight w:val="none"/>
        </w:rPr>
      </w:pPr>
      <w:r>
        <w:rPr>
          <w:rFonts w:hint="eastAsia" w:ascii="宋体" w:hAnsi="宋体" w:cs="宋体"/>
          <w:color w:val="auto"/>
          <w:szCs w:val="22"/>
          <w:highlight w:val="none"/>
        </w:rPr>
        <w:t>（1）投标人在投标文件中规定的投标有效期内撤回其投标；</w:t>
      </w:r>
    </w:p>
    <w:p>
      <w:pPr>
        <w:spacing w:line="360" w:lineRule="auto"/>
        <w:ind w:left="720"/>
        <w:rPr>
          <w:rFonts w:hint="eastAsia" w:ascii="宋体" w:hAnsi="宋体" w:cs="宋体"/>
          <w:color w:val="auto"/>
          <w:szCs w:val="22"/>
          <w:highlight w:val="none"/>
        </w:rPr>
      </w:pPr>
      <w:r>
        <w:rPr>
          <w:rFonts w:hint="eastAsia" w:ascii="宋体" w:hAnsi="宋体" w:cs="宋体"/>
          <w:color w:val="auto"/>
          <w:szCs w:val="22"/>
          <w:highlight w:val="none"/>
        </w:rPr>
        <w:t>（2）</w:t>
      </w:r>
      <w:r>
        <w:rPr>
          <w:rFonts w:hint="eastAsia" w:ascii="宋体" w:hAnsi="宋体" w:cs="宋体"/>
          <w:color w:val="auto"/>
          <w:szCs w:val="22"/>
          <w:highlight w:val="none"/>
          <w:lang w:eastAsia="zh-CN"/>
        </w:rPr>
        <w:t>投标人</w:t>
      </w:r>
      <w:r>
        <w:rPr>
          <w:rFonts w:hint="eastAsia" w:ascii="宋体" w:hAnsi="宋体" w:cs="宋体"/>
          <w:color w:val="auto"/>
          <w:szCs w:val="22"/>
          <w:highlight w:val="none"/>
        </w:rPr>
        <w:t>在规定期限内未能根据投标人须知规定签订合同；或未能根据投标人须知规定接受对错误的修正；</w:t>
      </w:r>
    </w:p>
    <w:p>
      <w:pPr>
        <w:spacing w:line="360" w:lineRule="auto"/>
        <w:ind w:left="720"/>
        <w:rPr>
          <w:rFonts w:hint="eastAsia" w:ascii="宋体" w:hAnsi="宋体" w:cs="宋体"/>
          <w:color w:val="auto"/>
          <w:highlight w:val="none"/>
        </w:rPr>
      </w:pPr>
      <w:r>
        <w:rPr>
          <w:rFonts w:hint="eastAsia" w:ascii="宋体" w:hAnsi="宋体" w:cs="宋体"/>
          <w:color w:val="auto"/>
          <w:szCs w:val="22"/>
          <w:highlight w:val="none"/>
        </w:rPr>
        <w:t>（3）投标人在</w:t>
      </w:r>
      <w:r>
        <w:rPr>
          <w:rFonts w:hint="eastAsia" w:ascii="宋体" w:hAnsi="宋体" w:cs="宋体"/>
          <w:color w:val="auto"/>
          <w:highlight w:val="none"/>
        </w:rPr>
        <w:t>投标过程中提供虚假材料。</w:t>
      </w:r>
    </w:p>
    <w:p>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19</w:t>
      </w:r>
      <w:r>
        <w:rPr>
          <w:rFonts w:hint="eastAsia" w:ascii="宋体" w:hAnsi="宋体" w:cs="宋体"/>
          <w:b/>
          <w:bCs/>
          <w:color w:val="auto"/>
          <w:highlight w:val="none"/>
        </w:rPr>
        <w:t>、投标有效期</w:t>
      </w:r>
    </w:p>
    <w:p>
      <w:pPr>
        <w:spacing w:line="360" w:lineRule="auto"/>
        <w:ind w:left="630" w:hanging="630" w:hangingChars="300"/>
        <w:rPr>
          <w:rFonts w:hint="eastAsia"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.1投标文件应根据投标人须知的规定保持有效，比规定期限短的将视为非响应投标而予以拒绝。</w:t>
      </w:r>
    </w:p>
    <w:p>
      <w:pPr>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.2特殊情况下在原有投标有效期截止之前，</w:t>
      </w:r>
      <w:r>
        <w:rPr>
          <w:rFonts w:hint="eastAsia" w:ascii="宋体" w:hAnsi="宋体" w:cs="宋体"/>
          <w:color w:val="auto"/>
          <w:highlight w:val="none"/>
          <w:lang w:eastAsia="zh-CN"/>
        </w:rPr>
        <w:t>招标人</w:t>
      </w:r>
      <w:r>
        <w:rPr>
          <w:rFonts w:hint="eastAsia" w:ascii="宋体" w:hAnsi="宋体" w:cs="宋体"/>
          <w:color w:val="auto"/>
          <w:highlight w:val="none"/>
        </w:rPr>
        <w:t>可征求投标人同意延长投标有效期。这种要求与答复均为书面形式提交。投标人可以拒绝</w:t>
      </w:r>
      <w:r>
        <w:rPr>
          <w:rFonts w:hint="eastAsia" w:ascii="宋体" w:hAnsi="宋体" w:cs="宋体"/>
          <w:color w:val="auto"/>
          <w:highlight w:val="none"/>
          <w:lang w:eastAsia="zh-CN"/>
        </w:rPr>
        <w:t>招标人</w:t>
      </w:r>
      <w:r>
        <w:rPr>
          <w:rFonts w:hint="eastAsia" w:ascii="宋体" w:hAnsi="宋体" w:cs="宋体"/>
          <w:color w:val="auto"/>
          <w:highlight w:val="none"/>
        </w:rPr>
        <w:t>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0</w:t>
      </w:r>
      <w:r>
        <w:rPr>
          <w:rFonts w:hint="eastAsia" w:ascii="宋体" w:hAnsi="宋体" w:cs="宋体"/>
          <w:b/>
          <w:bCs/>
          <w:color w:val="auto"/>
          <w:highlight w:val="none"/>
        </w:rPr>
        <w:t>、投标文件的样式和签署</w:t>
      </w:r>
    </w:p>
    <w:p>
      <w:pPr>
        <w:spacing w:line="360" w:lineRule="auto"/>
        <w:ind w:left="357" w:leftChars="8" w:hanging="340" w:hangingChars="162"/>
        <w:rPr>
          <w:rFonts w:hint="eastAsia" w:ascii="宋体" w:hAnsi="宋体" w:cs="宋体"/>
          <w:color w:val="auto"/>
          <w:highlight w:val="none"/>
        </w:rPr>
      </w:pPr>
      <w:bookmarkStart w:id="62" w:name="_Toc409173106"/>
      <w:bookmarkStart w:id="63" w:name="_Toc409173220"/>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.1投标文件应按第五章要求</w:t>
      </w:r>
      <w:bookmarkEnd w:id="62"/>
      <w:bookmarkEnd w:id="63"/>
      <w:r>
        <w:rPr>
          <w:rFonts w:hint="eastAsia" w:ascii="宋体" w:hAnsi="宋体" w:cs="宋体"/>
          <w:color w:val="auto"/>
          <w:highlight w:val="none"/>
        </w:rPr>
        <w:t>编制。</w:t>
      </w:r>
    </w:p>
    <w:p>
      <w:pPr>
        <w:spacing w:line="360" w:lineRule="auto"/>
        <w:ind w:left="462" w:leftChars="8" w:hanging="445" w:hangingChars="212"/>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.2</w:t>
      </w:r>
      <w:r>
        <w:rPr>
          <w:rFonts w:hint="eastAsia" w:ascii="宋体" w:hAnsi="宋体" w:cs="宋体"/>
          <w:highlight w:val="none"/>
        </w:rPr>
        <w:t>投标人应准备纸质投标文件1份（正本），2份（副本），1份（投标文件电子文档）。每份投标文件清楚标明“正本”或“副本”，如果“正本”与“副本”或“投标系统上传的电子投标文件”不符，以“投标系统上传的电子投标文件”为准。</w:t>
      </w:r>
    </w:p>
    <w:p>
      <w:pPr>
        <w:spacing w:line="360" w:lineRule="auto"/>
        <w:ind w:left="437" w:leftChars="208"/>
        <w:rPr>
          <w:rFonts w:hint="eastAsia" w:ascii="宋体" w:hAnsi="宋体" w:cs="宋体"/>
          <w:b/>
          <w:bCs/>
          <w:color w:val="auto"/>
          <w:highlight w:val="none"/>
        </w:rPr>
      </w:pPr>
      <w:r>
        <w:rPr>
          <w:rFonts w:hint="eastAsia" w:ascii="宋体" w:hAnsi="宋体" w:cs="宋体"/>
          <w:b/>
          <w:bCs/>
          <w:color w:val="auto"/>
          <w:highlight w:val="none"/>
        </w:rPr>
        <w:t>电子文件的内容</w:t>
      </w:r>
      <w:r>
        <w:rPr>
          <w:rFonts w:hint="eastAsia" w:ascii="宋体" w:hAnsi="宋体" w:cs="宋体"/>
          <w:b/>
          <w:bCs/>
          <w:color w:val="auto"/>
          <w:szCs w:val="21"/>
          <w:highlight w:val="none"/>
        </w:rPr>
        <w:t>为投标文件可</w:t>
      </w:r>
      <w:r>
        <w:rPr>
          <w:rFonts w:hint="eastAsia" w:ascii="宋体" w:hAnsi="宋体" w:cs="宋体"/>
          <w:b/>
          <w:bCs/>
          <w:color w:val="auto"/>
          <w:szCs w:val="21"/>
          <w:highlight w:val="none"/>
          <w:lang w:val="zh-CN"/>
        </w:rPr>
        <w:t>编辑电子版，</w:t>
      </w:r>
      <w:r>
        <w:rPr>
          <w:rFonts w:hint="eastAsia" w:ascii="宋体" w:hAnsi="宋体" w:cs="宋体"/>
          <w:b/>
          <w:bCs/>
          <w:color w:val="auto"/>
          <w:szCs w:val="21"/>
          <w:highlight w:val="none"/>
        </w:rPr>
        <w:t>详细报价表（用excel制作，保存为.xls格式）及正本盖章签字PDF扫描件</w:t>
      </w:r>
      <w:r>
        <w:rPr>
          <w:rFonts w:hint="eastAsia" w:ascii="宋体" w:hAnsi="宋体" w:cs="宋体"/>
          <w:b/>
          <w:bCs/>
          <w:color w:val="auto"/>
          <w:highlight w:val="none"/>
        </w:rPr>
        <w:t>保存至usb闪存盘介质。</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.3投标人文件“正本”是属于投标人自己制作的，均需用不褪色墨水书写或打印。</w:t>
      </w:r>
    </w:p>
    <w:p>
      <w:pPr>
        <w:spacing w:line="360" w:lineRule="auto"/>
        <w:ind w:left="462" w:hanging="462" w:hangingChars="2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.4投标文件的任何行间插字、涂改和增删，必须由投标文件的签字人用姓氏或首字母在旁边签字并加盖修改章或法人公章才有效。</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.5投标文件（副本），所有资料都有可以用投标文件的（正本）复印而成。</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.6投标文件的正本及所有副本的封面均须由投标人加盖公章。</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.7投标人须为其投标文件的正本及所有副本</w:t>
      </w:r>
      <w:r>
        <w:rPr>
          <w:rFonts w:hint="eastAsia" w:ascii="宋体" w:hAnsi="宋体" w:cs="宋体"/>
          <w:b/>
          <w:bCs/>
          <w:color w:val="auto"/>
          <w:highlight w:val="none"/>
          <w:u w:val="single"/>
        </w:rPr>
        <w:t>制作目录并标明页码</w:t>
      </w:r>
      <w:r>
        <w:rPr>
          <w:rFonts w:hint="eastAsia" w:ascii="宋体" w:hAnsi="宋体" w:cs="宋体"/>
          <w:color w:val="auto"/>
          <w:highlight w:val="none"/>
        </w:rPr>
        <w:t>。</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.8电报、电话、电传、传真的投标文件将被拒绝。</w:t>
      </w:r>
    </w:p>
    <w:p>
      <w:pPr>
        <w:pStyle w:val="5"/>
        <w:numPr>
          <w:ilvl w:val="0"/>
          <w:numId w:val="0"/>
        </w:numPr>
        <w:jc w:val="center"/>
        <w:rPr>
          <w:rFonts w:hint="eastAsia" w:hAnsi="宋体" w:cs="宋体"/>
          <w:color w:val="auto"/>
          <w:highlight w:val="none"/>
        </w:rPr>
      </w:pPr>
      <w:bookmarkStart w:id="64" w:name="_Toc409173221"/>
      <w:bookmarkStart w:id="65" w:name="_Toc513818904"/>
      <w:bookmarkStart w:id="66" w:name="_Toc409173107"/>
      <w:r>
        <w:rPr>
          <w:rFonts w:hint="eastAsia" w:hAnsi="宋体" w:cs="宋体"/>
          <w:color w:val="auto"/>
          <w:highlight w:val="none"/>
        </w:rPr>
        <w:t>四、投标文件的递交</w:t>
      </w:r>
      <w:bookmarkEnd w:id="64"/>
      <w:bookmarkEnd w:id="65"/>
      <w:bookmarkEnd w:id="66"/>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1</w:t>
      </w:r>
      <w:r>
        <w:rPr>
          <w:rFonts w:hint="eastAsia" w:ascii="宋体" w:hAnsi="宋体" w:cs="宋体"/>
          <w:b/>
          <w:bCs/>
          <w:color w:val="auto"/>
          <w:highlight w:val="none"/>
        </w:rPr>
        <w:t>、投标文件的密封和标记</w:t>
      </w:r>
    </w:p>
    <w:p>
      <w:pPr>
        <w:tabs>
          <w:tab w:val="left" w:pos="360"/>
          <w:tab w:val="left" w:pos="540"/>
          <w:tab w:val="left" w:pos="900"/>
          <w:tab w:val="left" w:pos="1680"/>
        </w:tabs>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 xml:space="preserve">.1  </w:t>
      </w:r>
      <w:r>
        <w:rPr>
          <w:rFonts w:hint="eastAsia" w:ascii="宋体" w:hAnsi="宋体" w:cs="宋体"/>
          <w:b/>
          <w:color w:val="auto"/>
          <w:highlight w:val="none"/>
          <w:u w:val="single"/>
        </w:rPr>
        <w:t>投标文件的包封要求；投标人最好按以下规定分别独立包封投标文件，独自分开的封包数共为3包:</w:t>
      </w:r>
    </w:p>
    <w:p>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（1）投标文件正本包封为一包，并在外包装上清晰标明“正本”字样；</w:t>
      </w:r>
    </w:p>
    <w:p>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（2）投标文件所有的副本一起包封为一包，并在外包装上清晰标明“副本”字样；</w:t>
      </w:r>
    </w:p>
    <w:p>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（3）投标文件的电子文件封为一包，并在外包装上清晰标明“电子文件”字样；</w:t>
      </w:r>
    </w:p>
    <w:p>
      <w:pPr>
        <w:spacing w:line="360" w:lineRule="auto"/>
        <w:ind w:left="359" w:hanging="359" w:hangingChars="171"/>
        <w:rPr>
          <w:rFonts w:hint="eastAsia" w:ascii="宋体" w:hAnsi="宋体" w:cs="宋体"/>
          <w:color w:val="auto"/>
          <w:highlight w:val="none"/>
        </w:rPr>
      </w:pPr>
      <w:bookmarkStart w:id="67" w:name="_Toc409173108"/>
      <w:bookmarkStart w:id="68" w:name="_Toc409173222"/>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.2</w:t>
      </w:r>
      <w:bookmarkEnd w:id="67"/>
      <w:bookmarkEnd w:id="68"/>
      <w:r>
        <w:rPr>
          <w:rFonts w:hint="eastAsia" w:ascii="宋体" w:hAnsi="宋体" w:cs="宋体"/>
          <w:color w:val="auto"/>
          <w:highlight w:val="none"/>
        </w:rPr>
        <w:t>投标文件的密封要求：投标人应确保上述各包分别独立密闭封装，外包装材料不应留有可在包封后添加或抽取投标文件的空隙。</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.3信封或外包装封套上应当注明项目名称、投标人名称。如果未按要求标记，招标人和招标代理机构对误投或提前启封概不负责。</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.4招标代理机构对不可抗力事件造成的投标文件的损坏、丢失不承担任何责任。</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2</w:t>
      </w:r>
      <w:r>
        <w:rPr>
          <w:rFonts w:hint="eastAsia" w:ascii="宋体" w:hAnsi="宋体" w:cs="宋体"/>
          <w:b/>
          <w:bCs/>
          <w:color w:val="auto"/>
          <w:highlight w:val="none"/>
        </w:rPr>
        <w:t>、投标截止日期</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.1所有投标文件应在投标截止时间前送达投标、开标地点，并交予招标代理机构工作人员，任何迟于这个时间的投标将被拒绝。</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3</w:t>
      </w:r>
      <w:r>
        <w:rPr>
          <w:rFonts w:hint="eastAsia" w:ascii="宋体" w:hAnsi="宋体" w:cs="宋体"/>
          <w:b/>
          <w:bCs/>
          <w:color w:val="auto"/>
          <w:highlight w:val="none"/>
        </w:rPr>
        <w:t>、迟交的投标文件</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.1按照投标人须知规定，招标代理机构将拒绝并原封退回在规定的投标截止时间后收到的任何投标证明文件。</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4</w:t>
      </w:r>
      <w:r>
        <w:rPr>
          <w:rFonts w:hint="eastAsia" w:ascii="宋体" w:hAnsi="宋体" w:cs="宋体"/>
          <w:b/>
          <w:bCs/>
          <w:color w:val="auto"/>
          <w:highlight w:val="none"/>
        </w:rPr>
        <w:t>、投标文件的修改与撤回</w:t>
      </w:r>
    </w:p>
    <w:p>
      <w:pPr>
        <w:spacing w:line="360" w:lineRule="auto"/>
        <w:ind w:left="359" w:hanging="359" w:hangingChars="171"/>
        <w:rPr>
          <w:rFonts w:hint="eastAsia" w:ascii="宋体" w:hAnsi="宋体" w:eastAsia="宋体" w:cs="宋体"/>
          <w:color w:val="auto"/>
          <w:highlight w:val="none"/>
          <w:lang w:val="en-US" w:eastAsia="zh-CN"/>
        </w:rPr>
      </w:pPr>
      <w:r>
        <w:rPr>
          <w:rFonts w:hint="eastAsia" w:ascii="宋体" w:hAnsi="宋体" w:cs="宋体"/>
          <w:highlight w:val="none"/>
          <w:lang w:val="en-US" w:eastAsia="zh-CN"/>
        </w:rPr>
        <w:t>24</w:t>
      </w:r>
      <w:r>
        <w:rPr>
          <w:rFonts w:hint="eastAsia" w:ascii="宋体" w:hAnsi="宋体" w:cs="宋体"/>
          <w:highlight w:val="none"/>
        </w:rPr>
        <w:t>.1投标人在递交电子投标文件后，在投标截止时间前投标人可以修改其投标，需在交易平台发出修改或撤回通知，并按要求加盖供应商印章。投标截止时间后不得修改其投标</w:t>
      </w:r>
      <w:r>
        <w:rPr>
          <w:rFonts w:hint="eastAsia" w:ascii="宋体" w:hAnsi="宋体" w:cs="宋体"/>
          <w:highlight w:val="none"/>
          <w:lang w:eastAsia="zh-CN"/>
        </w:rPr>
        <w:t>。</w:t>
      </w:r>
    </w:p>
    <w:p>
      <w:pPr>
        <w:spacing w:line="360" w:lineRule="auto"/>
        <w:ind w:left="360" w:hanging="360"/>
        <w:rPr>
          <w:rFonts w:hint="eastAsia" w:ascii="宋体" w:hAnsi="宋体" w:cs="宋体"/>
          <w:b/>
          <w:bCs/>
          <w:color w:val="auto"/>
          <w:sz w:val="32"/>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.2 投标人可以在投标截止时间前撤回其投标。</w:t>
      </w:r>
    </w:p>
    <w:p>
      <w:pPr>
        <w:pStyle w:val="5"/>
        <w:numPr>
          <w:ilvl w:val="0"/>
          <w:numId w:val="0"/>
        </w:numPr>
        <w:ind w:left="422"/>
        <w:jc w:val="center"/>
        <w:rPr>
          <w:rFonts w:hint="eastAsia" w:hAnsi="宋体" w:cs="宋体"/>
          <w:b w:val="0"/>
          <w:bCs/>
          <w:color w:val="auto"/>
          <w:sz w:val="32"/>
          <w:highlight w:val="none"/>
        </w:rPr>
      </w:pPr>
      <w:bookmarkStart w:id="69" w:name="_Toc409173109"/>
      <w:bookmarkStart w:id="70" w:name="_Toc513818905"/>
      <w:bookmarkStart w:id="71" w:name="_Toc409173223"/>
      <w:r>
        <w:rPr>
          <w:rFonts w:hint="eastAsia" w:hAnsi="宋体" w:cs="宋体"/>
          <w:color w:val="auto"/>
          <w:szCs w:val="30"/>
          <w:highlight w:val="none"/>
        </w:rPr>
        <w:t>五、开标与评标</w:t>
      </w:r>
      <w:bookmarkEnd w:id="69"/>
      <w:bookmarkEnd w:id="70"/>
      <w:bookmarkEnd w:id="71"/>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5</w:t>
      </w:r>
      <w:r>
        <w:rPr>
          <w:rFonts w:hint="eastAsia" w:ascii="宋体" w:hAnsi="宋体" w:cs="宋体"/>
          <w:b/>
          <w:bCs/>
          <w:color w:val="auto"/>
          <w:highlight w:val="none"/>
        </w:rPr>
        <w:t>、开标</w:t>
      </w:r>
    </w:p>
    <w:p>
      <w:pPr>
        <w:spacing w:line="360" w:lineRule="auto"/>
        <w:ind w:left="359" w:hanging="359" w:hangingChars="171"/>
        <w:rPr>
          <w:rFonts w:hint="eastAsia" w:ascii="宋体" w:hAnsi="宋体" w:cs="宋体"/>
        </w:rPr>
      </w:pPr>
      <w:r>
        <w:rPr>
          <w:rFonts w:hint="eastAsia" w:ascii="宋体" w:hAnsi="宋体" w:cs="宋体"/>
        </w:rPr>
        <w:t>2</w:t>
      </w:r>
      <w:r>
        <w:rPr>
          <w:rFonts w:hint="eastAsia" w:ascii="宋体" w:hAnsi="宋体" w:cs="宋体"/>
          <w:lang w:val="en-US" w:eastAsia="zh-CN"/>
        </w:rPr>
        <w:t>5</w:t>
      </w:r>
      <w:r>
        <w:rPr>
          <w:rFonts w:hint="eastAsia" w:ascii="宋体" w:hAnsi="宋体" w:cs="宋体"/>
        </w:rPr>
        <w:t>.1.1.招标人在指定地点和时间组织公开开标，如有改变，以招标代理机构的最新通知为准。届时投标人代表应现场或在线参与。现场出席开标仪式的代表应签名报到以证明其出席。投标人不参加开标会的，视其放弃见证、监督、申辩有关开标活动的权利。</w:t>
      </w:r>
    </w:p>
    <w:p>
      <w:pPr>
        <w:spacing w:line="360" w:lineRule="auto"/>
        <w:ind w:left="359" w:hanging="359" w:hangingChars="171"/>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1.2.在投标截止时间后，招标代理通过广咨电子招投标交易平台对已递交的电子投标文件进行系统解密。系统解密完成后，招标代理机构工作人员公布招标项目名称、投标人名称、投标总报价等主要内容及开标记录表中的其他必要内容。投标总报价以数字和文字两种方式表述的，应公布文字表述的投标报价。</w:t>
      </w:r>
    </w:p>
    <w:p>
      <w:pPr>
        <w:spacing w:line="360" w:lineRule="auto"/>
        <w:ind w:left="359" w:hanging="359" w:hangingChars="171"/>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.1.3.投标人对开标有异议的，远程在线参加开标会议的，应当通过电子投标平台在线限时内提出异议。现场参加开标会议的，应在开标现场提出。</w:t>
      </w:r>
    </w:p>
    <w:p>
      <w:pPr>
        <w:spacing w:line="360" w:lineRule="auto"/>
        <w:ind w:left="359" w:hanging="359" w:hangingChars="171"/>
        <w:rPr>
          <w:rFonts w:hint="eastAsia" w:ascii="宋体" w:hAnsi="宋体" w:cs="宋体"/>
          <w:color w:val="auto"/>
          <w:highlight w:val="none"/>
        </w:rPr>
      </w:pP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.1.4.招标人或招标代理机构当场或线上作出答复，并制作开标记录，各投标人需在开标确认截止时间前对开标一览表确认。</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.2开标时间采用北京时间计时（以国家授时中心标准时间为准）。</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.3开标地点：详见投标人须知前附表规定。</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pPr>
        <w:spacing w:line="360" w:lineRule="auto"/>
        <w:ind w:left="359" w:hanging="359" w:hangingChars="171"/>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.6迟到或撤回的投标文件将被原封退回给投标人。</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.7招标代理机构将做开标记录，开标记录包括在开标时宣读的全部内容，并由投标人签字确认，存档备查。</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6</w:t>
      </w:r>
      <w:r>
        <w:rPr>
          <w:rFonts w:hint="eastAsia" w:ascii="宋体" w:hAnsi="宋体" w:cs="宋体"/>
          <w:b/>
          <w:bCs/>
          <w:color w:val="auto"/>
          <w:highlight w:val="none"/>
        </w:rPr>
        <w:t>、评标委员会</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.1本次招标，招标人参照相关法律法规组成评标委员会。</w:t>
      </w:r>
    </w:p>
    <w:p>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.2 评标委员会</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.3评标委员会只对确定为实质上响应招标文件要求的投标，即通过符合性</w:t>
      </w:r>
      <w:r>
        <w:rPr>
          <w:rFonts w:hint="eastAsia" w:ascii="宋体" w:hAnsi="宋体" w:cs="宋体"/>
          <w:color w:val="auto"/>
          <w:highlight w:val="none"/>
          <w:lang w:val="en-US" w:eastAsia="zh-CN"/>
        </w:rPr>
        <w:t>审</w:t>
      </w:r>
      <w:r>
        <w:rPr>
          <w:rFonts w:hint="eastAsia" w:ascii="宋体" w:hAnsi="宋体" w:cs="宋体"/>
          <w:color w:val="auto"/>
          <w:highlight w:val="none"/>
        </w:rPr>
        <w:t>查的投标进行评价和比较，响应的依据是招标文件本身的内容，而不寻求其它证据。实质上响应的投标应该是与招标文件要求的全部主要条款、条件和规格相符，没有重大偏离的投标、关键条文的偏离、保留或反对。</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7</w:t>
      </w:r>
      <w:r>
        <w:rPr>
          <w:rFonts w:hint="eastAsia" w:ascii="宋体" w:hAnsi="宋体" w:cs="宋体"/>
          <w:b/>
          <w:bCs/>
          <w:color w:val="auto"/>
          <w:highlight w:val="none"/>
        </w:rPr>
        <w:t>、评标原则和评标方法</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.1评标遵循公平、公正、科学、择优的原则。评标委员会将按照规定只对通过初步评审的招标文件进行详细评审。</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.2评标方法：本次招标的评标方法采用综合评分法。</w:t>
      </w:r>
    </w:p>
    <w:p>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.3评标规则与步骤：详见第六章；</w:t>
      </w:r>
    </w:p>
    <w:p>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28</w:t>
      </w:r>
      <w:r>
        <w:rPr>
          <w:rFonts w:hint="eastAsia" w:ascii="宋体" w:hAnsi="宋体" w:cs="宋体"/>
          <w:b/>
          <w:bCs/>
          <w:color w:val="auto"/>
          <w:highlight w:val="none"/>
        </w:rPr>
        <w:t>、投标文件的修正和澄清</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.2投标人不得通过修正和撤销不合要求的偏离或保留从而使其没有实质上响应招标文件要求的投标成为实质上响应的投标。</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.3所谓实质上响应投标应是与招标文件要求的全部条款、条件和规格相符，没有重大偏离或保留。所谓重大偏离和保留是指实质上与招标文件不一致，而且限制了合同中</w:t>
      </w:r>
      <w:r>
        <w:rPr>
          <w:rFonts w:hint="eastAsia" w:ascii="宋体" w:hAnsi="宋体" w:cs="宋体"/>
          <w:color w:val="auto"/>
          <w:highlight w:val="none"/>
          <w:lang w:eastAsia="zh-CN"/>
        </w:rPr>
        <w:t>招标人</w:t>
      </w:r>
      <w:r>
        <w:rPr>
          <w:rFonts w:hint="eastAsia" w:ascii="宋体" w:hAnsi="宋体" w:cs="宋体"/>
          <w:color w:val="auto"/>
          <w:highlight w:val="none"/>
        </w:rPr>
        <w:t>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w:t>
      </w:r>
      <w:r>
        <w:rPr>
          <w:rFonts w:hint="eastAsia" w:ascii="宋体" w:hAnsi="宋体" w:cs="宋体"/>
          <w:color w:val="auto"/>
          <w:highlight w:val="none"/>
          <w:lang w:val="en-US" w:eastAsia="zh-CN"/>
        </w:rPr>
        <w:t>投标人</w:t>
      </w:r>
      <w:r>
        <w:rPr>
          <w:rFonts w:hint="eastAsia" w:ascii="宋体" w:hAnsi="宋体" w:cs="宋体"/>
          <w:color w:val="auto"/>
          <w:highlight w:val="none"/>
        </w:rPr>
        <w:t>必须按照技术响应表中对用户需求书的实际响应情况提供服务，否则按提供虚假材料处理，已中标的可取消中标资格。</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.4评标委员会将允许修正投标文件中的不构成重大偏离的、微小的、非正规的、不一致的或不规则的地方，但这些修正不能影响任何投标人相应的名次排列。</w:t>
      </w:r>
    </w:p>
    <w:p>
      <w:pPr>
        <w:spacing w:line="360" w:lineRule="auto"/>
        <w:rPr>
          <w:rFonts w:hint="eastAsia" w:ascii="宋体" w:hAnsi="宋体" w:cs="宋体"/>
          <w:b/>
          <w:bCs/>
          <w:color w:val="auto"/>
          <w:highlight w:val="none"/>
        </w:rPr>
      </w:pPr>
      <w:r>
        <w:rPr>
          <w:rFonts w:hint="eastAsia" w:ascii="宋体" w:hAnsi="宋体" w:cs="宋体"/>
          <w:b/>
          <w:color w:val="auto"/>
          <w:highlight w:val="none"/>
          <w:lang w:val="en-US" w:eastAsia="zh-CN"/>
        </w:rPr>
        <w:t>29</w:t>
      </w:r>
      <w:r>
        <w:rPr>
          <w:rFonts w:hint="eastAsia" w:ascii="宋体" w:hAnsi="宋体" w:cs="宋体"/>
          <w:b/>
          <w:color w:val="auto"/>
          <w:highlight w:val="none"/>
        </w:rPr>
        <w:t>、</w:t>
      </w:r>
      <w:r>
        <w:rPr>
          <w:rFonts w:hint="eastAsia" w:ascii="宋体" w:hAnsi="宋体" w:cs="宋体"/>
          <w:b/>
          <w:bCs/>
          <w:color w:val="auto"/>
          <w:highlight w:val="none"/>
        </w:rPr>
        <w:t>拒绝任何或所有投标的权力</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.1评标委员会经评审，认为所有投标都不符合招标文件实质性要求的，可以否决所有投标。</w:t>
      </w:r>
    </w:p>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.2当有效投标人少于3名时，可以拒绝所有投标并重新组织招标。</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.3如果第一、或二、或三中标候选人不能按照招标文件要求及其投标文件的承诺签订合同或其投标文件与事实不符，</w:t>
      </w:r>
      <w:r>
        <w:rPr>
          <w:rFonts w:hint="eastAsia" w:ascii="宋体" w:hAnsi="宋体" w:cs="宋体"/>
          <w:color w:val="auto"/>
          <w:highlight w:val="none"/>
          <w:lang w:eastAsia="zh-CN"/>
        </w:rPr>
        <w:t>招标人</w:t>
      </w:r>
      <w:r>
        <w:rPr>
          <w:rFonts w:hint="eastAsia" w:ascii="宋体" w:hAnsi="宋体" w:cs="宋体"/>
          <w:color w:val="auto"/>
          <w:highlight w:val="none"/>
        </w:rPr>
        <w:t>有权依照法定程序将合同按顺序授予其他中标候选人或重新开启招标程序，对受影响的投标人不承担任何责任，也无义务向受影响的投标人解释采取这一行动的理由。</w:t>
      </w:r>
    </w:p>
    <w:p>
      <w:pPr>
        <w:pStyle w:val="5"/>
        <w:numPr>
          <w:ilvl w:val="0"/>
          <w:numId w:val="0"/>
        </w:numPr>
        <w:ind w:left="422"/>
        <w:jc w:val="center"/>
        <w:rPr>
          <w:rFonts w:hint="eastAsia" w:hAnsi="宋体" w:cs="宋体"/>
          <w:color w:val="auto"/>
          <w:sz w:val="32"/>
          <w:highlight w:val="none"/>
        </w:rPr>
      </w:pPr>
      <w:bookmarkStart w:id="72" w:name="_Toc513818906"/>
      <w:r>
        <w:rPr>
          <w:rFonts w:hint="eastAsia" w:hAnsi="宋体" w:cs="宋体"/>
          <w:color w:val="auto"/>
          <w:szCs w:val="30"/>
          <w:highlight w:val="none"/>
        </w:rPr>
        <w:t>六、授予合同</w:t>
      </w:r>
      <w:bookmarkEnd w:id="72"/>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0</w:t>
      </w:r>
      <w:r>
        <w:rPr>
          <w:rFonts w:hint="eastAsia" w:ascii="宋体" w:hAnsi="宋体" w:cs="宋体"/>
          <w:b/>
          <w:bCs/>
          <w:color w:val="auto"/>
          <w:highlight w:val="none"/>
        </w:rPr>
        <w:t>、中标人的确定</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.1根据评标结果，招标人将按照招标文件的约定确定中标人。</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.2评标委员会无义务将合同授予投标报价最低的投标人。</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1</w:t>
      </w:r>
      <w:r>
        <w:rPr>
          <w:rFonts w:hint="eastAsia" w:ascii="宋体" w:hAnsi="宋体" w:cs="宋体"/>
          <w:b/>
          <w:bCs/>
          <w:color w:val="auto"/>
          <w:highlight w:val="none"/>
        </w:rPr>
        <w:t>、中标结果公示</w:t>
      </w:r>
    </w:p>
    <w:p>
      <w:pPr>
        <w:spacing w:line="360" w:lineRule="auto"/>
        <w:rPr>
          <w:rFonts w:hint="eastAsia" w:ascii="宋体" w:hAnsi="宋体" w:cs="宋体"/>
          <w:b/>
          <w:color w:val="auto"/>
          <w:highlight w:val="none"/>
        </w:rPr>
      </w:pPr>
      <w:r>
        <w:rPr>
          <w:rFonts w:hint="eastAsia" w:ascii="宋体" w:hAnsi="宋体" w:cs="宋体"/>
          <w:b/>
          <w:color w:val="auto"/>
          <w:highlight w:val="none"/>
        </w:rPr>
        <w:t>3</w:t>
      </w:r>
      <w:r>
        <w:rPr>
          <w:rFonts w:hint="eastAsia" w:ascii="宋体" w:hAnsi="宋体" w:cs="宋体"/>
          <w:b/>
          <w:color w:val="auto"/>
          <w:highlight w:val="none"/>
          <w:lang w:val="en-US" w:eastAsia="zh-CN"/>
        </w:rPr>
        <w:t>1</w:t>
      </w:r>
      <w:r>
        <w:rPr>
          <w:rFonts w:hint="eastAsia" w:ascii="宋体" w:hAnsi="宋体" w:cs="宋体"/>
          <w:b/>
          <w:color w:val="auto"/>
          <w:highlight w:val="none"/>
        </w:rPr>
        <w:t>.1</w:t>
      </w:r>
      <w:r>
        <w:rPr>
          <w:rFonts w:hint="eastAsia" w:ascii="宋体" w:hAnsi="宋体" w:cs="宋体"/>
          <w:b/>
          <w:color w:val="auto"/>
          <w:szCs w:val="21"/>
          <w:highlight w:val="none"/>
        </w:rPr>
        <w:t>广东省机电设备招标有限公司</w:t>
      </w:r>
      <w:r>
        <w:rPr>
          <w:rFonts w:hint="eastAsia" w:ascii="宋体" w:hAnsi="宋体" w:cs="宋体"/>
          <w:b/>
          <w:color w:val="auto"/>
          <w:highlight w:val="none"/>
        </w:rPr>
        <w:t>将在规定的时间通过指定网址公示中标结果。</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1</w:t>
      </w:r>
      <w:r>
        <w:rPr>
          <w:rFonts w:hint="eastAsia" w:ascii="宋体" w:hAnsi="宋体" w:cs="宋体"/>
          <w:color w:val="auto"/>
          <w:highlight w:val="none"/>
        </w:rPr>
        <w:t>.2在投标有效期满之前，广东省机电设备招标有限公司将在指定网址公告中标结果，并将招标结果通知</w:t>
      </w:r>
      <w:r>
        <w:rPr>
          <w:rFonts w:hint="eastAsia" w:ascii="宋体" w:hAnsi="宋体" w:cs="宋体"/>
          <w:color w:val="auto"/>
          <w:highlight w:val="none"/>
          <w:lang w:eastAsia="zh-CN"/>
        </w:rPr>
        <w:t>招标人</w:t>
      </w:r>
      <w:r>
        <w:rPr>
          <w:rFonts w:hint="eastAsia" w:ascii="宋体" w:hAnsi="宋体" w:cs="宋体"/>
          <w:color w:val="auto"/>
          <w:highlight w:val="none"/>
        </w:rPr>
        <w:t>。</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2</w:t>
      </w:r>
      <w:r>
        <w:rPr>
          <w:rFonts w:hint="eastAsia" w:ascii="宋体" w:hAnsi="宋体" w:cs="宋体"/>
          <w:b/>
          <w:bCs/>
          <w:color w:val="auto"/>
          <w:highlight w:val="none"/>
        </w:rPr>
        <w:t>、合同授予</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.1</w:t>
      </w:r>
      <w:r>
        <w:rPr>
          <w:rFonts w:hint="eastAsia" w:ascii="宋体" w:hAnsi="宋体" w:cs="宋体"/>
          <w:color w:val="auto"/>
          <w:highlight w:val="none"/>
          <w:lang w:eastAsia="zh-CN"/>
        </w:rPr>
        <w:t>招标人</w:t>
      </w:r>
      <w:r>
        <w:rPr>
          <w:rFonts w:hint="eastAsia" w:ascii="宋体" w:hAnsi="宋体" w:cs="宋体"/>
          <w:color w:val="auto"/>
          <w:highlight w:val="none"/>
        </w:rPr>
        <w:t>将合同授予被确定的中标人，中标人必须以中标人名义签订合同，若中标人为分公司或子公司的，应当在合同签订前提交由总公司出具的授权函。</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.2</w:t>
      </w:r>
      <w:r>
        <w:rPr>
          <w:rFonts w:hint="eastAsia" w:ascii="宋体" w:hAnsi="宋体" w:cs="宋体"/>
          <w:color w:val="auto"/>
          <w:highlight w:val="none"/>
          <w:lang w:eastAsia="zh-CN"/>
        </w:rPr>
        <w:t>招标人</w:t>
      </w:r>
      <w:r>
        <w:rPr>
          <w:rFonts w:hint="eastAsia" w:ascii="宋体" w:hAnsi="宋体" w:cs="宋体"/>
          <w:color w:val="auto"/>
          <w:highlight w:val="none"/>
        </w:rPr>
        <w:t>在授予合同时根据实际的需要有权对“用户需求书”中列举的涉及内容予以适当的增减，涉及内容的增减，该等增减行为不得对整个“用户需求”产生实际背离。按实际内容变化修正相应的价格。</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3</w:t>
      </w:r>
      <w:r>
        <w:rPr>
          <w:rFonts w:hint="eastAsia" w:ascii="宋体" w:hAnsi="宋体" w:cs="宋体"/>
          <w:b/>
          <w:bCs/>
          <w:color w:val="auto"/>
          <w:highlight w:val="none"/>
        </w:rPr>
        <w:t>、中标通知书及中标结果通知书</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.1招标代理机构将用书面的方式向中标人发出经确认的书面《中标通知书》，中标人收到《中标通知书》后及时书面向广东省机电设备招标有限公司确认。</w:t>
      </w:r>
    </w:p>
    <w:p>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.2 《中标通知书》将是合同的一个组成部分。</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.3广东省机电设备招标有限公司发出《中标通知书》时，向所有未中标人公告中标结果，对不中标的投标人不另行</w:t>
      </w:r>
      <w:r>
        <w:rPr>
          <w:rFonts w:hint="eastAsia" w:ascii="宋体" w:hAnsi="宋体" w:cs="宋体"/>
          <w:color w:val="auto"/>
          <w:highlight w:val="none"/>
        </w:rPr>
        <w:t>通知，亦不作任何解释。</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4</w:t>
      </w:r>
      <w:r>
        <w:rPr>
          <w:rFonts w:hint="eastAsia" w:ascii="宋体" w:hAnsi="宋体" w:cs="宋体"/>
          <w:b/>
          <w:bCs/>
          <w:color w:val="auto"/>
          <w:highlight w:val="none"/>
        </w:rPr>
        <w:t>、签订合同</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.1中标人应自《中标通知书》发出之日起三十日内，应按照《中标通知书》指定的时间、地点，派遣其授权代表前往与</w:t>
      </w:r>
      <w:r>
        <w:rPr>
          <w:rFonts w:hint="eastAsia" w:ascii="宋体" w:hAnsi="宋体" w:cs="宋体"/>
          <w:color w:val="auto"/>
          <w:highlight w:val="none"/>
          <w:lang w:val="en-US" w:eastAsia="zh-CN"/>
        </w:rPr>
        <w:t>招标人</w:t>
      </w:r>
      <w:r>
        <w:rPr>
          <w:rFonts w:hint="eastAsia" w:ascii="宋体" w:hAnsi="宋体" w:cs="宋体"/>
          <w:color w:val="auto"/>
          <w:highlight w:val="none"/>
        </w:rPr>
        <w:t>签署合同。</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.2合同的组成基于但不限于以下部分：</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（1）《合同条款》；</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（2）招标文件及澄清、补充、修改文件；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（3）中标人的投标文件及澄清、补充、修改文件；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（4）相关资料；</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（5）《中标通知书》。</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.3签定合同过程中的解释顺序：1、中标通知书；2、中标单位投标文件；3、招标文件；当上述三份文件中的表述有冲突之处，以上述文件顺序列前的文件表述为准。</w:t>
      </w:r>
    </w:p>
    <w:p>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.4不接受中标人授权其分公司或者分支机构签订合同。</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、招标代理服务费</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.1.中标人应按中标通知书要求与招标人签订合同。</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3" w:name="_Hlt263413520"/>
      <w:bookmarkEnd w:id="73"/>
      <w:r>
        <w:rPr>
          <w:rFonts w:hint="eastAsia" w:ascii="宋体" w:hAnsi="宋体" w:cs="宋体"/>
          <w:b/>
          <w:bCs/>
          <w:color w:val="auto"/>
          <w:highlight w:val="none"/>
        </w:rPr>
        <w:t>》（发改办价格【2003】857号）的标准，以</w:t>
      </w:r>
      <w:r>
        <w:rPr>
          <w:rFonts w:hint="eastAsia" w:ascii="宋体" w:hAnsi="宋体" w:cs="宋体"/>
          <w:b/>
          <w:bCs/>
          <w:color w:val="auto"/>
          <w:highlight w:val="none"/>
          <w:u w:val="single"/>
        </w:rPr>
        <w:t>中标金额</w:t>
      </w:r>
      <w:r>
        <w:rPr>
          <w:rFonts w:hint="eastAsia" w:ascii="宋体" w:hAnsi="宋体" w:cs="宋体"/>
          <w:b/>
          <w:bCs/>
          <w:color w:val="auto"/>
          <w:highlight w:val="none"/>
        </w:rPr>
        <w:t>作为采购代理服务费的计算基数进行计算招标代理服务费并</w:t>
      </w:r>
      <w:r>
        <w:rPr>
          <w:rFonts w:hint="eastAsia" w:ascii="宋体" w:hAnsi="宋体" w:cs="宋体"/>
          <w:b/>
          <w:bCs/>
          <w:color w:val="auto"/>
          <w:highlight w:val="none"/>
          <w:u w:val="single"/>
        </w:rPr>
        <w:t>下浮50%</w:t>
      </w:r>
      <w:r>
        <w:rPr>
          <w:rFonts w:hint="eastAsia" w:ascii="宋体" w:hAnsi="宋体" w:cs="宋体"/>
          <w:b/>
          <w:bCs/>
          <w:color w:val="auto"/>
          <w:highlight w:val="none"/>
        </w:rPr>
        <w:t>向招标代理机构缴纳</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本项目为货物类招标项目</w:t>
      </w:r>
      <w:r>
        <w:rPr>
          <w:rFonts w:hint="eastAsia" w:ascii="宋体" w:hAnsi="宋体" w:cs="宋体"/>
          <w:b/>
          <w:bCs/>
          <w:color w:val="auto"/>
          <w:highlight w:val="none"/>
        </w:rPr>
        <w:t>。</w:t>
      </w:r>
    </w:p>
    <w:tbl>
      <w:tblPr>
        <w:tblStyle w:val="25"/>
        <w:tblW w:w="8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1"/>
        <w:gridCol w:w="1854"/>
        <w:gridCol w:w="2056"/>
        <w:gridCol w:w="2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331" w:type="dxa"/>
            <w:noWrap w:val="0"/>
            <w:vAlign w:val="top"/>
          </w:tcPr>
          <w:p>
            <w:pPr>
              <w:snapToGrid w:val="0"/>
              <w:ind w:firstLine="1155" w:firstLineChars="55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1430655" cy="386080"/>
                      <wp:effectExtent l="1270" t="4445" r="15875" b="9525"/>
                      <wp:wrapNone/>
                      <wp:docPr id="3" name="直接箭头连接符 3"/>
                      <wp:cNvGraphicFramePr/>
                      <a:graphic xmlns:a="http://schemas.openxmlformats.org/drawingml/2006/main">
                        <a:graphicData uri="http://schemas.microsoft.com/office/word/2010/wordprocessingShape">
                          <wps:wsp>
                            <wps:cNvCnPr/>
                            <wps:spPr>
                              <a:xfrm>
                                <a:off x="0" y="0"/>
                                <a:ext cx="1430655" cy="386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5pt;margin-top:2.3pt;height:30.4pt;width:112.65pt;z-index:251659264;mso-width-relative:page;mso-height-relative:page;" filled="f" stroked="t" coordsize="21600,21600" o:gfxdata="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cpgo1QAAAAcBAAAPAAAAAAAAAAEAIAAAACIAAABkcnMvZG93&#10;bnJldi54bWxQSwECFAAUAAAACACHTuJAtYSjLAMCAADxAwAADgAAAAAAAAABACAAAAAkAQAAZHJz&#10;L2Uyb0RvYy54bWxQSwUGAAAAAAYABgBZAQAAmQUAAAAA&#10;">
                      <v:fill on="f" focussize="0,0"/>
                      <v:stroke color="#000000" joinstyle="round"/>
                      <v:imagedata o:title=""/>
                      <o:lock v:ext="edit" aspectratio="f"/>
                    </v:shape>
                  </w:pict>
                </mc:Fallback>
              </mc:AlternateContent>
            </w:r>
            <w:r>
              <w:rPr>
                <w:rFonts w:hint="eastAsia" w:ascii="宋体" w:hAnsi="宋体" w:cs="宋体"/>
                <w:bCs/>
                <w:color w:val="auto"/>
                <w:szCs w:val="21"/>
                <w:highlight w:val="none"/>
              </w:rPr>
              <w:t>费率</w:t>
            </w:r>
          </w:p>
          <w:p>
            <w:pPr>
              <w:snapToGrid w:val="0"/>
              <w:rPr>
                <w:rFonts w:hint="eastAsia" w:ascii="宋体" w:hAnsi="宋体" w:cs="宋体"/>
                <w:color w:val="auto"/>
                <w:szCs w:val="21"/>
                <w:highlight w:val="none"/>
              </w:rPr>
            </w:pPr>
            <w:r>
              <w:rPr>
                <w:rFonts w:hint="eastAsia" w:ascii="宋体" w:hAnsi="宋体" w:cs="宋体"/>
                <w:bCs/>
                <w:color w:val="auto"/>
                <w:szCs w:val="21"/>
                <w:highlight w:val="none"/>
              </w:rPr>
              <w:t>中标金额</w:t>
            </w:r>
          </w:p>
        </w:tc>
        <w:tc>
          <w:tcPr>
            <w:tcW w:w="1854" w:type="dxa"/>
            <w:noWrap w:val="0"/>
            <w:vAlign w:val="center"/>
          </w:tcPr>
          <w:p>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货物招标</w:t>
            </w:r>
          </w:p>
        </w:tc>
        <w:tc>
          <w:tcPr>
            <w:tcW w:w="2056" w:type="dxa"/>
            <w:noWrap w:val="0"/>
            <w:vAlign w:val="center"/>
          </w:tcPr>
          <w:p>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服务招标</w:t>
            </w:r>
          </w:p>
        </w:tc>
        <w:tc>
          <w:tcPr>
            <w:tcW w:w="2205" w:type="dxa"/>
            <w:noWrap w:val="0"/>
            <w:vAlign w:val="center"/>
          </w:tcPr>
          <w:p>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pPr>
              <w:jc w:val="center"/>
              <w:rPr>
                <w:rFonts w:hint="eastAsia" w:ascii="宋体" w:hAnsi="宋体" w:cs="宋体"/>
                <w:bCs/>
                <w:color w:val="auto"/>
                <w:szCs w:val="21"/>
                <w:highlight w:val="none"/>
              </w:rPr>
            </w:pPr>
            <w:r>
              <w:rPr>
                <w:rFonts w:hint="eastAsia" w:ascii="宋体" w:hAnsi="宋体" w:cs="宋体"/>
                <w:color w:val="auto"/>
                <w:szCs w:val="21"/>
                <w:highlight w:val="none"/>
              </w:rPr>
              <w:t>100万元以下</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056" w:type="dxa"/>
            <w:noWrap w:val="0"/>
            <w:vAlign w:val="center"/>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205" w:type="dxa"/>
            <w:noWrap w:val="0"/>
            <w:vAlign w:val="top"/>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056" w:type="dxa"/>
            <w:noWrap w:val="0"/>
            <w:vAlign w:val="center"/>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2205" w:type="dxa"/>
            <w:noWrap w:val="0"/>
            <w:vAlign w:val="top"/>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2056" w:type="dxa"/>
            <w:noWrap w:val="0"/>
            <w:vAlign w:val="center"/>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0.45%</w:t>
            </w:r>
          </w:p>
        </w:tc>
        <w:tc>
          <w:tcPr>
            <w:tcW w:w="2205" w:type="dxa"/>
            <w:noWrap w:val="0"/>
            <w:vAlign w:val="top"/>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5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2056" w:type="dxa"/>
            <w:noWrap w:val="0"/>
            <w:vAlign w:val="center"/>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2205" w:type="dxa"/>
            <w:noWrap w:val="0"/>
            <w:vAlign w:val="top"/>
          </w:tcPr>
          <w:p>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0.35%</w:t>
            </w:r>
          </w:p>
        </w:tc>
      </w:tr>
    </w:tbl>
    <w:p>
      <w:pPr>
        <w:spacing w:line="360" w:lineRule="auto"/>
        <w:ind w:left="439" w:hanging="439" w:hangingChars="208"/>
        <w:rPr>
          <w:rFonts w:hint="eastAsia" w:ascii="宋体" w:hAnsi="宋体" w:cs="宋体"/>
          <w:b/>
          <w:bCs/>
          <w:color w:val="auto"/>
          <w:highlight w:val="none"/>
        </w:rPr>
      </w:pPr>
    </w:p>
    <w:p>
      <w:pPr>
        <w:spacing w:line="360" w:lineRule="auto"/>
        <w:ind w:left="439" w:hanging="439" w:hangingChars="208"/>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.3招标代理服务费由中标</w:t>
      </w:r>
      <w:r>
        <w:rPr>
          <w:rFonts w:hint="eastAsia" w:ascii="宋体" w:hAnsi="宋体" w:cs="宋体"/>
          <w:b/>
          <w:bCs/>
          <w:color w:val="auto"/>
          <w:highlight w:val="none"/>
          <w:lang w:val="en-US" w:eastAsia="zh-CN"/>
        </w:rPr>
        <w:t>人</w:t>
      </w:r>
      <w:r>
        <w:rPr>
          <w:rFonts w:hint="eastAsia" w:ascii="宋体" w:hAnsi="宋体" w:cs="宋体"/>
          <w:b/>
          <w:bCs/>
          <w:color w:val="auto"/>
          <w:highlight w:val="none"/>
        </w:rPr>
        <w:t>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w:t>
      </w:r>
      <w:r>
        <w:rPr>
          <w:rFonts w:hint="eastAsia" w:ascii="宋体" w:hAnsi="宋体" w:cs="宋体"/>
          <w:b/>
          <w:bCs/>
          <w:color w:val="auto"/>
          <w:highlight w:val="none"/>
          <w:lang w:val="en-US" w:eastAsia="zh-CN"/>
        </w:rPr>
        <w:t>人</w:t>
      </w:r>
      <w:r>
        <w:rPr>
          <w:rFonts w:hint="eastAsia" w:ascii="宋体" w:hAnsi="宋体" w:cs="宋体"/>
          <w:b/>
          <w:bCs/>
          <w:color w:val="auto"/>
          <w:highlight w:val="none"/>
        </w:rPr>
        <w:t>自行承担责任。】。</w:t>
      </w:r>
    </w:p>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3</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、监督与检查</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6</w:t>
      </w:r>
      <w:r>
        <w:rPr>
          <w:rFonts w:hint="eastAsia" w:ascii="宋体" w:hAnsi="宋体" w:cs="宋体"/>
          <w:color w:val="auto"/>
          <w:highlight w:val="none"/>
        </w:rPr>
        <w:t>.1</w:t>
      </w:r>
      <w:r>
        <w:rPr>
          <w:rFonts w:hint="eastAsia" w:ascii="宋体" w:hAnsi="宋体" w:cs="宋体"/>
          <w:color w:val="auto"/>
          <w:kern w:val="0"/>
          <w:szCs w:val="21"/>
          <w:highlight w:val="none"/>
        </w:rPr>
        <w:t>投标人有下列情形之一，则中标、成交无效，投标保证金不予退还，取消投标人一年至三年内参加</w:t>
      </w:r>
      <w:r>
        <w:rPr>
          <w:rFonts w:hint="eastAsia" w:ascii="宋体" w:hAnsi="宋体" w:cs="宋体"/>
          <w:color w:val="auto"/>
          <w:highlight w:val="none"/>
          <w:u w:val="single"/>
        </w:rPr>
        <w:t>广东南方报业传媒集团物业管理有限公司</w:t>
      </w:r>
      <w:r>
        <w:rPr>
          <w:rFonts w:hint="eastAsia" w:ascii="宋体" w:hAnsi="宋体" w:cs="宋体"/>
          <w:color w:val="auto"/>
          <w:highlight w:val="none"/>
        </w:rPr>
        <w:t>招标项目的投标资格并予以公告；给招标人造成损失的，应追究其经济责任或法律责任：</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1.提供虚假投标材料的；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2.采取不正当手段诋毁、排挤其他投标人的；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3.与招标单位、其他投标人恶意串通的；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4.向招标单位行贿或者提供其他不正当利益的；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5.其它违法、违纪或违规的行为。</w:t>
      </w:r>
    </w:p>
    <w:p>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7</w:t>
      </w:r>
      <w:r>
        <w:rPr>
          <w:rFonts w:hint="eastAsia" w:ascii="宋体" w:hAnsi="宋体" w:cs="宋体"/>
          <w:b/>
          <w:bCs/>
          <w:color w:val="auto"/>
          <w:highlight w:val="none"/>
        </w:rPr>
        <w:t>、招标文件的解释权</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(1) 提出异议的应是投标人或者其他利害关系人。</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 异议必须以书面形式提出，注明异议的项目名称、项目编号、异议</w:t>
      </w:r>
      <w:r>
        <w:rPr>
          <w:rFonts w:hint="eastAsia" w:ascii="宋体" w:hAnsi="宋体" w:cs="宋体"/>
          <w:color w:val="auto"/>
          <w:highlight w:val="none"/>
          <w:lang w:val="en-US" w:eastAsia="zh-CN"/>
        </w:rPr>
        <w:t>投标人</w:t>
      </w:r>
      <w:r>
        <w:rPr>
          <w:rFonts w:hint="eastAsia" w:ascii="宋体" w:hAnsi="宋体" w:cs="宋体"/>
          <w:color w:val="auto"/>
          <w:highlight w:val="none"/>
        </w:rPr>
        <w:t>的单位名称、详细地址、邮政编码、联系人及联系电话等基本情况。</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 异议文件必须由法定代表人签署或经法定代表人授权的代表签署，加盖单位公章，在规定的时限内将异议书原件送抵广东省机电设备招标有限公司。</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 有异议的具体事项、请求及理由，不得含有虚假、恶意成份，并附相关证据材料，所依据的有关法律、法规、规章的名称及条款内容。</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 异议材料中有外文资料的，应一并附上中文译本，并以中文译本为准。</w:t>
      </w:r>
    </w:p>
    <w:p>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 异议事项属于有关法律、法规和规章规定处于保密阶段的事项，异议的当事人应当提供信息来源或有效证据。</w:t>
      </w:r>
      <w:r>
        <w:rPr>
          <w:rFonts w:hint="eastAsia" w:ascii="宋体" w:hAnsi="宋体" w:cs="宋体"/>
          <w:color w:val="auto"/>
          <w:highlight w:val="none"/>
        </w:rPr>
        <w:br w:type="page"/>
      </w:r>
    </w:p>
    <w:p>
      <w:pPr>
        <w:pStyle w:val="3"/>
        <w:rPr>
          <w:rFonts w:hint="eastAsia"/>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numPr>
          <w:ilvl w:val="0"/>
          <w:numId w:val="3"/>
        </w:numPr>
        <w:jc w:val="center"/>
        <w:outlineLvl w:val="0"/>
        <w:rPr>
          <w:rFonts w:hint="eastAsia" w:ascii="宋体" w:hAnsi="宋体" w:cs="宋体"/>
          <w:b/>
          <w:color w:val="auto"/>
          <w:sz w:val="44"/>
          <w:szCs w:val="44"/>
          <w:highlight w:val="none"/>
        </w:rPr>
      </w:pPr>
      <w:bookmarkStart w:id="74" w:name="_Toc477186261"/>
      <w:bookmarkStart w:id="75" w:name="_Toc5009"/>
      <w:r>
        <w:rPr>
          <w:rFonts w:hint="eastAsia" w:ascii="宋体" w:hAnsi="宋体" w:cs="宋体"/>
          <w:b/>
          <w:color w:val="auto"/>
          <w:sz w:val="44"/>
          <w:szCs w:val="44"/>
          <w:highlight w:val="none"/>
        </w:rPr>
        <w:t xml:space="preserve"> </w:t>
      </w:r>
      <w:bookmarkEnd w:id="74"/>
      <w:r>
        <w:rPr>
          <w:rFonts w:hint="eastAsia" w:ascii="宋体" w:hAnsi="宋体" w:cs="宋体"/>
          <w:b/>
          <w:color w:val="auto"/>
          <w:sz w:val="44"/>
          <w:szCs w:val="44"/>
          <w:highlight w:val="none"/>
        </w:rPr>
        <w:t>用户需求书</w:t>
      </w:r>
      <w:bookmarkEnd w:id="75"/>
    </w:p>
    <w:p>
      <w:pPr>
        <w:pStyle w:val="8"/>
        <w:ind w:left="0" w:leftChars="0"/>
        <w:rPr>
          <w:rFonts w:hint="eastAsia" w:ascii="宋体" w:hAnsi="宋体" w:cs="宋体"/>
          <w:color w:val="auto"/>
          <w:highlight w:val="none"/>
        </w:rPr>
      </w:pPr>
    </w:p>
    <w:p>
      <w:pPr>
        <w:rPr>
          <w:rFonts w:hint="eastAsia" w:ascii="宋体" w:hAnsi="宋体" w:cs="宋体"/>
          <w:color w:val="auto"/>
          <w:highlight w:val="none"/>
        </w:rPr>
      </w:pPr>
    </w:p>
    <w:p>
      <w:pPr>
        <w:pStyle w:val="8"/>
        <w:rPr>
          <w:rFonts w:hint="eastAsia" w:ascii="宋体" w:hAnsi="宋体" w:cs="宋体"/>
          <w:color w:val="auto"/>
          <w:highlight w:val="none"/>
        </w:rPr>
      </w:pPr>
    </w:p>
    <w:p>
      <w:pPr>
        <w:spacing w:line="360" w:lineRule="auto"/>
        <w:rPr>
          <w:rFonts w:hint="eastAsia" w:ascii="宋体" w:hAnsi="宋体" w:cs="宋体"/>
          <w:color w:val="auto"/>
          <w:szCs w:val="21"/>
          <w:highlight w:val="none"/>
        </w:rPr>
      </w:pPr>
      <w:bookmarkStart w:id="76" w:name="_Toc475448858"/>
      <w:bookmarkStart w:id="77" w:name="_Toc474757211"/>
      <w:r>
        <w:rPr>
          <w:rFonts w:hint="eastAsia" w:ascii="宋体" w:hAnsi="宋体" w:cs="宋体"/>
          <w:color w:val="auto"/>
          <w:szCs w:val="21"/>
          <w:highlight w:val="none"/>
        </w:rPr>
        <w:t>1.打“★”号条款为实质性条款，若有任何一条负偏离或不满足则导致投标（响应）无效。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2.打“▲”号条款为重要技术参数（如有），若有部分“▲”条款未响应或不满足，将根据评审要求影响其得分，但不作为无效投标（响应）条款。</w:t>
      </w:r>
    </w:p>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 w:val="21"/>
          <w:szCs w:val="21"/>
          <w:highlight w:val="none"/>
          <w:lang w:val="en-US" w:eastAsia="zh-CN"/>
        </w:rPr>
        <w:t>图纸详见附件。</w:t>
      </w:r>
    </w:p>
    <w:p>
      <w:pPr>
        <w:pStyle w:val="17"/>
        <w:adjustRightInd w:val="0"/>
        <w:snapToGrid w:val="0"/>
        <w:spacing w:line="360" w:lineRule="auto"/>
        <w:jc w:val="left"/>
        <w:rPr>
          <w:rFonts w:hint="eastAsia" w:hAnsi="宋体"/>
          <w:b/>
          <w:sz w:val="28"/>
          <w:szCs w:val="28"/>
          <w:highlight w:val="none"/>
          <w:lang w:val="en-US" w:eastAsia="zh-CN"/>
        </w:rPr>
      </w:pPr>
      <w:r>
        <w:rPr>
          <w:rFonts w:hint="eastAsia" w:ascii="宋体" w:hAnsi="宋体" w:cs="宋体"/>
          <w:color w:val="auto"/>
          <w:sz w:val="24"/>
          <w:szCs w:val="24"/>
          <w:highlight w:val="none"/>
        </w:rPr>
        <w:br w:type="page"/>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一、</w:t>
      </w:r>
      <w:r>
        <w:rPr>
          <w:rFonts w:hint="eastAsia" w:asciiTheme="minorEastAsia" w:hAnsiTheme="minorEastAsia" w:eastAsiaTheme="minorEastAsia" w:cstheme="minorEastAsia"/>
          <w:b/>
          <w:bCs/>
          <w:color w:val="000000"/>
          <w:sz w:val="21"/>
          <w:szCs w:val="21"/>
        </w:rPr>
        <w:t>工程名称、地点</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项</w:t>
      </w:r>
      <w:r>
        <w:rPr>
          <w:rFonts w:hint="eastAsia" w:asciiTheme="minorEastAsia" w:hAnsiTheme="minorEastAsia" w:eastAsiaTheme="minorEastAsia" w:cstheme="minorEastAsia"/>
          <w:sz w:val="21"/>
          <w:szCs w:val="21"/>
          <w:highlight w:val="none"/>
          <w:lang w:val="en-US" w:eastAsia="zh-CN"/>
        </w:rPr>
        <w:t>目名称：</w:t>
      </w:r>
      <w:r>
        <w:rPr>
          <w:rFonts w:hint="eastAsia" w:asciiTheme="minorEastAsia" w:hAnsiTheme="minorEastAsia" w:eastAsiaTheme="minorEastAsia" w:cstheme="minorEastAsia"/>
          <w:sz w:val="21"/>
          <w:szCs w:val="21"/>
          <w:highlight w:val="none"/>
        </w:rPr>
        <w:t>深圳分社新址装修</w:t>
      </w:r>
      <w:r>
        <w:rPr>
          <w:rFonts w:hint="eastAsia" w:asciiTheme="minorEastAsia" w:hAnsiTheme="minorEastAsia" w:eastAsiaTheme="minorEastAsia" w:cstheme="minorEastAsia"/>
          <w:sz w:val="21"/>
          <w:szCs w:val="21"/>
          <w:highlight w:val="none"/>
          <w:lang w:val="en-US" w:eastAsia="zh-CN"/>
        </w:rPr>
        <w:t>项目（机电设备部分）。</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2.建设地点：</w:t>
      </w:r>
      <w:r>
        <w:rPr>
          <w:rFonts w:hint="eastAsia" w:asciiTheme="minorEastAsia" w:hAnsiTheme="minorEastAsia" w:eastAsiaTheme="minorEastAsia" w:cstheme="minorEastAsia"/>
          <w:sz w:val="21"/>
          <w:szCs w:val="21"/>
          <w:highlight w:val="none"/>
        </w:rPr>
        <w:t>深圳市福田区华强北街道振华路与上步中路交汇处滨江爱义南方大厦B座12层、13层</w:t>
      </w:r>
      <w:r>
        <w:rPr>
          <w:rFonts w:hint="eastAsia" w:asciiTheme="minorEastAsia" w:hAnsiTheme="minorEastAsia" w:eastAsiaTheme="minorEastAsia" w:cstheme="minorEastAsia"/>
          <w:sz w:val="21"/>
          <w:szCs w:val="21"/>
          <w:highlight w:val="none"/>
          <w:lang w:val="en-US"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3.招标单位：广东南方报业传媒集团物业管理有限公司</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4.本项目招标主体为广东南方报业传媒集团物业管理有限公司，合同签订主体为南方报业传媒集团（南方日报社），中标人中标后须与合同签订主体签订本项目的施工合同。</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0" w:firstLine="422" w:firstLineChars="200"/>
        <w:jc w:val="both"/>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二、</w:t>
      </w:r>
      <w:r>
        <w:rPr>
          <w:rFonts w:hint="eastAsia" w:asciiTheme="minorEastAsia" w:hAnsiTheme="minorEastAsia" w:eastAsiaTheme="minorEastAsia" w:cstheme="minorEastAsia"/>
          <w:b/>
          <w:bCs/>
          <w:color w:val="000000"/>
          <w:sz w:val="21"/>
          <w:szCs w:val="21"/>
        </w:rPr>
        <w:t>工程</w:t>
      </w:r>
      <w:r>
        <w:rPr>
          <w:rFonts w:hint="eastAsia" w:asciiTheme="minorEastAsia" w:hAnsiTheme="minorEastAsia" w:eastAsiaTheme="minorEastAsia" w:cstheme="minorEastAsia"/>
          <w:b/>
          <w:bCs/>
          <w:color w:val="000000"/>
          <w:sz w:val="21"/>
          <w:szCs w:val="21"/>
          <w:lang w:val="en-US" w:eastAsia="zh-CN"/>
        </w:rPr>
        <w:t>概况</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i w:val="0"/>
          <w:caps w:val="0"/>
          <w:spacing w:val="0"/>
          <w:sz w:val="21"/>
          <w:szCs w:val="21"/>
          <w:highlight w:val="none"/>
          <w:shd w:val="clear"/>
          <w:lang w:val="en-US" w:eastAsia="zh-CN"/>
        </w:rPr>
        <w:t>1.</w:t>
      </w:r>
      <w:r>
        <w:rPr>
          <w:rFonts w:hint="eastAsia" w:asciiTheme="minorEastAsia" w:hAnsiTheme="minorEastAsia" w:eastAsiaTheme="minorEastAsia" w:cstheme="minorEastAsia"/>
          <w:sz w:val="21"/>
          <w:szCs w:val="21"/>
          <w:highlight w:val="none"/>
        </w:rPr>
        <w:t>12层</w:t>
      </w:r>
      <w:r>
        <w:rPr>
          <w:rFonts w:hint="eastAsia" w:asciiTheme="minorEastAsia" w:hAnsiTheme="minorEastAsia" w:eastAsiaTheme="minorEastAsia" w:cstheme="minorEastAsia"/>
          <w:sz w:val="21"/>
          <w:szCs w:val="21"/>
          <w:highlight w:val="none"/>
          <w:lang w:val="en-US" w:eastAsia="zh-CN"/>
        </w:rPr>
        <w:t>装修面积约</w:t>
      </w:r>
      <w:r>
        <w:rPr>
          <w:rFonts w:hint="eastAsia" w:asciiTheme="minorEastAsia" w:hAnsiTheme="minorEastAsia" w:eastAsiaTheme="minorEastAsia" w:cstheme="minorEastAsia"/>
          <w:sz w:val="21"/>
          <w:szCs w:val="21"/>
          <w:highlight w:val="none"/>
        </w:rPr>
        <w:t>10</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0</w:t>
      </w:r>
      <w:r>
        <w:rPr>
          <w:rFonts w:hint="eastAsia" w:asciiTheme="minorEastAsia" w:hAnsiTheme="minorEastAsia" w:eastAsiaTheme="minorEastAsia" w:cstheme="minorEastAsia"/>
          <w:sz w:val="21"/>
          <w:szCs w:val="21"/>
          <w:highlight w:val="none"/>
          <w:lang w:val="en-US" w:eastAsia="zh-CN"/>
        </w:rPr>
        <w:t>㎡，13层装修面积约400㎡，各层高约4.3米，主要</w:t>
      </w:r>
      <w:r>
        <w:rPr>
          <w:rFonts w:hint="eastAsia" w:asciiTheme="minorEastAsia" w:hAnsiTheme="minorEastAsia" w:eastAsiaTheme="minorEastAsia" w:cstheme="minorEastAsia"/>
          <w:sz w:val="21"/>
          <w:szCs w:val="21"/>
          <w:highlight w:val="none"/>
        </w:rPr>
        <w:t>施工内容包括12、13层通风空调系统和新风系统</w:t>
      </w:r>
      <w:r>
        <w:rPr>
          <w:rFonts w:hint="eastAsia" w:asciiTheme="minorEastAsia" w:hAnsiTheme="minorEastAsia" w:eastAsiaTheme="minorEastAsia" w:cstheme="minorEastAsia"/>
          <w:sz w:val="21"/>
          <w:szCs w:val="21"/>
          <w:highlight w:val="none"/>
          <w:lang w:val="en-US" w:eastAsia="zh-CN"/>
        </w:rPr>
        <w:t>的设备</w:t>
      </w:r>
      <w:r>
        <w:rPr>
          <w:rFonts w:hint="eastAsia" w:asciiTheme="minorEastAsia" w:hAnsiTheme="minorEastAsia" w:eastAsiaTheme="minorEastAsia" w:cstheme="minorEastAsia"/>
          <w:sz w:val="21"/>
          <w:szCs w:val="21"/>
          <w:highlight w:val="none"/>
        </w:rPr>
        <w:t>安装与调试，油漆、保温层、面层涂料、电气等工程</w:t>
      </w:r>
      <w:r>
        <w:rPr>
          <w:rFonts w:hint="eastAsia" w:asciiTheme="minorEastAsia" w:hAnsiTheme="minorEastAsia" w:eastAsiaTheme="minorEastAsia" w:cstheme="minorEastAsia"/>
          <w:sz w:val="21"/>
          <w:szCs w:val="21"/>
          <w:highlight w:val="none"/>
        </w:rPr>
        <w:t>（详见施工图）。</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shd w:val="clear"/>
          <w:lang w:val="en-US" w:eastAsia="zh-CN"/>
        </w:rPr>
      </w:pPr>
      <w:r>
        <w:rPr>
          <w:rFonts w:hint="eastAsia" w:asciiTheme="minorEastAsia" w:hAnsiTheme="minorEastAsia" w:eastAsiaTheme="minorEastAsia" w:cstheme="minorEastAsia"/>
          <w:sz w:val="21"/>
          <w:szCs w:val="21"/>
          <w:highlight w:val="none"/>
          <w:shd w:val="clear"/>
        </w:rPr>
        <w:t>2.</w:t>
      </w:r>
      <w:r>
        <w:rPr>
          <w:rFonts w:hint="eastAsia" w:asciiTheme="minorEastAsia" w:hAnsiTheme="minorEastAsia" w:eastAsiaTheme="minorEastAsia" w:cstheme="minorEastAsia"/>
          <w:sz w:val="21"/>
          <w:szCs w:val="21"/>
          <w:highlight w:val="none"/>
          <w:shd w:val="clear"/>
          <w:lang w:val="en-US" w:eastAsia="zh-CN"/>
        </w:rPr>
        <w:t>设备类型及数量：</w:t>
      </w:r>
      <w:r>
        <w:rPr>
          <w:rFonts w:hint="eastAsia" w:asciiTheme="minorEastAsia" w:hAnsiTheme="minorEastAsia" w:eastAsiaTheme="minorEastAsia" w:cstheme="minorEastAsia"/>
          <w:sz w:val="21"/>
          <w:szCs w:val="21"/>
          <w:highlight w:val="none"/>
          <w:shd w:val="clear"/>
        </w:rPr>
        <w:t>12</w:t>
      </w:r>
      <w:r>
        <w:rPr>
          <w:rFonts w:hint="eastAsia" w:asciiTheme="minorEastAsia" w:hAnsiTheme="minorEastAsia" w:eastAsiaTheme="minorEastAsia" w:cstheme="minorEastAsia"/>
          <w:sz w:val="21"/>
          <w:szCs w:val="21"/>
          <w:highlight w:val="none"/>
          <w:shd w:val="clear"/>
          <w:lang w:val="en-US" w:eastAsia="zh-CN"/>
        </w:rPr>
        <w:t>层1台</w:t>
      </w:r>
      <w:r>
        <w:rPr>
          <w:rFonts w:hint="eastAsia" w:asciiTheme="minorEastAsia" w:hAnsiTheme="minorEastAsia" w:eastAsiaTheme="minorEastAsia" w:cstheme="minorEastAsia"/>
          <w:sz w:val="21"/>
          <w:szCs w:val="21"/>
          <w:highlight w:val="none"/>
          <w:shd w:val="clear"/>
        </w:rPr>
        <w:t>空调室外机K-12-01(52HP）</w:t>
      </w:r>
      <w:r>
        <w:rPr>
          <w:rFonts w:hint="eastAsia" w:asciiTheme="minorEastAsia" w:hAnsiTheme="minorEastAsia" w:eastAsiaTheme="minorEastAsia" w:cstheme="minorEastAsia"/>
          <w:sz w:val="21"/>
          <w:szCs w:val="21"/>
          <w:highlight w:val="none"/>
          <w:shd w:val="clear"/>
          <w:lang w:val="en-US" w:eastAsia="zh-CN"/>
        </w:rPr>
        <w:t>单台冷量146KW、1台</w:t>
      </w:r>
      <w:bookmarkStart w:id="78" w:name="OLE_LINK3"/>
      <w:r>
        <w:rPr>
          <w:rFonts w:hint="eastAsia" w:asciiTheme="minorEastAsia" w:hAnsiTheme="minorEastAsia" w:eastAsiaTheme="minorEastAsia" w:cstheme="minorEastAsia"/>
          <w:sz w:val="21"/>
          <w:szCs w:val="21"/>
          <w:highlight w:val="none"/>
          <w:shd w:val="clear"/>
          <w:lang w:val="en-US" w:eastAsia="zh-CN"/>
        </w:rPr>
        <w:t>新风室外机K-B-12-4(16HP）</w:t>
      </w:r>
      <w:bookmarkEnd w:id="78"/>
      <w:r>
        <w:rPr>
          <w:rFonts w:hint="eastAsia" w:asciiTheme="minorEastAsia" w:hAnsiTheme="minorEastAsia" w:eastAsiaTheme="minorEastAsia" w:cstheme="minorEastAsia"/>
          <w:sz w:val="21"/>
          <w:szCs w:val="21"/>
          <w:highlight w:val="none"/>
          <w:shd w:val="clear"/>
          <w:lang w:val="en-US" w:eastAsia="zh-CN"/>
        </w:rPr>
        <w:t>单台冷量45KW；</w:t>
      </w:r>
      <w:r>
        <w:rPr>
          <w:rFonts w:hint="eastAsia" w:asciiTheme="minorEastAsia" w:hAnsiTheme="minorEastAsia" w:eastAsiaTheme="minorEastAsia" w:cstheme="minorEastAsia"/>
          <w:sz w:val="21"/>
          <w:szCs w:val="21"/>
          <w:highlight w:val="none"/>
          <w:shd w:val="clear"/>
        </w:rPr>
        <w:t>1</w:t>
      </w:r>
      <w:r>
        <w:rPr>
          <w:rFonts w:hint="eastAsia" w:asciiTheme="minorEastAsia" w:hAnsiTheme="minorEastAsia" w:eastAsiaTheme="minorEastAsia" w:cstheme="minorEastAsia"/>
          <w:sz w:val="21"/>
          <w:szCs w:val="21"/>
          <w:highlight w:val="none"/>
          <w:shd w:val="clear"/>
          <w:lang w:val="en-US" w:eastAsia="zh-CN"/>
        </w:rPr>
        <w:t>3层1台</w:t>
      </w:r>
      <w:r>
        <w:rPr>
          <w:rFonts w:hint="eastAsia" w:asciiTheme="minorEastAsia" w:hAnsiTheme="minorEastAsia" w:eastAsiaTheme="minorEastAsia" w:cstheme="minorEastAsia"/>
          <w:sz w:val="21"/>
          <w:szCs w:val="21"/>
          <w:highlight w:val="none"/>
          <w:shd w:val="clear"/>
        </w:rPr>
        <w:t>空调室外机K-13-01(20HP）</w:t>
      </w:r>
      <w:r>
        <w:rPr>
          <w:rFonts w:hint="eastAsia" w:asciiTheme="minorEastAsia" w:hAnsiTheme="minorEastAsia" w:eastAsiaTheme="minorEastAsia" w:cstheme="minorEastAsia"/>
          <w:sz w:val="21"/>
          <w:szCs w:val="21"/>
          <w:highlight w:val="none"/>
          <w:shd w:val="clear"/>
          <w:lang w:val="en-US" w:eastAsia="zh-CN"/>
        </w:rPr>
        <w:t>单台冷量56.5KW、1台新风室外机K-B-13-12(8HP）单台冷量22.4KW；</w:t>
      </w:r>
    </w:p>
    <w:p>
      <w:pPr>
        <w:keepNext w:val="0"/>
        <w:keepLines w:val="0"/>
        <w:pageBreakBefore w:val="0"/>
        <w:widowControl/>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shd w:val="clear"/>
          <w:lang w:val="en-US" w:eastAsia="zh-CN"/>
        </w:rPr>
        <w:t>两层室内机：2台2VRF22单台冷量2.2KW、9台VRF22单台冷量2.2KW、5台VRF28单台冷量2.8KW、8台VRF40单台冷量4KW、4台VRF56单台冷量5.6KW、3台VRF112单台冷量11.2KW、2台4VRF80单台冷量8KW、7台4VRF112单台冷量11.2KW、弱电机房1台1.5匹单台冷量3.5KW室内机并配套室外机</w:t>
      </w:r>
      <w:r>
        <w:rPr>
          <w:rFonts w:hint="eastAsia" w:asciiTheme="minorEastAsia" w:hAnsiTheme="minorEastAsia" w:eastAsiaTheme="minorEastAsia" w:cstheme="minorEastAsia"/>
          <w:sz w:val="21"/>
          <w:szCs w:val="21"/>
          <w:highlight w:val="none"/>
        </w:rPr>
        <w:t>（详见施工图</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报价清单</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color w:val="000000"/>
          <w:sz w:val="21"/>
          <w:szCs w:val="21"/>
          <w:lang w:val="en-US" w:eastAsia="zh-CN"/>
        </w:rPr>
        <w:t>三、技术</w:t>
      </w:r>
      <w:r>
        <w:rPr>
          <w:rFonts w:hint="eastAsia" w:asciiTheme="minorEastAsia" w:hAnsiTheme="minorEastAsia" w:eastAsiaTheme="minorEastAsia" w:cstheme="minorEastAsia"/>
          <w:b/>
          <w:bCs/>
          <w:color w:val="000000"/>
          <w:sz w:val="21"/>
          <w:szCs w:val="21"/>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（一）施工要求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1.拟派</w:t>
      </w:r>
      <w:r>
        <w:rPr>
          <w:rFonts w:hint="eastAsia" w:ascii="宋体" w:hAnsi="宋体" w:eastAsia="宋体" w:cs="宋体"/>
          <w:bCs/>
          <w:color w:val="auto"/>
          <w:kern w:val="28"/>
          <w:szCs w:val="22"/>
          <w:highlight w:val="none"/>
        </w:rPr>
        <w:t>本项目负责人为</w:t>
      </w:r>
      <w:r>
        <w:rPr>
          <w:rFonts w:hint="eastAsia" w:ascii="宋体" w:hAnsi="宋体" w:cs="宋体"/>
          <w:b w:val="0"/>
          <w:bCs/>
          <w:color w:val="auto"/>
          <w:kern w:val="28"/>
          <w:szCs w:val="22"/>
          <w:highlight w:val="none"/>
          <w:lang w:val="en-US" w:eastAsia="zh-CN"/>
        </w:rPr>
        <w:t>机电工程</w:t>
      </w:r>
      <w:r>
        <w:rPr>
          <w:rFonts w:hint="eastAsia" w:ascii="宋体" w:hAnsi="宋体" w:eastAsia="宋体" w:cs="宋体"/>
          <w:b w:val="0"/>
          <w:bCs/>
          <w:color w:val="auto"/>
          <w:kern w:val="28"/>
          <w:szCs w:val="22"/>
          <w:highlight w:val="none"/>
          <w:lang w:val="en-US" w:eastAsia="zh-CN"/>
        </w:rPr>
        <w:t>专业贰级（或以上）的注册建造师</w:t>
      </w:r>
      <w:r>
        <w:rPr>
          <w:rFonts w:hint="eastAsia" w:ascii="宋体" w:hAnsi="宋体" w:eastAsia="宋体" w:cs="宋体"/>
          <w:bCs/>
          <w:color w:val="auto"/>
          <w:kern w:val="28"/>
          <w:szCs w:val="22"/>
          <w:highlight w:val="none"/>
        </w:rPr>
        <w:t>，持有</w:t>
      </w:r>
      <w:r>
        <w:rPr>
          <w:rFonts w:hint="eastAsia" w:ascii="宋体" w:hAnsi="宋体" w:eastAsia="宋体" w:cs="宋体"/>
          <w:bCs/>
          <w:color w:val="auto"/>
          <w:kern w:val="28"/>
          <w:szCs w:val="22"/>
          <w:highlight w:val="none"/>
          <w:lang w:val="en-US" w:eastAsia="zh-CN"/>
        </w:rPr>
        <w:t>在有效期内的</w:t>
      </w:r>
      <w:r>
        <w:rPr>
          <w:rFonts w:hint="eastAsia" w:ascii="宋体" w:hAnsi="宋体" w:eastAsia="宋体" w:cs="宋体"/>
          <w:bCs/>
          <w:color w:val="auto"/>
          <w:kern w:val="28"/>
          <w:szCs w:val="22"/>
          <w:highlight w:val="none"/>
        </w:rPr>
        <w:t>安全生产考核合格证（B类）或建筑施工企业项目负责人安全生产考核合格证书</w:t>
      </w:r>
      <w:r>
        <w:rPr>
          <w:rFonts w:hint="eastAsia" w:asciiTheme="minorEastAsia" w:hAnsiTheme="minorEastAsia" w:eastAsiaTheme="minorEastAsia" w:cstheme="minorEastAsia"/>
          <w:sz w:val="21"/>
          <w:szCs w:val="21"/>
          <w:highlight w:val="none"/>
          <w:lang w:val="en-US" w:eastAsia="zh-CN"/>
        </w:rPr>
        <w:t>；管理员：安全员（具备</w:t>
      </w:r>
      <w:r>
        <w:rPr>
          <w:rFonts w:hint="eastAsia" w:ascii="宋体" w:hAnsi="宋体" w:eastAsia="宋体" w:cs="宋体"/>
          <w:bCs/>
          <w:color w:val="auto"/>
          <w:kern w:val="28"/>
          <w:szCs w:val="22"/>
          <w:highlight w:val="none"/>
        </w:rPr>
        <w:t>有效期内的安全生产考核合格证（C类）或建筑施工企业专职安全生产管理人员安全生产考核合格证书</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lang w:val="en-US" w:eastAsia="zh-CN"/>
        </w:rPr>
        <w:t>C3</w:t>
      </w:r>
      <w:r>
        <w:rPr>
          <w:rFonts w:hint="eastAsia" w:ascii="宋体" w:hAnsi="宋体" w:eastAsia="宋体" w:cs="宋体"/>
          <w:bCs/>
          <w:color w:val="auto"/>
          <w:kern w:val="28"/>
          <w:szCs w:val="22"/>
          <w:highlight w:val="none"/>
          <w:lang w:eastAsia="zh-CN"/>
        </w:rPr>
        <w:t>）</w:t>
      </w:r>
      <w:r>
        <w:rPr>
          <w:rFonts w:hint="eastAsia" w:asciiTheme="minorEastAsia" w:hAnsiTheme="minorEastAsia" w:eastAsiaTheme="minorEastAsia" w:cstheme="minorEastAsia"/>
          <w:sz w:val="21"/>
          <w:szCs w:val="21"/>
          <w:highlight w:val="none"/>
          <w:lang w:val="en-US" w:eastAsia="zh-CN"/>
        </w:rPr>
        <w:t>）等其他人员均需持证上岗；其他各专业工种：均需持证上岗。</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宋体" w:hAnsi="宋体" w:eastAsia="宋体" w:cs="宋体"/>
          <w:b w:val="0"/>
          <w:bCs/>
          <w:color w:val="auto"/>
          <w:kern w:val="28"/>
          <w:szCs w:val="22"/>
          <w:highlight w:val="none"/>
          <w:lang w:val="en-US" w:eastAsia="zh-CN"/>
        </w:rPr>
        <w:t>具有</w:t>
      </w:r>
      <w:r>
        <w:rPr>
          <w:rFonts w:hint="eastAsia" w:asciiTheme="minorEastAsia" w:hAnsiTheme="minorEastAsia" w:eastAsiaTheme="minorEastAsia" w:cstheme="minorEastAsia"/>
          <w:color w:val="auto"/>
          <w:kern w:val="2"/>
          <w:sz w:val="21"/>
          <w:szCs w:val="21"/>
          <w:highlight w:val="none"/>
          <w:lang w:eastAsia="zh-CN"/>
        </w:rPr>
        <w:t>建筑机电安装工程专业承包三级</w:t>
      </w:r>
      <w:r>
        <w:rPr>
          <w:rFonts w:hint="eastAsia" w:asciiTheme="minorEastAsia" w:hAnsiTheme="minorEastAsia" w:eastAsiaTheme="minorEastAsia" w:cstheme="minorEastAsia"/>
          <w:color w:val="auto"/>
          <w:kern w:val="2"/>
          <w:sz w:val="21"/>
          <w:szCs w:val="21"/>
          <w:highlight w:val="none"/>
          <w:lang w:val="en-US" w:eastAsia="zh-CN"/>
        </w:rPr>
        <w:t>或</w:t>
      </w:r>
      <w:r>
        <w:rPr>
          <w:rFonts w:hint="eastAsia" w:asciiTheme="minorEastAsia" w:hAnsiTheme="minorEastAsia" w:eastAsiaTheme="minorEastAsia" w:cstheme="minorEastAsia"/>
          <w:color w:val="auto"/>
          <w:kern w:val="2"/>
          <w:sz w:val="21"/>
          <w:szCs w:val="21"/>
          <w:highlight w:val="none"/>
        </w:rPr>
        <w:t>以上</w:t>
      </w:r>
      <w:r>
        <w:rPr>
          <w:rFonts w:hint="eastAsia" w:asciiTheme="minorEastAsia" w:hAnsiTheme="minorEastAsia" w:eastAsiaTheme="minorEastAsia" w:cstheme="minorEastAsia"/>
          <w:color w:val="auto"/>
          <w:kern w:val="2"/>
          <w:sz w:val="21"/>
          <w:szCs w:val="21"/>
          <w:highlight w:val="none"/>
          <w:lang w:eastAsia="zh-CN"/>
        </w:rPr>
        <w:t>资质。</w:t>
      </w:r>
      <w:r>
        <w:rPr>
          <w:rFonts w:hint="eastAsia" w:asciiTheme="minorEastAsia" w:hAnsiTheme="minorEastAsia" w:eastAsiaTheme="minorEastAsia" w:cstheme="minorEastAsia"/>
          <w:color w:val="auto"/>
          <w:sz w:val="21"/>
          <w:szCs w:val="21"/>
          <w:highlight w:val="none"/>
          <w:lang w:eastAsia="zh-CN"/>
        </w:rPr>
        <w:t>注：资质内容按照建市[2014]159号文颁布的新版《建筑业企业资质标准》中对应的资质类别及等级的承包工程范围和《住房和城乡建设部关于建筑业企业资质管理有关问题的通知》（建市[2015]154号）、《住房和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3.施工人员需安全文明施工，严格遵守南方报业传媒集团（南方日报社）和当地物业公司的各项规章制度，施工产生的噪音、施工垃圾不能影响到各部门及周边小区的日常工作和生活。</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4.如需夜间施工，中标人施工期间应当符合国家相关规范的要求，且招标人不再额外支付费用。</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5.投标人应按国家技术规范、标准、规程和招标人提供的设计图纸对项目进行施工，按合同要求保质保量施工，直至竣工验收合格。</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6.使用的管道应选用符合国家标准和规范要求的耐腐蚀、耐压力、耐低温等特性的材料。</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7.管道连接根据具体情况选择合适的连接方式，确保连接牢固、密封可靠。原有的保温层不得损坏、损坏应及时修补好。</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8.机组的电气系统需要符合电气安全规范，包括电源接入、配电箱、电缆敷设、接地保护等，以确保机组的安全运行。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Theme="minorEastAsia" w:hAnsiTheme="minorEastAsia" w:eastAsiaTheme="minorEastAsia" w:cstheme="minorEastAsia"/>
          <w:b/>
          <w:bCs/>
          <w:color w:val="000000"/>
          <w:sz w:val="21"/>
          <w:szCs w:val="21"/>
          <w:lang w:eastAsia="zh-CN"/>
        </w:rPr>
      </w:pPr>
      <w:r>
        <w:rPr>
          <w:rFonts w:hint="eastAsia" w:asciiTheme="minorEastAsia" w:hAnsiTheme="minorEastAsia" w:eastAsiaTheme="minorEastAsia" w:cstheme="minorEastAsia"/>
          <w:b/>
          <w:bCs/>
          <w:color w:val="000000"/>
          <w:sz w:val="21"/>
          <w:szCs w:val="21"/>
          <w:lang w:val="en-US" w:eastAsia="zh-CN"/>
        </w:rPr>
        <w:t>四、招标</w:t>
      </w:r>
      <w:r>
        <w:rPr>
          <w:rFonts w:hint="eastAsia" w:asciiTheme="minorEastAsia" w:hAnsiTheme="minorEastAsia" w:eastAsiaTheme="minorEastAsia" w:cstheme="minorEastAsia"/>
          <w:b/>
          <w:bCs/>
          <w:color w:val="000000"/>
          <w:sz w:val="21"/>
          <w:szCs w:val="21"/>
          <w:lang w:eastAsia="zh-CN"/>
        </w:rPr>
        <w:t>工程的要求</w:t>
      </w:r>
    </w:p>
    <w:p>
      <w:pPr>
        <w:keepNext w:val="0"/>
        <w:keepLines w:val="0"/>
        <w:pageBreakBefore w:val="0"/>
        <w:widowControl w:val="0"/>
        <w:numPr>
          <w:ilvl w:val="0"/>
          <w:numId w:val="0"/>
        </w:numPr>
        <w:shd w:val="clea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1.本工程招标价设最高限价，最高限价为 58.4 万元（含暂列金 10 万元）。</w:t>
      </w:r>
    </w:p>
    <w:p>
      <w:pPr>
        <w:keepNext w:val="0"/>
        <w:keepLines w:val="0"/>
        <w:pageBreakBefore w:val="0"/>
        <w:widowControl w:val="0"/>
        <w:numPr>
          <w:ilvl w:val="0"/>
          <w:numId w:val="0"/>
        </w:numPr>
        <w:shd w:val="clea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2.本工程按招标单位提供的招标机电设备施工图纸，中标单位完成报价清单，经招标人确认后施工。工程质量必须符合国家、部委、地方的施工工艺、验收规范。</w:t>
      </w:r>
    </w:p>
    <w:p>
      <w:pPr>
        <w:keepNext w:val="0"/>
        <w:keepLines w:val="0"/>
        <w:pageBreakBefore w:val="0"/>
        <w:widowControl w:val="0"/>
        <w:numPr>
          <w:ilvl w:val="0"/>
          <w:numId w:val="0"/>
        </w:numPr>
        <w:shd w:val="clea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3.工程验收合格之日算起，2年为缺陷责任期。在缺陷责任期内，施工单位接到质保修复通知后</w:t>
      </w:r>
      <w:r>
        <w:rPr>
          <w:rFonts w:hint="eastAsia" w:asciiTheme="minorEastAsia" w:hAnsiTheme="minorEastAsia" w:eastAsiaTheme="minorEastAsia" w:cstheme="minorEastAsia"/>
          <w:sz w:val="21"/>
          <w:szCs w:val="21"/>
          <w:highlight w:val="none"/>
          <w:lang w:val="zh-CN" w:eastAsia="zh-CN"/>
        </w:rPr>
        <w:t>1小时内响应，</w:t>
      </w:r>
      <w:r>
        <w:rPr>
          <w:rFonts w:hint="eastAsia" w:asciiTheme="minorEastAsia" w:hAnsiTheme="minorEastAsia" w:eastAsiaTheme="minorEastAsia" w:cstheme="minorEastAsia"/>
          <w:sz w:val="21"/>
          <w:szCs w:val="21"/>
          <w:highlight w:val="none"/>
          <w:lang w:val="en-US" w:eastAsia="zh-CN"/>
        </w:rPr>
        <w:t>应在24小时内赶到现场，质保修复等相关费用由施工单位自行负担。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0" w:firstLine="422" w:firstLineChars="200"/>
        <w:jc w:val="both"/>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eastAsia="zh-CN"/>
        </w:rPr>
        <w:t>五、工程款支付</w:t>
      </w:r>
      <w:r>
        <w:rPr>
          <w:rFonts w:hint="eastAsia" w:asciiTheme="minorEastAsia" w:hAnsiTheme="minorEastAsia" w:eastAsiaTheme="minorEastAsia" w:cstheme="minorEastAsia"/>
          <w:b/>
          <w:bCs/>
          <w:color w:val="000000"/>
          <w:sz w:val="21"/>
          <w:szCs w:val="21"/>
          <w:lang w:val="en-US" w:eastAsia="zh-CN"/>
        </w:rPr>
        <w:t>方式</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w:t>
      </w:r>
      <w:r>
        <w:rPr>
          <w:rFonts w:hint="eastAsia" w:asciiTheme="minorEastAsia" w:hAnsiTheme="minorEastAsia" w:eastAsiaTheme="minorEastAsia" w:cstheme="minorEastAsia"/>
          <w:sz w:val="21"/>
          <w:szCs w:val="21"/>
          <w:highlight w:val="none"/>
        </w:rPr>
        <w:t>合同签订后10天内，支付</w:t>
      </w:r>
      <w:r>
        <w:rPr>
          <w:rFonts w:hint="eastAsia" w:asciiTheme="minorEastAsia" w:hAnsiTheme="minorEastAsia" w:eastAsiaTheme="minorEastAsia" w:cstheme="minorEastAsia"/>
          <w:sz w:val="21"/>
          <w:szCs w:val="21"/>
          <w:highlight w:val="none"/>
          <w:lang w:val="en-US" w:eastAsia="zh-CN"/>
        </w:rPr>
        <w:t>设备</w:t>
      </w:r>
      <w:r>
        <w:rPr>
          <w:rFonts w:hint="eastAsia" w:asciiTheme="minorEastAsia" w:hAnsiTheme="minorEastAsia" w:eastAsiaTheme="minorEastAsia" w:cstheme="minorEastAsia"/>
          <w:sz w:val="21"/>
          <w:szCs w:val="21"/>
          <w:highlight w:val="none"/>
        </w:rPr>
        <w:t>工程费的20%为预付款</w:t>
      </w:r>
      <w:r>
        <w:rPr>
          <w:rFonts w:hint="eastAsia" w:asciiTheme="minorEastAsia" w:hAnsiTheme="minorEastAsia" w:eastAsiaTheme="minorEastAsia" w:cstheme="minorEastAsia"/>
          <w:b w:val="0"/>
          <w:bCs w:val="0"/>
          <w:sz w:val="21"/>
          <w:szCs w:val="21"/>
          <w:highlight w:val="none"/>
          <w:lang w:val="en-US" w:eastAsia="zh-CN"/>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w:t>
      </w:r>
      <w:r>
        <w:rPr>
          <w:rFonts w:hint="eastAsia" w:asciiTheme="minorEastAsia" w:hAnsiTheme="minorEastAsia" w:eastAsiaTheme="minorEastAsia" w:cstheme="minorEastAsia"/>
          <w:sz w:val="21"/>
          <w:szCs w:val="21"/>
          <w:highlight w:val="none"/>
        </w:rPr>
        <w:t>空调设备到货进场并验收合格后，10天内支付</w:t>
      </w:r>
      <w:r>
        <w:rPr>
          <w:rFonts w:hint="eastAsia" w:asciiTheme="minorEastAsia" w:hAnsiTheme="minorEastAsia" w:eastAsiaTheme="minorEastAsia" w:cstheme="minorEastAsia"/>
          <w:sz w:val="21"/>
          <w:szCs w:val="21"/>
          <w:highlight w:val="none"/>
          <w:lang w:val="en-US" w:eastAsia="zh-CN"/>
        </w:rPr>
        <w:t>设备</w:t>
      </w:r>
      <w:r>
        <w:rPr>
          <w:rFonts w:hint="eastAsia" w:asciiTheme="minorEastAsia" w:hAnsiTheme="minorEastAsia" w:eastAsiaTheme="minorEastAsia" w:cstheme="minorEastAsia"/>
          <w:sz w:val="21"/>
          <w:szCs w:val="21"/>
          <w:highlight w:val="none"/>
        </w:rPr>
        <w:t>工程费的30%；工程竣工验收合格后，10天内支付</w:t>
      </w:r>
      <w:r>
        <w:rPr>
          <w:rFonts w:hint="eastAsia" w:asciiTheme="minorEastAsia" w:hAnsiTheme="minorEastAsia" w:eastAsiaTheme="minorEastAsia" w:cstheme="minorEastAsia"/>
          <w:sz w:val="21"/>
          <w:szCs w:val="21"/>
          <w:highlight w:val="none"/>
          <w:lang w:val="en-US" w:eastAsia="zh-CN"/>
        </w:rPr>
        <w:t>设备</w:t>
      </w:r>
      <w:r>
        <w:rPr>
          <w:rFonts w:hint="eastAsia" w:asciiTheme="minorEastAsia" w:hAnsiTheme="minorEastAsia" w:eastAsiaTheme="minorEastAsia" w:cstheme="minorEastAsia"/>
          <w:sz w:val="21"/>
          <w:szCs w:val="21"/>
          <w:highlight w:val="none"/>
        </w:rPr>
        <w:t>工程费的35%；</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3.</w:t>
      </w:r>
      <w:r>
        <w:rPr>
          <w:rFonts w:hint="eastAsia" w:asciiTheme="minorEastAsia" w:hAnsiTheme="minorEastAsia" w:eastAsiaTheme="minorEastAsia" w:cstheme="minorEastAsia"/>
          <w:sz w:val="21"/>
          <w:szCs w:val="21"/>
          <w:highlight w:val="none"/>
        </w:rPr>
        <w:t>工程竣工结算，提交结算书经相关部门/单位/第三方结算审计确认后，10天内支付至结算价的97%；</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4.</w:t>
      </w:r>
      <w:r>
        <w:rPr>
          <w:rFonts w:hint="eastAsia" w:asciiTheme="minorEastAsia" w:hAnsiTheme="minorEastAsia" w:eastAsiaTheme="minorEastAsia" w:cstheme="minorEastAsia"/>
          <w:sz w:val="21"/>
          <w:szCs w:val="21"/>
          <w:highlight w:val="none"/>
        </w:rPr>
        <w:t>结算价余款3%，余款在本合同第9.4条规定缺陷责任期满后10天内乙方无违约行为情形下由甲方无息付清。</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zh-CN" w:eastAsia="zh-CN"/>
        </w:rPr>
      </w:pPr>
      <w:r>
        <w:rPr>
          <w:rFonts w:hint="eastAsia" w:asciiTheme="minorEastAsia" w:hAnsiTheme="minorEastAsia" w:eastAsiaTheme="minorEastAsia" w:cstheme="minorEastAsia"/>
          <w:b w:val="0"/>
          <w:bCs w:val="0"/>
          <w:sz w:val="21"/>
          <w:szCs w:val="21"/>
          <w:highlight w:val="none"/>
          <w:lang w:val="en-US" w:eastAsia="zh-CN"/>
        </w:rPr>
        <w:t>5.上述每阶段均须提供增值税专用发票。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Theme="minorEastAsia" w:hAnsiTheme="minorEastAsia" w:eastAsiaTheme="minorEastAsia" w:cstheme="minorEastAsia"/>
          <w:b/>
          <w:bCs/>
          <w:color w:val="000000"/>
          <w:sz w:val="21"/>
          <w:szCs w:val="21"/>
          <w:highlight w:val="none"/>
          <w:lang w:eastAsia="zh-CN"/>
        </w:rPr>
      </w:pPr>
      <w:r>
        <w:rPr>
          <w:rFonts w:hint="eastAsia" w:asciiTheme="minorEastAsia" w:hAnsiTheme="minorEastAsia" w:eastAsiaTheme="minorEastAsia" w:cstheme="minorEastAsia"/>
          <w:b/>
          <w:bCs/>
          <w:color w:val="000000"/>
          <w:sz w:val="21"/>
          <w:szCs w:val="21"/>
          <w:highlight w:val="none"/>
          <w:lang w:val="en-US" w:eastAsia="zh-CN"/>
        </w:rPr>
        <w:t>六</w:t>
      </w:r>
      <w:r>
        <w:rPr>
          <w:rFonts w:hint="eastAsia" w:asciiTheme="minorEastAsia" w:hAnsiTheme="minorEastAsia" w:eastAsiaTheme="minorEastAsia" w:cstheme="minorEastAsia"/>
          <w:b/>
          <w:bCs/>
          <w:color w:val="000000"/>
          <w:sz w:val="21"/>
          <w:szCs w:val="21"/>
          <w:highlight w:val="none"/>
          <w:lang w:eastAsia="zh-CN"/>
        </w:rPr>
        <w:t>、工程承包方式</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1.本工程承包方式采用</w:t>
      </w:r>
      <w:r>
        <w:rPr>
          <w:rFonts w:hint="eastAsia" w:asciiTheme="minorEastAsia" w:hAnsiTheme="minorEastAsia" w:eastAsiaTheme="minorEastAsia" w:cstheme="minorEastAsia"/>
          <w:kern w:val="2"/>
          <w:sz w:val="21"/>
          <w:szCs w:val="21"/>
          <w:highlight w:val="none"/>
          <w:lang w:val="zh-CN"/>
        </w:rPr>
        <w:t>按设备施工图纸和报价清单进行</w:t>
      </w:r>
      <w:r>
        <w:rPr>
          <w:rFonts w:hint="eastAsia" w:asciiTheme="minorEastAsia" w:hAnsiTheme="minorEastAsia" w:eastAsiaTheme="minorEastAsia" w:cstheme="minorEastAsia"/>
          <w:kern w:val="2"/>
          <w:sz w:val="21"/>
          <w:szCs w:val="21"/>
          <w:highlight w:val="none"/>
          <w:lang w:val="en-US" w:eastAsia="zh-CN"/>
        </w:rPr>
        <w:t>设备工程费</w:t>
      </w:r>
      <w:r>
        <w:rPr>
          <w:rFonts w:hint="eastAsia" w:asciiTheme="minorEastAsia" w:hAnsiTheme="minorEastAsia" w:eastAsiaTheme="minorEastAsia" w:cstheme="minorEastAsia"/>
          <w:kern w:val="2"/>
          <w:sz w:val="21"/>
          <w:szCs w:val="21"/>
          <w:highlight w:val="none"/>
          <w:lang w:val="zh-CN"/>
        </w:rPr>
        <w:t>包干</w:t>
      </w:r>
      <w:r>
        <w:rPr>
          <w:rFonts w:hint="eastAsia" w:asciiTheme="minorEastAsia" w:hAnsiTheme="minorEastAsia" w:eastAsiaTheme="minorEastAsia" w:cstheme="minorEastAsia"/>
          <w:sz w:val="21"/>
          <w:szCs w:val="21"/>
          <w:highlight w:val="none"/>
        </w:rPr>
        <w:t>。合同</w:t>
      </w:r>
      <w:r>
        <w:rPr>
          <w:rFonts w:hint="eastAsia" w:asciiTheme="minorEastAsia" w:hAnsiTheme="minorEastAsia" w:eastAsiaTheme="minorEastAsia" w:cstheme="minorEastAsia"/>
          <w:sz w:val="21"/>
          <w:szCs w:val="21"/>
          <w:highlight w:val="none"/>
          <w:lang w:val="en-US" w:eastAsia="zh-CN"/>
        </w:rPr>
        <w:t>限定</w:t>
      </w:r>
      <w:r>
        <w:rPr>
          <w:rFonts w:hint="eastAsia" w:asciiTheme="minorEastAsia" w:hAnsiTheme="minorEastAsia" w:eastAsiaTheme="minorEastAsia" w:cstheme="minorEastAsia"/>
          <w:sz w:val="21"/>
          <w:szCs w:val="21"/>
          <w:highlight w:val="none"/>
        </w:rPr>
        <w:t>总价（其中包含</w:t>
      </w:r>
      <w:r>
        <w:rPr>
          <w:rFonts w:hint="eastAsia" w:asciiTheme="minorEastAsia" w:hAnsiTheme="minorEastAsia" w:eastAsiaTheme="minorEastAsia" w:cstheme="minorEastAsia"/>
          <w:sz w:val="21"/>
          <w:szCs w:val="21"/>
          <w:highlight w:val="none"/>
          <w:lang w:val="en-US" w:eastAsia="zh-CN"/>
        </w:rPr>
        <w:t>:税费、</w:t>
      </w:r>
      <w:r>
        <w:rPr>
          <w:rFonts w:hint="eastAsia" w:asciiTheme="minorEastAsia" w:hAnsiTheme="minorEastAsia" w:eastAsiaTheme="minorEastAsia" w:cstheme="minorEastAsia"/>
          <w:sz w:val="21"/>
          <w:szCs w:val="21"/>
          <w:highlight w:val="none"/>
        </w:rPr>
        <w:t>现场勘察费、人工、材料、设备、质量、工期、造价控制、施工安全责任、夜间施工费、赶工措施费、文明施工、项目协调管理、验收移交、包竣工资料收集整理、包保修、包施工期内综合单价不变）。</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综合单价确认:采用工程量清单综合单价。</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本工程结算方式</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kern w:val="2"/>
          <w:sz w:val="21"/>
          <w:szCs w:val="21"/>
          <w:highlight w:val="none"/>
          <w:lang w:val="zh-CN"/>
        </w:rPr>
        <w:t>按设备施工图纸和报价清单进行</w:t>
      </w:r>
      <w:r>
        <w:rPr>
          <w:rFonts w:hint="eastAsia" w:asciiTheme="minorEastAsia" w:hAnsiTheme="minorEastAsia" w:eastAsiaTheme="minorEastAsia" w:cstheme="minorEastAsia"/>
          <w:kern w:val="2"/>
          <w:sz w:val="21"/>
          <w:szCs w:val="21"/>
          <w:highlight w:val="none"/>
          <w:lang w:val="en-US" w:eastAsia="zh-CN"/>
        </w:rPr>
        <w:t>设备工程费</w:t>
      </w:r>
      <w:r>
        <w:rPr>
          <w:rFonts w:hint="eastAsia" w:asciiTheme="minorEastAsia" w:hAnsiTheme="minorEastAsia" w:eastAsiaTheme="minorEastAsia" w:cstheme="minorEastAsia"/>
          <w:kern w:val="2"/>
          <w:sz w:val="21"/>
          <w:szCs w:val="21"/>
          <w:highlight w:val="none"/>
          <w:lang w:val="zh-CN"/>
        </w:rPr>
        <w:t>包干</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sz w:val="21"/>
          <w:szCs w:val="21"/>
          <w:highlight w:val="none"/>
        </w:rPr>
        <w:t>项目实施过程中，如</w:t>
      </w:r>
      <w:r>
        <w:rPr>
          <w:rFonts w:hint="eastAsia" w:asciiTheme="minorEastAsia" w:hAnsiTheme="minorEastAsia" w:eastAsiaTheme="minorEastAsia" w:cstheme="minorEastAsia"/>
          <w:sz w:val="21"/>
          <w:szCs w:val="21"/>
          <w:highlight w:val="none"/>
          <w:lang w:val="en-US" w:eastAsia="zh-CN"/>
        </w:rPr>
        <w:t>招标</w:t>
      </w:r>
      <w:r>
        <w:rPr>
          <w:rFonts w:hint="eastAsia" w:asciiTheme="minorEastAsia" w:hAnsiTheme="minorEastAsia" w:eastAsiaTheme="minorEastAsia" w:cstheme="minorEastAsia"/>
          <w:sz w:val="21"/>
          <w:szCs w:val="21"/>
          <w:highlight w:val="none"/>
        </w:rPr>
        <w:t>人需要增加在招标范围之外的项目，则按实际发生额增加相应费用，在暂列金项列支</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如</w:t>
      </w:r>
      <w:r>
        <w:rPr>
          <w:rFonts w:hint="eastAsia" w:asciiTheme="minorEastAsia" w:hAnsiTheme="minorEastAsia" w:eastAsiaTheme="minorEastAsia" w:cstheme="minorEastAsia"/>
          <w:sz w:val="21"/>
          <w:szCs w:val="21"/>
          <w:highlight w:val="none"/>
          <w:lang w:val="en-US" w:eastAsia="zh-CN"/>
        </w:rPr>
        <w:t>招标</w:t>
      </w:r>
      <w:r>
        <w:rPr>
          <w:rFonts w:hint="eastAsia" w:asciiTheme="minorEastAsia" w:hAnsiTheme="minorEastAsia" w:eastAsiaTheme="minorEastAsia" w:cstheme="minorEastAsia"/>
          <w:sz w:val="21"/>
          <w:szCs w:val="21"/>
          <w:highlight w:val="none"/>
        </w:rPr>
        <w:t>人需要减少招标范围内的项目，则按实际减少相应项目费用</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工程量以</w:t>
      </w:r>
      <w:r>
        <w:rPr>
          <w:rFonts w:hint="eastAsia" w:asciiTheme="minorEastAsia" w:hAnsiTheme="minorEastAsia" w:eastAsiaTheme="minorEastAsia" w:cstheme="minorEastAsia"/>
          <w:sz w:val="21"/>
          <w:szCs w:val="21"/>
          <w:highlight w:val="none"/>
          <w:lang w:val="en-US" w:eastAsia="zh-CN"/>
        </w:rPr>
        <w:t>设备</w:t>
      </w:r>
      <w:r>
        <w:rPr>
          <w:rFonts w:hint="eastAsia" w:asciiTheme="minorEastAsia" w:hAnsiTheme="minorEastAsia" w:eastAsiaTheme="minorEastAsia" w:cstheme="minorEastAsia"/>
          <w:sz w:val="21"/>
          <w:szCs w:val="21"/>
          <w:highlight w:val="none"/>
        </w:rPr>
        <w:t>施工图为依据</w:t>
      </w:r>
      <w:r>
        <w:rPr>
          <w:rFonts w:hint="eastAsia" w:asciiTheme="minorEastAsia" w:hAnsiTheme="minorEastAsia" w:eastAsiaTheme="minorEastAsia" w:cstheme="minorEastAsia"/>
          <w:sz w:val="21"/>
          <w:szCs w:val="21"/>
          <w:highlight w:val="none"/>
          <w:lang w:val="en-US" w:eastAsia="zh-CN"/>
        </w:rPr>
        <w:t>不予调增调减</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4.内容详见设备施工图纸。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jc w:val="both"/>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七、其他要求</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1.投标人施工工艺符合相关的建筑、消防规范和标准。</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2.投标人负责该项目的施工、技术服务(包括技术资料、图纸的提供)、质保期保障等的全部内容及费用，达到招标人要求移交使用为目的。</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工程期限</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个日历天，以</w:t>
      </w:r>
      <w:r>
        <w:rPr>
          <w:rFonts w:hint="eastAsia" w:asciiTheme="minorEastAsia" w:hAnsiTheme="minorEastAsia" w:eastAsiaTheme="minorEastAsia" w:cstheme="minorEastAsia"/>
          <w:sz w:val="21"/>
          <w:szCs w:val="21"/>
          <w:highlight w:val="none"/>
          <w:lang w:val="en-US" w:eastAsia="zh-CN"/>
        </w:rPr>
        <w:t>招标人</w:t>
      </w:r>
      <w:r>
        <w:rPr>
          <w:rFonts w:hint="eastAsia" w:asciiTheme="minorEastAsia" w:hAnsiTheme="minorEastAsia" w:eastAsiaTheme="minorEastAsia" w:cstheme="minorEastAsia"/>
          <w:sz w:val="21"/>
          <w:szCs w:val="21"/>
          <w:highlight w:val="none"/>
        </w:rPr>
        <w:t>发出的开工令起计算。</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4.施工单位在施工期间应严格遵守国家、省、市有关防火、防爆和施工安全以及文明施工、夜间施工、环保和城管等规定，建立规章制度，并承担自身措施不力造成事故责任和发生的费用。</w:t>
      </w:r>
    </w:p>
    <w:p>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5.合同约定的工程项目，施工单位不得分包或转包。施工单位应在施工前向有关部门了解施工现场其他设备情况，并在施工时加以保护。施工过程中损坏其他设备所造成的损失概由施工单位负责。</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6.中标单位</w:t>
      </w:r>
      <w:r>
        <w:rPr>
          <w:rFonts w:hint="eastAsia" w:asciiTheme="minorEastAsia" w:hAnsiTheme="minorEastAsia" w:eastAsiaTheme="minorEastAsia" w:cstheme="minorEastAsia"/>
          <w:kern w:val="2"/>
          <w:sz w:val="21"/>
          <w:szCs w:val="21"/>
          <w:highlight w:val="none"/>
          <w:lang w:val="en-US"/>
        </w:rPr>
        <w:t>负责办理</w:t>
      </w:r>
      <w:r>
        <w:rPr>
          <w:rFonts w:hint="eastAsia" w:asciiTheme="minorEastAsia" w:hAnsiTheme="minorEastAsia" w:eastAsiaTheme="minorEastAsia" w:cstheme="minorEastAsia"/>
          <w:kern w:val="2"/>
          <w:sz w:val="21"/>
          <w:szCs w:val="21"/>
          <w:highlight w:val="none"/>
          <w:lang w:val="en-US" w:eastAsia="zh-CN"/>
        </w:rPr>
        <w:t>物业报建，</w:t>
      </w:r>
      <w:r>
        <w:rPr>
          <w:rFonts w:hint="eastAsia" w:asciiTheme="minorEastAsia" w:hAnsiTheme="minorEastAsia" w:eastAsiaTheme="minorEastAsia" w:cstheme="minorEastAsia"/>
          <w:kern w:val="2"/>
          <w:sz w:val="21"/>
          <w:szCs w:val="21"/>
          <w:highlight w:val="none"/>
          <w:lang w:val="en-US"/>
        </w:rPr>
        <w:t>并通过验收合格。</w:t>
      </w: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本合同包括总包配合费（如总包收取，自行协商）</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360" w:lineRule="auto"/>
        <w:ind w:left="0" w:firstLine="420" w:firstLineChars="200"/>
        <w:jc w:val="both"/>
        <w:textAlignment w:val="auto"/>
        <w:rPr>
          <w:rFonts w:hint="eastAsia" w:ascii="仿宋" w:hAnsi="仿宋" w:eastAsia="仿宋" w:cs="仿宋"/>
          <w:sz w:val="34"/>
          <w:szCs w:val="34"/>
          <w:highlight w:val="none"/>
          <w:lang w:val="en-US" w:eastAsia="zh-CN"/>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最高限价58.4万元</w:t>
      </w:r>
      <w:r>
        <w:rPr>
          <w:rFonts w:hint="eastAsia" w:asciiTheme="minorEastAsia" w:hAnsiTheme="minorEastAsia" w:eastAsiaTheme="minorEastAsia" w:cstheme="minorEastAsia"/>
          <w:sz w:val="21"/>
          <w:szCs w:val="21"/>
          <w:highlight w:val="none"/>
          <w:lang w:val="en-US" w:eastAsia="zh-CN"/>
        </w:rPr>
        <w:t>（含暂列金</w:t>
      </w:r>
      <w:r>
        <w:rPr>
          <w:rFonts w:hint="eastAsia" w:asciiTheme="minorEastAsia" w:hAnsiTheme="minorEastAsia" w:eastAsiaTheme="minorEastAsia" w:cstheme="minorEastAsia"/>
          <w:sz w:val="21"/>
          <w:szCs w:val="21"/>
          <w:highlight w:val="none"/>
          <w:u w:val="single"/>
          <w:lang w:val="en-US" w:eastAsia="zh-CN"/>
        </w:rPr>
        <w:t>10</w:t>
      </w:r>
      <w:r>
        <w:rPr>
          <w:rFonts w:hint="eastAsia" w:asciiTheme="minorEastAsia" w:hAnsiTheme="minorEastAsia" w:eastAsiaTheme="minorEastAsia" w:cstheme="minorEastAsia"/>
          <w:sz w:val="21"/>
          <w:szCs w:val="21"/>
          <w:highlight w:val="none"/>
          <w:lang w:val="en-US" w:eastAsia="zh-CN"/>
        </w:rPr>
        <w:t>万元）</w:t>
      </w:r>
      <w:r>
        <w:rPr>
          <w:rFonts w:hint="eastAsia" w:asciiTheme="minorEastAsia" w:hAnsiTheme="minorEastAsia" w:eastAsiaTheme="minorEastAsia" w:cstheme="minorEastAsia"/>
          <w:sz w:val="21"/>
          <w:szCs w:val="21"/>
          <w:highlight w:val="none"/>
        </w:rPr>
        <w:t>，以施工图纸为准，报价清单内容作参考。清单如有漏项，</w:t>
      </w:r>
      <w:r>
        <w:rPr>
          <w:rFonts w:hint="eastAsia" w:asciiTheme="minorEastAsia" w:hAnsiTheme="minorEastAsia" w:eastAsiaTheme="minorEastAsia" w:cstheme="minorEastAsia"/>
          <w:sz w:val="21"/>
          <w:szCs w:val="21"/>
          <w:highlight w:val="none"/>
          <w:lang w:val="en-US" w:eastAsia="zh-CN"/>
        </w:rPr>
        <w:t>投标人</w:t>
      </w:r>
      <w:r>
        <w:rPr>
          <w:rFonts w:hint="eastAsia" w:asciiTheme="minorEastAsia" w:hAnsiTheme="minorEastAsia" w:eastAsiaTheme="minorEastAsia" w:cstheme="minorEastAsia"/>
          <w:sz w:val="21"/>
          <w:szCs w:val="21"/>
          <w:highlight w:val="none"/>
        </w:rPr>
        <w:t>自行补充</w:t>
      </w:r>
      <w:r>
        <w:rPr>
          <w:rFonts w:hint="eastAsia" w:asciiTheme="minorEastAsia" w:hAnsiTheme="minorEastAsia" w:eastAsiaTheme="minorEastAsia" w:cstheme="minorEastAsia"/>
          <w:sz w:val="21"/>
          <w:szCs w:val="21"/>
          <w:highlight w:val="none"/>
          <w:lang w:val="en-US" w:eastAsia="zh-CN"/>
        </w:rPr>
        <w:t>项目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p>
    <w:p>
      <w:pPr>
        <w:numPr>
          <w:ilvl w:val="0"/>
          <w:numId w:val="0"/>
        </w:numPr>
        <w:shd w:val="clear"/>
        <w:wordWrap w:val="0"/>
        <w:ind w:left="0" w:firstLine="0" w:firstLineChars="0"/>
        <w:jc w:val="right"/>
        <w:rPr>
          <w:rFonts w:hint="eastAsia" w:ascii="仿宋" w:hAnsi="仿宋" w:eastAsia="仿宋"/>
          <w:sz w:val="32"/>
          <w:szCs w:val="32"/>
        </w:rPr>
      </w:pPr>
      <w:r>
        <w:rPr>
          <w:rFonts w:hint="eastAsia" w:ascii="仿宋_GB2312" w:hAnsi="Times New Roman" w:eastAsia="仿宋_GB2312" w:cs="Times New Roman"/>
          <w:sz w:val="32"/>
          <w:szCs w:val="32"/>
          <w:lang w:val="en-US" w:eastAsia="zh-CN"/>
        </w:rPr>
        <w:t xml:space="preserve">                    </w:t>
      </w:r>
      <w:r>
        <w:rPr>
          <w:rFonts w:hint="eastAsia" w:ascii="仿宋" w:hAnsi="仿宋" w:eastAsia="仿宋" w:cs="仿宋"/>
          <w:sz w:val="34"/>
          <w:szCs w:val="34"/>
          <w:highlight w:val="none"/>
          <w:lang w:val="en-US" w:eastAsia="zh-CN"/>
        </w:rPr>
        <w:t xml:space="preserve"> </w:t>
      </w:r>
      <w:r>
        <w:rPr>
          <w:rFonts w:hint="eastAsia" w:ascii="仿宋" w:hAnsi="仿宋" w:eastAsia="仿宋"/>
          <w:sz w:val="32"/>
          <w:szCs w:val="32"/>
        </w:rPr>
        <w:t xml:space="preserve">          </w:t>
      </w:r>
    </w:p>
    <w:p>
      <w:pPr>
        <w:numPr>
          <w:ilvl w:val="0"/>
          <w:numId w:val="0"/>
        </w:numPr>
        <w:shd w:val="clear"/>
        <w:tabs>
          <w:tab w:val="left" w:pos="540"/>
        </w:tabs>
        <w:spacing w:line="360" w:lineRule="auto"/>
        <w:jc w:val="left"/>
        <w:rPr>
          <w:rFonts w:hint="eastAsia" w:ascii="仿宋" w:hAnsi="仿宋" w:eastAsia="仿宋"/>
          <w:sz w:val="32"/>
          <w:szCs w:val="32"/>
        </w:rPr>
      </w:pPr>
      <w:r>
        <w:rPr>
          <w:rFonts w:hint="eastAsia" w:ascii="仿宋" w:hAnsi="仿宋" w:eastAsia="仿宋" w:cs="仿宋"/>
          <w:color w:val="auto"/>
          <w:sz w:val="34"/>
          <w:szCs w:val="34"/>
        </w:rPr>
        <w:t xml:space="preserve">   </w:t>
      </w:r>
      <w:r>
        <w:rPr>
          <w:rFonts w:hint="eastAsia" w:ascii="仿宋" w:hAnsi="仿宋" w:eastAsia="仿宋"/>
          <w:color w:val="auto"/>
          <w:sz w:val="34"/>
          <w:szCs w:val="34"/>
        </w:rPr>
        <w:t xml:space="preserve">   </w:t>
      </w:r>
      <w:r>
        <w:rPr>
          <w:rFonts w:hint="eastAsia" w:ascii="仿宋" w:hAnsi="仿宋" w:eastAsia="仿宋"/>
          <w:color w:val="auto"/>
          <w:sz w:val="32"/>
          <w:szCs w:val="32"/>
        </w:rPr>
        <w:t xml:space="preserve">    </w:t>
      </w:r>
      <w:r>
        <w:rPr>
          <w:rFonts w:hint="eastAsia" w:ascii="仿宋" w:hAnsi="仿宋" w:eastAsia="仿宋"/>
          <w:sz w:val="32"/>
          <w:szCs w:val="32"/>
        </w:rPr>
        <w:t xml:space="preserve">                                                                                </w:t>
      </w:r>
    </w:p>
    <w:p>
      <w:pPr>
        <w:spacing w:line="360" w:lineRule="auto"/>
        <w:jc w:val="center"/>
        <w:rPr>
          <w:rFonts w:hint="eastAsia" w:ascii="宋体" w:hAnsi="宋体" w:eastAsia="宋体"/>
          <w:b/>
          <w:bCs/>
          <w:sz w:val="40"/>
          <w:szCs w:val="40"/>
          <w:lang w:eastAsia="zh-CN"/>
        </w:rPr>
      </w:pPr>
      <w:r>
        <w:rPr>
          <w:rFonts w:hint="eastAsia" w:ascii="宋体" w:hAnsi="宋体" w:cs="宋体"/>
          <w:b/>
          <w:bCs/>
          <w:color w:val="auto"/>
          <w:szCs w:val="21"/>
          <w:highlight w:val="none"/>
        </w:rPr>
        <w:br w:type="page"/>
      </w:r>
      <w:bookmarkStart w:id="79" w:name="_Toc18985581"/>
      <w:bookmarkStart w:id="80" w:name="_Toc18984943"/>
      <w:bookmarkStart w:id="81" w:name="_Toc18985535"/>
      <w:bookmarkStart w:id="82" w:name="_Toc18985701"/>
      <w:r>
        <w:rPr>
          <w:rFonts w:hint="eastAsia" w:ascii="宋体" w:hAnsi="宋体" w:eastAsia="宋体" w:cs="Times New Roman"/>
          <w:b/>
          <w:bCs/>
          <w:sz w:val="40"/>
          <w:szCs w:val="40"/>
          <w:highlight w:val="none"/>
        </w:rPr>
        <w:t>深圳分社新址装修项目</w:t>
      </w:r>
      <w:r>
        <w:rPr>
          <w:rFonts w:hint="eastAsia" w:ascii="宋体" w:hAnsi="宋体" w:eastAsia="宋体" w:cs="Times New Roman"/>
          <w:b/>
          <w:bCs/>
          <w:sz w:val="40"/>
          <w:szCs w:val="40"/>
          <w:highlight w:val="none"/>
          <w:lang w:eastAsia="zh-CN"/>
        </w:rPr>
        <w:t>（</w:t>
      </w:r>
      <w:r>
        <w:rPr>
          <w:rFonts w:hint="eastAsia" w:ascii="宋体" w:hAnsi="宋体" w:eastAsia="宋体" w:cs="Times New Roman"/>
          <w:b/>
          <w:bCs/>
          <w:sz w:val="40"/>
          <w:szCs w:val="40"/>
          <w:highlight w:val="none"/>
          <w:lang w:val="en-US" w:eastAsia="zh-CN"/>
        </w:rPr>
        <w:t>机电设备部分</w:t>
      </w:r>
      <w:r>
        <w:rPr>
          <w:rFonts w:hint="eastAsia" w:ascii="宋体" w:hAnsi="宋体" w:eastAsia="宋体" w:cs="Times New Roman"/>
          <w:b/>
          <w:bCs/>
          <w:sz w:val="40"/>
          <w:szCs w:val="40"/>
          <w:highlight w:val="none"/>
          <w:lang w:eastAsia="zh-CN"/>
        </w:rPr>
        <w:t>）</w:t>
      </w:r>
    </w:p>
    <w:p>
      <w:pPr>
        <w:spacing w:line="360" w:lineRule="auto"/>
        <w:jc w:val="center"/>
        <w:rPr>
          <w:rFonts w:hint="eastAsia" w:ascii="宋体" w:hAnsi="宋体" w:cs="宋体"/>
          <w:b/>
          <w:bCs/>
          <w:kern w:val="0"/>
          <w:sz w:val="32"/>
          <w:szCs w:val="32"/>
        </w:rPr>
      </w:pPr>
      <w:r>
        <w:rPr>
          <w:rFonts w:hint="eastAsia" w:ascii="宋体" w:hAnsi="宋体"/>
          <w:b/>
          <w:bCs/>
          <w:sz w:val="32"/>
          <w:szCs w:val="32"/>
        </w:rPr>
        <w:t>主要材料推荐品牌表</w:t>
      </w:r>
    </w:p>
    <w:tbl>
      <w:tblPr>
        <w:tblStyle w:val="2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204"/>
        <w:gridCol w:w="2087"/>
        <w:gridCol w:w="2013"/>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kern w:val="0"/>
                <w:sz w:val="28"/>
                <w:szCs w:val="28"/>
                <w:lang w:eastAsia="zh-CN"/>
              </w:rPr>
            </w:pPr>
            <w:r>
              <w:rPr>
                <w:rFonts w:hint="eastAsia" w:ascii="宋体" w:hAnsi="宋体" w:cs="宋体"/>
                <w:b/>
                <w:kern w:val="0"/>
                <w:sz w:val="24"/>
                <w:lang w:bidi="ar"/>
              </w:rPr>
              <w:t>一、机电安装</w:t>
            </w:r>
            <w:r>
              <w:rPr>
                <w:rFonts w:hint="eastAsia" w:ascii="宋体" w:hAnsi="宋体" w:cs="宋体"/>
                <w:b/>
                <w:kern w:val="0"/>
                <w:sz w:val="24"/>
                <w:lang w:eastAsia="zh-CN" w:bidi="ar"/>
              </w:rPr>
              <w:t>（</w:t>
            </w:r>
            <w:r>
              <w:rPr>
                <w:rFonts w:hint="eastAsia" w:ascii="宋体" w:hAnsi="宋体" w:cs="宋体"/>
                <w:b/>
                <w:kern w:val="0"/>
                <w:sz w:val="24"/>
                <w:lang w:val="en-US" w:eastAsia="zh-CN" w:bidi="ar"/>
              </w:rPr>
              <w:t>所有材料采用国标</w:t>
            </w:r>
            <w:r>
              <w:rPr>
                <w:rFonts w:hint="eastAsia" w:ascii="宋体" w:hAnsi="宋体" w:cs="宋体"/>
                <w:b/>
                <w:kern w:val="0"/>
                <w:sz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2"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lang w:bidi="ar"/>
              </w:rPr>
              <w:t>序号</w:t>
            </w:r>
          </w:p>
        </w:tc>
        <w:tc>
          <w:tcPr>
            <w:tcW w:w="220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lang w:bidi="ar"/>
              </w:rPr>
              <w:t>设备或材料名称</w:t>
            </w:r>
          </w:p>
        </w:tc>
        <w:tc>
          <w:tcPr>
            <w:tcW w:w="6141" w:type="dxa"/>
            <w:gridSpan w:val="3"/>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lang w:bidi="ar"/>
              </w:rPr>
              <w:t>拟选用品牌或同等档次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1</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
              </w:rPr>
            </w:pPr>
            <w:r>
              <w:rPr>
                <w:rFonts w:hint="eastAsia" w:ascii="宋体" w:hAnsi="宋体" w:cs="宋体"/>
                <w:kern w:val="0"/>
                <w:sz w:val="20"/>
                <w:szCs w:val="20"/>
                <w:lang w:bidi="ar"/>
              </w:rPr>
              <w:t>空调</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rPr>
              <w:t>美的</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rPr>
              <w:t>格力</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 w:val="20"/>
                <w:szCs w:val="20"/>
                <w:lang w:val="en-US" w:eastAsia="zh-CN" w:bidi="ar-SA"/>
              </w:rPr>
            </w:pPr>
            <w:r>
              <w:rPr>
                <w:rFonts w:hint="eastAsia" w:ascii="宋体" w:hAnsi="宋体" w:cs="宋体"/>
                <w:kern w:val="0"/>
                <w:sz w:val="20"/>
                <w:szCs w:val="20"/>
              </w:rPr>
              <w:t>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
              </w:rPr>
            </w:pPr>
            <w:r>
              <w:rPr>
                <w:rFonts w:hint="eastAsia" w:ascii="宋体" w:hAnsi="宋体" w:cs="宋体"/>
                <w:kern w:val="0"/>
                <w:sz w:val="20"/>
                <w:szCs w:val="20"/>
                <w:lang w:bidi="ar"/>
              </w:rPr>
              <w:t>2</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铜管</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20"/>
                <w:szCs w:val="20"/>
                <w:lang w:val="en-US" w:eastAsia="zh-CN"/>
              </w:rPr>
            </w:pPr>
            <w:r>
              <w:rPr>
                <w:rFonts w:hint="eastAsia"/>
                <w:sz w:val="20"/>
                <w:szCs w:val="20"/>
                <w:lang w:val="en-US" w:eastAsia="zh-CN"/>
              </w:rPr>
              <w:t>南海华鸿</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20"/>
                <w:szCs w:val="20"/>
              </w:rPr>
            </w:pPr>
            <w:r>
              <w:rPr>
                <w:rFonts w:hint="eastAsia"/>
                <w:sz w:val="20"/>
                <w:szCs w:val="20"/>
                <w:lang w:val="en-US" w:eastAsia="zh-CN"/>
              </w:rPr>
              <w:t>青岛宏泰</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20"/>
                <w:szCs w:val="20"/>
              </w:rPr>
            </w:pPr>
            <w:r>
              <w:rPr>
                <w:rFonts w:hint="eastAsia"/>
                <w:sz w:val="20"/>
                <w:szCs w:val="20"/>
                <w:lang w:val="en-US" w:eastAsia="zh-CN"/>
              </w:rPr>
              <w:t>上海新鑫、上海飞轮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lang w:bidi="ar"/>
              </w:rPr>
              <w:t>3</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橡塑保温</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20"/>
                <w:szCs w:val="20"/>
                <w:lang w:val="en-US" w:eastAsia="zh-CN"/>
              </w:rPr>
            </w:pPr>
            <w:r>
              <w:rPr>
                <w:rFonts w:hint="eastAsia"/>
                <w:sz w:val="20"/>
                <w:szCs w:val="20"/>
                <w:lang w:val="en-US" w:eastAsia="zh-CN"/>
              </w:rPr>
              <w:t>福乐斯</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20"/>
                <w:szCs w:val="20"/>
              </w:rPr>
            </w:pPr>
            <w:r>
              <w:rPr>
                <w:rFonts w:hint="eastAsia"/>
                <w:sz w:val="20"/>
                <w:szCs w:val="20"/>
                <w:lang w:val="en-US" w:eastAsia="zh-CN"/>
              </w:rPr>
              <w:t>杜肯</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sz w:val="20"/>
                <w:szCs w:val="20"/>
              </w:rPr>
            </w:pPr>
            <w:r>
              <w:rPr>
                <w:rFonts w:hint="eastAsia"/>
                <w:sz w:val="20"/>
                <w:szCs w:val="20"/>
                <w:lang w:val="en-US" w:eastAsia="zh-CN"/>
              </w:rPr>
              <w:t>亚罗弗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lang w:bidi="ar"/>
              </w:rPr>
              <w:t>4</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lang w:bidi="ar"/>
              </w:rPr>
              <w:t>给排水、线管等</w:t>
            </w:r>
            <w:r>
              <w:rPr>
                <w:rFonts w:hint="eastAsia" w:ascii="宋体" w:hAnsi="宋体" w:cs="宋体"/>
                <w:kern w:val="0"/>
                <w:sz w:val="20"/>
                <w:szCs w:val="20"/>
              </w:rPr>
              <w:t>塑料管、线槽、管件</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rPr>
              <w:t>联塑</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rPr>
              <w:t>雄塑</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kern w:val="0"/>
                <w:sz w:val="20"/>
                <w:szCs w:val="20"/>
                <w:lang w:val="en-US" w:eastAsia="zh-CN" w:bidi="ar-SA"/>
              </w:rPr>
            </w:pPr>
            <w:r>
              <w:rPr>
                <w:rFonts w:hint="eastAsia" w:ascii="宋体" w:hAnsi="宋体" w:cs="宋体"/>
                <w:kern w:val="0"/>
                <w:sz w:val="20"/>
                <w:szCs w:val="20"/>
              </w:rPr>
              <w:t>顾地</w:t>
            </w:r>
          </w:p>
        </w:tc>
      </w:tr>
      <w:bookmarkEnd w:id="79"/>
      <w:bookmarkEnd w:id="80"/>
      <w:bookmarkEnd w:id="81"/>
      <w:bookmarkEnd w:id="82"/>
    </w:tbl>
    <w:p>
      <w:pPr>
        <w:pStyle w:val="17"/>
        <w:adjustRightInd w:val="0"/>
        <w:snapToGrid w:val="0"/>
        <w:spacing w:line="360" w:lineRule="auto"/>
        <w:jc w:val="left"/>
        <w:rPr>
          <w:rFonts w:hint="eastAsia" w:hAnsi="宋体"/>
          <w:b/>
          <w:sz w:val="28"/>
          <w:szCs w:val="28"/>
          <w:lang w:val="en-US" w:eastAsia="zh-CN"/>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pStyle w:val="12"/>
        <w:rPr>
          <w:rFonts w:hint="eastAsia"/>
        </w:rPr>
      </w:pPr>
    </w:p>
    <w:p>
      <w:pPr>
        <w:spacing w:line="360" w:lineRule="auto"/>
        <w:ind w:firstLine="482" w:firstLineChars="200"/>
        <w:jc w:val="left"/>
        <w:rPr>
          <w:rFonts w:hint="eastAsia" w:ascii="宋体" w:hAnsi="宋体" w:cs="宋体"/>
          <w:b/>
          <w:color w:val="auto"/>
          <w:kern w:val="0"/>
          <w:sz w:val="48"/>
          <w:szCs w:val="48"/>
          <w:highlight w:val="none"/>
          <w:shd w:val="clear" w:color="auto" w:fill="F8FCFF"/>
        </w:rPr>
      </w:pPr>
      <w:r>
        <w:rPr>
          <w:rFonts w:hint="eastAsia" w:ascii="宋体" w:hAnsi="宋体" w:cs="宋体"/>
          <w:b/>
          <w:bCs/>
          <w:color w:val="auto"/>
          <w:sz w:val="24"/>
          <w:szCs w:val="24"/>
          <w:highlight w:val="none"/>
        </w:rPr>
        <w:t>（合同条款仅供参考，合同具体细则最终以招标人与中标人协定为准， 但不得对招标文件、投标文件作实质性修改）</w:t>
      </w:r>
    </w:p>
    <w:p>
      <w:pPr>
        <w:pStyle w:val="2"/>
        <w:ind w:firstLine="482"/>
        <w:rPr>
          <w:rFonts w:hint="eastAsia" w:ascii="宋体" w:hAnsi="宋体" w:cs="宋体"/>
          <w:b/>
          <w:color w:val="auto"/>
          <w:kern w:val="0"/>
          <w:sz w:val="48"/>
          <w:szCs w:val="48"/>
          <w:highlight w:val="none"/>
          <w:shd w:val="clear" w:color="auto" w:fill="F8FCFF"/>
        </w:rPr>
      </w:pPr>
    </w:p>
    <w:p>
      <w:pPr>
        <w:pStyle w:val="2"/>
        <w:ind w:firstLine="482"/>
        <w:rPr>
          <w:rFonts w:hint="eastAsia" w:ascii="宋体" w:hAnsi="宋体" w:cs="宋体"/>
          <w:b/>
          <w:color w:val="auto"/>
          <w:kern w:val="0"/>
          <w:sz w:val="48"/>
          <w:szCs w:val="48"/>
          <w:highlight w:val="none"/>
          <w:shd w:val="clear" w:color="auto" w:fill="F8FCFF"/>
        </w:rPr>
      </w:pPr>
    </w:p>
    <w:p>
      <w:pPr>
        <w:pStyle w:val="2"/>
        <w:ind w:firstLine="482"/>
        <w:rPr>
          <w:rFonts w:hint="eastAsia" w:ascii="宋体" w:hAnsi="宋体" w:cs="宋体"/>
          <w:b/>
          <w:color w:val="auto"/>
          <w:kern w:val="0"/>
          <w:sz w:val="48"/>
          <w:szCs w:val="48"/>
          <w:highlight w:val="none"/>
          <w:shd w:val="clear" w:color="auto" w:fill="F8FCFF"/>
        </w:rPr>
      </w:pPr>
    </w:p>
    <w:p>
      <w:pPr>
        <w:pStyle w:val="2"/>
        <w:ind w:firstLine="482"/>
        <w:rPr>
          <w:rFonts w:hint="eastAsia" w:ascii="宋体" w:hAnsi="宋体" w:cs="宋体"/>
          <w:b/>
          <w:color w:val="auto"/>
          <w:kern w:val="0"/>
          <w:sz w:val="48"/>
          <w:szCs w:val="48"/>
          <w:highlight w:val="none"/>
          <w:shd w:val="clear" w:color="auto" w:fill="F8FCFF"/>
        </w:rPr>
      </w:pPr>
    </w:p>
    <w:p>
      <w:pPr>
        <w:pStyle w:val="2"/>
        <w:ind w:firstLine="482"/>
        <w:rPr>
          <w:rFonts w:hint="eastAsia" w:ascii="宋体" w:hAnsi="宋体" w:cs="宋体"/>
          <w:b/>
          <w:color w:val="auto"/>
          <w:kern w:val="0"/>
          <w:sz w:val="48"/>
          <w:szCs w:val="48"/>
          <w:highlight w:val="none"/>
          <w:shd w:val="clear" w:color="auto" w:fill="F8FCFF"/>
        </w:rPr>
      </w:pPr>
    </w:p>
    <w:p>
      <w:pPr>
        <w:pStyle w:val="2"/>
        <w:ind w:firstLine="482"/>
        <w:rPr>
          <w:rFonts w:hint="eastAsia" w:ascii="宋体" w:hAnsi="宋体" w:cs="宋体"/>
          <w:b/>
          <w:color w:val="auto"/>
          <w:kern w:val="0"/>
          <w:sz w:val="48"/>
          <w:szCs w:val="48"/>
          <w:highlight w:val="none"/>
          <w:shd w:val="clear" w:color="auto" w:fill="F8FCFF"/>
        </w:rPr>
      </w:pPr>
    </w:p>
    <w:p>
      <w:pPr>
        <w:pStyle w:val="2"/>
        <w:ind w:firstLine="0" w:firstLineChars="0"/>
        <w:rPr>
          <w:rFonts w:hint="eastAsia" w:ascii="宋体" w:hAnsi="宋体" w:cs="宋体"/>
          <w:b/>
          <w:color w:val="auto"/>
          <w:kern w:val="0"/>
          <w:sz w:val="48"/>
          <w:szCs w:val="48"/>
          <w:highlight w:val="none"/>
          <w:shd w:val="clear" w:color="auto" w:fill="F8FCFF"/>
        </w:rPr>
      </w:pPr>
    </w:p>
    <w:p>
      <w:pPr>
        <w:pStyle w:val="11"/>
        <w:jc w:val="center"/>
        <w:rPr>
          <w:rFonts w:hint="eastAsia" w:ascii="宋体" w:hAnsi="宋体" w:cs="宋体"/>
          <w:b/>
          <w:bCs/>
          <w:color w:val="auto"/>
          <w:sz w:val="36"/>
          <w:szCs w:val="36"/>
          <w:highlight w:val="none"/>
        </w:rPr>
      </w:pPr>
    </w:p>
    <w:p>
      <w:pPr>
        <w:pStyle w:val="11"/>
        <w:jc w:val="center"/>
        <w:outlineLvl w:val="0"/>
        <w:rPr>
          <w:rFonts w:hint="eastAsia" w:ascii="宋体" w:hAnsi="宋体" w:cs="宋体"/>
          <w:b/>
          <w:bCs/>
          <w:color w:val="auto"/>
          <w:sz w:val="36"/>
          <w:szCs w:val="36"/>
          <w:highlight w:val="none"/>
        </w:rPr>
        <w:sectPr>
          <w:headerReference r:id="rId8" w:type="default"/>
          <w:footerReference r:id="rId9" w:type="default"/>
          <w:pgSz w:w="11907" w:h="16840"/>
          <w:pgMar w:top="1418" w:right="1701" w:bottom="1418" w:left="1701" w:header="737" w:footer="737" w:gutter="0"/>
          <w:cols w:space="720" w:num="1"/>
          <w:docGrid w:linePitch="285" w:charSpace="0"/>
        </w:sectPr>
      </w:pPr>
      <w:bookmarkStart w:id="83" w:name="_Toc30591"/>
      <w:r>
        <w:rPr>
          <w:rFonts w:hint="eastAsia" w:ascii="宋体" w:hAnsi="宋体" w:cs="宋体"/>
          <w:b/>
          <w:bCs/>
          <w:color w:val="auto"/>
          <w:sz w:val="36"/>
          <w:szCs w:val="36"/>
          <w:highlight w:val="none"/>
        </w:rPr>
        <w:t>第四章  合同格式（参考）</w:t>
      </w:r>
      <w:bookmarkEnd w:id="83"/>
    </w:p>
    <w:p>
      <w:pPr>
        <w:spacing w:line="360" w:lineRule="auto"/>
        <w:jc w:val="left"/>
        <w:rPr>
          <w:rFonts w:ascii="Times New Roman" w:hAnsi="Times New Roman" w:eastAsia="仿宋_GB2312"/>
          <w:bCs/>
          <w:color w:val="000000"/>
          <w:sz w:val="24"/>
          <w:szCs w:val="24"/>
        </w:rPr>
      </w:pPr>
      <w:r>
        <w:rPr>
          <w:rFonts w:ascii="Times New Roman" w:hAnsi="Times New Roman" w:eastAsia="仿宋_GB2312"/>
          <w:bCs/>
          <w:color w:val="000000"/>
          <w:sz w:val="24"/>
          <w:szCs w:val="24"/>
        </w:rPr>
        <w:t>（GF—201</w:t>
      </w:r>
      <w:r>
        <w:rPr>
          <w:rFonts w:hint="eastAsia" w:ascii="Times New Roman" w:hAnsi="Times New Roman" w:eastAsia="仿宋_GB2312"/>
          <w:bCs/>
          <w:color w:val="000000"/>
          <w:sz w:val="24"/>
          <w:szCs w:val="24"/>
        </w:rPr>
        <w:t>7</w:t>
      </w:r>
      <w:r>
        <w:rPr>
          <w:rFonts w:ascii="Times New Roman" w:hAnsi="Times New Roman" w:eastAsia="仿宋_GB2312"/>
          <w:bCs/>
          <w:color w:val="000000"/>
          <w:sz w:val="24"/>
          <w:szCs w:val="24"/>
        </w:rPr>
        <w:t>—</w:t>
      </w:r>
      <w:r>
        <w:rPr>
          <w:rFonts w:hint="eastAsia" w:ascii="Times New Roman" w:hAnsi="Times New Roman" w:eastAsia="仿宋_GB2312"/>
          <w:bCs/>
          <w:color w:val="000000"/>
          <w:sz w:val="24"/>
          <w:szCs w:val="24"/>
        </w:rPr>
        <w:t>0201）</w:t>
      </w:r>
    </w:p>
    <w:p>
      <w:pPr>
        <w:spacing w:before="0" w:line="360" w:lineRule="auto"/>
        <w:ind w:left="0" w:leftChars="0" w:firstLine="6844" w:firstLineChars="2900"/>
        <w:rPr>
          <w:rFonts w:ascii="宋体" w:hAnsi="宋体" w:eastAsia="宋体" w:cs="华文中宋"/>
          <w:spacing w:val="-2"/>
          <w:sz w:val="24"/>
          <w:szCs w:val="24"/>
        </w:rPr>
      </w:pPr>
      <w:r>
        <w:rPr>
          <w:rFonts w:ascii="宋体" w:hAnsi="宋体" w:eastAsia="宋体" w:cs="华文中宋"/>
          <w:spacing w:val="-2"/>
          <w:sz w:val="24"/>
          <w:szCs w:val="24"/>
        </w:rPr>
        <w:t>项目编码：</w:t>
      </w:r>
    </w:p>
    <w:p>
      <w:pPr>
        <w:spacing w:before="0" w:line="360" w:lineRule="auto"/>
        <w:ind w:left="0" w:leftChars="0" w:firstLine="6844" w:firstLineChars="2900"/>
        <w:rPr>
          <w:rFonts w:ascii="宋体" w:hAnsi="宋体" w:eastAsia="宋体" w:cs="华文中宋"/>
          <w:spacing w:val="-2"/>
          <w:sz w:val="24"/>
          <w:szCs w:val="24"/>
        </w:rPr>
      </w:pPr>
      <w:r>
        <w:rPr>
          <w:rFonts w:ascii="宋体" w:hAnsi="宋体" w:eastAsia="宋体" w:cs="华文中宋"/>
          <w:spacing w:val="-2"/>
          <w:sz w:val="24"/>
          <w:szCs w:val="24"/>
        </w:rPr>
        <w:t>工程编码：</w:t>
      </w:r>
    </w:p>
    <w:p>
      <w:pPr>
        <w:spacing w:line="360" w:lineRule="auto"/>
        <w:ind w:left="0" w:firstLine="6844" w:firstLineChars="2900"/>
        <w:rPr>
          <w:rFonts w:ascii="宋体" w:hAnsi="宋体" w:cs="华文中宋"/>
          <w:sz w:val="32"/>
          <w:szCs w:val="32"/>
        </w:rPr>
      </w:pPr>
      <w:r>
        <w:rPr>
          <w:rFonts w:ascii="宋体" w:hAnsi="宋体" w:eastAsia="宋体" w:cs="华文中宋"/>
          <w:spacing w:val="-2"/>
          <w:sz w:val="24"/>
          <w:szCs w:val="24"/>
        </w:rPr>
        <w:t>合同编号：</w:t>
      </w:r>
      <w:r>
        <w:rPr>
          <w:rFonts w:ascii="宋体" w:hAnsi="宋体" w:eastAsia="宋体" w:cs="华文中宋"/>
          <w:spacing w:val="-2"/>
          <w:sz w:val="32"/>
          <w:szCs w:val="32"/>
          <w:u w:val="none"/>
        </w:rPr>
        <w:t xml:space="preserve">        </w:t>
      </w:r>
      <w:r>
        <w:rPr>
          <w:rFonts w:hint="default" w:ascii="宋体" w:hAnsi="宋体" w:eastAsia="宋体" w:cs="华文中宋"/>
          <w:spacing w:val="-2"/>
          <w:sz w:val="32"/>
          <w:szCs w:val="32"/>
          <w:u w:val="none"/>
          <w:lang w:val="en-US" w:eastAsia="zh-CN"/>
        </w:rPr>
        <w:t xml:space="preserve"> </w:t>
      </w:r>
      <w:r>
        <w:rPr>
          <w:rFonts w:ascii="宋体" w:hAnsi="宋体" w:eastAsia="宋体" w:cs="华文中宋"/>
          <w:spacing w:val="-2"/>
          <w:sz w:val="32"/>
          <w:szCs w:val="32"/>
          <w:u w:val="none"/>
        </w:rPr>
        <w:t xml:space="preserve">          </w:t>
      </w:r>
    </w:p>
    <w:p>
      <w:pPr>
        <w:spacing w:line="269" w:lineRule="auto"/>
        <w:rPr>
          <w:rFonts w:ascii="宋体" w:hAnsi="宋体"/>
        </w:rPr>
      </w:pPr>
    </w:p>
    <w:p>
      <w:pPr>
        <w:spacing w:line="269" w:lineRule="auto"/>
        <w:rPr>
          <w:rFonts w:ascii="宋体" w:hAnsi="宋体"/>
        </w:rPr>
      </w:pPr>
    </w:p>
    <w:p>
      <w:pPr>
        <w:spacing w:line="269" w:lineRule="auto"/>
        <w:rPr>
          <w:rFonts w:ascii="宋体" w:hAnsi="宋体"/>
        </w:rPr>
      </w:pPr>
    </w:p>
    <w:p>
      <w:pPr>
        <w:spacing w:line="270" w:lineRule="auto"/>
        <w:rPr>
          <w:rFonts w:ascii="宋体" w:hAnsi="宋体"/>
        </w:rPr>
      </w:pPr>
    </w:p>
    <w:p>
      <w:pPr>
        <w:spacing w:line="270" w:lineRule="auto"/>
        <w:rPr>
          <w:rFonts w:ascii="宋体" w:hAnsi="宋体"/>
        </w:rPr>
      </w:pPr>
    </w:p>
    <w:p>
      <w:pPr>
        <w:pStyle w:val="3"/>
        <w:spacing w:before="166" w:line="223" w:lineRule="auto"/>
        <w:ind w:left="0"/>
        <w:jc w:val="center"/>
        <w:outlineLvl w:val="0"/>
        <w:rPr>
          <w:rFonts w:ascii="宋体" w:hAnsi="宋体"/>
          <w:spacing w:val="-49"/>
          <w:w w:val="98"/>
          <w:sz w:val="51"/>
          <w:szCs w:val="51"/>
        </w:rPr>
      </w:pPr>
      <w:r>
        <w:rPr>
          <w:rFonts w:ascii="宋体" w:hAnsi="宋体"/>
          <w:b/>
          <w:color w:val="000000"/>
          <w:sz w:val="72"/>
          <w:szCs w:val="52"/>
        </w:rPr>
        <w:t>建设工程施工合同</w:t>
      </w:r>
    </w:p>
    <w:p>
      <w:pPr>
        <w:spacing w:line="244"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pStyle w:val="2"/>
        <w:rPr>
          <w:rFonts w:ascii="Arial"/>
        </w:rPr>
      </w:pPr>
    </w:p>
    <w:p>
      <w:pPr>
        <w:pStyle w:val="2"/>
        <w:rPr>
          <w:rFonts w:ascii="Arial"/>
        </w:rPr>
      </w:pPr>
    </w:p>
    <w:p>
      <w:pPr>
        <w:pStyle w:val="2"/>
        <w:rPr>
          <w:rFonts w:ascii="Arial"/>
        </w:rPr>
      </w:pPr>
    </w:p>
    <w:p>
      <w:pPr>
        <w:pStyle w:val="2"/>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spacing w:line="245" w:lineRule="auto"/>
        <w:rPr>
          <w:rFonts w:ascii="Arial"/>
        </w:rPr>
      </w:pPr>
    </w:p>
    <w:p>
      <w:pPr>
        <w:pStyle w:val="3"/>
        <w:tabs>
          <w:tab w:val="left" w:pos="8989"/>
        </w:tabs>
        <w:spacing w:before="0" w:line="360" w:lineRule="auto"/>
        <w:ind w:left="0" w:right="0" w:firstLine="1440" w:firstLineChars="600"/>
        <w:jc w:val="left"/>
        <w:rPr>
          <w:rFonts w:hint="eastAsia" w:ascii="宋体" w:hAnsi="宋体" w:cs="宋体"/>
          <w:spacing w:val="0"/>
          <w:sz w:val="24"/>
          <w:u w:val="single"/>
          <w:lang w:val="zh-CN"/>
        </w:rPr>
      </w:pPr>
      <w:r>
        <w:rPr>
          <w:rFonts w:hint="eastAsia" w:ascii="宋体" w:hAnsi="宋体" w:cs="宋体"/>
          <w:spacing w:val="0"/>
          <w:sz w:val="24"/>
          <w:lang w:val="zh-CN"/>
        </w:rPr>
        <w:t>工程名称：</w:t>
      </w:r>
      <w:r>
        <w:rPr>
          <w:rFonts w:hint="eastAsia" w:ascii="宋体" w:hAnsi="宋体" w:cs="宋体"/>
          <w:spacing w:val="0"/>
          <w:sz w:val="24"/>
          <w:u w:val="single"/>
          <w:lang w:val="zh-CN"/>
        </w:rPr>
        <w:t xml:space="preserve"> </w:t>
      </w:r>
      <w:r>
        <w:rPr>
          <w:rFonts w:hint="eastAsia" w:ascii="宋体" w:hAnsi="宋体" w:cs="宋体"/>
          <w:spacing w:val="0"/>
          <w:sz w:val="24"/>
          <w:u w:val="single"/>
          <w:lang w:val="en-US" w:eastAsia="zh-CN"/>
        </w:rPr>
        <w:t>深圳分社新址装修</w:t>
      </w:r>
      <w:r>
        <w:rPr>
          <w:rFonts w:hint="eastAsia" w:ascii="宋体" w:hAnsi="宋体" w:eastAsia="宋体" w:cs="宋体"/>
          <w:sz w:val="24"/>
          <w:szCs w:val="24"/>
          <w:highlight w:val="none"/>
          <w:u w:val="single"/>
        </w:rPr>
        <w:t>项目</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机电设备部分</w:t>
      </w:r>
      <w:r>
        <w:rPr>
          <w:rFonts w:hint="eastAsia" w:ascii="宋体" w:hAnsi="宋体" w:eastAsia="宋体" w:cs="宋体"/>
          <w:sz w:val="24"/>
          <w:szCs w:val="24"/>
          <w:highlight w:val="none"/>
          <w:u w:val="single"/>
          <w:lang w:eastAsia="zh-CN"/>
        </w:rPr>
        <w:t>）</w:t>
      </w:r>
      <w:r>
        <w:rPr>
          <w:rFonts w:hint="eastAsia" w:ascii="宋体" w:hAnsi="宋体" w:cs="宋体"/>
          <w:spacing w:val="0"/>
          <w:sz w:val="24"/>
          <w:u w:val="single"/>
          <w:lang w:val="zh-CN"/>
        </w:rPr>
        <w:t xml:space="preserve"> </w:t>
      </w:r>
    </w:p>
    <w:p>
      <w:pPr>
        <w:pStyle w:val="3"/>
        <w:tabs>
          <w:tab w:val="left" w:pos="8989"/>
        </w:tabs>
        <w:spacing w:before="0" w:line="360" w:lineRule="auto"/>
        <w:ind w:left="2636" w:leftChars="684" w:right="0" w:hanging="1200" w:hangingChars="500"/>
        <w:jc w:val="left"/>
        <w:rPr>
          <w:rFonts w:hint="eastAsia" w:ascii="宋体" w:hAnsi="宋体" w:cs="宋体"/>
          <w:sz w:val="24"/>
          <w:u w:val="single"/>
        </w:rPr>
      </w:pPr>
      <w:r>
        <w:rPr>
          <w:rFonts w:hint="eastAsia" w:ascii="宋体" w:hAnsi="宋体" w:cs="宋体"/>
          <w:spacing w:val="0"/>
          <w:sz w:val="24"/>
          <w:lang w:val="zh-CN"/>
        </w:rPr>
        <w:t>工程地点：</w:t>
      </w:r>
      <w:r>
        <w:rPr>
          <w:rFonts w:hint="eastAsia" w:ascii="宋体" w:hAnsi="宋体" w:cs="宋体"/>
          <w:spacing w:val="0"/>
          <w:sz w:val="24"/>
          <w:u w:val="single"/>
          <w:lang w:val="zh-CN"/>
        </w:rPr>
        <w:t xml:space="preserve"> </w:t>
      </w:r>
      <w:r>
        <w:rPr>
          <w:rFonts w:hint="eastAsia" w:ascii="宋体" w:hAnsi="宋体" w:cs="宋体"/>
          <w:spacing w:val="0"/>
          <w:sz w:val="24"/>
          <w:u w:val="single"/>
          <w:lang w:val="en-US" w:eastAsia="zh-CN"/>
        </w:rPr>
        <w:t xml:space="preserve"> </w:t>
      </w:r>
      <w:r>
        <w:rPr>
          <w:rFonts w:hint="eastAsia" w:ascii="宋体" w:hAnsi="宋体" w:cs="宋体"/>
          <w:spacing w:val="0"/>
          <w:sz w:val="24"/>
          <w:u w:val="single"/>
        </w:rPr>
        <w:t>深圳市福田区华强北街道振华路与上步中路交汇处滨江爱义南方大厦B座12层、13层</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pStyle w:val="3"/>
        <w:tabs>
          <w:tab w:val="left" w:pos="8989"/>
        </w:tabs>
        <w:spacing w:before="0" w:line="360" w:lineRule="auto"/>
        <w:ind w:left="0" w:right="0" w:firstLine="1440" w:firstLineChars="600"/>
        <w:jc w:val="left"/>
        <w:rPr>
          <w:rFonts w:hint="default" w:ascii="宋体" w:hAnsi="宋体" w:eastAsia="宋体" w:cs="宋体"/>
          <w:sz w:val="24"/>
          <w:lang w:val="en-US" w:eastAsia="zh-CN"/>
        </w:rPr>
      </w:pPr>
      <w:r>
        <w:rPr>
          <w:rFonts w:hint="eastAsia" w:ascii="宋体" w:hAnsi="宋体" w:cs="宋体"/>
          <w:spacing w:val="0"/>
          <w:sz w:val="24"/>
          <w:lang w:val="zh-CN"/>
        </w:rPr>
        <w:t>发 包 人：</w:t>
      </w:r>
      <w:r>
        <w:rPr>
          <w:rFonts w:hint="eastAsia" w:ascii="宋体" w:hAnsi="宋体" w:cs="宋体"/>
          <w:spacing w:val="0"/>
          <w:sz w:val="24"/>
          <w:u w:val="single"/>
          <w:lang w:val="zh-CN"/>
        </w:rPr>
        <w:t xml:space="preserve"> </w:t>
      </w:r>
      <w:r>
        <w:rPr>
          <w:rFonts w:hint="eastAsia" w:ascii="宋体" w:hAnsi="宋体" w:cs="宋体"/>
          <w:spacing w:val="0"/>
          <w:sz w:val="24"/>
          <w:u w:val="single"/>
          <w:lang w:val="en-US" w:eastAsia="zh-CN"/>
        </w:rPr>
        <w:t xml:space="preserve">    </w:t>
      </w:r>
      <w:r>
        <w:rPr>
          <w:rFonts w:hint="eastAsia" w:ascii="宋体" w:hAnsi="宋体" w:cs="宋体"/>
          <w:color w:val="auto"/>
          <w:spacing w:val="0"/>
          <w:sz w:val="24"/>
          <w:u w:val="single"/>
          <w:lang w:val="en-US" w:eastAsia="zh-CN"/>
        </w:rPr>
        <w:t>南方报业传媒集团（南方日报社）</w:t>
      </w:r>
      <w:r>
        <w:rPr>
          <w:rFonts w:hint="eastAsia" w:ascii="宋体" w:hAnsi="宋体" w:cs="宋体"/>
          <w:spacing w:val="0"/>
          <w:sz w:val="24"/>
          <w:u w:val="single"/>
          <w:lang w:val="en-US" w:eastAsia="zh-CN"/>
        </w:rPr>
        <w:t xml:space="preserve">       </w:t>
      </w:r>
    </w:p>
    <w:p>
      <w:pPr>
        <w:pStyle w:val="3"/>
        <w:tabs>
          <w:tab w:val="left" w:pos="8989"/>
        </w:tabs>
        <w:spacing w:before="0" w:line="360" w:lineRule="auto"/>
        <w:ind w:left="0" w:right="0" w:firstLine="1440" w:firstLineChars="600"/>
        <w:jc w:val="left"/>
        <w:rPr>
          <w:rFonts w:hint="eastAsia" w:ascii="宋体" w:hAnsi="宋体" w:cs="宋体"/>
          <w:spacing w:val="0"/>
          <w:sz w:val="24"/>
          <w:lang w:val="zh-CN"/>
        </w:rPr>
      </w:pPr>
      <w:r>
        <w:rPr>
          <w:rFonts w:hint="eastAsia" w:ascii="宋体" w:hAnsi="宋体" w:cs="宋体"/>
          <w:spacing w:val="0"/>
          <w:sz w:val="24"/>
          <w:lang w:val="zh-CN"/>
        </w:rPr>
        <w:t>承 包 人：</w:t>
      </w:r>
      <w:r>
        <w:rPr>
          <w:rFonts w:hint="eastAsia" w:ascii="宋体" w:hAnsi="宋体" w:cs="宋体"/>
          <w:spacing w:val="0"/>
          <w:sz w:val="24"/>
          <w:u w:val="single"/>
          <w:lang w:val="zh-CN"/>
        </w:rPr>
        <w:t xml:space="preserve"> </w:t>
      </w:r>
      <w:r>
        <w:rPr>
          <w:rFonts w:hint="eastAsia" w:ascii="宋体" w:hAnsi="宋体" w:cs="宋体"/>
          <w:spacing w:val="0"/>
          <w:sz w:val="24"/>
          <w:u w:val="single"/>
          <w:lang w:val="en-US" w:eastAsia="zh-CN"/>
        </w:rPr>
        <w:t xml:space="preserve">                            </w:t>
      </w:r>
      <w:r>
        <w:rPr>
          <w:rFonts w:hint="eastAsia" w:ascii="宋体" w:hAnsi="宋体" w:cs="宋体"/>
          <w:spacing w:val="0"/>
          <w:sz w:val="24"/>
          <w:u w:val="single"/>
          <w:lang w:val="zh-CN"/>
        </w:rPr>
        <w:t xml:space="preserve">    </w:t>
      </w:r>
      <w:r>
        <w:rPr>
          <w:rFonts w:hint="eastAsia" w:ascii="宋体" w:hAnsi="宋体" w:cs="宋体"/>
          <w:spacing w:val="0"/>
          <w:sz w:val="24"/>
          <w:u w:val="single"/>
        </w:rPr>
        <w:t xml:space="preserve">  </w:t>
      </w:r>
      <w:r>
        <w:rPr>
          <w:rFonts w:hint="eastAsia" w:ascii="宋体" w:hAnsi="宋体" w:cs="宋体"/>
          <w:spacing w:val="0"/>
          <w:sz w:val="24"/>
          <w:u w:val="single"/>
          <w:lang w:val="en-US" w:eastAsia="zh-CN"/>
        </w:rPr>
        <w:t xml:space="preserve">     </w:t>
      </w:r>
      <w:r>
        <w:rPr>
          <w:rFonts w:hint="eastAsia" w:ascii="宋体" w:hAnsi="宋体" w:cs="宋体"/>
          <w:spacing w:val="0"/>
          <w:sz w:val="24"/>
          <w:u w:val="single"/>
          <w:lang w:val="zh-CN"/>
        </w:rPr>
        <w:t xml:space="preserve">   </w:t>
      </w:r>
    </w:p>
    <w:p>
      <w:pPr>
        <w:spacing w:line="360" w:lineRule="auto"/>
        <w:rPr>
          <w:rFonts w:ascii="Arial"/>
        </w:rPr>
      </w:pPr>
    </w:p>
    <w:p>
      <w:pPr>
        <w:spacing w:line="360" w:lineRule="auto"/>
        <w:rPr>
          <w:rFonts w:ascii="Arial"/>
        </w:rPr>
      </w:pPr>
    </w:p>
    <w:p>
      <w:pPr>
        <w:spacing w:line="360" w:lineRule="auto"/>
        <w:rPr>
          <w:rFonts w:ascii="Arial"/>
        </w:rPr>
      </w:pPr>
    </w:p>
    <w:p>
      <w:pPr>
        <w:spacing w:line="360" w:lineRule="auto"/>
        <w:rPr>
          <w:rFonts w:ascii="Arial"/>
        </w:rPr>
      </w:pPr>
    </w:p>
    <w:p>
      <w:pPr>
        <w:spacing w:line="360" w:lineRule="auto"/>
        <w:rPr>
          <w:rFonts w:ascii="Arial"/>
        </w:rPr>
      </w:pPr>
    </w:p>
    <w:p>
      <w:pPr>
        <w:spacing w:line="360" w:lineRule="auto"/>
        <w:rPr>
          <w:rFonts w:ascii="Arial"/>
        </w:rPr>
      </w:pPr>
    </w:p>
    <w:p>
      <w:pPr>
        <w:pStyle w:val="3"/>
        <w:spacing w:before="0" w:line="360" w:lineRule="auto"/>
        <w:ind w:left="0"/>
        <w:jc w:val="center"/>
        <w:rPr>
          <w:spacing w:val="-15"/>
          <w:sz w:val="24"/>
          <w:szCs w:val="24"/>
        </w:rPr>
      </w:pPr>
      <w:r>
        <w:rPr>
          <w:spacing w:val="-15"/>
          <w:sz w:val="24"/>
          <w:szCs w:val="24"/>
        </w:rPr>
        <w:t>广</w:t>
      </w:r>
      <w:r>
        <w:rPr>
          <w:spacing w:val="-37"/>
          <w:sz w:val="24"/>
          <w:szCs w:val="24"/>
        </w:rPr>
        <w:t xml:space="preserve"> </w:t>
      </w:r>
      <w:r>
        <w:rPr>
          <w:spacing w:val="-15"/>
          <w:sz w:val="24"/>
          <w:szCs w:val="24"/>
        </w:rPr>
        <w:t>州</w:t>
      </w:r>
      <w:r>
        <w:rPr>
          <w:spacing w:val="-38"/>
          <w:sz w:val="24"/>
          <w:szCs w:val="24"/>
        </w:rPr>
        <w:t xml:space="preserve"> </w:t>
      </w:r>
      <w:r>
        <w:rPr>
          <w:spacing w:val="-15"/>
          <w:sz w:val="24"/>
          <w:szCs w:val="24"/>
        </w:rPr>
        <w:t>市</w:t>
      </w:r>
      <w:r>
        <w:rPr>
          <w:spacing w:val="-48"/>
          <w:sz w:val="24"/>
          <w:szCs w:val="24"/>
        </w:rPr>
        <w:t xml:space="preserve"> </w:t>
      </w:r>
      <w:r>
        <w:rPr>
          <w:spacing w:val="-15"/>
          <w:sz w:val="24"/>
          <w:szCs w:val="24"/>
        </w:rPr>
        <w:t>住</w:t>
      </w:r>
      <w:r>
        <w:rPr>
          <w:spacing w:val="-45"/>
          <w:sz w:val="24"/>
          <w:szCs w:val="24"/>
        </w:rPr>
        <w:t xml:space="preserve"> </w:t>
      </w:r>
      <w:r>
        <w:rPr>
          <w:spacing w:val="-15"/>
          <w:sz w:val="24"/>
          <w:szCs w:val="24"/>
        </w:rPr>
        <w:t>房</w:t>
      </w:r>
      <w:r>
        <w:rPr>
          <w:spacing w:val="-46"/>
          <w:sz w:val="24"/>
          <w:szCs w:val="24"/>
        </w:rPr>
        <w:t xml:space="preserve"> </w:t>
      </w:r>
      <w:r>
        <w:rPr>
          <w:spacing w:val="-15"/>
          <w:sz w:val="24"/>
          <w:szCs w:val="24"/>
        </w:rPr>
        <w:t>和</w:t>
      </w:r>
      <w:r>
        <w:rPr>
          <w:spacing w:val="-46"/>
          <w:sz w:val="24"/>
          <w:szCs w:val="24"/>
        </w:rPr>
        <w:t xml:space="preserve"> </w:t>
      </w:r>
      <w:r>
        <w:rPr>
          <w:spacing w:val="-15"/>
          <w:sz w:val="24"/>
          <w:szCs w:val="24"/>
        </w:rPr>
        <w:t>城</w:t>
      </w:r>
      <w:r>
        <w:rPr>
          <w:spacing w:val="-33"/>
          <w:sz w:val="24"/>
          <w:szCs w:val="24"/>
        </w:rPr>
        <w:t xml:space="preserve"> </w:t>
      </w:r>
      <w:r>
        <w:rPr>
          <w:spacing w:val="-15"/>
          <w:sz w:val="24"/>
          <w:szCs w:val="24"/>
        </w:rPr>
        <w:t>乡</w:t>
      </w:r>
      <w:r>
        <w:rPr>
          <w:spacing w:val="-43"/>
          <w:sz w:val="24"/>
          <w:szCs w:val="24"/>
        </w:rPr>
        <w:t xml:space="preserve"> </w:t>
      </w:r>
      <w:r>
        <w:rPr>
          <w:spacing w:val="-15"/>
          <w:sz w:val="24"/>
          <w:szCs w:val="24"/>
        </w:rPr>
        <w:t>建</w:t>
      </w:r>
      <w:r>
        <w:rPr>
          <w:spacing w:val="-42"/>
          <w:sz w:val="24"/>
          <w:szCs w:val="24"/>
        </w:rPr>
        <w:t xml:space="preserve"> </w:t>
      </w:r>
      <w:r>
        <w:rPr>
          <w:spacing w:val="-15"/>
          <w:sz w:val="24"/>
          <w:szCs w:val="24"/>
        </w:rPr>
        <w:t>设</w:t>
      </w:r>
      <w:r>
        <w:rPr>
          <w:spacing w:val="-43"/>
          <w:sz w:val="24"/>
          <w:szCs w:val="24"/>
        </w:rPr>
        <w:t xml:space="preserve"> </w:t>
      </w:r>
      <w:r>
        <w:rPr>
          <w:spacing w:val="-15"/>
          <w:sz w:val="24"/>
          <w:szCs w:val="24"/>
        </w:rPr>
        <w:t>局</w:t>
      </w:r>
    </w:p>
    <w:p>
      <w:pPr>
        <w:pStyle w:val="3"/>
        <w:spacing w:before="0" w:line="360" w:lineRule="auto"/>
        <w:ind w:left="0" w:right="0" w:firstLine="4522" w:firstLineChars="1700"/>
        <w:jc w:val="center"/>
        <w:rPr>
          <w:spacing w:val="13"/>
          <w:sz w:val="24"/>
          <w:szCs w:val="24"/>
        </w:rPr>
      </w:pPr>
      <w:r>
        <w:rPr>
          <w:spacing w:val="13"/>
          <w:sz w:val="24"/>
          <w:szCs w:val="24"/>
        </w:rPr>
        <w:t>制定</w:t>
      </w:r>
    </w:p>
    <w:p>
      <w:pPr>
        <w:pStyle w:val="3"/>
        <w:spacing w:before="0" w:line="360" w:lineRule="auto"/>
        <w:ind w:left="0" w:right="0" w:firstLine="0"/>
        <w:jc w:val="center"/>
        <w:rPr>
          <w:sz w:val="24"/>
          <w:szCs w:val="24"/>
        </w:rPr>
        <w:sectPr>
          <w:pgSz w:w="11905" w:h="16840"/>
          <w:pgMar w:top="1204" w:right="1502" w:bottom="0" w:left="746" w:header="0" w:footer="0" w:gutter="0"/>
          <w:cols w:space="720" w:num="1"/>
        </w:sectPr>
      </w:pPr>
      <w:r>
        <w:rPr>
          <w:spacing w:val="-11"/>
          <w:sz w:val="24"/>
          <w:szCs w:val="24"/>
        </w:rPr>
        <w:t>广 州 市</w:t>
      </w:r>
      <w:r>
        <w:rPr>
          <w:spacing w:val="13"/>
          <w:sz w:val="24"/>
          <w:szCs w:val="24"/>
        </w:rPr>
        <w:t xml:space="preserve"> </w:t>
      </w:r>
      <w:r>
        <w:rPr>
          <w:spacing w:val="-11"/>
          <w:sz w:val="24"/>
          <w:szCs w:val="24"/>
        </w:rPr>
        <w:t>市 场</w:t>
      </w:r>
      <w:r>
        <w:rPr>
          <w:sz w:val="24"/>
          <w:szCs w:val="24"/>
        </w:rPr>
        <w:t xml:space="preserve"> </w:t>
      </w:r>
      <w:r>
        <w:rPr>
          <w:spacing w:val="-11"/>
          <w:sz w:val="24"/>
          <w:szCs w:val="24"/>
        </w:rPr>
        <w:t>监</w:t>
      </w:r>
      <w:r>
        <w:rPr>
          <w:spacing w:val="6"/>
          <w:sz w:val="24"/>
          <w:szCs w:val="24"/>
        </w:rPr>
        <w:t xml:space="preserve"> </w:t>
      </w:r>
      <w:r>
        <w:rPr>
          <w:spacing w:val="-11"/>
          <w:sz w:val="24"/>
          <w:szCs w:val="24"/>
        </w:rPr>
        <w:t>督</w:t>
      </w:r>
      <w:r>
        <w:rPr>
          <w:spacing w:val="6"/>
          <w:sz w:val="24"/>
          <w:szCs w:val="24"/>
        </w:rPr>
        <w:t xml:space="preserve"> </w:t>
      </w:r>
      <w:r>
        <w:rPr>
          <w:spacing w:val="-11"/>
          <w:sz w:val="24"/>
          <w:szCs w:val="24"/>
        </w:rPr>
        <w:t>管</w:t>
      </w:r>
      <w:r>
        <w:rPr>
          <w:spacing w:val="4"/>
          <w:sz w:val="24"/>
          <w:szCs w:val="24"/>
        </w:rPr>
        <w:t xml:space="preserve"> </w:t>
      </w:r>
      <w:r>
        <w:rPr>
          <w:spacing w:val="-11"/>
          <w:sz w:val="24"/>
          <w:szCs w:val="24"/>
        </w:rPr>
        <w:t>理</w:t>
      </w:r>
      <w:r>
        <w:rPr>
          <w:spacing w:val="3"/>
          <w:sz w:val="24"/>
          <w:szCs w:val="24"/>
        </w:rPr>
        <w:t xml:space="preserve"> </w:t>
      </w:r>
      <w:r>
        <w:rPr>
          <w:spacing w:val="-11"/>
          <w:sz w:val="24"/>
          <w:szCs w:val="24"/>
        </w:rPr>
        <w:t>局</w:t>
      </w: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甲方（发包人）：</w:t>
      </w:r>
      <w:r>
        <w:rPr>
          <w:rFonts w:hint="eastAsia" w:ascii="宋体" w:hAnsi="宋体" w:eastAsia="宋体" w:cs="宋体"/>
          <w:kern w:val="0"/>
          <w:sz w:val="24"/>
          <w:u w:val="single"/>
          <w:lang w:val="en-US" w:eastAsia="zh-CN"/>
        </w:rPr>
        <w:t xml:space="preserve"> </w:t>
      </w:r>
      <w:r>
        <w:rPr>
          <w:rFonts w:hint="eastAsia" w:ascii="宋体" w:hAnsi="宋体" w:cs="宋体"/>
          <w:spacing w:val="0"/>
          <w:sz w:val="24"/>
          <w:u w:val="single"/>
          <w:lang w:val="en-US" w:eastAsia="zh-CN"/>
        </w:rPr>
        <w:t>南方报业传</w:t>
      </w:r>
      <w:r>
        <w:rPr>
          <w:rFonts w:hint="eastAsia" w:ascii="宋体" w:hAnsi="宋体" w:cs="宋体"/>
          <w:color w:val="auto"/>
          <w:spacing w:val="0"/>
          <w:sz w:val="24"/>
          <w:u w:val="single"/>
          <w:lang w:val="en-US" w:eastAsia="zh-CN"/>
        </w:rPr>
        <w:t xml:space="preserve">媒集团（南方日报社） </w:t>
      </w:r>
      <w:r>
        <w:rPr>
          <w:rFonts w:hint="eastAsia" w:ascii="宋体" w:hAnsi="宋体" w:eastAsia="宋体" w:cs="宋体"/>
          <w:color w:val="auto"/>
          <w:kern w:val="0"/>
          <w:sz w:val="24"/>
          <w:u w:val="single"/>
          <w:lang w:val="zh-CN"/>
        </w:rPr>
        <w:t xml:space="preserve"> </w:t>
      </w:r>
    </w:p>
    <w:p>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通讯地址：</w:t>
      </w:r>
      <w:r>
        <w:rPr>
          <w:rFonts w:hint="eastAsia" w:ascii="宋体" w:hAnsi="宋体" w:eastAsia="宋体" w:cs="宋体"/>
          <w:kern w:val="0"/>
          <w:sz w:val="24"/>
          <w:u w:val="single"/>
          <w:lang w:val="zh-CN"/>
        </w:rPr>
        <w:t xml:space="preserve">广州市越秀区广州大道中289号1号楼6楼 </w:t>
      </w:r>
      <w:r>
        <w:rPr>
          <w:rFonts w:hint="eastAsia" w:ascii="宋体" w:hAnsi="宋体" w:eastAsia="宋体" w:cs="宋体"/>
          <w:kern w:val="0"/>
          <w:sz w:val="24"/>
          <w:lang w:val="zh-CN"/>
        </w:rPr>
        <w:t xml:space="preserve">       </w:t>
      </w: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收件联系人：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法定代表人：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    </w:t>
      </w:r>
    </w:p>
    <w:p>
      <w:pPr>
        <w:widowControl/>
        <w:spacing w:line="360" w:lineRule="auto"/>
        <w:jc w:val="left"/>
        <w:rPr>
          <w:rFonts w:hint="eastAsia" w:ascii="宋体" w:hAnsi="宋体" w:eastAsia="宋体" w:cs="宋体"/>
          <w:kern w:val="0"/>
          <w:sz w:val="24"/>
          <w:lang w:val="zh-CN"/>
        </w:rPr>
      </w:pP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乙方（承包人）：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p>
    <w:p>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通讯地址：</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w:t>
      </w: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收件联系人：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p>
    <w:p>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法定代表人：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w:t>
      </w: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本工程施工负责人：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p>
    <w:p>
      <w:pPr>
        <w:widowControl/>
        <w:spacing w:line="360" w:lineRule="auto"/>
        <w:ind w:firstLine="480" w:firstLineChars="200"/>
        <w:jc w:val="left"/>
        <w:rPr>
          <w:rFonts w:hint="eastAsia" w:ascii="宋体" w:hAnsi="宋体" w:eastAsia="宋体" w:cs="宋体"/>
          <w:kern w:val="0"/>
          <w:sz w:val="24"/>
          <w:u w:val="single"/>
          <w:lang w:val="zh-CN"/>
        </w:rPr>
      </w:pPr>
      <w:r>
        <w:rPr>
          <w:rFonts w:hint="eastAsia" w:ascii="宋体" w:hAnsi="宋体" w:eastAsia="宋体" w:cs="宋体"/>
          <w:kern w:val="0"/>
          <w:sz w:val="24"/>
          <w:lang w:val="zh-CN"/>
        </w:rPr>
        <w:t>本工程设计负责人：</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w:t>
      </w:r>
      <w:r>
        <w:rPr>
          <w:rFonts w:hint="eastAsia" w:ascii="宋体" w:hAnsi="宋体" w:eastAsia="宋体" w:cs="宋体"/>
          <w:kern w:val="0"/>
          <w:sz w:val="24"/>
          <w:u w:val="single"/>
          <w:lang w:val="zh-CN"/>
        </w:rPr>
        <w:t xml:space="preserve">      </w:t>
      </w:r>
    </w:p>
    <w:p>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依照《中华人民共和国民法典》及</w:t>
      </w:r>
      <w:r>
        <w:rPr>
          <w:rFonts w:hint="eastAsia" w:ascii="宋体" w:hAnsi="宋体" w:eastAsia="宋体" w:cs="宋体"/>
          <w:kern w:val="0"/>
          <w:sz w:val="24"/>
          <w:lang w:val="en-US" w:eastAsia="zh-CN"/>
        </w:rPr>
        <w:t>相关法律法规规定</w:t>
      </w:r>
      <w:r>
        <w:rPr>
          <w:rFonts w:hint="eastAsia" w:ascii="宋体" w:hAnsi="宋体" w:eastAsia="宋体" w:cs="宋体"/>
          <w:kern w:val="0"/>
          <w:sz w:val="24"/>
          <w:lang w:val="zh-CN"/>
        </w:rPr>
        <w:t>，甲、乙双方在平等、自愿、协商一致的基础上，就乙方承包甲方</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highlight w:val="none"/>
          <w:u w:val="single"/>
        </w:rPr>
        <w:t>南方报业传媒集团</w:t>
      </w:r>
      <w:r>
        <w:rPr>
          <w:rFonts w:hint="eastAsia" w:ascii="宋体" w:hAnsi="宋体" w:eastAsia="宋体" w:cs="宋体"/>
          <w:sz w:val="24"/>
          <w:szCs w:val="24"/>
          <w:highlight w:val="none"/>
          <w:u w:val="single"/>
          <w:lang w:val="en-US" w:eastAsia="zh-CN"/>
        </w:rPr>
        <w:t>深圳分社新址装修</w:t>
      </w:r>
      <w:r>
        <w:rPr>
          <w:rFonts w:hint="eastAsia" w:ascii="宋体" w:hAnsi="宋体" w:eastAsia="宋体" w:cs="宋体"/>
          <w:sz w:val="24"/>
          <w:szCs w:val="24"/>
          <w:highlight w:val="none"/>
          <w:u w:val="single"/>
        </w:rPr>
        <w:t>项目</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机电设备部分</w:t>
      </w:r>
      <w:r>
        <w:rPr>
          <w:rFonts w:hint="eastAsia" w:ascii="宋体" w:hAnsi="宋体" w:eastAsia="宋体" w:cs="宋体"/>
          <w:sz w:val="24"/>
          <w:szCs w:val="24"/>
          <w:highlight w:val="none"/>
          <w:u w:val="single"/>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kern w:val="0"/>
          <w:sz w:val="24"/>
          <w:lang w:val="zh-CN"/>
        </w:rPr>
        <w:t>（以下简称“工程”或“项目”）的有关事宜，达成如下条款：</w:t>
      </w:r>
    </w:p>
    <w:p>
      <w:pPr>
        <w:widowControl/>
        <w:spacing w:line="360" w:lineRule="auto"/>
        <w:ind w:firstLine="480" w:firstLineChars="200"/>
        <w:jc w:val="left"/>
        <w:rPr>
          <w:rFonts w:hint="eastAsia" w:ascii="宋体" w:hAnsi="宋体" w:eastAsia="宋体" w:cs="宋体"/>
          <w:kern w:val="0"/>
          <w:sz w:val="24"/>
          <w:lang w:val="zh-CN"/>
        </w:rPr>
      </w:pPr>
    </w:p>
    <w:p>
      <w:pPr>
        <w:widowControl/>
        <w:tabs>
          <w:tab w:val="left" w:pos="3686"/>
          <w:tab w:val="left" w:pos="3828"/>
          <w:tab w:val="left" w:pos="3969"/>
        </w:tabs>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一、工程概况</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1.项目名称：</w:t>
      </w:r>
      <w:r>
        <w:rPr>
          <w:rFonts w:hint="eastAsia" w:ascii="宋体" w:hAnsi="宋体" w:eastAsia="宋体" w:cs="宋体"/>
          <w:sz w:val="24"/>
          <w:u w:val="single"/>
          <w:lang w:val="en-US" w:eastAsia="zh-CN"/>
        </w:rPr>
        <w:t xml:space="preserve"> </w:t>
      </w:r>
      <w:r>
        <w:rPr>
          <w:rFonts w:hint="eastAsia" w:ascii="宋体" w:hAnsi="宋体" w:eastAsia="宋体" w:cs="宋体"/>
          <w:sz w:val="24"/>
          <w:szCs w:val="24"/>
          <w:highlight w:val="none"/>
          <w:u w:val="single"/>
          <w:lang w:val="en-US" w:eastAsia="zh-CN"/>
        </w:rPr>
        <w:t>深圳分社新址装修</w:t>
      </w:r>
      <w:r>
        <w:rPr>
          <w:rFonts w:hint="eastAsia" w:ascii="宋体" w:hAnsi="宋体" w:eastAsia="宋体" w:cs="宋体"/>
          <w:sz w:val="24"/>
          <w:szCs w:val="24"/>
          <w:highlight w:val="none"/>
          <w:u w:val="single"/>
        </w:rPr>
        <w:t>项目</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机电设备部分</w:t>
      </w:r>
      <w:r>
        <w:rPr>
          <w:rFonts w:hint="eastAsia" w:ascii="宋体" w:hAnsi="宋体" w:eastAsia="宋体" w:cs="宋体"/>
          <w:sz w:val="24"/>
          <w:szCs w:val="24"/>
          <w:highlight w:val="none"/>
          <w:u w:val="single"/>
          <w:lang w:eastAsia="zh-CN"/>
        </w:rPr>
        <w:t>）</w:t>
      </w:r>
      <w:r>
        <w:rPr>
          <w:rFonts w:hint="eastAsia" w:ascii="宋体" w:hAnsi="宋体" w:eastAsia="宋体" w:cs="宋体"/>
          <w:sz w:val="24"/>
          <w:u w:val="single"/>
          <w:lang w:val="en-US" w:eastAsia="zh-CN"/>
        </w:rPr>
        <w:t xml:space="preserve"> </w:t>
      </w:r>
    </w:p>
    <w:p>
      <w:pPr>
        <w:widowControl/>
        <w:spacing w:line="360" w:lineRule="auto"/>
        <w:ind w:left="1919" w:leftChars="228" w:hanging="1440" w:hangingChars="6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2.工程地点：</w:t>
      </w:r>
      <w:r>
        <w:rPr>
          <w:rFonts w:hint="eastAsia" w:ascii="宋体" w:hAnsi="宋体" w:eastAsia="宋体" w:cs="宋体"/>
          <w:kern w:val="0"/>
          <w:sz w:val="24"/>
          <w:u w:val="single"/>
          <w:lang w:val="en-US" w:eastAsia="zh-CN"/>
        </w:rPr>
        <w:t xml:space="preserve"> </w:t>
      </w:r>
      <w:r>
        <w:rPr>
          <w:rFonts w:hint="eastAsia" w:ascii="宋体" w:hAnsi="宋体" w:cs="宋体"/>
          <w:spacing w:val="0"/>
          <w:sz w:val="24"/>
          <w:u w:val="single"/>
        </w:rPr>
        <w:t>深圳市福田区华强北街道振华路与上步中路交汇处滨江爱义南方大厦B座12层、13层</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3.工程内容：</w:t>
      </w:r>
    </w:p>
    <w:p>
      <w:pPr>
        <w:widowControl/>
        <w:numPr>
          <w:ilvl w:val="0"/>
          <w:numId w:val="0"/>
        </w:numPr>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eastAsia="zh-CN"/>
        </w:rPr>
        <w:t>（1）</w:t>
      </w:r>
      <w:r>
        <w:rPr>
          <w:rFonts w:hint="eastAsia" w:ascii="宋体" w:hAnsi="宋体" w:eastAsia="宋体" w:cs="宋体"/>
          <w:kern w:val="0"/>
          <w:sz w:val="24"/>
          <w:highlight w:val="none"/>
          <w:lang w:val="zh-CN"/>
        </w:rPr>
        <w:t>12层装修面积约1070㎡，13层装修面积约400㎡，各层高约4.3米，主要施工内容包括12、13层通风空调系统和新风系统的设备安装与调试，油漆、保温层、面层涂料、电气等工程（详见施工图）。</w:t>
      </w:r>
    </w:p>
    <w:p>
      <w:pPr>
        <w:widowControl/>
        <w:numPr>
          <w:ilvl w:val="0"/>
          <w:numId w:val="0"/>
        </w:numPr>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eastAsia="zh-CN"/>
        </w:rPr>
        <w:t>（2）</w:t>
      </w:r>
      <w:r>
        <w:rPr>
          <w:rFonts w:hint="eastAsia" w:ascii="宋体" w:hAnsi="宋体" w:eastAsia="宋体" w:cs="宋体"/>
          <w:kern w:val="0"/>
          <w:sz w:val="24"/>
          <w:highlight w:val="none"/>
          <w:lang w:val="zh-CN"/>
        </w:rPr>
        <w:t>设备类型及数量：12层1台空调室外机K-12-01(52HP）单台冷量146KW、1台新风室外机K-B-12-4(16HP）单台冷量45KW；13层1台空调室外机K-13-01(20HP）单台冷量56.5KW、1台新风室外机K-B-13-12(8HP）单台冷量22.4KW；</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highlight w:val="none"/>
          <w:lang w:val="zh-CN"/>
        </w:rPr>
        <w:t>两层室内机：2台2VRF22单台冷量2.2KW、9台VRF22单台冷量2.2KW、5台VRF28单台冷量2.8KW、8台VRF40单台冷量4KW、4台VRF56单台冷量5.6KW、3台VRF112单台冷量11.2KW、2台4VRF80单台冷量8KW、7台4VRF112单台冷量11.2KW、弱电机房1台1.5匹单台冷量3.5KW室内机并配套室外机（详见施工图、设备清单）。</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rPr>
        <w:t>4</w:t>
      </w:r>
      <w:r>
        <w:rPr>
          <w:rFonts w:hint="eastAsia" w:ascii="宋体" w:hAnsi="宋体" w:eastAsia="宋体" w:cs="宋体"/>
          <w:kern w:val="0"/>
          <w:sz w:val="24"/>
          <w:lang w:val="zh-CN"/>
        </w:rPr>
        <w:t>.工程承包方式：采用按设备施工图纸和报价清单进行</w:t>
      </w:r>
      <w:r>
        <w:rPr>
          <w:rFonts w:hint="eastAsia" w:ascii="宋体" w:hAnsi="宋体" w:cs="宋体"/>
          <w:kern w:val="0"/>
          <w:sz w:val="24"/>
          <w:lang w:val="en-US" w:eastAsia="zh-CN"/>
        </w:rPr>
        <w:t>设备工程费</w:t>
      </w:r>
      <w:r>
        <w:rPr>
          <w:rFonts w:hint="eastAsia" w:ascii="宋体" w:hAnsi="宋体" w:eastAsia="宋体" w:cs="宋体"/>
          <w:kern w:val="0"/>
          <w:sz w:val="24"/>
          <w:lang w:val="zh-CN"/>
        </w:rPr>
        <w:t>包干。合同</w:t>
      </w:r>
      <w:r>
        <w:rPr>
          <w:rFonts w:hint="eastAsia" w:ascii="宋体" w:hAnsi="宋体" w:eastAsia="宋体" w:cs="宋体"/>
          <w:kern w:val="0"/>
          <w:sz w:val="24"/>
          <w:lang w:val="en-US" w:eastAsia="zh-CN"/>
        </w:rPr>
        <w:t>限</w:t>
      </w:r>
      <w:r>
        <w:rPr>
          <w:rFonts w:hint="eastAsia" w:ascii="宋体" w:hAnsi="宋体" w:eastAsia="宋体" w:cs="宋体"/>
          <w:kern w:val="0"/>
          <w:sz w:val="24"/>
          <w:lang w:val="zh-CN"/>
        </w:rPr>
        <w:t>定总价（其中包含：</w:t>
      </w:r>
      <w:r>
        <w:rPr>
          <w:rFonts w:hint="eastAsia" w:ascii="宋体" w:hAnsi="宋体" w:eastAsia="宋体" w:cs="宋体"/>
          <w:kern w:val="0"/>
          <w:sz w:val="24"/>
          <w:lang w:val="zh-CN" w:eastAsia="zh-CN"/>
        </w:rPr>
        <w:t>税费、</w:t>
      </w:r>
      <w:r>
        <w:rPr>
          <w:rFonts w:hint="eastAsia" w:ascii="宋体" w:hAnsi="宋体" w:eastAsia="宋体" w:cs="宋体"/>
          <w:kern w:val="0"/>
          <w:sz w:val="24"/>
          <w:lang w:val="zh-CN"/>
        </w:rPr>
        <w:t>现场勘察费、人工、材料、设备、质量、工期、造价控制、施工安全责任、夜间施工费、赶工措施费、文明施工、项目协调管理、验收移交、包竣工资料收集整理、包保修、包施工期内综合单价不变）。以施工图纸为准，报价清单内容作参考，清单如有漏项，乙方自行补充</w:t>
      </w:r>
      <w:r>
        <w:rPr>
          <w:rFonts w:hint="eastAsia" w:ascii="宋体" w:hAnsi="宋体" w:eastAsia="宋体" w:cs="宋体"/>
          <w:kern w:val="0"/>
          <w:sz w:val="24"/>
          <w:lang w:val="en-US" w:eastAsia="zh-CN"/>
        </w:rPr>
        <w:t>项目</w:t>
      </w:r>
      <w:r>
        <w:rPr>
          <w:rFonts w:hint="eastAsia" w:ascii="宋体" w:hAnsi="宋体" w:eastAsia="宋体" w:cs="宋体"/>
          <w:kern w:val="0"/>
          <w:sz w:val="24"/>
          <w:lang w:val="zh-CN"/>
        </w:rPr>
        <w:t>，合同</w:t>
      </w:r>
      <w:r>
        <w:rPr>
          <w:rFonts w:hint="eastAsia" w:ascii="宋体" w:hAnsi="宋体" w:cs="宋体"/>
          <w:kern w:val="0"/>
          <w:sz w:val="24"/>
          <w:lang w:val="en-US" w:eastAsia="zh-CN"/>
        </w:rPr>
        <w:t>设备</w:t>
      </w:r>
      <w:r>
        <w:rPr>
          <w:rFonts w:hint="eastAsia" w:ascii="宋体" w:hAnsi="宋体" w:eastAsia="宋体" w:cs="宋体"/>
          <w:kern w:val="0"/>
          <w:sz w:val="24"/>
          <w:lang w:val="en-US" w:eastAsia="zh-CN"/>
        </w:rPr>
        <w:t>工程费不变</w:t>
      </w:r>
      <w:r>
        <w:rPr>
          <w:rFonts w:hint="eastAsia" w:ascii="宋体" w:hAnsi="宋体" w:eastAsia="宋体" w:cs="宋体"/>
          <w:kern w:val="0"/>
          <w:sz w:val="24"/>
          <w:lang w:val="zh-CN"/>
        </w:rPr>
        <w:t>。</w:t>
      </w:r>
    </w:p>
    <w:p>
      <w:pPr>
        <w:widowControl/>
        <w:spacing w:line="360" w:lineRule="auto"/>
        <w:ind w:firstLine="480" w:firstLineChars="200"/>
        <w:jc w:val="both"/>
        <w:rPr>
          <w:rFonts w:hint="eastAsia" w:ascii="宋体" w:hAnsi="宋体" w:eastAsia="宋体" w:cs="宋体"/>
          <w:b/>
          <w:kern w:val="0"/>
          <w:sz w:val="24"/>
          <w:lang w:val="zh-CN"/>
        </w:rPr>
      </w:pPr>
      <w:r>
        <w:rPr>
          <w:rFonts w:hint="eastAsia" w:ascii="宋体" w:hAnsi="宋体" w:eastAsia="宋体" w:cs="宋体"/>
          <w:kern w:val="0"/>
          <w:sz w:val="24"/>
        </w:rPr>
        <w:t>5</w:t>
      </w:r>
      <w:r>
        <w:rPr>
          <w:rFonts w:hint="eastAsia" w:ascii="宋体" w:hAnsi="宋体" w:eastAsia="宋体" w:cs="宋体"/>
          <w:kern w:val="0"/>
          <w:sz w:val="24"/>
          <w:lang w:val="zh-CN"/>
        </w:rPr>
        <w:t>.工程期限</w:t>
      </w:r>
      <w:r>
        <w:rPr>
          <w:rFonts w:hint="eastAsia" w:ascii="宋体" w:hAnsi="宋体" w:eastAsia="宋体" w:cs="宋体"/>
          <w:color w:val="auto"/>
          <w:kern w:val="0"/>
          <w:sz w:val="24"/>
          <w:u w:val="single"/>
          <w:lang w:val="en-US" w:eastAsia="zh-CN"/>
        </w:rPr>
        <w:t xml:space="preserve"> </w:t>
      </w:r>
      <w:r>
        <w:rPr>
          <w:rFonts w:hint="eastAsia" w:ascii="宋体" w:hAnsi="宋体" w:cs="宋体"/>
          <w:color w:val="auto"/>
          <w:kern w:val="0"/>
          <w:sz w:val="24"/>
          <w:u w:val="single"/>
          <w:lang w:val="en-US" w:eastAsia="zh-CN"/>
        </w:rPr>
        <w:t>30</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kern w:val="0"/>
          <w:sz w:val="24"/>
          <w:lang w:val="zh-CN"/>
        </w:rPr>
        <w:t>个日历天，以甲方发出的开工令起计算。</w:t>
      </w:r>
    </w:p>
    <w:p>
      <w:pPr>
        <w:widowControl/>
        <w:tabs>
          <w:tab w:val="left" w:pos="3686"/>
          <w:tab w:val="left" w:pos="3828"/>
          <w:tab w:val="left" w:pos="3969"/>
        </w:tabs>
        <w:spacing w:line="360" w:lineRule="auto"/>
        <w:rPr>
          <w:rFonts w:hint="eastAsia" w:ascii="宋体" w:hAnsi="宋体" w:eastAsia="宋体" w:cs="宋体"/>
          <w:b/>
          <w:kern w:val="0"/>
          <w:sz w:val="24"/>
          <w:lang w:val="zh-CN"/>
        </w:rPr>
      </w:pPr>
    </w:p>
    <w:p>
      <w:pPr>
        <w:widowControl/>
        <w:tabs>
          <w:tab w:val="left" w:pos="3686"/>
          <w:tab w:val="left" w:pos="3828"/>
          <w:tab w:val="left" w:pos="3969"/>
        </w:tabs>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二、通用条款</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 xml:space="preserve">具体参照《建设工程施工合同》（GF—2017—0201）相关条款（网址： </w:t>
      </w:r>
      <w:r>
        <w:rPr>
          <w:rFonts w:hint="eastAsia" w:ascii="宋体" w:hAnsi="宋体" w:eastAsia="宋体" w:cs="宋体"/>
          <w:i w:val="0"/>
          <w:iCs w:val="0"/>
          <w:caps w:val="0"/>
          <w:color w:val="auto"/>
          <w:spacing w:val="0"/>
          <w:kern w:val="0"/>
          <w:sz w:val="24"/>
          <w:szCs w:val="24"/>
          <w:u w:val="none"/>
          <w:shd w:val="clear" w:color="auto" w:fill="auto"/>
          <w:lang w:val="zh-CN"/>
        </w:rPr>
        <w:fldChar w:fldCharType="begin"/>
      </w:r>
      <w:r>
        <w:rPr>
          <w:rFonts w:hint="eastAsia" w:ascii="宋体" w:hAnsi="宋体" w:eastAsia="宋体" w:cs="宋体"/>
          <w:i w:val="0"/>
          <w:iCs w:val="0"/>
          <w:caps w:val="0"/>
          <w:color w:val="auto"/>
          <w:spacing w:val="0"/>
          <w:kern w:val="0"/>
          <w:sz w:val="24"/>
          <w:szCs w:val="24"/>
          <w:u w:val="none"/>
          <w:shd w:val="clear" w:color="auto" w:fill="auto"/>
          <w:lang w:val="zh-CN"/>
        </w:rPr>
        <w:instrText xml:space="preserve"> HYPERLINK "https://www.mohurd.gov.cn/gongkai/zc/wjk/art/2017/art_17339_233757.html" \t "C:/Program%20Files/XiaoNan/resources/app/renderer/_blank" </w:instrText>
      </w:r>
      <w:r>
        <w:rPr>
          <w:rFonts w:hint="eastAsia" w:ascii="宋体" w:hAnsi="宋体" w:eastAsia="宋体" w:cs="宋体"/>
          <w:i w:val="0"/>
          <w:iCs w:val="0"/>
          <w:caps w:val="0"/>
          <w:color w:val="auto"/>
          <w:spacing w:val="0"/>
          <w:kern w:val="0"/>
          <w:sz w:val="24"/>
          <w:szCs w:val="24"/>
          <w:u w:val="none"/>
          <w:shd w:val="clear" w:color="auto" w:fill="auto"/>
          <w:lang w:val="zh-CN"/>
        </w:rPr>
        <w:fldChar w:fldCharType="separate"/>
      </w:r>
      <w:r>
        <w:rPr>
          <w:rStyle w:val="29"/>
          <w:rFonts w:hint="eastAsia" w:ascii="宋体" w:hAnsi="宋体" w:eastAsia="宋体" w:cs="宋体"/>
          <w:i w:val="0"/>
          <w:iCs w:val="0"/>
          <w:caps w:val="0"/>
          <w:color w:val="auto"/>
          <w:spacing w:val="0"/>
          <w:kern w:val="0"/>
          <w:sz w:val="24"/>
          <w:szCs w:val="24"/>
          <w:u w:val="none"/>
          <w:shd w:val="clear" w:color="auto" w:fill="auto"/>
          <w:lang w:val="zh-CN"/>
        </w:rPr>
        <w:t>https://www.mohurd.gov.cn/gongkai/zc/wjk/art/2017/art_17339_233757.html</w:t>
      </w:r>
      <w:r>
        <w:rPr>
          <w:rFonts w:hint="eastAsia" w:ascii="宋体" w:hAnsi="宋体" w:eastAsia="宋体" w:cs="宋体"/>
          <w:i w:val="0"/>
          <w:iCs w:val="0"/>
          <w:caps w:val="0"/>
          <w:color w:val="auto"/>
          <w:spacing w:val="0"/>
          <w:kern w:val="0"/>
          <w:sz w:val="24"/>
          <w:szCs w:val="24"/>
          <w:u w:val="none"/>
          <w:shd w:val="clear" w:color="auto" w:fill="auto"/>
          <w:lang w:val="zh-CN"/>
        </w:rPr>
        <w:fldChar w:fldCharType="end"/>
      </w:r>
      <w:r>
        <w:rPr>
          <w:rFonts w:hint="eastAsia" w:ascii="宋体" w:hAnsi="宋体" w:eastAsia="宋体" w:cs="宋体"/>
          <w:kern w:val="0"/>
          <w:sz w:val="24"/>
          <w:lang w:val="zh-CN"/>
        </w:rPr>
        <w:t>）。通用条款与本合同不一致的，以本合同中约定的内容为准。</w:t>
      </w:r>
    </w:p>
    <w:p>
      <w:pPr>
        <w:widowControl/>
        <w:tabs>
          <w:tab w:val="left" w:pos="3686"/>
          <w:tab w:val="left" w:pos="3828"/>
          <w:tab w:val="left" w:pos="3969"/>
        </w:tabs>
        <w:spacing w:line="360" w:lineRule="auto"/>
        <w:rPr>
          <w:rFonts w:hint="eastAsia" w:ascii="宋体" w:hAnsi="宋体" w:eastAsia="宋体" w:cs="宋体"/>
          <w:b/>
          <w:kern w:val="0"/>
          <w:sz w:val="24"/>
          <w:lang w:val="zh-CN"/>
        </w:rPr>
      </w:pPr>
      <w:r>
        <w:rPr>
          <w:rFonts w:hint="eastAsia" w:ascii="宋体" w:hAnsi="宋体" w:eastAsia="宋体" w:cs="宋体"/>
          <w:b/>
          <w:kern w:val="0"/>
          <w:sz w:val="24"/>
          <w:lang w:val="zh-CN"/>
        </w:rPr>
        <w:t>三、专用条款</w:t>
      </w:r>
    </w:p>
    <w:p>
      <w:pPr>
        <w:widowControl/>
        <w:spacing w:line="360" w:lineRule="auto"/>
        <w:ind w:firstLine="482" w:firstLineChars="200"/>
        <w:jc w:val="both"/>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1.设计与图纸</w:t>
      </w:r>
    </w:p>
    <w:p>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1.1未经甲方同意，乙方不得将甲方提供的设计图纸、设计说明和其他设计资料等设计文件提供给第三方。</w:t>
      </w:r>
    </w:p>
    <w:p>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1.2图</w:t>
      </w:r>
      <w:r>
        <w:rPr>
          <w:rFonts w:hint="eastAsia" w:ascii="宋体" w:hAnsi="宋体" w:eastAsia="宋体" w:cs="宋体"/>
          <w:color w:val="auto"/>
          <w:sz w:val="24"/>
          <w:highlight w:val="none"/>
          <w:lang w:val="en-US" w:eastAsia="zh-CN"/>
        </w:rPr>
        <w:t>纸深化部分由乙方负责</w:t>
      </w:r>
      <w:r>
        <w:rPr>
          <w:rFonts w:hint="eastAsia" w:ascii="宋体" w:hAnsi="宋体" w:eastAsia="宋体" w:cs="宋体"/>
          <w:color w:val="auto"/>
          <w:sz w:val="24"/>
          <w:lang w:val="en-US" w:eastAsia="zh-CN"/>
        </w:rPr>
        <w:t>，乙方应将有关设计文件和图纸提交甲方批准后方可实施。</w:t>
      </w:r>
    </w:p>
    <w:p>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1.3为满足工程的正确实施或完成对其缺陷的修复，甲方可在合同范围内提出补充设计文件和通知，乙方应接受并执行。</w:t>
      </w:r>
    </w:p>
    <w:p>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1.4乙方应在工程竣工验收后30天内提供</w:t>
      </w:r>
      <w:r>
        <w:rPr>
          <w:rFonts w:hint="eastAsia" w:ascii="宋体" w:hAnsi="宋体" w:eastAsia="宋体" w:cs="宋体"/>
          <w:color w:val="auto"/>
          <w:kern w:val="0"/>
          <w:sz w:val="24"/>
          <w:lang w:val="zh-CN"/>
        </w:rPr>
        <w:t>竣工图纸一式3份，包括盖章纸质版、CAD和PDF等。</w:t>
      </w:r>
    </w:p>
    <w:p>
      <w:pPr>
        <w:widowControl/>
        <w:spacing w:line="360" w:lineRule="auto"/>
        <w:ind w:firstLine="482" w:firstLineChars="200"/>
        <w:jc w:val="both"/>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2.甲方义务</w:t>
      </w:r>
    </w:p>
    <w:p>
      <w:pPr>
        <w:widowControl/>
        <w:numPr>
          <w:ilvl w:val="0"/>
          <w:numId w:val="0"/>
        </w:numPr>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2.1甲方委托广东南方报业传媒集团物业管理有限公司为甲方代表，委派员工</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跟进工程事宜，负责合同履行及与乙方接洽，对工程质量、进度进行监督检查，办理施工所涉及的各种申请。</w:t>
      </w:r>
    </w:p>
    <w:p>
      <w:pPr>
        <w:widowControl/>
        <w:numPr>
          <w:ilvl w:val="0"/>
          <w:numId w:val="0"/>
        </w:numPr>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2.2开工前2天，向乙方提供广东南方报业传媒集团物业管理有限公司同意施工的文件，并向乙方现场交底，为乙方入场施工创造条件。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2.3参与对工程质量、施工进度的监督。</w:t>
      </w:r>
    </w:p>
    <w:p>
      <w:pPr>
        <w:pStyle w:val="2"/>
        <w:numPr>
          <w:ilvl w:val="0"/>
          <w:numId w:val="0"/>
        </w:numPr>
        <w:spacing w:after="0" w:line="360" w:lineRule="auto"/>
        <w:ind w:left="0" w:firstLine="482" w:firstLineChars="200"/>
        <w:rPr>
          <w:rFonts w:hint="eastAsia" w:ascii="宋体" w:hAnsi="宋体" w:eastAsia="宋体" w:cs="宋体"/>
          <w:b/>
          <w:bCs/>
          <w:kern w:val="0"/>
          <w:sz w:val="24"/>
          <w:lang w:val="zh-CN"/>
        </w:rPr>
      </w:pPr>
      <w:r>
        <w:rPr>
          <w:rFonts w:hint="eastAsia" w:ascii="宋体" w:hAnsi="宋体" w:eastAsia="宋体" w:cs="宋体"/>
          <w:b/>
          <w:bCs/>
          <w:kern w:val="0"/>
          <w:sz w:val="24"/>
          <w:lang w:val="en-US" w:eastAsia="zh-CN"/>
        </w:rPr>
        <w:t>3.</w:t>
      </w:r>
      <w:r>
        <w:rPr>
          <w:rFonts w:hint="eastAsia" w:ascii="宋体" w:hAnsi="宋体" w:eastAsia="宋体" w:cs="宋体"/>
          <w:b/>
          <w:bCs/>
          <w:kern w:val="0"/>
          <w:sz w:val="24"/>
          <w:lang w:val="zh-CN"/>
        </w:rPr>
        <w:t>乙方义务</w:t>
      </w:r>
    </w:p>
    <w:p>
      <w:pPr>
        <w:pStyle w:val="2"/>
        <w:spacing w:after="0"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3.1乙方委派</w:t>
      </w:r>
      <w:r>
        <w:rPr>
          <w:rFonts w:hint="eastAsia" w:ascii="宋体" w:hAnsi="宋体" w:eastAsia="宋体" w:cs="宋体"/>
          <w:kern w:val="0"/>
          <w:sz w:val="24"/>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（身份证号：</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，联系电话：</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）为乙方代表，负责履行合同，按</w:t>
      </w:r>
      <w:r>
        <w:rPr>
          <w:rFonts w:hint="eastAsia" w:ascii="宋体" w:hAnsi="宋体" w:eastAsia="宋体" w:cs="宋体"/>
          <w:kern w:val="0"/>
          <w:sz w:val="24"/>
          <w:lang w:val="en-US" w:eastAsia="zh-CN"/>
        </w:rPr>
        <w:t>施工图纸及</w:t>
      </w:r>
      <w:r>
        <w:rPr>
          <w:rFonts w:hint="eastAsia" w:ascii="宋体" w:hAnsi="宋体" w:eastAsia="宋体" w:cs="宋体"/>
          <w:kern w:val="0"/>
          <w:sz w:val="24"/>
          <w:lang w:val="zh-CN"/>
        </w:rPr>
        <w:t>设计要求组织施工，保质、保量的按期完成施工任务，解决合同中规定由乙方负责的各项事宜。</w:t>
      </w:r>
    </w:p>
    <w:p>
      <w:pPr>
        <w:widowControl/>
        <w:spacing w:line="360" w:lineRule="auto"/>
        <w:ind w:firstLine="480" w:firstLineChars="200"/>
        <w:jc w:val="both"/>
        <w:rPr>
          <w:rFonts w:hint="eastAsia" w:ascii="宋体" w:hAnsi="宋体" w:eastAsia="宋体" w:cs="宋体"/>
          <w:color w:val="auto"/>
          <w:kern w:val="0"/>
          <w:sz w:val="24"/>
          <w:lang w:val="zh-CN"/>
        </w:rPr>
      </w:pPr>
      <w:r>
        <w:rPr>
          <w:rFonts w:hint="eastAsia" w:ascii="宋体" w:hAnsi="宋体" w:eastAsia="宋体" w:cs="宋体"/>
          <w:color w:val="auto"/>
          <w:kern w:val="0"/>
          <w:sz w:val="24"/>
          <w:highlight w:val="none"/>
          <w:lang w:val="zh-CN"/>
        </w:rPr>
        <w:t>3.2</w:t>
      </w:r>
      <w:r>
        <w:rPr>
          <w:rFonts w:hint="eastAsia" w:ascii="宋体" w:hAnsi="宋体" w:eastAsia="宋体" w:cs="宋体"/>
          <w:color w:val="auto"/>
          <w:kern w:val="0"/>
          <w:sz w:val="24"/>
          <w:lang w:val="zh-CN"/>
        </w:rPr>
        <w:t>严格执行法律法规及规范性文件</w:t>
      </w:r>
      <w:r>
        <w:rPr>
          <w:rFonts w:hint="eastAsia" w:ascii="宋体" w:hAnsi="宋体" w:eastAsia="宋体" w:cs="宋体"/>
          <w:color w:val="auto"/>
          <w:kern w:val="0"/>
          <w:sz w:val="24"/>
          <w:highlight w:val="none"/>
        </w:rPr>
        <w:t>关于设计、</w:t>
      </w:r>
      <w:r>
        <w:rPr>
          <w:rFonts w:hint="eastAsia" w:ascii="宋体" w:hAnsi="宋体" w:cs="宋体"/>
          <w:color w:val="auto"/>
          <w:kern w:val="0"/>
          <w:sz w:val="24"/>
          <w:highlight w:val="none"/>
          <w:lang w:eastAsia="zh-CN"/>
        </w:rPr>
        <w:t>暖通</w:t>
      </w:r>
      <w:r>
        <w:rPr>
          <w:rFonts w:hint="eastAsia" w:ascii="宋体" w:hAnsi="宋体" w:eastAsia="宋体" w:cs="宋体"/>
          <w:color w:val="auto"/>
          <w:kern w:val="0"/>
          <w:sz w:val="24"/>
          <w:lang w:val="zh-CN"/>
        </w:rPr>
        <w:t>技术标准的规定，保证工程质量。</w:t>
      </w:r>
    </w:p>
    <w:p>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3.3在开工前3天内完成施工图会审，同时编制工程预算送甲方审查，编制施工组织设计和材料、设备进场计划、施工进度计划并报送甲方。</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3.4未经甲方同意，禁止拆改承重结构，严禁随意拆改原建筑结构及各种设备管线等，否则应承担相应责任。</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3.5严格执行本市有关部门和甲方对施工现场管理规定，处理好施工带来的扰民问题及周围单位（居民）的关系，并注意环境保护。</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3.6保护建筑内与施工有关的各种设施，保证施工场所内上、下管道畅通。施工现场的每天垃圾清扫，工程完工后负责清扫施工现场。符合工程验收条件。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3.7因乙方在施工中违反法律法规及规范性文件或物业管理规定而引起的罚款及赔偿由乙方负责承担。</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3.8负责所有施工范围内所有材料的卸装和搬运。</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3.9服从和配合甲方的领导和管理，做好安全保卫工作，加强施工人员的安全教育管理，并为现场施工人员购买保险，负责因项目施工导致的甲方、乙方及第三方人员伤亡或财产损失的赔偿。</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3.10严禁浪费材料，如有发生甲方有权作出处理，并要求乙方按照市场价格赔偿所浪费材料的价款。</w:t>
      </w:r>
    </w:p>
    <w:p>
      <w:pPr>
        <w:widowControl/>
        <w:spacing w:line="360" w:lineRule="auto"/>
        <w:ind w:firstLine="480" w:firstLineChars="200"/>
        <w:jc w:val="both"/>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3.11严格按照双方确认的图纸施工，擅自施工造成返工或甲方损失的，由乙方承担。</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lang w:val="zh-CN"/>
        </w:rPr>
        <w:t>3.12不得寻衅滋事，恶意停工、窝工，准时发放员工劳动报酬，如有发生无论是否造成甲方损失，甲方均有权要求乙方按照合同总价款的20%承担违约责任。</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3.1</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val="zh-CN"/>
        </w:rPr>
        <w:t>分别于水电封槽前、板材进入到施工现场之后、木地板铺贴（如有）之前分别做防白蚁的处理工作。</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3.1</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val="zh-CN"/>
        </w:rPr>
        <w:t>铺设排</w:t>
      </w:r>
      <w:r>
        <w:rPr>
          <w:rFonts w:hint="eastAsia" w:ascii="宋体" w:hAnsi="宋体" w:eastAsia="宋体" w:cs="宋体"/>
          <w:kern w:val="0"/>
          <w:sz w:val="24"/>
          <w:highlight w:val="none"/>
          <w:lang w:val="en-US" w:eastAsia="zh-CN"/>
        </w:rPr>
        <w:t>水</w:t>
      </w:r>
      <w:r>
        <w:rPr>
          <w:rFonts w:hint="eastAsia" w:ascii="宋体" w:hAnsi="宋体" w:eastAsia="宋体" w:cs="宋体"/>
          <w:kern w:val="0"/>
          <w:sz w:val="24"/>
          <w:highlight w:val="none"/>
          <w:lang w:val="zh-CN"/>
        </w:rPr>
        <w:t>管道，项目工程防水、漏水、渗水处理。</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3.1</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lang w:val="zh-CN"/>
        </w:rPr>
        <w:t>乙方负责办理</w:t>
      </w:r>
      <w:r>
        <w:rPr>
          <w:rFonts w:hint="eastAsia" w:ascii="宋体" w:hAnsi="宋体" w:eastAsia="宋体" w:cs="宋体"/>
          <w:kern w:val="0"/>
          <w:sz w:val="24"/>
          <w:highlight w:val="none"/>
          <w:lang w:val="zh-CN" w:eastAsia="zh-CN"/>
        </w:rPr>
        <w:t>物业报建手续、施工备案</w:t>
      </w:r>
      <w:r>
        <w:rPr>
          <w:rFonts w:hint="eastAsia" w:ascii="宋体" w:hAnsi="宋体" w:eastAsia="宋体" w:cs="宋体"/>
          <w:kern w:val="0"/>
          <w:sz w:val="24"/>
          <w:highlight w:val="none"/>
          <w:lang w:val="zh-CN"/>
        </w:rPr>
        <w:t>，并通过验收合格。</w:t>
      </w:r>
      <w:r>
        <w:rPr>
          <w:rFonts w:hint="eastAsia" w:ascii="宋体" w:hAnsi="宋体" w:eastAsia="宋体" w:cs="宋体"/>
          <w:kern w:val="0"/>
          <w:sz w:val="24"/>
          <w:highlight w:val="none"/>
          <w:lang w:val="zh-CN" w:eastAsia="zh-CN"/>
        </w:rPr>
        <w:t>相关报建</w:t>
      </w:r>
      <w:r>
        <w:rPr>
          <w:rFonts w:hint="eastAsia" w:ascii="宋体" w:hAnsi="宋体" w:eastAsia="宋体" w:cs="宋体"/>
          <w:kern w:val="0"/>
          <w:sz w:val="24"/>
          <w:highlight w:val="none"/>
          <w:lang w:val="zh-CN"/>
        </w:rPr>
        <w:t>所需</w:t>
      </w:r>
      <w:r>
        <w:rPr>
          <w:rFonts w:hint="eastAsia" w:ascii="宋体" w:hAnsi="宋体" w:eastAsia="宋体" w:cs="宋体"/>
          <w:kern w:val="0"/>
          <w:sz w:val="24"/>
          <w:highlight w:val="none"/>
          <w:lang w:val="zh-CN" w:eastAsia="zh-CN"/>
        </w:rPr>
        <w:t>一切</w:t>
      </w:r>
      <w:r>
        <w:rPr>
          <w:rFonts w:hint="eastAsia" w:ascii="宋体" w:hAnsi="宋体" w:eastAsia="宋体" w:cs="宋体"/>
          <w:kern w:val="0"/>
          <w:sz w:val="24"/>
          <w:highlight w:val="none"/>
          <w:lang w:val="zh-CN"/>
        </w:rPr>
        <w:t>费用由</w:t>
      </w:r>
      <w:r>
        <w:rPr>
          <w:rFonts w:hint="eastAsia" w:ascii="宋体" w:hAnsi="宋体" w:eastAsia="宋体" w:cs="宋体"/>
          <w:kern w:val="0"/>
          <w:sz w:val="24"/>
          <w:highlight w:val="none"/>
          <w:lang w:val="zh-CN" w:eastAsia="zh-CN"/>
        </w:rPr>
        <w:t>乙</w:t>
      </w:r>
      <w:r>
        <w:rPr>
          <w:rFonts w:hint="eastAsia" w:ascii="宋体" w:hAnsi="宋体" w:eastAsia="宋体" w:cs="宋体"/>
          <w:kern w:val="0"/>
          <w:sz w:val="24"/>
          <w:highlight w:val="none"/>
          <w:lang w:val="zh-CN"/>
        </w:rPr>
        <w:t>方承担。</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3.1</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lang w:val="zh-CN"/>
        </w:rPr>
        <w:t>承诺履行施工安全责任、合理注意义务和审慎义务。</w:t>
      </w:r>
    </w:p>
    <w:p>
      <w:pPr>
        <w:pStyle w:val="2"/>
        <w:ind w:firstLine="480" w:firstLineChars="200"/>
        <w:rPr>
          <w:rFonts w:hint="eastAsia" w:ascii="宋体" w:hAnsi="宋体" w:eastAsia="宋体" w:cs="宋体"/>
          <w:kern w:val="0"/>
          <w:sz w:val="24"/>
          <w:szCs w:val="24"/>
          <w:highlight w:val="none"/>
          <w:lang w:val="zh-CN" w:eastAsia="zh-CN"/>
        </w:rPr>
      </w:pPr>
      <w:r>
        <w:rPr>
          <w:rFonts w:hint="eastAsia" w:ascii="宋体" w:hAnsi="宋体" w:eastAsia="宋体" w:cs="宋体"/>
          <w:kern w:val="0"/>
          <w:sz w:val="24"/>
          <w:highlight w:val="none"/>
          <w:lang w:val="zh-CN" w:eastAsia="zh-CN"/>
        </w:rPr>
        <w:t>3.17</w:t>
      </w:r>
      <w:r>
        <w:rPr>
          <w:rFonts w:hint="eastAsia" w:ascii="宋体" w:hAnsi="宋体" w:eastAsia="宋体" w:cs="宋体"/>
          <w:color w:val="auto"/>
          <w:kern w:val="0"/>
          <w:sz w:val="24"/>
          <w:highlight w:val="none"/>
          <w:lang w:val="zh-CN" w:eastAsia="zh-CN"/>
        </w:rPr>
        <w:t>完成</w:t>
      </w:r>
      <w:r>
        <w:rPr>
          <w:rFonts w:hint="eastAsia" w:ascii="宋体" w:hAnsi="宋体" w:eastAsia="宋体" w:cs="宋体"/>
          <w:color w:val="auto"/>
          <w:kern w:val="0"/>
          <w:sz w:val="24"/>
          <w:highlight w:val="none"/>
          <w:lang w:val="en-US" w:eastAsia="zh-CN"/>
        </w:rPr>
        <w:t>通风</w:t>
      </w:r>
      <w:r>
        <w:rPr>
          <w:rFonts w:hint="eastAsia" w:ascii="宋体" w:hAnsi="宋体" w:eastAsia="宋体" w:cs="宋体"/>
          <w:color w:val="auto"/>
          <w:kern w:val="0"/>
          <w:sz w:val="24"/>
          <w:szCs w:val="24"/>
          <w:highlight w:val="none"/>
          <w:lang w:val="zh-CN" w:eastAsia="zh-CN"/>
        </w:rPr>
        <w:t>空调</w:t>
      </w:r>
      <w:r>
        <w:rPr>
          <w:rFonts w:hint="eastAsia" w:ascii="宋体" w:hAnsi="宋体" w:eastAsia="宋体" w:cs="宋体"/>
          <w:color w:val="auto"/>
          <w:kern w:val="0"/>
          <w:sz w:val="24"/>
          <w:szCs w:val="24"/>
          <w:highlight w:val="none"/>
          <w:lang w:val="en-US" w:eastAsia="zh-CN"/>
        </w:rPr>
        <w:t>系统</w:t>
      </w:r>
      <w:r>
        <w:rPr>
          <w:rFonts w:hint="eastAsia" w:ascii="宋体" w:hAnsi="宋体" w:eastAsia="宋体" w:cs="宋体"/>
          <w:kern w:val="0"/>
          <w:sz w:val="24"/>
          <w:szCs w:val="24"/>
          <w:highlight w:val="none"/>
          <w:lang w:val="en-US" w:eastAsia="zh-CN"/>
        </w:rPr>
        <w:t>和新风系统</w:t>
      </w:r>
      <w:r>
        <w:rPr>
          <w:rFonts w:hint="eastAsia" w:ascii="宋体" w:hAnsi="宋体" w:eastAsia="宋体" w:cs="宋体"/>
          <w:color w:val="auto"/>
          <w:kern w:val="0"/>
          <w:sz w:val="24"/>
          <w:szCs w:val="24"/>
          <w:highlight w:val="none"/>
          <w:lang w:val="zh-CN" w:eastAsia="zh-CN"/>
        </w:rPr>
        <w:t>安装与调试。</w:t>
      </w:r>
    </w:p>
    <w:p>
      <w:pPr>
        <w:widowControl/>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szCs w:val="24"/>
          <w:highlight w:val="none"/>
          <w:lang w:val="zh-CN" w:eastAsia="zh-CN"/>
        </w:rPr>
        <w:t>3.18</w:t>
      </w:r>
      <w:r>
        <w:rPr>
          <w:rFonts w:hint="eastAsia" w:ascii="宋体" w:hAnsi="宋体" w:eastAsia="宋体" w:cs="宋体"/>
          <w:color w:val="auto"/>
          <w:kern w:val="0"/>
          <w:sz w:val="24"/>
          <w:highlight w:val="none"/>
          <w:lang w:val="zh-CN"/>
        </w:rPr>
        <w:t>根据设计</w:t>
      </w:r>
      <w:r>
        <w:rPr>
          <w:rFonts w:hint="eastAsia" w:ascii="宋体" w:hAnsi="宋体" w:eastAsia="宋体" w:cs="宋体"/>
          <w:color w:val="auto"/>
          <w:kern w:val="0"/>
          <w:sz w:val="24"/>
          <w:highlight w:val="none"/>
          <w:lang w:val="zh-CN" w:eastAsia="zh-CN"/>
        </w:rPr>
        <w:t>和施工</w:t>
      </w:r>
      <w:r>
        <w:rPr>
          <w:rFonts w:hint="eastAsia" w:ascii="宋体" w:hAnsi="宋体" w:eastAsia="宋体" w:cs="宋体"/>
          <w:color w:val="auto"/>
          <w:kern w:val="0"/>
          <w:sz w:val="24"/>
          <w:highlight w:val="none"/>
          <w:lang w:val="zh-CN"/>
        </w:rPr>
        <w:t>方案向甲方提供工程费用明细和工程预算表，并在具体采购行为发生时提供所采购商品的合格证明。</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4.施工材料</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4.1所有材料由乙方提供,乙方应当将所购买材料的清单（包括品牌、规格、型号、数量、用途、价格）分别提供给甲方以及甲方指定的第三方存档，乙方提供的材料清单内应当加盖乙方公章。</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4.2所有施工工具、保护措施等由乙方提供,确保施工及现场办公的临电、临水设施、</w:t>
      </w:r>
      <w:r>
        <w:rPr>
          <w:rFonts w:hint="eastAsia" w:ascii="宋体" w:hAnsi="宋体" w:eastAsia="宋体" w:cs="宋体"/>
          <w:kern w:val="0"/>
          <w:sz w:val="24"/>
          <w:highlight w:val="none"/>
          <w:lang w:val="zh-CN"/>
        </w:rPr>
        <w:t>电梯（如有）</w:t>
      </w:r>
      <w:r>
        <w:rPr>
          <w:rFonts w:hint="eastAsia" w:ascii="宋体" w:hAnsi="宋体" w:eastAsia="宋体" w:cs="宋体"/>
          <w:kern w:val="0"/>
          <w:sz w:val="24"/>
          <w:lang w:val="zh-CN"/>
        </w:rPr>
        <w:t>保护及使用安全，现场灭火器放置等工作由乙方负责。</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4.3乙方购买的材料应按照图纸要求执行，并符合实际施工需要，不得过度采购,以免产生浪费。</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4.4施工应采用</w:t>
      </w:r>
      <w:r>
        <w:rPr>
          <w:rFonts w:hint="eastAsia" w:ascii="宋体" w:hAnsi="宋体" w:eastAsia="宋体" w:cs="宋体"/>
          <w:kern w:val="0"/>
          <w:sz w:val="24"/>
          <w:lang w:val="en-US" w:eastAsia="zh-CN"/>
        </w:rPr>
        <w:t>国标、</w:t>
      </w:r>
      <w:r>
        <w:rPr>
          <w:rFonts w:hint="eastAsia" w:ascii="宋体" w:hAnsi="宋体" w:eastAsia="宋体" w:cs="宋体"/>
          <w:kern w:val="0"/>
          <w:sz w:val="24"/>
          <w:lang w:val="zh-CN"/>
        </w:rPr>
        <w:t>净味环保材料。</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5.质量要求</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5.1该工程质量（含环保要求）严格以施工图纸、做法说明、设计变更为依据。</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5.2若双方未另行约定该工程质量标准，该工程质量均按国家相关标准执行。</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5.3双方约定：</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5.3.1施工过程中双方对设计或工程质量发生争议，申请由专门的鉴定机构对设计或工程质量予以鉴定，鉴定所需费用采取“谁提出谁垫付”的原则，经认证，设计或工程质量不符合合同约定标准的，鉴定所需费用由乙方承担；设计或工程质量符合合同约定标准的，鉴定所需费用由甲方承担。</w:t>
      </w:r>
    </w:p>
    <w:p>
      <w:pPr>
        <w:widowControl/>
        <w:spacing w:line="360" w:lineRule="auto"/>
        <w:ind w:firstLine="480" w:firstLineChars="200"/>
        <w:jc w:val="both"/>
        <w:rPr>
          <w:rFonts w:hint="eastAsia" w:ascii="宋体" w:hAnsi="宋体" w:eastAsia="宋体" w:cs="宋体"/>
          <w:color w:val="auto"/>
          <w:kern w:val="0"/>
          <w:sz w:val="24"/>
          <w:lang w:val="zh-CN"/>
        </w:rPr>
      </w:pPr>
      <w:r>
        <w:rPr>
          <w:rFonts w:hint="eastAsia" w:ascii="宋体" w:hAnsi="宋体" w:eastAsia="宋体" w:cs="宋体"/>
          <w:kern w:val="0"/>
          <w:sz w:val="24"/>
          <w:lang w:val="zh-CN"/>
        </w:rPr>
        <w:t>5.3.2木材、石材等天然物品，允许有自然色差与纹理差别，但乙方有义务提醒</w:t>
      </w:r>
      <w:r>
        <w:rPr>
          <w:rFonts w:hint="eastAsia" w:ascii="宋体" w:hAnsi="宋体" w:eastAsia="宋体" w:cs="宋体"/>
          <w:color w:val="auto"/>
          <w:kern w:val="0"/>
          <w:sz w:val="24"/>
          <w:lang w:val="zh-CN"/>
        </w:rPr>
        <w:t>甲方，并征得甲方</w:t>
      </w:r>
      <w:r>
        <w:rPr>
          <w:rFonts w:hint="eastAsia" w:ascii="宋体" w:hAnsi="宋体" w:eastAsia="宋体" w:cs="宋体"/>
          <w:color w:val="auto"/>
          <w:kern w:val="0"/>
          <w:sz w:val="24"/>
          <w:lang w:val="en-US" w:eastAsia="zh-CN"/>
        </w:rPr>
        <w:t>书面</w:t>
      </w:r>
      <w:r>
        <w:rPr>
          <w:rFonts w:hint="eastAsia" w:ascii="宋体" w:hAnsi="宋体" w:eastAsia="宋体" w:cs="宋体"/>
          <w:color w:val="auto"/>
          <w:kern w:val="0"/>
          <w:sz w:val="24"/>
          <w:lang w:val="zh-CN"/>
        </w:rPr>
        <w:t>同意。</w:t>
      </w:r>
    </w:p>
    <w:p>
      <w:pPr>
        <w:widowControl/>
        <w:spacing w:line="360" w:lineRule="auto"/>
        <w:ind w:firstLine="480" w:firstLineChars="200"/>
        <w:jc w:val="both"/>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5.4乙方应认真按照约定质量标准和设计要求进行施工，为甲方的检查、检验提供便利条件。若工程质量达不到约定标准，乙方应按约定标准返工整改，并承担第10.4条的迟延工期违约金及由于自身原因导致的返工整改费用。</w:t>
      </w:r>
    </w:p>
    <w:p>
      <w:pPr>
        <w:pStyle w:val="2"/>
        <w:spacing w:after="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5.5该工程的施工质量由乙方负责。</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6.工程变更</w:t>
      </w:r>
    </w:p>
    <w:p>
      <w:pPr>
        <w:widowControl/>
        <w:spacing w:line="360" w:lineRule="auto"/>
        <w:ind w:firstLine="480" w:firstLineChars="200"/>
        <w:jc w:val="both"/>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6.1为确保甲方工程质量、工期，合同签订后，乙方在施工中不得无故变更施工图纸、增加工程费用。</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6.2工程开工后，在某分项项目未施工前，乙方应接受甲方提出的合理变更要求。</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7.工期延误</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7.1对以下原因造成的竣工日期延误，经甲方确认后工期相应顺延：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7.1.1工程量或设计变更；</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7.1.2不可抗力；</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7.1.3甲方未按时参加阶段验收而造成的停工；</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7.1.4甲方书面同意工期顺延等其它情况。</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7.2乙方不得因甲方未按合同约定付款而延长工期、停工、窝工。</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7.3因乙方原因造成工程质量存在问题的，工期不得顺延，返工造成的材料浪费由乙方全部承担。</w:t>
      </w:r>
    </w:p>
    <w:p>
      <w:pPr>
        <w:widowControl/>
        <w:spacing w:line="360" w:lineRule="auto"/>
        <w:ind w:firstLine="482" w:firstLineChars="200"/>
        <w:jc w:val="both"/>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8.金额及付款</w:t>
      </w:r>
    </w:p>
    <w:p>
      <w:pPr>
        <w:widowControl/>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8.1合同</w:t>
      </w:r>
      <w:r>
        <w:rPr>
          <w:rFonts w:hint="eastAsia" w:ascii="宋体" w:hAnsi="宋体" w:eastAsia="宋体" w:cs="宋体"/>
          <w:color w:val="auto"/>
          <w:kern w:val="0"/>
          <w:sz w:val="24"/>
          <w:highlight w:val="none"/>
          <w:lang w:val="en-US" w:eastAsia="zh-CN"/>
        </w:rPr>
        <w:t>限</w:t>
      </w:r>
      <w:r>
        <w:rPr>
          <w:rFonts w:hint="eastAsia" w:ascii="宋体" w:hAnsi="宋体" w:eastAsia="宋体" w:cs="宋体"/>
          <w:color w:val="auto"/>
          <w:kern w:val="0"/>
          <w:sz w:val="24"/>
          <w:highlight w:val="none"/>
          <w:lang w:val="zh-CN"/>
        </w:rPr>
        <w:t>定总价为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元（含税），大写人民币：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。上述</w:t>
      </w:r>
      <w:r>
        <w:rPr>
          <w:rFonts w:hint="eastAsia" w:ascii="宋体" w:hAnsi="宋体" w:eastAsia="宋体" w:cs="宋体"/>
          <w:color w:val="auto"/>
          <w:kern w:val="0"/>
          <w:sz w:val="24"/>
          <w:highlight w:val="none"/>
          <w:lang w:val="en-US" w:eastAsia="zh-CN"/>
        </w:rPr>
        <w:t>限</w:t>
      </w:r>
      <w:r>
        <w:rPr>
          <w:rFonts w:hint="eastAsia" w:ascii="宋体" w:hAnsi="宋体" w:eastAsia="宋体" w:cs="宋体"/>
          <w:color w:val="auto"/>
          <w:kern w:val="0"/>
          <w:sz w:val="24"/>
          <w:highlight w:val="none"/>
          <w:lang w:val="zh-CN"/>
        </w:rPr>
        <w:t>定总价已经包含：</w:t>
      </w:r>
      <w:r>
        <w:rPr>
          <w:rFonts w:hint="eastAsia" w:ascii="宋体" w:hAnsi="宋体" w:cs="宋体"/>
          <w:color w:val="auto"/>
          <w:kern w:val="0"/>
          <w:sz w:val="24"/>
          <w:highlight w:val="none"/>
          <w:lang w:val="en-US" w:eastAsia="zh-CN"/>
        </w:rPr>
        <w:t>设备</w:t>
      </w:r>
      <w:r>
        <w:rPr>
          <w:rFonts w:hint="eastAsia" w:ascii="宋体" w:hAnsi="宋体" w:eastAsia="宋体" w:cs="宋体"/>
          <w:color w:val="auto"/>
          <w:kern w:val="0"/>
          <w:sz w:val="24"/>
          <w:highlight w:val="none"/>
          <w:lang w:val="en-US" w:eastAsia="zh-CN"/>
        </w:rPr>
        <w:t>工程费：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元，暂列金</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元。</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8.1.1施工图预算编制方式为工程量清单计价，编制原则如下：</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a.《建设工程工程量清单计价规范》（GB50500 -2013）、《广东省建设工程计价依据（2018）》、《广东省房屋建筑和市政修缮工程综合定额（2012）》、《房屋建筑与装饰工程综合定额（2018）》、《广东省通用安装工程综合定额（2018）》、《广东省市政工程综合定额（2018）》、《广东省园林绿化工程综合定额（2018）》、《广东省建设工程施工机具台班费用编制规则(2018)》、《广东省城市地下综合管廊综合定额(2018)》《广东省传统建筑保护修复工程综合定额(试行)(2018)》、《广州市市政工程补充综合定额(2019)》等、以及相应配套的取费文件，取费规定中有上下限的，按中值计算。不发生的不得计取。规费、税金等所列项目计取按照行政主管部门规定执行。</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b.人工、材料、机械价格：施工图预算执行编制时期（如遇特殊情况先施工后补预算，则按施工期间）广州市造价部门最新颁发的造价文件及政府有关文件规定。编制施工图预算时，在项目清单内主材取价必须明确主材的品牌、规格质量等级等内容。主要材料价格采用施工图预算编制时期最新颁布的《广州地区建设工程常用材料税前综合价格》（包括专业测定价，下同），如《广州地区建设工程常用材料税前综合价格》没有的则由乙方选定满足设计要求并符合国家（行业）产品标准的厂家和品牌后报监理及甲方批准，其价格按《广州地区建设工程材料（设备）厂家信息价》下浮百分之十及市场询价的较低者来确定。</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c.综合单价确认:采用工程量清单综合单价。</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rPr>
        <w:t>d</w:t>
      </w:r>
      <w:r>
        <w:rPr>
          <w:rFonts w:hint="eastAsia" w:ascii="宋体" w:hAnsi="宋体" w:eastAsia="宋体" w:cs="宋体"/>
          <w:kern w:val="0"/>
          <w:sz w:val="24"/>
          <w:lang w:val="zh-CN"/>
        </w:rPr>
        <w:t>.项目在施工阶段,因工程实施中、环境变化、需求调整等因素引起的设计及施工调整，最终造价不得超过合同</w:t>
      </w:r>
      <w:r>
        <w:rPr>
          <w:rFonts w:hint="eastAsia" w:ascii="宋体" w:hAnsi="宋体" w:eastAsia="宋体" w:cs="宋体"/>
          <w:kern w:val="0"/>
          <w:sz w:val="24"/>
          <w:lang w:val="en-US" w:eastAsia="zh-CN"/>
        </w:rPr>
        <w:t>限</w:t>
      </w:r>
      <w:r>
        <w:rPr>
          <w:rFonts w:hint="eastAsia" w:ascii="宋体" w:hAnsi="宋体" w:eastAsia="宋体" w:cs="宋体"/>
          <w:kern w:val="0"/>
          <w:sz w:val="24"/>
          <w:lang w:val="zh-CN"/>
        </w:rPr>
        <w:t>定总价。</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rPr>
        <w:t>e</w:t>
      </w:r>
      <w:r>
        <w:rPr>
          <w:rFonts w:hint="eastAsia" w:ascii="宋体" w:hAnsi="宋体" w:eastAsia="宋体" w:cs="宋体"/>
          <w:kern w:val="0"/>
          <w:sz w:val="24"/>
          <w:lang w:val="zh-CN"/>
        </w:rPr>
        <w:t>.本工程实施全过程限额投资,所有工程变更需经过甲方审定后方可实施。</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8.2付款方式：</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8.2.1合同签订后10天内，支付</w:t>
      </w:r>
      <w:r>
        <w:rPr>
          <w:rFonts w:hint="eastAsia" w:ascii="宋体" w:hAnsi="宋体" w:cs="宋体"/>
          <w:kern w:val="0"/>
          <w:sz w:val="24"/>
          <w:highlight w:val="none"/>
          <w:lang w:val="en-US" w:eastAsia="zh-CN"/>
        </w:rPr>
        <w:t>设备</w:t>
      </w:r>
      <w:r>
        <w:rPr>
          <w:rFonts w:hint="eastAsia" w:ascii="宋体" w:hAnsi="宋体" w:eastAsia="宋体" w:cs="宋体"/>
          <w:kern w:val="0"/>
          <w:sz w:val="24"/>
          <w:highlight w:val="none"/>
          <w:lang w:val="zh-CN"/>
        </w:rPr>
        <w:t>工程费的20%为预付款；</w:t>
      </w:r>
      <w:r>
        <w:rPr>
          <w:rFonts w:hint="eastAsia" w:ascii="宋体" w:hAnsi="宋体" w:eastAsia="宋体" w:cs="宋体"/>
          <w:kern w:val="0"/>
          <w:sz w:val="24"/>
          <w:highlight w:val="none"/>
          <w:lang w:val="zh-CN" w:eastAsia="zh-CN"/>
        </w:rPr>
        <w:t>空调设备到货进场</w:t>
      </w:r>
      <w:r>
        <w:rPr>
          <w:rFonts w:hint="eastAsia" w:ascii="宋体" w:hAnsi="宋体" w:eastAsia="宋体" w:cs="宋体"/>
          <w:kern w:val="0"/>
          <w:sz w:val="24"/>
          <w:szCs w:val="24"/>
          <w:highlight w:val="none"/>
          <w:lang w:val="zh-CN" w:eastAsia="zh-CN"/>
        </w:rPr>
        <w:t>并</w:t>
      </w:r>
      <w:r>
        <w:rPr>
          <w:rFonts w:hint="eastAsia" w:ascii="宋体" w:hAnsi="宋体" w:eastAsia="宋体" w:cs="宋体"/>
          <w:kern w:val="0"/>
          <w:sz w:val="24"/>
          <w:szCs w:val="24"/>
          <w:highlight w:val="none"/>
          <w:lang w:val="zh-CN"/>
        </w:rPr>
        <w:t>验收合格后，10天内支付</w:t>
      </w:r>
      <w:r>
        <w:rPr>
          <w:rFonts w:hint="eastAsia" w:ascii="宋体" w:hAnsi="宋体" w:cs="宋体"/>
          <w:kern w:val="0"/>
          <w:sz w:val="24"/>
          <w:szCs w:val="24"/>
          <w:highlight w:val="none"/>
          <w:lang w:val="en-US" w:eastAsia="zh-CN"/>
        </w:rPr>
        <w:t>设备</w:t>
      </w:r>
      <w:r>
        <w:rPr>
          <w:rFonts w:hint="eastAsia" w:ascii="宋体" w:hAnsi="宋体" w:eastAsia="宋体" w:cs="宋体"/>
          <w:kern w:val="0"/>
          <w:sz w:val="24"/>
          <w:szCs w:val="24"/>
          <w:highlight w:val="none"/>
          <w:lang w:val="zh-CN"/>
        </w:rPr>
        <w:t>工程费的</w:t>
      </w:r>
      <w:r>
        <w:rPr>
          <w:rFonts w:hint="eastAsia" w:ascii="宋体" w:hAnsi="宋体" w:eastAsia="宋体" w:cs="宋体"/>
          <w:kern w:val="0"/>
          <w:sz w:val="24"/>
          <w:szCs w:val="24"/>
          <w:highlight w:val="none"/>
          <w:lang w:val="zh-CN" w:eastAsia="zh-CN"/>
        </w:rPr>
        <w:t>3</w:t>
      </w:r>
      <w:r>
        <w:rPr>
          <w:rFonts w:hint="eastAsia" w:ascii="宋体" w:hAnsi="宋体" w:eastAsia="宋体" w:cs="宋体"/>
          <w:kern w:val="0"/>
          <w:sz w:val="24"/>
          <w:szCs w:val="24"/>
          <w:highlight w:val="none"/>
          <w:lang w:val="zh-CN"/>
        </w:rPr>
        <w:t>0%</w:t>
      </w:r>
      <w:r>
        <w:rPr>
          <w:rFonts w:hint="eastAsia" w:ascii="宋体" w:hAnsi="宋体" w:eastAsia="宋体" w:cs="宋体"/>
          <w:kern w:val="0"/>
          <w:sz w:val="24"/>
          <w:highlight w:val="none"/>
          <w:lang w:val="zh-CN"/>
        </w:rPr>
        <w:t>；工程竣工验收</w:t>
      </w:r>
      <w:r>
        <w:rPr>
          <w:rFonts w:hint="eastAsia" w:ascii="宋体" w:hAnsi="宋体" w:eastAsia="宋体" w:cs="宋体"/>
          <w:kern w:val="0"/>
          <w:sz w:val="24"/>
          <w:highlight w:val="none"/>
          <w:lang w:val="zh-CN" w:eastAsia="zh-CN"/>
        </w:rPr>
        <w:t>合格</w:t>
      </w:r>
      <w:r>
        <w:rPr>
          <w:rFonts w:hint="eastAsia" w:ascii="宋体" w:hAnsi="宋体" w:eastAsia="宋体" w:cs="宋体"/>
          <w:kern w:val="0"/>
          <w:sz w:val="24"/>
          <w:highlight w:val="none"/>
          <w:lang w:val="zh-CN"/>
        </w:rPr>
        <w:t>后，10天内支付</w:t>
      </w:r>
      <w:r>
        <w:rPr>
          <w:rFonts w:hint="eastAsia" w:ascii="宋体" w:hAnsi="宋体" w:cs="宋体"/>
          <w:kern w:val="0"/>
          <w:sz w:val="24"/>
          <w:highlight w:val="none"/>
          <w:lang w:val="en-US" w:eastAsia="zh-CN"/>
        </w:rPr>
        <w:t>设备</w:t>
      </w:r>
      <w:r>
        <w:rPr>
          <w:rFonts w:hint="eastAsia" w:ascii="宋体" w:hAnsi="宋体" w:eastAsia="宋体" w:cs="宋体"/>
          <w:kern w:val="0"/>
          <w:sz w:val="24"/>
          <w:highlight w:val="none"/>
          <w:lang w:val="zh-CN"/>
        </w:rPr>
        <w:t>工程费的</w:t>
      </w:r>
      <w:r>
        <w:rPr>
          <w:rFonts w:hint="eastAsia" w:ascii="宋体" w:hAnsi="宋体" w:eastAsia="宋体" w:cs="宋体"/>
          <w:kern w:val="0"/>
          <w:sz w:val="24"/>
          <w:highlight w:val="none"/>
          <w:lang w:val="zh-CN" w:eastAsia="zh-CN"/>
        </w:rPr>
        <w:t>35</w:t>
      </w:r>
      <w:r>
        <w:rPr>
          <w:rFonts w:hint="eastAsia" w:ascii="宋体" w:hAnsi="宋体" w:eastAsia="宋体" w:cs="宋体"/>
          <w:kern w:val="0"/>
          <w:sz w:val="24"/>
          <w:highlight w:val="none"/>
          <w:lang w:val="zh-CN"/>
        </w:rPr>
        <w:t>%；工程竣工结算，提交结算书经相关部门/单位/第三方结算审计确认后，10天内支付至结算价的97%；</w:t>
      </w:r>
      <w:r>
        <w:rPr>
          <w:rFonts w:hint="eastAsia" w:ascii="宋体" w:hAnsi="宋体" w:eastAsia="宋体" w:cs="宋体"/>
          <w:kern w:val="0"/>
          <w:sz w:val="24"/>
          <w:szCs w:val="24"/>
          <w:highlight w:val="none"/>
          <w:lang w:val="zh-CN"/>
        </w:rPr>
        <w:t>结算价余款3%，余款在</w:t>
      </w:r>
      <w:r>
        <w:rPr>
          <w:rFonts w:hint="eastAsia" w:ascii="宋体" w:hAnsi="宋体" w:eastAsia="宋体" w:cs="宋体"/>
          <w:kern w:val="0"/>
          <w:sz w:val="24"/>
          <w:szCs w:val="24"/>
          <w:highlight w:val="none"/>
          <w:lang w:val="zh-CN" w:eastAsia="zh-CN"/>
        </w:rPr>
        <w:t>本合同第9.4条规定缺陷责任期</w:t>
      </w:r>
      <w:r>
        <w:rPr>
          <w:rFonts w:hint="eastAsia" w:ascii="宋体" w:hAnsi="宋体" w:eastAsia="宋体" w:cs="宋体"/>
          <w:kern w:val="0"/>
          <w:sz w:val="24"/>
          <w:szCs w:val="24"/>
          <w:highlight w:val="none"/>
          <w:lang w:val="zh-CN"/>
        </w:rPr>
        <w:t>满后10天内乙方无违约行为情形下由甲方无息付清</w:t>
      </w:r>
      <w:r>
        <w:rPr>
          <w:rFonts w:hint="eastAsia" w:ascii="宋体" w:hAnsi="宋体" w:eastAsia="宋体" w:cs="宋体"/>
          <w:kern w:val="0"/>
          <w:sz w:val="24"/>
          <w:highlight w:val="none"/>
          <w:lang w:val="zh-CN"/>
        </w:rPr>
        <w:t>。</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8.2.2本项目由乙方负责报批报建（若需），相关一切费用由乙方承担。</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8.2.3乙方应按甲方要求在甲方付款前向甲方开具等额增值税专用发票，否则甲方有权延迟付款且不承担违约责任，甲方开票信息：</w:t>
      </w:r>
    </w:p>
    <w:p>
      <w:pPr>
        <w:widowControl/>
        <w:spacing w:line="360" w:lineRule="auto"/>
        <w:ind w:firstLine="480" w:firstLineChars="200"/>
        <w:jc w:val="both"/>
        <w:rPr>
          <w:rFonts w:hint="eastAsia" w:ascii="宋体" w:hAnsi="宋体" w:eastAsia="宋体" w:cs="宋体"/>
          <w:kern w:val="0"/>
          <w:sz w:val="24"/>
          <w:highlight w:val="none"/>
          <w:u w:val="none"/>
          <w:lang w:val="zh-CN"/>
        </w:rPr>
      </w:pPr>
      <w:r>
        <w:rPr>
          <w:rFonts w:hint="eastAsia" w:ascii="宋体" w:hAnsi="宋体" w:eastAsia="宋体" w:cs="宋体"/>
          <w:kern w:val="0"/>
          <w:sz w:val="24"/>
          <w:highlight w:val="none"/>
          <w:lang w:val="zh-CN"/>
        </w:rPr>
        <w:t>名称：</w:t>
      </w:r>
      <w:r>
        <w:rPr>
          <w:rFonts w:hint="eastAsia" w:ascii="宋体" w:hAnsi="宋体" w:eastAsia="宋体" w:cs="宋体"/>
          <w:kern w:val="0"/>
          <w:sz w:val="24"/>
          <w:highlight w:val="none"/>
          <w:u w:val="none"/>
          <w:lang w:val="zh-CN" w:eastAsia="zh-CN"/>
        </w:rPr>
        <w:t xml:space="preserve"> 南方报业传媒集团（</w:t>
      </w:r>
      <w:r>
        <w:rPr>
          <w:rFonts w:hint="eastAsia" w:ascii="宋体" w:hAnsi="宋体" w:eastAsia="宋体" w:cs="宋体"/>
          <w:kern w:val="0"/>
          <w:sz w:val="24"/>
          <w:highlight w:val="none"/>
          <w:u w:val="none"/>
          <w:lang w:val="zh-CN"/>
        </w:rPr>
        <w:t>南方日报社</w:t>
      </w:r>
      <w:r>
        <w:rPr>
          <w:rFonts w:hint="eastAsia" w:ascii="宋体" w:hAnsi="宋体" w:eastAsia="宋体" w:cs="宋体"/>
          <w:kern w:val="0"/>
          <w:sz w:val="24"/>
          <w:highlight w:val="none"/>
          <w:u w:val="none"/>
          <w:lang w:val="zh-CN"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纳税人识别号：</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124400006713825565</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开户行：</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中国建设银行广州市五羊新城支行</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账号：</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44001400905059318318</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地址：</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广东省广州市越秀区广州大道中289号</w:t>
      </w:r>
      <w:r>
        <w:rPr>
          <w:rFonts w:hint="eastAsia" w:ascii="宋体" w:hAnsi="宋体" w:eastAsia="宋体" w:cs="宋体"/>
          <w:kern w:val="0"/>
          <w:sz w:val="24"/>
          <w:u w:val="single"/>
          <w:lang w:val="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电话：</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020-83000917</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8.3 乙方收款账户信息</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户名：</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开户行：</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账号：</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地址：</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u w:val="single"/>
          <w:lang w:val="zh-CN"/>
        </w:rPr>
      </w:pPr>
      <w:r>
        <w:rPr>
          <w:rFonts w:hint="eastAsia" w:ascii="宋体" w:hAnsi="宋体" w:eastAsia="宋体" w:cs="宋体"/>
          <w:kern w:val="0"/>
          <w:sz w:val="24"/>
          <w:lang w:val="zh-CN"/>
        </w:rPr>
        <w:t>电话：</w:t>
      </w:r>
      <w:r>
        <w:rPr>
          <w:rFonts w:hint="eastAsia" w:ascii="宋体" w:hAnsi="宋体" w:eastAsia="宋体" w:cs="宋体"/>
          <w:kern w:val="0"/>
          <w:sz w:val="24"/>
          <w:u w:val="single"/>
          <w:lang w:val="en-US" w:eastAsia="zh-CN"/>
        </w:rPr>
        <w:t xml:space="preserve">                        </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8.4本合同费用已包括工程标的所需的税费、采购费、人工费、维护人员高空作业费、夜间施工费、赶工措施费及其引发的意外伤亡、医疗、补助等全部费用在内。</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9.工程验收与保修</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9.1在施工过程中分下列三个阶段对工程质量进行验收；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9.1.1水、电管线等隐蔽工程的验收；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9.1.2</w:t>
      </w:r>
      <w:r>
        <w:rPr>
          <w:rFonts w:hint="eastAsia" w:ascii="宋体" w:hAnsi="宋体" w:eastAsia="宋体" w:cs="宋体"/>
          <w:color w:val="auto"/>
          <w:kern w:val="0"/>
          <w:sz w:val="24"/>
          <w:highlight w:val="none"/>
          <w:u w:val="none"/>
        </w:rPr>
        <w:t>油漆、</w:t>
      </w:r>
      <w:r>
        <w:rPr>
          <w:rFonts w:hint="eastAsia" w:ascii="宋体" w:hAnsi="宋体" w:cs="宋体"/>
          <w:color w:val="auto"/>
          <w:kern w:val="0"/>
          <w:sz w:val="24"/>
          <w:highlight w:val="none"/>
          <w:u w:val="none"/>
          <w:lang w:val="en-US" w:eastAsia="zh-CN"/>
        </w:rPr>
        <w:t>保温层、</w:t>
      </w:r>
      <w:r>
        <w:rPr>
          <w:rFonts w:hint="eastAsia" w:ascii="宋体" w:hAnsi="宋体" w:eastAsia="宋体" w:cs="宋体"/>
          <w:color w:val="auto"/>
          <w:kern w:val="0"/>
          <w:sz w:val="24"/>
          <w:highlight w:val="none"/>
          <w:u w:val="none"/>
        </w:rPr>
        <w:t>面层涂料</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设备</w:t>
      </w:r>
      <w:r>
        <w:rPr>
          <w:rFonts w:hint="eastAsia" w:ascii="宋体" w:hAnsi="宋体" w:eastAsia="宋体" w:cs="宋体"/>
          <w:color w:val="auto"/>
          <w:kern w:val="0"/>
          <w:sz w:val="24"/>
          <w:highlight w:val="none"/>
          <w:u w:val="none"/>
        </w:rPr>
        <w:t>施工前验收；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9.1.3</w:t>
      </w:r>
      <w:r>
        <w:rPr>
          <w:rFonts w:hint="eastAsia" w:ascii="宋体" w:hAnsi="宋体" w:eastAsia="宋体" w:cs="宋体"/>
          <w:color w:val="auto"/>
          <w:kern w:val="0"/>
          <w:sz w:val="24"/>
          <w:highlight w:val="none"/>
          <w:u w:val="none"/>
        </w:rPr>
        <w:t>竣工验收、环保测试。</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9.2乙方应提前两个工作日通知甲方指定的第三方参加各阶段验收、测试，各阶段验收、测试合格后应填写工程验收单。</w:t>
      </w:r>
    </w:p>
    <w:p>
      <w:pPr>
        <w:widowControl/>
        <w:spacing w:line="360" w:lineRule="auto"/>
        <w:ind w:firstLine="480" w:firstLineChars="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9.3工程竣工后，经调试、验收合格，乙方向甲方办理移交手续，并填写工程保修单。</w:t>
      </w:r>
      <w:r>
        <w:rPr>
          <w:rFonts w:hint="eastAsia" w:ascii="宋体" w:hAnsi="宋体" w:eastAsia="宋体" w:cs="宋体"/>
          <w:kern w:val="0"/>
          <w:sz w:val="24"/>
          <w:szCs w:val="24"/>
          <w:highlight w:val="none"/>
          <w:lang w:val="en-US" w:eastAsia="zh-CN"/>
        </w:rPr>
        <w:t>相关</w:t>
      </w:r>
      <w:r>
        <w:rPr>
          <w:rFonts w:hint="eastAsia" w:ascii="宋体" w:hAnsi="宋体" w:eastAsia="宋体" w:cs="宋体"/>
          <w:i w:val="0"/>
          <w:iCs w:val="0"/>
          <w:caps w:val="0"/>
          <w:color w:val="000000"/>
          <w:spacing w:val="0"/>
          <w:sz w:val="24"/>
          <w:szCs w:val="24"/>
          <w:shd w:val="clear" w:color="auto" w:fill="FFFFFF"/>
        </w:rPr>
        <w:t>供热与供冷系统</w:t>
      </w:r>
      <w:r>
        <w:rPr>
          <w:rFonts w:hint="eastAsia" w:ascii="宋体" w:hAnsi="宋体" w:eastAsia="宋体" w:cs="宋体"/>
          <w:i w:val="0"/>
          <w:iCs w:val="0"/>
          <w:caps w:val="0"/>
          <w:color w:val="000000"/>
          <w:spacing w:val="0"/>
          <w:sz w:val="24"/>
          <w:szCs w:val="24"/>
          <w:shd w:val="clear" w:color="auto" w:fill="FFFFFF"/>
          <w:lang w:val="en-US" w:eastAsia="zh-CN"/>
        </w:rPr>
        <w:t>保修期</w:t>
      </w:r>
      <w:r>
        <w:rPr>
          <w:rFonts w:hint="eastAsia" w:ascii="宋体" w:hAnsi="宋体" w:eastAsia="宋体" w:cs="宋体"/>
          <w:i w:val="0"/>
          <w:iCs w:val="0"/>
          <w:caps w:val="0"/>
          <w:color w:val="000000"/>
          <w:spacing w:val="0"/>
          <w:sz w:val="24"/>
          <w:szCs w:val="24"/>
          <w:shd w:val="clear" w:color="auto" w:fill="FFFFFF"/>
        </w:rPr>
        <w:t>为</w:t>
      </w:r>
      <w:r>
        <w:rPr>
          <w:rFonts w:hint="eastAsia" w:ascii="宋体" w:hAnsi="宋体" w:eastAsia="宋体" w:cs="宋体"/>
          <w:i w:val="0"/>
          <w:iCs w:val="0"/>
          <w:caps w:val="0"/>
          <w:color w:val="000000"/>
          <w:spacing w:val="0"/>
          <w:sz w:val="24"/>
          <w:szCs w:val="24"/>
          <w:shd w:val="clear" w:color="auto" w:fill="FFFFFF"/>
          <w:lang w:val="en-US" w:eastAsia="zh-CN"/>
        </w:rPr>
        <w:t>2</w:t>
      </w:r>
      <w:r>
        <w:rPr>
          <w:rFonts w:hint="eastAsia" w:ascii="宋体" w:hAnsi="宋体" w:eastAsia="宋体" w:cs="宋体"/>
          <w:i w:val="0"/>
          <w:iCs w:val="0"/>
          <w:caps w:val="0"/>
          <w:color w:val="000000"/>
          <w:spacing w:val="0"/>
          <w:sz w:val="24"/>
          <w:szCs w:val="24"/>
          <w:shd w:val="clear" w:color="auto" w:fill="FFFFFF"/>
        </w:rPr>
        <w:t>个采暖期、供冷期</w:t>
      </w:r>
      <w:r>
        <w:rPr>
          <w:rFonts w:hint="eastAsia" w:ascii="宋体" w:hAnsi="宋体" w:eastAsia="宋体" w:cs="宋体"/>
          <w:kern w:val="0"/>
          <w:sz w:val="24"/>
          <w:szCs w:val="24"/>
          <w:highlight w:val="none"/>
          <w:lang w:val="zh-CN"/>
        </w:rPr>
        <w:t>，</w:t>
      </w:r>
      <w:r>
        <w:rPr>
          <w:rFonts w:hint="eastAsia" w:ascii="宋体" w:hAnsi="宋体" w:eastAsia="宋体" w:cs="宋体"/>
          <w:i w:val="0"/>
          <w:iCs w:val="0"/>
          <w:caps w:val="0"/>
          <w:color w:val="000000"/>
          <w:spacing w:val="0"/>
          <w:sz w:val="24"/>
          <w:szCs w:val="24"/>
          <w:shd w:val="clear" w:color="auto" w:fill="FFFFFF"/>
        </w:rPr>
        <w:t>电气管线、给排水管道、设备安装和装修工程</w:t>
      </w:r>
      <w:r>
        <w:rPr>
          <w:rFonts w:hint="eastAsia" w:ascii="宋体" w:hAnsi="宋体" w:eastAsia="宋体" w:cs="宋体"/>
          <w:i w:val="0"/>
          <w:iCs w:val="0"/>
          <w:caps w:val="0"/>
          <w:color w:val="000000"/>
          <w:spacing w:val="0"/>
          <w:sz w:val="24"/>
          <w:szCs w:val="24"/>
          <w:shd w:val="clear" w:color="auto" w:fill="FFFFFF"/>
          <w:lang w:val="en-US" w:eastAsia="zh-CN"/>
        </w:rPr>
        <w:t>保修期为2年，</w:t>
      </w:r>
      <w:r>
        <w:rPr>
          <w:rFonts w:hint="eastAsia" w:ascii="宋体" w:hAnsi="宋体" w:eastAsia="宋体" w:cs="宋体"/>
          <w:color w:val="auto"/>
          <w:kern w:val="0"/>
          <w:sz w:val="24"/>
          <w:szCs w:val="24"/>
          <w:highlight w:val="none"/>
          <w:lang w:val="zh-CN"/>
        </w:rPr>
        <w:t>防水保修期限为</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highlight w:val="none"/>
          <w:lang w:val="zh-CN"/>
        </w:rPr>
        <w:t>，</w:t>
      </w:r>
      <w:r>
        <w:rPr>
          <w:rFonts w:hint="eastAsia" w:ascii="宋体" w:hAnsi="宋体" w:eastAsia="宋体" w:cs="宋体"/>
          <w:kern w:val="0"/>
          <w:sz w:val="24"/>
          <w:highlight w:val="none"/>
          <w:lang w:val="zh-CN"/>
        </w:rPr>
        <w:t>自验收合格并移交之日起计算。</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9.4工程验收合格之日算起，</w:t>
      </w:r>
      <w:r>
        <w:rPr>
          <w:rFonts w:hint="eastAsia" w:ascii="宋体" w:hAnsi="宋体" w:eastAsia="宋体" w:cs="宋体"/>
          <w:kern w:val="0"/>
          <w:sz w:val="24"/>
          <w:lang w:val="en-US" w:eastAsia="zh-CN"/>
        </w:rPr>
        <w:t>缺陷责任期</w:t>
      </w:r>
      <w:r>
        <w:rPr>
          <w:rFonts w:hint="eastAsia" w:ascii="宋体" w:hAnsi="宋体" w:eastAsia="宋体" w:cs="宋体"/>
          <w:kern w:val="0"/>
          <w:sz w:val="24"/>
          <w:lang w:val="zh-CN"/>
        </w:rPr>
        <w:t>为</w:t>
      </w:r>
      <w:r>
        <w:rPr>
          <w:rFonts w:hint="eastAsia" w:ascii="宋体" w:hAnsi="宋体" w:eastAsia="宋体" w:cs="宋体"/>
          <w:kern w:val="0"/>
          <w:sz w:val="24"/>
          <w:lang w:val="en-US" w:eastAsia="zh-CN"/>
        </w:rPr>
        <w:t>2</w:t>
      </w:r>
      <w:r>
        <w:rPr>
          <w:rFonts w:hint="eastAsia" w:ascii="宋体" w:hAnsi="宋体" w:eastAsia="宋体" w:cs="宋体"/>
          <w:kern w:val="0"/>
          <w:sz w:val="24"/>
          <w:lang w:val="zh-CN"/>
        </w:rPr>
        <w:t>年。在</w:t>
      </w:r>
      <w:r>
        <w:rPr>
          <w:rFonts w:hint="eastAsia" w:ascii="宋体" w:hAnsi="宋体" w:eastAsia="宋体" w:cs="宋体"/>
          <w:kern w:val="0"/>
          <w:sz w:val="24"/>
          <w:lang w:val="en-US" w:eastAsia="zh-CN"/>
        </w:rPr>
        <w:t>缺陷责任期</w:t>
      </w:r>
      <w:r>
        <w:rPr>
          <w:rFonts w:hint="eastAsia" w:ascii="宋体" w:hAnsi="宋体" w:eastAsia="宋体" w:cs="宋体"/>
          <w:kern w:val="0"/>
          <w:sz w:val="24"/>
          <w:lang w:val="zh-CN"/>
        </w:rPr>
        <w:t>内，施工单位接到质保修复通知后1小时内响应，应在24小时内赶到现场，质保修复等相关费用由施工单位自行负担。</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10.违约责任</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10.1除本合同另有约定或不可抗力外，任何一方未能全面履行其在本合同项下之义务的，则该方应被视作违反本协议。违约方应依本协议约定和法律规定承担违约责任，赔偿守约方因其违约行为而发生的所有损失（包括但不限于守约方的直接损失、预期利益损失、为避免损失而进行的合理费用支出、律师费、案件受理费、评估费、差旅费、拍卖费、招投标费用，下同）。</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10.2本合同生效后甲、乙双方应严格履行合同所规定的各项条款，不得擅自变更或解除合同 ，否则违约方将支付对方合同价的5%作为违约金，若因此造成守约方其他损失的，违约方应继续赔付守约方损失。</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10.3乙方原因，工程质量达不到双方约定的质量标准，由乙方负责维修，所需维修费用由乙方承担，工期不顺延，乙方工程未达到甲方要求的质量标准，甲方有权</w:t>
      </w:r>
      <w:r>
        <w:rPr>
          <w:rFonts w:hint="eastAsia" w:ascii="宋体" w:hAnsi="宋体" w:eastAsia="宋体" w:cs="宋体"/>
          <w:kern w:val="0"/>
          <w:sz w:val="24"/>
          <w:lang w:val="en-US" w:eastAsia="zh-CN"/>
        </w:rPr>
        <w:t>不予</w:t>
      </w:r>
      <w:r>
        <w:rPr>
          <w:rFonts w:hint="eastAsia" w:ascii="宋体" w:hAnsi="宋体" w:eastAsia="宋体" w:cs="宋体"/>
          <w:kern w:val="0"/>
          <w:sz w:val="24"/>
          <w:lang w:val="zh-CN"/>
        </w:rPr>
        <w:t>支付合同款项且不视为违约。</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10.4非因7.1条情形的乙方工期延误，则每延误一日，乙方按照合同</w:t>
      </w:r>
      <w:r>
        <w:rPr>
          <w:rFonts w:hint="eastAsia" w:ascii="宋体" w:hAnsi="宋体" w:eastAsia="宋体" w:cs="宋体"/>
          <w:kern w:val="0"/>
          <w:sz w:val="24"/>
          <w:lang w:val="en-US" w:eastAsia="zh-CN"/>
        </w:rPr>
        <w:t>总</w:t>
      </w:r>
      <w:r>
        <w:rPr>
          <w:rFonts w:hint="eastAsia" w:ascii="宋体" w:hAnsi="宋体" w:eastAsia="宋体" w:cs="宋体"/>
          <w:kern w:val="0"/>
          <w:sz w:val="24"/>
          <w:lang w:val="zh-CN"/>
        </w:rPr>
        <w:t>价的1‰向甲方支付违约金。</w:t>
      </w:r>
    </w:p>
    <w:p>
      <w:pPr>
        <w:widowControl/>
        <w:spacing w:line="360" w:lineRule="auto"/>
        <w:ind w:firstLine="480" w:firstLineChars="200"/>
        <w:jc w:val="both"/>
        <w:rPr>
          <w:rFonts w:hint="eastAsia" w:ascii="宋体" w:hAnsi="宋体" w:eastAsia="宋体" w:cs="宋体"/>
          <w:b/>
          <w:bCs/>
          <w:kern w:val="0"/>
          <w:sz w:val="24"/>
          <w:lang w:val="zh-CN"/>
        </w:rPr>
      </w:pPr>
      <w:r>
        <w:rPr>
          <w:rFonts w:hint="eastAsia" w:ascii="宋体" w:hAnsi="宋体" w:eastAsia="宋体" w:cs="宋体"/>
          <w:kern w:val="0"/>
          <w:sz w:val="24"/>
          <w:lang w:val="zh-CN"/>
        </w:rPr>
        <w:t>10.</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甲方有权在任何一期合同价款中扣除乙方按照本合同应支付的违约金及/或赔偿金。</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11.工程结算</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11.1乙方报送给甲方的结算文件，由甲方采购的第三方工程造价咨询机构进行审计。审计费的收费标准按甲方采购的第三方工程造价咨询机构签订的审计业务约定书的相关条款为准。</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11.2本工程的审计费用，按如下条款执行：</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11.2.1若审减率在3％（含3％）以内的，审计费总额由甲方承担；</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注：审减率＝（送审结算金额－造价公司审定金额）÷送审结算金额，送审结算金额指报送到甲方的第三方工程造价咨询机构的结算金额）</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11.2.2若审减率超出3％且在10％（含10％）以内的，乙方应承担超出部分的审计费，计算公式为：乙方应承担的审计费＝（审减率－3％）÷审减率×审计费总额；</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11.2.3若审减率超出10％的，审计费总额全部均由乙方承担；</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11.2.4应由乙方承担的审计费用，甲方有权在任一笔尚未支付的合同款项中予以扣除。</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11.3本工程结算方式：按设备施工图纸和报价清单进行</w:t>
      </w:r>
      <w:r>
        <w:rPr>
          <w:rFonts w:hint="eastAsia" w:ascii="宋体" w:hAnsi="宋体" w:cs="宋体"/>
          <w:kern w:val="0"/>
          <w:sz w:val="24"/>
          <w:lang w:val="en-US" w:eastAsia="zh-CN"/>
        </w:rPr>
        <w:t>设备工程费</w:t>
      </w:r>
      <w:r>
        <w:rPr>
          <w:rFonts w:hint="eastAsia" w:ascii="宋体" w:hAnsi="宋体" w:eastAsia="宋体" w:cs="宋体"/>
          <w:kern w:val="0"/>
          <w:sz w:val="24"/>
          <w:lang w:val="zh-CN"/>
        </w:rPr>
        <w:t>包干。在项目实施过程中，如发包人需要增加在招标范围之外的项目，则按实际发生额增加相应费用，在暂列金项列支；如发包人需要减少招标范围内的项目，则按实际减少相应项目费用。工程量以设备施工图为依据不予调增调减。</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对于招标工程量清单项目，如果工程量偏差和工程变更等原因导致工程量偏差超过15%，调整的原则为：当工程量增加15%以上时，其增加部分的工程量的综合单价应予调低；当工程量减少15%以上时，减少后剩余部分的工程量的综合单价应予调高。此时，按下列公式调整结算分部分项工程费：</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1．当 Q1＞1.15Q0时，S=1.15Q0×P0+（Q1-1.15Q0）×P1</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2．当 Q1＜0.85Q0时，S=Q1×P1</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式中 S——调整后的某一分部分项工程费结算价；</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Q1——最终完成的工程量；</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Q0——招标工程量清单中列出的工程量；</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P1——按照最终完成工程量重新调整后的综合单价；</w:t>
      </w:r>
    </w:p>
    <w:p>
      <w:pPr>
        <w:pStyle w:val="2"/>
        <w:spacing w:after="0"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P0——承包人在工程量清单中填报的综合单价。</w:t>
      </w:r>
    </w:p>
    <w:p>
      <w:pPr>
        <w:widowControl/>
        <w:spacing w:line="360" w:lineRule="auto"/>
        <w:ind w:firstLine="480" w:firstLineChars="2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szCs w:val="24"/>
          <w:highlight w:val="none"/>
          <w:lang w:val="en-US" w:eastAsia="zh-CN" w:bidi="ar"/>
        </w:rPr>
        <w:t>如果工程量出现本规范第11.4 条的变化，且该变化引起相关措施项目相应发生变化，如按系数或单一总价方式计价的，工程量增加的措施项目费调增，工程量减少的措施项目费适当调减。</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w:t>
      </w:r>
      <w:r>
        <w:rPr>
          <w:rFonts w:hint="eastAsia" w:ascii="宋体" w:hAnsi="宋体" w:eastAsia="宋体" w:cs="宋体"/>
          <w:kern w:val="0"/>
          <w:sz w:val="24"/>
          <w:lang w:val="zh-CN" w:eastAsia="zh-CN"/>
        </w:rPr>
        <w:t>6</w:t>
      </w:r>
      <w:r>
        <w:rPr>
          <w:rFonts w:hint="eastAsia" w:ascii="宋体" w:hAnsi="宋体" w:eastAsia="宋体" w:cs="宋体"/>
          <w:kern w:val="0"/>
          <w:sz w:val="24"/>
          <w:lang w:val="zh-CN"/>
        </w:rPr>
        <w:t>本合同在实施过程中如出现不可预见情况或因甲方原因超出原招标范畴或已经甲方确认的施工图纸范畴之外而导致增加工程量，依据施工图预算编制方式为工程量清单计价，编制原则进行编制，按实结算，在暂列金项支付。</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w:t>
      </w:r>
      <w:r>
        <w:rPr>
          <w:rFonts w:hint="eastAsia" w:ascii="宋体" w:hAnsi="宋体" w:eastAsia="宋体" w:cs="宋体"/>
          <w:kern w:val="0"/>
          <w:sz w:val="24"/>
          <w:lang w:val="zh-CN" w:eastAsia="zh-CN"/>
        </w:rPr>
        <w:t>7</w:t>
      </w:r>
      <w:r>
        <w:rPr>
          <w:rFonts w:hint="eastAsia" w:ascii="宋体" w:hAnsi="宋体" w:eastAsia="宋体" w:cs="宋体"/>
          <w:kern w:val="0"/>
          <w:sz w:val="24"/>
          <w:lang w:val="zh-CN"/>
        </w:rPr>
        <w:t>本合同内的工程项目结算</w:t>
      </w:r>
      <w:r>
        <w:rPr>
          <w:rFonts w:hint="eastAsia" w:ascii="宋体" w:hAnsi="宋体" w:eastAsia="宋体" w:cs="宋体"/>
          <w:kern w:val="0"/>
          <w:sz w:val="24"/>
          <w:lang w:val="en-US" w:eastAsia="zh-CN"/>
        </w:rPr>
        <w:t>在工程量清单单价计价基础上原则上采取限定合同总价（含税）</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如出现本合同第11.6条的变化，经甲方审批通过后由第三方工程造价咨询机构进行审计按实结算，如因</w:t>
      </w:r>
      <w:r>
        <w:rPr>
          <w:rFonts w:hint="eastAsia" w:ascii="宋体" w:hAnsi="宋体" w:eastAsia="宋体" w:cs="宋体"/>
          <w:kern w:val="0"/>
          <w:sz w:val="24"/>
          <w:lang w:val="zh-CN" w:eastAsia="zh-CN"/>
        </w:rPr>
        <w:t>乙方原因</w:t>
      </w:r>
      <w:r>
        <w:rPr>
          <w:rFonts w:hint="eastAsia" w:ascii="宋体" w:hAnsi="宋体" w:eastAsia="宋体" w:cs="宋体"/>
          <w:kern w:val="0"/>
          <w:sz w:val="24"/>
          <w:lang w:val="en-US" w:eastAsia="zh-CN"/>
        </w:rPr>
        <w:t>造成则不予调整，</w:t>
      </w:r>
      <w:r>
        <w:rPr>
          <w:rFonts w:hint="eastAsia" w:ascii="宋体" w:hAnsi="宋体" w:eastAsia="宋体" w:cs="宋体"/>
          <w:kern w:val="0"/>
          <w:sz w:val="24"/>
          <w:lang w:val="zh-CN"/>
        </w:rPr>
        <w:t>按合同</w:t>
      </w:r>
      <w:r>
        <w:rPr>
          <w:rFonts w:hint="eastAsia" w:ascii="宋体" w:hAnsi="宋体" w:eastAsia="宋体" w:cs="宋体"/>
          <w:kern w:val="0"/>
          <w:sz w:val="24"/>
          <w:lang w:val="en-US" w:eastAsia="zh-CN"/>
        </w:rPr>
        <w:t>限</w:t>
      </w:r>
      <w:r>
        <w:rPr>
          <w:rFonts w:hint="eastAsia" w:ascii="宋体" w:hAnsi="宋体" w:eastAsia="宋体" w:cs="宋体"/>
          <w:kern w:val="0"/>
          <w:sz w:val="24"/>
          <w:lang w:val="zh-CN"/>
        </w:rPr>
        <w:t>定总价结算；低于合同</w:t>
      </w:r>
      <w:r>
        <w:rPr>
          <w:rFonts w:hint="eastAsia" w:ascii="宋体" w:hAnsi="宋体" w:eastAsia="宋体" w:cs="宋体"/>
          <w:kern w:val="0"/>
          <w:sz w:val="24"/>
          <w:lang w:val="en-US" w:eastAsia="zh-CN"/>
        </w:rPr>
        <w:t>限</w:t>
      </w:r>
      <w:r>
        <w:rPr>
          <w:rFonts w:hint="eastAsia" w:ascii="宋体" w:hAnsi="宋体" w:eastAsia="宋体" w:cs="宋体"/>
          <w:kern w:val="0"/>
          <w:sz w:val="24"/>
          <w:lang w:val="zh-CN"/>
        </w:rPr>
        <w:t>定总价，以甲方采购的第三方工程造价咨询机构审核的结算审核价结算。合同外增加部分与合同内工程项目的结算审核价合计超出合同</w:t>
      </w:r>
      <w:r>
        <w:rPr>
          <w:rFonts w:hint="eastAsia" w:ascii="宋体" w:hAnsi="宋体" w:eastAsia="宋体" w:cs="宋体"/>
          <w:kern w:val="0"/>
          <w:sz w:val="24"/>
          <w:lang w:val="en-US" w:eastAsia="zh-CN"/>
        </w:rPr>
        <w:t>限</w:t>
      </w:r>
      <w:r>
        <w:rPr>
          <w:rFonts w:hint="eastAsia" w:ascii="宋体" w:hAnsi="宋体" w:eastAsia="宋体" w:cs="宋体"/>
          <w:kern w:val="0"/>
          <w:sz w:val="24"/>
          <w:lang w:val="zh-CN"/>
        </w:rPr>
        <w:t>定总价的，合同外增加部分必须经甲方书面同意，并由双方对超额部分</w:t>
      </w:r>
      <w:r>
        <w:rPr>
          <w:rFonts w:hint="eastAsia" w:ascii="宋体" w:hAnsi="宋体" w:eastAsia="宋体" w:cs="宋体"/>
          <w:kern w:val="0"/>
          <w:sz w:val="24"/>
          <w:lang w:val="en-US" w:eastAsia="zh-CN"/>
        </w:rPr>
        <w:t>进行确认，</w:t>
      </w:r>
      <w:r>
        <w:rPr>
          <w:rFonts w:hint="eastAsia" w:ascii="宋体" w:hAnsi="宋体" w:eastAsia="宋体" w:cs="宋体"/>
          <w:kern w:val="0"/>
          <w:sz w:val="24"/>
          <w:lang w:val="zh-CN"/>
        </w:rPr>
        <w:t>在暂列金项列支</w:t>
      </w:r>
      <w:r>
        <w:rPr>
          <w:rFonts w:hint="eastAsia" w:ascii="宋体" w:hAnsi="宋体" w:eastAsia="宋体" w:cs="宋体"/>
          <w:kern w:val="0"/>
          <w:sz w:val="24"/>
          <w:lang w:val="en-US" w:eastAsia="zh-CN"/>
        </w:rPr>
        <w:t>或</w:t>
      </w:r>
      <w:r>
        <w:rPr>
          <w:rFonts w:hint="eastAsia" w:ascii="宋体" w:hAnsi="宋体" w:eastAsia="宋体" w:cs="宋体"/>
          <w:kern w:val="0"/>
          <w:sz w:val="24"/>
          <w:lang w:val="zh-CN"/>
        </w:rPr>
        <w:t>另行签订补充协议。</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11.</w:t>
      </w:r>
      <w:r>
        <w:rPr>
          <w:rFonts w:hint="eastAsia" w:ascii="宋体" w:hAnsi="宋体" w:eastAsia="宋体" w:cs="宋体"/>
          <w:kern w:val="0"/>
          <w:sz w:val="24"/>
          <w:lang w:val="en-US" w:eastAsia="zh-CN"/>
        </w:rPr>
        <w:t>8</w:t>
      </w:r>
      <w:r>
        <w:rPr>
          <w:rFonts w:hint="eastAsia" w:ascii="宋体" w:hAnsi="宋体" w:eastAsia="宋体" w:cs="宋体"/>
          <w:kern w:val="0"/>
          <w:sz w:val="24"/>
          <w:lang w:val="zh-CN"/>
        </w:rPr>
        <w:t>双方竣工验收签字确认后30天内，乙方应向甲方递交竣工图纸及完整的结算资料，由甲</w:t>
      </w:r>
      <w:r>
        <w:rPr>
          <w:rFonts w:hint="eastAsia" w:ascii="宋体" w:hAnsi="宋体" w:eastAsia="宋体" w:cs="宋体"/>
          <w:color w:val="auto"/>
          <w:kern w:val="0"/>
          <w:sz w:val="24"/>
          <w:lang w:val="zh-CN"/>
        </w:rPr>
        <w:t>方组织进行竣工结算审核工作。</w:t>
      </w:r>
      <w:r>
        <w:rPr>
          <w:rFonts w:hint="eastAsia" w:ascii="宋体" w:hAnsi="宋体" w:eastAsia="宋体" w:cs="宋体"/>
          <w:color w:val="auto"/>
          <w:kern w:val="0"/>
          <w:sz w:val="24"/>
          <w:szCs w:val="24"/>
          <w:lang w:val="en-US" w:eastAsia="zh-CN"/>
        </w:rPr>
        <w:t>如乙方递交结算资料超过当年的会计结算年度，甲方有权拒绝结算工作。</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12.其他规定</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12.1因工程施工而产生的垃圾，由乙方负责搬运，由此产生的费用由乙方负担。</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12.2施工期间，甲方交付施工地点的钥匙给乙方，由乙方负责保管，工程竣工验收合格后，甲方向乙方提供新锁一套，由乙方当场负责安装并交付甲方。</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12.3乙方按合同约定和规范施工，如甲方有特殊要求，需以书面形式通知乙方。</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12.</w:t>
      </w:r>
      <w:r>
        <w:rPr>
          <w:rFonts w:hint="eastAsia" w:ascii="宋体" w:hAnsi="宋体" w:eastAsia="宋体" w:cs="宋体"/>
          <w:kern w:val="0"/>
          <w:sz w:val="24"/>
          <w:lang w:val="en-US" w:eastAsia="zh-CN"/>
        </w:rPr>
        <w:t>4</w:t>
      </w:r>
      <w:r>
        <w:rPr>
          <w:rFonts w:hint="eastAsia" w:ascii="宋体" w:hAnsi="宋体" w:eastAsia="宋体" w:cs="宋体"/>
          <w:kern w:val="0"/>
          <w:sz w:val="24"/>
          <w:lang w:val="zh-CN"/>
        </w:rPr>
        <w:t>工程所在的物业管理单位因施工而收取的各项物业管理费用，由乙方承担，并协助提供物管所需相关资料。</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12.</w:t>
      </w:r>
      <w:r>
        <w:rPr>
          <w:rFonts w:hint="eastAsia" w:ascii="宋体" w:hAnsi="宋体" w:eastAsia="宋体" w:cs="宋体"/>
          <w:kern w:val="0"/>
          <w:sz w:val="24"/>
          <w:lang w:val="en-US" w:eastAsia="zh-CN"/>
        </w:rPr>
        <w:t>5</w:t>
      </w:r>
      <w:r>
        <w:rPr>
          <w:rFonts w:hint="eastAsia" w:ascii="宋体" w:hAnsi="宋体" w:eastAsia="宋体" w:cs="宋体"/>
          <w:kern w:val="0"/>
          <w:sz w:val="24"/>
          <w:lang w:val="zh-CN"/>
        </w:rPr>
        <w:t>乙方负责接取施工期间的水源、电源，并承担施工期间的水费、电费。</w:t>
      </w:r>
    </w:p>
    <w:p>
      <w:pPr>
        <w:pStyle w:val="24"/>
        <w:ind w:left="0" w:leftChars="0"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12.6 本合同包括总包配合费（如总包收取，自行协商）</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13.合同争议的解决方式</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13.1专用条款未尽事宜，按通用条款。</w:t>
      </w:r>
    </w:p>
    <w:p>
      <w:pPr>
        <w:widowControl/>
        <w:spacing w:line="360" w:lineRule="auto"/>
        <w:ind w:firstLine="480" w:firstLineChars="200"/>
        <w:jc w:val="both"/>
        <w:rPr>
          <w:rFonts w:hint="eastAsia" w:ascii="宋体" w:hAnsi="宋体" w:eastAsia="宋体" w:cs="宋体"/>
          <w:b/>
          <w:bCs/>
          <w:kern w:val="0"/>
          <w:sz w:val="24"/>
          <w:lang w:val="zh-CN"/>
        </w:rPr>
      </w:pPr>
      <w:r>
        <w:rPr>
          <w:rFonts w:hint="eastAsia" w:ascii="宋体" w:hAnsi="宋体" w:eastAsia="宋体" w:cs="宋体"/>
          <w:kern w:val="0"/>
          <w:sz w:val="24"/>
          <w:lang w:val="zh-CN"/>
        </w:rPr>
        <w:t>13.2双方发生争议不能协商解决时，任一方均有权向甲方所在地有管辖权的人民法院提起诉讼。</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14.附则</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14.1本合同生效后工程不得全部或部分转包、分包。</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14.2本合同一式</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六</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份，双方法定代表人签章并加盖公章后生效，甲方持</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 xml:space="preserve">三 </w:t>
      </w:r>
      <w:r>
        <w:rPr>
          <w:rFonts w:hint="eastAsia" w:ascii="宋体" w:hAnsi="宋体" w:eastAsia="宋体" w:cs="宋体"/>
          <w:kern w:val="0"/>
          <w:sz w:val="24"/>
          <w:lang w:val="zh-CN"/>
        </w:rPr>
        <w:t>份、乙方持</w:t>
      </w:r>
      <w:r>
        <w:rPr>
          <w:rFonts w:hint="eastAsia" w:ascii="宋体" w:hAnsi="宋体" w:eastAsia="宋体" w:cs="宋体"/>
          <w:kern w:val="0"/>
          <w:sz w:val="24"/>
          <w:u w:val="single"/>
          <w:lang w:val="zh-CN"/>
        </w:rPr>
        <w:t xml:space="preserve"> </w:t>
      </w:r>
      <w:r>
        <w:rPr>
          <w:rFonts w:hint="eastAsia" w:ascii="宋体" w:hAnsi="宋体" w:eastAsia="宋体" w:cs="宋体"/>
          <w:kern w:val="0"/>
          <w:sz w:val="24"/>
          <w:u w:val="single"/>
          <w:lang w:val="en-US" w:eastAsia="zh-CN"/>
        </w:rPr>
        <w:t>三</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份，具有同等法律效力。</w:t>
      </w:r>
    </w:p>
    <w:p>
      <w:pPr>
        <w:widowControl/>
        <w:spacing w:line="360" w:lineRule="auto"/>
        <w:ind w:firstLine="482" w:firstLineChars="200"/>
        <w:jc w:val="both"/>
        <w:rPr>
          <w:rFonts w:hint="eastAsia" w:ascii="宋体" w:hAnsi="宋体" w:eastAsia="宋体" w:cs="宋体"/>
          <w:b/>
          <w:bCs/>
          <w:kern w:val="0"/>
          <w:sz w:val="24"/>
          <w:lang w:val="zh-CN"/>
        </w:rPr>
      </w:pPr>
      <w:r>
        <w:rPr>
          <w:rFonts w:hint="eastAsia" w:ascii="宋体" w:hAnsi="宋体" w:eastAsia="宋体" w:cs="宋体"/>
          <w:b/>
          <w:bCs/>
          <w:kern w:val="0"/>
          <w:sz w:val="24"/>
          <w:lang w:val="zh-CN"/>
        </w:rPr>
        <w:t>15.合同附件</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15.1 以下附件均为本合同组成部分，与本合同具有同等法律效力。</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15.1.1招标公告。</w:t>
      </w:r>
    </w:p>
    <w:p>
      <w:pPr>
        <w:widowControl/>
        <w:spacing w:line="360" w:lineRule="auto"/>
        <w:ind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lang w:val="zh-CN"/>
        </w:rPr>
        <w:t>15.1.2投标文件。</w:t>
      </w:r>
    </w:p>
    <w:p>
      <w:pPr>
        <w:pStyle w:val="2"/>
        <w:spacing w:after="0" w:line="360" w:lineRule="auto"/>
        <w:ind w:firstLine="0" w:firstLineChars="0"/>
        <w:rPr>
          <w:rFonts w:hint="eastAsia" w:ascii="宋体" w:hAnsi="宋体" w:eastAsia="宋体" w:cs="宋体"/>
          <w:kern w:val="0"/>
          <w:sz w:val="24"/>
          <w:lang w:val="zh-CN"/>
        </w:rPr>
      </w:pPr>
    </w:p>
    <w:p>
      <w:pPr>
        <w:pStyle w:val="2"/>
        <w:spacing w:after="0" w:line="360" w:lineRule="auto"/>
        <w:ind w:firstLine="0" w:firstLineChars="0"/>
        <w:rPr>
          <w:rFonts w:hint="eastAsia" w:ascii="宋体" w:hAnsi="宋体" w:eastAsia="宋体" w:cs="宋体"/>
          <w:kern w:val="0"/>
          <w:sz w:val="24"/>
          <w:lang w:val="zh-CN"/>
        </w:rPr>
      </w:pPr>
    </w:p>
    <w:p>
      <w:pPr>
        <w:pStyle w:val="2"/>
        <w:spacing w:after="0" w:line="360" w:lineRule="auto"/>
        <w:ind w:firstLine="0" w:firstLineChars="0"/>
        <w:rPr>
          <w:rFonts w:hint="eastAsia" w:ascii="宋体" w:hAnsi="宋体" w:eastAsia="宋体" w:cs="宋体"/>
          <w:kern w:val="0"/>
          <w:sz w:val="24"/>
          <w:lang w:val="zh-CN"/>
        </w:rPr>
      </w:pPr>
    </w:p>
    <w:p>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甲方（盖章）：                        乙方（盖章）：                      </w:t>
      </w:r>
    </w:p>
    <w:p>
      <w:pPr>
        <w:widowControl/>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法定代表人（盖章或签字）：            法定代表人（盖章或签字）：    </w:t>
      </w:r>
    </w:p>
    <w:p>
      <w:pPr>
        <w:spacing w:line="360" w:lineRule="auto"/>
        <w:rPr>
          <w:rFonts w:hint="eastAsia" w:ascii="宋体" w:hAnsi="宋体" w:eastAsia="宋体" w:cs="宋体"/>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年    月    日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年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月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rPr>
          <w:rFonts w:hint="eastAsia"/>
        </w:rPr>
      </w:pPr>
    </w:p>
    <w:p>
      <w:pPr>
        <w:pStyle w:val="3"/>
        <w:rPr>
          <w:rFonts w:hint="eastAsia" w:ascii="宋体" w:hAnsi="宋体" w:eastAsia="宋体" w:cs="宋体"/>
          <w:sz w:val="21"/>
          <w:szCs w:val="21"/>
        </w:rPr>
      </w:pPr>
    </w:p>
    <w:bookmarkEnd w:id="76"/>
    <w:bookmarkEnd w:id="77"/>
    <w:p>
      <w:pPr>
        <w:rPr>
          <w:rFonts w:hint="eastAsia"/>
        </w:rPr>
      </w:pPr>
      <w:bookmarkStart w:id="84" w:name="_Toc203530304"/>
      <w:bookmarkStart w:id="85" w:name="_Toc203530308"/>
    </w:p>
    <w:p>
      <w:pPr>
        <w:pStyle w:val="5"/>
        <w:numPr>
          <w:ilvl w:val="0"/>
          <w:numId w:val="0"/>
        </w:numPr>
        <w:tabs>
          <w:tab w:val="clear" w:pos="842"/>
        </w:tabs>
        <w:ind w:left="992" w:firstLine="0"/>
        <w:rPr>
          <w:rFonts w:hint="eastAsia" w:ascii="宋体" w:hAnsi="宋体" w:cs="宋体"/>
          <w:b w:val="0"/>
          <w:color w:val="auto"/>
          <w:sz w:val="36"/>
          <w:highlight w:val="none"/>
        </w:rPr>
      </w:pPr>
    </w:p>
    <w:p>
      <w:pPr>
        <w:pStyle w:val="5"/>
        <w:numPr>
          <w:ilvl w:val="0"/>
          <w:numId w:val="0"/>
        </w:numPr>
        <w:tabs>
          <w:tab w:val="clear" w:pos="842"/>
        </w:tabs>
        <w:ind w:left="992" w:firstLine="0"/>
        <w:rPr>
          <w:rFonts w:hint="eastAsia" w:ascii="宋体" w:hAnsi="宋体" w:cs="宋体"/>
          <w:b w:val="0"/>
          <w:color w:val="auto"/>
          <w:sz w:val="36"/>
          <w:highlight w:val="none"/>
        </w:rPr>
      </w:pPr>
    </w:p>
    <w:p>
      <w:pPr>
        <w:pStyle w:val="5"/>
        <w:numPr>
          <w:ilvl w:val="0"/>
          <w:numId w:val="0"/>
        </w:numPr>
        <w:tabs>
          <w:tab w:val="clear" w:pos="842"/>
        </w:tabs>
        <w:ind w:left="992" w:firstLine="0"/>
        <w:rPr>
          <w:rFonts w:hint="eastAsia" w:ascii="宋体" w:hAnsi="宋体" w:cs="宋体"/>
          <w:b w:val="0"/>
          <w:color w:val="auto"/>
          <w:sz w:val="36"/>
          <w:highlight w:val="none"/>
        </w:rPr>
      </w:pPr>
    </w:p>
    <w:p>
      <w:pPr>
        <w:pStyle w:val="5"/>
        <w:numPr>
          <w:ilvl w:val="0"/>
          <w:numId w:val="0"/>
        </w:numPr>
        <w:tabs>
          <w:tab w:val="clear" w:pos="842"/>
        </w:tabs>
        <w:ind w:left="992" w:firstLine="0"/>
        <w:rPr>
          <w:rFonts w:hint="eastAsia" w:ascii="宋体" w:hAnsi="宋体" w:cs="宋体"/>
          <w:b w:val="0"/>
          <w:color w:val="auto"/>
          <w:sz w:val="36"/>
          <w:highlight w:val="none"/>
        </w:rPr>
      </w:pPr>
    </w:p>
    <w:bookmarkEnd w:id="84"/>
    <w:bookmarkEnd w:id="85"/>
    <w:p>
      <w:pPr>
        <w:adjustRightInd w:val="0"/>
        <w:snapToGrid w:val="0"/>
        <w:spacing w:line="360" w:lineRule="auto"/>
        <w:ind w:left="851" w:hanging="851"/>
        <w:jc w:val="center"/>
        <w:rPr>
          <w:rFonts w:hint="eastAsia" w:ascii="宋体" w:hAnsi="宋体" w:cs="宋体"/>
          <w:b/>
          <w:color w:val="auto"/>
          <w:sz w:val="44"/>
          <w:highlight w:val="none"/>
        </w:rPr>
      </w:pPr>
    </w:p>
    <w:p>
      <w:pPr>
        <w:adjustRightInd w:val="0"/>
        <w:snapToGrid w:val="0"/>
        <w:spacing w:line="360" w:lineRule="auto"/>
        <w:ind w:left="851" w:hanging="851"/>
        <w:jc w:val="center"/>
        <w:rPr>
          <w:rFonts w:hint="eastAsia" w:ascii="宋体" w:hAnsi="宋体" w:cs="宋体"/>
          <w:b/>
          <w:color w:val="auto"/>
          <w:sz w:val="44"/>
          <w:highlight w:val="none"/>
        </w:rPr>
      </w:pPr>
    </w:p>
    <w:p>
      <w:pPr>
        <w:jc w:val="center"/>
        <w:outlineLvl w:val="0"/>
        <w:rPr>
          <w:rFonts w:hint="eastAsia" w:ascii="宋体" w:hAnsi="宋体" w:cs="宋体"/>
          <w:b/>
          <w:color w:val="auto"/>
          <w:sz w:val="44"/>
          <w:szCs w:val="44"/>
          <w:highlight w:val="none"/>
        </w:rPr>
      </w:pPr>
      <w:bookmarkStart w:id="86" w:name="_Toc31761"/>
      <w:r>
        <w:rPr>
          <w:rFonts w:hint="eastAsia" w:ascii="宋体" w:hAnsi="宋体" w:cs="宋体"/>
          <w:b/>
          <w:color w:val="auto"/>
          <w:sz w:val="44"/>
          <w:szCs w:val="44"/>
          <w:highlight w:val="none"/>
        </w:rPr>
        <w:t>第五章</w:t>
      </w:r>
      <w:bookmarkStart w:id="87" w:name="_Toc477186327"/>
      <w:bookmarkStart w:id="88" w:name="_Toc477185966"/>
      <w:r>
        <w:rPr>
          <w:rFonts w:hint="eastAsia" w:ascii="宋体" w:hAnsi="宋体" w:cs="宋体"/>
          <w:b/>
          <w:color w:val="auto"/>
          <w:sz w:val="44"/>
          <w:szCs w:val="44"/>
          <w:highlight w:val="none"/>
        </w:rPr>
        <w:t xml:space="preserve">  投标文件格式</w:t>
      </w:r>
      <w:bookmarkEnd w:id="86"/>
      <w:bookmarkEnd w:id="87"/>
      <w:bookmarkEnd w:id="88"/>
    </w:p>
    <w:p>
      <w:pPr>
        <w:pStyle w:val="2"/>
        <w:ind w:firstLine="210"/>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一、投标文件封面格式</w:t>
      </w:r>
    </w:p>
    <w:p>
      <w:pPr>
        <w:pStyle w:val="2"/>
        <w:ind w:firstLine="210"/>
        <w:rPr>
          <w:rFonts w:hint="eastAsia" w:ascii="宋体" w:hAnsi="宋体" w:cs="宋体"/>
          <w:color w:val="auto"/>
          <w:szCs w:val="21"/>
          <w:highlight w:val="none"/>
        </w:rPr>
      </w:pPr>
    </w:p>
    <w:p>
      <w:pPr>
        <w:pStyle w:val="2"/>
        <w:ind w:firstLine="210"/>
        <w:rPr>
          <w:rFonts w:hint="eastAsia" w:ascii="宋体" w:hAnsi="宋体" w:cs="宋体"/>
          <w:color w:val="auto"/>
          <w:szCs w:val="21"/>
          <w:highlight w:val="none"/>
        </w:rPr>
      </w:pPr>
    </w:p>
    <w:p>
      <w:pPr>
        <w:pStyle w:val="2"/>
        <w:ind w:firstLine="210"/>
        <w:rPr>
          <w:rFonts w:hint="eastAsia" w:ascii="宋体" w:hAnsi="宋体" w:cs="宋体"/>
          <w:color w:val="auto"/>
          <w:szCs w:val="21"/>
          <w:highlight w:val="none"/>
        </w:rPr>
      </w:pPr>
    </w:p>
    <w:p>
      <w:pPr>
        <w:pStyle w:val="10"/>
        <w:spacing w:before="20" w:after="20" w:line="360" w:lineRule="auto"/>
        <w:ind w:firstLine="560"/>
        <w:jc w:val="center"/>
        <w:rPr>
          <w:rFonts w:hint="eastAsia" w:ascii="宋体" w:hAnsi="宋体" w:cs="宋体"/>
          <w:color w:val="auto"/>
          <w:sz w:val="28"/>
          <w:szCs w:val="28"/>
          <w:highlight w:val="none"/>
        </w:rPr>
      </w:pPr>
    </w:p>
    <w:p>
      <w:pPr>
        <w:pStyle w:val="15"/>
        <w:adjustRightInd w:val="0"/>
        <w:spacing w:before="48" w:beforeLines="20" w:after="48" w:afterLines="20"/>
        <w:ind w:firstLine="2100" w:firstLineChars="1000"/>
        <w:rPr>
          <w:rFonts w:hint="eastAsia" w:ascii="宋体" w:hAnsi="宋体" w:cs="宋体"/>
          <w:color w:val="auto"/>
          <w:highlight w:val="none"/>
        </w:rPr>
      </w:pPr>
    </w:p>
    <w:p>
      <w:pPr>
        <w:pStyle w:val="15"/>
        <w:adjustRightInd w:val="0"/>
        <w:spacing w:before="48" w:beforeLines="20" w:after="48" w:afterLines="20"/>
        <w:ind w:firstLine="2100" w:firstLineChars="1000"/>
        <w:rPr>
          <w:rFonts w:hint="eastAsia" w:ascii="宋体" w:hAnsi="宋体" w:cs="宋体"/>
          <w:color w:val="auto"/>
          <w:highlight w:val="none"/>
        </w:rPr>
      </w:pPr>
    </w:p>
    <w:p>
      <w:pPr>
        <w:adjustRightInd w:val="0"/>
        <w:snapToGrid w:val="0"/>
        <w:spacing w:before="48" w:beforeLines="20" w:after="48" w:afterLines="20" w:line="360" w:lineRule="auto"/>
        <w:rPr>
          <w:rFonts w:hint="eastAsia" w:ascii="宋体" w:hAnsi="宋体" w:cs="宋体"/>
          <w:color w:val="auto"/>
          <w:highlight w:val="none"/>
          <w:u w:val="single"/>
        </w:rPr>
      </w:pPr>
    </w:p>
    <w:p>
      <w:pPr>
        <w:pStyle w:val="3"/>
        <w:adjustRightInd w:val="0"/>
        <w:snapToGrid w:val="0"/>
        <w:spacing w:before="48" w:beforeLines="20" w:after="48" w:afterLines="20" w:line="360" w:lineRule="auto"/>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pPr>
        <w:pStyle w:val="3"/>
        <w:adjustRightInd w:val="0"/>
        <w:snapToGrid w:val="0"/>
        <w:spacing w:before="48" w:beforeLines="20" w:after="48" w:afterLines="20" w:line="360" w:lineRule="auto"/>
        <w:jc w:val="center"/>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pPr>
        <w:adjustRightInd w:val="0"/>
        <w:snapToGrid w:val="0"/>
        <w:spacing w:before="48" w:beforeLines="20" w:after="48" w:afterLines="20" w:line="360" w:lineRule="auto"/>
        <w:jc w:val="center"/>
        <w:rPr>
          <w:rFonts w:hint="eastAsia" w:ascii="宋体" w:hAnsi="宋体" w:cs="宋体"/>
          <w:b/>
          <w:color w:val="auto"/>
          <w:highlight w:val="none"/>
        </w:rPr>
      </w:pPr>
    </w:p>
    <w:p>
      <w:pPr>
        <w:adjustRightInd w:val="0"/>
        <w:snapToGrid w:val="0"/>
        <w:spacing w:before="48" w:beforeLines="20" w:after="48" w:afterLines="20" w:line="360" w:lineRule="auto"/>
        <w:jc w:val="center"/>
        <w:rPr>
          <w:rFonts w:hint="eastAsia" w:ascii="宋体" w:hAnsi="宋体" w:cs="宋体"/>
          <w:b/>
          <w:color w:val="auto"/>
          <w:highlight w:val="none"/>
        </w:rPr>
      </w:pPr>
    </w:p>
    <w:p>
      <w:pPr>
        <w:adjustRightInd w:val="0"/>
        <w:snapToGrid w:val="0"/>
        <w:spacing w:before="48" w:beforeLines="20" w:after="48" w:afterLines="20" w:line="360" w:lineRule="auto"/>
        <w:jc w:val="center"/>
        <w:rPr>
          <w:rFonts w:hint="eastAsia" w:ascii="宋体" w:hAnsi="宋体" w:cs="宋体"/>
          <w:b/>
          <w:color w:val="auto"/>
          <w:highlight w:val="none"/>
        </w:rPr>
      </w:pPr>
    </w:p>
    <w:p>
      <w:pPr>
        <w:pStyle w:val="37"/>
        <w:suppressLineNumbers w:val="0"/>
        <w:adjustRightInd w:val="0"/>
        <w:snapToGrid w:val="0"/>
        <w:spacing w:before="48" w:beforeLines="20" w:after="48" w:afterLines="20" w:line="360" w:lineRule="auto"/>
        <w:rPr>
          <w:rFonts w:hint="eastAsia" w:ascii="宋体" w:hAnsi="宋体" w:cs="宋体"/>
          <w:bCs w:val="0"/>
          <w:color w:val="auto"/>
          <w:highlight w:val="none"/>
        </w:rPr>
      </w:pPr>
    </w:p>
    <w:p>
      <w:pPr>
        <w:pStyle w:val="16"/>
        <w:adjustRightInd w:val="0"/>
        <w:snapToGrid w:val="0"/>
        <w:spacing w:before="48" w:beforeLines="20" w:after="48" w:afterLines="20" w:line="360" w:lineRule="auto"/>
        <w:ind w:left="130" w:leftChars="62" w:firstLine="711" w:firstLineChars="253"/>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项目名称：</w:t>
      </w:r>
      <w:r>
        <w:rPr>
          <w:rFonts w:hint="eastAsia" w:ascii="宋体" w:hAnsi="宋体" w:cs="宋体"/>
          <w:bCs/>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p>
    <w:p>
      <w:pPr>
        <w:pStyle w:val="16"/>
        <w:adjustRightInd w:val="0"/>
        <w:snapToGrid w:val="0"/>
        <w:spacing w:before="48" w:beforeLines="20" w:after="48" w:afterLines="20" w:line="360" w:lineRule="auto"/>
        <w:ind w:left="130" w:leftChars="62" w:firstLine="711" w:firstLineChars="253"/>
        <w:rPr>
          <w:rFonts w:hint="eastAsia" w:ascii="宋体" w:hAnsi="宋体" w:cs="宋体"/>
          <w:color w:val="auto"/>
          <w:highlight w:val="none"/>
        </w:rPr>
      </w:pPr>
      <w:r>
        <w:rPr>
          <w:rFonts w:hint="eastAsia" w:ascii="宋体" w:hAnsi="宋体" w:cs="宋体"/>
          <w:b/>
          <w:bCs/>
          <w:color w:val="auto"/>
          <w:sz w:val="28"/>
          <w:szCs w:val="28"/>
          <w:highlight w:val="none"/>
        </w:rPr>
        <w:t>投 标 人：</w:t>
      </w:r>
      <w:r>
        <w:rPr>
          <w:rFonts w:hint="eastAsia" w:ascii="宋体" w:hAnsi="宋体" w:cs="宋体"/>
          <w:bCs/>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b/>
          <w:color w:val="auto"/>
          <w:sz w:val="28"/>
          <w:szCs w:val="28"/>
          <w:highlight w:val="none"/>
        </w:rPr>
      </w:pPr>
      <w:bookmarkStart w:id="89" w:name="_Hlt493478646"/>
      <w:bookmarkEnd w:id="89"/>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二、自查表</w:t>
      </w:r>
    </w:p>
    <w:p>
      <w:pPr>
        <w:pStyle w:val="17"/>
        <w:rPr>
          <w:rFonts w:hint="eastAsia" w:hAnsi="宋体" w:cs="宋体"/>
          <w:color w:val="auto"/>
          <w:highlight w:val="none"/>
        </w:rPr>
      </w:pPr>
    </w:p>
    <w:p>
      <w:pPr>
        <w:pStyle w:val="17"/>
        <w:rPr>
          <w:rFonts w:hint="eastAsia" w:hAnsi="宋体" w:cs="宋体"/>
          <w:color w:val="auto"/>
          <w:highlight w:val="none"/>
        </w:rPr>
      </w:pPr>
    </w:p>
    <w:p>
      <w:pPr>
        <w:jc w:val="center"/>
        <w:rPr>
          <w:rFonts w:hint="eastAsia" w:ascii="宋体" w:hAnsi="宋体"/>
          <w:b/>
          <w:bCs/>
          <w:color w:val="auto"/>
          <w:sz w:val="28"/>
          <w:highlight w:val="none"/>
        </w:rPr>
      </w:pPr>
      <w:r>
        <w:rPr>
          <w:rFonts w:hint="eastAsia" w:ascii="宋体" w:hAnsi="宋体"/>
          <w:b/>
          <w:color w:val="auto"/>
          <w:sz w:val="28"/>
          <w:szCs w:val="28"/>
          <w:highlight w:val="none"/>
        </w:rPr>
        <w:t>符合性审查表（阶段一）</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049" w:type="dxa"/>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审查内容</w:t>
            </w:r>
          </w:p>
        </w:tc>
        <w:tc>
          <w:tcPr>
            <w:tcW w:w="2544" w:type="dxa"/>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符合合格投标人资格条件；</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投标文件按招标文件规定要求签署及盖章，由授权代表签署时有法定代表人出具的授权委托书；</w:t>
            </w:r>
          </w:p>
        </w:tc>
        <w:tc>
          <w:tcPr>
            <w:tcW w:w="2544"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投标有效期满足招标文件要求；</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按招标文件要求提交投标保证金；</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招标文件</w:t>
            </w:r>
            <w:r>
              <w:rPr>
                <w:rFonts w:hint="eastAsia" w:ascii="宋体" w:hAnsi="宋体" w:cs="宋体"/>
                <w:b/>
                <w:color w:val="auto"/>
                <w:szCs w:val="21"/>
                <w:highlight w:val="none"/>
              </w:rPr>
              <w:t>★</w:t>
            </w:r>
            <w:r>
              <w:rPr>
                <w:rFonts w:hint="eastAsia" w:ascii="宋体" w:hAnsi="宋体" w:cs="宋体"/>
                <w:color w:val="auto"/>
                <w:szCs w:val="21"/>
                <w:highlight w:val="none"/>
              </w:rPr>
              <w:t>号条款要求必须满足，投标文件的内容实质性满足招标文件无重大偏离或保留，否则按废标处理，没有出现违反法律、法规规定的情形；</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投标文件未附有招标人不能接受的条件的。</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bl>
    <w:p>
      <w:pPr>
        <w:jc w:val="left"/>
        <w:rPr>
          <w:rFonts w:hint="eastAsia" w:ascii="宋体" w:hAnsi="宋体"/>
          <w:color w:val="auto"/>
          <w:szCs w:val="21"/>
          <w:highlight w:val="none"/>
        </w:rPr>
      </w:pPr>
    </w:p>
    <w:p>
      <w:pPr>
        <w:jc w:val="center"/>
        <w:rPr>
          <w:rFonts w:hint="eastAsia" w:ascii="宋体" w:hAnsi="宋体"/>
          <w:b/>
          <w:bCs/>
          <w:color w:val="auto"/>
          <w:sz w:val="28"/>
          <w:highlight w:val="none"/>
        </w:rPr>
      </w:pPr>
      <w:r>
        <w:rPr>
          <w:rFonts w:hint="eastAsia" w:ascii="宋体" w:hAnsi="宋体"/>
          <w:b/>
          <w:color w:val="auto"/>
          <w:sz w:val="28"/>
          <w:szCs w:val="28"/>
          <w:highlight w:val="none"/>
        </w:rPr>
        <w:t>符合性审查表（阶段二）</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049" w:type="dxa"/>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审查内容</w:t>
            </w:r>
          </w:p>
        </w:tc>
        <w:tc>
          <w:tcPr>
            <w:tcW w:w="2544" w:type="dxa"/>
            <w:noWrap w:val="0"/>
            <w:vAlign w:val="center"/>
          </w:tcPr>
          <w:p>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投标人的商务评分未低于招标文件规定的商务得分比例</w:t>
            </w:r>
            <w:r>
              <w:rPr>
                <w:rFonts w:hint="eastAsia" w:ascii="宋体" w:hAnsi="宋体" w:cs="宋体"/>
                <w:color w:val="auto"/>
                <w:kern w:val="0"/>
                <w:szCs w:val="21"/>
                <w:highlight w:val="none"/>
                <w:lang w:bidi="ar"/>
              </w:rPr>
              <w:t>；</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投标人的投标报价没有超过本项目的最高限价；</w:t>
            </w:r>
          </w:p>
        </w:tc>
        <w:tc>
          <w:tcPr>
            <w:tcW w:w="2544" w:type="dxa"/>
            <w:noWrap w:val="0"/>
            <w:vAlign w:val="center"/>
          </w:tcPr>
          <w:p>
            <w:pPr>
              <w:spacing w:line="240" w:lineRule="exact"/>
              <w:rPr>
                <w:rFonts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szCs w:val="21"/>
                <w:highlight w:val="none"/>
              </w:rPr>
              <w:t>投标人不得递交两份或多份内容不同的投标文件，在一份投标文件中对同一招标</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报有两个或多个报价时必须声明哪一个为最终报价；</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049" w:type="dxa"/>
            <w:noWrap w:val="0"/>
            <w:vAlign w:val="center"/>
          </w:tcPr>
          <w:p>
            <w:pPr>
              <w:rPr>
                <w:rFonts w:hint="eastAsia" w:ascii="宋体" w:hAnsi="宋体"/>
                <w:color w:val="auto"/>
                <w:szCs w:val="21"/>
                <w:highlight w:val="none"/>
              </w:rPr>
            </w:pPr>
            <w:r>
              <w:rPr>
                <w:rFonts w:hint="eastAsia" w:ascii="宋体" w:hAnsi="宋体" w:cs="宋体"/>
                <w:color w:val="auto"/>
                <w:kern w:val="0"/>
                <w:szCs w:val="21"/>
                <w:highlight w:val="none"/>
                <w:lang w:bidi="ar"/>
              </w:rPr>
              <w:t>无招标文件中规定的其他无效投标的内容。</w:t>
            </w:r>
          </w:p>
        </w:tc>
        <w:tc>
          <w:tcPr>
            <w:tcW w:w="2544" w:type="dxa"/>
            <w:noWrap w:val="0"/>
            <w:vAlign w:val="center"/>
          </w:tcPr>
          <w:p>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bl>
    <w:p>
      <w:pPr>
        <w:jc w:val="left"/>
        <w:rPr>
          <w:rFonts w:hint="eastAsia" w:ascii="宋体" w:hAnsi="宋体" w:cs="宋体"/>
          <w:b/>
          <w:bCs/>
          <w:color w:val="auto"/>
          <w:sz w:val="28"/>
          <w:highlight w:val="none"/>
        </w:rPr>
      </w:pPr>
      <w:r>
        <w:rPr>
          <w:rFonts w:hint="eastAsia" w:ascii="宋体" w:hAnsi="宋体"/>
          <w:color w:val="auto"/>
          <w:szCs w:val="21"/>
          <w:highlight w:val="none"/>
        </w:rPr>
        <w:t>注：以上（阶段一、阶段二）的材料将作为投标人符合性审查的重要内容，投标人必须严格按照其内容及序列要求在投标文件中对应如实提供，对符合性证明文件的任何缺漏和不符合项将会直接导致无效投标</w:t>
      </w:r>
      <w:r>
        <w:rPr>
          <w:rFonts w:hint="eastAsia" w:ascii="宋体" w:hAnsi="宋体" w:cs="宋体"/>
          <w:color w:val="auto"/>
          <w:szCs w:val="21"/>
          <w:highlight w:val="none"/>
        </w:rPr>
        <w:t>！</w:t>
      </w:r>
    </w:p>
    <w:p>
      <w:pPr>
        <w:jc w:val="center"/>
        <w:rPr>
          <w:rFonts w:hint="eastAsia" w:ascii="宋体" w:hAnsi="宋体" w:cs="宋体"/>
          <w:b/>
          <w:bCs/>
          <w:color w:val="auto"/>
          <w:sz w:val="28"/>
          <w:highlight w:val="none"/>
        </w:rPr>
      </w:pPr>
    </w:p>
    <w:p>
      <w:pPr>
        <w:jc w:val="center"/>
        <w:rPr>
          <w:rFonts w:hint="eastAsia" w:ascii="宋体" w:hAnsi="宋体" w:cs="宋体"/>
          <w:b/>
          <w:bCs/>
          <w:color w:val="auto"/>
          <w:sz w:val="30"/>
          <w:highlight w:val="none"/>
        </w:rPr>
      </w:pPr>
      <w:r>
        <w:rPr>
          <w:rFonts w:hint="eastAsia" w:ascii="宋体" w:hAnsi="宋体" w:cs="宋体"/>
          <w:b/>
          <w:bCs/>
          <w:color w:val="auto"/>
          <w:sz w:val="28"/>
          <w:highlight w:val="none"/>
        </w:rPr>
        <w:t>技术评审自查表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36" w:type="dxa"/>
            <w:noWrap w:val="0"/>
            <w:vAlign w:val="center"/>
          </w:tcPr>
          <w:p>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558" w:type="dxa"/>
            <w:noWrap w:val="0"/>
            <w:vAlign w:val="center"/>
          </w:tcPr>
          <w:p>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36" w:type="dxa"/>
            <w:noWrap w:val="0"/>
            <w:vAlign w:val="center"/>
          </w:tcPr>
          <w:p>
            <w:pPr>
              <w:pStyle w:val="39"/>
              <w:spacing w:line="360" w:lineRule="auto"/>
              <w:jc w:val="left"/>
              <w:rPr>
                <w:rFonts w:hint="eastAsia" w:ascii="宋体" w:hAnsi="宋体" w:cs="宋体"/>
                <w:color w:val="auto"/>
                <w:szCs w:val="21"/>
                <w:highlight w:val="none"/>
              </w:rPr>
            </w:pPr>
          </w:p>
        </w:tc>
        <w:tc>
          <w:tcPr>
            <w:tcW w:w="2558"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36" w:type="dxa"/>
            <w:noWrap w:val="0"/>
            <w:vAlign w:val="center"/>
          </w:tcPr>
          <w:p>
            <w:pPr>
              <w:pStyle w:val="39"/>
              <w:spacing w:line="360" w:lineRule="auto"/>
              <w:jc w:val="left"/>
              <w:rPr>
                <w:rFonts w:hint="eastAsia" w:ascii="宋体" w:hAnsi="宋体" w:cs="宋体"/>
                <w:color w:val="auto"/>
                <w:szCs w:val="21"/>
                <w:highlight w:val="none"/>
              </w:rPr>
            </w:pPr>
          </w:p>
        </w:tc>
        <w:tc>
          <w:tcPr>
            <w:tcW w:w="2558"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36" w:type="dxa"/>
            <w:noWrap w:val="0"/>
            <w:vAlign w:val="center"/>
          </w:tcPr>
          <w:p>
            <w:pPr>
              <w:spacing w:line="360" w:lineRule="auto"/>
              <w:jc w:val="left"/>
              <w:rPr>
                <w:rFonts w:hint="eastAsia" w:ascii="宋体" w:hAnsi="宋体" w:cs="宋体"/>
                <w:color w:val="auto"/>
                <w:szCs w:val="21"/>
                <w:highlight w:val="none"/>
              </w:rPr>
            </w:pPr>
          </w:p>
        </w:tc>
        <w:tc>
          <w:tcPr>
            <w:tcW w:w="2558"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36" w:type="dxa"/>
            <w:noWrap w:val="0"/>
            <w:vAlign w:val="center"/>
          </w:tcPr>
          <w:p>
            <w:pPr>
              <w:adjustRightInd w:val="0"/>
              <w:snapToGrid w:val="0"/>
              <w:jc w:val="left"/>
              <w:rPr>
                <w:rFonts w:hint="eastAsia" w:ascii="宋体" w:hAnsi="宋体" w:cs="宋体"/>
                <w:color w:val="auto"/>
                <w:szCs w:val="21"/>
                <w:highlight w:val="none"/>
              </w:rPr>
            </w:pPr>
          </w:p>
        </w:tc>
        <w:tc>
          <w:tcPr>
            <w:tcW w:w="2558" w:type="dxa"/>
            <w:noWrap w:val="0"/>
            <w:vAlign w:val="center"/>
          </w:tcPr>
          <w:p>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pPr>
              <w:spacing w:line="240" w:lineRule="exact"/>
              <w:jc w:val="center"/>
              <w:rPr>
                <w:rFonts w:hint="eastAsia" w:ascii="宋体" w:hAnsi="宋体" w:cs="宋体"/>
                <w:color w:val="auto"/>
                <w:szCs w:val="21"/>
                <w:highlight w:val="none"/>
              </w:rPr>
            </w:pPr>
          </w:p>
        </w:tc>
        <w:tc>
          <w:tcPr>
            <w:tcW w:w="5036" w:type="dxa"/>
            <w:noWrap w:val="0"/>
            <w:vAlign w:val="center"/>
          </w:tcPr>
          <w:p>
            <w:pPr>
              <w:adjustRightInd w:val="0"/>
              <w:snapToGrid w:val="0"/>
              <w:jc w:val="left"/>
              <w:rPr>
                <w:rFonts w:hint="eastAsia" w:ascii="宋体" w:hAnsi="宋体" w:cs="宋体"/>
                <w:color w:val="auto"/>
                <w:highlight w:val="none"/>
              </w:rPr>
            </w:pPr>
            <w:r>
              <w:rPr>
                <w:rFonts w:hint="eastAsia" w:ascii="宋体" w:hAnsi="宋体" w:cs="宋体"/>
                <w:color w:val="auto"/>
                <w:highlight w:val="none"/>
              </w:rPr>
              <w:t>...</w:t>
            </w:r>
          </w:p>
        </w:tc>
        <w:tc>
          <w:tcPr>
            <w:tcW w:w="2558" w:type="dxa"/>
            <w:noWrap w:val="0"/>
            <w:vAlign w:val="center"/>
          </w:tcPr>
          <w:p>
            <w:pPr>
              <w:spacing w:line="240" w:lineRule="exact"/>
              <w:rPr>
                <w:rFonts w:hint="eastAsia" w:ascii="宋体" w:hAnsi="宋体" w:cs="宋体"/>
                <w:color w:val="auto"/>
                <w:szCs w:val="21"/>
                <w:highlight w:val="none"/>
              </w:rPr>
            </w:pPr>
          </w:p>
        </w:tc>
      </w:tr>
    </w:tbl>
    <w:p>
      <w:pPr>
        <w:pStyle w:val="14"/>
        <w:spacing w:after="0"/>
        <w:ind w:left="424" w:hanging="424" w:hangingChars="202"/>
        <w:rPr>
          <w:rFonts w:hint="eastAsia" w:ascii="宋体" w:hAnsi="宋体" w:cs="宋体"/>
          <w:color w:val="auto"/>
          <w:sz w:val="21"/>
          <w:szCs w:val="21"/>
          <w:highlight w:val="none"/>
          <w:lang w:val="en-GB"/>
        </w:rPr>
      </w:pPr>
    </w:p>
    <w:p>
      <w:pPr>
        <w:pStyle w:val="14"/>
        <w:spacing w:after="0"/>
        <w:rPr>
          <w:rFonts w:hint="eastAsia" w:ascii="宋体" w:hAnsi="宋体" w:cs="宋体"/>
          <w:color w:val="auto"/>
          <w:sz w:val="21"/>
          <w:szCs w:val="21"/>
          <w:highlight w:val="none"/>
        </w:rPr>
      </w:pPr>
    </w:p>
    <w:p>
      <w:pPr>
        <w:jc w:val="center"/>
        <w:rPr>
          <w:rFonts w:hint="eastAsia" w:ascii="宋体" w:hAnsi="宋体" w:cs="宋体"/>
          <w:b/>
          <w:bCs/>
          <w:color w:val="auto"/>
          <w:sz w:val="28"/>
          <w:highlight w:val="none"/>
        </w:rPr>
      </w:pPr>
      <w:r>
        <w:rPr>
          <w:rFonts w:hint="eastAsia" w:ascii="宋体" w:hAnsi="宋体" w:cs="宋体"/>
          <w:b/>
          <w:bCs/>
          <w:color w:val="auto"/>
          <w:sz w:val="28"/>
          <w:highlight w:val="none"/>
        </w:rPr>
        <w:t>商务评审自查表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50"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562" w:type="dxa"/>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50" w:type="dxa"/>
            <w:noWrap w:val="0"/>
            <w:vAlign w:val="center"/>
          </w:tcPr>
          <w:p>
            <w:pPr>
              <w:jc w:val="left"/>
              <w:rPr>
                <w:rFonts w:hint="eastAsia" w:ascii="宋体" w:hAnsi="宋体" w:cs="宋体"/>
                <w:color w:val="auto"/>
                <w:szCs w:val="18"/>
                <w:highlight w:val="none"/>
              </w:rPr>
            </w:pPr>
          </w:p>
        </w:tc>
        <w:tc>
          <w:tcPr>
            <w:tcW w:w="256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50" w:type="dxa"/>
            <w:noWrap w:val="0"/>
            <w:vAlign w:val="center"/>
          </w:tcPr>
          <w:p>
            <w:pPr>
              <w:jc w:val="left"/>
              <w:rPr>
                <w:rFonts w:hint="eastAsia" w:ascii="宋体" w:hAnsi="宋体" w:cs="宋体"/>
                <w:color w:val="auto"/>
                <w:szCs w:val="18"/>
                <w:highlight w:val="none"/>
              </w:rPr>
            </w:pPr>
          </w:p>
        </w:tc>
        <w:tc>
          <w:tcPr>
            <w:tcW w:w="256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50" w:type="dxa"/>
            <w:noWrap w:val="0"/>
            <w:vAlign w:val="center"/>
          </w:tcPr>
          <w:p>
            <w:pPr>
              <w:adjustRightInd w:val="0"/>
              <w:snapToGrid w:val="0"/>
              <w:jc w:val="left"/>
              <w:rPr>
                <w:rFonts w:hint="eastAsia" w:ascii="宋体" w:hAnsi="宋体" w:cs="宋体"/>
                <w:color w:val="auto"/>
                <w:szCs w:val="18"/>
                <w:highlight w:val="none"/>
              </w:rPr>
            </w:pPr>
          </w:p>
        </w:tc>
        <w:tc>
          <w:tcPr>
            <w:tcW w:w="256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50" w:type="dxa"/>
            <w:noWrap w:val="0"/>
            <w:vAlign w:val="center"/>
          </w:tcPr>
          <w:p>
            <w:pPr>
              <w:adjustRightInd w:val="0"/>
              <w:snapToGrid w:val="0"/>
              <w:jc w:val="left"/>
              <w:rPr>
                <w:rFonts w:hint="eastAsia" w:ascii="宋体" w:hAnsi="宋体" w:cs="宋体"/>
                <w:color w:val="auto"/>
                <w:szCs w:val="18"/>
                <w:highlight w:val="none"/>
              </w:rPr>
            </w:pPr>
          </w:p>
        </w:tc>
        <w:tc>
          <w:tcPr>
            <w:tcW w:w="2562"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pPr>
              <w:jc w:val="center"/>
              <w:rPr>
                <w:rFonts w:hint="eastAsia" w:ascii="宋体" w:hAnsi="宋体" w:cs="宋体"/>
                <w:color w:val="auto"/>
                <w:szCs w:val="21"/>
                <w:highlight w:val="none"/>
              </w:rPr>
            </w:pPr>
          </w:p>
        </w:tc>
        <w:tc>
          <w:tcPr>
            <w:tcW w:w="5050" w:type="dxa"/>
            <w:noWrap w:val="0"/>
            <w:vAlign w:val="center"/>
          </w:tcPr>
          <w:p>
            <w:pPr>
              <w:adjustRightInd w:val="0"/>
              <w:snapToGrid w:val="0"/>
              <w:jc w:val="left"/>
              <w:rPr>
                <w:rFonts w:hint="eastAsia" w:ascii="宋体" w:hAnsi="宋体" w:cs="宋体"/>
                <w:color w:val="auto"/>
                <w:highlight w:val="none"/>
              </w:rPr>
            </w:pPr>
            <w:r>
              <w:rPr>
                <w:rFonts w:hint="eastAsia" w:ascii="宋体" w:hAnsi="宋体" w:cs="宋体"/>
                <w:color w:val="auto"/>
                <w:highlight w:val="none"/>
              </w:rPr>
              <w:t>...</w:t>
            </w:r>
          </w:p>
        </w:tc>
        <w:tc>
          <w:tcPr>
            <w:tcW w:w="2562" w:type="dxa"/>
            <w:noWrap w:val="0"/>
            <w:vAlign w:val="center"/>
          </w:tcPr>
          <w:p>
            <w:pPr>
              <w:rPr>
                <w:rFonts w:hint="eastAsia" w:ascii="宋体" w:hAnsi="宋体" w:cs="宋体"/>
                <w:color w:val="auto"/>
                <w:szCs w:val="21"/>
                <w:highlight w:val="none"/>
              </w:rPr>
            </w:pPr>
          </w:p>
        </w:tc>
      </w:tr>
    </w:tbl>
    <w:p>
      <w:pPr>
        <w:adjustRightInd w:val="0"/>
        <w:snapToGrid w:val="0"/>
        <w:rPr>
          <w:rFonts w:hint="eastAsia" w:ascii="宋体" w:hAnsi="宋体" w:cs="宋体"/>
          <w:color w:val="auto"/>
          <w:szCs w:val="21"/>
          <w:highlight w:val="none"/>
          <w:lang w:val="en-GB"/>
        </w:rPr>
      </w:pPr>
    </w:p>
    <w:p>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en-GB"/>
        </w:rPr>
        <w:t>注：</w:t>
      </w:r>
      <w:r>
        <w:rPr>
          <w:rFonts w:hint="eastAsia" w:ascii="宋体" w:hAnsi="宋体" w:cs="宋体"/>
          <w:color w:val="auto"/>
          <w:szCs w:val="21"/>
          <w:highlight w:val="none"/>
        </w:rPr>
        <w:t>投标人应根据《技术评审表》《商务评审表》的各项内容填写此表，并附于投标文件中</w:t>
      </w:r>
      <w:r>
        <w:rPr>
          <w:rFonts w:hint="eastAsia" w:ascii="宋体" w:hAnsi="宋体" w:cs="宋体"/>
          <w:color w:val="auto"/>
          <w:szCs w:val="21"/>
          <w:highlight w:val="none"/>
          <w:lang w:val="en-GB"/>
        </w:rPr>
        <w:t>。</w:t>
      </w:r>
    </w:p>
    <w:p>
      <w:pPr>
        <w:pStyle w:val="14"/>
        <w:spacing w:after="0"/>
        <w:rPr>
          <w:rFonts w:hint="eastAsia" w:ascii="宋体" w:hAnsi="宋体" w:cs="宋体"/>
          <w:color w:val="auto"/>
          <w:sz w:val="21"/>
          <w:szCs w:val="21"/>
          <w:highlight w:val="none"/>
        </w:rPr>
      </w:pPr>
    </w:p>
    <w:p>
      <w:pPr>
        <w:pStyle w:val="14"/>
        <w:spacing w:after="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pPr>
        <w:pStyle w:val="5"/>
        <w:numPr>
          <w:ilvl w:val="0"/>
          <w:numId w:val="0"/>
        </w:numPr>
        <w:ind w:left="422"/>
        <w:rPr>
          <w:rFonts w:hint="eastAsia" w:hAnsi="宋体" w:cs="宋体"/>
          <w:color w:val="auto"/>
          <w:highlight w:val="none"/>
        </w:rPr>
      </w:pPr>
      <w:bookmarkStart w:id="90" w:name="_Toc476177986"/>
      <w:bookmarkStart w:id="91" w:name="_Toc118018363"/>
      <w:bookmarkStart w:id="92" w:name="_Toc455417781"/>
      <w:bookmarkStart w:id="93" w:name="_Toc477186328"/>
      <w:bookmarkStart w:id="94" w:name="_Toc477185967"/>
      <w:bookmarkStart w:id="95" w:name="_Toc476177427"/>
      <w:r>
        <w:rPr>
          <w:rFonts w:hint="eastAsia" w:hAnsi="宋体" w:cs="宋体"/>
          <w:color w:val="auto"/>
          <w:highlight w:val="none"/>
        </w:rPr>
        <w:t>三、投标报价表格式</w:t>
      </w:r>
      <w:bookmarkEnd w:id="90"/>
      <w:bookmarkEnd w:id="91"/>
      <w:bookmarkEnd w:id="92"/>
      <w:bookmarkEnd w:id="93"/>
      <w:bookmarkEnd w:id="94"/>
      <w:bookmarkEnd w:id="95"/>
    </w:p>
    <w:p>
      <w:pPr>
        <w:pStyle w:val="17"/>
        <w:spacing w:line="360" w:lineRule="auto"/>
        <w:ind w:firstLine="359" w:firstLineChars="171"/>
        <w:rPr>
          <w:rFonts w:hint="eastAsia" w:hAnsi="宋体" w:cs="宋体"/>
          <w:color w:val="auto"/>
          <w:szCs w:val="21"/>
          <w:highlight w:val="none"/>
        </w:rPr>
      </w:pPr>
      <w:r>
        <w:rPr>
          <w:rFonts w:hint="eastAsia" w:hAnsi="宋体" w:cs="宋体"/>
          <w:color w:val="auto"/>
          <w:highlight w:val="none"/>
        </w:rPr>
        <w:t>投标人应按附表1.1～1.2的格式提交投标报价表。</w:t>
      </w:r>
      <w:r>
        <w:rPr>
          <w:rFonts w:hint="eastAsia" w:hAnsi="宋体" w:cs="宋体"/>
          <w:color w:val="auto"/>
          <w:szCs w:val="21"/>
          <w:highlight w:val="none"/>
        </w:rPr>
        <w:tab/>
      </w:r>
    </w:p>
    <w:p>
      <w:pPr>
        <w:pStyle w:val="17"/>
        <w:spacing w:line="360" w:lineRule="auto"/>
        <w:ind w:firstLine="359" w:firstLineChars="171"/>
        <w:rPr>
          <w:rFonts w:hint="eastAsia" w:hAnsi="宋体" w:cs="宋体"/>
          <w:color w:val="auto"/>
          <w:szCs w:val="21"/>
          <w:highlight w:val="none"/>
        </w:rPr>
      </w:pPr>
      <w:r>
        <w:rPr>
          <w:rFonts w:hint="eastAsia" w:hAnsi="宋体" w:cs="宋体"/>
          <w:color w:val="auto"/>
          <w:szCs w:val="21"/>
          <w:highlight w:val="none"/>
        </w:rPr>
        <w:t>附表1.1开标一览表</w:t>
      </w:r>
    </w:p>
    <w:p>
      <w:pPr>
        <w:pStyle w:val="17"/>
        <w:spacing w:line="360" w:lineRule="auto"/>
        <w:ind w:firstLine="359" w:firstLineChars="171"/>
        <w:jc w:val="right"/>
        <w:rPr>
          <w:rFonts w:hint="eastAsia" w:hAnsi="宋体" w:cs="宋体"/>
          <w:color w:val="auto"/>
          <w:szCs w:val="21"/>
          <w:highlight w:val="none"/>
        </w:rPr>
      </w:pPr>
      <w:r>
        <w:rPr>
          <w:rFonts w:hint="eastAsia" w:hAnsi="宋体" w:cs="宋体"/>
          <w:color w:val="auto"/>
          <w:szCs w:val="21"/>
          <w:highlight w:val="none"/>
        </w:rPr>
        <w:t>金额单位：元（人民币）</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3194"/>
        <w:gridCol w:w="1371"/>
        <w:gridCol w:w="119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69" w:type="dxa"/>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3194" w:type="dxa"/>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1371" w:type="dxa"/>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税率</w:t>
            </w:r>
          </w:p>
        </w:tc>
        <w:tc>
          <w:tcPr>
            <w:tcW w:w="1192" w:type="dxa"/>
            <w:noWrap w:val="0"/>
            <w:vAlign w:val="center"/>
          </w:tcPr>
          <w:p>
            <w:pPr>
              <w:spacing w:line="360" w:lineRule="auto"/>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val="en-US" w:eastAsia="zh-CN"/>
              </w:rPr>
              <w:t>工期</w:t>
            </w:r>
          </w:p>
        </w:tc>
        <w:tc>
          <w:tcPr>
            <w:tcW w:w="1192" w:type="dxa"/>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769" w:type="dxa"/>
            <w:noWrap w:val="0"/>
            <w:vAlign w:val="center"/>
          </w:tcPr>
          <w:p>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b/>
                <w:bCs/>
                <w:color w:val="auto"/>
                <w:szCs w:val="21"/>
                <w:highlight w:val="none"/>
                <w:lang w:eastAsia="zh-CN"/>
              </w:rPr>
              <w:t>深圳分社新址装修项目（机电设备部分）</w:t>
            </w:r>
          </w:p>
        </w:tc>
        <w:tc>
          <w:tcPr>
            <w:tcW w:w="3194" w:type="dxa"/>
            <w:noWrap w:val="0"/>
            <w:vAlign w:val="center"/>
          </w:tcPr>
          <w:p>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投标报价（含增值税）（元 人民币）：</w:t>
            </w:r>
          </w:p>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p>
            <w:pPr>
              <w:spacing w:line="360" w:lineRule="auto"/>
              <w:rPr>
                <w:rFonts w:hint="eastAsia" w:ascii="宋体" w:hAnsi="宋体" w:cs="宋体"/>
                <w:b/>
                <w:bCs/>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1371" w:type="dxa"/>
            <w:noWrap w:val="0"/>
            <w:vAlign w:val="center"/>
          </w:tcPr>
          <w:p>
            <w:pPr>
              <w:spacing w:line="360" w:lineRule="auto"/>
              <w:ind w:firstLine="1050" w:firstLineChars="5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92" w:type="dxa"/>
            <w:noWrap w:val="0"/>
            <w:vAlign w:val="center"/>
          </w:tcPr>
          <w:p>
            <w:pPr>
              <w:spacing w:line="360" w:lineRule="auto"/>
              <w:rPr>
                <w:rFonts w:hint="eastAsia" w:ascii="宋体" w:hAnsi="宋体" w:cs="宋体"/>
                <w:color w:val="auto"/>
                <w:kern w:val="0"/>
                <w:szCs w:val="21"/>
                <w:highlight w:val="none"/>
              </w:rPr>
            </w:pPr>
          </w:p>
        </w:tc>
        <w:tc>
          <w:tcPr>
            <w:tcW w:w="1192" w:type="dxa"/>
            <w:noWrap w:val="0"/>
            <w:vAlign w:val="center"/>
          </w:tcPr>
          <w:p>
            <w:pPr>
              <w:spacing w:line="360" w:lineRule="auto"/>
              <w:rPr>
                <w:rFonts w:hint="eastAsia" w:ascii="宋体" w:hAnsi="宋体" w:cs="宋体"/>
                <w:color w:val="auto"/>
                <w:kern w:val="0"/>
                <w:szCs w:val="21"/>
                <w:highlight w:val="none"/>
              </w:rPr>
            </w:pPr>
          </w:p>
        </w:tc>
      </w:tr>
    </w:tbl>
    <w:p>
      <w:pPr>
        <w:pStyle w:val="17"/>
        <w:snapToGrid w:val="0"/>
        <w:ind w:right="120" w:rightChars="57"/>
        <w:jc w:val="left"/>
        <w:rPr>
          <w:rFonts w:hint="eastAsia" w:hAnsi="宋体" w:cs="宋体"/>
          <w:color w:val="auto"/>
          <w:highlight w:val="none"/>
        </w:rPr>
      </w:pPr>
    </w:p>
    <w:p>
      <w:pPr>
        <w:pStyle w:val="17"/>
        <w:snapToGrid w:val="0"/>
        <w:ind w:right="120" w:rightChars="57"/>
        <w:jc w:val="left"/>
        <w:rPr>
          <w:rFonts w:hint="eastAsia" w:hAnsi="宋体" w:cs="宋体"/>
          <w:b/>
          <w:color w:val="auto"/>
          <w:highlight w:val="none"/>
        </w:rPr>
      </w:pPr>
      <w:r>
        <w:rPr>
          <w:rFonts w:hint="eastAsia" w:hAnsi="宋体" w:cs="宋体"/>
          <w:b/>
          <w:color w:val="auto"/>
          <w:highlight w:val="none"/>
        </w:rPr>
        <w:t>注：</w:t>
      </w:r>
    </w:p>
    <w:p>
      <w:pPr>
        <w:pStyle w:val="17"/>
        <w:numPr>
          <w:ilvl w:val="-1"/>
          <w:numId w:val="0"/>
        </w:numPr>
        <w:snapToGrid w:val="0"/>
        <w:ind w:left="0" w:right="120" w:rightChars="57" w:firstLine="0"/>
        <w:jc w:val="left"/>
        <w:rPr>
          <w:rFonts w:hint="eastAsia" w:hAnsi="宋体" w:cs="宋体"/>
          <w:b/>
          <w:color w:val="auto"/>
          <w:highlight w:val="none"/>
        </w:rPr>
      </w:pPr>
      <w:r>
        <w:rPr>
          <w:rFonts w:hint="eastAsia" w:hAnsi="宋体" w:cs="宋体"/>
          <w:b/>
          <w:color w:val="auto"/>
          <w:highlight w:val="none"/>
          <w:lang w:val="en-US" w:eastAsia="zh-CN"/>
        </w:rPr>
        <w:t>1.</w:t>
      </w:r>
      <w:r>
        <w:rPr>
          <w:rFonts w:hint="eastAsia" w:hAnsi="宋体" w:cs="宋体"/>
          <w:b/>
          <w:color w:val="auto"/>
          <w:highlight w:val="none"/>
        </w:rPr>
        <w:t>投标报价超过最高限价的属于无效投标。</w:t>
      </w:r>
    </w:p>
    <w:p>
      <w:pPr>
        <w:pStyle w:val="17"/>
        <w:numPr>
          <w:ilvl w:val="-1"/>
          <w:numId w:val="0"/>
        </w:numPr>
        <w:snapToGrid w:val="0"/>
        <w:ind w:left="0" w:right="120" w:rightChars="57" w:firstLine="0"/>
        <w:jc w:val="left"/>
        <w:rPr>
          <w:rFonts w:hint="eastAsia" w:ascii="宋体" w:hAnsi="宋体" w:eastAsia="宋体" w:cs="宋体"/>
          <w:b/>
          <w:color w:val="auto"/>
          <w:highlight w:val="none"/>
          <w:lang w:val="en-US" w:eastAsia="zh-CN"/>
        </w:rPr>
      </w:pPr>
      <w:r>
        <w:rPr>
          <w:rFonts w:hint="eastAsia" w:hAnsi="宋体" w:cs="宋体"/>
          <w:b/>
          <w:color w:val="auto"/>
          <w:highlight w:val="none"/>
          <w:lang w:val="en-US" w:eastAsia="zh-CN"/>
        </w:rPr>
        <w:t>2.</w:t>
      </w:r>
      <w:r>
        <w:rPr>
          <w:rFonts w:hint="eastAsia" w:ascii="宋体" w:hAnsi="宋体" w:eastAsia="宋体" w:cs="宋体"/>
          <w:b/>
          <w:color w:val="auto"/>
          <w:highlight w:val="none"/>
          <w:lang w:val="en-US" w:eastAsia="zh-CN"/>
        </w:rPr>
        <w:t>所有报价保留两位小数。</w:t>
      </w:r>
    </w:p>
    <w:p>
      <w:pPr>
        <w:pStyle w:val="17"/>
        <w:numPr>
          <w:ilvl w:val="-1"/>
          <w:numId w:val="0"/>
        </w:numPr>
        <w:adjustRightInd w:val="0"/>
        <w:snapToGrid w:val="0"/>
        <w:spacing w:line="360" w:lineRule="auto"/>
        <w:ind w:left="0" w:right="120" w:rightChars="57" w:firstLine="0"/>
        <w:jc w:val="left"/>
        <w:rPr>
          <w:rFonts w:hint="eastAsia" w:ascii="宋体" w:hAnsi="宋体" w:eastAsia="宋体" w:cs="宋体"/>
          <w:b/>
          <w:color w:val="auto"/>
          <w:sz w:val="21"/>
          <w:szCs w:val="24"/>
          <w:highlight w:val="none"/>
          <w:u w:val="none"/>
          <w:lang w:val="en-US" w:eastAsia="zh-CN"/>
        </w:rPr>
      </w:pPr>
      <w:r>
        <w:rPr>
          <w:rFonts w:hint="eastAsia" w:ascii="宋体" w:hAnsi="宋体" w:cs="宋体"/>
          <w:b/>
          <w:color w:val="auto"/>
          <w:sz w:val="21"/>
          <w:szCs w:val="24"/>
          <w:highlight w:val="none"/>
          <w:u w:val="none"/>
          <w:lang w:val="en-US" w:eastAsia="zh-CN"/>
        </w:rPr>
        <w:t>3.</w:t>
      </w:r>
      <w:r>
        <w:rPr>
          <w:rFonts w:hint="eastAsia" w:ascii="宋体" w:hAnsi="宋体" w:eastAsia="宋体" w:cs="宋体"/>
          <w:b/>
          <w:color w:val="auto"/>
          <w:sz w:val="21"/>
          <w:szCs w:val="24"/>
          <w:highlight w:val="none"/>
          <w:u w:val="none"/>
          <w:lang w:eastAsia="zh-CN"/>
        </w:rPr>
        <w:t>投标</w:t>
      </w:r>
      <w:r>
        <w:rPr>
          <w:rFonts w:hint="eastAsia" w:ascii="宋体" w:hAnsi="宋体" w:eastAsia="宋体" w:cs="宋体"/>
          <w:b/>
          <w:color w:val="auto"/>
          <w:sz w:val="21"/>
          <w:szCs w:val="24"/>
          <w:highlight w:val="none"/>
          <w:u w:val="none"/>
          <w:lang w:val="en-US" w:eastAsia="zh-CN"/>
        </w:rPr>
        <w:t>报</w:t>
      </w:r>
      <w:r>
        <w:rPr>
          <w:rFonts w:hint="eastAsia" w:ascii="宋体" w:hAnsi="宋体" w:eastAsia="宋体" w:cs="宋体"/>
          <w:b/>
          <w:color w:val="auto"/>
          <w:sz w:val="21"/>
          <w:szCs w:val="24"/>
          <w:highlight w:val="none"/>
          <w:u w:val="none"/>
          <w:lang w:eastAsia="zh-CN"/>
        </w:rPr>
        <w:t>价</w:t>
      </w:r>
      <w:r>
        <w:rPr>
          <w:rFonts w:hint="eastAsia" w:ascii="宋体" w:hAnsi="宋体" w:eastAsia="宋体" w:cs="宋体"/>
          <w:b/>
          <w:color w:val="auto"/>
          <w:sz w:val="21"/>
          <w:szCs w:val="24"/>
          <w:highlight w:val="none"/>
          <w:u w:val="none"/>
        </w:rPr>
        <w:t>含暂列金</w:t>
      </w:r>
      <w:r>
        <w:rPr>
          <w:rFonts w:hint="eastAsia" w:ascii="宋体" w:hAnsi="宋体" w:cs="宋体"/>
          <w:b/>
          <w:color w:val="auto"/>
          <w:sz w:val="21"/>
          <w:szCs w:val="24"/>
          <w:highlight w:val="none"/>
          <w:u w:val="none"/>
          <w:lang w:val="en-US" w:eastAsia="zh-CN"/>
        </w:rPr>
        <w:t>1</w:t>
      </w:r>
      <w:r>
        <w:rPr>
          <w:rFonts w:hint="eastAsia" w:ascii="宋体" w:hAnsi="宋体" w:eastAsia="宋体" w:cs="宋体"/>
          <w:b/>
          <w:color w:val="auto"/>
          <w:sz w:val="21"/>
          <w:szCs w:val="24"/>
          <w:highlight w:val="none"/>
          <w:u w:val="none"/>
          <w:lang w:val="en-US" w:eastAsia="zh-CN"/>
        </w:rPr>
        <w:t>0万元</w:t>
      </w:r>
      <w:r>
        <w:rPr>
          <w:rFonts w:hint="eastAsia" w:ascii="宋体" w:hAnsi="宋体" w:eastAsia="宋体" w:cs="宋体"/>
          <w:b/>
          <w:color w:val="auto"/>
          <w:sz w:val="21"/>
          <w:szCs w:val="24"/>
          <w:highlight w:val="none"/>
          <w:u w:val="none"/>
          <w:lang w:eastAsia="zh-CN"/>
        </w:rPr>
        <w:t>，</w:t>
      </w:r>
      <w:r>
        <w:rPr>
          <w:rFonts w:hint="eastAsia" w:ascii="宋体" w:hAnsi="宋体" w:eastAsia="宋体" w:cs="宋体"/>
          <w:b/>
          <w:color w:val="auto"/>
          <w:sz w:val="21"/>
          <w:szCs w:val="24"/>
          <w:highlight w:val="none"/>
          <w:u w:val="none"/>
        </w:rPr>
        <w:t>暂列金</w:t>
      </w:r>
      <w:r>
        <w:rPr>
          <w:rFonts w:hint="eastAsia" w:ascii="宋体" w:hAnsi="宋体" w:eastAsia="宋体" w:cs="宋体"/>
          <w:b/>
          <w:color w:val="auto"/>
          <w:sz w:val="21"/>
          <w:szCs w:val="24"/>
          <w:highlight w:val="none"/>
          <w:u w:val="none"/>
          <w:lang w:val="en-US" w:eastAsia="zh-CN"/>
        </w:rPr>
        <w:t>为非竞争费用，不参与</w:t>
      </w:r>
      <w:r>
        <w:rPr>
          <w:rFonts w:hint="eastAsia" w:ascii="宋体" w:hAnsi="宋体" w:eastAsia="宋体" w:cs="宋体"/>
          <w:b/>
          <w:color w:val="auto"/>
          <w:sz w:val="21"/>
          <w:szCs w:val="24"/>
          <w:highlight w:val="none"/>
          <w:u w:val="none"/>
        </w:rPr>
        <w:t>竞价项。</w:t>
      </w:r>
    </w:p>
    <w:p>
      <w:pPr>
        <w:pStyle w:val="17"/>
        <w:spacing w:line="360" w:lineRule="auto"/>
        <w:rPr>
          <w:rFonts w:hint="eastAsia" w:hAnsi="宋体" w:cs="宋体"/>
          <w:bCs/>
          <w:color w:val="auto"/>
          <w:highlight w:val="none"/>
        </w:rPr>
      </w:pPr>
      <w:r>
        <w:rPr>
          <w:rFonts w:hint="eastAsia" w:hAnsi="宋体" w:cs="宋体"/>
          <w:b/>
          <w:color w:val="auto"/>
          <w:highlight w:val="none"/>
          <w:lang w:val="en-US" w:eastAsia="zh-CN"/>
        </w:rPr>
        <w:t>4.</w:t>
      </w:r>
      <w:r>
        <w:rPr>
          <w:rFonts w:hint="eastAsia" w:ascii="宋体" w:hAnsi="宋体" w:eastAsia="宋体" w:cs="宋体"/>
          <w:b/>
          <w:color w:val="auto"/>
          <w:highlight w:val="none"/>
        </w:rPr>
        <w:t>增值税税率必须按照国家标准填写，如投标人的税率与国家标准不一致，招标人有权调整其税率。</w:t>
      </w:r>
      <w:r>
        <w:rPr>
          <w:rFonts w:hint="eastAsia" w:hAnsi="宋体" w:cs="宋体"/>
          <w:b/>
          <w:color w:val="auto"/>
          <w:highlight w:val="none"/>
        </w:rPr>
        <w:t xml:space="preserve">  </w:t>
      </w:r>
      <w:r>
        <w:rPr>
          <w:rFonts w:hint="eastAsia" w:hAnsi="宋体" w:cs="宋体"/>
          <w:color w:val="auto"/>
          <w:highlight w:val="none"/>
        </w:rPr>
        <w:t xml:space="preserve"> </w:t>
      </w:r>
    </w:p>
    <w:p>
      <w:pPr>
        <w:pStyle w:val="17"/>
        <w:jc w:val="left"/>
        <w:rPr>
          <w:rFonts w:hint="eastAsia" w:hAnsi="宋体" w:cs="宋体"/>
          <w:color w:val="auto"/>
          <w:highlight w:val="none"/>
        </w:rPr>
      </w:pPr>
    </w:p>
    <w:p>
      <w:pPr>
        <w:pStyle w:val="17"/>
        <w:jc w:val="left"/>
        <w:rPr>
          <w:rFonts w:hint="eastAsia" w:hAnsi="宋体" w:cs="宋体"/>
          <w:color w:val="auto"/>
          <w:highlight w:val="none"/>
        </w:rPr>
      </w:pPr>
    </w:p>
    <w:p>
      <w:pPr>
        <w:pStyle w:val="17"/>
        <w:jc w:val="left"/>
        <w:rPr>
          <w:rFonts w:hint="eastAsia" w:hAnsi="宋体" w:cs="宋体"/>
          <w:color w:val="auto"/>
          <w:highlight w:val="none"/>
        </w:rPr>
      </w:pPr>
    </w:p>
    <w:p>
      <w:pPr>
        <w:pStyle w:val="17"/>
        <w:jc w:val="left"/>
        <w:rPr>
          <w:rFonts w:hint="eastAsia" w:hAnsi="宋体" w:cs="宋体"/>
          <w:color w:val="auto"/>
          <w:highlight w:val="none"/>
        </w:rPr>
      </w:pPr>
    </w:p>
    <w:p>
      <w:pPr>
        <w:pStyle w:val="17"/>
        <w:jc w:val="left"/>
        <w:rPr>
          <w:rFonts w:hint="eastAsia" w:hAnsi="宋体" w:cs="宋体"/>
          <w:color w:val="auto"/>
          <w:highlight w:val="none"/>
        </w:rPr>
      </w:pPr>
      <w:r>
        <w:rPr>
          <w:rFonts w:hint="eastAsia" w:hAnsi="宋体" w:cs="宋体"/>
          <w:color w:val="auto"/>
          <w:highlight w:val="none"/>
        </w:rPr>
        <w:t>投标人名称:（盖章）</w:t>
      </w:r>
    </w:p>
    <w:p>
      <w:pPr>
        <w:pStyle w:val="17"/>
        <w:jc w:val="left"/>
        <w:rPr>
          <w:rFonts w:hint="eastAsia" w:hAnsi="宋体" w:cs="宋体"/>
          <w:color w:val="auto"/>
          <w:highlight w:val="none"/>
        </w:rPr>
        <w:sectPr>
          <w:pgSz w:w="11907" w:h="16840"/>
          <w:pgMar w:top="1418" w:right="1701" w:bottom="1418" w:left="1701" w:header="737" w:footer="737" w:gutter="0"/>
          <w:cols w:space="720" w:num="1"/>
          <w:docGrid w:linePitch="285" w:charSpace="0"/>
        </w:sectPr>
      </w:pPr>
      <w:r>
        <w:rPr>
          <w:rFonts w:hint="eastAsia" w:hAnsi="宋体" w:cs="宋体"/>
          <w:color w:val="auto"/>
          <w:highlight w:val="none"/>
        </w:rPr>
        <w:t>日期：    年   月   日</w:t>
      </w:r>
    </w:p>
    <w:p>
      <w:pPr>
        <w:pStyle w:val="17"/>
        <w:spacing w:line="480" w:lineRule="auto"/>
        <w:rPr>
          <w:rFonts w:hint="eastAsia" w:hAnsi="宋体" w:cs="宋体"/>
          <w:color w:val="auto"/>
          <w:highlight w:val="none"/>
        </w:rPr>
      </w:pPr>
      <w:bookmarkStart w:id="96" w:name="_Toc476177431"/>
      <w:bookmarkStart w:id="97" w:name="_Toc496161872"/>
      <w:bookmarkStart w:id="98" w:name="_Toc118018364"/>
      <w:bookmarkStart w:id="99" w:name="_Toc476177990"/>
      <w:bookmarkStart w:id="100" w:name="_Toc455417782"/>
      <w:r>
        <w:rPr>
          <w:rFonts w:hint="eastAsia" w:hAnsi="宋体" w:cs="宋体"/>
          <w:color w:val="auto"/>
          <w:highlight w:val="none"/>
        </w:rPr>
        <w:t>附表1.2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highlight w:val="none"/>
          <w:lang w:val="en-US" w:eastAsia="zh-CN"/>
        </w:rPr>
      </w:pPr>
      <w:r>
        <w:rPr>
          <w:rFonts w:hint="eastAsia"/>
          <w:b/>
          <w:bCs/>
          <w:sz w:val="24"/>
          <w:szCs w:val="24"/>
          <w:highlight w:val="none"/>
          <w:lang w:eastAsia="zh-CN"/>
        </w:rPr>
        <w:t>深圳分社新址装修项目（机电设备部分）</w:t>
      </w:r>
      <w:r>
        <w:rPr>
          <w:rFonts w:hint="eastAsia"/>
          <w:b/>
          <w:bCs/>
          <w:sz w:val="24"/>
          <w:szCs w:val="24"/>
          <w:highlight w:val="none"/>
          <w:lang w:val="en-US" w:eastAsia="zh-CN"/>
        </w:rPr>
        <w:t>分项报价表</w:t>
      </w:r>
    </w:p>
    <w:p>
      <w:pPr>
        <w:tabs>
          <w:tab w:val="left" w:pos="7088"/>
        </w:tabs>
        <w:spacing w:before="120" w:after="120" w:line="36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金额单位：元（人民币）</w:t>
      </w:r>
    </w:p>
    <w:p>
      <w:pPr>
        <w:pStyle w:val="17"/>
        <w:snapToGrid w:val="0"/>
        <w:ind w:left="-60" w:right="120" w:rightChars="57"/>
        <w:jc w:val="left"/>
        <w:rPr>
          <w:rFonts w:hint="eastAsia" w:ascii="宋体" w:hAnsi="宋体" w:eastAsia="宋体" w:cs="宋体"/>
          <w:color w:val="auto"/>
          <w:highlight w:val="none"/>
        </w:rPr>
      </w:pPr>
    </w:p>
    <w:p>
      <w:pPr>
        <w:pStyle w:val="17"/>
        <w:snapToGrid w:val="0"/>
        <w:ind w:left="-60" w:right="120" w:rightChars="57"/>
        <w:jc w:val="left"/>
        <w:rPr>
          <w:rFonts w:hint="eastAsia" w:ascii="宋体" w:hAnsi="宋体" w:eastAsia="宋体" w:cs="宋体"/>
          <w:color w:val="auto"/>
          <w:highlight w:val="none"/>
        </w:rPr>
      </w:pPr>
      <w:r>
        <w:rPr>
          <w:rFonts w:hint="eastAsia" w:hAnsi="宋体" w:eastAsia="宋体" w:cs="宋体"/>
          <w:color w:val="auto"/>
          <w:highlight w:val="none"/>
          <w:lang w:val="en-US" w:eastAsia="zh-CN"/>
        </w:rPr>
        <w:t>详见</w:t>
      </w:r>
      <w:r>
        <w:rPr>
          <w:rFonts w:hint="eastAsia" w:ascii="宋体" w:hAnsi="宋体" w:eastAsia="宋体" w:cs="宋体"/>
          <w:color w:val="auto"/>
          <w:highlight w:val="none"/>
        </w:rPr>
        <w:t>工程量清单</w:t>
      </w:r>
    </w:p>
    <w:p>
      <w:pPr>
        <w:rPr>
          <w:rFonts w:hint="eastAsia"/>
          <w:highlight w:val="none"/>
        </w:rPr>
      </w:pPr>
    </w:p>
    <w:p>
      <w:pPr>
        <w:pStyle w:val="2"/>
        <w:rPr>
          <w:rFonts w:hint="eastAsia"/>
          <w:highlight w:val="none"/>
        </w:rPr>
      </w:pPr>
    </w:p>
    <w:p>
      <w:pPr>
        <w:pStyle w:val="17"/>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hAnsi="宋体" w:eastAsia="宋体" w:cs="Times New Roman"/>
          <w:highlight w:val="none"/>
          <w:lang w:val="en-US" w:eastAsia="zh-CN"/>
        </w:rPr>
        <w:t>投标人应按工程量清单的</w:t>
      </w:r>
      <w:r>
        <w:rPr>
          <w:rFonts w:hint="eastAsia" w:hAnsi="宋体" w:eastAsia="宋体" w:cs="Times New Roman"/>
          <w:highlight w:val="none"/>
        </w:rPr>
        <w:t>格式进行编制，并把《</w:t>
      </w:r>
      <w:r>
        <w:rPr>
          <w:rFonts w:hint="eastAsia" w:hAnsi="宋体" w:eastAsia="宋体" w:cs="Times New Roman"/>
          <w:highlight w:val="none"/>
          <w:lang w:val="en-US" w:eastAsia="zh-CN"/>
        </w:rPr>
        <w:t>工程量清单</w:t>
      </w:r>
      <w:r>
        <w:rPr>
          <w:rFonts w:hint="eastAsia" w:hAnsi="宋体" w:eastAsia="宋体" w:cs="Times New Roman"/>
          <w:highlight w:val="none"/>
        </w:rPr>
        <w:t>》的内容附在投标文件中。</w:t>
      </w:r>
    </w:p>
    <w:p>
      <w:pPr>
        <w:rPr>
          <w:rFonts w:hint="default" w:ascii="Times New Roman" w:hAnsi="Times New Roman" w:eastAsia="宋体" w:cs="Times New Roman"/>
          <w:b w:val="0"/>
          <w:bCs w:val="0"/>
          <w:lang w:val="en-US" w:eastAsia="zh-CN"/>
        </w:rPr>
      </w:pPr>
    </w:p>
    <w:p>
      <w:pPr>
        <w:pStyle w:val="17"/>
        <w:numPr>
          <w:ilvl w:val="0"/>
          <w:numId w:val="0"/>
        </w:numPr>
        <w:snapToGrid w:val="0"/>
        <w:spacing w:line="360" w:lineRule="auto"/>
        <w:ind w:left="0" w:right="0" w:rightChars="0" w:firstLine="0"/>
        <w:rPr>
          <w:rFonts w:hint="eastAsia" w:hAnsi="宋体" w:cs="宋体"/>
          <w:b/>
          <w:bCs/>
          <w:color w:val="auto"/>
          <w:highlight w:val="yellow"/>
        </w:rPr>
      </w:pPr>
    </w:p>
    <w:p>
      <w:pPr>
        <w:pStyle w:val="17"/>
        <w:numPr>
          <w:ilvl w:val="0"/>
          <w:numId w:val="0"/>
        </w:numPr>
        <w:snapToGrid w:val="0"/>
        <w:spacing w:line="360" w:lineRule="auto"/>
        <w:ind w:left="0" w:right="0" w:rightChars="0" w:firstLine="0"/>
        <w:rPr>
          <w:rFonts w:hint="eastAsia" w:hAnsi="宋体" w:cs="宋体"/>
          <w:color w:val="auto"/>
          <w:highlight w:val="none"/>
        </w:rPr>
      </w:pPr>
      <w:r>
        <w:rPr>
          <w:rFonts w:hint="eastAsia" w:hAnsi="宋体" w:cs="宋体"/>
          <w:color w:val="auto"/>
          <w:highlight w:val="none"/>
        </w:rPr>
        <w:t>投标人名称:（盖章）</w:t>
      </w:r>
    </w:p>
    <w:p>
      <w:pPr>
        <w:pStyle w:val="17"/>
        <w:spacing w:line="360" w:lineRule="auto"/>
        <w:jc w:val="left"/>
        <w:rPr>
          <w:rFonts w:hint="eastAsia" w:hAnsi="宋体" w:cs="宋体"/>
          <w:color w:val="auto"/>
          <w:highlight w:val="none"/>
        </w:rPr>
      </w:pPr>
      <w:r>
        <w:rPr>
          <w:rFonts w:hint="eastAsia" w:hAnsi="宋体" w:cs="宋体"/>
          <w:color w:val="auto"/>
          <w:highlight w:val="none"/>
        </w:rPr>
        <w:t>日期：    年   月   日</w:t>
      </w:r>
    </w:p>
    <w:p>
      <w:pPr>
        <w:pStyle w:val="17"/>
        <w:snapToGrid w:val="0"/>
        <w:ind w:left="360" w:right="120" w:rightChars="57"/>
        <w:jc w:val="left"/>
        <w:rPr>
          <w:rFonts w:hint="eastAsia" w:hAnsi="宋体" w:cs="宋体"/>
          <w:color w:val="auto"/>
          <w:highlight w:val="none"/>
        </w:rPr>
      </w:pPr>
    </w:p>
    <w:p>
      <w:pPr>
        <w:pStyle w:val="17"/>
        <w:snapToGrid w:val="0"/>
        <w:ind w:left="360" w:right="120" w:rightChars="57"/>
        <w:jc w:val="left"/>
        <w:rPr>
          <w:rFonts w:hint="eastAsia" w:hAnsi="宋体" w:cs="宋体"/>
          <w:color w:val="auto"/>
          <w:highlight w:val="none"/>
        </w:rPr>
      </w:pPr>
      <w:r>
        <w:rPr>
          <w:rFonts w:hint="eastAsia" w:hAnsi="宋体" w:cs="宋体"/>
          <w:color w:val="auto"/>
          <w:szCs w:val="21"/>
          <w:highlight w:val="none"/>
        </w:rPr>
        <w:br w:type="page"/>
      </w:r>
    </w:p>
    <w:bookmarkEnd w:id="96"/>
    <w:bookmarkEnd w:id="97"/>
    <w:bookmarkEnd w:id="98"/>
    <w:bookmarkEnd w:id="99"/>
    <w:bookmarkEnd w:id="100"/>
    <w:p>
      <w:pPr>
        <w:pStyle w:val="5"/>
        <w:numPr>
          <w:ilvl w:val="0"/>
          <w:numId w:val="0"/>
        </w:numPr>
        <w:ind w:left="422"/>
        <w:rPr>
          <w:rFonts w:hint="eastAsia" w:hAnsi="宋体" w:cs="宋体"/>
          <w:color w:val="auto"/>
          <w:highlight w:val="none"/>
        </w:rPr>
      </w:pPr>
      <w:r>
        <w:rPr>
          <w:rFonts w:hint="eastAsia" w:hAnsi="宋体" w:cs="宋体"/>
          <w:color w:val="auto"/>
          <w:highlight w:val="none"/>
        </w:rPr>
        <w:t>四、资格证明材料</w:t>
      </w:r>
    </w:p>
    <w:p>
      <w:pPr>
        <w:pStyle w:val="5"/>
        <w:numPr>
          <w:ilvl w:val="0"/>
          <w:numId w:val="0"/>
        </w:numPr>
        <w:ind w:left="422"/>
        <w:rPr>
          <w:rFonts w:hint="eastAsia" w:hAnsi="宋体" w:cs="宋体"/>
          <w:b w:val="0"/>
          <w:color w:val="auto"/>
          <w:highlight w:val="none"/>
        </w:rPr>
      </w:pPr>
      <w:r>
        <w:rPr>
          <w:rFonts w:hint="eastAsia" w:hAnsi="宋体" w:cs="宋体"/>
          <w:b w:val="0"/>
          <w:color w:val="auto"/>
          <w:highlight w:val="none"/>
        </w:rPr>
        <w:t>（1）投标函</w:t>
      </w:r>
    </w:p>
    <w:p>
      <w:pPr>
        <w:jc w:val="center"/>
        <w:rPr>
          <w:rFonts w:hint="eastAsia" w:ascii="宋体" w:hAnsi="宋体" w:cs="宋体"/>
          <w:b/>
          <w:color w:val="auto"/>
          <w:sz w:val="28"/>
          <w:highlight w:val="none"/>
        </w:rPr>
      </w:pPr>
      <w:r>
        <w:rPr>
          <w:rFonts w:hint="eastAsia" w:ascii="宋体" w:hAnsi="宋体" w:cs="宋体"/>
          <w:b/>
          <w:color w:val="auto"/>
          <w:sz w:val="28"/>
          <w:highlight w:val="none"/>
        </w:rPr>
        <w:t>投 标 函</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致:（招标人名称）</w:t>
      </w:r>
    </w:p>
    <w:p>
      <w:pPr>
        <w:spacing w:line="360" w:lineRule="auto"/>
        <w:rPr>
          <w:rFonts w:hint="eastAsia" w:ascii="宋体" w:hAnsi="宋体" w:cs="宋体"/>
          <w:color w:val="auto"/>
          <w:highlight w:val="none"/>
        </w:rPr>
      </w:pP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 xml:space="preserve">  我方确认收到贵方提供的（</w:t>
      </w:r>
      <w:r>
        <w:rPr>
          <w:rFonts w:hint="eastAsia" w:ascii="宋体" w:hAnsi="宋体" w:cs="宋体"/>
          <w:color w:val="auto"/>
          <w:kern w:val="28"/>
          <w:highlight w:val="none"/>
          <w:u w:val="single"/>
        </w:rPr>
        <w:t>招标项目名称）</w:t>
      </w:r>
      <w:r>
        <w:rPr>
          <w:rFonts w:hint="eastAsia" w:ascii="宋体" w:hAnsi="宋体" w:cs="宋体"/>
          <w:color w:val="auto"/>
          <w:highlight w:val="none"/>
        </w:rPr>
        <w:t>的招标文件的全部内容，我方：</w:t>
      </w:r>
      <w:r>
        <w:rPr>
          <w:rFonts w:hint="eastAsia" w:ascii="宋体" w:hAnsi="宋体" w:cs="宋体"/>
          <w:color w:val="auto"/>
          <w:highlight w:val="none"/>
          <w:u w:val="single"/>
        </w:rPr>
        <w:t xml:space="preserve">                                   （投标人名称）</w:t>
      </w:r>
      <w:r>
        <w:rPr>
          <w:rFonts w:hint="eastAsia" w:ascii="宋体" w:hAnsi="宋体" w:cs="宋体"/>
          <w:color w:val="auto"/>
          <w:highlight w:val="none"/>
        </w:rPr>
        <w:t>作为投标者正式授权</w:t>
      </w:r>
      <w:r>
        <w:rPr>
          <w:rFonts w:hint="eastAsia" w:ascii="宋体" w:hAnsi="宋体" w:cs="宋体"/>
          <w:color w:val="auto"/>
          <w:highlight w:val="none"/>
          <w:u w:val="single"/>
        </w:rPr>
        <w:t>（授权代表全名, 职务）</w:t>
      </w:r>
      <w:r>
        <w:rPr>
          <w:rFonts w:hint="eastAsia" w:ascii="宋体" w:hAnsi="宋体" w:cs="宋体"/>
          <w:color w:val="auto"/>
          <w:highlight w:val="none"/>
        </w:rPr>
        <w:t>代表我方进行有关本投标的一切事宜。</w:t>
      </w:r>
    </w:p>
    <w:p>
      <w:pPr>
        <w:spacing w:line="360" w:lineRule="auto"/>
        <w:ind w:firstLine="516" w:firstLineChars="246"/>
        <w:rPr>
          <w:rFonts w:hint="eastAsia" w:ascii="宋体" w:hAnsi="宋体" w:cs="宋体"/>
          <w:color w:val="auto"/>
          <w:highlight w:val="none"/>
        </w:rPr>
      </w:pPr>
      <w:r>
        <w:rPr>
          <w:rFonts w:hint="eastAsia" w:ascii="宋体" w:hAnsi="宋体" w:cs="宋体"/>
          <w:color w:val="auto"/>
          <w:highlight w:val="none"/>
        </w:rPr>
        <w:t>在此提交的投标文件, 正本一份, 副本</w:t>
      </w:r>
      <w:r>
        <w:rPr>
          <w:rFonts w:hint="eastAsia" w:ascii="宋体" w:hAnsi="宋体" w:cs="宋体"/>
          <w:color w:val="auto"/>
          <w:highlight w:val="none"/>
          <w:u w:val="single"/>
        </w:rPr>
        <w:t xml:space="preserve">     </w:t>
      </w:r>
      <w:r>
        <w:rPr>
          <w:rFonts w:hint="eastAsia" w:ascii="宋体" w:hAnsi="宋体" w:cs="宋体"/>
          <w:color w:val="auto"/>
          <w:highlight w:val="none"/>
        </w:rPr>
        <w:t>份，包括如下等内容：</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报价表；</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投标函；</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法定代表人证明书及法人授权书；</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投标保证金支付证明复印件；</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szCs w:val="21"/>
          <w:highlight w:val="none"/>
        </w:rPr>
      </w:pPr>
      <w:r>
        <w:rPr>
          <w:rFonts w:hint="eastAsia" w:ascii="宋体" w:hAnsi="宋体" w:cs="宋体"/>
          <w:color w:val="auto"/>
          <w:highlight w:val="none"/>
        </w:rPr>
        <w:t>有关确立投标人法律地位的原始文件副本复印件（如营业执照、组织代码证、税务登记证等）；</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szCs w:val="21"/>
          <w:highlight w:val="none"/>
        </w:rPr>
      </w:pPr>
      <w:r>
        <w:rPr>
          <w:rFonts w:hint="eastAsia" w:ascii="宋体" w:hAnsi="宋体" w:cs="宋体"/>
          <w:color w:val="auto"/>
          <w:highlight w:val="none"/>
        </w:rPr>
        <w:t>资格及能力证明文件；</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szCs w:val="21"/>
          <w:highlight w:val="none"/>
        </w:rPr>
      </w:pPr>
      <w:r>
        <w:rPr>
          <w:rFonts w:hint="eastAsia" w:ascii="宋体" w:hAnsi="宋体" w:cs="宋体"/>
          <w:color w:val="auto"/>
          <w:highlight w:val="none"/>
        </w:rPr>
        <w:t>商务响应文件；</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技术响应文件；</w:t>
      </w:r>
    </w:p>
    <w:p>
      <w:pPr>
        <w:numPr>
          <w:ilvl w:val="0"/>
          <w:numId w:val="4"/>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应招标文件的要求提供的其他有关文件</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我方已完全明白招标文件的所有条款要求，并重申以下几点：</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（一）我方决定参加：项目名称为</w:t>
      </w:r>
      <w:r>
        <w:rPr>
          <w:rFonts w:hint="eastAsia" w:ascii="宋体" w:hAnsi="宋体" w:cs="宋体"/>
          <w:color w:val="auto"/>
          <w:highlight w:val="none"/>
          <w:u w:val="single"/>
        </w:rPr>
        <w:t xml:space="preserve">            </w:t>
      </w:r>
      <w:r>
        <w:rPr>
          <w:rFonts w:hint="eastAsia" w:ascii="宋体" w:hAnsi="宋体" w:cs="宋体"/>
          <w:color w:val="auto"/>
          <w:highlight w:val="none"/>
        </w:rPr>
        <w:t>的投标。</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（二）有关服务的投标总价详见投标报价表。</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（三）本投标文件的有效期投标截止日后</w:t>
      </w:r>
      <w:r>
        <w:rPr>
          <w:rFonts w:hint="eastAsia" w:ascii="宋体" w:hAnsi="宋体" w:cs="宋体"/>
          <w:b/>
          <w:color w:val="auto"/>
          <w:highlight w:val="none"/>
        </w:rPr>
        <w:t>90日</w:t>
      </w:r>
      <w:r>
        <w:rPr>
          <w:rFonts w:hint="eastAsia" w:ascii="宋体" w:hAnsi="宋体" w:cs="宋体"/>
          <w:color w:val="auto"/>
          <w:highlight w:val="none"/>
        </w:rPr>
        <w:t>有效，如中标，有效期将延至合同终止日为止。</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（四）我方已详细研究了招标文件的所有内容包括修正文（如果有）和所有已提供的参考资料以及有关附件并完全明白, 我方放弃在此方面提出含糊意见或误解的一切权力。</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（五）我方明白并愿意在规定的开标时间和日期之后,投标有效期之内撤回投标, 则投标保证金将被贵方没收。</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（六）我方同意按照贵方可能提出的要求而提供与投标有关的任何其它数据或信息。</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（七）我方理解贵方不一定接受最低标价或任何贵方可能收到的投标。</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（八）我方如果中标，将保证履行招标文件以及招标文件修改书（如果有的话）中的全部责任和义务，按质、按量、按期完成《合同书》中的全部任务。</w:t>
      </w:r>
    </w:p>
    <w:p>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highlight w:val="none"/>
        </w:rPr>
        <w:t>（九）如我方被授予合同，我方就本次招标支付有关的招标服务费。</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（十）所有与本招标有关的函件请发往下列地址:</w:t>
      </w:r>
    </w:p>
    <w:p>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代表姓名：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rPr>
          <w:rFonts w:hint="eastAsia" w:ascii="宋体" w:hAnsi="宋体" w:cs="宋体"/>
          <w:color w:val="auto"/>
          <w:highlight w:val="none"/>
          <w:u w:val="single"/>
        </w:rPr>
      </w:pPr>
    </w:p>
    <w:p>
      <w:pPr>
        <w:spacing w:line="360" w:lineRule="auto"/>
        <w:ind w:left="630" w:hanging="630"/>
        <w:rPr>
          <w:rFonts w:hint="eastAsia" w:ascii="宋体" w:hAnsi="宋体" w:cs="宋体"/>
          <w:color w:val="auto"/>
          <w:highlight w:val="none"/>
        </w:rPr>
      </w:pPr>
    </w:p>
    <w:p>
      <w:pPr>
        <w:spacing w:line="360" w:lineRule="auto"/>
        <w:rPr>
          <w:rFonts w:hint="eastAsia" w:ascii="宋体" w:hAnsi="宋体" w:cs="宋体"/>
          <w:color w:val="auto"/>
          <w:highlight w:val="none"/>
          <w:u w:val="single"/>
        </w:rPr>
      </w:pPr>
    </w:p>
    <w:p>
      <w:pPr>
        <w:pStyle w:val="17"/>
        <w:ind w:left="4700" w:leftChars="2238"/>
        <w:jc w:val="left"/>
        <w:rPr>
          <w:rFonts w:hint="eastAsia" w:hAnsi="宋体" w:cs="宋体"/>
          <w:color w:val="auto"/>
          <w:highlight w:val="none"/>
        </w:rPr>
      </w:pPr>
      <w:r>
        <w:rPr>
          <w:rFonts w:hint="eastAsia" w:hAnsi="宋体" w:cs="宋体"/>
          <w:color w:val="auto"/>
          <w:highlight w:val="none"/>
        </w:rPr>
        <w:t>投标人名称:（盖章）</w:t>
      </w:r>
    </w:p>
    <w:p>
      <w:pPr>
        <w:pStyle w:val="17"/>
        <w:ind w:left="4700" w:leftChars="2238"/>
        <w:jc w:val="left"/>
        <w:rPr>
          <w:rFonts w:hint="eastAsia" w:hAnsi="宋体" w:cs="宋体"/>
          <w:color w:val="auto"/>
          <w:highlight w:val="none"/>
        </w:rPr>
      </w:pPr>
      <w:r>
        <w:rPr>
          <w:rFonts w:hint="eastAsia" w:hAnsi="宋体" w:cs="宋体"/>
          <w:color w:val="auto"/>
          <w:highlight w:val="none"/>
        </w:rPr>
        <w:t>投标人法定代表人或其授权代表（签名或盖章）：</w:t>
      </w:r>
    </w:p>
    <w:p>
      <w:pPr>
        <w:pStyle w:val="17"/>
        <w:ind w:left="4700" w:leftChars="2238"/>
        <w:jc w:val="left"/>
        <w:rPr>
          <w:rFonts w:hint="eastAsia" w:hAnsi="宋体" w:cs="宋体"/>
          <w:color w:val="auto"/>
          <w:szCs w:val="21"/>
          <w:highlight w:val="none"/>
        </w:rPr>
      </w:pPr>
      <w:r>
        <w:rPr>
          <w:rFonts w:hint="eastAsia" w:hAnsi="宋体" w:cs="宋体"/>
          <w:color w:val="auto"/>
          <w:highlight w:val="none"/>
        </w:rPr>
        <w:t>日期：    年   月   日</w:t>
      </w:r>
    </w:p>
    <w:p>
      <w:pPr>
        <w:spacing w:line="360" w:lineRule="auto"/>
        <w:ind w:left="721"/>
        <w:rPr>
          <w:rFonts w:hint="eastAsia" w:ascii="宋体" w:hAnsi="宋体" w:cs="宋体"/>
          <w:color w:val="auto"/>
          <w:highlight w:val="none"/>
          <w:u w:val="singl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tabs>
          <w:tab w:val="left" w:pos="4320"/>
        </w:tabs>
        <w:rPr>
          <w:rFonts w:hint="eastAsia" w:ascii="宋体" w:hAnsi="宋体" w:cs="宋体"/>
          <w:color w:val="auto"/>
          <w:highlight w:val="none"/>
        </w:rPr>
      </w:pPr>
    </w:p>
    <w:p>
      <w:pPr>
        <w:rPr>
          <w:rFonts w:hint="eastAsia" w:ascii="宋体" w:hAnsi="宋体" w:cs="宋体"/>
          <w:color w:val="auto"/>
          <w:highlight w:val="none"/>
        </w:rPr>
      </w:pPr>
      <w:bookmarkStart w:id="101" w:name="_Toc496161873"/>
      <w:bookmarkStart w:id="102" w:name="_Toc118018365"/>
      <w:r>
        <w:rPr>
          <w:rFonts w:hint="eastAsia" w:ascii="宋体" w:hAnsi="宋体" w:cs="宋体"/>
          <w:color w:val="auto"/>
          <w:highlight w:val="none"/>
        </w:rPr>
        <w:br w:type="page"/>
      </w:r>
      <w:bookmarkStart w:id="103" w:name="_Toc476177991"/>
      <w:bookmarkStart w:id="104" w:name="_Toc455417783"/>
      <w:bookmarkStart w:id="105" w:name="_Toc476177432"/>
    </w:p>
    <w:p>
      <w:pPr>
        <w:pStyle w:val="5"/>
        <w:numPr>
          <w:ilvl w:val="0"/>
          <w:numId w:val="0"/>
        </w:numPr>
        <w:ind w:left="422"/>
        <w:rPr>
          <w:rFonts w:hint="eastAsia" w:hAnsi="宋体" w:cs="宋体"/>
          <w:b w:val="0"/>
          <w:bCs/>
          <w:color w:val="auto"/>
          <w:highlight w:val="none"/>
        </w:rPr>
      </w:pPr>
      <w:bookmarkStart w:id="106" w:name="_Toc477186330"/>
      <w:bookmarkStart w:id="107" w:name="_Toc477185969"/>
      <w:r>
        <w:rPr>
          <w:rFonts w:hint="eastAsia" w:hAnsi="宋体" w:cs="宋体"/>
          <w:b w:val="0"/>
          <w:bCs/>
          <w:color w:val="auto"/>
          <w:highlight w:val="none"/>
        </w:rPr>
        <w:t>（2）法定代表人证明书</w:t>
      </w:r>
      <w:bookmarkEnd w:id="101"/>
      <w:r>
        <w:rPr>
          <w:rFonts w:hint="eastAsia" w:hAnsi="宋体" w:cs="宋体"/>
          <w:b w:val="0"/>
          <w:bCs/>
          <w:color w:val="auto"/>
          <w:highlight w:val="none"/>
        </w:rPr>
        <w:t>及法定代表人授权书</w:t>
      </w:r>
      <w:bookmarkEnd w:id="102"/>
      <w:bookmarkEnd w:id="103"/>
      <w:bookmarkEnd w:id="104"/>
      <w:bookmarkEnd w:id="105"/>
      <w:bookmarkEnd w:id="106"/>
      <w:bookmarkEnd w:id="107"/>
    </w:p>
    <w:p>
      <w:pPr>
        <w:widowControl/>
        <w:jc w:val="left"/>
        <w:rPr>
          <w:rFonts w:hint="eastAsia" w:ascii="宋体" w:hAnsi="宋体" w:cs="宋体"/>
          <w:color w:val="auto"/>
          <w:highlight w:val="none"/>
        </w:rPr>
      </w:pP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（投标人可使用下述格式，也可使用广东省工商行政管理局统一印制的法定代表人证明书格式）</w:t>
      </w:r>
    </w:p>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pPr>
        <w:spacing w:line="360" w:lineRule="auto"/>
        <w:rPr>
          <w:rFonts w:hint="eastAsia" w:ascii="宋体" w:hAnsi="宋体" w:cs="宋体"/>
          <w:bCs/>
          <w:color w:val="auto"/>
          <w:szCs w:val="21"/>
          <w:highlight w:val="none"/>
          <w:u w:val="single"/>
        </w:rPr>
      </w:pP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u w:val="single"/>
        </w:rPr>
        <w:t>（姓名）</w:t>
      </w:r>
      <w:r>
        <w:rPr>
          <w:rFonts w:hint="eastAsia" w:ascii="宋体" w:hAnsi="宋体" w:cs="宋体"/>
          <w:bCs/>
          <w:color w:val="auto"/>
          <w:szCs w:val="21"/>
          <w:highlight w:val="none"/>
        </w:rPr>
        <w:t>现任我单位</w:t>
      </w:r>
      <w:r>
        <w:rPr>
          <w:rFonts w:hint="eastAsia" w:ascii="宋体" w:hAnsi="宋体" w:cs="宋体"/>
          <w:bCs/>
          <w:color w:val="auto"/>
          <w:szCs w:val="21"/>
          <w:highlight w:val="none"/>
          <w:u w:val="single"/>
        </w:rPr>
        <w:t>（职务）</w:t>
      </w:r>
      <w:r>
        <w:rPr>
          <w:rFonts w:hint="eastAsia" w:ascii="宋体" w:hAnsi="宋体" w:cs="宋体"/>
          <w:bCs/>
          <w:color w:val="auto"/>
          <w:szCs w:val="21"/>
          <w:highlight w:val="none"/>
        </w:rPr>
        <w:t>，为我司</w:t>
      </w:r>
      <w:r>
        <w:rPr>
          <w:rFonts w:hint="eastAsia" w:ascii="宋体" w:hAnsi="宋体" w:cs="宋体"/>
          <w:bCs/>
          <w:color w:val="auto"/>
          <w:szCs w:val="21"/>
          <w:highlight w:val="none"/>
          <w:u w:val="single"/>
        </w:rPr>
        <w:t>（单位名称）</w:t>
      </w:r>
      <w:r>
        <w:rPr>
          <w:rFonts w:hint="eastAsia" w:ascii="宋体" w:hAnsi="宋体" w:cs="宋体"/>
          <w:bCs/>
          <w:color w:val="auto"/>
          <w:szCs w:val="21"/>
          <w:highlight w:val="none"/>
        </w:rPr>
        <w:t>法定代表人，特此证明。</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有效期限：</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附：代表人性别：年龄：身份证号码：___________________________</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企业注册号码：企业类型：_____________________________________ </w:t>
      </w:r>
    </w:p>
    <w:p>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经营范围：</w:t>
      </w:r>
    </w:p>
    <w:p>
      <w:pPr>
        <w:spacing w:line="360" w:lineRule="auto"/>
        <w:jc w:val="left"/>
        <w:rPr>
          <w:rFonts w:hint="eastAsia" w:ascii="宋体" w:hAnsi="宋体" w:cs="宋体"/>
          <w:b/>
          <w:color w:val="auto"/>
          <w:szCs w:val="21"/>
          <w:highlight w:val="none"/>
          <w:u w:val="single"/>
        </w:rPr>
      </w:pPr>
      <w:r>
        <w:rPr>
          <w:rFonts w:hint="eastAsia" w:ascii="宋体" w:hAnsi="宋体" w:cs="宋体"/>
          <w:bCs/>
          <w:color w:val="auto"/>
          <w:szCs w:val="21"/>
          <w:highlight w:val="none"/>
        </w:rPr>
        <w:t>______________________________________________________。</w:t>
      </w:r>
    </w:p>
    <w:p>
      <w:pPr>
        <w:spacing w:line="360" w:lineRule="auto"/>
        <w:rPr>
          <w:rFonts w:hint="eastAsia" w:ascii="宋体" w:hAnsi="宋体" w:cs="宋体"/>
          <w:b/>
          <w:color w:val="auto"/>
          <w:szCs w:val="21"/>
          <w:highlight w:val="none"/>
        </w:rPr>
      </w:pPr>
    </w:p>
    <w:p>
      <w:pPr>
        <w:pStyle w:val="17"/>
        <w:ind w:left="4700" w:leftChars="2238"/>
        <w:jc w:val="left"/>
        <w:rPr>
          <w:rFonts w:hint="eastAsia" w:hAnsi="宋体" w:cs="宋体"/>
          <w:color w:val="auto"/>
          <w:highlight w:val="none"/>
        </w:rPr>
      </w:pPr>
      <w:r>
        <w:rPr>
          <w:rFonts w:hint="eastAsia" w:hAnsi="宋体" w:cs="宋体"/>
          <w:color w:val="auto"/>
          <w:highlight w:val="none"/>
        </w:rPr>
        <w:t>投标人名称:（盖章）</w:t>
      </w:r>
    </w:p>
    <w:p>
      <w:pPr>
        <w:pStyle w:val="17"/>
        <w:ind w:left="4700" w:leftChars="2238"/>
        <w:jc w:val="left"/>
        <w:rPr>
          <w:rFonts w:hint="eastAsia" w:hAnsi="宋体" w:cs="宋体"/>
          <w:color w:val="auto"/>
          <w:szCs w:val="21"/>
          <w:highlight w:val="none"/>
        </w:rPr>
      </w:pPr>
      <w:r>
        <w:rPr>
          <w:rFonts w:hint="eastAsia" w:hAnsi="宋体" w:cs="宋体"/>
          <w:color w:val="auto"/>
          <w:highlight w:val="none"/>
        </w:rPr>
        <w:t>日期：    年   月   日</w:t>
      </w:r>
    </w:p>
    <w:p>
      <w:pPr>
        <w:rPr>
          <w:rFonts w:hint="eastAsia" w:ascii="宋体" w:hAnsi="宋体" w:cs="宋体"/>
          <w:color w:val="auto"/>
          <w:sz w:val="28"/>
          <w:szCs w:val="28"/>
          <w:highlight w:val="none"/>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noWrap w:val="0"/>
            <w:vAlign w:val="center"/>
          </w:tcPr>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粘贴法定代表人身份证复印件</w:t>
            </w:r>
          </w:p>
        </w:tc>
      </w:tr>
    </w:tbl>
    <w:p>
      <w:pPr>
        <w:spacing w:line="360" w:lineRule="auto"/>
        <w:rPr>
          <w:rFonts w:hint="eastAsia" w:ascii="宋体" w:hAnsi="宋体" w:cs="宋体"/>
          <w:color w:val="auto"/>
          <w:highlight w:val="none"/>
        </w:rPr>
      </w:pPr>
      <w:r>
        <w:rPr>
          <w:rFonts w:hint="eastAsia" w:ascii="宋体" w:hAnsi="宋体" w:cs="宋体"/>
          <w:color w:val="auto"/>
          <w:highlight w:val="none"/>
        </w:rPr>
        <w:br w:type="page"/>
      </w:r>
    </w:p>
    <w:p>
      <w:pPr>
        <w:spacing w:line="360" w:lineRule="auto"/>
        <w:jc w:val="center"/>
        <w:rPr>
          <w:rFonts w:hint="eastAsia" w:ascii="宋体" w:hAnsi="宋体" w:cs="宋体"/>
          <w:b/>
          <w:bCs/>
          <w:color w:val="auto"/>
          <w:sz w:val="30"/>
          <w:highlight w:val="none"/>
        </w:rPr>
      </w:pPr>
      <w:r>
        <w:rPr>
          <w:rFonts w:hint="eastAsia" w:ascii="宋体" w:hAnsi="宋体" w:cs="宋体"/>
          <w:b/>
          <w:bCs/>
          <w:color w:val="auto"/>
          <w:sz w:val="30"/>
          <w:highlight w:val="none"/>
        </w:rPr>
        <w:t>法定代表人授权书</w:t>
      </w:r>
    </w:p>
    <w:p>
      <w:pPr>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szCs w:val="21"/>
          <w:highlight w:val="none"/>
        </w:rPr>
        <w:t>广东省机电设备招标有限公司</w:t>
      </w:r>
    </w:p>
    <w:p>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本授权书声明：注册于</w:t>
      </w:r>
      <w:r>
        <w:rPr>
          <w:rFonts w:hint="eastAsia" w:ascii="宋体" w:hAnsi="宋体" w:cs="宋体"/>
          <w:color w:val="auto"/>
          <w:highlight w:val="none"/>
          <w:u w:val="single"/>
        </w:rPr>
        <w:t>（国家或地区）</w:t>
      </w:r>
      <w:r>
        <w:rPr>
          <w:rFonts w:hint="eastAsia" w:ascii="宋体" w:hAnsi="宋体" w:cs="宋体"/>
          <w:color w:val="auto"/>
          <w:highlight w:val="none"/>
        </w:rPr>
        <w:t>的</w:t>
      </w:r>
      <w:r>
        <w:rPr>
          <w:rFonts w:hint="eastAsia" w:ascii="宋体" w:hAnsi="宋体" w:cs="宋体"/>
          <w:color w:val="auto"/>
          <w:highlight w:val="none"/>
          <w:u w:val="single"/>
        </w:rPr>
        <w:t>（投标人名称）</w:t>
      </w:r>
      <w:r>
        <w:rPr>
          <w:rFonts w:hint="eastAsia" w:ascii="宋体" w:hAnsi="宋体" w:cs="宋体"/>
          <w:color w:val="auto"/>
          <w:highlight w:val="none"/>
        </w:rPr>
        <w:t>的在下面签字的</w:t>
      </w:r>
      <w:r>
        <w:rPr>
          <w:rFonts w:hint="eastAsia" w:ascii="宋体" w:hAnsi="宋体" w:cs="宋体"/>
          <w:color w:val="auto"/>
          <w:highlight w:val="none"/>
          <w:u w:val="single"/>
        </w:rPr>
        <w:t>（法定代表人的姓名、职务）</w:t>
      </w:r>
      <w:r>
        <w:rPr>
          <w:rFonts w:hint="eastAsia" w:ascii="宋体" w:hAnsi="宋体" w:cs="宋体"/>
          <w:color w:val="auto"/>
          <w:highlight w:val="none"/>
        </w:rPr>
        <w:t>代表本公司授权在下面签字的</w:t>
      </w:r>
      <w:r>
        <w:rPr>
          <w:rFonts w:hint="eastAsia" w:ascii="宋体" w:hAnsi="宋体" w:cs="宋体"/>
          <w:color w:val="auto"/>
          <w:highlight w:val="none"/>
          <w:u w:val="single"/>
        </w:rPr>
        <w:t>（被授权人的姓名、职务）</w:t>
      </w:r>
      <w:r>
        <w:rPr>
          <w:rFonts w:hint="eastAsia" w:ascii="宋体" w:hAnsi="宋体" w:cs="宋体"/>
          <w:color w:val="auto"/>
          <w:highlight w:val="none"/>
        </w:rPr>
        <w:t>为本公司的合法代表人，就“项目名称：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招标的投标和合同执行，以我方的名义处理一切与之有关的事宜。</w:t>
      </w:r>
    </w:p>
    <w:p>
      <w:pPr>
        <w:spacing w:line="276"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本授权书于 年 月 日签字生效，特此证明。</w:t>
      </w:r>
    </w:p>
    <w:p>
      <w:pPr>
        <w:spacing w:line="480" w:lineRule="auto"/>
        <w:ind w:firstLine="4740"/>
        <w:rPr>
          <w:rFonts w:hint="eastAsia" w:ascii="宋体" w:hAnsi="宋体" w:cs="宋体"/>
          <w:color w:val="auto"/>
          <w:highlight w:val="none"/>
        </w:rPr>
      </w:pPr>
      <w:r>
        <w:rPr>
          <w:rFonts w:hint="eastAsia" w:ascii="宋体" w:hAnsi="宋体" w:cs="宋体"/>
          <w:color w:val="auto"/>
          <w:highlight w:val="none"/>
        </w:rPr>
        <w:t>投标人名称:（盖章）：</w:t>
      </w:r>
    </w:p>
    <w:p>
      <w:pPr>
        <w:spacing w:line="480" w:lineRule="auto"/>
        <w:ind w:firstLine="4740"/>
        <w:rPr>
          <w:rFonts w:hint="eastAsia" w:ascii="宋体" w:hAnsi="宋体" w:cs="宋体"/>
          <w:color w:val="auto"/>
          <w:highlight w:val="none"/>
        </w:rPr>
      </w:pPr>
      <w:r>
        <w:rPr>
          <w:rFonts w:hint="eastAsia" w:ascii="宋体" w:hAnsi="宋体" w:cs="宋体"/>
          <w:color w:val="auto"/>
          <w:highlight w:val="none"/>
        </w:rPr>
        <w:t>法定代表人（签字或盖章）：</w:t>
      </w:r>
    </w:p>
    <w:p>
      <w:pPr>
        <w:spacing w:line="480" w:lineRule="auto"/>
        <w:ind w:firstLine="4740"/>
        <w:rPr>
          <w:rFonts w:hint="eastAsia" w:ascii="宋体" w:hAnsi="宋体" w:cs="宋体"/>
          <w:color w:val="auto"/>
          <w:highlight w:val="none"/>
        </w:rPr>
      </w:pPr>
      <w:r>
        <w:rPr>
          <w:rFonts w:hint="eastAsia" w:ascii="宋体" w:hAnsi="宋体" w:cs="宋体"/>
          <w:color w:val="auto"/>
          <w:highlight w:val="none"/>
        </w:rPr>
        <w:t>职务：</w:t>
      </w:r>
    </w:p>
    <w:p>
      <w:pPr>
        <w:spacing w:line="480" w:lineRule="auto"/>
        <w:ind w:firstLine="4740"/>
        <w:rPr>
          <w:rFonts w:hint="eastAsia" w:ascii="宋体" w:hAnsi="宋体" w:cs="宋体"/>
          <w:color w:val="auto"/>
          <w:highlight w:val="none"/>
        </w:rPr>
      </w:pPr>
    </w:p>
    <w:p>
      <w:pPr>
        <w:spacing w:line="480" w:lineRule="auto"/>
        <w:ind w:firstLine="4740"/>
        <w:rPr>
          <w:rFonts w:hint="eastAsia" w:ascii="宋体" w:hAnsi="宋体" w:cs="宋体"/>
          <w:color w:val="auto"/>
          <w:highlight w:val="none"/>
        </w:rPr>
      </w:pPr>
      <w:r>
        <w:rPr>
          <w:rFonts w:hint="eastAsia" w:ascii="宋体" w:hAnsi="宋体" w:cs="宋体"/>
          <w:color w:val="auto"/>
          <w:highlight w:val="none"/>
        </w:rPr>
        <w:t>被授权人（签字或盖章）：</w:t>
      </w:r>
    </w:p>
    <w:p>
      <w:pPr>
        <w:spacing w:line="480" w:lineRule="auto"/>
        <w:ind w:firstLine="4740"/>
        <w:rPr>
          <w:rFonts w:hint="eastAsia" w:ascii="宋体" w:hAnsi="宋体" w:cs="宋体"/>
          <w:color w:val="auto"/>
          <w:highlight w:val="none"/>
        </w:rPr>
      </w:pPr>
      <w:r>
        <w:rPr>
          <w:rFonts w:hint="eastAsia" w:ascii="宋体" w:hAnsi="宋体" w:cs="宋体"/>
          <w:color w:val="auto"/>
          <w:highlight w:val="none"/>
        </w:rPr>
        <w:t>被授权人身份证号码：</w:t>
      </w:r>
    </w:p>
    <w:p>
      <w:pPr>
        <w:spacing w:line="480" w:lineRule="auto"/>
        <w:ind w:firstLine="4740"/>
        <w:rPr>
          <w:rFonts w:hint="eastAsia" w:ascii="宋体" w:hAnsi="宋体" w:cs="宋体"/>
          <w:color w:val="auto"/>
          <w:highlight w:val="none"/>
        </w:rPr>
      </w:pPr>
      <w:r>
        <w:rPr>
          <w:rFonts w:hint="eastAsia" w:ascii="宋体" w:hAnsi="宋体" w:cs="宋体"/>
          <w:color w:val="auto"/>
          <w:highlight w:val="none"/>
        </w:rPr>
        <w:t>职务：</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noWrap w:val="0"/>
            <w:vAlign w:val="center"/>
          </w:tcPr>
          <w:p>
            <w:pPr>
              <w:spacing w:line="360" w:lineRule="auto"/>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粘贴被授权人身份证复印件</w:t>
            </w:r>
          </w:p>
        </w:tc>
      </w:tr>
    </w:tbl>
    <w:p>
      <w:pPr>
        <w:widowControl/>
        <w:jc w:val="left"/>
        <w:rPr>
          <w:rFonts w:hint="eastAsia" w:ascii="宋体" w:hAnsi="宋体" w:cs="宋体"/>
          <w:bCs/>
          <w:color w:val="auto"/>
          <w:sz w:val="28"/>
          <w:szCs w:val="28"/>
          <w:highlight w:val="none"/>
        </w:rPr>
      </w:pPr>
      <w:r>
        <w:rPr>
          <w:rFonts w:hint="eastAsia" w:ascii="宋体" w:hAnsi="宋体" w:cs="宋体"/>
          <w:color w:val="auto"/>
          <w:highlight w:val="none"/>
        </w:rPr>
        <w:br w:type="page"/>
      </w:r>
    </w:p>
    <w:p>
      <w:pPr>
        <w:spacing w:line="480" w:lineRule="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（3）资格声明格式</w:t>
      </w:r>
    </w:p>
    <w:p>
      <w:pPr>
        <w:spacing w:before="12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资格声明</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广东省机电设备招标有限公司：</w:t>
      </w:r>
    </w:p>
    <w:p>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下述投标人愿响应你方</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投标邀请，参与投标，并按招标文件要求提交所附资格文件且声明和保证如下：</w:t>
      </w:r>
    </w:p>
    <w:p>
      <w:pPr>
        <w:numPr>
          <w:ilvl w:val="0"/>
          <w:numId w:val="5"/>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我方为本次投标所提交的所有证明其合格和资格的文件是真实的和正确的，并愿为其真实性和正确性承担法律责任；</w:t>
      </w:r>
    </w:p>
    <w:p>
      <w:pPr>
        <w:numPr>
          <w:ilvl w:val="0"/>
          <w:numId w:val="5"/>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我方是依法注册的法人，在法律上、财务上和运作上完全独立于</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及广东省机电设备招标有限公司（招标代理机构）；</w:t>
      </w:r>
    </w:p>
    <w:p>
      <w:pPr>
        <w:numPr>
          <w:ilvl w:val="0"/>
          <w:numId w:val="5"/>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我方所属的单位负责人为同一人或者存在控股、管理等关联关系的不同供应商，未参加同一合同项下的采购活动。</w:t>
      </w:r>
    </w:p>
    <w:p>
      <w:pPr>
        <w:numPr>
          <w:ilvl w:val="0"/>
          <w:numId w:val="5"/>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单位地址为同一地址的不同投标人，未参与同一合同项下的采购活动。</w:t>
      </w:r>
    </w:p>
    <w:p>
      <w:pPr>
        <w:numPr>
          <w:ilvl w:val="0"/>
          <w:numId w:val="5"/>
        </w:numPr>
        <w:tabs>
          <w:tab w:val="left" w:pos="515"/>
        </w:tabs>
        <w:spacing w:line="360" w:lineRule="auto"/>
        <w:ind w:left="0" w:firstLine="515"/>
        <w:rPr>
          <w:rFonts w:hint="eastAsia" w:ascii="宋体" w:hAnsi="宋体" w:eastAsia="宋体" w:cs="宋体"/>
          <w:strike w:val="0"/>
          <w:color w:val="0000FF"/>
          <w:szCs w:val="21"/>
          <w:highlight w:val="none"/>
          <w:lang w:eastAsia="zh-CN"/>
        </w:rPr>
      </w:pPr>
      <w:r>
        <w:rPr>
          <w:rFonts w:hint="eastAsia" w:ascii="宋体" w:hAnsi="宋体" w:cs="宋体"/>
          <w:bCs/>
          <w:color w:val="auto"/>
          <w:kern w:val="28"/>
          <w:szCs w:val="22"/>
          <w:highlight w:val="none"/>
          <w:lang w:val="en-US" w:eastAsia="zh-CN"/>
        </w:rPr>
        <w:t>我方参加采购活动前3年内，在经</w:t>
      </w:r>
      <w:r>
        <w:rPr>
          <w:rFonts w:hint="eastAsia" w:ascii="宋体" w:hAnsi="宋体" w:cs="宋体"/>
          <w:bCs/>
          <w:color w:val="000000"/>
          <w:kern w:val="28"/>
          <w:szCs w:val="22"/>
          <w:highlight w:val="none"/>
          <w:lang w:val="en-US" w:eastAsia="zh-CN"/>
        </w:rPr>
        <w:t>营活动中没有重大违法记录。</w:t>
      </w:r>
    </w:p>
    <w:p>
      <w:pPr>
        <w:spacing w:line="360" w:lineRule="auto"/>
        <w:ind w:firstLine="3990" w:firstLineChars="1900"/>
        <w:rPr>
          <w:rFonts w:hint="eastAsia" w:ascii="宋体" w:hAnsi="宋体" w:cs="宋体"/>
          <w:color w:val="auto"/>
          <w:highlight w:val="none"/>
        </w:rPr>
      </w:pPr>
    </w:p>
    <w:p>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pPr>
        <w:spacing w:line="480" w:lineRule="auto"/>
        <w:ind w:firstLine="3990" w:firstLineChars="1900"/>
        <w:rPr>
          <w:rFonts w:hint="eastAsia" w:ascii="宋体" w:hAnsi="宋体" w:cs="宋体"/>
          <w:color w:val="auto"/>
          <w:highlight w:val="none"/>
          <w:u w:val="single"/>
        </w:rPr>
      </w:pPr>
    </w:p>
    <w:p>
      <w:pPr>
        <w:pStyle w:val="7"/>
        <w:spacing w:before="0" w:after="0" w:line="360" w:lineRule="auto"/>
        <w:ind w:left="0" w:firstLine="0"/>
        <w:rPr>
          <w:rFonts w:hint="eastAsia" w:ascii="宋体" w:hAnsi="宋体" w:cs="宋体"/>
          <w:b w:val="0"/>
          <w:bCs/>
          <w:color w:val="auto"/>
          <w:szCs w:val="21"/>
          <w:highlight w:val="none"/>
        </w:rPr>
      </w:pPr>
      <w:r>
        <w:rPr>
          <w:rFonts w:hint="eastAsia" w:ascii="宋体" w:hAnsi="宋体" w:cs="宋体"/>
          <w:color w:val="auto"/>
          <w:highlight w:val="none"/>
        </w:rPr>
        <w:br w:type="page"/>
      </w:r>
      <w:r>
        <w:rPr>
          <w:rFonts w:hint="eastAsia" w:ascii="宋体" w:hAnsi="宋体" w:cs="宋体"/>
          <w:b w:val="0"/>
          <w:bCs/>
          <w:color w:val="auto"/>
          <w:szCs w:val="28"/>
          <w:highlight w:val="none"/>
        </w:rPr>
        <w:t>（4）其他资格证明材料</w:t>
      </w:r>
    </w:p>
    <w:p>
      <w:pPr>
        <w:spacing w:line="480" w:lineRule="auto"/>
        <w:rPr>
          <w:rFonts w:hint="eastAsia" w:ascii="宋体" w:hAnsi="宋体" w:cs="宋体"/>
          <w:color w:val="auto"/>
          <w:highlight w:val="none"/>
        </w:rPr>
      </w:pPr>
      <w:r>
        <w:rPr>
          <w:rFonts w:hint="eastAsia" w:ascii="宋体" w:hAnsi="宋体" w:cs="宋体"/>
          <w:color w:val="auto"/>
          <w:highlight w:val="none"/>
        </w:rPr>
        <w:t>根据合格投标人资格条件提供证明材料</w:t>
      </w:r>
    </w:p>
    <w:p>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 w:val="0"/>
          <w:color w:val="auto"/>
          <w:highlight w:val="none"/>
        </w:rPr>
        <w:br w:type="page"/>
      </w:r>
      <w:r>
        <w:rPr>
          <w:rFonts w:hint="eastAsia" w:ascii="宋体" w:hAnsi="宋体" w:cs="宋体"/>
          <w:bCs/>
          <w:color w:val="auto"/>
          <w:sz w:val="28"/>
          <w:szCs w:val="28"/>
          <w:highlight w:val="none"/>
        </w:rPr>
        <w:t>五、商务文件格式</w:t>
      </w:r>
    </w:p>
    <w:p>
      <w:pPr>
        <w:pStyle w:val="6"/>
        <w:spacing w:before="0" w:after="0"/>
        <w:ind w:left="0" w:firstLine="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（一）企业状况</w:t>
      </w:r>
    </w:p>
    <w:p>
      <w:pPr>
        <w:pStyle w:val="7"/>
        <w:spacing w:before="0" w:after="0"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（1）企业基本情况介绍</w:t>
      </w:r>
    </w:p>
    <w:tbl>
      <w:tblPr>
        <w:tblStyle w:val="25"/>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5531" w:type="dxa"/>
            <w:gridSpan w:val="7"/>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（如有）</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1、各类注册人员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2、高级职称人员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3、中级职称人员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实缴资金（资本）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4、初级职称人员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1-4人员合计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委托代理人姓名</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固定电话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手   机</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箱</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noWrap w:val="0"/>
            <w:vAlign w:val="center"/>
          </w:tcPr>
          <w:p>
            <w:pPr>
              <w:topLinePunct/>
              <w:snapToGrid w:val="0"/>
              <w:spacing w:line="360" w:lineRule="auto"/>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后附证明文件</w:t>
            </w:r>
          </w:p>
        </w:tc>
        <w:tc>
          <w:tcPr>
            <w:tcW w:w="7691" w:type="dxa"/>
            <w:gridSpan w:val="9"/>
            <w:tcBorders>
              <w:top w:val="single" w:color="auto" w:sz="4" w:space="0"/>
              <w:left w:val="single" w:color="auto" w:sz="4" w:space="0"/>
              <w:right w:val="single" w:color="auto" w:sz="4" w:space="0"/>
            </w:tcBorders>
            <w:noWrap w:val="0"/>
            <w:vAlign w:val="center"/>
          </w:tcPr>
          <w:p>
            <w:pPr>
              <w:tabs>
                <w:tab w:val="left" w:pos="900"/>
                <w:tab w:val="left" w:pos="1080"/>
              </w:tabs>
              <w:snapToGrid w:val="0"/>
              <w:spacing w:line="360" w:lineRule="auto"/>
              <w:rPr>
                <w:rFonts w:hint="eastAsia" w:ascii="宋体" w:hAnsi="宋体" w:cs="宋体"/>
                <w:color w:val="auto"/>
                <w:highlight w:val="none"/>
              </w:rPr>
            </w:pPr>
            <w:r>
              <w:rPr>
                <w:rFonts w:hint="eastAsia" w:ascii="宋体" w:hAnsi="宋体" w:cs="宋体"/>
                <w:color w:val="auto"/>
                <w:highlight w:val="none"/>
              </w:rPr>
              <w:t>1、投标人介绍；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360" w:lineRule="auto"/>
              <w:jc w:val="center"/>
              <w:rPr>
                <w:rFonts w:hint="eastAsia" w:ascii="宋体" w:hAnsi="宋体" w:cs="宋体"/>
                <w:color w:val="auto"/>
                <w:szCs w:val="21"/>
                <w:highlight w:val="none"/>
              </w:rPr>
            </w:pPr>
          </w:p>
        </w:tc>
      </w:tr>
    </w:tbl>
    <w:p>
      <w:pPr>
        <w:pStyle w:val="7"/>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color w:val="auto"/>
          <w:sz w:val="21"/>
          <w:szCs w:val="21"/>
          <w:highlight w:val="none"/>
        </w:rPr>
        <w:t>（2）企业类似项目业绩证明材料</w:t>
      </w:r>
    </w:p>
    <w:p>
      <w:pPr>
        <w:spacing w:line="360" w:lineRule="auto"/>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业绩表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1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74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174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1419"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206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pPr>
              <w:spacing w:line="360" w:lineRule="auto"/>
              <w:rPr>
                <w:rFonts w:hint="eastAsia" w:ascii="宋体" w:hAnsi="宋体" w:cs="宋体"/>
                <w:color w:val="auto"/>
                <w:szCs w:val="21"/>
                <w:highlight w:val="none"/>
              </w:rPr>
            </w:pPr>
          </w:p>
        </w:tc>
        <w:tc>
          <w:tcPr>
            <w:tcW w:w="1712" w:type="dxa"/>
            <w:noWrap w:val="0"/>
            <w:vAlign w:val="top"/>
          </w:tcPr>
          <w:p>
            <w:pPr>
              <w:spacing w:line="360" w:lineRule="auto"/>
              <w:rPr>
                <w:rFonts w:hint="eastAsia" w:ascii="宋体" w:hAnsi="宋体" w:cs="宋体"/>
                <w:color w:val="auto"/>
                <w:szCs w:val="21"/>
                <w:highlight w:val="none"/>
              </w:rPr>
            </w:pPr>
          </w:p>
        </w:tc>
        <w:tc>
          <w:tcPr>
            <w:tcW w:w="1742" w:type="dxa"/>
            <w:noWrap w:val="0"/>
            <w:vAlign w:val="top"/>
          </w:tcPr>
          <w:p>
            <w:pPr>
              <w:spacing w:line="360" w:lineRule="auto"/>
              <w:rPr>
                <w:rFonts w:hint="eastAsia" w:ascii="宋体" w:hAnsi="宋体" w:cs="宋体"/>
                <w:color w:val="auto"/>
                <w:szCs w:val="21"/>
                <w:highlight w:val="none"/>
              </w:rPr>
            </w:pPr>
          </w:p>
        </w:tc>
        <w:tc>
          <w:tcPr>
            <w:tcW w:w="1740" w:type="dxa"/>
            <w:noWrap w:val="0"/>
            <w:vAlign w:val="top"/>
          </w:tcPr>
          <w:p>
            <w:pPr>
              <w:spacing w:line="360" w:lineRule="auto"/>
              <w:rPr>
                <w:rFonts w:hint="eastAsia" w:ascii="宋体" w:hAnsi="宋体" w:cs="宋体"/>
                <w:color w:val="auto"/>
                <w:szCs w:val="21"/>
                <w:highlight w:val="none"/>
              </w:rPr>
            </w:pPr>
          </w:p>
        </w:tc>
        <w:tc>
          <w:tcPr>
            <w:tcW w:w="1419" w:type="dxa"/>
            <w:noWrap w:val="0"/>
            <w:vAlign w:val="top"/>
          </w:tcPr>
          <w:p>
            <w:pPr>
              <w:spacing w:line="360" w:lineRule="auto"/>
              <w:rPr>
                <w:rFonts w:hint="eastAsia" w:ascii="宋体" w:hAnsi="宋体" w:cs="宋体"/>
                <w:color w:val="auto"/>
                <w:szCs w:val="21"/>
                <w:highlight w:val="none"/>
              </w:rPr>
            </w:pPr>
          </w:p>
        </w:tc>
        <w:tc>
          <w:tcPr>
            <w:tcW w:w="2062"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pPr>
              <w:spacing w:line="360" w:lineRule="auto"/>
              <w:rPr>
                <w:rFonts w:hint="eastAsia" w:ascii="宋体" w:hAnsi="宋体" w:cs="宋体"/>
                <w:color w:val="auto"/>
                <w:szCs w:val="21"/>
                <w:highlight w:val="none"/>
              </w:rPr>
            </w:pPr>
          </w:p>
        </w:tc>
        <w:tc>
          <w:tcPr>
            <w:tcW w:w="1712" w:type="dxa"/>
            <w:noWrap w:val="0"/>
            <w:vAlign w:val="top"/>
          </w:tcPr>
          <w:p>
            <w:pPr>
              <w:spacing w:line="360" w:lineRule="auto"/>
              <w:rPr>
                <w:rFonts w:hint="eastAsia" w:ascii="宋体" w:hAnsi="宋体" w:cs="宋体"/>
                <w:color w:val="auto"/>
                <w:szCs w:val="21"/>
                <w:highlight w:val="none"/>
              </w:rPr>
            </w:pPr>
          </w:p>
        </w:tc>
        <w:tc>
          <w:tcPr>
            <w:tcW w:w="1742" w:type="dxa"/>
            <w:noWrap w:val="0"/>
            <w:vAlign w:val="top"/>
          </w:tcPr>
          <w:p>
            <w:pPr>
              <w:spacing w:line="360" w:lineRule="auto"/>
              <w:rPr>
                <w:rFonts w:hint="eastAsia" w:ascii="宋体" w:hAnsi="宋体" w:cs="宋体"/>
                <w:color w:val="auto"/>
                <w:szCs w:val="21"/>
                <w:highlight w:val="none"/>
              </w:rPr>
            </w:pPr>
          </w:p>
        </w:tc>
        <w:tc>
          <w:tcPr>
            <w:tcW w:w="1740" w:type="dxa"/>
            <w:noWrap w:val="0"/>
            <w:vAlign w:val="top"/>
          </w:tcPr>
          <w:p>
            <w:pPr>
              <w:spacing w:line="360" w:lineRule="auto"/>
              <w:rPr>
                <w:rFonts w:hint="eastAsia" w:ascii="宋体" w:hAnsi="宋体" w:cs="宋体"/>
                <w:color w:val="auto"/>
                <w:szCs w:val="21"/>
                <w:highlight w:val="none"/>
              </w:rPr>
            </w:pPr>
          </w:p>
        </w:tc>
        <w:tc>
          <w:tcPr>
            <w:tcW w:w="1419" w:type="dxa"/>
            <w:noWrap w:val="0"/>
            <w:vAlign w:val="top"/>
          </w:tcPr>
          <w:p>
            <w:pPr>
              <w:spacing w:line="360" w:lineRule="auto"/>
              <w:rPr>
                <w:rFonts w:hint="eastAsia" w:ascii="宋体" w:hAnsi="宋体" w:cs="宋体"/>
                <w:color w:val="auto"/>
                <w:szCs w:val="21"/>
                <w:highlight w:val="none"/>
              </w:rPr>
            </w:pPr>
          </w:p>
        </w:tc>
        <w:tc>
          <w:tcPr>
            <w:tcW w:w="2062"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pPr>
              <w:spacing w:line="360" w:lineRule="auto"/>
              <w:rPr>
                <w:rFonts w:hint="eastAsia" w:ascii="宋体" w:hAnsi="宋体" w:cs="宋体"/>
                <w:color w:val="auto"/>
                <w:szCs w:val="21"/>
                <w:highlight w:val="none"/>
              </w:rPr>
            </w:pPr>
          </w:p>
        </w:tc>
        <w:tc>
          <w:tcPr>
            <w:tcW w:w="1712" w:type="dxa"/>
            <w:noWrap w:val="0"/>
            <w:vAlign w:val="top"/>
          </w:tcPr>
          <w:p>
            <w:pPr>
              <w:spacing w:line="360" w:lineRule="auto"/>
              <w:rPr>
                <w:rFonts w:hint="eastAsia" w:ascii="宋体" w:hAnsi="宋体" w:cs="宋体"/>
                <w:color w:val="auto"/>
                <w:szCs w:val="21"/>
                <w:highlight w:val="none"/>
              </w:rPr>
            </w:pPr>
          </w:p>
        </w:tc>
        <w:tc>
          <w:tcPr>
            <w:tcW w:w="1742" w:type="dxa"/>
            <w:noWrap w:val="0"/>
            <w:vAlign w:val="top"/>
          </w:tcPr>
          <w:p>
            <w:pPr>
              <w:spacing w:line="360" w:lineRule="auto"/>
              <w:rPr>
                <w:rFonts w:hint="eastAsia" w:ascii="宋体" w:hAnsi="宋体" w:cs="宋体"/>
                <w:color w:val="auto"/>
                <w:szCs w:val="21"/>
                <w:highlight w:val="none"/>
              </w:rPr>
            </w:pPr>
          </w:p>
        </w:tc>
        <w:tc>
          <w:tcPr>
            <w:tcW w:w="1740" w:type="dxa"/>
            <w:noWrap w:val="0"/>
            <w:vAlign w:val="top"/>
          </w:tcPr>
          <w:p>
            <w:pPr>
              <w:spacing w:line="360" w:lineRule="auto"/>
              <w:rPr>
                <w:rFonts w:hint="eastAsia" w:ascii="宋体" w:hAnsi="宋体" w:cs="宋体"/>
                <w:color w:val="auto"/>
                <w:szCs w:val="21"/>
                <w:highlight w:val="none"/>
              </w:rPr>
            </w:pPr>
          </w:p>
        </w:tc>
        <w:tc>
          <w:tcPr>
            <w:tcW w:w="1419" w:type="dxa"/>
            <w:noWrap w:val="0"/>
            <w:vAlign w:val="top"/>
          </w:tcPr>
          <w:p>
            <w:pPr>
              <w:spacing w:line="360" w:lineRule="auto"/>
              <w:rPr>
                <w:rFonts w:hint="eastAsia" w:ascii="宋体" w:hAnsi="宋体" w:cs="宋体"/>
                <w:color w:val="auto"/>
                <w:szCs w:val="21"/>
                <w:highlight w:val="none"/>
              </w:rPr>
            </w:pPr>
          </w:p>
        </w:tc>
        <w:tc>
          <w:tcPr>
            <w:tcW w:w="2062"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pPr>
              <w:spacing w:line="360" w:lineRule="auto"/>
              <w:rPr>
                <w:rFonts w:hint="eastAsia" w:ascii="宋体" w:hAnsi="宋体" w:cs="宋体"/>
                <w:color w:val="auto"/>
                <w:szCs w:val="21"/>
                <w:highlight w:val="none"/>
              </w:rPr>
            </w:pPr>
          </w:p>
        </w:tc>
        <w:tc>
          <w:tcPr>
            <w:tcW w:w="1712" w:type="dxa"/>
            <w:noWrap w:val="0"/>
            <w:vAlign w:val="top"/>
          </w:tcPr>
          <w:p>
            <w:pPr>
              <w:spacing w:line="360" w:lineRule="auto"/>
              <w:rPr>
                <w:rFonts w:hint="eastAsia" w:ascii="宋体" w:hAnsi="宋体" w:cs="宋体"/>
                <w:color w:val="auto"/>
                <w:szCs w:val="21"/>
                <w:highlight w:val="none"/>
              </w:rPr>
            </w:pPr>
          </w:p>
        </w:tc>
        <w:tc>
          <w:tcPr>
            <w:tcW w:w="1742" w:type="dxa"/>
            <w:noWrap w:val="0"/>
            <w:vAlign w:val="top"/>
          </w:tcPr>
          <w:p>
            <w:pPr>
              <w:spacing w:line="360" w:lineRule="auto"/>
              <w:rPr>
                <w:rFonts w:hint="eastAsia" w:ascii="宋体" w:hAnsi="宋体" w:cs="宋体"/>
                <w:color w:val="auto"/>
                <w:szCs w:val="21"/>
                <w:highlight w:val="none"/>
              </w:rPr>
            </w:pPr>
          </w:p>
        </w:tc>
        <w:tc>
          <w:tcPr>
            <w:tcW w:w="1740" w:type="dxa"/>
            <w:noWrap w:val="0"/>
            <w:vAlign w:val="top"/>
          </w:tcPr>
          <w:p>
            <w:pPr>
              <w:spacing w:line="360" w:lineRule="auto"/>
              <w:rPr>
                <w:rFonts w:hint="eastAsia" w:ascii="宋体" w:hAnsi="宋体" w:cs="宋体"/>
                <w:color w:val="auto"/>
                <w:szCs w:val="21"/>
                <w:highlight w:val="none"/>
              </w:rPr>
            </w:pPr>
          </w:p>
        </w:tc>
        <w:tc>
          <w:tcPr>
            <w:tcW w:w="1419" w:type="dxa"/>
            <w:noWrap w:val="0"/>
            <w:vAlign w:val="top"/>
          </w:tcPr>
          <w:p>
            <w:pPr>
              <w:spacing w:line="360" w:lineRule="auto"/>
              <w:rPr>
                <w:rFonts w:hint="eastAsia" w:ascii="宋体" w:hAnsi="宋体" w:cs="宋体"/>
                <w:color w:val="auto"/>
                <w:szCs w:val="21"/>
                <w:highlight w:val="none"/>
              </w:rPr>
            </w:pPr>
          </w:p>
        </w:tc>
        <w:tc>
          <w:tcPr>
            <w:tcW w:w="2062"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pPr>
              <w:spacing w:line="360" w:lineRule="auto"/>
              <w:rPr>
                <w:rFonts w:hint="eastAsia" w:ascii="宋体" w:hAnsi="宋体" w:cs="宋体"/>
                <w:color w:val="auto"/>
                <w:szCs w:val="21"/>
                <w:highlight w:val="none"/>
              </w:rPr>
            </w:pPr>
          </w:p>
        </w:tc>
        <w:tc>
          <w:tcPr>
            <w:tcW w:w="1712" w:type="dxa"/>
            <w:noWrap w:val="0"/>
            <w:vAlign w:val="top"/>
          </w:tcPr>
          <w:p>
            <w:pPr>
              <w:spacing w:line="360" w:lineRule="auto"/>
              <w:rPr>
                <w:rFonts w:hint="eastAsia" w:ascii="宋体" w:hAnsi="宋体" w:cs="宋体"/>
                <w:color w:val="auto"/>
                <w:szCs w:val="21"/>
                <w:highlight w:val="none"/>
              </w:rPr>
            </w:pPr>
          </w:p>
        </w:tc>
        <w:tc>
          <w:tcPr>
            <w:tcW w:w="1742" w:type="dxa"/>
            <w:noWrap w:val="0"/>
            <w:vAlign w:val="top"/>
          </w:tcPr>
          <w:p>
            <w:pPr>
              <w:spacing w:line="360" w:lineRule="auto"/>
              <w:rPr>
                <w:rFonts w:hint="eastAsia" w:ascii="宋体" w:hAnsi="宋体" w:cs="宋体"/>
                <w:color w:val="auto"/>
                <w:szCs w:val="21"/>
                <w:highlight w:val="none"/>
              </w:rPr>
            </w:pPr>
          </w:p>
        </w:tc>
        <w:tc>
          <w:tcPr>
            <w:tcW w:w="1740" w:type="dxa"/>
            <w:noWrap w:val="0"/>
            <w:vAlign w:val="top"/>
          </w:tcPr>
          <w:p>
            <w:pPr>
              <w:spacing w:line="360" w:lineRule="auto"/>
              <w:rPr>
                <w:rFonts w:hint="eastAsia" w:ascii="宋体" w:hAnsi="宋体" w:cs="宋体"/>
                <w:color w:val="auto"/>
                <w:szCs w:val="21"/>
                <w:highlight w:val="none"/>
              </w:rPr>
            </w:pPr>
          </w:p>
        </w:tc>
        <w:tc>
          <w:tcPr>
            <w:tcW w:w="1419" w:type="dxa"/>
            <w:noWrap w:val="0"/>
            <w:vAlign w:val="top"/>
          </w:tcPr>
          <w:p>
            <w:pPr>
              <w:spacing w:line="360" w:lineRule="auto"/>
              <w:rPr>
                <w:rFonts w:hint="eastAsia" w:ascii="宋体" w:hAnsi="宋体" w:cs="宋体"/>
                <w:color w:val="auto"/>
                <w:szCs w:val="21"/>
                <w:highlight w:val="none"/>
              </w:rPr>
            </w:pPr>
          </w:p>
        </w:tc>
        <w:tc>
          <w:tcPr>
            <w:tcW w:w="2062" w:type="dxa"/>
            <w:noWrap w:val="0"/>
            <w:vAlign w:val="top"/>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pPr>
              <w:spacing w:line="360" w:lineRule="auto"/>
              <w:rPr>
                <w:rFonts w:hint="eastAsia" w:ascii="宋体" w:hAnsi="宋体" w:cs="宋体"/>
                <w:color w:val="auto"/>
                <w:szCs w:val="21"/>
                <w:highlight w:val="none"/>
              </w:rPr>
            </w:pPr>
          </w:p>
        </w:tc>
        <w:tc>
          <w:tcPr>
            <w:tcW w:w="1712" w:type="dxa"/>
            <w:noWrap w:val="0"/>
            <w:vAlign w:val="top"/>
          </w:tcPr>
          <w:p>
            <w:pPr>
              <w:spacing w:line="360" w:lineRule="auto"/>
              <w:rPr>
                <w:rFonts w:hint="eastAsia" w:ascii="宋体" w:hAnsi="宋体" w:cs="宋体"/>
                <w:color w:val="auto"/>
                <w:szCs w:val="21"/>
                <w:highlight w:val="none"/>
              </w:rPr>
            </w:pPr>
          </w:p>
        </w:tc>
        <w:tc>
          <w:tcPr>
            <w:tcW w:w="1742" w:type="dxa"/>
            <w:noWrap w:val="0"/>
            <w:vAlign w:val="top"/>
          </w:tcPr>
          <w:p>
            <w:pPr>
              <w:spacing w:line="360" w:lineRule="auto"/>
              <w:rPr>
                <w:rFonts w:hint="eastAsia" w:ascii="宋体" w:hAnsi="宋体" w:cs="宋体"/>
                <w:color w:val="auto"/>
                <w:szCs w:val="21"/>
                <w:highlight w:val="none"/>
              </w:rPr>
            </w:pPr>
          </w:p>
        </w:tc>
        <w:tc>
          <w:tcPr>
            <w:tcW w:w="1740" w:type="dxa"/>
            <w:noWrap w:val="0"/>
            <w:vAlign w:val="top"/>
          </w:tcPr>
          <w:p>
            <w:pPr>
              <w:spacing w:line="360" w:lineRule="auto"/>
              <w:rPr>
                <w:rFonts w:hint="eastAsia" w:ascii="宋体" w:hAnsi="宋体" w:cs="宋体"/>
                <w:color w:val="auto"/>
                <w:szCs w:val="21"/>
                <w:highlight w:val="none"/>
              </w:rPr>
            </w:pPr>
          </w:p>
        </w:tc>
        <w:tc>
          <w:tcPr>
            <w:tcW w:w="1419" w:type="dxa"/>
            <w:noWrap w:val="0"/>
            <w:vAlign w:val="top"/>
          </w:tcPr>
          <w:p>
            <w:pPr>
              <w:spacing w:line="360" w:lineRule="auto"/>
              <w:rPr>
                <w:rFonts w:hint="eastAsia" w:ascii="宋体" w:hAnsi="宋体" w:cs="宋体"/>
                <w:color w:val="auto"/>
                <w:szCs w:val="21"/>
                <w:highlight w:val="none"/>
              </w:rPr>
            </w:pPr>
          </w:p>
        </w:tc>
        <w:tc>
          <w:tcPr>
            <w:tcW w:w="2062" w:type="dxa"/>
            <w:noWrap w:val="0"/>
            <w:vAlign w:val="top"/>
          </w:tcPr>
          <w:p>
            <w:pPr>
              <w:spacing w:line="360" w:lineRule="auto"/>
              <w:rPr>
                <w:rFonts w:hint="eastAsia" w:ascii="宋体" w:hAnsi="宋体" w:cs="宋体"/>
                <w:color w:val="auto"/>
                <w:szCs w:val="21"/>
                <w:highlight w:val="none"/>
              </w:rPr>
            </w:pPr>
          </w:p>
        </w:tc>
      </w:tr>
    </w:tbl>
    <w:p>
      <w:pPr>
        <w:tabs>
          <w:tab w:val="left" w:pos="900"/>
          <w:tab w:val="left" w:pos="1080"/>
        </w:tabs>
        <w:spacing w:line="360" w:lineRule="auto"/>
        <w:rPr>
          <w:rFonts w:hint="eastAsia" w:ascii="宋体" w:hAnsi="宋体" w:cs="宋体"/>
          <w:b/>
          <w:color w:val="auto"/>
          <w:szCs w:val="21"/>
          <w:highlight w:val="none"/>
        </w:rPr>
      </w:pPr>
    </w:p>
    <w:p>
      <w:pPr>
        <w:tabs>
          <w:tab w:val="left" w:pos="900"/>
          <w:tab w:val="left" w:pos="1080"/>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注：业绩表后应附</w:t>
      </w:r>
      <w:r>
        <w:rPr>
          <w:rFonts w:hint="eastAsia" w:ascii="宋体" w:hAnsi="宋体" w:cs="宋体"/>
          <w:b/>
          <w:color w:val="auto"/>
          <w:szCs w:val="21"/>
          <w:highlight w:val="none"/>
          <w:lang w:val="en-US" w:eastAsia="zh-CN"/>
        </w:rPr>
        <w:t>相应证明材料</w:t>
      </w:r>
      <w:r>
        <w:rPr>
          <w:rFonts w:hint="eastAsia" w:ascii="宋体" w:hAnsi="宋体" w:cs="宋体"/>
          <w:b/>
          <w:color w:val="auto"/>
          <w:szCs w:val="21"/>
          <w:highlight w:val="none"/>
        </w:rPr>
        <w:t>。</w:t>
      </w: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pPr>
        <w:pStyle w:val="7"/>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（3）企业财务状况</w:t>
      </w:r>
    </w:p>
    <w:p>
      <w:pPr>
        <w:tabs>
          <w:tab w:val="left" w:pos="4158"/>
        </w:tabs>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近三年财务状况表（按年度提供）</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按招标文件要求提供经</w:t>
      </w:r>
      <w:r>
        <w:rPr>
          <w:rFonts w:hint="eastAsia" w:ascii="宋体" w:hAnsi="宋体" w:cs="宋体"/>
          <w:b/>
          <w:color w:val="auto"/>
          <w:szCs w:val="21"/>
          <w:highlight w:val="none"/>
          <w:lang w:val="en-US" w:eastAsia="zh-CN"/>
        </w:rPr>
        <w:t>财务</w:t>
      </w:r>
      <w:r>
        <w:rPr>
          <w:rFonts w:hint="eastAsia" w:ascii="宋体" w:hAnsi="宋体" w:cs="宋体"/>
          <w:b/>
          <w:color w:val="auto"/>
          <w:szCs w:val="21"/>
          <w:highlight w:val="none"/>
        </w:rPr>
        <w:t>报告，并根据报告内容填写以下表格：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项目或指标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1704" w:type="dxa"/>
            <w:noWrap w:val="0"/>
            <w:vAlign w:val="center"/>
          </w:tcPr>
          <w:p>
            <w:pPr>
              <w:snapToGrid w:val="0"/>
              <w:spacing w:line="360" w:lineRule="auto"/>
              <w:jc w:val="center"/>
              <w:rPr>
                <w:rFonts w:hint="eastAsia" w:ascii="宋体" w:hAnsi="宋体" w:cs="宋体"/>
                <w:color w:val="auto"/>
                <w:szCs w:val="21"/>
                <w:highlight w:val="none"/>
              </w:rPr>
            </w:pPr>
          </w:p>
        </w:tc>
        <w:tc>
          <w:tcPr>
            <w:tcW w:w="1706" w:type="dxa"/>
            <w:noWrap w:val="0"/>
            <w:vAlign w:val="center"/>
          </w:tcPr>
          <w:p>
            <w:pPr>
              <w:snapToGrid w:val="0"/>
              <w:spacing w:line="360" w:lineRule="auto"/>
              <w:jc w:val="center"/>
              <w:rPr>
                <w:rFonts w:hint="eastAsia" w:ascii="宋体" w:hAnsi="宋体" w:cs="宋体"/>
                <w:color w:val="auto"/>
                <w:szCs w:val="21"/>
                <w:highlight w:val="none"/>
              </w:rPr>
            </w:pPr>
          </w:p>
        </w:tc>
        <w:tc>
          <w:tcPr>
            <w:tcW w:w="2113" w:type="dxa"/>
            <w:noWrap w:val="0"/>
            <w:vAlign w:val="center"/>
          </w:tcPr>
          <w:p>
            <w:pPr>
              <w:snapToGrid w:val="0"/>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一、注册资金</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二、净资产</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三、总资产</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四、固定资产</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五、流动资产</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六、流动负债</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七、负债合计</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八、营业收入</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九、净利润</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十、净现金流量总额</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十一、主要财务指标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1、净资产收益率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2、总资产报酬率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3、主营业务利润率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4、资产负债率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5、流动比率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6、速动比率</w:t>
            </w:r>
          </w:p>
        </w:tc>
        <w:tc>
          <w:tcPr>
            <w:tcW w:w="1322" w:type="dxa"/>
            <w:noWrap w:val="0"/>
            <w:vAlign w:val="center"/>
          </w:tcPr>
          <w:p>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pPr>
              <w:snapToGrid w:val="0"/>
              <w:spacing w:line="360" w:lineRule="auto"/>
              <w:jc w:val="center"/>
              <w:rPr>
                <w:rFonts w:hint="eastAsia" w:ascii="宋体" w:hAnsi="宋体" w:cs="宋体"/>
                <w:bCs/>
                <w:color w:val="auto"/>
                <w:szCs w:val="21"/>
                <w:highlight w:val="none"/>
              </w:rPr>
            </w:pPr>
          </w:p>
        </w:tc>
        <w:tc>
          <w:tcPr>
            <w:tcW w:w="1706" w:type="dxa"/>
            <w:noWrap w:val="0"/>
            <w:vAlign w:val="center"/>
          </w:tcPr>
          <w:p>
            <w:pPr>
              <w:snapToGrid w:val="0"/>
              <w:spacing w:line="360" w:lineRule="auto"/>
              <w:jc w:val="center"/>
              <w:rPr>
                <w:rFonts w:hint="eastAsia" w:ascii="宋体" w:hAnsi="宋体" w:cs="宋体"/>
                <w:bCs/>
                <w:color w:val="auto"/>
                <w:szCs w:val="21"/>
                <w:highlight w:val="none"/>
              </w:rPr>
            </w:pPr>
          </w:p>
        </w:tc>
        <w:tc>
          <w:tcPr>
            <w:tcW w:w="2113" w:type="dxa"/>
            <w:noWrap w:val="0"/>
            <w:vAlign w:val="center"/>
          </w:tcPr>
          <w:p>
            <w:pPr>
              <w:snapToGrid w:val="0"/>
              <w:spacing w:line="360" w:lineRule="auto"/>
              <w:jc w:val="center"/>
              <w:rPr>
                <w:rFonts w:hint="eastAsia" w:ascii="宋体" w:hAnsi="宋体" w:cs="宋体"/>
                <w:bCs/>
                <w:color w:val="auto"/>
                <w:szCs w:val="21"/>
                <w:highlight w:val="none"/>
              </w:rPr>
            </w:pP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1、投标人应附财务报告的资产负债表、利润表、现金流量表</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2、请投标人根据表格内容填写关键数据。</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3、若缺少上述内容将可能影响评标委员会对投标人的评审。</w:t>
      </w:r>
    </w:p>
    <w:p>
      <w:pPr>
        <w:spacing w:line="480" w:lineRule="auto"/>
        <w:jc w:val="left"/>
        <w:rPr>
          <w:rFonts w:hint="eastAsia" w:ascii="宋体" w:hAnsi="宋体" w:cs="宋体"/>
          <w:b/>
          <w:color w:val="auto"/>
          <w:sz w:val="24"/>
          <w:highlight w:val="none"/>
        </w:rPr>
      </w:pPr>
    </w:p>
    <w:p>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pPr>
        <w:spacing w:line="480" w:lineRule="auto"/>
        <w:jc w:val="left"/>
        <w:rPr>
          <w:rFonts w:hint="eastAsia" w:ascii="宋体" w:hAnsi="宋体" w:eastAsia="宋体" w:cs="宋体"/>
          <w:color w:val="auto"/>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eastAsia="宋体" w:cs="宋体"/>
          <w:b/>
          <w:color w:val="auto"/>
          <w:sz w:val="24"/>
          <w:highlight w:val="none"/>
        </w:rPr>
        <w:t>服务团队情况</w:t>
      </w:r>
    </w:p>
    <w:p>
      <w:pPr>
        <w:overflowPunct w:val="0"/>
        <w:autoSpaceDE w:val="0"/>
        <w:autoSpaceDN w:val="0"/>
        <w:adjustRightInd w:val="0"/>
        <w:snapToGrid w:val="0"/>
        <w:spacing w:before="120" w:beforeLines="50" w:after="120" w:afterLines="50"/>
        <w:jc w:val="center"/>
        <w:rPr>
          <w:rFonts w:hint="eastAsia" w:ascii="宋体" w:hAnsi="宋体" w:eastAsia="宋体" w:cs="宋体"/>
          <w:b/>
          <w:bCs/>
          <w:color w:val="auto"/>
          <w:szCs w:val="21"/>
          <w:highlight w:val="none"/>
        </w:rPr>
      </w:pPr>
      <w:r>
        <w:rPr>
          <w:rFonts w:hint="eastAsia" w:ascii="宋体" w:hAnsi="宋体" w:eastAsia="宋体" w:cs="宋体"/>
          <w:b/>
          <w:bCs/>
          <w:snapToGrid w:val="0"/>
          <w:color w:val="auto"/>
          <w:kern w:val="0"/>
          <w:szCs w:val="21"/>
          <w:highlight w:val="none"/>
        </w:rPr>
        <w:t>拟投入服务团队成员情况一览表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59"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91"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拟担任本项目的角色</w:t>
            </w:r>
          </w:p>
        </w:tc>
        <w:tc>
          <w:tcPr>
            <w:tcW w:w="560" w:type="dxa"/>
            <w:tcBorders>
              <w:top w:val="single" w:color="auto" w:sz="4" w:space="0"/>
              <w:left w:val="single" w:color="auto" w:sz="4" w:space="0"/>
              <w:bottom w:val="nil"/>
              <w:right w:val="single" w:color="auto" w:sz="4" w:space="0"/>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560" w:type="dxa"/>
            <w:tcBorders>
              <w:top w:val="single" w:color="auto" w:sz="4" w:space="0"/>
              <w:left w:val="single" w:color="auto" w:sz="4" w:space="0"/>
              <w:bottom w:val="nil"/>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560" w:type="dxa"/>
            <w:tcBorders>
              <w:top w:val="single" w:color="auto" w:sz="4" w:space="0"/>
              <w:left w:val="single" w:color="auto" w:sz="4" w:space="0"/>
              <w:bottom w:val="nil"/>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560" w:type="dxa"/>
            <w:tcBorders>
              <w:top w:val="single" w:color="auto" w:sz="4" w:space="0"/>
              <w:bottom w:val="nil"/>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1929" w:type="dxa"/>
            <w:tcBorders>
              <w:top w:val="single" w:color="auto" w:sz="4" w:space="0"/>
              <w:bottom w:val="nil"/>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具有相关证书(含职称证)等</w:t>
            </w:r>
          </w:p>
        </w:tc>
        <w:tc>
          <w:tcPr>
            <w:tcW w:w="826" w:type="dxa"/>
            <w:tcBorders>
              <w:top w:val="single" w:color="auto" w:sz="4" w:space="0"/>
              <w:bottom w:val="nil"/>
            </w:tcBorders>
            <w:shd w:val="clear" w:color="auto" w:fill="FFFFFF"/>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工作年限</w:t>
            </w:r>
          </w:p>
        </w:tc>
        <w:tc>
          <w:tcPr>
            <w:tcW w:w="2241" w:type="dxa"/>
            <w:tcBorders>
              <w:top w:val="single" w:color="auto" w:sz="4" w:space="0"/>
              <w:bottom w:val="nil"/>
              <w:right w:val="single" w:color="auto" w:sz="4" w:space="0"/>
            </w:tcBorders>
            <w:shd w:val="clear" w:color="auto" w:fill="FFFFFF"/>
            <w:noWrap w:val="0"/>
            <w:vAlign w:val="center"/>
          </w:tcPr>
          <w:p>
            <w:pPr>
              <w:ind w:firstLine="12"/>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9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top w:val="single" w:color="auto" w:sz="4" w:space="0"/>
              <w:left w:val="single" w:color="auto" w:sz="4" w:space="0"/>
              <w:bottom w:val="nil"/>
            </w:tcBorders>
            <w:noWrap w:val="0"/>
            <w:vAlign w:val="center"/>
          </w:tcPr>
          <w:p>
            <w:pPr>
              <w:jc w:val="center"/>
              <w:rPr>
                <w:rFonts w:hint="eastAsia" w:ascii="宋体" w:hAnsi="宋体" w:eastAsia="宋体" w:cs="宋体"/>
                <w:color w:val="auto"/>
                <w:szCs w:val="21"/>
                <w:highlight w:val="none"/>
              </w:rPr>
            </w:pPr>
          </w:p>
        </w:tc>
        <w:tc>
          <w:tcPr>
            <w:tcW w:w="560" w:type="dxa"/>
            <w:tcBorders>
              <w:top w:val="single" w:color="auto" w:sz="4" w:space="0"/>
              <w:left w:val="single" w:color="auto" w:sz="4" w:space="0"/>
              <w:bottom w:val="nil"/>
            </w:tcBorders>
            <w:noWrap w:val="0"/>
            <w:vAlign w:val="center"/>
          </w:tcPr>
          <w:p>
            <w:pPr>
              <w:jc w:val="center"/>
              <w:rPr>
                <w:rFonts w:hint="eastAsia" w:ascii="宋体" w:hAnsi="宋体" w:eastAsia="宋体" w:cs="宋体"/>
                <w:color w:val="auto"/>
                <w:szCs w:val="21"/>
                <w:highlight w:val="none"/>
              </w:rPr>
            </w:pPr>
          </w:p>
        </w:tc>
        <w:tc>
          <w:tcPr>
            <w:tcW w:w="560" w:type="dxa"/>
            <w:tcBorders>
              <w:top w:val="single" w:color="auto" w:sz="4" w:space="0"/>
              <w:bottom w:val="nil"/>
            </w:tcBorders>
            <w:noWrap w:val="0"/>
            <w:vAlign w:val="center"/>
          </w:tcPr>
          <w:p>
            <w:pPr>
              <w:jc w:val="center"/>
              <w:rPr>
                <w:rFonts w:hint="eastAsia" w:ascii="宋体" w:hAnsi="宋体" w:eastAsia="宋体" w:cs="宋体"/>
                <w:color w:val="auto"/>
                <w:szCs w:val="21"/>
                <w:highlight w:val="none"/>
              </w:rPr>
            </w:pPr>
          </w:p>
        </w:tc>
        <w:tc>
          <w:tcPr>
            <w:tcW w:w="1929" w:type="dxa"/>
            <w:tcBorders>
              <w:top w:val="single" w:color="auto" w:sz="4" w:space="0"/>
              <w:bottom w:val="nil"/>
            </w:tcBorders>
            <w:noWrap w:val="0"/>
            <w:vAlign w:val="center"/>
          </w:tcPr>
          <w:p>
            <w:pPr>
              <w:jc w:val="center"/>
              <w:rPr>
                <w:rFonts w:hint="eastAsia" w:ascii="宋体" w:hAnsi="宋体" w:eastAsia="宋体" w:cs="宋体"/>
                <w:color w:val="auto"/>
                <w:szCs w:val="21"/>
                <w:highlight w:val="none"/>
              </w:rPr>
            </w:pPr>
          </w:p>
        </w:tc>
        <w:tc>
          <w:tcPr>
            <w:tcW w:w="826" w:type="dxa"/>
            <w:tcBorders>
              <w:top w:val="single" w:color="auto" w:sz="4" w:space="0"/>
              <w:bottom w:val="nil"/>
            </w:tcBorders>
            <w:noWrap w:val="0"/>
            <w:vAlign w:val="center"/>
          </w:tcPr>
          <w:p>
            <w:pPr>
              <w:ind w:firstLine="12"/>
              <w:jc w:val="center"/>
              <w:rPr>
                <w:rFonts w:hint="eastAsia" w:ascii="宋体" w:hAnsi="宋体" w:eastAsia="宋体" w:cs="宋体"/>
                <w:color w:val="auto"/>
                <w:szCs w:val="21"/>
                <w:highlight w:val="none"/>
              </w:rPr>
            </w:pPr>
          </w:p>
        </w:tc>
        <w:tc>
          <w:tcPr>
            <w:tcW w:w="2241" w:type="dxa"/>
            <w:tcBorders>
              <w:top w:val="single" w:color="auto" w:sz="4" w:space="0"/>
              <w:bottom w:val="nil"/>
              <w:right w:val="single" w:color="auto" w:sz="4" w:space="0"/>
            </w:tcBorders>
            <w:noWrap w:val="0"/>
            <w:vAlign w:val="center"/>
          </w:tcPr>
          <w:p>
            <w:pPr>
              <w:ind w:firstLine="1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9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noWrap w:val="0"/>
            <w:vAlign w:val="center"/>
          </w:tcPr>
          <w:p>
            <w:pPr>
              <w:jc w:val="center"/>
              <w:rPr>
                <w:rFonts w:hint="eastAsia" w:ascii="宋体" w:hAnsi="宋体" w:eastAsia="宋体" w:cs="宋体"/>
                <w:color w:val="auto"/>
                <w:szCs w:val="21"/>
                <w:highlight w:val="none"/>
              </w:rPr>
            </w:pPr>
          </w:p>
        </w:tc>
        <w:tc>
          <w:tcPr>
            <w:tcW w:w="1929" w:type="dxa"/>
            <w:noWrap w:val="0"/>
            <w:vAlign w:val="center"/>
          </w:tcPr>
          <w:p>
            <w:pPr>
              <w:jc w:val="center"/>
              <w:rPr>
                <w:rFonts w:hint="eastAsia" w:ascii="宋体" w:hAnsi="宋体" w:eastAsia="宋体" w:cs="宋体"/>
                <w:color w:val="auto"/>
                <w:szCs w:val="21"/>
                <w:highlight w:val="none"/>
              </w:rPr>
            </w:pPr>
          </w:p>
        </w:tc>
        <w:tc>
          <w:tcPr>
            <w:tcW w:w="826" w:type="dxa"/>
            <w:noWrap w:val="0"/>
            <w:vAlign w:val="center"/>
          </w:tcPr>
          <w:p>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9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noWrap w:val="0"/>
            <w:vAlign w:val="center"/>
          </w:tcPr>
          <w:p>
            <w:pPr>
              <w:jc w:val="center"/>
              <w:rPr>
                <w:rFonts w:hint="eastAsia" w:ascii="宋体" w:hAnsi="宋体" w:eastAsia="宋体" w:cs="宋体"/>
                <w:color w:val="auto"/>
                <w:szCs w:val="21"/>
                <w:highlight w:val="none"/>
              </w:rPr>
            </w:pPr>
          </w:p>
        </w:tc>
        <w:tc>
          <w:tcPr>
            <w:tcW w:w="1929" w:type="dxa"/>
            <w:noWrap w:val="0"/>
            <w:vAlign w:val="center"/>
          </w:tcPr>
          <w:p>
            <w:pPr>
              <w:jc w:val="center"/>
              <w:rPr>
                <w:rFonts w:hint="eastAsia" w:ascii="宋体" w:hAnsi="宋体" w:eastAsia="宋体" w:cs="宋体"/>
                <w:color w:val="auto"/>
                <w:szCs w:val="21"/>
                <w:highlight w:val="none"/>
              </w:rPr>
            </w:pPr>
          </w:p>
        </w:tc>
        <w:tc>
          <w:tcPr>
            <w:tcW w:w="826" w:type="dxa"/>
            <w:noWrap w:val="0"/>
            <w:vAlign w:val="center"/>
          </w:tcPr>
          <w:p>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9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noWrap w:val="0"/>
            <w:vAlign w:val="center"/>
          </w:tcPr>
          <w:p>
            <w:pPr>
              <w:jc w:val="center"/>
              <w:rPr>
                <w:rFonts w:hint="eastAsia" w:ascii="宋体" w:hAnsi="宋体" w:eastAsia="宋体" w:cs="宋体"/>
                <w:color w:val="auto"/>
                <w:szCs w:val="21"/>
                <w:highlight w:val="none"/>
              </w:rPr>
            </w:pPr>
          </w:p>
        </w:tc>
        <w:tc>
          <w:tcPr>
            <w:tcW w:w="1929" w:type="dxa"/>
            <w:noWrap w:val="0"/>
            <w:vAlign w:val="center"/>
          </w:tcPr>
          <w:p>
            <w:pPr>
              <w:jc w:val="center"/>
              <w:rPr>
                <w:rFonts w:hint="eastAsia" w:ascii="宋体" w:hAnsi="宋体" w:eastAsia="宋体" w:cs="宋体"/>
                <w:color w:val="auto"/>
                <w:szCs w:val="21"/>
                <w:highlight w:val="none"/>
              </w:rPr>
            </w:pPr>
          </w:p>
        </w:tc>
        <w:tc>
          <w:tcPr>
            <w:tcW w:w="826" w:type="dxa"/>
            <w:noWrap w:val="0"/>
            <w:vAlign w:val="center"/>
          </w:tcPr>
          <w:p>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9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noWrap w:val="0"/>
            <w:vAlign w:val="center"/>
          </w:tcPr>
          <w:p>
            <w:pPr>
              <w:jc w:val="center"/>
              <w:rPr>
                <w:rFonts w:hint="eastAsia" w:ascii="宋体" w:hAnsi="宋体" w:eastAsia="宋体" w:cs="宋体"/>
                <w:color w:val="auto"/>
                <w:szCs w:val="21"/>
                <w:highlight w:val="none"/>
              </w:rPr>
            </w:pPr>
          </w:p>
        </w:tc>
        <w:tc>
          <w:tcPr>
            <w:tcW w:w="1929" w:type="dxa"/>
            <w:noWrap w:val="0"/>
            <w:vAlign w:val="center"/>
          </w:tcPr>
          <w:p>
            <w:pPr>
              <w:jc w:val="center"/>
              <w:rPr>
                <w:rFonts w:hint="eastAsia" w:ascii="宋体" w:hAnsi="宋体" w:eastAsia="宋体" w:cs="宋体"/>
                <w:color w:val="auto"/>
                <w:szCs w:val="21"/>
                <w:highlight w:val="none"/>
              </w:rPr>
            </w:pPr>
          </w:p>
        </w:tc>
        <w:tc>
          <w:tcPr>
            <w:tcW w:w="826" w:type="dxa"/>
            <w:noWrap w:val="0"/>
            <w:vAlign w:val="center"/>
          </w:tcPr>
          <w:p>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9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noWrap w:val="0"/>
            <w:vAlign w:val="center"/>
          </w:tcPr>
          <w:p>
            <w:pPr>
              <w:jc w:val="center"/>
              <w:rPr>
                <w:rFonts w:hint="eastAsia" w:ascii="宋体" w:hAnsi="宋体" w:eastAsia="宋体" w:cs="宋体"/>
                <w:color w:val="auto"/>
                <w:szCs w:val="21"/>
                <w:highlight w:val="none"/>
              </w:rPr>
            </w:pPr>
          </w:p>
        </w:tc>
        <w:tc>
          <w:tcPr>
            <w:tcW w:w="1929" w:type="dxa"/>
            <w:noWrap w:val="0"/>
            <w:vAlign w:val="center"/>
          </w:tcPr>
          <w:p>
            <w:pPr>
              <w:jc w:val="center"/>
              <w:rPr>
                <w:rFonts w:hint="eastAsia" w:ascii="宋体" w:hAnsi="宋体" w:eastAsia="宋体" w:cs="宋体"/>
                <w:color w:val="auto"/>
                <w:szCs w:val="21"/>
                <w:highlight w:val="none"/>
              </w:rPr>
            </w:pPr>
          </w:p>
        </w:tc>
        <w:tc>
          <w:tcPr>
            <w:tcW w:w="826" w:type="dxa"/>
            <w:noWrap w:val="0"/>
            <w:vAlign w:val="center"/>
          </w:tcPr>
          <w:p>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91"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pPr>
              <w:jc w:val="center"/>
              <w:rPr>
                <w:rFonts w:hint="eastAsia" w:ascii="宋体" w:hAnsi="宋体" w:eastAsia="宋体" w:cs="宋体"/>
                <w:color w:val="auto"/>
                <w:szCs w:val="21"/>
                <w:highlight w:val="none"/>
              </w:rPr>
            </w:pPr>
          </w:p>
        </w:tc>
        <w:tc>
          <w:tcPr>
            <w:tcW w:w="560" w:type="dxa"/>
            <w:noWrap w:val="0"/>
            <w:vAlign w:val="center"/>
          </w:tcPr>
          <w:p>
            <w:pPr>
              <w:jc w:val="center"/>
              <w:rPr>
                <w:rFonts w:hint="eastAsia" w:ascii="宋体" w:hAnsi="宋体" w:eastAsia="宋体" w:cs="宋体"/>
                <w:color w:val="auto"/>
                <w:szCs w:val="21"/>
                <w:highlight w:val="none"/>
              </w:rPr>
            </w:pPr>
          </w:p>
        </w:tc>
        <w:tc>
          <w:tcPr>
            <w:tcW w:w="1929" w:type="dxa"/>
            <w:noWrap w:val="0"/>
            <w:vAlign w:val="center"/>
          </w:tcPr>
          <w:p>
            <w:pPr>
              <w:jc w:val="center"/>
              <w:rPr>
                <w:rFonts w:hint="eastAsia" w:ascii="宋体" w:hAnsi="宋体" w:eastAsia="宋体" w:cs="宋体"/>
                <w:color w:val="auto"/>
                <w:szCs w:val="21"/>
                <w:highlight w:val="none"/>
              </w:rPr>
            </w:pPr>
          </w:p>
        </w:tc>
        <w:tc>
          <w:tcPr>
            <w:tcW w:w="826" w:type="dxa"/>
            <w:noWrap w:val="0"/>
            <w:vAlign w:val="center"/>
          </w:tcPr>
          <w:p>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pPr>
              <w:jc w:val="center"/>
              <w:rPr>
                <w:rFonts w:hint="eastAsia" w:ascii="宋体" w:hAnsi="宋体" w:eastAsia="宋体" w:cs="宋体"/>
                <w:color w:val="auto"/>
                <w:szCs w:val="21"/>
                <w:highlight w:val="none"/>
              </w:rPr>
            </w:pPr>
          </w:p>
        </w:tc>
      </w:tr>
    </w:tbl>
    <w:p>
      <w:pPr>
        <w:spacing w:before="120" w:beforeLines="50" w:line="360" w:lineRule="auto"/>
        <w:rPr>
          <w:rFonts w:ascii="宋体" w:hAnsi="宋体"/>
          <w:b/>
          <w:bCs/>
          <w:szCs w:val="21"/>
          <w:lang w:val="en-GB"/>
        </w:rPr>
      </w:pPr>
      <w:r>
        <w:rPr>
          <w:rFonts w:hint="eastAsia" w:ascii="宋体" w:hAnsi="宋体"/>
          <w:b/>
          <w:bCs/>
          <w:szCs w:val="21"/>
          <w:lang w:val="en-GB"/>
        </w:rPr>
        <w:t>注：</w:t>
      </w:r>
      <w:r>
        <w:rPr>
          <w:rFonts w:hint="eastAsia" w:ascii="宋体" w:hAnsi="宋体" w:cs="宋体"/>
          <w:b/>
          <w:bCs/>
          <w:szCs w:val="21"/>
        </w:rPr>
        <w:t>根据评审要求提供相应的证明材料。</w:t>
      </w:r>
    </w:p>
    <w:p>
      <w:pPr>
        <w:pStyle w:val="7"/>
        <w:spacing w:line="360" w:lineRule="auto"/>
        <w:ind w:left="0" w:firstLine="0"/>
        <w:rPr>
          <w:rFonts w:hint="eastAsia" w:ascii="宋体" w:hAnsi="宋体" w:cs="宋体"/>
          <w:color w:val="auto"/>
          <w:sz w:val="21"/>
          <w:szCs w:val="21"/>
          <w:highlight w:val="none"/>
        </w:rPr>
      </w:pPr>
    </w:p>
    <w:p>
      <w:pPr>
        <w:pStyle w:val="7"/>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企业资信状况（如需，格式自拟）；</w:t>
      </w:r>
    </w:p>
    <w:p>
      <w:pPr>
        <w:pStyle w:val="7"/>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）企业综合实力（如需，格式自拟）；</w:t>
      </w:r>
    </w:p>
    <w:p>
      <w:pPr>
        <w:pStyle w:val="7"/>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）企业履约信用、荣誉（如需，格式自拟）；</w:t>
      </w:r>
    </w:p>
    <w:p>
      <w:pPr>
        <w:pStyle w:val="7"/>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）其他商务证明材料（投标人根据商务评分表内容及认为需要补充的说明提供相关材料）。</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pPr>
        <w:spacing w:line="480" w:lineRule="auto"/>
        <w:rPr>
          <w:rFonts w:hint="eastAsia" w:ascii="宋体" w:hAnsi="宋体" w:cs="宋体"/>
          <w:b/>
          <w:bCs/>
          <w:color w:val="auto"/>
          <w:highlight w:val="none"/>
        </w:rPr>
      </w:pPr>
      <w:r>
        <w:rPr>
          <w:rFonts w:hint="eastAsia" w:ascii="宋体" w:hAnsi="宋体" w:cs="宋体"/>
          <w:b/>
          <w:bCs/>
          <w:color w:val="auto"/>
          <w:highlight w:val="none"/>
        </w:rPr>
        <w:t>（二）主要商务条件响应表</w:t>
      </w: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主要商务条款响应表</w:t>
      </w:r>
    </w:p>
    <w:p>
      <w:pPr>
        <w:spacing w:line="360" w:lineRule="auto"/>
        <w:ind w:left="618" w:hanging="618"/>
        <w:rPr>
          <w:rFonts w:hint="eastAsia" w:ascii="宋体" w:hAnsi="宋体" w:cs="宋体"/>
          <w:color w:val="auto"/>
          <w:highlight w:val="none"/>
        </w:rPr>
      </w:pPr>
      <w:r>
        <w:rPr>
          <w:rFonts w:hint="eastAsia" w:ascii="宋体" w:hAnsi="宋体" w:cs="宋体"/>
          <w:color w:val="auto"/>
          <w:highlight w:val="none"/>
        </w:rPr>
        <w:t>[说明]投标人应对招标文件第四部分合同所有条款的内容（而非题目）作全面响应，并在“响应”栏中打“√”，有差异的请在“备注”栏中注明具体偏离情况。</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序号</w:t>
            </w:r>
          </w:p>
        </w:tc>
        <w:tc>
          <w:tcPr>
            <w:tcW w:w="2961"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商务条款</w:t>
            </w:r>
          </w:p>
        </w:tc>
        <w:tc>
          <w:tcPr>
            <w:tcW w:w="2756"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条款内容</w:t>
            </w:r>
          </w:p>
        </w:tc>
        <w:tc>
          <w:tcPr>
            <w:tcW w:w="1020"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响应</w:t>
            </w:r>
          </w:p>
        </w:tc>
        <w:tc>
          <w:tcPr>
            <w:tcW w:w="1020"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1</w:t>
            </w:r>
          </w:p>
        </w:tc>
        <w:tc>
          <w:tcPr>
            <w:tcW w:w="2961" w:type="dxa"/>
            <w:noWrap w:val="0"/>
            <w:vAlign w:val="center"/>
          </w:tcPr>
          <w:p>
            <w:pPr>
              <w:jc w:val="center"/>
              <w:rPr>
                <w:rFonts w:hint="eastAsia" w:ascii="宋体" w:hAnsi="宋体" w:cs="宋体"/>
                <w:color w:val="auto"/>
                <w:szCs w:val="21"/>
                <w:highlight w:val="none"/>
              </w:rPr>
            </w:pPr>
          </w:p>
        </w:tc>
        <w:tc>
          <w:tcPr>
            <w:tcW w:w="2756" w:type="dxa"/>
            <w:noWrap w:val="0"/>
            <w:vAlign w:val="center"/>
          </w:tcPr>
          <w:p>
            <w:pPr>
              <w:pStyle w:val="23"/>
              <w:rPr>
                <w:rFonts w:hint="eastAsia"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pPr>
              <w:spacing w:line="200" w:lineRule="atLeast"/>
              <w:jc w:val="center"/>
              <w:rPr>
                <w:rFonts w:hint="eastAsia" w:ascii="宋体" w:hAnsi="宋体" w:cs="宋体"/>
                <w:color w:val="auto"/>
                <w:highlight w:val="none"/>
              </w:rPr>
            </w:pPr>
            <w:r>
              <w:rPr>
                <w:rFonts w:hint="eastAsia" w:ascii="宋体" w:hAnsi="宋体" w:cs="宋体"/>
                <w:color w:val="auto"/>
                <w:highlight w:val="none"/>
              </w:rPr>
              <w:t>2</w:t>
            </w:r>
          </w:p>
        </w:tc>
        <w:tc>
          <w:tcPr>
            <w:tcW w:w="2961"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756" w:type="dxa"/>
            <w:noWrap w:val="0"/>
            <w:vAlign w:val="center"/>
          </w:tcPr>
          <w:p>
            <w:pPr>
              <w:pStyle w:val="23"/>
              <w:rPr>
                <w:rFonts w:hint="eastAsia"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pPr>
              <w:spacing w:line="200" w:lineRule="atLeast"/>
              <w:jc w:val="center"/>
              <w:rPr>
                <w:rFonts w:hint="eastAsia" w:ascii="宋体" w:hAnsi="宋体" w:cs="宋体"/>
                <w:color w:val="auto"/>
                <w:highlight w:val="none"/>
              </w:rPr>
            </w:pPr>
          </w:p>
        </w:tc>
        <w:tc>
          <w:tcPr>
            <w:tcW w:w="2961" w:type="dxa"/>
            <w:noWrap w:val="0"/>
            <w:vAlign w:val="center"/>
          </w:tcPr>
          <w:p>
            <w:pPr>
              <w:rPr>
                <w:rFonts w:hint="eastAsia" w:ascii="宋体" w:hAnsi="宋体" w:cs="宋体"/>
                <w:color w:val="auto"/>
                <w:szCs w:val="21"/>
                <w:highlight w:val="none"/>
              </w:rPr>
            </w:pPr>
          </w:p>
        </w:tc>
        <w:tc>
          <w:tcPr>
            <w:tcW w:w="2756" w:type="dxa"/>
            <w:noWrap w:val="0"/>
            <w:vAlign w:val="center"/>
          </w:tcPr>
          <w:p>
            <w:pPr>
              <w:pStyle w:val="23"/>
              <w:rPr>
                <w:rFonts w:hint="eastAsia"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pPr>
              <w:spacing w:line="200" w:lineRule="atLeast"/>
              <w:jc w:val="center"/>
              <w:rPr>
                <w:rFonts w:hint="eastAsia" w:ascii="宋体" w:hAnsi="宋体" w:cs="宋体"/>
                <w:color w:val="auto"/>
                <w:highlight w:val="none"/>
              </w:rPr>
            </w:pPr>
          </w:p>
        </w:tc>
        <w:tc>
          <w:tcPr>
            <w:tcW w:w="2961" w:type="dxa"/>
            <w:noWrap w:val="0"/>
            <w:vAlign w:val="center"/>
          </w:tcPr>
          <w:p>
            <w:pPr>
              <w:rPr>
                <w:rFonts w:hint="eastAsia" w:ascii="宋体" w:hAnsi="宋体" w:cs="宋体"/>
                <w:color w:val="auto"/>
                <w:szCs w:val="21"/>
                <w:highlight w:val="none"/>
              </w:rPr>
            </w:pPr>
          </w:p>
        </w:tc>
        <w:tc>
          <w:tcPr>
            <w:tcW w:w="2756" w:type="dxa"/>
            <w:noWrap w:val="0"/>
            <w:vAlign w:val="center"/>
          </w:tcPr>
          <w:p>
            <w:pPr>
              <w:pStyle w:val="23"/>
              <w:rPr>
                <w:rFonts w:hint="eastAsia"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pPr>
              <w:spacing w:line="200" w:lineRule="atLeast"/>
              <w:jc w:val="center"/>
              <w:rPr>
                <w:rFonts w:hint="eastAsia" w:ascii="宋体" w:hAnsi="宋体" w:cs="宋体"/>
                <w:color w:val="auto"/>
                <w:highlight w:val="none"/>
              </w:rPr>
            </w:pPr>
          </w:p>
        </w:tc>
        <w:tc>
          <w:tcPr>
            <w:tcW w:w="2961" w:type="dxa"/>
            <w:noWrap w:val="0"/>
            <w:vAlign w:val="center"/>
          </w:tcPr>
          <w:p>
            <w:pPr>
              <w:rPr>
                <w:rFonts w:hint="eastAsia" w:ascii="宋体" w:hAnsi="宋体" w:cs="宋体"/>
                <w:color w:val="auto"/>
                <w:szCs w:val="21"/>
                <w:highlight w:val="none"/>
              </w:rPr>
            </w:pPr>
          </w:p>
        </w:tc>
        <w:tc>
          <w:tcPr>
            <w:tcW w:w="2756" w:type="dxa"/>
            <w:noWrap w:val="0"/>
            <w:vAlign w:val="center"/>
          </w:tcPr>
          <w:p>
            <w:pPr>
              <w:pStyle w:val="23"/>
              <w:rPr>
                <w:rFonts w:hint="eastAsia"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c>
          <w:tcPr>
            <w:tcW w:w="1020" w:type="dxa"/>
            <w:noWrap w:val="0"/>
            <w:vAlign w:val="center"/>
          </w:tcPr>
          <w:p>
            <w:pPr>
              <w:spacing w:line="200" w:lineRule="atLeast"/>
              <w:jc w:val="center"/>
              <w:rPr>
                <w:rFonts w:hint="eastAsia" w:ascii="宋体" w:hAnsi="宋体" w:cs="宋体"/>
                <w:color w:val="auto"/>
                <w:highlight w:val="none"/>
              </w:rPr>
            </w:pPr>
          </w:p>
        </w:tc>
      </w:tr>
    </w:tbl>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说明：</w:t>
      </w:r>
    </w:p>
    <w:p>
      <w:pPr>
        <w:spacing w:line="300" w:lineRule="auto"/>
        <w:rPr>
          <w:rFonts w:hint="eastAsia" w:ascii="宋体" w:hAnsi="宋体" w:cs="宋体"/>
          <w:bCs/>
          <w:color w:val="auto"/>
          <w:szCs w:val="21"/>
          <w:highlight w:val="none"/>
        </w:rPr>
      </w:pPr>
      <w:r>
        <w:rPr>
          <w:rFonts w:hint="eastAsia" w:ascii="宋体" w:hAnsi="宋体" w:cs="宋体"/>
          <w:bCs/>
          <w:color w:val="auto"/>
          <w:szCs w:val="21"/>
          <w:highlight w:val="none"/>
        </w:rPr>
        <w:t>如投标人对招标文件</w:t>
      </w:r>
      <w:r>
        <w:rPr>
          <w:rFonts w:hint="eastAsia" w:ascii="宋体" w:hAnsi="宋体" w:cs="宋体"/>
          <w:color w:val="auto"/>
          <w:highlight w:val="none"/>
        </w:rPr>
        <w:t>合同</w:t>
      </w:r>
      <w:r>
        <w:rPr>
          <w:rFonts w:hint="eastAsia" w:ascii="宋体" w:hAnsi="宋体" w:cs="宋体"/>
          <w:bCs/>
          <w:color w:val="auto"/>
          <w:szCs w:val="21"/>
          <w:highlight w:val="none"/>
        </w:rPr>
        <w:t>条款有偏离的必须填写上表，否则视为完全响应招标文件要求。</w:t>
      </w:r>
    </w:p>
    <w:p>
      <w:pPr>
        <w:spacing w:line="480" w:lineRule="auto"/>
        <w:rPr>
          <w:rFonts w:hint="eastAsia" w:ascii="宋体" w:hAnsi="宋体" w:cs="宋体"/>
          <w:color w:val="auto"/>
          <w:szCs w:val="22"/>
          <w:highlight w:val="none"/>
        </w:rPr>
      </w:pPr>
    </w:p>
    <w:p>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pPr>
        <w:rPr>
          <w:rFonts w:hint="eastAsia" w:ascii="宋体" w:hAnsi="宋体" w:cs="宋体"/>
          <w:color w:val="auto"/>
          <w:highlight w:val="none"/>
        </w:rPr>
      </w:pPr>
      <w:r>
        <w:rPr>
          <w:rFonts w:hint="eastAsia" w:ascii="宋体" w:hAnsi="宋体" w:cs="宋体"/>
          <w:color w:val="auto"/>
          <w:highlight w:val="none"/>
        </w:rPr>
        <w:br w:type="page"/>
      </w:r>
      <w:bookmarkStart w:id="108" w:name="_Toc118018369"/>
      <w:bookmarkStart w:id="109" w:name="_Toc476177436"/>
      <w:bookmarkStart w:id="110" w:name="_Toc455417787"/>
      <w:bookmarkStart w:id="111" w:name="_Toc476177995"/>
      <w:r>
        <w:rPr>
          <w:rFonts w:hint="eastAsia" w:ascii="宋体" w:hAnsi="宋体" w:cs="宋体"/>
          <w:b/>
          <w:bCs/>
          <w:color w:val="auto"/>
          <w:sz w:val="28"/>
          <w:szCs w:val="21"/>
          <w:highlight w:val="none"/>
        </w:rPr>
        <w:t>六、技术响应文件格式</w:t>
      </w:r>
      <w:bookmarkEnd w:id="108"/>
      <w:bookmarkEnd w:id="109"/>
      <w:bookmarkEnd w:id="110"/>
      <w:bookmarkEnd w:id="111"/>
    </w:p>
    <w:p>
      <w:pPr>
        <w:spacing w:before="240" w:line="360" w:lineRule="auto"/>
        <w:ind w:left="902" w:hanging="902"/>
        <w:rPr>
          <w:rFonts w:hint="eastAsia" w:ascii="宋体" w:hAnsi="宋体" w:cs="宋体"/>
          <w:color w:val="auto"/>
          <w:highlight w:val="none"/>
        </w:rPr>
      </w:pPr>
      <w:r>
        <w:rPr>
          <w:rFonts w:hint="eastAsia" w:ascii="宋体" w:hAnsi="宋体" w:cs="宋体"/>
          <w:b/>
          <w:color w:val="auto"/>
          <w:highlight w:val="none"/>
        </w:rPr>
        <w:t xml:space="preserve">[说明]  </w:t>
      </w:r>
      <w:r>
        <w:rPr>
          <w:rFonts w:hint="eastAsia" w:ascii="宋体" w:hAnsi="宋体" w:cs="宋体"/>
          <w:color w:val="auto"/>
          <w:highlight w:val="none"/>
        </w:rPr>
        <w:t>投标人应按照招标文件的要求，根据《用户需求书》要求内容做出全面响应。其内容应包括但不限于本格式内各项要求。对必须响应的内容，必须完全响应，不允许有任何差异，对响应有差异的内容，提出说明和优化建议。</w:t>
      </w:r>
    </w:p>
    <w:p>
      <w:pPr>
        <w:shd w:val="clear"/>
        <w:spacing w:line="360" w:lineRule="auto"/>
        <w:rPr>
          <w:rFonts w:hint="eastAsia" w:ascii="宋体" w:hAnsi="宋体" w:cs="宋体"/>
          <w:color w:val="auto"/>
          <w:highlight w:val="none"/>
        </w:rPr>
      </w:pPr>
      <w:r>
        <w:rPr>
          <w:rFonts w:hint="eastAsia" w:ascii="宋体" w:hAnsi="宋体" w:cs="宋体"/>
          <w:color w:val="auto"/>
          <w:szCs w:val="22"/>
          <w:highlight w:val="none"/>
        </w:rPr>
        <w:t xml:space="preserve">格式6.1   </w:t>
      </w:r>
      <w:r>
        <w:rPr>
          <w:rFonts w:hint="eastAsia" w:ascii="宋体" w:hAnsi="宋体" w:cs="宋体"/>
          <w:color w:val="auto"/>
          <w:highlight w:val="none"/>
        </w:rPr>
        <w:t>用户需求书中要求投标人自行填写的表格内容</w:t>
      </w:r>
    </w:p>
    <w:p>
      <w:pPr>
        <w:shd w:val="clea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 xml:space="preserve">.2   </w:t>
      </w:r>
      <w:r>
        <w:rPr>
          <w:rFonts w:hint="eastAsia" w:ascii="宋体" w:hAnsi="宋体" w:eastAsia="宋体" w:cs="宋体"/>
          <w:color w:val="auto"/>
          <w:szCs w:val="21"/>
          <w:highlight w:val="none"/>
        </w:rPr>
        <w:t>施工方案</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 xml:space="preserve">.3   </w:t>
      </w:r>
      <w:r>
        <w:rPr>
          <w:rFonts w:hint="eastAsia" w:ascii="宋体" w:hAnsi="宋体" w:eastAsia="宋体" w:cs="宋体"/>
          <w:color w:val="auto"/>
          <w:szCs w:val="21"/>
          <w:highlight w:val="none"/>
        </w:rPr>
        <w:t>施工进度计划和工期保证措施</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 xml:space="preserve">   </w:t>
      </w:r>
      <w:r>
        <w:rPr>
          <w:rFonts w:hint="eastAsia" w:ascii="宋体" w:hAnsi="宋体" w:eastAsia="宋体" w:cs="宋体"/>
          <w:color w:val="auto"/>
          <w:szCs w:val="21"/>
          <w:highlight w:val="none"/>
        </w:rPr>
        <w:t>施工安全及文明施工措施</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eastAsia="宋体" w:cs="宋体"/>
          <w:kern w:val="0"/>
          <w:szCs w:val="21"/>
          <w:highlight w:val="none"/>
          <w:shd w:val="clear" w:color="auto" w:fill="FFFFFF"/>
          <w:lang w:bidi="ar"/>
        </w:rPr>
        <w:t>运输、安装、调试方案</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 xml:space="preserve">   </w:t>
      </w:r>
      <w:r>
        <w:rPr>
          <w:rFonts w:hint="eastAsia" w:ascii="宋体" w:hAnsi="宋体" w:eastAsia="宋体" w:cs="宋体"/>
          <w:kern w:val="0"/>
          <w:szCs w:val="21"/>
          <w:highlight w:val="none"/>
          <w:shd w:val="clear" w:color="auto" w:fill="FFFFFF"/>
          <w:lang w:bidi="ar"/>
        </w:rPr>
        <w:t>应急预案</w:t>
      </w:r>
    </w:p>
    <w:p>
      <w:pPr>
        <w:shd w:val="clear"/>
        <w:spacing w:line="360" w:lineRule="auto"/>
        <w:rPr>
          <w:rFonts w:hint="eastAsia" w:ascii="宋体" w:hAnsi="宋体" w:eastAsia="宋体" w:cs="宋体"/>
          <w:kern w:val="0"/>
          <w:szCs w:val="21"/>
          <w:highlight w:val="none"/>
          <w:shd w:val="clear" w:color="auto" w:fill="FFFFFF"/>
          <w:lang w:bidi="ar"/>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 xml:space="preserve">   </w:t>
      </w:r>
      <w:r>
        <w:rPr>
          <w:rFonts w:hint="eastAsia" w:ascii="宋体" w:hAnsi="宋体" w:eastAsia="宋体" w:cs="宋体"/>
          <w:kern w:val="0"/>
          <w:szCs w:val="21"/>
          <w:highlight w:val="none"/>
          <w:shd w:val="clear" w:color="auto" w:fill="FFFFFF"/>
          <w:lang w:bidi="ar"/>
        </w:rPr>
        <w:t>售后服务方案响应情况</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 xml:space="preserve">   技术标评分细则需要提供的资料</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 xml:space="preserve">   招标人配合内容（如有）</w:t>
      </w:r>
    </w:p>
    <w:p>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10</w:t>
      </w:r>
      <w:r>
        <w:rPr>
          <w:rFonts w:hint="eastAsia" w:ascii="宋体" w:hAnsi="宋体" w:cs="宋体"/>
          <w:color w:val="auto"/>
          <w:highlight w:val="none"/>
        </w:rPr>
        <w:t xml:space="preserve">   投标人认为有必要提供的其他文件（如有）</w:t>
      </w:r>
    </w:p>
    <w:p>
      <w:pPr>
        <w:spacing w:line="360" w:lineRule="auto"/>
        <w:rPr>
          <w:rFonts w:hint="eastAsia" w:ascii="宋体" w:hAnsi="宋体" w:cs="宋体"/>
          <w:color w:val="auto"/>
          <w:sz w:val="30"/>
          <w:szCs w:val="30"/>
          <w:highlight w:val="none"/>
        </w:rPr>
      </w:pPr>
      <w:bookmarkStart w:id="112" w:name="_Hlt42956379"/>
      <w:bookmarkEnd w:id="112"/>
      <w:r>
        <w:rPr>
          <w:rFonts w:hint="eastAsia" w:ascii="宋体" w:hAnsi="宋体" w:cs="宋体"/>
          <w:b/>
          <w:color w:val="auto"/>
          <w:sz w:val="24"/>
          <w:highlight w:val="none"/>
        </w:rPr>
        <w:br w:type="page"/>
      </w:r>
      <w:r>
        <w:rPr>
          <w:rFonts w:hint="eastAsia" w:ascii="宋体" w:hAnsi="宋体" w:cs="宋体"/>
          <w:b/>
          <w:color w:val="auto"/>
          <w:sz w:val="24"/>
          <w:highlight w:val="none"/>
        </w:rPr>
        <w:t>格式6.1</w:t>
      </w:r>
      <w:bookmarkStart w:id="113" w:name="_Toc4471859"/>
      <w:bookmarkStart w:id="114" w:name="_Toc42956284"/>
      <w:bookmarkStart w:id="115" w:name="_Toc118015391"/>
      <w:bookmarkStart w:id="116" w:name="_Toc118018370"/>
      <w:bookmarkStart w:id="117" w:name="_Toc208723428"/>
      <w:r>
        <w:rPr>
          <w:rFonts w:hint="eastAsia" w:ascii="宋体" w:hAnsi="宋体" w:cs="宋体"/>
          <w:b/>
          <w:color w:val="auto"/>
          <w:sz w:val="24"/>
          <w:highlight w:val="none"/>
        </w:rPr>
        <w:t xml:space="preserve">.1  </w:t>
      </w:r>
      <w:bookmarkEnd w:id="113"/>
      <w:bookmarkEnd w:id="114"/>
      <w:bookmarkEnd w:id="115"/>
      <w:bookmarkEnd w:id="116"/>
      <w:bookmarkEnd w:id="117"/>
      <w:bookmarkStart w:id="118" w:name="_Hlt10564367"/>
      <w:bookmarkEnd w:id="118"/>
      <w:r>
        <w:rPr>
          <w:rFonts w:hint="eastAsia" w:ascii="宋体" w:hAnsi="宋体" w:cs="宋体"/>
          <w:b/>
          <w:color w:val="auto"/>
          <w:sz w:val="24"/>
          <w:highlight w:val="none"/>
        </w:rPr>
        <w:t xml:space="preserve"> </w:t>
      </w:r>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技术响应表</w:t>
      </w:r>
    </w:p>
    <w:p>
      <w:pPr>
        <w:rPr>
          <w:rFonts w:hint="eastAsia" w:ascii="宋体" w:hAnsi="宋体" w:cs="宋体"/>
          <w:color w:val="auto"/>
          <w:highlight w:val="none"/>
        </w:rPr>
      </w:pPr>
    </w:p>
    <w:tbl>
      <w:tblPr>
        <w:tblStyle w:val="2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用户需求书相应序号</w:t>
            </w:r>
          </w:p>
        </w:tc>
        <w:tc>
          <w:tcPr>
            <w:tcW w:w="3045"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用户需求书相关内容</w:t>
            </w:r>
          </w:p>
        </w:tc>
        <w:tc>
          <w:tcPr>
            <w:tcW w:w="1453"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响应内容描述</w:t>
            </w:r>
          </w:p>
        </w:tc>
        <w:tc>
          <w:tcPr>
            <w:tcW w:w="2777"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差异描述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p>
        </w:tc>
        <w:tc>
          <w:tcPr>
            <w:tcW w:w="3045" w:type="dxa"/>
            <w:noWrap w:val="0"/>
            <w:vAlign w:val="center"/>
          </w:tcPr>
          <w:p>
            <w:pPr>
              <w:autoSpaceDE w:val="0"/>
              <w:autoSpaceDN w:val="0"/>
              <w:adjustRightInd w:val="0"/>
              <w:jc w:val="center"/>
              <w:rPr>
                <w:rFonts w:hint="eastAsia" w:ascii="宋体" w:hAnsi="宋体" w:cs="宋体"/>
                <w:color w:val="auto"/>
                <w:highlight w:val="none"/>
              </w:rPr>
            </w:pPr>
          </w:p>
        </w:tc>
        <w:tc>
          <w:tcPr>
            <w:tcW w:w="1453" w:type="dxa"/>
            <w:noWrap w:val="0"/>
            <w:vAlign w:val="center"/>
          </w:tcPr>
          <w:p>
            <w:pPr>
              <w:autoSpaceDE w:val="0"/>
              <w:autoSpaceDN w:val="0"/>
              <w:adjustRightInd w:val="0"/>
              <w:jc w:val="center"/>
              <w:rPr>
                <w:rFonts w:hint="eastAsia" w:ascii="宋体" w:hAnsi="宋体" w:cs="宋体"/>
                <w:color w:val="auto"/>
                <w:highlight w:val="none"/>
              </w:rPr>
            </w:pPr>
          </w:p>
        </w:tc>
        <w:tc>
          <w:tcPr>
            <w:tcW w:w="2777"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p>
        </w:tc>
        <w:tc>
          <w:tcPr>
            <w:tcW w:w="3045" w:type="dxa"/>
            <w:noWrap w:val="0"/>
            <w:vAlign w:val="center"/>
          </w:tcPr>
          <w:p>
            <w:pPr>
              <w:autoSpaceDE w:val="0"/>
              <w:autoSpaceDN w:val="0"/>
              <w:adjustRightInd w:val="0"/>
              <w:jc w:val="center"/>
              <w:rPr>
                <w:rFonts w:hint="eastAsia" w:ascii="宋体" w:hAnsi="宋体" w:cs="宋体"/>
                <w:color w:val="auto"/>
                <w:highlight w:val="none"/>
              </w:rPr>
            </w:pPr>
          </w:p>
        </w:tc>
        <w:tc>
          <w:tcPr>
            <w:tcW w:w="1453" w:type="dxa"/>
            <w:noWrap w:val="0"/>
            <w:vAlign w:val="center"/>
          </w:tcPr>
          <w:p>
            <w:pPr>
              <w:autoSpaceDE w:val="0"/>
              <w:autoSpaceDN w:val="0"/>
              <w:adjustRightInd w:val="0"/>
              <w:jc w:val="center"/>
              <w:rPr>
                <w:rFonts w:hint="eastAsia" w:ascii="宋体" w:hAnsi="宋体" w:cs="宋体"/>
                <w:color w:val="auto"/>
                <w:highlight w:val="none"/>
              </w:rPr>
            </w:pPr>
          </w:p>
        </w:tc>
        <w:tc>
          <w:tcPr>
            <w:tcW w:w="2777"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p>
        </w:tc>
        <w:tc>
          <w:tcPr>
            <w:tcW w:w="3045" w:type="dxa"/>
            <w:noWrap w:val="0"/>
            <w:vAlign w:val="center"/>
          </w:tcPr>
          <w:p>
            <w:pPr>
              <w:autoSpaceDE w:val="0"/>
              <w:autoSpaceDN w:val="0"/>
              <w:adjustRightInd w:val="0"/>
              <w:jc w:val="center"/>
              <w:rPr>
                <w:rFonts w:hint="eastAsia" w:ascii="宋体" w:hAnsi="宋体" w:cs="宋体"/>
                <w:color w:val="auto"/>
                <w:highlight w:val="none"/>
              </w:rPr>
            </w:pPr>
          </w:p>
        </w:tc>
        <w:tc>
          <w:tcPr>
            <w:tcW w:w="1453" w:type="dxa"/>
            <w:noWrap w:val="0"/>
            <w:vAlign w:val="center"/>
          </w:tcPr>
          <w:p>
            <w:pPr>
              <w:autoSpaceDE w:val="0"/>
              <w:autoSpaceDN w:val="0"/>
              <w:adjustRightInd w:val="0"/>
              <w:jc w:val="center"/>
              <w:rPr>
                <w:rFonts w:hint="eastAsia" w:ascii="宋体" w:hAnsi="宋体" w:cs="宋体"/>
                <w:color w:val="auto"/>
                <w:highlight w:val="none"/>
              </w:rPr>
            </w:pPr>
          </w:p>
        </w:tc>
        <w:tc>
          <w:tcPr>
            <w:tcW w:w="2777"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p>
        </w:tc>
        <w:tc>
          <w:tcPr>
            <w:tcW w:w="3045" w:type="dxa"/>
            <w:noWrap w:val="0"/>
            <w:vAlign w:val="center"/>
          </w:tcPr>
          <w:p>
            <w:pPr>
              <w:autoSpaceDE w:val="0"/>
              <w:autoSpaceDN w:val="0"/>
              <w:adjustRightInd w:val="0"/>
              <w:jc w:val="center"/>
              <w:rPr>
                <w:rFonts w:hint="eastAsia" w:ascii="宋体" w:hAnsi="宋体" w:cs="宋体"/>
                <w:color w:val="auto"/>
                <w:highlight w:val="none"/>
              </w:rPr>
            </w:pPr>
          </w:p>
        </w:tc>
        <w:tc>
          <w:tcPr>
            <w:tcW w:w="1453" w:type="dxa"/>
            <w:noWrap w:val="0"/>
            <w:vAlign w:val="center"/>
          </w:tcPr>
          <w:p>
            <w:pPr>
              <w:autoSpaceDE w:val="0"/>
              <w:autoSpaceDN w:val="0"/>
              <w:adjustRightInd w:val="0"/>
              <w:jc w:val="center"/>
              <w:rPr>
                <w:rFonts w:hint="eastAsia" w:ascii="宋体" w:hAnsi="宋体" w:cs="宋体"/>
                <w:color w:val="auto"/>
                <w:highlight w:val="none"/>
              </w:rPr>
            </w:pPr>
          </w:p>
        </w:tc>
        <w:tc>
          <w:tcPr>
            <w:tcW w:w="2777"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p>
        </w:tc>
        <w:tc>
          <w:tcPr>
            <w:tcW w:w="3045" w:type="dxa"/>
            <w:noWrap w:val="0"/>
            <w:vAlign w:val="center"/>
          </w:tcPr>
          <w:p>
            <w:pPr>
              <w:autoSpaceDE w:val="0"/>
              <w:autoSpaceDN w:val="0"/>
              <w:adjustRightInd w:val="0"/>
              <w:jc w:val="center"/>
              <w:rPr>
                <w:rFonts w:hint="eastAsia" w:ascii="宋体" w:hAnsi="宋体" w:cs="宋体"/>
                <w:color w:val="auto"/>
                <w:highlight w:val="none"/>
              </w:rPr>
            </w:pPr>
          </w:p>
        </w:tc>
        <w:tc>
          <w:tcPr>
            <w:tcW w:w="1453" w:type="dxa"/>
            <w:noWrap w:val="0"/>
            <w:vAlign w:val="center"/>
          </w:tcPr>
          <w:p>
            <w:pPr>
              <w:autoSpaceDE w:val="0"/>
              <w:autoSpaceDN w:val="0"/>
              <w:adjustRightInd w:val="0"/>
              <w:jc w:val="center"/>
              <w:rPr>
                <w:rFonts w:hint="eastAsia" w:ascii="宋体" w:hAnsi="宋体" w:cs="宋体"/>
                <w:color w:val="auto"/>
                <w:highlight w:val="none"/>
              </w:rPr>
            </w:pPr>
          </w:p>
        </w:tc>
        <w:tc>
          <w:tcPr>
            <w:tcW w:w="2777"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2" w:hRule="atLeast"/>
        </w:trPr>
        <w:tc>
          <w:tcPr>
            <w:tcW w:w="1260" w:type="dxa"/>
            <w:noWrap w:val="0"/>
            <w:vAlign w:val="center"/>
          </w:tcPr>
          <w:p>
            <w:pPr>
              <w:autoSpaceDE w:val="0"/>
              <w:autoSpaceDN w:val="0"/>
              <w:adjustRightInd w:val="0"/>
              <w:jc w:val="center"/>
              <w:rPr>
                <w:rFonts w:hint="eastAsia" w:ascii="宋体" w:hAnsi="宋体" w:cs="宋体"/>
                <w:color w:val="auto"/>
                <w:highlight w:val="none"/>
              </w:rPr>
            </w:pPr>
          </w:p>
        </w:tc>
        <w:tc>
          <w:tcPr>
            <w:tcW w:w="3045" w:type="dxa"/>
            <w:noWrap w:val="0"/>
            <w:vAlign w:val="center"/>
          </w:tcPr>
          <w:p>
            <w:pPr>
              <w:autoSpaceDE w:val="0"/>
              <w:autoSpaceDN w:val="0"/>
              <w:adjustRightInd w:val="0"/>
              <w:jc w:val="center"/>
              <w:rPr>
                <w:rFonts w:hint="eastAsia" w:ascii="宋体" w:hAnsi="宋体" w:cs="宋体"/>
                <w:color w:val="auto"/>
                <w:highlight w:val="none"/>
              </w:rPr>
            </w:pPr>
          </w:p>
        </w:tc>
        <w:tc>
          <w:tcPr>
            <w:tcW w:w="1453" w:type="dxa"/>
            <w:noWrap w:val="0"/>
            <w:vAlign w:val="center"/>
          </w:tcPr>
          <w:p>
            <w:pPr>
              <w:autoSpaceDE w:val="0"/>
              <w:autoSpaceDN w:val="0"/>
              <w:adjustRightInd w:val="0"/>
              <w:jc w:val="center"/>
              <w:rPr>
                <w:rFonts w:hint="eastAsia" w:ascii="宋体" w:hAnsi="宋体" w:cs="宋体"/>
                <w:color w:val="auto"/>
                <w:highlight w:val="none"/>
              </w:rPr>
            </w:pPr>
          </w:p>
        </w:tc>
        <w:tc>
          <w:tcPr>
            <w:tcW w:w="2777" w:type="dxa"/>
            <w:noWrap w:val="0"/>
            <w:vAlign w:val="center"/>
          </w:tcPr>
          <w:p>
            <w:pPr>
              <w:autoSpaceDE w:val="0"/>
              <w:autoSpaceDN w:val="0"/>
              <w:adjustRightInd w:val="0"/>
              <w:jc w:val="center"/>
              <w:rPr>
                <w:rFonts w:hint="eastAsia" w:ascii="宋体" w:hAnsi="宋体" w:cs="宋体"/>
                <w:color w:val="auto"/>
                <w:w w:val="80"/>
                <w:highlight w:val="none"/>
              </w:rPr>
            </w:pPr>
          </w:p>
        </w:tc>
      </w:tr>
    </w:tbl>
    <w:p>
      <w:pPr>
        <w:spacing w:line="360" w:lineRule="auto"/>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b/>
          <w:color w:val="auto"/>
          <w:highlight w:val="none"/>
        </w:rPr>
        <w:t>[说明]</w:t>
      </w:r>
      <w:r>
        <w:rPr>
          <w:rFonts w:hint="eastAsia" w:ascii="宋体" w:hAnsi="宋体" w:cs="宋体"/>
          <w:color w:val="auto"/>
          <w:highlight w:val="none"/>
        </w:rPr>
        <w:t xml:space="preserve"> 投标人应按照招标文件要求和“用户需求书”作出响应，如有差异的在“差异描述”栏中详细描述差异情况。</w:t>
      </w:r>
    </w:p>
    <w:p>
      <w:pPr>
        <w:rPr>
          <w:rFonts w:hint="eastAsia" w:ascii="宋体" w:hAnsi="宋体" w:cs="宋体"/>
          <w:color w:val="auto"/>
          <w:highlight w:val="none"/>
        </w:rPr>
      </w:pPr>
      <w:r>
        <w:rPr>
          <w:rFonts w:hint="eastAsia" w:ascii="宋体" w:hAnsi="宋体" w:cs="宋体"/>
          <w:color w:val="auto"/>
          <w:highlight w:val="none"/>
        </w:rPr>
        <w:t>若以上表格如为空白，则表示无偏离，即完全满足招标文件的用户需求书条款。</w:t>
      </w:r>
    </w:p>
    <w:p>
      <w:pPr>
        <w:rPr>
          <w:rFonts w:hint="eastAsia" w:ascii="宋体" w:hAnsi="宋体" w:cs="宋体"/>
          <w:color w:val="auto"/>
          <w:highlight w:val="none"/>
        </w:rPr>
      </w:pPr>
    </w:p>
    <w:p>
      <w:pPr>
        <w:tabs>
          <w:tab w:val="left" w:pos="676"/>
          <w:tab w:val="left" w:pos="2330"/>
          <w:tab w:val="left" w:pos="9230"/>
        </w:tabs>
        <w:autoSpaceDE w:val="0"/>
        <w:autoSpaceDN w:val="0"/>
        <w:adjustRightInd w:val="0"/>
        <w:spacing w:line="360" w:lineRule="auto"/>
        <w:ind w:left="4700" w:leftChars="2238"/>
        <w:rPr>
          <w:rFonts w:hint="eastAsia" w:ascii="宋体" w:hAnsi="宋体" w:cs="宋体"/>
          <w:color w:val="auto"/>
          <w:highlight w:val="none"/>
        </w:rPr>
      </w:pPr>
    </w:p>
    <w:p>
      <w:pPr>
        <w:tabs>
          <w:tab w:val="left" w:pos="676"/>
          <w:tab w:val="left" w:pos="2330"/>
          <w:tab w:val="left" w:pos="9230"/>
        </w:tabs>
        <w:autoSpaceDE w:val="0"/>
        <w:autoSpaceDN w:val="0"/>
        <w:adjustRightInd w:val="0"/>
        <w:spacing w:line="360" w:lineRule="auto"/>
        <w:ind w:left="4700" w:leftChars="2238"/>
        <w:rPr>
          <w:rFonts w:hint="eastAsia" w:ascii="宋体" w:hAnsi="宋体" w:cs="宋体"/>
          <w:color w:val="auto"/>
          <w:highlight w:val="none"/>
        </w:rPr>
      </w:pPr>
    </w:p>
    <w:p>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投标人名称:（盖章）</w:t>
      </w:r>
    </w:p>
    <w:p>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日期：    年   月   日</w:t>
      </w:r>
    </w:p>
    <w:p>
      <w:pPr>
        <w:tabs>
          <w:tab w:val="left" w:pos="676"/>
          <w:tab w:val="left" w:pos="2330"/>
          <w:tab w:val="left" w:pos="9230"/>
        </w:tabs>
        <w:autoSpaceDE w:val="0"/>
        <w:autoSpaceDN w:val="0"/>
        <w:adjustRightInd w:val="0"/>
        <w:jc w:val="center"/>
        <w:rPr>
          <w:rFonts w:hint="eastAsia" w:ascii="宋体" w:hAnsi="宋体" w:cs="宋体"/>
          <w:color w:val="auto"/>
          <w:highlight w:val="none"/>
        </w:rPr>
      </w:pPr>
    </w:p>
    <w:p>
      <w:pPr>
        <w:tabs>
          <w:tab w:val="left" w:pos="7200"/>
        </w:tabs>
        <w:autoSpaceDE w:val="0"/>
        <w:autoSpaceDN w:val="0"/>
        <w:adjustRightInd w:val="0"/>
        <w:spacing w:line="300" w:lineRule="auto"/>
        <w:jc w:val="left"/>
        <w:rPr>
          <w:rFonts w:hint="eastAsia"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格式6.1.2</w:t>
      </w:r>
    </w:p>
    <w:p>
      <w:pPr>
        <w:spacing w:line="360" w:lineRule="auto"/>
        <w:jc w:val="center"/>
        <w:rPr>
          <w:rFonts w:hint="eastAsia" w:ascii="宋体" w:hAnsi="宋体" w:cs="宋体"/>
          <w:b/>
          <w:color w:val="auto"/>
          <w:sz w:val="32"/>
          <w:szCs w:val="36"/>
          <w:highlight w:val="none"/>
        </w:rPr>
      </w:pPr>
      <w:r>
        <w:rPr>
          <w:rFonts w:hint="eastAsia" w:ascii="宋体" w:hAnsi="宋体" w:cs="宋体"/>
          <w:b/>
          <w:color w:val="auto"/>
          <w:sz w:val="28"/>
          <w:szCs w:val="28"/>
          <w:highlight w:val="none"/>
        </w:rPr>
        <w:t>关键条款响应表</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94"/>
        <w:gridCol w:w="2616"/>
        <w:gridCol w:w="1216"/>
        <w:gridCol w:w="121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用户需求书相应序号</w:t>
            </w:r>
          </w:p>
        </w:tc>
        <w:tc>
          <w:tcPr>
            <w:tcW w:w="2616"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关键条款（★条款）相关内容</w:t>
            </w:r>
          </w:p>
        </w:tc>
        <w:tc>
          <w:tcPr>
            <w:tcW w:w="1216"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kern w:val="1"/>
                <w:highlight w:val="none"/>
              </w:rPr>
              <w:t>偏离情况</w:t>
            </w:r>
          </w:p>
        </w:tc>
        <w:tc>
          <w:tcPr>
            <w:tcW w:w="1216"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响应内容描述</w:t>
            </w:r>
          </w:p>
        </w:tc>
        <w:tc>
          <w:tcPr>
            <w:tcW w:w="2318" w:type="dxa"/>
            <w:noWrap w:val="0"/>
            <w:vAlign w:val="center"/>
          </w:tcPr>
          <w:p>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差异描述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pPr>
              <w:autoSpaceDE w:val="0"/>
              <w:autoSpaceDN w:val="0"/>
              <w:adjustRightInd w:val="0"/>
              <w:jc w:val="center"/>
              <w:rPr>
                <w:rFonts w:hint="eastAsia" w:ascii="宋体" w:hAnsi="宋体" w:cs="宋体"/>
                <w:color w:val="auto"/>
                <w:highlight w:val="none"/>
              </w:rPr>
            </w:pPr>
          </w:p>
        </w:tc>
        <w:tc>
          <w:tcPr>
            <w:tcW w:w="2616" w:type="dxa"/>
            <w:noWrap w:val="0"/>
            <w:vAlign w:val="center"/>
          </w:tcPr>
          <w:p>
            <w:pPr>
              <w:autoSpaceDE w:val="0"/>
              <w:autoSpaceDN w:val="0"/>
              <w:adjustRightInd w:val="0"/>
              <w:jc w:val="center"/>
              <w:rPr>
                <w:rFonts w:hint="eastAsia" w:ascii="宋体" w:hAnsi="宋体" w:cs="宋体"/>
                <w:color w:val="auto"/>
                <w:sz w:val="22"/>
                <w:szCs w:val="22"/>
                <w:highlight w:val="none"/>
                <w:lang w:bidi="ar"/>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2318"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pPr>
              <w:autoSpaceDE w:val="0"/>
              <w:autoSpaceDN w:val="0"/>
              <w:adjustRightInd w:val="0"/>
              <w:jc w:val="center"/>
              <w:rPr>
                <w:rFonts w:hint="eastAsia" w:ascii="宋体" w:hAnsi="宋体" w:cs="宋体"/>
                <w:color w:val="auto"/>
                <w:highlight w:val="none"/>
              </w:rPr>
            </w:pPr>
          </w:p>
        </w:tc>
        <w:tc>
          <w:tcPr>
            <w:tcW w:w="26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2318"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pPr>
              <w:autoSpaceDE w:val="0"/>
              <w:autoSpaceDN w:val="0"/>
              <w:adjustRightInd w:val="0"/>
              <w:jc w:val="center"/>
              <w:rPr>
                <w:rFonts w:hint="eastAsia" w:ascii="宋体" w:hAnsi="宋体" w:cs="宋体"/>
                <w:color w:val="auto"/>
                <w:highlight w:val="none"/>
              </w:rPr>
            </w:pPr>
          </w:p>
        </w:tc>
        <w:tc>
          <w:tcPr>
            <w:tcW w:w="26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2318"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pPr>
              <w:autoSpaceDE w:val="0"/>
              <w:autoSpaceDN w:val="0"/>
              <w:adjustRightInd w:val="0"/>
              <w:jc w:val="center"/>
              <w:rPr>
                <w:rFonts w:hint="eastAsia" w:ascii="宋体" w:hAnsi="宋体" w:cs="宋体"/>
                <w:color w:val="auto"/>
                <w:highlight w:val="none"/>
              </w:rPr>
            </w:pPr>
          </w:p>
        </w:tc>
        <w:tc>
          <w:tcPr>
            <w:tcW w:w="26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2318" w:type="dxa"/>
            <w:noWrap w:val="0"/>
            <w:vAlign w:val="center"/>
          </w:tcPr>
          <w:p>
            <w:pPr>
              <w:autoSpaceDE w:val="0"/>
              <w:autoSpaceDN w:val="0"/>
              <w:adjustRightInd w:val="0"/>
              <w:jc w:val="center"/>
              <w:rPr>
                <w:rFonts w:hint="eastAsia" w:ascii="宋体" w:hAnsi="宋体" w:cs="宋体"/>
                <w:color w:val="auto"/>
                <w:w w:val="8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pPr>
              <w:autoSpaceDE w:val="0"/>
              <w:autoSpaceDN w:val="0"/>
              <w:adjustRightInd w:val="0"/>
              <w:jc w:val="center"/>
              <w:rPr>
                <w:rFonts w:hint="eastAsia" w:ascii="宋体" w:hAnsi="宋体" w:cs="宋体"/>
                <w:color w:val="auto"/>
                <w:highlight w:val="none"/>
              </w:rPr>
            </w:pPr>
          </w:p>
        </w:tc>
        <w:tc>
          <w:tcPr>
            <w:tcW w:w="26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1216" w:type="dxa"/>
            <w:noWrap w:val="0"/>
            <w:vAlign w:val="center"/>
          </w:tcPr>
          <w:p>
            <w:pPr>
              <w:autoSpaceDE w:val="0"/>
              <w:autoSpaceDN w:val="0"/>
              <w:adjustRightInd w:val="0"/>
              <w:jc w:val="center"/>
              <w:rPr>
                <w:rFonts w:hint="eastAsia" w:ascii="宋体" w:hAnsi="宋体" w:cs="宋体"/>
                <w:color w:val="auto"/>
                <w:highlight w:val="none"/>
              </w:rPr>
            </w:pPr>
          </w:p>
        </w:tc>
        <w:tc>
          <w:tcPr>
            <w:tcW w:w="2318" w:type="dxa"/>
            <w:noWrap w:val="0"/>
            <w:vAlign w:val="center"/>
          </w:tcPr>
          <w:p>
            <w:pPr>
              <w:autoSpaceDE w:val="0"/>
              <w:autoSpaceDN w:val="0"/>
              <w:adjustRightInd w:val="0"/>
              <w:jc w:val="center"/>
              <w:rPr>
                <w:rFonts w:hint="eastAsia" w:ascii="宋体" w:hAnsi="宋体" w:cs="宋体"/>
                <w:color w:val="auto"/>
                <w:w w:val="80"/>
                <w:highlight w:val="none"/>
              </w:rPr>
            </w:pPr>
          </w:p>
        </w:tc>
      </w:tr>
    </w:tbl>
    <w:p>
      <w:pPr>
        <w:spacing w:line="360" w:lineRule="auto"/>
        <w:rPr>
          <w:rFonts w:hint="eastAsia" w:ascii="宋体" w:hAnsi="宋体" w:cs="宋体"/>
          <w:color w:val="auto"/>
          <w:sz w:val="24"/>
          <w:highlight w:val="none"/>
        </w:rPr>
      </w:pPr>
    </w:p>
    <w:p>
      <w:pPr>
        <w:autoSpaceDE w:val="0"/>
        <w:autoSpaceDN w:val="0"/>
        <w:adjustRightInd w:val="0"/>
        <w:jc w:val="left"/>
        <w:rPr>
          <w:rFonts w:hint="eastAsia" w:ascii="宋体" w:hAnsi="宋体" w:cs="宋体"/>
          <w:color w:val="auto"/>
          <w:highlight w:val="none"/>
        </w:rPr>
      </w:pPr>
      <w:r>
        <w:rPr>
          <w:rFonts w:hint="eastAsia" w:ascii="宋体" w:hAnsi="宋体" w:cs="宋体"/>
          <w:b/>
          <w:color w:val="auto"/>
          <w:highlight w:val="none"/>
        </w:rPr>
        <w:t>[说明]</w:t>
      </w:r>
      <w:r>
        <w:rPr>
          <w:rFonts w:hint="eastAsia" w:ascii="宋体" w:hAnsi="宋体" w:cs="宋体"/>
          <w:color w:val="auto"/>
          <w:highlight w:val="none"/>
        </w:rPr>
        <w:t xml:space="preserve"> 投标人需按各自标段中★技术条款逐一对应响应表填写（如有）</w:t>
      </w:r>
    </w:p>
    <w:p>
      <w:pPr>
        <w:autoSpaceDE w:val="0"/>
        <w:autoSpaceDN w:val="0"/>
        <w:adjustRightInd w:val="0"/>
        <w:jc w:val="left"/>
        <w:rPr>
          <w:rFonts w:hint="eastAsia" w:ascii="宋体" w:hAnsi="宋体" w:cs="宋体"/>
          <w:color w:val="auto"/>
          <w:highlight w:val="none"/>
        </w:rPr>
      </w:pPr>
      <w:r>
        <w:rPr>
          <w:rFonts w:hint="eastAsia" w:ascii="宋体" w:hAnsi="宋体" w:cs="宋体"/>
          <w:color w:val="auto"/>
          <w:highlight w:val="none"/>
        </w:rPr>
        <w:t>投标人必须逐项对★技术条款的偏离情况如实填写</w:t>
      </w:r>
      <w:r>
        <w:rPr>
          <w:rFonts w:hint="eastAsia" w:ascii="宋体" w:hAnsi="宋体" w:cs="宋体"/>
          <w:color w:val="auto"/>
          <w:kern w:val="1"/>
          <w:highlight w:val="none"/>
        </w:rPr>
        <w:t>，并在本表的“偏离情况”栏中注明“正偏离”或“负偏离”或“无偏离”。</w:t>
      </w:r>
      <w:r>
        <w:rPr>
          <w:rFonts w:hint="eastAsia" w:ascii="宋体" w:hAnsi="宋体" w:cs="宋体"/>
          <w:color w:val="auto"/>
          <w:highlight w:val="none"/>
        </w:rPr>
        <w:t>如有差异的在“差异描述”栏中详细描述差异情况。</w:t>
      </w:r>
    </w:p>
    <w:p>
      <w:pPr>
        <w:autoSpaceDE w:val="0"/>
        <w:autoSpaceDN w:val="0"/>
        <w:adjustRightInd w:val="0"/>
        <w:jc w:val="left"/>
        <w:rPr>
          <w:rFonts w:hint="eastAsia" w:ascii="宋体" w:hAnsi="宋体" w:cs="宋体"/>
          <w:color w:val="auto"/>
          <w:highlight w:val="none"/>
        </w:rPr>
      </w:pPr>
    </w:p>
    <w:p>
      <w:pPr>
        <w:spacing w:line="360" w:lineRule="auto"/>
        <w:jc w:val="left"/>
        <w:rPr>
          <w:rFonts w:hint="eastAsia" w:ascii="宋体" w:hAnsi="宋体" w:cs="宋体"/>
          <w:color w:val="auto"/>
          <w:sz w:val="24"/>
          <w:highlight w:val="none"/>
        </w:rPr>
      </w:pPr>
    </w:p>
    <w:p>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投标人名称:（盖章）</w:t>
      </w:r>
    </w:p>
    <w:p>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日期：    年   月   日</w:t>
      </w:r>
    </w:p>
    <w:p>
      <w:pPr>
        <w:tabs>
          <w:tab w:val="left" w:pos="676"/>
          <w:tab w:val="left" w:pos="2330"/>
          <w:tab w:val="left" w:pos="9230"/>
        </w:tabs>
        <w:autoSpaceDE w:val="0"/>
        <w:autoSpaceDN w:val="0"/>
        <w:adjustRightInd w:val="0"/>
        <w:jc w:val="center"/>
        <w:rPr>
          <w:rFonts w:hint="eastAsia" w:ascii="宋体" w:hAnsi="宋体" w:cs="宋体"/>
          <w:color w:val="auto"/>
          <w:highlight w:val="none"/>
        </w:rPr>
      </w:pPr>
    </w:p>
    <w:p>
      <w:pPr>
        <w:tabs>
          <w:tab w:val="left" w:pos="676"/>
          <w:tab w:val="left" w:pos="2330"/>
          <w:tab w:val="left" w:pos="9230"/>
        </w:tabs>
        <w:autoSpaceDE w:val="0"/>
        <w:autoSpaceDN w:val="0"/>
        <w:adjustRightInd w:val="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格式6.2</w:t>
      </w:r>
    </w:p>
    <w:p>
      <w:pPr>
        <w:spacing w:line="360" w:lineRule="auto"/>
        <w:ind w:firstLine="425"/>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施工方案</w:t>
      </w:r>
    </w:p>
    <w:p>
      <w:pPr>
        <w:spacing w:line="360" w:lineRule="auto"/>
        <w:ind w:firstLine="425"/>
        <w:jc w:val="center"/>
        <w:rPr>
          <w:rFonts w:hint="eastAsia" w:ascii="宋体" w:hAnsi="宋体" w:cs="宋体"/>
          <w:color w:val="auto"/>
          <w:highlight w:val="none"/>
        </w:rPr>
      </w:pPr>
    </w:p>
    <w:p>
      <w:pPr>
        <w:spacing w:line="360" w:lineRule="auto"/>
        <w:ind w:firstLine="425"/>
        <w:jc w:val="center"/>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pPr>
        <w:pStyle w:val="24"/>
        <w:rPr>
          <w:rFonts w:hint="eastAsia"/>
          <w:lang w:val="en-US" w:eastAsia="zh-CN"/>
        </w:rPr>
      </w:pPr>
    </w:p>
    <w:p>
      <w:pPr>
        <w:bidi w:val="0"/>
        <w:rPr>
          <w:rFonts w:hint="eastAsia"/>
          <w:highlight w:val="none"/>
          <w:lang w:val="en-US" w:eastAsia="zh-CN"/>
        </w:rPr>
      </w:pPr>
    </w:p>
    <w:p>
      <w:pPr>
        <w:tabs>
          <w:tab w:val="left" w:pos="676"/>
          <w:tab w:val="left" w:pos="2330"/>
          <w:tab w:val="left" w:pos="9230"/>
        </w:tabs>
        <w:autoSpaceDE w:val="0"/>
        <w:autoSpaceDN w:val="0"/>
        <w:adjustRightInd w:val="0"/>
        <w:rPr>
          <w:rFonts w:hint="eastAsia" w:ascii="宋体" w:hAnsi="宋体" w:eastAsia="宋体" w:cs="宋体"/>
          <w:b/>
          <w:color w:val="auto"/>
          <w:sz w:val="24"/>
          <w:highlight w:val="red"/>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3</w:t>
      </w:r>
    </w:p>
    <w:p>
      <w:pPr>
        <w:pStyle w:val="3"/>
        <w:rPr>
          <w:rFonts w:hint="eastAsia"/>
          <w:highlight w:val="none"/>
          <w:lang w:val="en-US" w:eastAsia="zh-CN"/>
        </w:rPr>
      </w:pPr>
    </w:p>
    <w:p>
      <w:pPr>
        <w:spacing w:line="360" w:lineRule="auto"/>
        <w:ind w:firstLine="425"/>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施工进度计划和工期保证措施</w:t>
      </w:r>
    </w:p>
    <w:p>
      <w:pPr>
        <w:spacing w:line="360" w:lineRule="auto"/>
        <w:ind w:firstLine="425"/>
        <w:jc w:val="center"/>
        <w:rPr>
          <w:rFonts w:hint="eastAsia" w:ascii="宋体" w:hAnsi="宋体" w:eastAsia="宋体" w:cs="宋体"/>
          <w:b/>
          <w:color w:val="auto"/>
          <w:sz w:val="28"/>
          <w:szCs w:val="28"/>
          <w:highlight w:val="none"/>
        </w:rPr>
      </w:pPr>
    </w:p>
    <w:p>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pPr>
        <w:adjustRightInd w:val="0"/>
        <w:snapToGrid w:val="0"/>
        <w:spacing w:line="360" w:lineRule="auto"/>
        <w:ind w:left="420" w:leftChars="200"/>
        <w:rPr>
          <w:rFonts w:hint="eastAsia" w:ascii="宋体" w:hAnsi="宋体" w:cs="宋体"/>
          <w:color w:val="auto"/>
          <w:highlight w:val="none"/>
        </w:rPr>
      </w:pPr>
    </w:p>
    <w:p>
      <w:pPr>
        <w:spacing w:line="360" w:lineRule="auto"/>
        <w:jc w:val="center"/>
        <w:rPr>
          <w:rFonts w:hint="eastAsia" w:ascii="宋体" w:hAnsi="宋体" w:cs="宋体"/>
          <w:b/>
          <w:color w:val="auto"/>
          <w:sz w:val="28"/>
          <w:szCs w:val="28"/>
          <w:highlight w:val="none"/>
        </w:rPr>
      </w:pPr>
    </w:p>
    <w:p>
      <w:pPr>
        <w:ind w:firstLine="420"/>
        <w:rPr>
          <w:rFonts w:hint="eastAsia" w:ascii="宋体" w:hAnsi="宋体" w:cs="宋体"/>
          <w:color w:val="auto"/>
          <w:highlight w:val="none"/>
        </w:rPr>
      </w:pPr>
    </w:p>
    <w:p>
      <w:pPr>
        <w:tabs>
          <w:tab w:val="left" w:pos="676"/>
          <w:tab w:val="left" w:pos="2330"/>
          <w:tab w:val="left" w:pos="9230"/>
        </w:tabs>
        <w:autoSpaceDE w:val="0"/>
        <w:autoSpaceDN w:val="0"/>
        <w:adjustRightInd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4</w:t>
      </w:r>
    </w:p>
    <w:p>
      <w:pPr>
        <w:spacing w:line="360" w:lineRule="auto"/>
        <w:ind w:firstLine="42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施工安全及文明施工措施</w:t>
      </w:r>
    </w:p>
    <w:p>
      <w:pPr>
        <w:spacing w:line="360" w:lineRule="auto"/>
        <w:ind w:left="315" w:hanging="315" w:hangingChars="150"/>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pPr>
        <w:spacing w:line="360" w:lineRule="auto"/>
        <w:rPr>
          <w:rFonts w:hint="eastAsia" w:ascii="宋体" w:hAnsi="宋体" w:cs="宋体"/>
          <w:b/>
          <w:color w:val="auto"/>
          <w:sz w:val="24"/>
          <w:highlight w:val="none"/>
        </w:rPr>
      </w:pPr>
    </w:p>
    <w:p>
      <w:pPr>
        <w:spacing w:line="360" w:lineRule="auto"/>
        <w:jc w:val="center"/>
        <w:rPr>
          <w:rFonts w:hint="eastAsia" w:ascii="宋体" w:hAnsi="宋体" w:cs="宋体"/>
          <w:b/>
          <w:color w:val="auto"/>
          <w:sz w:val="28"/>
          <w:highlight w:val="none"/>
        </w:rPr>
      </w:pPr>
    </w:p>
    <w:p>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5</w:t>
      </w:r>
    </w:p>
    <w:p>
      <w:pPr>
        <w:spacing w:line="360" w:lineRule="auto"/>
        <w:ind w:firstLine="425"/>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运输、安装、调试方案</w:t>
      </w:r>
    </w:p>
    <w:p>
      <w:pPr>
        <w:spacing w:line="360" w:lineRule="auto"/>
        <w:ind w:firstLine="425"/>
        <w:jc w:val="center"/>
        <w:rPr>
          <w:rFonts w:hint="eastAsia" w:ascii="宋体" w:hAnsi="宋体" w:cs="宋体"/>
          <w:b/>
          <w:color w:val="auto"/>
          <w:sz w:val="28"/>
          <w:szCs w:val="28"/>
          <w:highlight w:val="none"/>
          <w:lang w:eastAsia="zh-CN"/>
        </w:rPr>
      </w:pPr>
    </w:p>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6</w:t>
      </w:r>
    </w:p>
    <w:p>
      <w:pPr>
        <w:pStyle w:val="3"/>
        <w:rPr>
          <w:rFonts w:hint="eastAsia" w:ascii="宋体" w:hAnsi="宋体" w:cs="宋体"/>
          <w:color w:val="auto"/>
          <w:highlight w:val="none"/>
        </w:rPr>
      </w:pPr>
    </w:p>
    <w:p>
      <w:pPr>
        <w:spacing w:line="360" w:lineRule="auto"/>
        <w:ind w:firstLine="425"/>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应急预案</w:t>
      </w:r>
    </w:p>
    <w:p>
      <w:pPr>
        <w:pStyle w:val="24"/>
        <w:rPr>
          <w:rFonts w:hint="eastAsia" w:ascii="宋体" w:hAnsi="宋体" w:eastAsia="宋体" w:cs="宋体"/>
          <w:kern w:val="0"/>
          <w:szCs w:val="21"/>
          <w:highlight w:val="none"/>
          <w:shd w:val="clear" w:color="auto" w:fill="FFFFFF"/>
          <w:lang w:bidi="ar"/>
        </w:rPr>
      </w:pPr>
    </w:p>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pPr>
        <w:rPr>
          <w:rFonts w:hint="eastAsia" w:ascii="宋体" w:hAnsi="宋体" w:cs="宋体"/>
          <w:color w:val="auto"/>
          <w:highlight w:val="none"/>
        </w:rPr>
      </w:pPr>
      <w:r>
        <w:rPr>
          <w:rFonts w:hint="eastAsia" w:ascii="宋体" w:hAnsi="宋体" w:cs="宋体"/>
          <w:color w:val="auto"/>
          <w:highlight w:val="none"/>
        </w:rPr>
        <w:br w:type="page"/>
      </w:r>
    </w:p>
    <w:p>
      <w:pPr>
        <w:pStyle w:val="24"/>
        <w:rPr>
          <w:rFonts w:hint="eastAsia"/>
        </w:rPr>
      </w:pPr>
    </w:p>
    <w:p>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7</w:t>
      </w:r>
    </w:p>
    <w:p>
      <w:pPr>
        <w:spacing w:line="360" w:lineRule="auto"/>
        <w:ind w:firstLine="425"/>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售后服务方案响应情况</w:t>
      </w:r>
    </w:p>
    <w:p>
      <w:pPr>
        <w:pStyle w:val="24"/>
        <w:rPr>
          <w:rFonts w:hint="eastAsia"/>
          <w:lang w:eastAsia="zh-CN"/>
        </w:rPr>
      </w:pPr>
    </w:p>
    <w:p>
      <w:pPr>
        <w:spacing w:line="360" w:lineRule="auto"/>
        <w:jc w:val="center"/>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8</w:t>
      </w:r>
    </w:p>
    <w:p>
      <w:pPr>
        <w:pStyle w:val="24"/>
        <w:rPr>
          <w:rFonts w:hint="eastAsia"/>
        </w:rPr>
      </w:pP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技术标评分细则需要提供的资料（如有）</w:t>
      </w:r>
    </w:p>
    <w:p>
      <w:pPr>
        <w:spacing w:line="360" w:lineRule="auto"/>
        <w:jc w:val="center"/>
        <w:rPr>
          <w:rFonts w:hint="eastAsia" w:ascii="宋体" w:hAnsi="宋体" w:cs="宋体"/>
          <w:b/>
          <w:color w:val="auto"/>
          <w:sz w:val="28"/>
          <w:highlight w:val="none"/>
        </w:rPr>
      </w:pPr>
    </w:p>
    <w:p>
      <w:pPr>
        <w:spacing w:line="360" w:lineRule="auto"/>
        <w:jc w:val="left"/>
        <w:rPr>
          <w:rFonts w:hint="eastAsia" w:ascii="宋体" w:hAnsi="宋体" w:cs="宋体"/>
          <w:b/>
          <w:color w:val="auto"/>
          <w:sz w:val="24"/>
          <w:highlight w:val="none"/>
        </w:rPr>
      </w:pPr>
    </w:p>
    <w:p>
      <w:pPr>
        <w:spacing w:line="360" w:lineRule="auto"/>
        <w:jc w:val="left"/>
        <w:rPr>
          <w:rFonts w:hint="eastAsia" w:ascii="宋体" w:hAnsi="宋体" w:eastAsia="宋体" w:cs="宋体"/>
          <w:b/>
          <w:color w:val="auto"/>
          <w:sz w:val="28"/>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9</w:t>
      </w: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招标人配合内容（如有）</w:t>
      </w:r>
    </w:p>
    <w:p>
      <w:pPr>
        <w:jc w:val="center"/>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请投标人详细描述中标合同执行阶段需招标人配合的工作内容。</w:t>
      </w:r>
    </w:p>
    <w:p>
      <w:pPr>
        <w:spacing w:line="360" w:lineRule="auto"/>
        <w:rPr>
          <w:rFonts w:hint="eastAsia" w:ascii="宋体" w:hAnsi="宋体" w:cs="宋体"/>
          <w:color w:val="auto"/>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default" w:ascii="宋体" w:hAnsi="宋体" w:eastAsia="宋体" w:cs="宋体"/>
          <w:color w:val="auto"/>
          <w:highlight w:val="none"/>
          <w:lang w:val="en-US"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10</w:t>
      </w: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投标人认为有必要提供的其他文件（如有）</w:t>
      </w:r>
    </w:p>
    <w:p>
      <w:pPr>
        <w:pStyle w:val="17"/>
        <w:rPr>
          <w:rFonts w:hint="eastAsia" w:hAnsi="宋体" w:cs="宋体"/>
          <w:color w:val="auto"/>
          <w:highlight w:val="none"/>
        </w:rPr>
      </w:pPr>
    </w:p>
    <w:p>
      <w:pPr>
        <w:spacing w:line="360" w:lineRule="auto"/>
        <w:rPr>
          <w:rFonts w:hint="eastAsia" w:ascii="宋体" w:hAnsi="宋体" w:cs="宋体"/>
          <w:color w:val="auto"/>
          <w:highlight w:val="none"/>
        </w:rPr>
      </w:pPr>
    </w:p>
    <w:p>
      <w:pPr>
        <w:tabs>
          <w:tab w:val="left" w:pos="2600"/>
        </w:tabs>
        <w:spacing w:line="300" w:lineRule="exact"/>
        <w:rPr>
          <w:rFonts w:hint="eastAsia" w:ascii="宋体" w:hAnsi="宋体" w:cs="宋体"/>
          <w:b/>
          <w:color w:val="auto"/>
          <w:sz w:val="24"/>
          <w:highlight w:val="none"/>
        </w:rPr>
      </w:pPr>
    </w:p>
    <w:p>
      <w:pPr>
        <w:pStyle w:val="17"/>
        <w:spacing w:line="360" w:lineRule="auto"/>
        <w:ind w:left="4700" w:leftChars="2238"/>
        <w:rPr>
          <w:rFonts w:hint="eastAsia" w:hAnsi="宋体" w:cs="宋体"/>
          <w:color w:val="auto"/>
          <w:highlight w:val="none"/>
        </w:rPr>
      </w:pPr>
    </w:p>
    <w:p>
      <w:pPr>
        <w:pStyle w:val="10"/>
        <w:rPr>
          <w:rFonts w:hint="eastAsia" w:ascii="宋体" w:hAnsi="宋体" w:cs="宋体"/>
          <w:color w:val="auto"/>
          <w:highlight w:val="none"/>
        </w:rPr>
        <w:sectPr>
          <w:headerReference r:id="rId10" w:type="default"/>
          <w:footerReference r:id="rId11" w:type="default"/>
          <w:pgSz w:w="11907" w:h="16840"/>
          <w:pgMar w:top="1418" w:right="1701" w:bottom="1418" w:left="1701" w:header="851" w:footer="851" w:gutter="0"/>
          <w:cols w:space="720" w:num="1"/>
          <w:docGrid w:linePitch="285" w:charSpace="0"/>
        </w:sectPr>
      </w:pPr>
    </w:p>
    <w:p>
      <w:pPr>
        <w:spacing w:line="360" w:lineRule="auto"/>
        <w:rPr>
          <w:rFonts w:hint="eastAsia" w:ascii="宋体" w:hAnsi="宋体" w:cs="宋体"/>
          <w:b/>
          <w:color w:val="auto"/>
          <w:sz w:val="30"/>
          <w:highlight w:val="none"/>
        </w:rPr>
      </w:pPr>
    </w:p>
    <w:p>
      <w:pPr>
        <w:pStyle w:val="5"/>
        <w:numPr>
          <w:ilvl w:val="0"/>
          <w:numId w:val="0"/>
        </w:numPr>
        <w:ind w:left="422"/>
        <w:rPr>
          <w:rFonts w:hint="eastAsia" w:hAnsi="宋体" w:cs="宋体"/>
          <w:color w:val="auto"/>
          <w:highlight w:val="none"/>
        </w:rPr>
      </w:pPr>
      <w:bookmarkStart w:id="119" w:name="_Toc476177994"/>
      <w:bookmarkStart w:id="120" w:name="_Toc477186333"/>
      <w:bookmarkStart w:id="121" w:name="_Toc477185972"/>
      <w:bookmarkStart w:id="122" w:name="_Toc496161878"/>
      <w:bookmarkStart w:id="123" w:name="_Toc118018368"/>
      <w:bookmarkStart w:id="124" w:name="_Toc455417786"/>
      <w:bookmarkStart w:id="125" w:name="_Toc476177435"/>
      <w:r>
        <w:rPr>
          <w:rFonts w:hint="eastAsia" w:hAnsi="宋体" w:cs="宋体"/>
          <w:color w:val="auto"/>
          <w:highlight w:val="none"/>
        </w:rPr>
        <w:t>七、其他资料格式</w:t>
      </w:r>
      <w:bookmarkEnd w:id="119"/>
      <w:bookmarkEnd w:id="120"/>
      <w:bookmarkEnd w:id="121"/>
      <w:bookmarkEnd w:id="122"/>
      <w:bookmarkEnd w:id="123"/>
      <w:bookmarkEnd w:id="124"/>
      <w:bookmarkEnd w:id="125"/>
    </w:p>
    <w:p>
      <w:pPr>
        <w:tabs>
          <w:tab w:val="left" w:pos="824"/>
        </w:tabs>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7.1  招标服务费承诺书</w:t>
      </w:r>
    </w:p>
    <w:p>
      <w:pPr>
        <w:tabs>
          <w:tab w:val="left" w:pos="824"/>
        </w:tabs>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7.2  退保证金说明</w:t>
      </w:r>
    </w:p>
    <w:p>
      <w:pPr>
        <w:tabs>
          <w:tab w:val="left" w:pos="824"/>
        </w:tabs>
        <w:spacing w:line="360" w:lineRule="auto"/>
        <w:ind w:firstLine="210" w:firstLineChars="100"/>
        <w:rPr>
          <w:rFonts w:hint="eastAsia" w:ascii="宋体" w:hAnsi="宋体" w:cs="宋体"/>
          <w:color w:val="auto"/>
          <w:highlight w:val="none"/>
        </w:rPr>
      </w:pPr>
    </w:p>
    <w:p>
      <w:pPr>
        <w:rPr>
          <w:rFonts w:hint="eastAsia"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7.1招标服务费承诺书</w:t>
      </w: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招标服务费承诺书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pPr>
        <w:spacing w:line="360" w:lineRule="auto"/>
        <w:rPr>
          <w:rFonts w:hint="eastAsia" w:ascii="宋体" w:hAnsi="宋体" w:cs="宋体"/>
          <w:b/>
          <w:color w:val="auto"/>
          <w:sz w:val="24"/>
          <w:highlight w:val="none"/>
        </w:rPr>
      </w:pPr>
      <w:r>
        <w:rPr>
          <w:rFonts w:hint="eastAsia" w:ascii="宋体" w:hAnsi="宋体" w:cs="宋体"/>
          <w:color w:val="auto"/>
          <w:highlight w:val="none"/>
        </w:rPr>
        <w:t>致</w:t>
      </w:r>
      <w:r>
        <w:rPr>
          <w:rFonts w:hint="eastAsia" w:ascii="宋体" w:hAnsi="宋体" w:cs="宋体"/>
          <w:color w:val="auto"/>
          <w:sz w:val="24"/>
          <w:highlight w:val="none"/>
        </w:rPr>
        <w:t>：</w:t>
      </w:r>
      <w:r>
        <w:rPr>
          <w:rFonts w:hint="eastAsia" w:ascii="宋体" w:hAnsi="宋体" w:cs="宋体"/>
          <w:b/>
          <w:color w:val="auto"/>
          <w:sz w:val="24"/>
          <w:highlight w:val="none"/>
        </w:rPr>
        <w:t>广东省机电设备招标有限公司</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left="210" w:hanging="210" w:hangingChars="100"/>
        <w:jc w:val="left"/>
        <w:rPr>
          <w:rFonts w:hint="eastAsia" w:ascii="宋体" w:hAnsi="宋体" w:cs="宋体"/>
          <w:color w:val="auto"/>
          <w:highlight w:val="none"/>
        </w:rPr>
      </w:pPr>
      <w:r>
        <w:rPr>
          <w:rFonts w:hint="eastAsia" w:ascii="宋体" w:hAnsi="宋体" w:cs="宋体"/>
          <w:color w:val="auto"/>
          <w:highlight w:val="none"/>
        </w:rPr>
        <w:t xml:space="preserve">       如果我方</w:t>
      </w:r>
      <w:r>
        <w:rPr>
          <w:rFonts w:hint="eastAsia" w:ascii="宋体" w:hAnsi="宋体" w:cs="宋体"/>
          <w:color w:val="auto"/>
          <w:highlight w:val="none"/>
          <w:u w:val="single"/>
        </w:rPr>
        <w:t>（投标人名称）</w:t>
      </w:r>
      <w:r>
        <w:rPr>
          <w:rFonts w:hint="eastAsia" w:ascii="宋体" w:hAnsi="宋体" w:cs="宋体"/>
          <w:color w:val="auto"/>
          <w:highlight w:val="none"/>
        </w:rPr>
        <w:t>在贵单位组织的（</w:t>
      </w:r>
      <w:r>
        <w:rPr>
          <w:rFonts w:hint="eastAsia" w:ascii="宋体" w:hAnsi="宋体" w:cs="宋体"/>
          <w:color w:val="auto"/>
          <w:highlight w:val="none"/>
          <w:u w:val="single"/>
        </w:rPr>
        <w:t>招标项目名称</w:t>
      </w:r>
      <w:r>
        <w:rPr>
          <w:rFonts w:hint="eastAsia" w:ascii="宋体" w:hAnsi="宋体" w:cs="宋体"/>
          <w:color w:val="auto"/>
          <w:highlight w:val="none"/>
        </w:rPr>
        <w:t>）项目编号为</w:t>
      </w:r>
      <w:r>
        <w:rPr>
          <w:rFonts w:hint="eastAsia" w:ascii="宋体" w:hAnsi="宋体" w:cs="宋体"/>
          <w:color w:val="auto"/>
          <w:highlight w:val="none"/>
          <w:u w:val="single"/>
        </w:rPr>
        <w:t xml:space="preserve">                           </w:t>
      </w:r>
      <w:r>
        <w:rPr>
          <w:rFonts w:hint="eastAsia" w:ascii="宋体" w:hAnsi="宋体" w:cs="宋体"/>
          <w:color w:val="auto"/>
          <w:highlight w:val="none"/>
        </w:rPr>
        <w:t>的相关服务的招标中获中标，我方</w:t>
      </w:r>
      <w:r>
        <w:rPr>
          <w:rFonts w:hint="eastAsia" w:ascii="宋体" w:hAnsi="宋体" w:cs="宋体"/>
          <w:color w:val="auto"/>
          <w:spacing w:val="-6"/>
          <w:highlight w:val="none"/>
        </w:rPr>
        <w:t>保证在收到《中标通知书》的当日，按招标文件要求，向贵单位</w:t>
      </w:r>
      <w:r>
        <w:rPr>
          <w:rFonts w:hint="eastAsia" w:ascii="宋体" w:hAnsi="宋体" w:cs="宋体"/>
          <w:color w:val="auto"/>
          <w:highlight w:val="none"/>
        </w:rPr>
        <w:t>交纳招标服务费（按投标人须知执行）。</w:t>
      </w:r>
    </w:p>
    <w:p>
      <w:pPr>
        <w:spacing w:line="360" w:lineRule="auto"/>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我方如违约，愿凭贵单位开出的违约通知，按上述承诺金额的200％在我方提交的投标保证金中扣付。</w:t>
      </w:r>
    </w:p>
    <w:p>
      <w:pPr>
        <w:spacing w:line="360" w:lineRule="auto"/>
        <w:rPr>
          <w:rFonts w:hint="eastAsia" w:ascii="宋体" w:hAnsi="宋体" w:cs="宋体"/>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pPr>
        <w:spacing w:line="480" w:lineRule="auto"/>
        <w:rPr>
          <w:rFonts w:hint="eastAsia" w:ascii="宋体" w:hAnsi="宋体" w:cs="宋体"/>
          <w:color w:val="auto"/>
          <w:szCs w:val="22"/>
          <w:highlight w:val="none"/>
        </w:rPr>
      </w:pPr>
    </w:p>
    <w:p>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pPr>
        <w:spacing w:line="480" w:lineRule="auto"/>
        <w:rPr>
          <w:rFonts w:hint="eastAsia" w:ascii="宋体" w:hAnsi="宋体" w:cs="宋体"/>
          <w:color w:val="auto"/>
          <w:highlight w:val="none"/>
        </w:rPr>
      </w:pPr>
    </w:p>
    <w:p>
      <w:pPr>
        <w:spacing w:line="300" w:lineRule="auto"/>
        <w:rPr>
          <w:rFonts w:hint="eastAsia" w:ascii="宋体" w:hAnsi="宋体" w:cs="宋体"/>
          <w:b/>
          <w:color w:val="auto"/>
          <w:sz w:val="24"/>
          <w:highlight w:val="none"/>
        </w:rPr>
      </w:pPr>
      <w:r>
        <w:rPr>
          <w:rFonts w:hint="eastAsia" w:ascii="宋体" w:hAnsi="宋体" w:cs="宋体"/>
          <w:color w:val="auto"/>
          <w:highlight w:val="none"/>
        </w:rPr>
        <w:br w:type="page"/>
      </w:r>
      <w:bookmarkStart w:id="126" w:name="_Toc496161880"/>
      <w:r>
        <w:rPr>
          <w:rFonts w:hint="eastAsia" w:ascii="宋体" w:hAnsi="宋体" w:cs="宋体"/>
          <w:b/>
          <w:color w:val="auto"/>
          <w:sz w:val="24"/>
          <w:highlight w:val="none"/>
        </w:rPr>
        <w:t>7.2投标保证金退还格式</w:t>
      </w:r>
      <w:bookmarkStart w:id="127" w:name="_Hlt523221392"/>
      <w:bookmarkEnd w:id="127"/>
      <w:r>
        <w:rPr>
          <w:rFonts w:hint="eastAsia" w:ascii="宋体" w:hAnsi="宋体" w:cs="宋体"/>
          <w:b/>
          <w:color w:val="auto"/>
          <w:sz w:val="24"/>
          <w:highlight w:val="none"/>
        </w:rPr>
        <w:t>（样本）</w:t>
      </w:r>
    </w:p>
    <w:p>
      <w:pPr>
        <w:snapToGrid w:val="0"/>
        <w:jc w:val="center"/>
        <w:rPr>
          <w:rStyle w:val="40"/>
          <w:rFonts w:hint="eastAsia" w:ascii="宋体" w:hAnsi="宋体" w:eastAsia="宋体" w:cs="宋体"/>
          <w:b/>
          <w:color w:val="auto"/>
          <w:spacing w:val="10"/>
          <w:sz w:val="21"/>
          <w:szCs w:val="21"/>
          <w:highlight w:val="none"/>
          <w:lang w:val="zh-CN"/>
        </w:rPr>
      </w:pPr>
      <w:r>
        <w:rPr>
          <w:rStyle w:val="40"/>
          <w:rFonts w:hint="eastAsia" w:ascii="宋体" w:hAnsi="宋体" w:eastAsia="宋体" w:cs="宋体"/>
          <w:b/>
          <w:color w:val="auto"/>
          <w:spacing w:val="10"/>
          <w:sz w:val="21"/>
          <w:szCs w:val="21"/>
          <w:highlight w:val="none"/>
          <w:lang w:val="zh-CN"/>
        </w:rPr>
        <w:t>退保证金说明</w:t>
      </w:r>
    </w:p>
    <w:p>
      <w:pPr>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p>
    <w:p>
      <w:pPr>
        <w:spacing w:line="360" w:lineRule="auto"/>
        <w:ind w:leftChars="-250" w:hanging="525" w:hangingChars="250"/>
        <w:rPr>
          <w:rFonts w:hint="eastAsia" w:ascii="宋体" w:hAnsi="宋体" w:cs="宋体"/>
          <w:color w:val="auto"/>
          <w:szCs w:val="21"/>
          <w:highlight w:val="none"/>
        </w:rPr>
      </w:pPr>
      <w:r>
        <w:rPr>
          <w:rFonts w:hint="eastAsia" w:ascii="宋体" w:hAnsi="宋体" w:cs="宋体"/>
          <w:color w:val="auto"/>
          <w:szCs w:val="21"/>
          <w:highlight w:val="none"/>
        </w:rPr>
        <w:t xml:space="preserve">         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项目的投标，项目编号为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所提交的保证金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元，请贵单位退还时划到以下账户：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noWrap w:val="0"/>
            <w:vAlign w:val="center"/>
          </w:tcPr>
          <w:p>
            <w:pPr>
              <w:spacing w:line="360" w:lineRule="auto"/>
              <w:ind w:right="206" w:rightChars="98"/>
              <w:jc w:val="center"/>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收款单位</w:t>
            </w:r>
          </w:p>
        </w:tc>
        <w:tc>
          <w:tcPr>
            <w:tcW w:w="1976" w:type="dxa"/>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 收款单位名称</w:t>
            </w:r>
          </w:p>
        </w:tc>
        <w:tc>
          <w:tcPr>
            <w:tcW w:w="5894" w:type="dxa"/>
            <w:gridSpan w:val="3"/>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 收款单位地址</w:t>
            </w:r>
          </w:p>
        </w:tc>
        <w:tc>
          <w:tcPr>
            <w:tcW w:w="5894" w:type="dxa"/>
            <w:gridSpan w:val="3"/>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pPr>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   开户银行</w:t>
            </w:r>
          </w:p>
          <w:p>
            <w:pPr>
              <w:ind w:right="206" w:rightChars="98"/>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（含汇入地点）</w:t>
            </w:r>
          </w:p>
        </w:tc>
        <w:tc>
          <w:tcPr>
            <w:tcW w:w="5894" w:type="dxa"/>
            <w:gridSpan w:val="3"/>
            <w:noWrap w:val="0"/>
            <w:vAlign w:val="center"/>
          </w:tcPr>
          <w:p>
            <w:pPr>
              <w:spacing w:line="360" w:lineRule="auto"/>
              <w:ind w:right="206" w:rightChars="98" w:firstLine="460" w:firstLineChars="200"/>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 xml:space="preserve">省    市（县）      银行       支行（分理处）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pPr>
              <w:spacing w:line="360" w:lineRule="auto"/>
              <w:ind w:right="206" w:rightChars="98"/>
              <w:jc w:val="center"/>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账  号</w:t>
            </w:r>
          </w:p>
        </w:tc>
        <w:tc>
          <w:tcPr>
            <w:tcW w:w="5894" w:type="dxa"/>
            <w:gridSpan w:val="3"/>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976" w:type="dxa"/>
            <w:noWrap w:val="0"/>
            <w:vAlign w:val="top"/>
          </w:tcPr>
          <w:p>
            <w:pPr>
              <w:spacing w:line="360" w:lineRule="auto"/>
              <w:ind w:right="206" w:rightChars="98" w:firstLine="460" w:firstLineChars="200"/>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联系人</w:t>
            </w:r>
          </w:p>
        </w:tc>
        <w:tc>
          <w:tcPr>
            <w:tcW w:w="1980" w:type="dxa"/>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c>
          <w:tcPr>
            <w:tcW w:w="1620" w:type="dxa"/>
            <w:noWrap w:val="0"/>
            <w:vAlign w:val="top"/>
          </w:tcPr>
          <w:p>
            <w:pPr>
              <w:spacing w:line="360" w:lineRule="auto"/>
              <w:ind w:right="206" w:rightChars="98" w:firstLine="230" w:firstLineChars="100"/>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手机号码</w:t>
            </w:r>
          </w:p>
        </w:tc>
        <w:tc>
          <w:tcPr>
            <w:tcW w:w="2294" w:type="dxa"/>
            <w:noWrap w:val="0"/>
            <w:vAlign w:val="top"/>
          </w:tcPr>
          <w:p>
            <w:pPr>
              <w:spacing w:line="360" w:lineRule="auto"/>
              <w:ind w:right="206" w:rightChars="98"/>
              <w:rPr>
                <w:rStyle w:val="40"/>
                <w:rFonts w:hint="eastAsia" w:ascii="宋体" w:hAnsi="宋体" w:eastAsia="宋体" w:cs="宋体"/>
                <w:color w:val="auto"/>
                <w:spacing w:val="10"/>
                <w:sz w:val="21"/>
                <w:szCs w:val="21"/>
                <w:highlight w:val="none"/>
                <w:lang w:val="zh-CN"/>
              </w:rPr>
            </w:pPr>
          </w:p>
        </w:tc>
      </w:tr>
    </w:tbl>
    <w:p>
      <w:pPr>
        <w:rPr>
          <w:rFonts w:hint="eastAsia" w:ascii="宋体" w:hAnsi="宋体" w:cs="宋体"/>
          <w:color w:val="auto"/>
          <w:szCs w:val="21"/>
          <w:highlight w:val="none"/>
        </w:rPr>
      </w:pPr>
    </w:p>
    <w:p>
      <w:pPr>
        <w:rPr>
          <w:rFonts w:hint="eastAsia" w:ascii="宋体" w:hAnsi="宋体" w:cs="宋体"/>
          <w:b/>
          <w:bCs/>
          <w:color w:val="auto"/>
          <w:szCs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t xml:space="preserve">投标人(公章)：                                  </w:t>
      </w:r>
    </w:p>
    <w:p>
      <w:pPr>
        <w:rPr>
          <w:rFonts w:hint="eastAsia" w:ascii="宋体" w:hAnsi="宋体" w:cs="宋体"/>
          <w:b/>
          <w:color w:val="auto"/>
          <w:szCs w:val="21"/>
          <w:highlight w:val="none"/>
        </w:rPr>
      </w:pPr>
      <w:r>
        <w:rPr>
          <w:rFonts w:hint="eastAsia" w:ascii="宋体" w:hAnsi="宋体" w:cs="宋体"/>
          <w:b/>
          <w:bCs/>
          <w:color w:val="auto"/>
          <w:szCs w:val="21"/>
          <w:highlight w:val="none"/>
        </w:rPr>
        <w:t xml:space="preserve">日        期：  </w:t>
      </w:r>
      <w:r>
        <w:rPr>
          <w:rFonts w:hint="eastAsia" w:ascii="宋体" w:hAnsi="宋体" w:cs="宋体"/>
          <w:b/>
          <w:color w:val="auto"/>
          <w:szCs w:val="21"/>
          <w:highlight w:val="none"/>
        </w:rPr>
        <w:t xml:space="preserve">                                </w:t>
      </w:r>
    </w:p>
    <w:p>
      <w:pPr>
        <w:spacing w:line="360" w:lineRule="auto"/>
        <w:ind w:left="692" w:leftChars="220" w:right="206" w:rightChars="98" w:hanging="230" w:hangingChars="100"/>
        <w:rPr>
          <w:rStyle w:val="40"/>
          <w:rFonts w:hint="eastAsia" w:ascii="宋体" w:hAnsi="宋体" w:eastAsia="宋体" w:cs="宋体"/>
          <w:color w:val="auto"/>
          <w:spacing w:val="10"/>
          <w:sz w:val="21"/>
          <w:szCs w:val="21"/>
          <w:highlight w:val="none"/>
          <w:lang w:val="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noWrap w:val="0"/>
            <w:vAlign w:val="center"/>
          </w:tcPr>
          <w:p>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p>
            <w:pPr>
              <w:ind w:right="206" w:rightChars="98"/>
              <w:jc w:val="center"/>
              <w:rPr>
                <w:rStyle w:val="40"/>
                <w:rFonts w:hint="eastAsia" w:ascii="宋体" w:hAnsi="宋体" w:eastAsia="宋体" w:cs="宋体"/>
                <w:color w:val="auto"/>
                <w:spacing w:val="10"/>
                <w:sz w:val="21"/>
                <w:szCs w:val="21"/>
                <w:highlight w:val="none"/>
                <w:lang w:val="zh-CN"/>
              </w:rPr>
            </w:pPr>
          </w:p>
          <w:p>
            <w:pPr>
              <w:ind w:right="206" w:rightChars="98"/>
              <w:jc w:val="center"/>
              <w:rPr>
                <w:rStyle w:val="40"/>
                <w:rFonts w:hint="eastAsia" w:ascii="宋体" w:hAnsi="宋体" w:eastAsia="宋体" w:cs="宋体"/>
                <w:color w:val="auto"/>
                <w:spacing w:val="10"/>
                <w:sz w:val="21"/>
                <w:szCs w:val="21"/>
                <w:highlight w:val="none"/>
                <w:lang w:val="zh-CN"/>
              </w:rPr>
            </w:pPr>
            <w:r>
              <w:rPr>
                <w:rStyle w:val="40"/>
                <w:rFonts w:hint="eastAsia" w:ascii="宋体" w:hAnsi="宋体" w:eastAsia="宋体" w:cs="宋体"/>
                <w:color w:val="auto"/>
                <w:spacing w:val="10"/>
                <w:sz w:val="21"/>
                <w:szCs w:val="21"/>
                <w:highlight w:val="none"/>
                <w:lang w:val="zh-CN"/>
              </w:rPr>
              <w:t>汇款凭证粘贴处</w:t>
            </w:r>
          </w:p>
          <w:p>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p>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p>
            <w:pPr>
              <w:spacing w:line="360" w:lineRule="auto"/>
              <w:ind w:right="206" w:rightChars="98"/>
              <w:jc w:val="center"/>
              <w:rPr>
                <w:rStyle w:val="40"/>
                <w:rFonts w:hint="eastAsia" w:ascii="宋体" w:hAnsi="宋体" w:eastAsia="宋体" w:cs="宋体"/>
                <w:color w:val="auto"/>
                <w:spacing w:val="10"/>
                <w:sz w:val="21"/>
                <w:szCs w:val="21"/>
                <w:highlight w:val="none"/>
                <w:lang w:val="zh-CN"/>
              </w:rPr>
            </w:pPr>
          </w:p>
        </w:tc>
      </w:tr>
    </w:tbl>
    <w:p>
      <w:pPr>
        <w:spacing w:line="360" w:lineRule="auto"/>
        <w:jc w:val="center"/>
        <w:rPr>
          <w:rStyle w:val="40"/>
          <w:rFonts w:hint="eastAsia" w:ascii="宋体" w:hAnsi="宋体" w:eastAsia="宋体" w:cs="宋体"/>
          <w:color w:val="auto"/>
          <w:spacing w:val="10"/>
          <w:szCs w:val="21"/>
          <w:highlight w:val="none"/>
          <w:lang w:val="zh-CN"/>
        </w:rPr>
      </w:pPr>
      <w:r>
        <w:rPr>
          <w:rStyle w:val="40"/>
          <w:rFonts w:hint="eastAsia" w:ascii="宋体" w:hAnsi="宋体" w:eastAsia="宋体" w:cs="宋体"/>
          <w:color w:val="auto"/>
          <w:spacing w:val="10"/>
          <w:szCs w:val="21"/>
          <w:highlight w:val="none"/>
          <w:lang w:val="zh-CN"/>
        </w:rPr>
        <w:br w:type="page"/>
      </w:r>
    </w:p>
    <w:bookmarkEnd w:id="126"/>
    <w:p>
      <w:pPr>
        <w:tabs>
          <w:tab w:val="left" w:pos="720"/>
        </w:tabs>
        <w:spacing w:line="300" w:lineRule="auto"/>
        <w:ind w:left="1021" w:hanging="1021"/>
        <w:jc w:val="center"/>
        <w:rPr>
          <w:rFonts w:hint="eastAsia" w:ascii="宋体" w:hAnsi="宋体" w:cs="宋体"/>
          <w:b/>
          <w:color w:val="auto"/>
          <w:sz w:val="28"/>
          <w:szCs w:val="28"/>
          <w:highlight w:val="none"/>
        </w:rPr>
      </w:pPr>
    </w:p>
    <w:p>
      <w:pPr>
        <w:tabs>
          <w:tab w:val="left" w:pos="720"/>
        </w:tabs>
        <w:spacing w:line="300" w:lineRule="auto"/>
        <w:ind w:left="1021" w:hanging="1021"/>
        <w:jc w:val="center"/>
        <w:rPr>
          <w:rFonts w:hint="eastAsia" w:ascii="宋体" w:hAnsi="宋体" w:cs="宋体"/>
          <w:b/>
          <w:color w:val="auto"/>
          <w:sz w:val="28"/>
          <w:szCs w:val="28"/>
          <w:highlight w:val="none"/>
        </w:rPr>
      </w:pPr>
    </w:p>
    <w:p>
      <w:pPr>
        <w:tabs>
          <w:tab w:val="left" w:pos="720"/>
          <w:tab w:val="left" w:pos="7679"/>
        </w:tabs>
        <w:spacing w:line="300" w:lineRule="auto"/>
        <w:ind w:left="1021" w:hanging="1021"/>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ab/>
      </w:r>
    </w:p>
    <w:p>
      <w:pPr>
        <w:tabs>
          <w:tab w:val="left" w:pos="720"/>
        </w:tabs>
        <w:spacing w:line="300" w:lineRule="auto"/>
        <w:ind w:left="1021" w:hanging="1021"/>
        <w:jc w:val="center"/>
        <w:rPr>
          <w:rFonts w:hint="eastAsia" w:ascii="宋体" w:hAnsi="宋体" w:cs="宋体"/>
          <w:b/>
          <w:color w:val="auto"/>
          <w:sz w:val="28"/>
          <w:szCs w:val="28"/>
          <w:highlight w:val="none"/>
        </w:rPr>
      </w:pPr>
    </w:p>
    <w:p>
      <w:pPr>
        <w:tabs>
          <w:tab w:val="left" w:pos="720"/>
        </w:tabs>
        <w:spacing w:line="300" w:lineRule="auto"/>
        <w:ind w:left="1021" w:hanging="1021"/>
        <w:jc w:val="center"/>
        <w:rPr>
          <w:rFonts w:hint="eastAsia" w:ascii="宋体" w:hAnsi="宋体" w:cs="宋体"/>
          <w:b/>
          <w:color w:val="auto"/>
          <w:sz w:val="28"/>
          <w:szCs w:val="28"/>
          <w:highlight w:val="none"/>
        </w:rPr>
      </w:pPr>
    </w:p>
    <w:p>
      <w:pPr>
        <w:tabs>
          <w:tab w:val="left" w:pos="720"/>
        </w:tabs>
        <w:spacing w:line="300" w:lineRule="auto"/>
        <w:ind w:left="1021" w:hanging="1021"/>
        <w:jc w:val="center"/>
        <w:rPr>
          <w:rFonts w:hint="eastAsia" w:ascii="宋体" w:hAnsi="宋体" w:cs="宋体"/>
          <w:b/>
          <w:color w:val="auto"/>
          <w:sz w:val="28"/>
          <w:szCs w:val="28"/>
          <w:highlight w:val="none"/>
        </w:rPr>
      </w:pPr>
    </w:p>
    <w:p>
      <w:pPr>
        <w:spacing w:line="360" w:lineRule="auto"/>
        <w:jc w:val="center"/>
        <w:rPr>
          <w:rFonts w:hint="eastAsia" w:ascii="宋体" w:hAnsi="宋体" w:cs="宋体"/>
          <w:b/>
          <w:color w:val="auto"/>
          <w:sz w:val="44"/>
          <w:highlight w:val="none"/>
        </w:rPr>
      </w:pPr>
    </w:p>
    <w:p>
      <w:pPr>
        <w:jc w:val="center"/>
        <w:outlineLvl w:val="0"/>
        <w:rPr>
          <w:rFonts w:hint="eastAsia" w:ascii="宋体" w:hAnsi="宋体" w:cs="宋体"/>
          <w:b/>
          <w:color w:val="auto"/>
          <w:sz w:val="44"/>
          <w:szCs w:val="44"/>
          <w:highlight w:val="none"/>
        </w:rPr>
      </w:pPr>
      <w:bookmarkStart w:id="128" w:name="_Toc5715"/>
      <w:r>
        <w:rPr>
          <w:rFonts w:hint="eastAsia" w:ascii="宋体" w:hAnsi="宋体" w:cs="宋体"/>
          <w:b/>
          <w:color w:val="auto"/>
          <w:sz w:val="44"/>
          <w:szCs w:val="44"/>
          <w:highlight w:val="none"/>
        </w:rPr>
        <w:t>第六章</w:t>
      </w:r>
      <w:bookmarkStart w:id="129" w:name="_Toc477186335"/>
      <w:r>
        <w:rPr>
          <w:rFonts w:hint="eastAsia" w:ascii="宋体" w:hAnsi="宋体" w:cs="宋体"/>
          <w:b/>
          <w:color w:val="auto"/>
          <w:sz w:val="44"/>
          <w:szCs w:val="44"/>
          <w:highlight w:val="none"/>
        </w:rPr>
        <w:t xml:space="preserve">  评标办法</w:t>
      </w:r>
      <w:bookmarkEnd w:id="128"/>
      <w:bookmarkEnd w:id="129"/>
    </w:p>
    <w:p>
      <w:pPr>
        <w:tabs>
          <w:tab w:val="left" w:pos="720"/>
        </w:tabs>
        <w:spacing w:line="300" w:lineRule="auto"/>
        <w:ind w:left="1021" w:hanging="1021"/>
        <w:jc w:val="center"/>
        <w:rPr>
          <w:rFonts w:hint="eastAsia" w:ascii="宋体" w:hAnsi="宋体" w:cs="宋体"/>
          <w:b/>
          <w:color w:val="auto"/>
          <w:sz w:val="28"/>
          <w:szCs w:val="28"/>
          <w:highlight w:val="none"/>
        </w:rPr>
      </w:pPr>
    </w:p>
    <w:p>
      <w:pPr>
        <w:tabs>
          <w:tab w:val="left" w:pos="720"/>
        </w:tabs>
        <w:spacing w:line="300" w:lineRule="auto"/>
        <w:ind w:left="1021" w:hanging="1021"/>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 xml:space="preserve"> </w:t>
      </w:r>
    </w:p>
    <w:p>
      <w:pPr>
        <w:tabs>
          <w:tab w:val="left" w:pos="720"/>
        </w:tabs>
        <w:spacing w:line="300" w:lineRule="auto"/>
        <w:ind w:left="1021" w:hanging="1021"/>
        <w:jc w:val="center"/>
        <w:rPr>
          <w:rFonts w:hint="eastAsia" w:ascii="宋体" w:hAnsi="宋体" w:cs="宋体"/>
          <w:b/>
          <w:color w:val="auto"/>
          <w:spacing w:val="10"/>
          <w:sz w:val="28"/>
          <w:szCs w:val="28"/>
          <w:highlight w:val="none"/>
        </w:rPr>
      </w:pPr>
      <w:bookmarkStart w:id="130" w:name="_Toc9981_WPSOffice_Level1"/>
      <w:bookmarkStart w:id="131" w:name="_Toc31126_WPSOffice_Level1"/>
      <w:bookmarkStart w:id="132" w:name="_Toc10591_WPSOffice_Level1"/>
      <w:r>
        <w:rPr>
          <w:rFonts w:hint="eastAsia" w:ascii="宋体" w:hAnsi="宋体" w:cs="宋体"/>
          <w:b/>
          <w:color w:val="auto"/>
          <w:sz w:val="28"/>
          <w:szCs w:val="28"/>
          <w:highlight w:val="none"/>
        </w:rPr>
        <w:t>评  标  办  法</w:t>
      </w:r>
      <w:bookmarkEnd w:id="130"/>
      <w:bookmarkEnd w:id="131"/>
      <w:bookmarkEnd w:id="132"/>
    </w:p>
    <w:p>
      <w:pPr>
        <w:pStyle w:val="4"/>
        <w:numPr>
          <w:ilvl w:val="0"/>
          <w:numId w:val="6"/>
        </w:numPr>
        <w:spacing w:before="120" w:after="120" w:line="360" w:lineRule="auto"/>
        <w:rPr>
          <w:rFonts w:hint="eastAsia" w:ascii="宋体" w:hAnsi="宋体" w:cs="宋体"/>
          <w:color w:val="auto"/>
          <w:sz w:val="28"/>
          <w:szCs w:val="28"/>
          <w:highlight w:val="none"/>
        </w:rPr>
      </w:pPr>
      <w:bookmarkStart w:id="133" w:name="_Toc4692_WPSOffice_Level1"/>
      <w:bookmarkStart w:id="134" w:name="_Toc2177_WPSOffice_Level1"/>
      <w:bookmarkStart w:id="135" w:name="_Toc8854"/>
      <w:bookmarkStart w:id="136" w:name="_Toc477186336"/>
      <w:bookmarkStart w:id="137" w:name="_Toc11635_WPSOffice_Level1"/>
      <w:bookmarkStart w:id="138" w:name="_Toc95306153"/>
      <w:bookmarkStart w:id="139" w:name="_Toc476177998"/>
      <w:bookmarkStart w:id="140" w:name="_Toc95305931"/>
      <w:bookmarkStart w:id="141" w:name="_Toc99012603"/>
      <w:bookmarkStart w:id="142" w:name="_Toc95298716"/>
      <w:bookmarkStart w:id="143" w:name="_Toc476177438"/>
      <w:bookmarkStart w:id="144" w:name="_Toc477185975"/>
      <w:bookmarkStart w:id="145" w:name="_Toc95306105"/>
      <w:bookmarkStart w:id="146" w:name="_Toc95306013"/>
      <w:r>
        <w:rPr>
          <w:rFonts w:hint="eastAsia" w:ascii="宋体" w:hAnsi="宋体" w:cs="宋体"/>
          <w:color w:val="auto"/>
          <w:sz w:val="28"/>
          <w:szCs w:val="28"/>
          <w:highlight w:val="none"/>
        </w:rPr>
        <w:t>说明</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tabs>
          <w:tab w:val="left" w:pos="840"/>
          <w:tab w:val="left" w:pos="1680"/>
          <w:tab w:val="left" w:pos="189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中华人民共和国招标投标法》、《中华人民共和国招标投标法实施条例》、《评标委员会和评标方法暂行规定》和国家及地方有关文件精神，在保证本项目招标公开、公平、公正的基础上，结合本项目的需求，制定本评标办法。内容包括本次评标的评审过程和方法。</w:t>
      </w:r>
    </w:p>
    <w:p>
      <w:pPr>
        <w:tabs>
          <w:tab w:val="left" w:pos="840"/>
        </w:tabs>
        <w:spacing w:line="360" w:lineRule="auto"/>
        <w:rPr>
          <w:rFonts w:hint="eastAsia" w:ascii="宋体" w:hAnsi="宋体" w:cs="宋体"/>
          <w:b/>
          <w:color w:val="auto"/>
          <w:spacing w:val="10"/>
          <w:sz w:val="24"/>
          <w:highlight w:val="none"/>
        </w:rPr>
      </w:pPr>
    </w:p>
    <w:p>
      <w:pPr>
        <w:pStyle w:val="4"/>
        <w:numPr>
          <w:ilvl w:val="0"/>
          <w:numId w:val="6"/>
        </w:numPr>
        <w:spacing w:before="120" w:after="120" w:line="360" w:lineRule="auto"/>
        <w:rPr>
          <w:rFonts w:hint="eastAsia" w:ascii="宋体" w:hAnsi="宋体" w:cs="宋体"/>
          <w:color w:val="auto"/>
          <w:sz w:val="28"/>
          <w:szCs w:val="28"/>
          <w:highlight w:val="none"/>
        </w:rPr>
      </w:pPr>
      <w:bookmarkStart w:id="147" w:name="_Toc25791_WPSOffice_Level1"/>
      <w:bookmarkStart w:id="148" w:name="_Toc477185976"/>
      <w:bookmarkStart w:id="149" w:name="_Toc21029_WPSOffice_Level1"/>
      <w:bookmarkStart w:id="150" w:name="_Toc99012604"/>
      <w:bookmarkStart w:id="151" w:name="_Toc476177999"/>
      <w:bookmarkStart w:id="152" w:name="_Toc477186337"/>
      <w:bookmarkStart w:id="153" w:name="_Toc476177439"/>
      <w:bookmarkStart w:id="154" w:name="_Toc4898_WPSOffice_Level1"/>
      <w:bookmarkStart w:id="155" w:name="_Toc15972"/>
      <w:r>
        <w:rPr>
          <w:rFonts w:hint="eastAsia" w:ascii="宋体" w:hAnsi="宋体" w:cs="宋体"/>
          <w:color w:val="auto"/>
          <w:sz w:val="28"/>
          <w:szCs w:val="28"/>
          <w:highlight w:val="none"/>
        </w:rPr>
        <w:t>评标须知</w:t>
      </w:r>
      <w:bookmarkEnd w:id="147"/>
      <w:bookmarkEnd w:id="148"/>
      <w:bookmarkEnd w:id="149"/>
      <w:bookmarkEnd w:id="150"/>
      <w:bookmarkEnd w:id="151"/>
      <w:bookmarkEnd w:id="152"/>
      <w:bookmarkEnd w:id="153"/>
      <w:bookmarkEnd w:id="154"/>
      <w:bookmarkEnd w:id="155"/>
    </w:p>
    <w:p>
      <w:pPr>
        <w:numPr>
          <w:ilvl w:val="1"/>
          <w:numId w:val="6"/>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关于评标方案</w:t>
      </w:r>
    </w:p>
    <w:p>
      <w:pPr>
        <w:tabs>
          <w:tab w:val="left" w:pos="0"/>
        </w:tabs>
        <w:spacing w:line="360" w:lineRule="auto"/>
        <w:ind w:left="420"/>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1</w:t>
      </w:r>
      <w:r>
        <w:rPr>
          <w:rFonts w:hint="eastAsia" w:ascii="宋体" w:hAnsi="宋体" w:cs="宋体"/>
          <w:color w:val="auto"/>
          <w:highlight w:val="none"/>
        </w:rPr>
        <w:t>评标委员会的每位成员（简称评委）应认真地阅读并确认已经正确理解了评标方案。</w:t>
      </w:r>
    </w:p>
    <w:p>
      <w:pPr>
        <w:numPr>
          <w:ilvl w:val="1"/>
          <w:numId w:val="6"/>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关于评标纪律</w:t>
      </w:r>
    </w:p>
    <w:p>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2.2.1评标委员会成员不得与任何投标人或者与招标结果有利害关系的人进行私下接触，不得收受投标人、中介人、其他利害关系人的财物或者其他好处；</w:t>
      </w:r>
    </w:p>
    <w:p>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2.2.2评委应本着客观、公正的原则独立给出评价意见；</w:t>
      </w:r>
    </w:p>
    <w:p>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2.2.3评委之间不得相互串通进行评分；</w:t>
      </w:r>
    </w:p>
    <w:p>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2.2.4评委不得试图影响其他评委的评价意见。</w:t>
      </w:r>
    </w:p>
    <w:p>
      <w:pPr>
        <w:numPr>
          <w:ilvl w:val="1"/>
          <w:numId w:val="6"/>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关于评标责任</w:t>
      </w:r>
    </w:p>
    <w:p>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2.3.1评委应在其书面评审意见上签字确认；</w:t>
      </w:r>
    </w:p>
    <w:p>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2.3.2评委对其所提出的评审意见承担个人责任。</w:t>
      </w:r>
    </w:p>
    <w:p>
      <w:pPr>
        <w:numPr>
          <w:ilvl w:val="1"/>
          <w:numId w:val="6"/>
        </w:numPr>
        <w:tabs>
          <w:tab w:val="left" w:pos="0"/>
          <w:tab w:val="left" w:pos="945"/>
          <w:tab w:val="left" w:pos="168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关于回避</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有下列情形之一的，不得担任评标委员会成员，如事先不知情的，应在宣读投标人名单及评标纪律后主动提出回避：</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（1）是投标人或者投标人主要负责人的近亲属；</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（2）是该投标人的项目主管部门或是该投标人的行政监督部门的人员；</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pPr>
        <w:numPr>
          <w:ilvl w:val="1"/>
          <w:numId w:val="6"/>
        </w:numPr>
        <w:tabs>
          <w:tab w:val="left" w:pos="0"/>
          <w:tab w:val="left" w:pos="840"/>
          <w:tab w:val="left" w:pos="1260"/>
          <w:tab w:val="left" w:pos="147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关于保密</w:t>
      </w:r>
    </w:p>
    <w:p>
      <w:pPr>
        <w:numPr>
          <w:ilvl w:val="0"/>
          <w:numId w:val="7"/>
        </w:numPr>
        <w:tabs>
          <w:tab w:val="left" w:pos="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评标委员会成员和与评标活动有关的工作人员不得透露对投标文件的评审和比较、中标候选人的推荐情况以及评标有关的其他情况。</w:t>
      </w:r>
    </w:p>
    <w:p>
      <w:pPr>
        <w:numPr>
          <w:ilvl w:val="0"/>
          <w:numId w:val="7"/>
        </w:numPr>
        <w:tabs>
          <w:tab w:val="left" w:pos="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前款所称与评标活动有关的工作人员，是指评标委员会成员以外的因参与评标监督工作或者事务性工作而知悉有关评标情况的所有人员。</w:t>
      </w:r>
    </w:p>
    <w:p>
      <w:pPr>
        <w:numPr>
          <w:ilvl w:val="1"/>
          <w:numId w:val="6"/>
        </w:numPr>
        <w:tabs>
          <w:tab w:val="left" w:pos="630"/>
          <w:tab w:val="left" w:pos="840"/>
          <w:tab w:val="clear" w:pos="567"/>
        </w:tabs>
        <w:spacing w:line="360" w:lineRule="auto"/>
        <w:ind w:left="105" w:firstLine="315"/>
        <w:rPr>
          <w:rFonts w:hint="eastAsia" w:ascii="宋体" w:hAnsi="宋体" w:cs="宋体"/>
          <w:color w:val="auto"/>
          <w:highlight w:val="none"/>
        </w:rPr>
      </w:pPr>
      <w:r>
        <w:rPr>
          <w:rFonts w:hint="eastAsia" w:ascii="宋体" w:hAnsi="宋体" w:cs="宋体"/>
          <w:color w:val="auto"/>
          <w:highlight w:val="none"/>
        </w:rPr>
        <w:t>罚则</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（1）评标委员会成员在评标过程中擅离职守，影响评标程序正常进行，或者在评标过程中不能客观公正地履行职责的，一经核实，取消担任评标委员会成员的资格，并报有关部门经予法律追究和查处。</w:t>
      </w:r>
    </w:p>
    <w:p>
      <w:pPr>
        <w:tabs>
          <w:tab w:val="left" w:pos="0"/>
        </w:tabs>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pPr>
        <w:tabs>
          <w:tab w:val="left" w:pos="0"/>
        </w:tabs>
        <w:spacing w:line="360" w:lineRule="auto"/>
        <w:ind w:firstLine="420" w:firstLineChars="200"/>
        <w:rPr>
          <w:rFonts w:hint="eastAsia" w:ascii="宋体" w:hAnsi="宋体" w:cs="宋体"/>
          <w:color w:val="auto"/>
          <w:szCs w:val="22"/>
          <w:highlight w:val="none"/>
        </w:rPr>
      </w:pPr>
    </w:p>
    <w:p>
      <w:pPr>
        <w:pStyle w:val="4"/>
        <w:numPr>
          <w:ilvl w:val="0"/>
          <w:numId w:val="6"/>
        </w:numPr>
        <w:spacing w:before="120" w:after="120" w:line="360" w:lineRule="auto"/>
        <w:rPr>
          <w:rFonts w:hint="eastAsia" w:ascii="宋体" w:hAnsi="宋体" w:cs="宋体"/>
          <w:color w:val="auto"/>
          <w:sz w:val="28"/>
          <w:szCs w:val="28"/>
          <w:highlight w:val="none"/>
        </w:rPr>
      </w:pPr>
      <w:bookmarkStart w:id="156" w:name="_Toc16705_WPSOffice_Level1"/>
      <w:bookmarkStart w:id="157" w:name="_Toc22791_WPSOffice_Level1"/>
      <w:bookmarkStart w:id="158" w:name="_Toc476178000"/>
      <w:bookmarkStart w:id="159" w:name="_Toc477185977"/>
      <w:bookmarkStart w:id="160" w:name="_Toc477186338"/>
      <w:bookmarkStart w:id="161" w:name="_Toc4691_WPSOffice_Level1"/>
      <w:bookmarkStart w:id="162" w:name="_Toc476177440"/>
      <w:bookmarkStart w:id="163" w:name="_Toc29737"/>
      <w:r>
        <w:rPr>
          <w:rFonts w:hint="eastAsia" w:ascii="宋体" w:hAnsi="宋体" w:cs="宋体"/>
          <w:color w:val="auto"/>
          <w:sz w:val="28"/>
          <w:szCs w:val="28"/>
          <w:highlight w:val="none"/>
        </w:rPr>
        <w:t>评标委员会</w:t>
      </w:r>
      <w:bookmarkEnd w:id="156"/>
      <w:bookmarkEnd w:id="157"/>
      <w:bookmarkEnd w:id="158"/>
      <w:bookmarkEnd w:id="159"/>
      <w:bookmarkEnd w:id="160"/>
      <w:bookmarkEnd w:id="161"/>
      <w:bookmarkEnd w:id="162"/>
      <w:bookmarkEnd w:id="163"/>
    </w:p>
    <w:p>
      <w:pPr>
        <w:numPr>
          <w:ilvl w:val="1"/>
          <w:numId w:val="6"/>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招标人和招标代理依照《中华人民共和国招投标法》、《中华人民共和国招标投标法实施条例》组建本项目评标委员会。评标委员会成员由技术、经济等方面的专家共5人组成。评标委员会成员享有同等的表决权。</w:t>
      </w:r>
    </w:p>
    <w:p>
      <w:pPr>
        <w:numPr>
          <w:ilvl w:val="1"/>
          <w:numId w:val="6"/>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评标委员会依据招标文件的规定对各投标文件进行评审，得出评标结果，提交评标报告。</w:t>
      </w:r>
    </w:p>
    <w:p>
      <w:pPr>
        <w:numPr>
          <w:ilvl w:val="1"/>
          <w:numId w:val="6"/>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评标委员会经评审，认为所有投标都不符合招标文件要求的，可以否决所有投标。</w:t>
      </w:r>
    </w:p>
    <w:p>
      <w:pPr>
        <w:spacing w:line="360" w:lineRule="auto"/>
        <w:rPr>
          <w:rFonts w:hint="eastAsia" w:ascii="宋体" w:hAnsi="宋体" w:cs="宋体"/>
          <w:color w:val="auto"/>
          <w:highlight w:val="none"/>
        </w:rPr>
      </w:pPr>
    </w:p>
    <w:p>
      <w:pPr>
        <w:pStyle w:val="4"/>
        <w:numPr>
          <w:ilvl w:val="0"/>
          <w:numId w:val="6"/>
        </w:numPr>
        <w:spacing w:before="120" w:after="120" w:line="360" w:lineRule="auto"/>
        <w:rPr>
          <w:rFonts w:hint="eastAsia" w:ascii="宋体" w:hAnsi="宋体" w:cs="宋体"/>
          <w:color w:val="auto"/>
          <w:sz w:val="28"/>
          <w:szCs w:val="28"/>
          <w:highlight w:val="none"/>
        </w:rPr>
      </w:pPr>
      <w:bookmarkStart w:id="164" w:name="_Toc16947_WPSOffice_Level1"/>
      <w:bookmarkStart w:id="165" w:name="_Toc476178001"/>
      <w:bookmarkStart w:id="166" w:name="_Toc477185978"/>
      <w:bookmarkStart w:id="167" w:name="_Toc476177441"/>
      <w:bookmarkStart w:id="168" w:name="_Toc99012606"/>
      <w:bookmarkStart w:id="169" w:name="_Toc5758"/>
      <w:bookmarkStart w:id="170" w:name="_Toc29107_WPSOffice_Level1"/>
      <w:bookmarkStart w:id="171" w:name="_Toc477186339"/>
      <w:bookmarkStart w:id="172" w:name="_Toc16217_WPSOffice_Level1"/>
      <w:r>
        <w:rPr>
          <w:rFonts w:hint="eastAsia" w:ascii="宋体" w:hAnsi="宋体" w:cs="宋体"/>
          <w:color w:val="auto"/>
          <w:sz w:val="28"/>
          <w:szCs w:val="28"/>
          <w:highlight w:val="none"/>
        </w:rPr>
        <w:t>投标文件的澄清</w:t>
      </w:r>
      <w:bookmarkEnd w:id="164"/>
      <w:bookmarkEnd w:id="165"/>
      <w:bookmarkEnd w:id="166"/>
      <w:bookmarkEnd w:id="167"/>
      <w:bookmarkEnd w:id="168"/>
      <w:bookmarkEnd w:id="169"/>
      <w:bookmarkEnd w:id="170"/>
      <w:bookmarkEnd w:id="171"/>
      <w:bookmarkEnd w:id="172"/>
    </w:p>
    <w:p>
      <w:pPr>
        <w:numPr>
          <w:ilvl w:val="1"/>
          <w:numId w:val="6"/>
        </w:numPr>
        <w:tabs>
          <w:tab w:val="left" w:pos="0"/>
          <w:tab w:val="left" w:pos="420"/>
          <w:tab w:val="left" w:pos="63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除评标委员会主动要求澄清外，从开标后至授予合同期间，任何投标人均不得就与其投标相关的任何问题与评标委员会联系。</w:t>
      </w:r>
    </w:p>
    <w:p>
      <w:pPr>
        <w:numPr>
          <w:ilvl w:val="1"/>
          <w:numId w:val="6"/>
        </w:numPr>
        <w:tabs>
          <w:tab w:val="left" w:pos="0"/>
          <w:tab w:val="left" w:pos="420"/>
          <w:tab w:val="left" w:pos="63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为有利评标，在开标后，可随时请投标人就投标文件中某点加以澄清，澄清的内容不得对投标文件作实质性修改。以书面形式表达并加盖公章的答复经评标委员会认可后，可作为投标文件的一部分参与评标。</w:t>
      </w:r>
    </w:p>
    <w:p>
      <w:pPr>
        <w:spacing w:line="360" w:lineRule="auto"/>
        <w:rPr>
          <w:rFonts w:hint="eastAsia" w:ascii="宋体" w:hAnsi="宋体" w:cs="宋体"/>
          <w:color w:val="auto"/>
          <w:highlight w:val="none"/>
        </w:rPr>
      </w:pPr>
    </w:p>
    <w:p>
      <w:pPr>
        <w:pStyle w:val="4"/>
        <w:numPr>
          <w:ilvl w:val="0"/>
          <w:numId w:val="6"/>
        </w:numPr>
        <w:spacing w:before="120" w:after="120" w:line="360" w:lineRule="auto"/>
        <w:rPr>
          <w:rFonts w:hint="eastAsia" w:ascii="宋体" w:hAnsi="宋体" w:cs="宋体"/>
          <w:color w:val="auto"/>
          <w:sz w:val="28"/>
          <w:szCs w:val="28"/>
          <w:highlight w:val="none"/>
        </w:rPr>
      </w:pPr>
      <w:bookmarkStart w:id="173" w:name="_Toc476177442"/>
      <w:bookmarkStart w:id="174" w:name="_Toc1722_WPSOffice_Level1"/>
      <w:bookmarkStart w:id="175" w:name="_Toc13231_WPSOffice_Level1"/>
      <w:bookmarkStart w:id="176" w:name="_Toc477185979"/>
      <w:bookmarkStart w:id="177" w:name="_Toc477186340"/>
      <w:bookmarkStart w:id="178" w:name="_Toc99012607"/>
      <w:bookmarkStart w:id="179" w:name="_Toc26707_WPSOffice_Level1"/>
      <w:bookmarkStart w:id="180" w:name="_Toc1790"/>
      <w:bookmarkStart w:id="181" w:name="_Toc476178002"/>
      <w:r>
        <w:rPr>
          <w:rFonts w:hint="eastAsia" w:ascii="宋体" w:hAnsi="宋体" w:cs="宋体"/>
          <w:color w:val="auto"/>
          <w:sz w:val="28"/>
          <w:szCs w:val="28"/>
          <w:highlight w:val="none"/>
        </w:rPr>
        <w:t>评标原则和评标办法</w:t>
      </w:r>
      <w:bookmarkEnd w:id="173"/>
      <w:bookmarkEnd w:id="174"/>
      <w:bookmarkEnd w:id="175"/>
      <w:bookmarkEnd w:id="176"/>
      <w:bookmarkEnd w:id="177"/>
      <w:bookmarkEnd w:id="178"/>
      <w:bookmarkEnd w:id="179"/>
      <w:bookmarkEnd w:id="180"/>
      <w:bookmarkEnd w:id="181"/>
    </w:p>
    <w:p>
      <w:pPr>
        <w:numPr>
          <w:ilvl w:val="1"/>
          <w:numId w:val="6"/>
        </w:numPr>
        <w:tabs>
          <w:tab w:val="left" w:pos="0"/>
          <w:tab w:val="left" w:pos="420"/>
          <w:tab w:val="left" w:pos="630"/>
          <w:tab w:val="left" w:pos="840"/>
          <w:tab w:val="clear" w:pos="567"/>
        </w:tabs>
        <w:spacing w:line="360" w:lineRule="auto"/>
        <w:ind w:left="0" w:firstLine="420"/>
        <w:rPr>
          <w:rFonts w:ascii="宋体" w:hAnsi="宋体"/>
          <w:color w:val="auto"/>
          <w:highlight w:val="none"/>
        </w:rPr>
      </w:pPr>
      <w:bookmarkStart w:id="182" w:name="_Toc173262603"/>
      <w:bookmarkStart w:id="183" w:name="_Toc173256012"/>
      <w:bookmarkStart w:id="184" w:name="_Toc173140973"/>
      <w:r>
        <w:rPr>
          <w:rFonts w:ascii="宋体" w:hAnsi="宋体"/>
          <w:color w:val="auto"/>
          <w:highlight w:val="none"/>
        </w:rPr>
        <w:t>评标工作应依据《中华人民共和国招标投标法》</w:t>
      </w:r>
      <w:r>
        <w:rPr>
          <w:rFonts w:hint="eastAsia" w:ascii="宋体" w:hAnsi="宋体"/>
          <w:color w:val="auto"/>
          <w:highlight w:val="none"/>
        </w:rPr>
        <w:t>《中华人民共和国招标投标法实施条例》</w:t>
      </w:r>
      <w:r>
        <w:rPr>
          <w:rFonts w:ascii="宋体" w:hAnsi="宋体"/>
          <w:color w:val="auto"/>
          <w:highlight w:val="none"/>
        </w:rPr>
        <w:t>以及《评标委员会和评标方法暂行规定》以及国家和地方政府有关招标投标法规、实施办法的有关规定，遵循“公平、公正、科学、择优”的原则进行评标。</w:t>
      </w:r>
    </w:p>
    <w:p>
      <w:pPr>
        <w:numPr>
          <w:ilvl w:val="1"/>
          <w:numId w:val="6"/>
        </w:numPr>
        <w:tabs>
          <w:tab w:val="left" w:pos="0"/>
          <w:tab w:val="left" w:pos="420"/>
          <w:tab w:val="left" w:pos="630"/>
          <w:tab w:val="left" w:pos="840"/>
          <w:tab w:val="clear" w:pos="567"/>
        </w:tabs>
        <w:spacing w:line="360" w:lineRule="auto"/>
        <w:ind w:left="0" w:firstLine="420"/>
        <w:rPr>
          <w:rFonts w:ascii="宋体" w:hAnsi="宋体"/>
          <w:color w:val="auto"/>
          <w:highlight w:val="none"/>
        </w:rPr>
      </w:pPr>
      <w:r>
        <w:rPr>
          <w:rFonts w:ascii="宋体" w:hAnsi="宋体"/>
          <w:color w:val="auto"/>
          <w:highlight w:val="none"/>
        </w:rPr>
        <w:t>本次招标采用综合评分法，即评标委员会对各投标进行综合评价，根据评标细则的规定分别进行打分，统计得出评标结果，将评标结果写出评标报告。所有的评审资料及评分结果统计均须经评标委员会核实并签名确认。</w:t>
      </w:r>
    </w:p>
    <w:p>
      <w:pPr>
        <w:numPr>
          <w:ilvl w:val="1"/>
          <w:numId w:val="6"/>
        </w:numPr>
        <w:tabs>
          <w:tab w:val="left" w:pos="945"/>
        </w:tabs>
        <w:spacing w:line="360" w:lineRule="auto"/>
        <w:ind w:left="0" w:firstLine="525" w:firstLineChars="250"/>
        <w:rPr>
          <w:rFonts w:ascii="宋体" w:hAnsi="宋体"/>
          <w:color w:val="auto"/>
          <w:highlight w:val="none"/>
        </w:rPr>
      </w:pPr>
      <w:r>
        <w:rPr>
          <w:rFonts w:ascii="宋体" w:hAnsi="宋体"/>
          <w:color w:val="auto"/>
          <w:highlight w:val="none"/>
        </w:rPr>
        <w:t>评标委员会将按照规定只对通过初步评审的投标文件进行评价和比较。评标委员会有权根据有关规定否决所有投标。评标委员会不直接向落标方解释落标原因，不退回投标文件。</w:t>
      </w:r>
    </w:p>
    <w:p>
      <w:pPr>
        <w:numPr>
          <w:ilvl w:val="1"/>
          <w:numId w:val="6"/>
        </w:numPr>
        <w:tabs>
          <w:tab w:val="left" w:pos="945"/>
        </w:tabs>
        <w:spacing w:line="360" w:lineRule="auto"/>
        <w:ind w:left="0" w:firstLine="525" w:firstLineChars="250"/>
        <w:rPr>
          <w:rFonts w:ascii="宋体" w:hAnsi="宋体"/>
          <w:color w:val="auto"/>
          <w:highlight w:val="none"/>
        </w:rPr>
      </w:pPr>
      <w:r>
        <w:rPr>
          <w:rFonts w:ascii="宋体" w:hAnsi="宋体"/>
          <w:color w:val="auto"/>
          <w:highlight w:val="none"/>
        </w:rPr>
        <w:t>评标方法</w:t>
      </w:r>
    </w:p>
    <w:p>
      <w:pPr>
        <w:tabs>
          <w:tab w:val="left" w:pos="945"/>
        </w:tabs>
        <w:spacing w:line="360" w:lineRule="auto"/>
        <w:ind w:firstLine="525" w:firstLineChars="250"/>
        <w:rPr>
          <w:rFonts w:ascii="宋体" w:hAnsi="宋体"/>
          <w:b/>
          <w:color w:val="auto"/>
          <w:highlight w:val="none"/>
        </w:rPr>
      </w:pPr>
      <w:r>
        <w:rPr>
          <w:rFonts w:ascii="宋体" w:hAnsi="宋体"/>
          <w:color w:val="auto"/>
          <w:highlight w:val="none"/>
        </w:rPr>
        <w:t>5.4.1  本评标办法采用综合评分法。</w:t>
      </w:r>
    </w:p>
    <w:p>
      <w:pPr>
        <w:tabs>
          <w:tab w:val="left" w:pos="945"/>
        </w:tabs>
        <w:spacing w:line="360" w:lineRule="auto"/>
        <w:ind w:left="-23" w:leftChars="-11" w:firstLine="527" w:firstLineChars="250"/>
        <w:rPr>
          <w:rFonts w:hint="eastAsia" w:ascii="宋体" w:hAnsi="宋体"/>
          <w:color w:val="auto"/>
          <w:highlight w:val="none"/>
        </w:rPr>
      </w:pPr>
      <w:r>
        <w:rPr>
          <w:rFonts w:ascii="宋体" w:hAnsi="宋体"/>
          <w:b/>
          <w:bCs/>
          <w:color w:val="auto"/>
          <w:highlight w:val="none"/>
        </w:rPr>
        <w:t>5.4.2  评标步骤：先进行</w:t>
      </w:r>
      <w:r>
        <w:rPr>
          <w:rFonts w:hint="eastAsia" w:ascii="宋体" w:hAnsi="宋体"/>
          <w:b/>
          <w:bCs/>
          <w:color w:val="auto"/>
          <w:highlight w:val="none"/>
        </w:rPr>
        <w:t>资格审查及商务技术符合性审查（阶段一）</w:t>
      </w:r>
      <w:r>
        <w:rPr>
          <w:rFonts w:ascii="宋体" w:hAnsi="宋体"/>
          <w:b/>
          <w:bCs/>
          <w:color w:val="auto"/>
          <w:highlight w:val="none"/>
        </w:rPr>
        <w:t>评审(见附表1)，再进行技术商务的详细评审。只有通过</w:t>
      </w:r>
      <w:r>
        <w:rPr>
          <w:rFonts w:hint="eastAsia" w:ascii="宋体" w:hAnsi="宋体"/>
          <w:b/>
          <w:bCs/>
          <w:color w:val="auto"/>
          <w:highlight w:val="none"/>
        </w:rPr>
        <w:t>资格审查及商务技术符合性审查</w:t>
      </w:r>
      <w:r>
        <w:rPr>
          <w:rFonts w:ascii="宋体" w:hAnsi="宋体"/>
          <w:b/>
          <w:bCs/>
          <w:color w:val="auto"/>
          <w:highlight w:val="none"/>
        </w:rPr>
        <w:t>的投标才能进入</w:t>
      </w:r>
      <w:r>
        <w:rPr>
          <w:rFonts w:hint="eastAsia" w:ascii="宋体" w:hAnsi="宋体"/>
          <w:b/>
          <w:bCs/>
          <w:color w:val="auto"/>
          <w:highlight w:val="none"/>
        </w:rPr>
        <w:t>商务和技术的</w:t>
      </w:r>
      <w:r>
        <w:rPr>
          <w:rFonts w:ascii="宋体" w:hAnsi="宋体"/>
          <w:b/>
          <w:bCs/>
          <w:color w:val="auto"/>
          <w:highlight w:val="none"/>
        </w:rPr>
        <w:t>详细评审。</w:t>
      </w:r>
    </w:p>
    <w:p>
      <w:pPr>
        <w:tabs>
          <w:tab w:val="left" w:pos="945"/>
        </w:tabs>
        <w:spacing w:line="360" w:lineRule="auto"/>
        <w:ind w:left="-23" w:leftChars="-11" w:firstLine="527" w:firstLineChars="250"/>
        <w:rPr>
          <w:rFonts w:ascii="宋体" w:hAnsi="宋体"/>
          <w:color w:val="auto"/>
          <w:highlight w:val="none"/>
        </w:rPr>
      </w:pPr>
      <w:r>
        <w:rPr>
          <w:rFonts w:ascii="宋体" w:hAnsi="宋体"/>
          <w:b/>
          <w:bCs/>
          <w:color w:val="auto"/>
          <w:highlight w:val="none"/>
        </w:rPr>
        <w:t xml:space="preserve">5.4.3  </w:t>
      </w:r>
      <w:r>
        <w:rPr>
          <w:rFonts w:hint="eastAsia" w:ascii="宋体" w:hAnsi="宋体"/>
          <w:b/>
          <w:bCs/>
          <w:color w:val="auto"/>
          <w:highlight w:val="none"/>
        </w:rPr>
        <w:t>若通过资格审查及商务技术符合性审查（阶段一）的投标人不足三家，则本项目招标失败。</w:t>
      </w:r>
    </w:p>
    <w:p>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rPr>
        <w:t>5.4.4  商务和技术的</w:t>
      </w:r>
      <w:r>
        <w:rPr>
          <w:rFonts w:ascii="宋体" w:hAnsi="宋体"/>
          <w:color w:val="auto"/>
          <w:highlight w:val="none"/>
        </w:rPr>
        <w:t>评分及其统计：按照评标程序、评分标准以及权重分配的规定，评标委员会各成员分别首先就各个投标人的技术</w:t>
      </w:r>
      <w:r>
        <w:rPr>
          <w:rFonts w:hint="eastAsia" w:ascii="宋体" w:hAnsi="宋体"/>
          <w:color w:val="auto"/>
          <w:highlight w:val="none"/>
        </w:rPr>
        <w:t>、</w:t>
      </w:r>
      <w:r>
        <w:rPr>
          <w:rFonts w:ascii="宋体" w:hAnsi="宋体"/>
          <w:color w:val="auto"/>
          <w:highlight w:val="none"/>
        </w:rPr>
        <w:t>商务状况及其对招标文件要求的响应情况进行评议和比较，评出其技术评分和商务评分</w:t>
      </w:r>
      <w:r>
        <w:rPr>
          <w:rFonts w:hint="eastAsia" w:ascii="宋体" w:hAnsi="宋体"/>
          <w:color w:val="auto"/>
          <w:highlight w:val="none"/>
        </w:rPr>
        <w:t>。</w:t>
      </w:r>
    </w:p>
    <w:p>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rPr>
        <w:t>5</w:t>
      </w:r>
      <w:r>
        <w:rPr>
          <w:rFonts w:ascii="宋体" w:hAnsi="宋体"/>
          <w:color w:val="auto"/>
          <w:highlight w:val="none"/>
        </w:rPr>
        <w:t xml:space="preserve">  技术评分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技术</w:t>
      </w:r>
      <w:r>
        <w:rPr>
          <w:rFonts w:ascii="宋体" w:hAnsi="宋体"/>
          <w:color w:val="auto"/>
          <w:highlight w:val="none"/>
        </w:rPr>
        <w:t>得分</w:t>
      </w:r>
      <w:r>
        <w:rPr>
          <w:rFonts w:hint="eastAsia" w:ascii="宋体" w:hAnsi="宋体"/>
          <w:color w:val="auto"/>
          <w:highlight w:val="none"/>
        </w:rPr>
        <w:t>（四舍五入，取小数点后两位）。</w:t>
      </w:r>
    </w:p>
    <w:p>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rPr>
        <w:t>6</w:t>
      </w:r>
      <w:r>
        <w:rPr>
          <w:rFonts w:ascii="宋体" w:hAnsi="宋体"/>
          <w:color w:val="auto"/>
          <w:highlight w:val="none"/>
        </w:rPr>
        <w:t xml:space="preserve">  商务评分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商务</w:t>
      </w:r>
      <w:r>
        <w:rPr>
          <w:rFonts w:ascii="宋体" w:hAnsi="宋体"/>
          <w:color w:val="auto"/>
          <w:highlight w:val="none"/>
        </w:rPr>
        <w:t>得分</w:t>
      </w:r>
      <w:r>
        <w:rPr>
          <w:rFonts w:hint="eastAsia" w:ascii="宋体" w:hAnsi="宋体"/>
          <w:color w:val="auto"/>
          <w:highlight w:val="none"/>
        </w:rPr>
        <w:t>（四舍五入，取小数点后两位）</w:t>
      </w:r>
    </w:p>
    <w:p>
      <w:pPr>
        <w:tabs>
          <w:tab w:val="left" w:pos="945"/>
        </w:tabs>
        <w:spacing w:line="360" w:lineRule="auto"/>
        <w:ind w:left="-23" w:leftChars="-11" w:firstLine="527" w:firstLineChars="250"/>
        <w:rPr>
          <w:rFonts w:hint="eastAsia" w:ascii="宋体" w:hAnsi="宋体"/>
          <w:b/>
          <w:bCs/>
          <w:color w:val="auto"/>
          <w:highlight w:val="none"/>
        </w:rPr>
      </w:pPr>
      <w:r>
        <w:rPr>
          <w:rFonts w:ascii="宋体" w:hAnsi="宋体"/>
          <w:b/>
          <w:bCs/>
          <w:color w:val="auto"/>
          <w:highlight w:val="none"/>
        </w:rPr>
        <w:t>5.4.</w:t>
      </w:r>
      <w:r>
        <w:rPr>
          <w:rFonts w:hint="eastAsia" w:ascii="宋体" w:hAnsi="宋体"/>
          <w:b/>
          <w:bCs/>
          <w:color w:val="auto"/>
          <w:highlight w:val="none"/>
        </w:rPr>
        <w:t>7</w:t>
      </w:r>
      <w:r>
        <w:rPr>
          <w:rFonts w:ascii="宋体" w:hAnsi="宋体"/>
          <w:b/>
          <w:bCs/>
          <w:color w:val="auto"/>
          <w:highlight w:val="none"/>
        </w:rPr>
        <w:t xml:space="preserve">  </w:t>
      </w:r>
      <w:r>
        <w:rPr>
          <w:rFonts w:hint="eastAsia" w:ascii="宋体" w:hAnsi="宋体"/>
          <w:b/>
          <w:bCs/>
          <w:color w:val="auto"/>
          <w:highlight w:val="none"/>
        </w:rPr>
        <w:t>评标委员会汇总整理所有投标人的商务得分及技术得分后，然后对投标人进行价格符合性审查（阶段二）</w:t>
      </w:r>
      <w:r>
        <w:rPr>
          <w:rFonts w:ascii="宋体" w:hAnsi="宋体"/>
          <w:b/>
          <w:bCs/>
          <w:color w:val="auto"/>
          <w:highlight w:val="none"/>
        </w:rPr>
        <w:t>(见附表</w:t>
      </w:r>
      <w:r>
        <w:rPr>
          <w:rFonts w:hint="eastAsia" w:ascii="宋体" w:hAnsi="宋体"/>
          <w:b/>
          <w:bCs/>
          <w:color w:val="auto"/>
          <w:highlight w:val="none"/>
        </w:rPr>
        <w:t>4），</w:t>
      </w:r>
      <w:r>
        <w:rPr>
          <w:rFonts w:ascii="宋体" w:hAnsi="宋体"/>
          <w:b/>
          <w:bCs/>
          <w:color w:val="auto"/>
          <w:highlight w:val="none"/>
        </w:rPr>
        <w:t>再进行</w:t>
      </w:r>
      <w:r>
        <w:rPr>
          <w:rFonts w:hint="eastAsia" w:ascii="宋体" w:hAnsi="宋体"/>
          <w:b/>
          <w:bCs/>
          <w:color w:val="auto"/>
          <w:highlight w:val="none"/>
        </w:rPr>
        <w:t>价格</w:t>
      </w:r>
      <w:r>
        <w:rPr>
          <w:rFonts w:ascii="宋体" w:hAnsi="宋体"/>
          <w:b/>
          <w:bCs/>
          <w:color w:val="auto"/>
          <w:highlight w:val="none"/>
        </w:rPr>
        <w:t>的详细评审。只有通过</w:t>
      </w:r>
      <w:r>
        <w:rPr>
          <w:rFonts w:hint="eastAsia" w:ascii="宋体" w:hAnsi="宋体"/>
          <w:b/>
          <w:bCs/>
          <w:color w:val="auto"/>
          <w:highlight w:val="none"/>
        </w:rPr>
        <w:t>价格符合性审查</w:t>
      </w:r>
      <w:r>
        <w:rPr>
          <w:rFonts w:ascii="宋体" w:hAnsi="宋体"/>
          <w:b/>
          <w:bCs/>
          <w:color w:val="auto"/>
          <w:highlight w:val="none"/>
        </w:rPr>
        <w:t>的投标才能进入</w:t>
      </w:r>
      <w:r>
        <w:rPr>
          <w:rFonts w:hint="eastAsia" w:ascii="宋体" w:hAnsi="宋体"/>
          <w:b/>
          <w:bCs/>
          <w:color w:val="auto"/>
          <w:highlight w:val="none"/>
        </w:rPr>
        <w:t>价格的</w:t>
      </w:r>
      <w:r>
        <w:rPr>
          <w:rFonts w:ascii="宋体" w:hAnsi="宋体"/>
          <w:b/>
          <w:bCs/>
          <w:color w:val="auto"/>
          <w:highlight w:val="none"/>
        </w:rPr>
        <w:t>详细评审</w:t>
      </w:r>
      <w:r>
        <w:rPr>
          <w:rFonts w:hint="eastAsia" w:ascii="宋体" w:hAnsi="宋体"/>
          <w:b/>
          <w:bCs/>
          <w:color w:val="auto"/>
          <w:highlight w:val="none"/>
        </w:rPr>
        <w:t>。</w:t>
      </w:r>
    </w:p>
    <w:p>
      <w:pPr>
        <w:tabs>
          <w:tab w:val="left" w:pos="945"/>
        </w:tabs>
        <w:spacing w:line="360" w:lineRule="auto"/>
        <w:ind w:left="-23" w:leftChars="-11" w:firstLine="527" w:firstLineChars="250"/>
        <w:rPr>
          <w:rFonts w:ascii="宋体" w:hAnsi="宋体"/>
          <w:b/>
          <w:bCs/>
          <w:color w:val="auto"/>
          <w:highlight w:val="none"/>
        </w:rPr>
      </w:pPr>
      <w:r>
        <w:rPr>
          <w:rFonts w:hint="eastAsia" w:ascii="宋体" w:hAnsi="宋体"/>
          <w:b/>
          <w:bCs/>
          <w:color w:val="auto"/>
          <w:highlight w:val="none"/>
        </w:rPr>
        <w:t>5.4.8  若投标人出现商务</w:t>
      </w:r>
      <w:r>
        <w:rPr>
          <w:rFonts w:hint="eastAsia" w:ascii="宋体" w:hAnsi="宋体"/>
          <w:b/>
          <w:bCs/>
          <w:color w:val="auto"/>
          <w:highlight w:val="none"/>
          <w:lang w:val="en-US" w:eastAsia="zh-CN"/>
        </w:rPr>
        <w:t>得分</w:t>
      </w:r>
      <w:r>
        <w:rPr>
          <w:rFonts w:hint="eastAsia" w:ascii="宋体" w:hAnsi="宋体"/>
          <w:b/>
          <w:bCs/>
          <w:color w:val="auto"/>
          <w:highlight w:val="none"/>
        </w:rPr>
        <w:t>低于商务</w:t>
      </w:r>
      <w:r>
        <w:rPr>
          <w:rFonts w:hint="eastAsia" w:ascii="宋体" w:hAnsi="宋体"/>
          <w:b/>
          <w:bCs/>
          <w:color w:val="auto"/>
          <w:highlight w:val="none"/>
          <w:lang w:val="en-US" w:eastAsia="zh-CN"/>
        </w:rPr>
        <w:t>分值</w:t>
      </w:r>
      <w:r>
        <w:rPr>
          <w:rFonts w:hint="eastAsia" w:ascii="宋体" w:hAnsi="宋体"/>
          <w:b/>
          <w:bCs/>
          <w:color w:val="auto"/>
          <w:highlight w:val="none"/>
        </w:rPr>
        <w:t>的60%，评标委员会将否决该投标人的所有投标文件，该投标人也不再进入价格详细评审环节。</w:t>
      </w:r>
    </w:p>
    <w:p>
      <w:pPr>
        <w:tabs>
          <w:tab w:val="left" w:pos="945"/>
        </w:tabs>
        <w:spacing w:line="360" w:lineRule="auto"/>
        <w:ind w:left="-23" w:leftChars="-11" w:firstLine="527" w:firstLineChars="250"/>
        <w:rPr>
          <w:rFonts w:ascii="宋体" w:hAnsi="宋体"/>
          <w:color w:val="auto"/>
          <w:highlight w:val="none"/>
        </w:rPr>
      </w:pPr>
      <w:r>
        <w:rPr>
          <w:rFonts w:hint="eastAsia" w:ascii="宋体" w:hAnsi="宋体"/>
          <w:b/>
          <w:bCs/>
          <w:color w:val="auto"/>
          <w:highlight w:val="none"/>
        </w:rPr>
        <w:t>5.4.9  若通过价格符合性审查（阶段二）的投标人不足三家，则本项目招标失败。</w:t>
      </w:r>
    </w:p>
    <w:p>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rPr>
        <w:t>5.4.10  价格</w:t>
      </w:r>
      <w:r>
        <w:rPr>
          <w:rFonts w:ascii="宋体" w:hAnsi="宋体"/>
          <w:color w:val="auto"/>
          <w:highlight w:val="none"/>
        </w:rPr>
        <w:t>评分</w:t>
      </w:r>
      <w:r>
        <w:rPr>
          <w:rFonts w:hint="eastAsia" w:ascii="宋体" w:hAnsi="宋体"/>
          <w:color w:val="auto"/>
          <w:highlight w:val="none"/>
        </w:rPr>
        <w:t>的评分及统计：</w:t>
      </w:r>
      <w:r>
        <w:rPr>
          <w:rFonts w:ascii="宋体" w:hAnsi="宋体"/>
          <w:color w:val="auto"/>
          <w:highlight w:val="none"/>
        </w:rPr>
        <w:t>按照评标程序、评分标准以及权重分配的规定，评标委员就各个投标人的</w:t>
      </w:r>
      <w:r>
        <w:rPr>
          <w:rFonts w:hint="eastAsia" w:ascii="宋体" w:hAnsi="宋体"/>
          <w:color w:val="auto"/>
          <w:highlight w:val="none"/>
        </w:rPr>
        <w:t>价格</w:t>
      </w:r>
      <w:r>
        <w:rPr>
          <w:rFonts w:ascii="宋体" w:hAnsi="宋体"/>
          <w:color w:val="auto"/>
          <w:highlight w:val="none"/>
        </w:rPr>
        <w:t>状况及其对招标文件要求的响应情况进行评议和比较，评出其</w:t>
      </w:r>
      <w:r>
        <w:rPr>
          <w:rFonts w:hint="eastAsia" w:ascii="宋体" w:hAnsi="宋体"/>
          <w:color w:val="auto"/>
          <w:highlight w:val="none"/>
        </w:rPr>
        <w:t>价格</w:t>
      </w:r>
      <w:r>
        <w:rPr>
          <w:rFonts w:ascii="宋体" w:hAnsi="宋体"/>
          <w:color w:val="auto"/>
          <w:highlight w:val="none"/>
        </w:rPr>
        <w:t>评分</w:t>
      </w:r>
      <w:r>
        <w:rPr>
          <w:rFonts w:hint="eastAsia" w:ascii="宋体" w:hAnsi="宋体"/>
          <w:bCs/>
          <w:color w:val="auto"/>
          <w:highlight w:val="none"/>
        </w:rPr>
        <w:t>。</w:t>
      </w:r>
    </w:p>
    <w:p>
      <w:pPr>
        <w:tabs>
          <w:tab w:val="left" w:pos="945"/>
        </w:tabs>
        <w:spacing w:line="360" w:lineRule="auto"/>
        <w:ind w:left="-23" w:leftChars="-11" w:firstLine="525" w:firstLineChars="250"/>
        <w:rPr>
          <w:rFonts w:ascii="宋体" w:hAnsi="宋体"/>
          <w:color w:val="auto"/>
          <w:highlight w:val="none"/>
        </w:rPr>
      </w:pPr>
      <w:r>
        <w:rPr>
          <w:rFonts w:ascii="宋体" w:hAnsi="宋体"/>
          <w:color w:val="auto"/>
          <w:highlight w:val="none"/>
        </w:rPr>
        <w:t>5.4.</w:t>
      </w:r>
      <w:r>
        <w:rPr>
          <w:rFonts w:hint="eastAsia" w:ascii="宋体" w:hAnsi="宋体"/>
          <w:color w:val="auto"/>
          <w:highlight w:val="none"/>
        </w:rPr>
        <w:t>11</w:t>
      </w:r>
      <w:r>
        <w:rPr>
          <w:rFonts w:ascii="宋体" w:hAnsi="宋体"/>
          <w:color w:val="auto"/>
          <w:highlight w:val="none"/>
        </w:rPr>
        <w:t xml:space="preserve">  </w:t>
      </w:r>
      <w:r>
        <w:rPr>
          <w:rFonts w:hint="eastAsia" w:ascii="宋体" w:hAnsi="宋体"/>
          <w:color w:val="auto"/>
          <w:highlight w:val="none"/>
        </w:rPr>
        <w:t>评标委员会</w:t>
      </w:r>
      <w:r>
        <w:rPr>
          <w:rFonts w:ascii="宋体" w:hAnsi="宋体"/>
          <w:color w:val="auto"/>
          <w:highlight w:val="none"/>
        </w:rPr>
        <w:t>将各投标人的技术评分</w:t>
      </w:r>
      <w:r>
        <w:rPr>
          <w:rFonts w:hint="eastAsia" w:ascii="宋体" w:hAnsi="宋体"/>
          <w:color w:val="auto"/>
          <w:highlight w:val="none"/>
        </w:rPr>
        <w:t>、</w:t>
      </w:r>
      <w:r>
        <w:rPr>
          <w:rFonts w:ascii="宋体" w:hAnsi="宋体"/>
          <w:color w:val="auto"/>
          <w:highlight w:val="none"/>
        </w:rPr>
        <w:t>商务评分和价格评分相加得出其综合得分。将各综合得分由高到低顺序排列，</w:t>
      </w:r>
      <w:r>
        <w:rPr>
          <w:rFonts w:hint="eastAsia" w:ascii="宋体" w:hAnsi="宋体"/>
          <w:color w:val="auto"/>
          <w:highlight w:val="none"/>
        </w:rPr>
        <w:t>推荐中标候选人</w:t>
      </w:r>
      <w:r>
        <w:rPr>
          <w:rFonts w:ascii="宋体" w:hAnsi="宋体"/>
          <w:color w:val="auto"/>
          <w:highlight w:val="none"/>
        </w:rPr>
        <w:t>。</w:t>
      </w:r>
    </w:p>
    <w:p>
      <w:pPr>
        <w:tabs>
          <w:tab w:val="left" w:pos="945"/>
        </w:tabs>
        <w:spacing w:before="124" w:beforeLines="40" w:after="124" w:afterLines="40" w:line="360" w:lineRule="auto"/>
        <w:ind w:firstLine="525" w:firstLineChars="250"/>
        <w:rPr>
          <w:rFonts w:ascii="宋体" w:hAnsi="宋体"/>
          <w:color w:val="auto"/>
          <w:highlight w:val="none"/>
        </w:rPr>
      </w:pPr>
      <w:r>
        <w:rPr>
          <w:rFonts w:ascii="宋体" w:hAnsi="宋体"/>
          <w:color w:val="auto"/>
          <w:highlight w:val="none"/>
        </w:rPr>
        <w:t>5.5.</w:t>
      </w:r>
      <w:bookmarkStart w:id="185" w:name="_Toc99012608"/>
      <w:r>
        <w:rPr>
          <w:rFonts w:ascii="宋体" w:hAnsi="宋体"/>
          <w:color w:val="auto"/>
          <w:szCs w:val="28"/>
          <w:highlight w:val="none"/>
        </w:rPr>
        <w:t xml:space="preserve"> 评标流程</w:t>
      </w:r>
      <w:bookmarkEnd w:id="185"/>
    </w:p>
    <w:p>
      <w:pPr>
        <w:tabs>
          <w:tab w:val="left" w:pos="945"/>
        </w:tabs>
        <w:spacing w:before="120" w:after="120" w:line="360" w:lineRule="auto"/>
        <w:ind w:firstLine="525" w:firstLineChars="250"/>
        <w:rPr>
          <w:rFonts w:ascii="宋体" w:hAnsi="宋体"/>
          <w:color w:val="auto"/>
          <w:highlight w:val="none"/>
        </w:rPr>
      </w:pPr>
      <w:bookmarkStart w:id="186" w:name="_Toc3202_WPSOffice_Level1"/>
      <w:bookmarkStart w:id="187" w:name="_Toc10388_WPSOffice_Level1"/>
      <w:bookmarkStart w:id="188" w:name="_Toc10564_WPSOffice_Level1"/>
      <w:r>
        <w:rPr>
          <w:rFonts w:ascii="宋体" w:hAnsi="宋体"/>
          <w:color w:val="auto"/>
          <w:highlight w:val="none"/>
        </w:rPr>
        <w:t>5.5.1初步评审</w:t>
      </w:r>
      <w:bookmarkEnd w:id="186"/>
      <w:bookmarkEnd w:id="187"/>
      <w:bookmarkEnd w:id="188"/>
    </w:p>
    <w:p>
      <w:pPr>
        <w:tabs>
          <w:tab w:val="left" w:pos="945"/>
        </w:tabs>
        <w:spacing w:line="360" w:lineRule="auto"/>
        <w:ind w:left="-23" w:leftChars="-11" w:firstLine="527" w:firstLineChars="250"/>
        <w:rPr>
          <w:rFonts w:ascii="宋体" w:hAnsi="宋体"/>
          <w:b/>
          <w:bCs/>
          <w:color w:val="auto"/>
          <w:highlight w:val="none"/>
        </w:rPr>
      </w:pPr>
      <w:r>
        <w:rPr>
          <w:rFonts w:ascii="宋体" w:hAnsi="宋体"/>
          <w:b/>
          <w:bCs/>
          <w:color w:val="auto"/>
          <w:highlight w:val="none"/>
        </w:rPr>
        <w:t>a.评标委员会按照</w:t>
      </w:r>
      <w:r>
        <w:rPr>
          <w:rFonts w:hint="eastAsia" w:ascii="宋体" w:hAnsi="宋体"/>
          <w:b/>
          <w:bCs/>
          <w:color w:val="auto"/>
          <w:highlight w:val="none"/>
        </w:rPr>
        <w:t>资格审查及商务技术符合性审查（阶段一）及价格符合性审查（阶段二）的</w:t>
      </w:r>
      <w:r>
        <w:rPr>
          <w:rFonts w:ascii="宋体" w:hAnsi="宋体"/>
          <w:b/>
          <w:bCs/>
          <w:color w:val="auto"/>
          <w:highlight w:val="none"/>
        </w:rPr>
        <w:t>内容</w:t>
      </w:r>
      <w:r>
        <w:rPr>
          <w:rFonts w:hint="eastAsia" w:ascii="宋体" w:hAnsi="宋体"/>
          <w:b/>
          <w:bCs/>
          <w:color w:val="auto"/>
          <w:highlight w:val="none"/>
        </w:rPr>
        <w:t>按评标方法</w:t>
      </w:r>
      <w:r>
        <w:rPr>
          <w:rFonts w:ascii="宋体" w:hAnsi="宋体"/>
          <w:b/>
          <w:bCs/>
          <w:color w:val="auto"/>
          <w:highlight w:val="none"/>
        </w:rPr>
        <w:t>对投标文件进行检查，</w:t>
      </w:r>
      <w:r>
        <w:rPr>
          <w:rFonts w:hint="eastAsia" w:ascii="宋体" w:hAnsi="宋体"/>
          <w:b/>
          <w:bCs/>
          <w:color w:val="auto"/>
          <w:highlight w:val="none"/>
        </w:rPr>
        <w:t>通过资格审查及商务技术符合性审查（阶段一）</w:t>
      </w:r>
      <w:r>
        <w:rPr>
          <w:rFonts w:ascii="宋体" w:hAnsi="宋体"/>
          <w:b/>
          <w:bCs/>
          <w:color w:val="auto"/>
          <w:highlight w:val="none"/>
        </w:rPr>
        <w:t>所列各项作出实质性响应的投标文件才能</w:t>
      </w:r>
      <w:r>
        <w:rPr>
          <w:rFonts w:hint="eastAsia" w:ascii="宋体" w:hAnsi="宋体"/>
          <w:b/>
          <w:bCs/>
          <w:color w:val="auto"/>
          <w:highlight w:val="none"/>
        </w:rPr>
        <w:t>进入到商务、技术的详细评审当中；通过价格符合性审查（阶段二）</w:t>
      </w:r>
      <w:r>
        <w:rPr>
          <w:rFonts w:ascii="宋体" w:hAnsi="宋体"/>
          <w:b/>
          <w:bCs/>
          <w:color w:val="auto"/>
          <w:highlight w:val="none"/>
        </w:rPr>
        <w:t>所列各项作出实质性响应的投标文件才能</w:t>
      </w:r>
      <w:r>
        <w:rPr>
          <w:rFonts w:hint="eastAsia" w:ascii="宋体" w:hAnsi="宋体"/>
          <w:b/>
          <w:bCs/>
          <w:color w:val="auto"/>
          <w:highlight w:val="none"/>
        </w:rPr>
        <w:t>进入到价格的详细评审当中</w:t>
      </w:r>
      <w:r>
        <w:rPr>
          <w:rFonts w:ascii="宋体" w:hAnsi="宋体"/>
          <w:b/>
          <w:bCs/>
          <w:color w:val="auto"/>
          <w:highlight w:val="none"/>
        </w:rPr>
        <w:t>。</w:t>
      </w:r>
    </w:p>
    <w:p>
      <w:pPr>
        <w:tabs>
          <w:tab w:val="left" w:pos="945"/>
        </w:tabs>
        <w:spacing w:line="360" w:lineRule="auto"/>
        <w:ind w:left="-23" w:leftChars="-11" w:firstLine="525" w:firstLineChars="250"/>
        <w:rPr>
          <w:color w:val="auto"/>
          <w:highlight w:val="none"/>
        </w:rPr>
      </w:pPr>
      <w:r>
        <w:rPr>
          <w:rFonts w:ascii="宋体" w:hAnsi="宋体"/>
          <w:color w:val="auto"/>
          <w:highlight w:val="none"/>
        </w:rPr>
        <w:t>注：如出现无效投标的争议时，各评委</w:t>
      </w:r>
      <w:r>
        <w:rPr>
          <w:rFonts w:hint="eastAsia" w:ascii="宋体" w:hAnsi="宋体"/>
          <w:color w:val="auto"/>
          <w:highlight w:val="none"/>
        </w:rPr>
        <w:t>按规定</w:t>
      </w:r>
      <w:r>
        <w:rPr>
          <w:rFonts w:ascii="宋体" w:hAnsi="宋体"/>
          <w:color w:val="auto"/>
          <w:highlight w:val="none"/>
        </w:rPr>
        <w:t>以少数服从多数的原则通过记名投票书面确认是否为无效投标。</w:t>
      </w:r>
    </w:p>
    <w:p>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b.评标委员会将审查投标文件是否完整、有关资格证明文件是否有效、是否提交投标保证金、文件签署是否合格、投标有效期是否满足要求、投标文件的总体编排是否基本有序等。</w:t>
      </w:r>
    </w:p>
    <w:p>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w:t>
      </w:r>
      <w:r>
        <w:rPr>
          <w:rFonts w:hint="eastAsia"/>
          <w:lang w:val="en-US" w:eastAsia="zh-CN"/>
        </w:rPr>
        <w:t>的服务要求事项、服务质量</w:t>
      </w:r>
      <w:r>
        <w:rPr>
          <w:rFonts w:ascii="宋体" w:hAnsi="宋体"/>
          <w:color w:val="auto"/>
          <w:highlight w:val="none"/>
        </w:rPr>
        <w:t>；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d.无效投标的认定</w:t>
      </w:r>
    </w:p>
    <w:p>
      <w:pPr>
        <w:tabs>
          <w:tab w:val="left" w:pos="1030"/>
        </w:tabs>
        <w:spacing w:line="360" w:lineRule="auto"/>
        <w:ind w:firstLine="527" w:firstLineChars="250"/>
        <w:rPr>
          <w:rFonts w:ascii="宋体" w:hAnsi="宋体"/>
          <w:b/>
          <w:bCs/>
          <w:color w:val="auto"/>
          <w:highlight w:val="none"/>
        </w:rPr>
      </w:pPr>
      <w:r>
        <w:rPr>
          <w:rFonts w:ascii="宋体" w:hAnsi="宋体"/>
          <w:b/>
          <w:bCs/>
          <w:color w:val="auto"/>
          <w:highlight w:val="none"/>
        </w:rPr>
        <w:t>按</w:t>
      </w:r>
      <w:r>
        <w:rPr>
          <w:rFonts w:hint="eastAsia" w:ascii="宋体" w:hAnsi="宋体"/>
          <w:b/>
          <w:bCs/>
          <w:color w:val="auto"/>
          <w:highlight w:val="none"/>
        </w:rPr>
        <w:t>资格审查及商务技术符合性审查（阶段一）及价格符合性审查（阶段二）</w:t>
      </w:r>
      <w:r>
        <w:rPr>
          <w:rFonts w:ascii="宋体" w:hAnsi="宋体"/>
          <w:b/>
          <w:bCs/>
          <w:color w:val="auto"/>
          <w:highlight w:val="none"/>
        </w:rPr>
        <w:t>（见附表1</w:t>
      </w:r>
      <w:r>
        <w:rPr>
          <w:rFonts w:hint="eastAsia" w:ascii="宋体" w:hAnsi="宋体"/>
          <w:b/>
          <w:bCs/>
          <w:color w:val="auto"/>
          <w:highlight w:val="none"/>
        </w:rPr>
        <w:t>、见附表4</w:t>
      </w:r>
      <w:r>
        <w:rPr>
          <w:rFonts w:ascii="宋体" w:hAnsi="宋体"/>
          <w:b/>
          <w:bCs/>
          <w:color w:val="auto"/>
          <w:highlight w:val="none"/>
        </w:rPr>
        <w:t>）所列各项，评标委员会认为投标文件不满足招标文件要求的，将被认定为无效投标。</w:t>
      </w:r>
    </w:p>
    <w:p>
      <w:pPr>
        <w:spacing w:before="120" w:after="120" w:line="360" w:lineRule="auto"/>
        <w:ind w:firstLine="525" w:firstLineChars="250"/>
        <w:rPr>
          <w:rFonts w:ascii="宋体" w:hAnsi="宋体"/>
          <w:bCs/>
          <w:color w:val="auto"/>
          <w:highlight w:val="none"/>
        </w:rPr>
      </w:pPr>
      <w:bookmarkStart w:id="189" w:name="_Toc17602_WPSOffice_Level1"/>
      <w:bookmarkStart w:id="190" w:name="_Toc18377_WPSOffice_Level1"/>
      <w:bookmarkStart w:id="191" w:name="_Toc962_WPSOffice_Level1"/>
      <w:r>
        <w:rPr>
          <w:rFonts w:ascii="宋体" w:hAnsi="宋体"/>
          <w:bCs/>
          <w:color w:val="auto"/>
          <w:highlight w:val="none"/>
        </w:rPr>
        <w:t>5.5.2详细评审</w:t>
      </w:r>
      <w:bookmarkEnd w:id="189"/>
      <w:bookmarkEnd w:id="190"/>
      <w:bookmarkEnd w:id="191"/>
    </w:p>
    <w:p>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a.详细评审是对通过</w:t>
      </w:r>
      <w:r>
        <w:rPr>
          <w:rFonts w:hint="eastAsia" w:ascii="宋体" w:hAnsi="宋体"/>
          <w:color w:val="auto"/>
          <w:highlight w:val="none"/>
        </w:rPr>
        <w:t>资格审查及商务技术符合性审查（阶段一）</w:t>
      </w:r>
      <w:r>
        <w:rPr>
          <w:rFonts w:ascii="宋体" w:hAnsi="宋体"/>
          <w:color w:val="auto"/>
          <w:highlight w:val="none"/>
        </w:rPr>
        <w:t>的投标进行技术</w:t>
      </w:r>
      <w:r>
        <w:rPr>
          <w:rFonts w:hint="eastAsia" w:ascii="宋体" w:hAnsi="宋体"/>
          <w:color w:val="auto"/>
          <w:highlight w:val="none"/>
        </w:rPr>
        <w:t>评审、</w:t>
      </w:r>
      <w:r>
        <w:rPr>
          <w:rFonts w:ascii="宋体" w:hAnsi="宋体"/>
          <w:color w:val="auto"/>
          <w:highlight w:val="none"/>
        </w:rPr>
        <w:t>商务</w:t>
      </w:r>
      <w:r>
        <w:rPr>
          <w:rFonts w:hint="eastAsia" w:ascii="宋体" w:hAnsi="宋体"/>
          <w:color w:val="auto"/>
          <w:highlight w:val="none"/>
        </w:rPr>
        <w:t>评审以及对通过价格符合性审查（阶段二）</w:t>
      </w:r>
      <w:r>
        <w:rPr>
          <w:rFonts w:ascii="宋体" w:hAnsi="宋体"/>
          <w:color w:val="auto"/>
          <w:highlight w:val="none"/>
        </w:rPr>
        <w:t>的投标进行价格评审。</w:t>
      </w:r>
    </w:p>
    <w:p>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b.技术、商务评分：评标委员会就</w:t>
      </w:r>
      <w:r>
        <w:rPr>
          <w:rFonts w:hint="eastAsia" w:ascii="宋体" w:hAnsi="宋体"/>
          <w:color w:val="auto"/>
          <w:highlight w:val="none"/>
        </w:rPr>
        <w:t>技术评分表、商务评分表的评审</w:t>
      </w:r>
      <w:r>
        <w:rPr>
          <w:rFonts w:ascii="宋体" w:hAnsi="宋体"/>
          <w:color w:val="auto"/>
          <w:highlight w:val="none"/>
        </w:rPr>
        <w:t>因素进行评分，各因素所占权重比例见《技术</w:t>
      </w:r>
      <w:r>
        <w:rPr>
          <w:rFonts w:hint="eastAsia" w:ascii="宋体" w:hAnsi="宋体"/>
          <w:color w:val="auto"/>
          <w:highlight w:val="none"/>
        </w:rPr>
        <w:t>评分</w:t>
      </w:r>
      <w:r>
        <w:rPr>
          <w:rFonts w:ascii="宋体" w:hAnsi="宋体"/>
          <w:color w:val="auto"/>
          <w:highlight w:val="none"/>
        </w:rPr>
        <w:t>表》（附表2）及《商务评</w:t>
      </w:r>
      <w:r>
        <w:rPr>
          <w:rFonts w:hint="eastAsia" w:ascii="宋体" w:hAnsi="宋体"/>
          <w:color w:val="auto"/>
          <w:highlight w:val="none"/>
        </w:rPr>
        <w:t>分</w:t>
      </w:r>
      <w:r>
        <w:rPr>
          <w:rFonts w:ascii="宋体" w:hAnsi="宋体"/>
          <w:color w:val="auto"/>
          <w:highlight w:val="none"/>
        </w:rPr>
        <w:t>表》（附表3），评分统计按本评标方法</w:t>
      </w:r>
      <w:r>
        <w:rPr>
          <w:rFonts w:hint="eastAsia" w:ascii="宋体" w:hAnsi="宋体"/>
          <w:color w:val="auto"/>
          <w:highlight w:val="none"/>
        </w:rPr>
        <w:t>的</w:t>
      </w:r>
      <w:r>
        <w:rPr>
          <w:rFonts w:ascii="宋体" w:hAnsi="宋体"/>
          <w:color w:val="auto"/>
          <w:highlight w:val="none"/>
        </w:rPr>
        <w:t>规定进行。</w:t>
      </w:r>
    </w:p>
    <w:p>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c.价格的核准和评分</w:t>
      </w:r>
    </w:p>
    <w:p>
      <w:pPr>
        <w:tabs>
          <w:tab w:val="left" w:pos="0"/>
        </w:tabs>
        <w:spacing w:line="360" w:lineRule="auto"/>
        <w:ind w:firstLine="420" w:firstLineChars="200"/>
        <w:rPr>
          <w:rFonts w:ascii="宋体" w:hAnsi="宋体"/>
          <w:color w:val="auto"/>
          <w:highlight w:val="none"/>
        </w:rPr>
      </w:pPr>
      <w:r>
        <w:rPr>
          <w:rFonts w:ascii="宋体" w:hAnsi="宋体"/>
          <w:color w:val="auto"/>
          <w:highlight w:val="none"/>
        </w:rPr>
        <w:t>a)评标委员会详细分析、核准价格表，看其是否有计算上或累加上的算术错误，修正错误的原则如下：</w:t>
      </w:r>
    </w:p>
    <w:p>
      <w:pPr>
        <w:spacing w:line="360" w:lineRule="auto"/>
        <w:ind w:firstLine="420" w:firstLineChars="200"/>
        <w:rPr>
          <w:rFonts w:ascii="宋体" w:hAnsi="宋体"/>
          <w:color w:val="auto"/>
          <w:highlight w:val="none"/>
        </w:rPr>
      </w:pPr>
      <w:r>
        <w:rPr>
          <w:rFonts w:ascii="宋体" w:hAnsi="宋体"/>
          <w:color w:val="auto"/>
          <w:highlight w:val="none"/>
        </w:rPr>
        <w:t>（1）如果用大写表示的金额和用小写表示的金额不一致，应以大写表示的金额为准；</w:t>
      </w:r>
    </w:p>
    <w:p>
      <w:pPr>
        <w:spacing w:line="360" w:lineRule="auto"/>
        <w:ind w:firstLine="420" w:firstLineChars="200"/>
        <w:rPr>
          <w:rFonts w:ascii="宋体" w:hAnsi="宋体"/>
          <w:color w:val="auto"/>
          <w:highlight w:val="none"/>
        </w:rPr>
      </w:pPr>
      <w:r>
        <w:rPr>
          <w:rFonts w:ascii="宋体" w:hAnsi="宋体"/>
          <w:color w:val="auto"/>
          <w:highlight w:val="none"/>
        </w:rPr>
        <w:t>（2）当单价和数量的乘积与总价金额不一致时，以单价为准（除单价金额小数点明显错误的除外），并修正总价；</w:t>
      </w:r>
    </w:p>
    <w:p>
      <w:pPr>
        <w:tabs>
          <w:tab w:val="left" w:pos="0"/>
        </w:tabs>
        <w:spacing w:line="360" w:lineRule="auto"/>
        <w:ind w:firstLine="420" w:firstLineChars="200"/>
        <w:rPr>
          <w:rFonts w:hint="eastAsia" w:ascii="宋体" w:hAnsi="宋体"/>
          <w:color w:val="auto"/>
          <w:highlight w:val="none"/>
        </w:rPr>
      </w:pPr>
      <w:r>
        <w:rPr>
          <w:rFonts w:ascii="宋体" w:hAnsi="宋体"/>
          <w:color w:val="auto"/>
          <w:highlight w:val="none"/>
        </w:rPr>
        <w:t>（3）漏项的调整方式：</w:t>
      </w:r>
      <w:r>
        <w:rPr>
          <w:rFonts w:hint="eastAsia" w:ascii="宋体" w:hAnsi="宋体"/>
          <w:color w:val="auto"/>
          <w:highlight w:val="none"/>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color w:val="auto"/>
          <w:highlight w:val="none"/>
        </w:rPr>
        <w:t>如该投标人中标，</w:t>
      </w:r>
      <w:r>
        <w:rPr>
          <w:rFonts w:hint="eastAsia" w:ascii="宋体" w:hAnsi="宋体"/>
          <w:bCs/>
          <w:color w:val="auto"/>
          <w:highlight w:val="none"/>
        </w:rPr>
        <w:t>所有漏项应包含在供货范围内，且</w:t>
      </w:r>
      <w:r>
        <w:rPr>
          <w:rFonts w:ascii="宋体" w:hAnsi="宋体"/>
          <w:bCs/>
          <w:color w:val="auto"/>
          <w:highlight w:val="none"/>
        </w:rPr>
        <w:t>中标价仍按其投标报价计</w:t>
      </w:r>
      <w:r>
        <w:rPr>
          <w:rFonts w:hint="eastAsia" w:ascii="宋体" w:hAnsi="宋体"/>
          <w:color w:val="auto"/>
          <w:highlight w:val="none"/>
        </w:rPr>
        <w:t>）</w:t>
      </w:r>
      <w:r>
        <w:rPr>
          <w:rFonts w:ascii="宋体" w:hAnsi="宋体"/>
          <w:color w:val="auto"/>
          <w:highlight w:val="none"/>
        </w:rPr>
        <w:t>。</w:t>
      </w:r>
    </w:p>
    <w:p>
      <w:pPr>
        <w:tabs>
          <w:tab w:val="left" w:pos="-618"/>
          <w:tab w:val="left" w:pos="-412"/>
        </w:tabs>
        <w:spacing w:line="360" w:lineRule="auto"/>
        <w:ind w:firstLine="420" w:firstLineChars="200"/>
        <w:rPr>
          <w:rFonts w:hint="eastAsia" w:ascii="宋体" w:hAnsi="宋体"/>
          <w:color w:val="auto"/>
          <w:highlight w:val="none"/>
        </w:rPr>
      </w:pPr>
      <w:r>
        <w:rPr>
          <w:rFonts w:hint="eastAsia" w:ascii="宋体" w:hAnsi="宋体"/>
          <w:color w:val="auto"/>
          <w:highlight w:val="none"/>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pPr>
        <w:tabs>
          <w:tab w:val="left" w:pos="-618"/>
          <w:tab w:val="left" w:pos="-412"/>
        </w:tabs>
        <w:spacing w:line="36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需要投标人提供的</w:t>
      </w:r>
      <w:r>
        <w:rPr>
          <w:rFonts w:hint="eastAsia" w:ascii="宋体" w:hAnsi="宋体"/>
          <w:color w:val="auto"/>
          <w:highlight w:val="none"/>
          <w:lang w:val="en-US" w:eastAsia="zh-CN"/>
        </w:rPr>
        <w:t>额外</w:t>
      </w:r>
      <w:r>
        <w:rPr>
          <w:rFonts w:ascii="宋体" w:hAnsi="宋体"/>
          <w:color w:val="auto"/>
          <w:highlight w:val="none"/>
        </w:rPr>
        <w:t>相关服务所需的费用，如果是另外单独报价的话，评分时应计入投标报价。</w:t>
      </w:r>
    </w:p>
    <w:p>
      <w:pPr>
        <w:tabs>
          <w:tab w:val="left" w:pos="0"/>
        </w:tabs>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）评标委员会依据招标文件认为应该调整的价格。</w:t>
      </w:r>
    </w:p>
    <w:p>
      <w:pPr>
        <w:tabs>
          <w:tab w:val="left" w:pos="0"/>
        </w:tabs>
        <w:spacing w:line="360" w:lineRule="auto"/>
        <w:ind w:firstLine="420" w:firstLineChars="200"/>
        <w:rPr>
          <w:rFonts w:ascii="宋体" w:hAnsi="宋体"/>
          <w:color w:val="auto"/>
          <w:highlight w:val="none"/>
        </w:rPr>
      </w:pPr>
      <w:r>
        <w:rPr>
          <w:rFonts w:ascii="宋体" w:hAnsi="宋体"/>
          <w:color w:val="auto"/>
          <w:highlight w:val="none"/>
        </w:rPr>
        <w:t>b)评标委员会将按上述修正错误的方法调整投标文件中的投标报价，调整后的价格对投标人具有约束力。如果投标人不接受修正后的价格，则其投标将被拒绝。</w:t>
      </w:r>
    </w:p>
    <w:p>
      <w:pPr>
        <w:tabs>
          <w:tab w:val="left" w:pos="945"/>
        </w:tabs>
        <w:spacing w:line="360" w:lineRule="auto"/>
        <w:ind w:left="-23" w:leftChars="-11" w:firstLine="525" w:firstLineChars="250"/>
        <w:jc w:val="left"/>
        <w:rPr>
          <w:rFonts w:hint="eastAsia" w:ascii="宋体" w:hAnsi="宋体"/>
          <w:color w:val="auto"/>
          <w:highlight w:val="none"/>
        </w:rPr>
      </w:pPr>
      <w:r>
        <w:rPr>
          <w:rFonts w:ascii="宋体" w:hAnsi="宋体"/>
          <w:color w:val="auto"/>
          <w:highlight w:val="none"/>
        </w:rPr>
        <w:t>c)</w:t>
      </w:r>
      <w:r>
        <w:rPr>
          <w:rFonts w:hint="eastAsia" w:ascii="宋体" w:hAnsi="宋体"/>
          <w:color w:val="auto"/>
          <w:highlight w:val="none"/>
        </w:rPr>
        <w:t xml:space="preserve"> 价格评分：</w:t>
      </w:r>
    </w:p>
    <w:p>
      <w:pPr>
        <w:spacing w:line="360" w:lineRule="auto"/>
        <w:ind w:left="420" w:leftChars="200" w:firstLine="426"/>
        <w:rPr>
          <w:rFonts w:hint="eastAsia" w:ascii="宋体" w:hAnsi="宋体" w:cs="宋体"/>
          <w:color w:val="auto"/>
          <w:szCs w:val="21"/>
          <w:highlight w:val="none"/>
        </w:rPr>
      </w:pPr>
      <w:r>
        <w:rPr>
          <w:rFonts w:hint="eastAsia" w:ascii="宋体" w:hAnsi="宋体"/>
          <w:color w:val="auto"/>
          <w:szCs w:val="21"/>
          <w:highlight w:val="none"/>
        </w:rPr>
        <w:t>各有效投标</w:t>
      </w:r>
      <w:r>
        <w:rPr>
          <w:rFonts w:hint="eastAsia" w:ascii="宋体" w:hAnsi="宋体"/>
          <w:color w:val="auto"/>
          <w:szCs w:val="21"/>
          <w:highlight w:val="none"/>
          <w:lang w:val="en-US" w:eastAsia="zh-CN"/>
        </w:rPr>
        <w:t>人</w:t>
      </w:r>
      <w:r>
        <w:rPr>
          <w:rFonts w:hint="eastAsia" w:ascii="宋体" w:hAnsi="宋体"/>
          <w:color w:val="auto"/>
          <w:szCs w:val="21"/>
          <w:highlight w:val="none"/>
        </w:rPr>
        <w:t>的价格评分统一按照下列公式计算</w:t>
      </w:r>
      <w:r>
        <w:rPr>
          <w:rFonts w:hint="eastAsia" w:ascii="宋体" w:hAnsi="宋体" w:cs="宋体"/>
          <w:color w:val="auto"/>
          <w:szCs w:val="21"/>
          <w:highlight w:val="none"/>
        </w:rPr>
        <w:t>：</w:t>
      </w:r>
    </w:p>
    <w:p>
      <w:pPr>
        <w:numPr>
          <w:ilvl w:val="0"/>
          <w:numId w:val="8"/>
        </w:numPr>
        <w:spacing w:line="360" w:lineRule="auto"/>
        <w:ind w:left="420" w:leftChars="200" w:firstLine="495" w:firstLineChars="236"/>
        <w:rPr>
          <w:rFonts w:hint="eastAsia" w:ascii="宋体" w:hAnsi="宋体" w:cs="宋体"/>
          <w:color w:val="auto"/>
          <w:szCs w:val="21"/>
          <w:highlight w:val="none"/>
        </w:rPr>
      </w:pPr>
      <w:r>
        <w:rPr>
          <w:rFonts w:hint="eastAsia" w:ascii="宋体" w:hAnsi="宋体" w:cs="宋体"/>
          <w:color w:val="auto"/>
          <w:szCs w:val="21"/>
          <w:highlight w:val="none"/>
        </w:rPr>
        <w:t>价格不能超过预算，否则就视为自动放弃本次投标权利</w:t>
      </w:r>
    </w:p>
    <w:p>
      <w:pPr>
        <w:numPr>
          <w:ilvl w:val="0"/>
          <w:numId w:val="8"/>
        </w:numPr>
        <w:snapToGrid w:val="0"/>
        <w:spacing w:line="360" w:lineRule="auto"/>
        <w:ind w:left="420" w:leftChars="200" w:firstLine="495" w:firstLineChars="236"/>
        <w:rPr>
          <w:rFonts w:hint="eastAsia" w:ascii="宋体" w:hAnsi="宋体" w:cs="宋体"/>
          <w:color w:val="auto"/>
          <w:szCs w:val="21"/>
          <w:highlight w:val="none"/>
        </w:rPr>
      </w:pPr>
      <w:r>
        <w:rPr>
          <w:rFonts w:hint="eastAsia" w:ascii="宋体" w:hAnsi="宋体" w:cs="宋体"/>
          <w:color w:val="auto"/>
          <w:szCs w:val="21"/>
          <w:highlight w:val="none"/>
        </w:rPr>
        <w:t>投标人评标价及评标基准价的确认：</w:t>
      </w:r>
    </w:p>
    <w:bookmarkEnd w:id="182"/>
    <w:bookmarkEnd w:id="183"/>
    <w:bookmarkEnd w:id="184"/>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olor w:val="auto"/>
          <w:szCs w:val="21"/>
          <w:highlight w:val="none"/>
          <w:lang w:val="en-US" w:eastAsia="zh-CN"/>
        </w:rPr>
        <w:t>符合性审查</w:t>
      </w:r>
      <w:r>
        <w:rPr>
          <w:rFonts w:hint="eastAsia" w:ascii="宋体" w:hAnsi="宋体"/>
          <w:color w:val="auto"/>
          <w:szCs w:val="21"/>
          <w:highlight w:val="none"/>
        </w:rPr>
        <w:t>的有效投标人进入价格评分。评标委员会对通过</w:t>
      </w:r>
      <w:r>
        <w:rPr>
          <w:rFonts w:hint="eastAsia" w:ascii="宋体" w:hAnsi="宋体"/>
          <w:color w:val="auto"/>
          <w:szCs w:val="21"/>
          <w:highlight w:val="none"/>
          <w:lang w:val="en-US" w:eastAsia="zh-CN"/>
        </w:rPr>
        <w:t>符合性审查</w:t>
      </w:r>
      <w:r>
        <w:rPr>
          <w:rFonts w:hint="eastAsia" w:ascii="宋体" w:hAnsi="宋体"/>
          <w:color w:val="auto"/>
          <w:szCs w:val="21"/>
          <w:highlight w:val="none"/>
        </w:rPr>
        <w:t>的投标文件的投标报价进行复核及算术修正，修正后的价格为投标人的评标价。</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1）评标基准价的计算</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满足招标文件要求的</w:t>
      </w:r>
      <w:r>
        <w:rPr>
          <w:rFonts w:hint="eastAsia" w:ascii="宋体" w:hAnsi="宋体"/>
          <w:color w:val="auto"/>
          <w:szCs w:val="21"/>
          <w:highlight w:val="none"/>
          <w:lang w:val="en-US" w:eastAsia="zh-CN"/>
        </w:rPr>
        <w:t>投标人</w:t>
      </w:r>
      <w:r>
        <w:rPr>
          <w:rFonts w:hint="eastAsia" w:ascii="宋体" w:hAnsi="宋体"/>
          <w:color w:val="auto"/>
          <w:szCs w:val="21"/>
          <w:highlight w:val="none"/>
        </w:rPr>
        <w:t>投标报价求平均值为评标基准价</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2）价格评分</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a) 当评标总价等于评标基准价，投标人的价格评分为</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b) 当评标总价高于评标基准价，投标人的价格评分按下式计算（每高1％，扣0.3分，扣完为止）：</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30</w:t>
      </w:r>
      <w:r>
        <w:rPr>
          <w:rFonts w:hint="eastAsia" w:ascii="宋体" w:hAnsi="宋体"/>
          <w:color w:val="auto"/>
          <w:szCs w:val="21"/>
          <w:highlight w:val="none"/>
        </w:rPr>
        <w:t>-（投标人的评标总价-评标基准价）/评标基准价×100×0.3（四舍五入，小数点后保留两位有效数字）</w:t>
      </w:r>
    </w:p>
    <w:p>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c) 当评标总价低于评标基准价，投标人的价格评分按下式计算（每低1％，扣0.2分，扣完为止）：</w:t>
      </w:r>
    </w:p>
    <w:p>
      <w:pPr>
        <w:snapToGrid w:val="0"/>
        <w:spacing w:line="360" w:lineRule="auto"/>
        <w:ind w:left="420" w:firstLine="420" w:firstLineChars="200"/>
        <w:rPr>
          <w:rFonts w:hint="eastAsia" w:ascii="宋体" w:hAnsi="宋体" w:cs="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30</w:t>
      </w:r>
      <w:r>
        <w:rPr>
          <w:rFonts w:hint="eastAsia" w:ascii="宋体" w:hAnsi="宋体"/>
          <w:color w:val="auto"/>
          <w:szCs w:val="21"/>
          <w:highlight w:val="none"/>
        </w:rPr>
        <w:t>-（评标基准价-投标人的评标总价）/评标基准价×100×0.2（四舍五入，小数点后保留两位有效数字）</w:t>
      </w:r>
    </w:p>
    <w:p>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d）技术、商务及价格权重分配：</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1920"/>
        <w:gridCol w:w="1860"/>
        <w:gridCol w:w="1755"/>
        <w:gridCol w:w="1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评分项目</w:t>
            </w:r>
          </w:p>
        </w:tc>
        <w:tc>
          <w:tcPr>
            <w:tcW w:w="192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技术评分</w:t>
            </w:r>
          </w:p>
        </w:tc>
        <w:tc>
          <w:tcPr>
            <w:tcW w:w="186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商务评分</w:t>
            </w:r>
          </w:p>
        </w:tc>
        <w:tc>
          <w:tcPr>
            <w:tcW w:w="1755"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价格评分</w:t>
            </w:r>
          </w:p>
        </w:tc>
        <w:tc>
          <w:tcPr>
            <w:tcW w:w="182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总分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分值</w:t>
            </w:r>
          </w:p>
        </w:tc>
        <w:tc>
          <w:tcPr>
            <w:tcW w:w="1920" w:type="dxa"/>
            <w:noWrap w:val="0"/>
            <w:vAlign w:val="center"/>
          </w:tcPr>
          <w:p>
            <w:pPr>
              <w:jc w:val="center"/>
              <w:rPr>
                <w:rFonts w:hint="eastAsia" w:ascii="宋体" w:hAnsi="宋体" w:cs="宋体"/>
                <w:color w:val="auto"/>
                <w:highlight w:val="none"/>
              </w:rPr>
            </w:pPr>
            <w:r>
              <w:rPr>
                <w:rFonts w:hint="eastAsia" w:ascii="宋体" w:hAnsi="宋体" w:eastAsia="宋体" w:cs="宋体"/>
                <w:color w:val="auto"/>
                <w:highlight w:val="none"/>
                <w:lang w:val="en-US" w:eastAsia="zh-CN"/>
              </w:rPr>
              <w:t>40</w:t>
            </w:r>
          </w:p>
        </w:tc>
        <w:tc>
          <w:tcPr>
            <w:tcW w:w="1860"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1755" w:type="dxa"/>
            <w:noWrap w:val="0"/>
            <w:vAlign w:val="center"/>
          </w:tcPr>
          <w:p>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1820" w:type="dxa"/>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100</w:t>
            </w:r>
          </w:p>
        </w:tc>
      </w:tr>
    </w:tbl>
    <w:p>
      <w:pPr>
        <w:spacing w:line="360" w:lineRule="auto"/>
        <w:ind w:firstLine="420" w:firstLineChars="200"/>
        <w:rPr>
          <w:rFonts w:ascii="宋体" w:hAnsi="宋体"/>
          <w:color w:val="auto"/>
          <w:highlight w:val="none"/>
        </w:rPr>
      </w:pPr>
      <w:bookmarkStart w:id="192" w:name="_Toc32248_WPSOffice_Level1"/>
      <w:bookmarkStart w:id="193" w:name="_Toc32432_WPSOffice_Level1"/>
      <w:bookmarkStart w:id="194" w:name="_Toc12541_WPSOffice_Level1"/>
      <w:r>
        <w:rPr>
          <w:rFonts w:hint="eastAsia" w:ascii="宋体" w:hAnsi="宋体"/>
          <w:color w:val="auto"/>
          <w:highlight w:val="none"/>
        </w:rPr>
        <w:t>e）</w:t>
      </w:r>
      <w:r>
        <w:rPr>
          <w:rFonts w:ascii="宋体" w:hAnsi="宋体"/>
          <w:color w:val="auto"/>
          <w:highlight w:val="none"/>
        </w:rPr>
        <w:t>根据上述技术、商务及价格的综合评分及其权重分配，代入下列公式计算各投标人的总得分。得分统计保留小数点后两位，第三位四舍五入。进入详细评审的各投标人的综合得分，按得分从高到低排名。</w:t>
      </w:r>
    </w:p>
    <w:p>
      <w:pPr>
        <w:spacing w:line="360" w:lineRule="auto"/>
        <w:ind w:firstLine="420" w:firstLineChars="200"/>
        <w:rPr>
          <w:rFonts w:ascii="宋体" w:hAnsi="宋体"/>
          <w:color w:val="auto"/>
          <w:highlight w:val="none"/>
        </w:rPr>
      </w:pPr>
      <w:r>
        <w:rPr>
          <w:rFonts w:ascii="宋体" w:hAnsi="宋体"/>
          <w:color w:val="auto"/>
          <w:highlight w:val="none"/>
        </w:rPr>
        <w:t>评标总得分=F1+ F2 +F3</w:t>
      </w:r>
    </w:p>
    <w:p>
      <w:pPr>
        <w:spacing w:line="360" w:lineRule="auto"/>
        <w:ind w:firstLine="420" w:firstLineChars="200"/>
        <w:rPr>
          <w:rFonts w:ascii="宋体" w:hAnsi="宋体"/>
          <w:color w:val="auto"/>
          <w:highlight w:val="none"/>
        </w:rPr>
      </w:pPr>
      <w:r>
        <w:rPr>
          <w:rFonts w:ascii="宋体" w:hAnsi="宋体"/>
          <w:color w:val="auto"/>
          <w:highlight w:val="none"/>
        </w:rPr>
        <w:t>其中，F1、F2、F3别为技术、商务及价格评分的汇总得分。</w:t>
      </w:r>
    </w:p>
    <w:p>
      <w:pPr>
        <w:spacing w:line="360" w:lineRule="auto"/>
        <w:ind w:firstLine="420" w:firstLineChars="200"/>
        <w:rPr>
          <w:rFonts w:ascii="宋体" w:hAnsi="宋体"/>
          <w:color w:val="auto"/>
          <w:highlight w:val="none"/>
        </w:rPr>
      </w:pPr>
      <w:r>
        <w:rPr>
          <w:rFonts w:hint="eastAsia" w:ascii="宋体" w:hAnsi="宋体"/>
          <w:color w:val="auto"/>
          <w:highlight w:val="none"/>
        </w:rPr>
        <w:t>f）</w:t>
      </w:r>
      <w:r>
        <w:rPr>
          <w:rFonts w:ascii="宋体" w:hAnsi="宋体"/>
          <w:color w:val="auto"/>
          <w:highlight w:val="none"/>
        </w:rPr>
        <w:t>评分统计验算：评分统计的结果数据须经评标委员会验算并确认。</w:t>
      </w:r>
    </w:p>
    <w:p>
      <w:pPr>
        <w:spacing w:before="120" w:after="120" w:line="360" w:lineRule="auto"/>
        <w:ind w:firstLine="525" w:firstLineChars="250"/>
        <w:rPr>
          <w:rFonts w:ascii="宋体" w:hAnsi="宋体"/>
          <w:bCs/>
          <w:color w:val="auto"/>
          <w:highlight w:val="none"/>
        </w:rPr>
      </w:pPr>
      <w:bookmarkStart w:id="195" w:name="_Toc27012_WPSOffice_Level1"/>
      <w:bookmarkStart w:id="196" w:name="_Toc13353_WPSOffice_Level1"/>
      <w:bookmarkStart w:id="197" w:name="_Toc9514_WPSOffice_Level1"/>
      <w:r>
        <w:rPr>
          <w:rFonts w:ascii="宋体" w:hAnsi="宋体"/>
          <w:bCs/>
          <w:color w:val="auto"/>
          <w:highlight w:val="none"/>
        </w:rPr>
        <w:t>5.5.3中标候选人</w:t>
      </w:r>
      <w:bookmarkEnd w:id="195"/>
      <w:bookmarkEnd w:id="196"/>
      <w:bookmarkEnd w:id="197"/>
    </w:p>
    <w:p>
      <w:pPr>
        <w:spacing w:line="360" w:lineRule="auto"/>
        <w:ind w:left="300" w:leftChars="143" w:firstLine="210" w:firstLineChars="100"/>
        <w:rPr>
          <w:rFonts w:ascii="宋体" w:hAnsi="宋体"/>
          <w:color w:val="auto"/>
          <w:highlight w:val="none"/>
        </w:rPr>
      </w:pPr>
      <w:r>
        <w:rPr>
          <w:rFonts w:ascii="宋体" w:hAnsi="宋体"/>
          <w:color w:val="auto"/>
          <w:highlight w:val="none"/>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w:t>
      </w:r>
      <w:r>
        <w:rPr>
          <w:rFonts w:hint="eastAsia" w:ascii="宋体" w:hAnsi="宋体"/>
          <w:color w:val="auto"/>
          <w:highlight w:val="none"/>
        </w:rPr>
        <w:t>，</w:t>
      </w:r>
      <w:r>
        <w:rPr>
          <w:rFonts w:ascii="宋体" w:hAnsi="宋体"/>
          <w:color w:val="auto"/>
          <w:highlight w:val="none"/>
        </w:rPr>
        <w:t>且</w:t>
      </w:r>
      <w:r>
        <w:rPr>
          <w:rFonts w:hint="eastAsia" w:ascii="宋体" w:hAnsi="宋体"/>
          <w:color w:val="auto"/>
          <w:highlight w:val="none"/>
        </w:rPr>
        <w:t>技术得分</w:t>
      </w:r>
      <w:r>
        <w:rPr>
          <w:rFonts w:ascii="宋体" w:hAnsi="宋体"/>
          <w:color w:val="auto"/>
          <w:highlight w:val="none"/>
        </w:rPr>
        <w:t>相同的，名次按</w:t>
      </w:r>
      <w:r>
        <w:rPr>
          <w:rFonts w:hint="eastAsia" w:ascii="宋体" w:hAnsi="宋体"/>
          <w:color w:val="auto"/>
          <w:highlight w:val="none"/>
        </w:rPr>
        <w:t>商务</w:t>
      </w:r>
      <w:r>
        <w:rPr>
          <w:rFonts w:ascii="宋体" w:hAnsi="宋体"/>
          <w:color w:val="auto"/>
          <w:highlight w:val="none"/>
        </w:rPr>
        <w:t>分较高者排名靠前；评标总得分相同、</w:t>
      </w:r>
      <w:r>
        <w:rPr>
          <w:rFonts w:hint="eastAsia" w:ascii="宋体" w:hAnsi="宋体"/>
          <w:color w:val="auto"/>
          <w:highlight w:val="none"/>
        </w:rPr>
        <w:t>商务评分</w:t>
      </w:r>
      <w:r>
        <w:rPr>
          <w:rFonts w:ascii="宋体" w:hAnsi="宋体"/>
          <w:color w:val="auto"/>
          <w:highlight w:val="none"/>
        </w:rPr>
        <w:t>和技术评分均相同的，名次由评标委员会投票决定；最后，评标委员会写出评标报告，将推荐的中标候选人报招标人核准。</w:t>
      </w:r>
    </w:p>
    <w:p>
      <w:pPr>
        <w:spacing w:line="360" w:lineRule="auto"/>
        <w:rPr>
          <w:rFonts w:ascii="宋体" w:hAnsi="宋体"/>
          <w:color w:val="auto"/>
          <w:szCs w:val="21"/>
          <w:highlight w:val="none"/>
        </w:rPr>
      </w:pPr>
      <w:r>
        <w:rPr>
          <w:rFonts w:ascii="宋体" w:hAnsi="宋体"/>
          <w:color w:val="auto"/>
          <w:szCs w:val="21"/>
          <w:highlight w:val="none"/>
        </w:rPr>
        <w:t xml:space="preserve"> </w:t>
      </w:r>
    </w:p>
    <w:p>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 xml:space="preserve">附表1    </w:t>
      </w:r>
      <w:r>
        <w:rPr>
          <w:rFonts w:hint="eastAsia" w:ascii="宋体" w:hAnsi="宋体"/>
          <w:color w:val="auto"/>
          <w:highlight w:val="none"/>
        </w:rPr>
        <w:t>符合性审查表（阶段一）</w:t>
      </w:r>
    </w:p>
    <w:p>
      <w:pPr>
        <w:tabs>
          <w:tab w:val="left" w:pos="824"/>
        </w:tabs>
        <w:spacing w:line="360" w:lineRule="auto"/>
        <w:ind w:firstLine="525" w:firstLineChars="250"/>
        <w:rPr>
          <w:rFonts w:hint="eastAsia" w:ascii="宋体" w:hAnsi="宋体"/>
          <w:color w:val="auto"/>
          <w:highlight w:val="none"/>
        </w:rPr>
      </w:pPr>
      <w:r>
        <w:rPr>
          <w:rFonts w:ascii="宋体" w:hAnsi="宋体"/>
          <w:color w:val="auto"/>
          <w:highlight w:val="none"/>
        </w:rPr>
        <w:t xml:space="preserve">附表2    </w:t>
      </w:r>
      <w:r>
        <w:rPr>
          <w:rFonts w:hint="eastAsia" w:ascii="宋体" w:hAnsi="宋体"/>
          <w:color w:val="auto"/>
          <w:highlight w:val="none"/>
        </w:rPr>
        <w:t>技术评分表</w:t>
      </w:r>
    </w:p>
    <w:p>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附表3    商务</w:t>
      </w:r>
      <w:r>
        <w:rPr>
          <w:rFonts w:hint="eastAsia" w:ascii="宋体" w:hAnsi="宋体"/>
          <w:color w:val="auto"/>
          <w:highlight w:val="none"/>
        </w:rPr>
        <w:t>评分表</w:t>
      </w:r>
    </w:p>
    <w:p>
      <w:pPr>
        <w:tabs>
          <w:tab w:val="left" w:pos="824"/>
        </w:tabs>
        <w:spacing w:line="360" w:lineRule="auto"/>
        <w:ind w:firstLine="525" w:firstLineChars="250"/>
        <w:rPr>
          <w:rFonts w:hint="eastAsia" w:ascii="宋体" w:hAnsi="宋体" w:cs="宋体"/>
          <w:color w:val="auto"/>
          <w:highlight w:val="none"/>
        </w:rPr>
      </w:pPr>
      <w:r>
        <w:rPr>
          <w:rFonts w:ascii="宋体" w:hAnsi="宋体"/>
          <w:color w:val="auto"/>
          <w:highlight w:val="none"/>
        </w:rPr>
        <w:t>附表</w:t>
      </w:r>
      <w:r>
        <w:rPr>
          <w:rFonts w:hint="eastAsia" w:ascii="宋体" w:hAnsi="宋体"/>
          <w:color w:val="auto"/>
          <w:highlight w:val="none"/>
        </w:rPr>
        <w:t>4</w:t>
      </w:r>
      <w:r>
        <w:rPr>
          <w:rFonts w:ascii="宋体" w:hAnsi="宋体"/>
          <w:color w:val="auto"/>
          <w:highlight w:val="none"/>
        </w:rPr>
        <w:t xml:space="preserve">    </w:t>
      </w:r>
      <w:r>
        <w:rPr>
          <w:rFonts w:hint="eastAsia" w:ascii="宋体" w:hAnsi="宋体"/>
          <w:color w:val="auto"/>
          <w:highlight w:val="none"/>
        </w:rPr>
        <w:t>符合性审查表（阶段二）</w:t>
      </w:r>
    </w:p>
    <w:bookmarkEnd w:id="192"/>
    <w:bookmarkEnd w:id="193"/>
    <w:bookmarkEnd w:id="194"/>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rPr>
          <w:rFonts w:hint="eastAsia" w:ascii="宋体" w:hAnsi="宋体" w:cs="宋体"/>
          <w:color w:val="auto"/>
          <w:highlight w:val="none"/>
        </w:rPr>
      </w:pPr>
    </w:p>
    <w:p>
      <w:pPr>
        <w:rPr>
          <w:rFonts w:hint="eastAsia" w:ascii="宋体" w:hAnsi="宋体" w:cs="宋体"/>
          <w:color w:val="auto"/>
          <w:highlight w:val="none"/>
        </w:rPr>
      </w:pPr>
    </w:p>
    <w:p>
      <w:pPr>
        <w:spacing w:line="360" w:lineRule="auto"/>
        <w:rPr>
          <w:rFonts w:hint="eastAsia" w:ascii="宋体" w:hAnsi="宋体" w:cs="宋体"/>
          <w:b/>
          <w:color w:val="auto"/>
          <w:szCs w:val="24"/>
          <w:highlight w:val="none"/>
        </w:rPr>
      </w:pPr>
      <w:r>
        <w:rPr>
          <w:rFonts w:hint="eastAsia" w:ascii="宋体" w:hAnsi="宋体" w:cs="宋体"/>
          <w:b/>
          <w:color w:val="auto"/>
          <w:szCs w:val="24"/>
          <w:highlight w:val="none"/>
        </w:rPr>
        <w:t>附表1：</w:t>
      </w:r>
      <w:r>
        <w:rPr>
          <w:rFonts w:hint="eastAsia" w:ascii="宋体" w:hAnsi="宋体"/>
          <w:b/>
          <w:color w:val="auto"/>
          <w:szCs w:val="24"/>
          <w:highlight w:val="none"/>
        </w:rPr>
        <w:t>符合性审查表（阶段一）</w:t>
      </w:r>
    </w:p>
    <w:p>
      <w:pPr>
        <w:jc w:val="center"/>
        <w:rPr>
          <w:rFonts w:hint="eastAsia" w:ascii="宋体" w:hAnsi="宋体"/>
          <w:b/>
          <w:color w:val="auto"/>
          <w:sz w:val="28"/>
          <w:szCs w:val="28"/>
          <w:highlight w:val="none"/>
        </w:rPr>
      </w:pPr>
      <w:bookmarkStart w:id="198" w:name="_Toc18088_WPSOffice_Level1"/>
      <w:bookmarkStart w:id="199" w:name="_Toc2981_WPSOffice_Level1"/>
      <w:bookmarkStart w:id="200" w:name="_Toc23841_WPSOffice_Level1"/>
      <w:r>
        <w:rPr>
          <w:rFonts w:hint="eastAsia" w:ascii="宋体" w:hAnsi="宋体"/>
          <w:b/>
          <w:color w:val="auto"/>
          <w:sz w:val="28"/>
          <w:szCs w:val="28"/>
          <w:highlight w:val="none"/>
        </w:rPr>
        <w:t>符合性审查表（阶段一）</w:t>
      </w:r>
    </w:p>
    <w:tbl>
      <w:tblPr>
        <w:tblStyle w:val="25"/>
        <w:tblW w:w="0" w:type="auto"/>
        <w:tblInd w:w="0" w:type="dxa"/>
        <w:tblLayout w:type="fixed"/>
        <w:tblCellMar>
          <w:top w:w="0" w:type="dxa"/>
          <w:left w:w="0" w:type="dxa"/>
          <w:bottom w:w="0" w:type="dxa"/>
          <w:right w:w="0" w:type="dxa"/>
        </w:tblCellMar>
      </w:tblPr>
      <w:tblGrid>
        <w:gridCol w:w="559"/>
        <w:gridCol w:w="4225"/>
        <w:gridCol w:w="746"/>
        <w:gridCol w:w="744"/>
        <w:gridCol w:w="744"/>
        <w:gridCol w:w="744"/>
        <w:gridCol w:w="744"/>
        <w:gridCol w:w="766"/>
      </w:tblGrid>
      <w:tr>
        <w:tblPrEx>
          <w:tblCellMar>
            <w:top w:w="0" w:type="dxa"/>
            <w:left w:w="0" w:type="dxa"/>
            <w:bottom w:w="0" w:type="dxa"/>
            <w:right w:w="0" w:type="dxa"/>
          </w:tblCellMar>
        </w:tblPrEx>
        <w:trPr>
          <w:trHeight w:val="90" w:hRule="atLeast"/>
        </w:trPr>
        <w:tc>
          <w:tcPr>
            <w:tcW w:w="559"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bookmarkStart w:id="201" w:name="OLE_LINK2"/>
            <w:r>
              <w:rPr>
                <w:rFonts w:hint="eastAsia" w:ascii="宋体" w:hAnsi="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审查项目</w:t>
            </w:r>
          </w:p>
        </w:tc>
        <w:tc>
          <w:tcPr>
            <w:tcW w:w="4488"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r>
      <w:tr>
        <w:tblPrEx>
          <w:tblCellMar>
            <w:top w:w="0" w:type="dxa"/>
            <w:left w:w="0" w:type="dxa"/>
            <w:bottom w:w="0" w:type="dxa"/>
            <w:right w:w="0" w:type="dxa"/>
          </w:tblCellMar>
        </w:tblPrEx>
        <w:trPr>
          <w:trHeight w:val="211" w:hRule="atLeast"/>
        </w:trPr>
        <w:tc>
          <w:tcPr>
            <w:tcW w:w="559"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E</w:t>
            </w:r>
          </w:p>
        </w:tc>
        <w:tc>
          <w:tcPr>
            <w:tcW w:w="76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bCs/>
                <w:color w:val="auto"/>
                <w:kern w:val="0"/>
                <w:szCs w:val="21"/>
                <w:highlight w:val="none"/>
              </w:rPr>
              <w:t>...</w:t>
            </w:r>
          </w:p>
        </w:tc>
      </w:tr>
      <w:tr>
        <w:tblPrEx>
          <w:tblCellMar>
            <w:top w:w="0" w:type="dxa"/>
            <w:left w:w="0" w:type="dxa"/>
            <w:bottom w:w="0" w:type="dxa"/>
            <w:right w:w="0" w:type="dxa"/>
          </w:tblCellMar>
        </w:tblPrEx>
        <w:trPr>
          <w:trHeight w:val="609" w:hRule="atLeast"/>
        </w:trPr>
        <w:tc>
          <w:tcPr>
            <w:tcW w:w="5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符合合格投标人资格条件；</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投标文件按招标文件规定要求签署及盖章，由授权代表签署时有法定代表人出具的授权委托书；</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投标有效期满足招标文件要求；</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按招标文件要求提交投标保证金；</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招标文件</w:t>
            </w:r>
            <w:r>
              <w:rPr>
                <w:rFonts w:hint="eastAsia" w:ascii="宋体" w:hAnsi="宋体" w:cs="宋体"/>
                <w:b/>
                <w:color w:val="auto"/>
                <w:szCs w:val="21"/>
                <w:highlight w:val="none"/>
              </w:rPr>
              <w:t>★</w:t>
            </w:r>
            <w:r>
              <w:rPr>
                <w:rFonts w:hint="eastAsia" w:ascii="宋体" w:hAnsi="宋体" w:cs="宋体"/>
                <w:color w:val="auto"/>
                <w:szCs w:val="21"/>
                <w:highlight w:val="none"/>
              </w:rPr>
              <w:t>号条款要求必须满足，投标文件的内容实质性满足招标文件无重大偏离或保留，否则按废标处理，没有出现违反法律、法规规定的情形；</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投标文件未附有招标人不能接受的条件的。</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56" w:hRule="atLeast"/>
        </w:trPr>
        <w:tc>
          <w:tcPr>
            <w:tcW w:w="478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76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bookmarkEnd w:id="201"/>
    </w:tbl>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pPr>
        <w:spacing w:line="360" w:lineRule="auto"/>
        <w:ind w:firstLine="630"/>
        <w:rPr>
          <w:rFonts w:hint="eastAsia" w:ascii="宋体" w:hAnsi="宋体" w:cs="宋体"/>
          <w:b/>
          <w:bCs/>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r>
        <w:rPr>
          <w:rFonts w:hint="eastAsia" w:ascii="宋体" w:hAnsi="宋体" w:cs="宋体"/>
          <w:b/>
          <w:bCs/>
          <w:color w:val="auto"/>
          <w:highlight w:val="none"/>
        </w:rPr>
        <w:t>。</w:t>
      </w:r>
      <w:bookmarkEnd w:id="198"/>
      <w:bookmarkEnd w:id="199"/>
      <w:bookmarkEnd w:id="200"/>
    </w:p>
    <w:p>
      <w:pPr>
        <w:jc w:val="left"/>
        <w:rPr>
          <w:rFonts w:hint="eastAsia" w:ascii="宋体" w:hAnsi="宋体" w:cs="宋体"/>
          <w:color w:val="auto"/>
          <w:highlight w:val="none"/>
        </w:rPr>
      </w:pPr>
    </w:p>
    <w:p>
      <w:pPr>
        <w:pStyle w:val="3"/>
        <w:rPr>
          <w:rFonts w:hint="eastAsia" w:ascii="宋体" w:hAnsi="宋体" w:cs="宋体"/>
          <w:color w:val="auto"/>
          <w:highlight w:val="none"/>
        </w:rPr>
      </w:pPr>
    </w:p>
    <w:p>
      <w:pPr>
        <w:pStyle w:val="17"/>
        <w:rPr>
          <w:rFonts w:hint="eastAsia" w:hAnsi="宋体" w:cs="宋体"/>
          <w:color w:val="auto"/>
          <w:highlight w:val="none"/>
        </w:rPr>
      </w:pPr>
    </w:p>
    <w:p>
      <w:pPr>
        <w:pStyle w:val="17"/>
        <w:rPr>
          <w:rFonts w:hint="eastAsia" w:hAnsi="宋体" w:cs="宋体"/>
          <w:color w:val="auto"/>
          <w:sz w:val="36"/>
          <w:szCs w:val="36"/>
          <w:highlight w:val="none"/>
        </w:rPr>
      </w:pPr>
      <w:r>
        <w:rPr>
          <w:rFonts w:hint="eastAsia" w:hAnsi="宋体" w:cs="宋体"/>
          <w:color w:val="auto"/>
          <w:highlight w:val="none"/>
        </w:rPr>
        <w:br w:type="page"/>
      </w:r>
      <w:bookmarkStart w:id="202" w:name="_Toc30424_WPSOffice_Level1"/>
      <w:bookmarkStart w:id="203" w:name="_Toc1778_WPSOffice_Level1"/>
      <w:bookmarkStart w:id="204" w:name="_Toc16973_WPSOffice_Level1"/>
      <w:r>
        <w:rPr>
          <w:rFonts w:hint="eastAsia" w:hAnsi="宋体" w:cs="宋体"/>
          <w:b/>
          <w:color w:val="auto"/>
          <w:highlight w:val="none"/>
        </w:rPr>
        <w:t>附表2：</w:t>
      </w:r>
      <w:bookmarkEnd w:id="202"/>
      <w:bookmarkEnd w:id="203"/>
      <w:bookmarkEnd w:id="204"/>
      <w:r>
        <w:rPr>
          <w:rFonts w:hint="eastAsia" w:hAnsi="宋体" w:cs="宋体"/>
          <w:b/>
          <w:color w:val="auto"/>
          <w:highlight w:val="none"/>
        </w:rPr>
        <w:t>技术评分表</w:t>
      </w:r>
    </w:p>
    <w:p>
      <w:pPr>
        <w:jc w:val="center"/>
        <w:rPr>
          <w:rFonts w:hint="eastAsia" w:ascii="宋体" w:hAnsi="宋体" w:cs="宋体"/>
          <w:b/>
          <w:color w:val="auto"/>
          <w:sz w:val="28"/>
          <w:szCs w:val="28"/>
          <w:highlight w:val="none"/>
        </w:rPr>
      </w:pPr>
      <w:bookmarkStart w:id="205" w:name="_Toc13899_WPSOffice_Level1"/>
      <w:bookmarkStart w:id="206" w:name="_Toc23766_WPSOffice_Level1"/>
      <w:bookmarkStart w:id="207" w:name="_Toc15598_WPSOffice_Level1"/>
      <w:r>
        <w:rPr>
          <w:rFonts w:hint="eastAsia" w:ascii="宋体" w:hAnsi="宋体" w:cs="宋体"/>
          <w:b/>
          <w:color w:val="auto"/>
          <w:sz w:val="28"/>
          <w:szCs w:val="28"/>
          <w:highlight w:val="none"/>
        </w:rPr>
        <w:t>技术评分表</w:t>
      </w:r>
    </w:p>
    <w:tbl>
      <w:tblPr>
        <w:tblStyle w:val="2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04"/>
        <w:gridCol w:w="1252"/>
        <w:gridCol w:w="707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604"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7070" w:type="dxa"/>
            <w:tcBorders>
              <w:bottom w:val="single" w:color="auto" w:sz="4" w:space="0"/>
            </w:tcBorders>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评分细则</w:t>
            </w:r>
          </w:p>
        </w:tc>
        <w:tc>
          <w:tcPr>
            <w:tcW w:w="71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pPr>
              <w:widowControl/>
              <w:adjustRightInd w:val="0"/>
              <w:snapToGrid w:val="0"/>
              <w:spacing w:after="120"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实施</w:t>
            </w:r>
            <w:r>
              <w:rPr>
                <w:rFonts w:hint="eastAsia" w:ascii="宋体" w:hAnsi="宋体" w:eastAsia="宋体" w:cs="宋体"/>
                <w:color w:val="auto"/>
                <w:szCs w:val="21"/>
                <w:highlight w:val="none"/>
              </w:rPr>
              <w:t>方案</w:t>
            </w:r>
          </w:p>
        </w:tc>
        <w:tc>
          <w:tcPr>
            <w:tcW w:w="7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综合本项目特点和相关技术规范要求，制定</w:t>
            </w:r>
            <w:r>
              <w:rPr>
                <w:rFonts w:hint="eastAsia" w:ascii="宋体" w:hAnsi="宋体" w:cs="宋体"/>
                <w:color w:val="auto"/>
                <w:szCs w:val="21"/>
                <w:highlight w:val="none"/>
                <w:lang w:eastAsia="zh-CN"/>
              </w:rPr>
              <w:t>实施方案</w:t>
            </w:r>
            <w:r>
              <w:rPr>
                <w:rFonts w:hint="eastAsia" w:ascii="宋体" w:hAnsi="宋体" w:eastAsia="宋体" w:cs="宋体"/>
                <w:color w:val="auto"/>
                <w:szCs w:val="21"/>
                <w:highlight w:val="none"/>
              </w:rPr>
              <w:t>等：</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实施方案</w:t>
            </w:r>
            <w:r>
              <w:rPr>
                <w:rFonts w:hint="eastAsia" w:ascii="宋体" w:hAnsi="宋体" w:eastAsia="宋体" w:cs="宋体"/>
                <w:color w:val="auto"/>
                <w:szCs w:val="21"/>
                <w:highlight w:val="none"/>
              </w:rPr>
              <w:t>完整，有进度保证措施，有主要施工机械、设备，有劳动力计划，进度控制措施计划科学、合理，得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实施方案</w:t>
            </w:r>
            <w:r>
              <w:rPr>
                <w:rFonts w:hint="eastAsia" w:ascii="宋体" w:hAnsi="宋体" w:eastAsia="宋体" w:cs="宋体"/>
                <w:color w:val="auto"/>
                <w:szCs w:val="21"/>
                <w:highlight w:val="none"/>
              </w:rPr>
              <w:t>较完整，有进度保证措施，有基本</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主要施工机械、设备，有劳动力计划，进度控制措施计划比较科学、合理，</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实施方案</w:t>
            </w:r>
            <w:r>
              <w:rPr>
                <w:rFonts w:hint="eastAsia" w:ascii="宋体" w:hAnsi="宋体" w:eastAsia="宋体" w:cs="宋体"/>
                <w:color w:val="auto"/>
                <w:szCs w:val="21"/>
                <w:highlight w:val="none"/>
              </w:rPr>
              <w:t>较完整，有进度保证措施，有基本</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主要施工机械、设备，有劳动力计划，进度控制措施计划一般，得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eastAsia="zh-CN"/>
              </w:rPr>
              <w:t>实施方案</w:t>
            </w:r>
            <w:r>
              <w:rPr>
                <w:rFonts w:hint="eastAsia" w:ascii="宋体" w:hAnsi="宋体" w:eastAsia="宋体" w:cs="宋体"/>
                <w:color w:val="auto"/>
                <w:szCs w:val="21"/>
                <w:highlight w:val="none"/>
              </w:rPr>
              <w:t>不完整，没有进度保证措施，没有主要施工机械、设备，进度控制措施计划差，得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pPr>
              <w:pStyle w:val="2"/>
              <w:keepNext w:val="0"/>
              <w:keepLines w:val="0"/>
              <w:pageBreakBefore w:val="0"/>
              <w:kinsoku/>
              <w:wordWrap/>
              <w:overflowPunct/>
              <w:topLinePunct w:val="0"/>
              <w:autoSpaceDE/>
              <w:autoSpaceDN/>
              <w:bidi w:val="0"/>
              <w:adjustRightInd/>
              <w:snapToGrid/>
              <w:spacing w:after="0" w:line="312" w:lineRule="auto"/>
              <w:ind w:left="0" w:leftChars="0" w:firstLine="0" w:firstLine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不提供</w:t>
            </w:r>
            <w:r>
              <w:rPr>
                <w:rFonts w:hint="eastAsia" w:ascii="宋体" w:hAnsi="宋体" w:cs="宋体"/>
                <w:color w:val="auto"/>
                <w:szCs w:val="21"/>
                <w:highlight w:val="none"/>
                <w:lang w:val="en-US" w:eastAsia="zh-CN"/>
              </w:rPr>
              <w:t>实施方案</w:t>
            </w:r>
            <w:r>
              <w:rPr>
                <w:rFonts w:hint="eastAsia" w:ascii="宋体" w:hAnsi="宋体" w:eastAsia="宋体" w:cs="宋体"/>
                <w:color w:val="auto"/>
                <w:szCs w:val="21"/>
                <w:highlight w:val="none"/>
              </w:rPr>
              <w:t>得0分。</w:t>
            </w:r>
          </w:p>
        </w:tc>
        <w:tc>
          <w:tcPr>
            <w:tcW w:w="713" w:type="dxa"/>
            <w:noWrap w:val="0"/>
            <w:vAlign w:val="center"/>
          </w:tcPr>
          <w:p>
            <w:pPr>
              <w:widowControl/>
              <w:snapToGrid w:val="0"/>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pPr>
              <w:widowControl/>
              <w:adjustRightInd w:val="0"/>
              <w:snapToGrid w:val="0"/>
              <w:spacing w:after="120"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52"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highlight w:val="none"/>
                <w:shd w:val="clear" w:color="auto" w:fill="FFFFFF"/>
                <w:lang w:bidi="ar"/>
              </w:rPr>
              <w:t>质量保证能力及措施</w:t>
            </w:r>
          </w:p>
        </w:tc>
        <w:tc>
          <w:tcPr>
            <w:tcW w:w="70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根据投标人针对本项目所提供的质量保证能力及措施（包括但不限于质量管理和控制制度、质量保证措施等）进行评审：</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1.制度完善，建立全面的质量管理制度，每个环节都有明确的规范和要求；设置质量预控点，制定</w:t>
            </w:r>
            <w:r>
              <w:rPr>
                <w:rFonts w:hint="eastAsia" w:ascii="宋体" w:hAnsi="宋体" w:eastAsia="宋体" w:cs="宋体"/>
                <w:color w:val="auto"/>
                <w:szCs w:val="21"/>
                <w:highlight w:val="none"/>
                <w:lang w:val="en-US" w:eastAsia="zh-CN"/>
              </w:rPr>
              <w:t>齐全的</w:t>
            </w:r>
            <w:r>
              <w:rPr>
                <w:rFonts w:hint="eastAsia" w:ascii="宋体" w:hAnsi="宋体" w:eastAsia="宋体" w:cs="宋体"/>
                <w:color w:val="auto"/>
                <w:szCs w:val="21"/>
                <w:highlight w:val="none"/>
              </w:rPr>
              <w:t>事前防范措施，确保关键和特殊工序质量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2.制度较为完善，每个环节规范和要求较为明确；事前防范措施</w:t>
            </w:r>
            <w:r>
              <w:rPr>
                <w:rFonts w:hint="eastAsia" w:ascii="宋体" w:hAnsi="宋体" w:eastAsia="宋体" w:cs="宋体"/>
                <w:color w:val="auto"/>
                <w:szCs w:val="21"/>
                <w:highlight w:val="none"/>
                <w:lang w:val="en-US" w:eastAsia="zh-CN"/>
              </w:rPr>
              <w:t>较齐全</w:t>
            </w:r>
            <w:r>
              <w:rPr>
                <w:rFonts w:hint="eastAsia" w:ascii="宋体" w:hAnsi="宋体" w:eastAsia="宋体" w:cs="宋体"/>
                <w:color w:val="auto"/>
                <w:szCs w:val="21"/>
                <w:highlight w:val="none"/>
              </w:rPr>
              <w:t>，能确保关键和特殊工序质量，得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3.制度较</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完善，每个环节规范和要求</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明确；事前防范措施</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确保关键和特殊工序质量，得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制度与每个环节的管控不齐全；事前防范措施表述不清，缺乏关键和特殊工序质量保障措施，得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.没有提供的不得分。</w:t>
            </w:r>
          </w:p>
        </w:tc>
        <w:tc>
          <w:tcPr>
            <w:tcW w:w="713" w:type="dxa"/>
            <w:noWrap w:val="0"/>
            <w:vAlign w:val="center"/>
          </w:tcPr>
          <w:p>
            <w:pPr>
              <w:widowControl/>
              <w:snapToGrid w:val="0"/>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pPr>
              <w:widowControl/>
              <w:adjustRightInd w:val="0"/>
              <w:snapToGrid w:val="0"/>
              <w:spacing w:after="120" w:line="24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施工安全及文明施工措施</w:t>
            </w:r>
          </w:p>
        </w:tc>
        <w:tc>
          <w:tcPr>
            <w:tcW w:w="7070" w:type="dxa"/>
            <w:noWrap w:val="0"/>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根据投标人对本项目制定的施工安全及文明施工措施进行评审：</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1.施工安全及文明施工措施具有全面性、科学性、针对性，保证措施十分可行的，得</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2.施工安全及文明施工措施要求较详细、较具体，内容较齐全，得</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3.施工安全及文明施工措施基本满足要求，但内容较简单，得</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4.施工安全及文明施工措施不具体，可行性差，得</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分。</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5.未提供方案的不得分。</w:t>
            </w:r>
          </w:p>
        </w:tc>
        <w:tc>
          <w:tcPr>
            <w:tcW w:w="713" w:type="dxa"/>
            <w:noWrap w:val="0"/>
            <w:vAlign w:val="center"/>
          </w:tcPr>
          <w:p>
            <w:pPr>
              <w:widowControl/>
              <w:snapToGrid w:val="0"/>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pPr>
              <w:widowControl/>
              <w:adjustRightInd w:val="0"/>
              <w:snapToGrid w:val="0"/>
              <w:spacing w:after="12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252" w:type="dxa"/>
            <w:noWrap w:val="0"/>
            <w:vAlign w:val="center"/>
          </w:tcPr>
          <w:p>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kern w:val="0"/>
                <w:szCs w:val="21"/>
                <w:highlight w:val="none"/>
                <w:shd w:val="clear" w:color="auto" w:fill="FFFFFF"/>
                <w:lang w:bidi="ar"/>
              </w:rPr>
              <w:t>运输、安装、调试方案</w:t>
            </w:r>
          </w:p>
        </w:tc>
        <w:tc>
          <w:tcPr>
            <w:tcW w:w="7070" w:type="dxa"/>
            <w:noWrap w:val="0"/>
            <w:vAlign w:val="center"/>
          </w:tcPr>
          <w:p>
            <w:pPr>
              <w:spacing w:line="276" w:lineRule="auto"/>
              <w:jc w:val="left"/>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根据投标人针对本项目所提供的运输、安装、调试方案（包括但不限于运输安排、安装调试安排等）进行评审：</w:t>
            </w:r>
          </w:p>
          <w:p>
            <w:pPr>
              <w:spacing w:line="276" w:lineRule="auto"/>
              <w:jc w:val="left"/>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1.投标人对设备的运输过程有针对性保障手段（不限于设备包装、物流运输方式等）、设备到场时的专人安装调试有明确的安排措施、货物有明确的技术测试流程，得</w:t>
            </w:r>
            <w:r>
              <w:rPr>
                <w:rFonts w:hint="eastAsia" w:ascii="宋体" w:hAnsi="宋体" w:cs="宋体"/>
                <w:kern w:val="0"/>
                <w:szCs w:val="21"/>
                <w:highlight w:val="none"/>
                <w:shd w:val="clear" w:color="auto" w:fill="FFFFFF"/>
                <w:lang w:val="en-US" w:eastAsia="zh-CN" w:bidi="ar"/>
              </w:rPr>
              <w:t>7</w:t>
            </w:r>
            <w:r>
              <w:rPr>
                <w:rFonts w:hint="eastAsia" w:ascii="宋体" w:hAnsi="宋体" w:eastAsia="宋体" w:cs="宋体"/>
                <w:kern w:val="0"/>
                <w:szCs w:val="21"/>
                <w:highlight w:val="none"/>
                <w:shd w:val="clear" w:color="auto" w:fill="FFFFFF"/>
                <w:lang w:bidi="ar"/>
              </w:rPr>
              <w:t>分；</w:t>
            </w:r>
          </w:p>
          <w:p>
            <w:pPr>
              <w:spacing w:line="276" w:lineRule="auto"/>
              <w:jc w:val="left"/>
              <w:rPr>
                <w:rFonts w:hint="eastAsia" w:ascii="宋体" w:hAnsi="宋体" w:cs="宋体"/>
                <w:kern w:val="0"/>
                <w:szCs w:val="21"/>
                <w:highlight w:val="none"/>
                <w:shd w:val="clear" w:color="auto" w:fill="FFFFFF"/>
                <w:lang w:val="en-US" w:eastAsia="zh-CN" w:bidi="ar"/>
              </w:rPr>
            </w:pPr>
            <w:r>
              <w:rPr>
                <w:rFonts w:hint="eastAsia" w:ascii="宋体" w:hAnsi="宋体" w:cs="宋体"/>
                <w:kern w:val="0"/>
                <w:szCs w:val="21"/>
                <w:highlight w:val="none"/>
                <w:shd w:val="clear" w:color="auto" w:fill="FFFFFF"/>
                <w:lang w:val="en-US" w:eastAsia="zh-CN" w:bidi="ar"/>
              </w:rPr>
              <w:t>2.</w:t>
            </w:r>
            <w:r>
              <w:rPr>
                <w:rFonts w:hint="eastAsia" w:ascii="宋体" w:hAnsi="宋体" w:eastAsia="宋体" w:cs="宋体"/>
                <w:kern w:val="0"/>
                <w:szCs w:val="21"/>
                <w:highlight w:val="none"/>
                <w:shd w:val="clear" w:color="auto" w:fill="FFFFFF"/>
                <w:lang w:bidi="ar"/>
              </w:rPr>
              <w:t>投标人对设备的运输过程有</w:t>
            </w:r>
            <w:r>
              <w:rPr>
                <w:rFonts w:hint="eastAsia" w:ascii="宋体" w:hAnsi="宋体" w:eastAsia="宋体" w:cs="宋体"/>
                <w:kern w:val="0"/>
                <w:szCs w:val="21"/>
                <w:highlight w:val="none"/>
                <w:shd w:val="clear" w:color="auto" w:fill="FFFFFF"/>
                <w:lang w:val="en-US" w:eastAsia="zh-CN" w:bidi="ar"/>
              </w:rPr>
              <w:t>较明确</w:t>
            </w:r>
            <w:r>
              <w:rPr>
                <w:rFonts w:hint="eastAsia" w:ascii="宋体" w:hAnsi="宋体" w:eastAsia="宋体" w:cs="宋体"/>
                <w:kern w:val="0"/>
                <w:szCs w:val="21"/>
                <w:highlight w:val="none"/>
                <w:shd w:val="clear" w:color="auto" w:fill="FFFFFF"/>
                <w:lang w:bidi="ar"/>
              </w:rPr>
              <w:t>的保障手段（不限于设备包装、物流运输方式等）、设备到场时的专人安装调试有</w:t>
            </w:r>
            <w:r>
              <w:rPr>
                <w:rFonts w:hint="eastAsia" w:ascii="宋体" w:hAnsi="宋体" w:eastAsia="宋体" w:cs="宋体"/>
                <w:kern w:val="0"/>
                <w:szCs w:val="21"/>
                <w:highlight w:val="none"/>
                <w:shd w:val="clear" w:color="auto" w:fill="FFFFFF"/>
                <w:lang w:val="en-US" w:eastAsia="zh-CN" w:bidi="ar"/>
              </w:rPr>
              <w:t>较明确</w:t>
            </w:r>
            <w:r>
              <w:rPr>
                <w:rFonts w:hint="eastAsia" w:ascii="宋体" w:hAnsi="宋体" w:eastAsia="宋体" w:cs="宋体"/>
                <w:kern w:val="0"/>
                <w:szCs w:val="21"/>
                <w:highlight w:val="none"/>
                <w:shd w:val="clear" w:color="auto" w:fill="FFFFFF"/>
                <w:lang w:bidi="ar"/>
              </w:rPr>
              <w:t>的安排措施，得</w:t>
            </w:r>
            <w:r>
              <w:rPr>
                <w:rFonts w:hint="eastAsia" w:ascii="宋体" w:hAnsi="宋体" w:cs="宋体"/>
                <w:kern w:val="0"/>
                <w:szCs w:val="21"/>
                <w:highlight w:val="none"/>
                <w:shd w:val="clear" w:color="auto" w:fill="FFFFFF"/>
                <w:lang w:val="en-US" w:eastAsia="zh-CN" w:bidi="ar"/>
              </w:rPr>
              <w:t>5</w:t>
            </w:r>
            <w:r>
              <w:rPr>
                <w:rFonts w:hint="eastAsia" w:ascii="宋体" w:hAnsi="宋体" w:eastAsia="宋体" w:cs="宋体"/>
                <w:kern w:val="0"/>
                <w:szCs w:val="21"/>
                <w:highlight w:val="none"/>
                <w:shd w:val="clear" w:color="auto" w:fill="FFFFFF"/>
                <w:lang w:bidi="ar"/>
              </w:rPr>
              <w:t>分；</w:t>
            </w:r>
          </w:p>
          <w:p>
            <w:pPr>
              <w:spacing w:line="276" w:lineRule="auto"/>
              <w:jc w:val="left"/>
              <w:rPr>
                <w:rFonts w:hint="eastAsia" w:ascii="宋体" w:hAnsi="宋体" w:eastAsia="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投标人对设备的运输过程有基本的保障手段（不限于设备包装、物流运输方式等）、设备到场时的专人安装调试有基本的安排措施，得</w:t>
            </w:r>
            <w:r>
              <w:rPr>
                <w:rFonts w:hint="eastAsia" w:ascii="宋体" w:hAnsi="宋体"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分；</w:t>
            </w:r>
          </w:p>
          <w:p>
            <w:pPr>
              <w:spacing w:line="276" w:lineRule="auto"/>
              <w:jc w:val="left"/>
              <w:rPr>
                <w:rFonts w:hint="eastAsia" w:ascii="宋体" w:hAnsi="宋体" w:eastAsia="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val="en-US" w:eastAsia="zh-CN" w:bidi="ar"/>
              </w:rPr>
              <w:t>4</w:t>
            </w:r>
            <w:r>
              <w:rPr>
                <w:rFonts w:hint="eastAsia" w:ascii="宋体" w:hAnsi="宋体" w:eastAsia="宋体" w:cs="宋体"/>
                <w:kern w:val="0"/>
                <w:szCs w:val="21"/>
                <w:highlight w:val="none"/>
                <w:shd w:val="clear" w:color="auto" w:fill="FFFFFF"/>
                <w:lang w:bidi="ar"/>
              </w:rPr>
              <w:t>.投标人对设备的运输过程有简单的保障手段（不限于设备包装、物流运输方式等）、设备到场时的专人安装调试有简单的安排措施，得</w:t>
            </w:r>
            <w:r>
              <w:rPr>
                <w:rFonts w:hint="eastAsia" w:ascii="宋体" w:hAnsi="宋体" w:eastAsia="宋体" w:cs="宋体"/>
                <w:kern w:val="0"/>
                <w:szCs w:val="21"/>
                <w:highlight w:val="none"/>
                <w:shd w:val="clear" w:color="auto" w:fill="FFFFFF"/>
                <w:lang w:val="en-US" w:eastAsia="zh-CN" w:bidi="ar"/>
              </w:rPr>
              <w:t>1</w:t>
            </w:r>
            <w:r>
              <w:rPr>
                <w:rFonts w:hint="eastAsia" w:ascii="宋体" w:hAnsi="宋体" w:eastAsia="宋体" w:cs="宋体"/>
                <w:kern w:val="0"/>
                <w:szCs w:val="21"/>
                <w:highlight w:val="none"/>
                <w:shd w:val="clear" w:color="auto" w:fill="FFFFFF"/>
                <w:lang w:bidi="ar"/>
              </w:rPr>
              <w:t>分；</w:t>
            </w:r>
          </w:p>
          <w:p>
            <w:pPr>
              <w:spacing w:line="276"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cs="宋体"/>
                <w:kern w:val="0"/>
                <w:szCs w:val="21"/>
                <w:highlight w:val="none"/>
                <w:shd w:val="clear" w:color="auto" w:fill="FFFFFF"/>
                <w:lang w:val="en-US" w:eastAsia="zh-CN" w:bidi="ar"/>
              </w:rPr>
              <w:t>5</w:t>
            </w:r>
            <w:r>
              <w:rPr>
                <w:rFonts w:hint="eastAsia" w:ascii="宋体" w:hAnsi="宋体" w:eastAsia="宋体" w:cs="宋体"/>
                <w:kern w:val="0"/>
                <w:szCs w:val="21"/>
                <w:highlight w:val="none"/>
                <w:shd w:val="clear" w:color="auto" w:fill="FFFFFF"/>
                <w:lang w:bidi="ar"/>
              </w:rPr>
              <w:t>.没有提供方案的不得分。</w:t>
            </w:r>
          </w:p>
        </w:tc>
        <w:tc>
          <w:tcPr>
            <w:tcW w:w="713" w:type="dxa"/>
            <w:noWrap w:val="0"/>
            <w:vAlign w:val="center"/>
          </w:tcPr>
          <w:p>
            <w:pPr>
              <w:widowControl/>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pPr>
              <w:widowControl/>
              <w:adjustRightInd w:val="0"/>
              <w:snapToGrid w:val="0"/>
              <w:spacing w:after="120" w:line="24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252" w:type="dxa"/>
            <w:noWrap w:val="0"/>
            <w:vAlign w:val="center"/>
          </w:tcPr>
          <w:p>
            <w:pPr>
              <w:spacing w:line="276" w:lineRule="auto"/>
              <w:jc w:val="center"/>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应急预案</w:t>
            </w:r>
          </w:p>
        </w:tc>
        <w:tc>
          <w:tcPr>
            <w:tcW w:w="7070" w:type="dxa"/>
            <w:noWrap w:val="0"/>
            <w:vAlign w:val="center"/>
          </w:tcPr>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根据投标人针对本项目所提供的应急预案（包括但不限于应急预防措施、应急服务承诺及应急服务响应能力、应急响应时间）进行评审：</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1.预防措施全面，针对可能出现的紧急情况，如设备故障、火灾、触电、高空坠落等，都有针对性的预防措施；定期进行人员应急培训，应急意识高；应急信息报告流程明确，确保事故信息能够及时、准确地传递给相关部门和人员，得</w:t>
            </w:r>
            <w:r>
              <w:rPr>
                <w:rFonts w:hint="eastAsia" w:ascii="宋体" w:hAnsi="宋体" w:eastAsia="宋体" w:cs="宋体"/>
                <w:kern w:val="0"/>
                <w:szCs w:val="21"/>
                <w:highlight w:val="none"/>
                <w:shd w:val="clear" w:color="auto" w:fill="FFFFFF"/>
                <w:lang w:val="en-US" w:eastAsia="zh-CN" w:bidi="ar"/>
              </w:rPr>
              <w:t>5</w:t>
            </w:r>
            <w:r>
              <w:rPr>
                <w:rFonts w:hint="eastAsia" w:ascii="宋体" w:hAnsi="宋体" w:eastAsia="宋体" w:cs="宋体"/>
                <w:kern w:val="0"/>
                <w:szCs w:val="21"/>
                <w:highlight w:val="none"/>
                <w:shd w:val="clear" w:color="auto" w:fill="FFFFFF"/>
                <w:lang w:bidi="ar"/>
              </w:rPr>
              <w:t>分；</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2.预防措施较为全面，有基本的预防措施；不定期进行人员应急培训，应急意识一般；应急信息报告流程较为明确，得</w:t>
            </w:r>
            <w:r>
              <w:rPr>
                <w:rFonts w:hint="eastAsia" w:ascii="宋体" w:hAnsi="宋体" w:eastAsia="宋体"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分；</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3.没有基本的预防措施，人员应急意识较差，缺乏良好沟通手段，得1分；</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4.没有提供方案的不得分。</w:t>
            </w:r>
          </w:p>
        </w:tc>
        <w:tc>
          <w:tcPr>
            <w:tcW w:w="713" w:type="dxa"/>
            <w:noWrap w:val="0"/>
            <w:vAlign w:val="center"/>
          </w:tcPr>
          <w:p>
            <w:pPr>
              <w:widowControl/>
              <w:snapToGrid w:val="0"/>
              <w:spacing w:line="24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pPr>
              <w:widowControl/>
              <w:adjustRightInd w:val="0"/>
              <w:snapToGrid w:val="0"/>
              <w:spacing w:after="120"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252" w:type="dxa"/>
            <w:noWrap w:val="0"/>
            <w:vAlign w:val="center"/>
          </w:tcPr>
          <w:p>
            <w:pPr>
              <w:spacing w:line="276" w:lineRule="auto"/>
              <w:jc w:val="center"/>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售后服务方案响应情况</w:t>
            </w:r>
          </w:p>
        </w:tc>
        <w:tc>
          <w:tcPr>
            <w:tcW w:w="7070" w:type="dxa"/>
            <w:noWrap w:val="0"/>
            <w:vAlign w:val="center"/>
          </w:tcPr>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根据投标人针对本项目所提供的售后服务方案进行评审：</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1.投标人所提供的售后服务方案内容详细，有完整合理的部署规划，有安排专人负责响应</w:t>
            </w:r>
            <w:r>
              <w:rPr>
                <w:rFonts w:hint="eastAsia" w:ascii="宋体" w:hAnsi="宋体" w:cs="宋体"/>
                <w:kern w:val="0"/>
                <w:szCs w:val="21"/>
                <w:highlight w:val="none"/>
                <w:shd w:val="clear" w:color="auto" w:fill="FFFFFF"/>
                <w:lang w:eastAsia="zh-CN" w:bidi="ar"/>
              </w:rPr>
              <w:t>招标人</w:t>
            </w:r>
            <w:r>
              <w:rPr>
                <w:rFonts w:hint="eastAsia" w:ascii="宋体" w:hAnsi="宋体" w:eastAsia="宋体" w:cs="宋体"/>
                <w:kern w:val="0"/>
                <w:szCs w:val="21"/>
                <w:highlight w:val="none"/>
                <w:shd w:val="clear" w:color="auto" w:fill="FFFFFF"/>
                <w:lang w:bidi="ar"/>
              </w:rPr>
              <w:t>的维修要求及服务过程中的沟通，有专业的、具有相关资质的售后服务人员，对需维修的设备有完整可行操作的维修处理方法，得</w:t>
            </w:r>
            <w:r>
              <w:rPr>
                <w:rFonts w:hint="eastAsia" w:ascii="宋体" w:hAnsi="宋体" w:eastAsia="宋体" w:cs="宋体"/>
                <w:kern w:val="0"/>
                <w:szCs w:val="21"/>
                <w:highlight w:val="none"/>
                <w:shd w:val="clear" w:color="auto" w:fill="FFFFFF"/>
                <w:lang w:val="en-US" w:eastAsia="zh-CN" w:bidi="ar"/>
              </w:rPr>
              <w:t>5</w:t>
            </w:r>
            <w:r>
              <w:rPr>
                <w:rFonts w:hint="eastAsia" w:ascii="宋体" w:hAnsi="宋体" w:eastAsia="宋体" w:cs="宋体"/>
                <w:kern w:val="0"/>
                <w:szCs w:val="21"/>
                <w:highlight w:val="none"/>
                <w:shd w:val="clear" w:color="auto" w:fill="FFFFFF"/>
                <w:lang w:bidi="ar"/>
              </w:rPr>
              <w:t>分；</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2.投标人所提供的售后服务方案内容完整，有基本的部署规划，有安排专人负责响应</w:t>
            </w:r>
            <w:r>
              <w:rPr>
                <w:rFonts w:hint="eastAsia" w:ascii="宋体" w:hAnsi="宋体" w:cs="宋体"/>
                <w:kern w:val="0"/>
                <w:szCs w:val="21"/>
                <w:highlight w:val="none"/>
                <w:shd w:val="clear" w:color="auto" w:fill="FFFFFF"/>
                <w:lang w:eastAsia="zh-CN" w:bidi="ar"/>
              </w:rPr>
              <w:t>招标人</w:t>
            </w:r>
            <w:r>
              <w:rPr>
                <w:rFonts w:hint="eastAsia" w:ascii="宋体" w:hAnsi="宋体" w:eastAsia="宋体" w:cs="宋体"/>
                <w:kern w:val="0"/>
                <w:szCs w:val="21"/>
                <w:highlight w:val="none"/>
                <w:shd w:val="clear" w:color="auto" w:fill="FFFFFF"/>
                <w:lang w:bidi="ar"/>
              </w:rPr>
              <w:t>的维修要求及服务过程中的沟通，有专业的、具有相关资质的售后服务人员，对需维修的设备有基础保底操作的维修处理方法</w:t>
            </w:r>
            <w:r>
              <w:rPr>
                <w:rFonts w:hint="eastAsia" w:ascii="宋体" w:hAnsi="宋体" w:cs="宋体"/>
                <w:kern w:val="0"/>
                <w:szCs w:val="21"/>
                <w:highlight w:val="none"/>
                <w:shd w:val="clear" w:color="auto" w:fill="FFFFFF"/>
                <w:lang w:eastAsia="zh-CN" w:bidi="ar"/>
              </w:rPr>
              <w:t>，</w:t>
            </w:r>
            <w:r>
              <w:rPr>
                <w:rFonts w:hint="eastAsia" w:ascii="宋体" w:hAnsi="宋体" w:eastAsia="宋体" w:cs="宋体"/>
                <w:kern w:val="0"/>
                <w:szCs w:val="21"/>
                <w:highlight w:val="none"/>
                <w:shd w:val="clear" w:color="auto" w:fill="FFFFFF"/>
                <w:lang w:bidi="ar"/>
              </w:rPr>
              <w:t>得</w:t>
            </w:r>
            <w:r>
              <w:rPr>
                <w:rFonts w:hint="eastAsia" w:ascii="宋体" w:hAnsi="宋体" w:eastAsia="宋体" w:cs="宋体"/>
                <w:kern w:val="0"/>
                <w:szCs w:val="21"/>
                <w:highlight w:val="none"/>
                <w:shd w:val="clear" w:color="auto" w:fill="FFFFFF"/>
                <w:lang w:val="en-US" w:eastAsia="zh-CN" w:bidi="ar"/>
              </w:rPr>
              <w:t>3</w:t>
            </w:r>
            <w:r>
              <w:rPr>
                <w:rFonts w:hint="eastAsia" w:ascii="宋体" w:hAnsi="宋体" w:eastAsia="宋体" w:cs="宋体"/>
                <w:kern w:val="0"/>
                <w:szCs w:val="21"/>
                <w:highlight w:val="none"/>
                <w:shd w:val="clear" w:color="auto" w:fill="FFFFFF"/>
                <w:lang w:bidi="ar"/>
              </w:rPr>
              <w:t>分；</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3.投标人所提供的售后服务方案内容</w:t>
            </w:r>
            <w:r>
              <w:rPr>
                <w:rFonts w:hint="eastAsia" w:ascii="宋体" w:hAnsi="宋体" w:cs="宋体"/>
                <w:kern w:val="0"/>
                <w:szCs w:val="21"/>
                <w:highlight w:val="none"/>
                <w:shd w:val="clear" w:color="auto" w:fill="FFFFFF"/>
                <w:lang w:val="en-US" w:eastAsia="zh-CN" w:bidi="ar"/>
              </w:rPr>
              <w:t>简单</w:t>
            </w:r>
            <w:r>
              <w:rPr>
                <w:rFonts w:hint="eastAsia" w:ascii="宋体" w:hAnsi="宋体" w:eastAsia="宋体" w:cs="宋体"/>
                <w:kern w:val="0"/>
                <w:szCs w:val="21"/>
                <w:highlight w:val="none"/>
                <w:shd w:val="clear" w:color="auto" w:fill="FFFFFF"/>
                <w:lang w:bidi="ar"/>
              </w:rPr>
              <w:t>，维修服务安排无法满足项目要求，对需维修的设备没有提供操作的维修处理方法，得1分；</w:t>
            </w:r>
          </w:p>
          <w:p>
            <w:pPr>
              <w:spacing w:line="276" w:lineRule="auto"/>
              <w:rPr>
                <w:rFonts w:hint="eastAsia" w:ascii="宋体" w:hAnsi="宋体" w:eastAsia="宋体" w:cs="宋体"/>
                <w:kern w:val="0"/>
                <w:szCs w:val="21"/>
                <w:highlight w:val="none"/>
                <w:shd w:val="clear" w:color="auto" w:fill="FFFFFF"/>
                <w:lang w:bidi="ar"/>
              </w:rPr>
            </w:pPr>
            <w:r>
              <w:rPr>
                <w:rFonts w:hint="eastAsia" w:ascii="宋体" w:hAnsi="宋体" w:eastAsia="宋体" w:cs="宋体"/>
                <w:kern w:val="0"/>
                <w:szCs w:val="21"/>
                <w:highlight w:val="none"/>
                <w:shd w:val="clear" w:color="auto" w:fill="FFFFFF"/>
                <w:lang w:bidi="ar"/>
              </w:rPr>
              <w:t>4.没有提供方案的不得分。</w:t>
            </w:r>
          </w:p>
        </w:tc>
        <w:tc>
          <w:tcPr>
            <w:tcW w:w="713" w:type="dxa"/>
            <w:noWrap w:val="0"/>
            <w:vAlign w:val="center"/>
          </w:tcPr>
          <w:p>
            <w:pPr>
              <w:widowControl/>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8926" w:type="dxa"/>
            <w:gridSpan w:val="3"/>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13"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40</w:t>
            </w:r>
          </w:p>
        </w:tc>
      </w:tr>
    </w:tbl>
    <w:p>
      <w:pPr>
        <w:pStyle w:val="8"/>
        <w:rPr>
          <w:rFonts w:hint="eastAsia" w:ascii="宋体" w:hAnsi="宋体" w:cs="宋体"/>
          <w:color w:val="auto"/>
          <w:highlight w:val="none"/>
        </w:rPr>
      </w:pPr>
    </w:p>
    <w:p>
      <w:pPr>
        <w:tabs>
          <w:tab w:val="left" w:pos="10035"/>
        </w:tabs>
        <w:snapToGrid w:val="0"/>
        <w:spacing w:line="360" w:lineRule="auto"/>
        <w:rPr>
          <w:rFonts w:hint="eastAsia" w:ascii="宋体" w:hAnsi="宋体" w:cs="宋体"/>
          <w:b/>
          <w:bCs/>
          <w:color w:val="auto"/>
          <w:highlight w:val="none"/>
        </w:rPr>
      </w:pPr>
      <w:r>
        <w:rPr>
          <w:rFonts w:hint="eastAsia" w:ascii="宋体" w:hAnsi="宋体" w:cs="宋体"/>
          <w:b/>
          <w:bCs/>
          <w:color w:val="auto"/>
          <w:highlight w:val="none"/>
        </w:rPr>
        <w:t>注：评委对各投标文件进行评审，分数精确至小数点后2位。</w:t>
      </w:r>
    </w:p>
    <w:p>
      <w:pPr>
        <w:tabs>
          <w:tab w:val="left" w:pos="10035"/>
        </w:tabs>
        <w:snapToGrid w:val="0"/>
        <w:spacing w:line="360" w:lineRule="auto"/>
        <w:rPr>
          <w:rFonts w:hint="eastAsia" w:ascii="宋体" w:hAnsi="宋体" w:cs="宋体"/>
          <w:color w:val="auto"/>
          <w:highlight w:val="none"/>
        </w:rPr>
        <w:sectPr>
          <w:pgSz w:w="11907" w:h="16840"/>
          <w:pgMar w:top="1418" w:right="1304" w:bottom="1361" w:left="1361" w:header="851" w:footer="992" w:gutter="0"/>
          <w:cols w:space="720" w:num="1"/>
          <w:docGrid w:type="lines" w:linePitch="312" w:charSpace="0"/>
        </w:sect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商务评分表</w:t>
      </w:r>
      <w:bookmarkEnd w:id="205"/>
      <w:bookmarkEnd w:id="206"/>
      <w:bookmarkEnd w:id="207"/>
    </w:p>
    <w:tbl>
      <w:tblPr>
        <w:tblStyle w:val="25"/>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74"/>
        <w:gridCol w:w="708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4" w:type="dxa"/>
            <w:noWrap w:val="0"/>
            <w:vAlign w:val="center"/>
          </w:tcPr>
          <w:p>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7088" w:type="dxa"/>
            <w:tcBorders>
              <w:bottom w:val="single" w:color="auto" w:sz="4" w:space="0"/>
            </w:tcBorders>
            <w:noWrap w:val="0"/>
            <w:vAlign w:val="center"/>
          </w:tcPr>
          <w:p>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评分细则</w:t>
            </w:r>
          </w:p>
        </w:tc>
        <w:tc>
          <w:tcPr>
            <w:tcW w:w="758" w:type="dxa"/>
            <w:noWrap w:val="0"/>
            <w:vAlign w:val="center"/>
          </w:tcPr>
          <w:p>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pPr>
              <w:adjustRightIn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74"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企业管理体系认证</w:t>
            </w:r>
          </w:p>
        </w:tc>
        <w:tc>
          <w:tcPr>
            <w:tcW w:w="7088" w:type="dxa"/>
            <w:tcBorders>
              <w:bottom w:val="single" w:color="auto" w:sz="4" w:space="0"/>
            </w:tcBorders>
            <w:noWrap w:val="0"/>
            <w:vAlign w:val="center"/>
          </w:tcPr>
          <w:p>
            <w:pPr>
              <w:pStyle w:val="13"/>
              <w:spacing w:line="360" w:lineRule="auto"/>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投标人具有质量管理体系认证，环境管理体系认证，职业健康安全管理体系认证，每提供一项证书并在有效期内的得</w:t>
            </w:r>
            <w:r>
              <w:rPr>
                <w:rFonts w:hint="default" w:ascii="宋体" w:hAnsi="宋体" w:eastAsia="宋体" w:cs="宋体"/>
                <w:color w:val="auto"/>
                <w:kern w:val="0"/>
                <w:sz w:val="21"/>
                <w:szCs w:val="20"/>
                <w:highlight w:val="none"/>
                <w:lang w:val="en-US" w:eastAsia="zh-CN" w:bidi="ar"/>
              </w:rPr>
              <w:t>1</w:t>
            </w:r>
            <w:r>
              <w:rPr>
                <w:rFonts w:hint="eastAsia" w:ascii="宋体" w:hAnsi="宋体" w:eastAsia="宋体" w:cs="宋体"/>
                <w:color w:val="auto"/>
                <w:kern w:val="0"/>
                <w:sz w:val="21"/>
                <w:szCs w:val="20"/>
                <w:highlight w:val="none"/>
                <w:lang w:val="en-US" w:eastAsia="zh-CN" w:bidi="ar"/>
              </w:rPr>
              <w:t>分，最高得</w:t>
            </w:r>
            <w:r>
              <w:rPr>
                <w:rFonts w:hint="default" w:ascii="宋体" w:hAnsi="宋体" w:eastAsia="宋体" w:cs="宋体"/>
                <w:color w:val="auto"/>
                <w:kern w:val="0"/>
                <w:sz w:val="21"/>
                <w:szCs w:val="20"/>
                <w:highlight w:val="none"/>
                <w:lang w:val="en-US" w:eastAsia="zh-CN" w:bidi="ar"/>
              </w:rPr>
              <w:t>3</w:t>
            </w:r>
            <w:r>
              <w:rPr>
                <w:rFonts w:hint="eastAsia" w:ascii="宋体" w:hAnsi="宋体" w:eastAsia="宋体" w:cs="宋体"/>
                <w:color w:val="auto"/>
                <w:kern w:val="0"/>
                <w:sz w:val="21"/>
                <w:szCs w:val="20"/>
                <w:highlight w:val="none"/>
                <w:lang w:val="en-US" w:eastAsia="zh-CN" w:bidi="ar"/>
              </w:rPr>
              <w:t>分。</w:t>
            </w:r>
          </w:p>
          <w:p>
            <w:pPr>
              <w:widowControl/>
              <w:spacing w:line="360" w:lineRule="auto"/>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（注：须提供有效的证书复印件，不提供不得分。）</w:t>
            </w:r>
          </w:p>
        </w:tc>
        <w:tc>
          <w:tcPr>
            <w:tcW w:w="758" w:type="dxa"/>
            <w:noWrap w:val="0"/>
            <w:vAlign w:val="center"/>
          </w:tcPr>
          <w:p>
            <w:pPr>
              <w:widowControl/>
              <w:spacing w:line="360" w:lineRule="auto"/>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pPr>
              <w:adjustRightIn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74"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项目团队人员实力</w:t>
            </w:r>
          </w:p>
        </w:tc>
        <w:tc>
          <w:tcPr>
            <w:tcW w:w="7088" w:type="dxa"/>
            <w:tcBorders>
              <w:bottom w:val="single" w:color="auto" w:sz="4" w:space="0"/>
            </w:tcBorders>
            <w:noWrap w:val="0"/>
            <w:vAlign w:val="center"/>
          </w:tcPr>
          <w:p>
            <w:pPr>
              <w:widowControl/>
              <w:numPr>
                <w:ilvl w:val="0"/>
                <w:numId w:val="0"/>
              </w:numPr>
              <w:spacing w:line="360" w:lineRule="auto"/>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投标人为本项目拟投入的团队人员：</w:t>
            </w:r>
          </w:p>
          <w:p>
            <w:pPr>
              <w:widowControl/>
              <w:numPr>
                <w:ilvl w:val="0"/>
                <w:numId w:val="0"/>
              </w:numPr>
              <w:spacing w:line="360" w:lineRule="auto"/>
              <w:ind w:leftChars="0"/>
              <w:rPr>
                <w:rFonts w:hint="default"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1.项目负责人：具有</w:t>
            </w:r>
            <w:r>
              <w:rPr>
                <w:rFonts w:hint="eastAsia" w:ascii="宋体" w:hAnsi="宋体" w:cs="宋体"/>
                <w:color w:val="auto"/>
                <w:kern w:val="0"/>
                <w:sz w:val="21"/>
                <w:szCs w:val="20"/>
                <w:highlight w:val="none"/>
                <w:lang w:val="en-US" w:eastAsia="zh-CN" w:bidi="ar"/>
              </w:rPr>
              <w:t>机电</w:t>
            </w:r>
            <w:r>
              <w:rPr>
                <w:rFonts w:hint="eastAsia" w:ascii="宋体" w:hAnsi="宋体" w:eastAsia="宋体" w:cs="宋体"/>
                <w:color w:val="auto"/>
                <w:kern w:val="0"/>
                <w:sz w:val="21"/>
                <w:szCs w:val="20"/>
                <w:highlight w:val="none"/>
                <w:lang w:val="en-US" w:eastAsia="zh-CN" w:bidi="ar"/>
              </w:rPr>
              <w:t>类相关专业高级工程师（或以上），得</w:t>
            </w:r>
            <w:r>
              <w:rPr>
                <w:rFonts w:hint="eastAsia" w:ascii="宋体" w:hAnsi="宋体" w:cs="宋体"/>
                <w:color w:val="auto"/>
                <w:kern w:val="0"/>
                <w:sz w:val="21"/>
                <w:szCs w:val="20"/>
                <w:highlight w:val="none"/>
                <w:lang w:val="en-US" w:eastAsia="zh-CN" w:bidi="ar"/>
              </w:rPr>
              <w:t>2</w:t>
            </w:r>
            <w:r>
              <w:rPr>
                <w:rFonts w:hint="eastAsia" w:ascii="宋体" w:hAnsi="宋体" w:eastAsia="宋体" w:cs="宋体"/>
                <w:color w:val="auto"/>
                <w:kern w:val="0"/>
                <w:sz w:val="21"/>
                <w:szCs w:val="20"/>
                <w:highlight w:val="none"/>
                <w:lang w:val="en-US" w:eastAsia="zh-CN" w:bidi="ar"/>
              </w:rPr>
              <w:t>分；具有</w:t>
            </w:r>
            <w:r>
              <w:rPr>
                <w:rFonts w:hint="eastAsia" w:ascii="宋体" w:hAnsi="宋体" w:eastAsia="宋体" w:cs="宋体"/>
                <w:color w:val="auto"/>
                <w:kern w:val="0"/>
                <w:sz w:val="21"/>
                <w:szCs w:val="20"/>
                <w:highlight w:val="none"/>
                <w:lang w:val="en-US" w:eastAsia="zh-CN" w:bidi="ar"/>
              </w:rPr>
              <w:t>机电类</w:t>
            </w:r>
            <w:r>
              <w:rPr>
                <w:rFonts w:hint="eastAsia" w:ascii="宋体" w:hAnsi="宋体" w:eastAsia="宋体" w:cs="宋体"/>
                <w:color w:val="auto"/>
                <w:kern w:val="0"/>
                <w:sz w:val="21"/>
                <w:szCs w:val="20"/>
                <w:highlight w:val="none"/>
                <w:lang w:val="en-US" w:eastAsia="zh-CN" w:bidi="ar"/>
              </w:rPr>
              <w:t>相关专业中级工程师的，得1分；本小项最高得2分。</w:t>
            </w:r>
          </w:p>
          <w:p>
            <w:pPr>
              <w:widowControl/>
              <w:spacing w:line="276" w:lineRule="auto"/>
              <w:rPr>
                <w:rFonts w:hint="eastAsia" w:ascii="宋体" w:hAnsi="宋体" w:eastAsia="宋体" w:cs="宋体"/>
                <w:highlight w:val="none"/>
              </w:rPr>
            </w:pPr>
            <w:r>
              <w:rPr>
                <w:rFonts w:hint="eastAsia" w:ascii="宋体" w:hAnsi="宋体" w:eastAsia="宋体" w:cs="宋体"/>
                <w:color w:val="auto"/>
                <w:kern w:val="0"/>
                <w:sz w:val="21"/>
                <w:szCs w:val="20"/>
                <w:highlight w:val="none"/>
                <w:lang w:val="en-US" w:eastAsia="zh-CN" w:bidi="ar"/>
              </w:rPr>
              <w:t>2.</w:t>
            </w:r>
            <w:r>
              <w:rPr>
                <w:rFonts w:hint="eastAsia" w:ascii="宋体" w:hAnsi="宋体" w:eastAsia="宋体" w:cs="宋体"/>
                <w:highlight w:val="none"/>
              </w:rPr>
              <w:t>项目</w:t>
            </w:r>
            <w:r>
              <w:rPr>
                <w:rFonts w:hint="eastAsia" w:ascii="宋体" w:hAnsi="宋体" w:eastAsia="宋体" w:cs="宋体"/>
                <w:highlight w:val="none"/>
                <w:lang w:val="en-US" w:eastAsia="zh-CN"/>
              </w:rPr>
              <w:t>团队</w:t>
            </w:r>
            <w:r>
              <w:rPr>
                <w:rFonts w:hint="eastAsia" w:ascii="宋体" w:hAnsi="宋体" w:eastAsia="宋体" w:cs="宋体"/>
                <w:highlight w:val="none"/>
              </w:rPr>
              <w:t>人员</w:t>
            </w:r>
            <w:r>
              <w:rPr>
                <w:rFonts w:hint="eastAsia" w:ascii="宋体" w:hAnsi="宋体" w:cs="宋体"/>
                <w:highlight w:val="none"/>
                <w:lang w:eastAsia="zh-CN"/>
              </w:rPr>
              <w:t>（</w:t>
            </w:r>
            <w:r>
              <w:rPr>
                <w:rFonts w:hint="eastAsia" w:ascii="宋体" w:hAnsi="宋体" w:cs="宋体"/>
                <w:highlight w:val="none"/>
                <w:lang w:val="en-US" w:eastAsia="zh-CN"/>
              </w:rPr>
              <w:t>除项目负责人外</w:t>
            </w:r>
            <w:r>
              <w:rPr>
                <w:rFonts w:hint="eastAsia" w:ascii="宋体" w:hAnsi="宋体" w:cs="宋体"/>
                <w:highlight w:val="none"/>
                <w:lang w:eastAsia="zh-CN"/>
              </w:rPr>
              <w:t>）</w:t>
            </w:r>
            <w:r>
              <w:rPr>
                <w:rFonts w:hint="eastAsia" w:ascii="宋体" w:hAnsi="宋体" w:eastAsia="宋体" w:cs="宋体"/>
                <w:highlight w:val="none"/>
              </w:rPr>
              <w:t>：</w:t>
            </w:r>
          </w:p>
          <w:p>
            <w:pPr>
              <w:widowControl/>
              <w:spacing w:line="276" w:lineRule="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1</w:t>
            </w:r>
            <w:r>
              <w:rPr>
                <w:rFonts w:hint="eastAsia" w:ascii="宋体" w:hAnsi="宋体" w:cs="宋体"/>
                <w:highlight w:val="none"/>
                <w:lang w:eastAsia="zh-CN"/>
              </w:rPr>
              <w:t>）</w:t>
            </w:r>
            <w:r>
              <w:rPr>
                <w:rFonts w:hint="eastAsia" w:ascii="宋体" w:hAnsi="宋体" w:eastAsia="宋体" w:cs="宋体"/>
                <w:highlight w:val="none"/>
                <w:lang w:val="en-US" w:eastAsia="zh-CN"/>
              </w:rPr>
              <w:t>具有</w:t>
            </w:r>
            <w:r>
              <w:rPr>
                <w:rFonts w:hint="eastAsia" w:ascii="宋体" w:hAnsi="宋体" w:eastAsia="宋体" w:cs="宋体"/>
                <w:highlight w:val="none"/>
              </w:rPr>
              <w:t>《特种作业操作证》（操作项目：高处作业）</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w:t>
            </w:r>
            <w:r>
              <w:rPr>
                <w:rFonts w:hint="eastAsia" w:ascii="宋体" w:hAnsi="宋体" w:eastAsia="宋体" w:cs="宋体"/>
                <w:highlight w:val="none"/>
              </w:rPr>
              <w:t>提供1人得</w:t>
            </w:r>
            <w:r>
              <w:rPr>
                <w:rFonts w:hint="eastAsia" w:ascii="宋体" w:hAnsi="宋体" w:cs="宋体"/>
                <w:highlight w:val="none"/>
                <w:lang w:val="en-US" w:eastAsia="zh-CN"/>
              </w:rPr>
              <w:t>2</w:t>
            </w:r>
            <w:r>
              <w:rPr>
                <w:rFonts w:hint="eastAsia" w:ascii="宋体" w:hAnsi="宋体" w:eastAsia="宋体" w:cs="宋体"/>
                <w:highlight w:val="none"/>
              </w:rPr>
              <w:t>分，最高得</w:t>
            </w:r>
            <w:r>
              <w:rPr>
                <w:rFonts w:hint="eastAsia" w:ascii="宋体" w:hAnsi="宋体" w:cs="宋体"/>
                <w:highlight w:val="none"/>
                <w:lang w:val="en-US" w:eastAsia="zh-CN"/>
              </w:rPr>
              <w:t>4</w:t>
            </w:r>
            <w:r>
              <w:rPr>
                <w:rFonts w:hint="eastAsia" w:ascii="宋体" w:hAnsi="宋体" w:eastAsia="宋体" w:cs="宋体"/>
                <w:highlight w:val="none"/>
              </w:rPr>
              <w:t xml:space="preserve">分。 </w:t>
            </w:r>
          </w:p>
          <w:p>
            <w:pPr>
              <w:widowControl/>
              <w:spacing w:line="276" w:lineRule="auto"/>
              <w:rPr>
                <w:rFonts w:hint="eastAsia" w:ascii="宋体" w:hAnsi="宋体" w:eastAsia="宋体" w:cs="宋体"/>
                <w:highlight w:val="none"/>
              </w:rPr>
            </w:pPr>
            <w:r>
              <w:rPr>
                <w:rFonts w:hint="eastAsia" w:ascii="宋体" w:hAnsi="宋体" w:cs="宋体"/>
                <w:highlight w:val="none"/>
                <w:lang w:eastAsia="zh-CN"/>
              </w:rPr>
              <w:t>（</w:t>
            </w:r>
            <w:r>
              <w:rPr>
                <w:rFonts w:hint="eastAsia" w:ascii="宋体" w:hAnsi="宋体" w:eastAsia="宋体" w:cs="宋体"/>
                <w:highlight w:val="none"/>
              </w:rPr>
              <w:t>2</w:t>
            </w:r>
            <w:r>
              <w:rPr>
                <w:rFonts w:hint="eastAsia" w:ascii="宋体" w:hAnsi="宋体" w:cs="宋体"/>
                <w:highlight w:val="none"/>
                <w:lang w:eastAsia="zh-CN"/>
              </w:rPr>
              <w:t>）</w:t>
            </w:r>
            <w:r>
              <w:rPr>
                <w:rFonts w:hint="eastAsia" w:ascii="宋体" w:hAnsi="宋体" w:eastAsia="宋体" w:cs="宋体"/>
                <w:highlight w:val="none"/>
              </w:rPr>
              <w:t>《特种作业操作证》（操作项目：电工作业）</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w:t>
            </w:r>
            <w:r>
              <w:rPr>
                <w:rFonts w:hint="eastAsia" w:ascii="宋体" w:hAnsi="宋体" w:eastAsia="宋体" w:cs="宋体"/>
                <w:highlight w:val="none"/>
              </w:rPr>
              <w:t>提供1人得</w:t>
            </w:r>
            <w:r>
              <w:rPr>
                <w:rFonts w:hint="eastAsia" w:ascii="宋体" w:hAnsi="宋体" w:cs="宋体"/>
                <w:highlight w:val="none"/>
                <w:lang w:val="en-US" w:eastAsia="zh-CN"/>
              </w:rPr>
              <w:t>2</w:t>
            </w:r>
            <w:r>
              <w:rPr>
                <w:rFonts w:hint="eastAsia" w:ascii="宋体" w:hAnsi="宋体" w:eastAsia="宋体" w:cs="宋体"/>
                <w:highlight w:val="none"/>
              </w:rPr>
              <w:t>分，最高得</w:t>
            </w:r>
            <w:r>
              <w:rPr>
                <w:rFonts w:hint="eastAsia" w:ascii="宋体" w:hAnsi="宋体" w:cs="宋体"/>
                <w:highlight w:val="none"/>
                <w:lang w:val="en-US" w:eastAsia="zh-CN"/>
              </w:rPr>
              <w:t>4</w:t>
            </w:r>
            <w:r>
              <w:rPr>
                <w:rFonts w:hint="eastAsia" w:ascii="宋体" w:hAnsi="宋体" w:eastAsia="宋体" w:cs="宋体"/>
                <w:highlight w:val="none"/>
              </w:rPr>
              <w:t xml:space="preserve">分。 </w:t>
            </w:r>
          </w:p>
          <w:p>
            <w:pPr>
              <w:widowControl/>
              <w:spacing w:line="276" w:lineRule="auto"/>
              <w:rPr>
                <w:rFonts w:hint="eastAsia" w:ascii="宋体" w:hAnsi="宋体" w:eastAsia="宋体" w:cs="宋体"/>
                <w:color w:val="auto"/>
                <w:kern w:val="0"/>
                <w:sz w:val="21"/>
                <w:szCs w:val="20"/>
                <w:highlight w:val="none"/>
                <w:lang w:val="en-US" w:eastAsia="zh-CN" w:bidi="ar"/>
              </w:rPr>
            </w:pPr>
            <w:r>
              <w:rPr>
                <w:rFonts w:hint="eastAsia" w:ascii="宋体" w:hAnsi="宋体" w:cs="宋体"/>
                <w:highlight w:val="none"/>
                <w:lang w:eastAsia="zh-CN"/>
              </w:rPr>
              <w:t>（</w:t>
            </w:r>
            <w:r>
              <w:rPr>
                <w:rFonts w:hint="eastAsia" w:ascii="宋体" w:hAnsi="宋体" w:eastAsia="宋体" w:cs="宋体"/>
                <w:highlight w:val="none"/>
              </w:rPr>
              <w:t>3</w:t>
            </w:r>
            <w:r>
              <w:rPr>
                <w:rFonts w:hint="eastAsia" w:ascii="宋体" w:hAnsi="宋体" w:cs="宋体"/>
                <w:highlight w:val="none"/>
                <w:lang w:eastAsia="zh-CN"/>
              </w:rPr>
              <w:t>）</w:t>
            </w:r>
            <w:r>
              <w:rPr>
                <w:rFonts w:hint="eastAsia" w:ascii="宋体" w:hAnsi="宋体" w:eastAsia="宋体" w:cs="宋体"/>
                <w:highlight w:val="none"/>
              </w:rPr>
              <w:t>《特种作业操作证》（操作项目：</w:t>
            </w:r>
            <w:r>
              <w:rPr>
                <w:rFonts w:hint="eastAsia" w:ascii="宋体" w:hAnsi="宋体" w:eastAsia="宋体" w:cs="宋体"/>
                <w:highlight w:val="none"/>
                <w:lang w:val="en-US" w:eastAsia="zh-CN"/>
              </w:rPr>
              <w:t>制冷与空调</w:t>
            </w:r>
            <w:r>
              <w:rPr>
                <w:rFonts w:hint="eastAsia" w:ascii="宋体" w:hAnsi="宋体" w:eastAsia="宋体" w:cs="宋体"/>
                <w:highlight w:val="none"/>
              </w:rPr>
              <w:t>作业）</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每</w:t>
            </w:r>
            <w:r>
              <w:rPr>
                <w:rFonts w:hint="eastAsia" w:ascii="宋体" w:hAnsi="宋体" w:eastAsia="宋体" w:cs="宋体"/>
                <w:highlight w:val="none"/>
              </w:rPr>
              <w:t>提供1人得</w:t>
            </w:r>
            <w:r>
              <w:rPr>
                <w:rFonts w:hint="eastAsia" w:ascii="宋体" w:hAnsi="宋体" w:cs="宋体"/>
                <w:highlight w:val="none"/>
                <w:lang w:val="en-US" w:eastAsia="zh-CN"/>
              </w:rPr>
              <w:t>2</w:t>
            </w:r>
            <w:r>
              <w:rPr>
                <w:rFonts w:hint="eastAsia" w:ascii="宋体" w:hAnsi="宋体" w:eastAsia="宋体" w:cs="宋体"/>
                <w:highlight w:val="none"/>
              </w:rPr>
              <w:t>分，最高得</w:t>
            </w:r>
            <w:r>
              <w:rPr>
                <w:rFonts w:hint="eastAsia" w:ascii="宋体" w:hAnsi="宋体" w:cs="宋体"/>
                <w:highlight w:val="none"/>
                <w:lang w:val="en-US" w:eastAsia="zh-CN"/>
              </w:rPr>
              <w:t>4</w:t>
            </w:r>
            <w:r>
              <w:rPr>
                <w:rFonts w:hint="eastAsia" w:ascii="宋体" w:hAnsi="宋体" w:eastAsia="宋体" w:cs="宋体"/>
                <w:highlight w:val="none"/>
              </w:rPr>
              <w:t>分。</w:t>
            </w:r>
          </w:p>
          <w:p>
            <w:pPr>
              <w:widowControl/>
              <w:numPr>
                <w:ilvl w:val="0"/>
                <w:numId w:val="0"/>
              </w:numPr>
              <w:spacing w:line="360" w:lineRule="auto"/>
              <w:ind w:leftChars="0"/>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注：</w:t>
            </w:r>
            <w:r>
              <w:rPr>
                <w:rFonts w:hint="eastAsia" w:ascii="宋体" w:hAnsi="宋体" w:cs="宋体"/>
                <w:color w:val="auto"/>
                <w:kern w:val="0"/>
                <w:sz w:val="21"/>
                <w:szCs w:val="20"/>
                <w:highlight w:val="none"/>
                <w:lang w:val="en-US" w:eastAsia="zh-CN" w:bidi="ar"/>
              </w:rPr>
              <w:t>1.同一人员具有多个证书只计算一次得分</w:t>
            </w:r>
            <w:r>
              <w:rPr>
                <w:rFonts w:hint="eastAsia" w:ascii="宋体" w:hAnsi="宋体" w:eastAsia="宋体" w:cs="宋体"/>
                <w:color w:val="auto"/>
                <w:kern w:val="0"/>
                <w:sz w:val="21"/>
                <w:szCs w:val="20"/>
                <w:highlight w:val="none"/>
                <w:lang w:val="en-US" w:eastAsia="zh-CN" w:bidi="ar"/>
              </w:rPr>
              <w:t>。</w:t>
            </w:r>
          </w:p>
          <w:p>
            <w:pPr>
              <w:widowControl/>
              <w:numPr>
                <w:ilvl w:val="0"/>
                <w:numId w:val="0"/>
              </w:numPr>
              <w:spacing w:line="360" w:lineRule="auto"/>
              <w:ind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上述人员提供相关证书复印件并加盖投标人公章作为证明材料，不提供不得分</w:t>
            </w:r>
          </w:p>
          <w:p>
            <w:pPr>
              <w:widowControl/>
              <w:numPr>
                <w:ilvl w:val="0"/>
                <w:numId w:val="0"/>
              </w:numPr>
              <w:spacing w:line="360" w:lineRule="auto"/>
              <w:ind w:leftChars="0"/>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3</w:t>
            </w:r>
            <w:r>
              <w:rPr>
                <w:rFonts w:hint="eastAsia" w:ascii="宋体" w:hAnsi="宋体" w:cs="宋体"/>
                <w:color w:val="auto"/>
                <w:kern w:val="0"/>
                <w:sz w:val="21"/>
                <w:szCs w:val="20"/>
                <w:highlight w:val="none"/>
                <w:lang w:val="en-US" w:eastAsia="zh-CN" w:bidi="ar"/>
              </w:rPr>
              <w:t>.</w:t>
            </w:r>
            <w:r>
              <w:rPr>
                <w:rFonts w:hint="eastAsia" w:ascii="宋体" w:hAnsi="宋体" w:eastAsia="宋体" w:cs="宋体"/>
                <w:color w:val="auto"/>
                <w:kern w:val="0"/>
                <w:sz w:val="21"/>
                <w:szCs w:val="20"/>
                <w:highlight w:val="none"/>
                <w:lang w:val="en-US" w:eastAsia="zh-CN" w:bidi="ar"/>
              </w:rPr>
              <w:t>须提供从招标公告发布之日前连续3个月在投标人单位的参保人员社会保险缴纳证明（社保证明须附广东省人力资源和社会保障厅网上服务平台——自助打印单据验证截图）或从招标公告发布之日前投标人单位连续3个月代缴个人所得税税单证明。证明材料复印件加盖投标人公章作为佐证材料，未按要求提供证明材料不得分</w:t>
            </w:r>
            <w:r>
              <w:rPr>
                <w:rFonts w:hint="eastAsia" w:ascii="宋体" w:hAnsi="宋体" w:eastAsia="宋体" w:cs="宋体"/>
                <w:color w:val="auto"/>
                <w:szCs w:val="21"/>
                <w:highlight w:val="none"/>
              </w:rPr>
              <w:t>（如无法提供社保证明材料，则须提供社保机构批复的</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可缓交以上月份社保的证明材料复印件）</w:t>
            </w:r>
            <w:r>
              <w:rPr>
                <w:rFonts w:hint="eastAsia" w:ascii="宋体" w:hAnsi="宋体" w:eastAsia="宋体" w:cs="宋体"/>
                <w:color w:val="auto"/>
                <w:kern w:val="0"/>
                <w:sz w:val="21"/>
                <w:szCs w:val="20"/>
                <w:highlight w:val="none"/>
                <w:lang w:val="en-US" w:eastAsia="zh-CN" w:bidi="ar"/>
              </w:rPr>
              <w:t>。</w:t>
            </w:r>
          </w:p>
        </w:tc>
        <w:tc>
          <w:tcPr>
            <w:tcW w:w="758" w:type="dxa"/>
            <w:noWrap w:val="0"/>
            <w:vAlign w:val="center"/>
          </w:tcPr>
          <w:p>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1" w:type="dxa"/>
            <w:noWrap w:val="0"/>
            <w:vAlign w:val="center"/>
          </w:tcPr>
          <w:p>
            <w:pPr>
              <w:adjustRightIn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74"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财务状况</w:t>
            </w:r>
          </w:p>
        </w:tc>
        <w:tc>
          <w:tcPr>
            <w:tcW w:w="7088" w:type="dxa"/>
            <w:tcBorders>
              <w:bottom w:val="single" w:color="auto" w:sz="4" w:space="0"/>
            </w:tcBorders>
            <w:noWrap w:val="0"/>
            <w:vAlign w:val="center"/>
          </w:tcPr>
          <w:p>
            <w:pPr>
              <w:widowControl/>
              <w:numPr>
                <w:ilvl w:val="0"/>
                <w:numId w:val="0"/>
              </w:numPr>
              <w:spacing w:line="360" w:lineRule="auto"/>
              <w:jc w:val="left"/>
              <w:rPr>
                <w:rFonts w:hint="eastAsia" w:ascii="宋体" w:hAnsi="宋体" w:eastAsia="宋体" w:cs="宋体"/>
                <w:color w:val="auto"/>
                <w:kern w:val="0"/>
                <w:szCs w:val="20"/>
                <w:highlight w:val="none"/>
                <w:lang w:eastAsia="zh-CN" w:bidi="ar"/>
              </w:rPr>
            </w:pPr>
            <w:r>
              <w:rPr>
                <w:rFonts w:hint="eastAsia" w:ascii="宋体" w:hAnsi="宋体" w:eastAsia="宋体" w:cs="宋体"/>
                <w:color w:val="auto"/>
                <w:kern w:val="0"/>
                <w:szCs w:val="20"/>
                <w:highlight w:val="none"/>
                <w:lang w:bidi="ar"/>
              </w:rPr>
              <w:t>投标人提供20</w:t>
            </w:r>
            <w:r>
              <w:rPr>
                <w:rFonts w:hint="eastAsia" w:ascii="宋体" w:hAnsi="宋体" w:eastAsia="宋体" w:cs="宋体"/>
                <w:color w:val="auto"/>
                <w:kern w:val="0"/>
                <w:szCs w:val="20"/>
                <w:highlight w:val="none"/>
                <w:lang w:val="en-US" w:eastAsia="zh-CN" w:bidi="ar"/>
              </w:rPr>
              <w:t>2</w:t>
            </w:r>
            <w:r>
              <w:rPr>
                <w:rFonts w:hint="eastAsia" w:ascii="宋体" w:hAnsi="宋体" w:cs="宋体"/>
                <w:color w:val="auto"/>
                <w:kern w:val="0"/>
                <w:szCs w:val="20"/>
                <w:highlight w:val="none"/>
                <w:lang w:val="en-US" w:eastAsia="zh-CN" w:bidi="ar"/>
              </w:rPr>
              <w:t>2</w:t>
            </w:r>
            <w:r>
              <w:rPr>
                <w:rFonts w:hint="eastAsia" w:ascii="宋体" w:hAnsi="宋体" w:eastAsia="宋体" w:cs="宋体"/>
                <w:color w:val="auto"/>
                <w:kern w:val="0"/>
                <w:szCs w:val="20"/>
                <w:highlight w:val="none"/>
                <w:lang w:bidi="ar"/>
              </w:rPr>
              <w:t>、20</w:t>
            </w:r>
            <w:r>
              <w:rPr>
                <w:rFonts w:hint="eastAsia" w:ascii="宋体" w:hAnsi="宋体" w:eastAsia="宋体" w:cs="宋体"/>
                <w:color w:val="auto"/>
                <w:kern w:val="0"/>
                <w:szCs w:val="20"/>
                <w:highlight w:val="none"/>
                <w:lang w:val="en-US" w:eastAsia="zh-CN" w:bidi="ar"/>
              </w:rPr>
              <w:t>2</w:t>
            </w:r>
            <w:r>
              <w:rPr>
                <w:rFonts w:hint="eastAsia" w:ascii="宋体" w:hAnsi="宋体" w:cs="宋体"/>
                <w:color w:val="auto"/>
                <w:kern w:val="0"/>
                <w:szCs w:val="20"/>
                <w:highlight w:val="none"/>
                <w:lang w:val="en-US" w:eastAsia="zh-CN" w:bidi="ar"/>
              </w:rPr>
              <w:t>3</w:t>
            </w:r>
            <w:r>
              <w:rPr>
                <w:rFonts w:hint="eastAsia" w:ascii="宋体" w:hAnsi="宋体" w:eastAsia="宋体" w:cs="宋体"/>
                <w:color w:val="auto"/>
                <w:kern w:val="0"/>
                <w:szCs w:val="20"/>
                <w:highlight w:val="none"/>
                <w:lang w:bidi="ar"/>
              </w:rPr>
              <w:t>、202</w:t>
            </w:r>
            <w:r>
              <w:rPr>
                <w:rFonts w:hint="eastAsia" w:ascii="宋体" w:hAnsi="宋体" w:cs="宋体"/>
                <w:color w:val="auto"/>
                <w:kern w:val="0"/>
                <w:szCs w:val="20"/>
                <w:highlight w:val="none"/>
                <w:lang w:val="en-US" w:eastAsia="zh-CN" w:bidi="ar"/>
              </w:rPr>
              <w:t>4</w:t>
            </w:r>
            <w:r>
              <w:rPr>
                <w:rFonts w:hint="eastAsia" w:ascii="宋体" w:hAnsi="宋体" w:eastAsia="宋体" w:cs="宋体"/>
                <w:color w:val="auto"/>
                <w:kern w:val="0"/>
                <w:szCs w:val="20"/>
                <w:highlight w:val="none"/>
                <w:lang w:bidi="ar"/>
              </w:rPr>
              <w:t>年经第三方审计的财务报表</w:t>
            </w:r>
            <w:r>
              <w:rPr>
                <w:rFonts w:hint="eastAsia" w:ascii="宋体" w:hAnsi="宋体" w:eastAsia="宋体" w:cs="宋体"/>
                <w:color w:val="auto"/>
                <w:kern w:val="0"/>
                <w:szCs w:val="20"/>
                <w:highlight w:val="none"/>
                <w:lang w:eastAsia="zh-CN" w:bidi="ar"/>
              </w:rPr>
              <w:t>。</w:t>
            </w:r>
          </w:p>
          <w:p>
            <w:pPr>
              <w:widowControl/>
              <w:numPr>
                <w:ilvl w:val="0"/>
                <w:numId w:val="0"/>
              </w:numPr>
              <w:spacing w:line="360" w:lineRule="auto"/>
              <w:jc w:val="left"/>
              <w:rPr>
                <w:rFonts w:hint="eastAsia" w:ascii="宋体" w:hAnsi="宋体" w:eastAsia="宋体" w:cs="宋体"/>
                <w:color w:val="auto"/>
                <w:kern w:val="0"/>
                <w:szCs w:val="20"/>
                <w:highlight w:val="none"/>
                <w:lang w:bidi="ar"/>
              </w:rPr>
            </w:pPr>
            <w:r>
              <w:rPr>
                <w:rFonts w:hint="eastAsia" w:ascii="宋体" w:hAnsi="宋体" w:eastAsia="宋体" w:cs="宋体"/>
                <w:color w:val="auto"/>
                <w:kern w:val="0"/>
                <w:szCs w:val="20"/>
                <w:highlight w:val="none"/>
                <w:lang w:bidi="ar"/>
              </w:rPr>
              <w:t>①连续三年净利润为正的</w:t>
            </w:r>
            <w:r>
              <w:rPr>
                <w:rFonts w:hint="eastAsia" w:ascii="宋体" w:hAnsi="宋体" w:cs="宋体"/>
                <w:color w:val="auto"/>
                <w:kern w:val="0"/>
                <w:szCs w:val="20"/>
                <w:highlight w:val="none"/>
                <w:lang w:bidi="ar"/>
              </w:rPr>
              <w:t>或三年平均资产负债率≤25%</w:t>
            </w:r>
            <w:r>
              <w:rPr>
                <w:rFonts w:hint="eastAsia" w:ascii="宋体" w:hAnsi="宋体" w:eastAsia="宋体" w:cs="宋体"/>
                <w:color w:val="auto"/>
                <w:kern w:val="0"/>
                <w:szCs w:val="20"/>
                <w:highlight w:val="none"/>
                <w:lang w:bidi="ar"/>
              </w:rPr>
              <w:t>，得3分；</w:t>
            </w:r>
          </w:p>
          <w:p>
            <w:pPr>
              <w:widowControl/>
              <w:numPr>
                <w:ilvl w:val="0"/>
                <w:numId w:val="0"/>
              </w:numPr>
              <w:spacing w:line="360" w:lineRule="auto"/>
              <w:jc w:val="left"/>
              <w:rPr>
                <w:rFonts w:hint="eastAsia" w:ascii="宋体" w:hAnsi="宋体" w:eastAsia="宋体" w:cs="宋体"/>
                <w:color w:val="auto"/>
                <w:kern w:val="0"/>
                <w:szCs w:val="20"/>
                <w:highlight w:val="none"/>
                <w:lang w:bidi="ar"/>
              </w:rPr>
            </w:pPr>
            <w:r>
              <w:rPr>
                <w:rFonts w:hint="eastAsia" w:ascii="宋体" w:hAnsi="宋体" w:eastAsia="宋体" w:cs="宋体"/>
                <w:color w:val="auto"/>
                <w:kern w:val="0"/>
                <w:szCs w:val="20"/>
                <w:highlight w:val="none"/>
                <w:lang w:bidi="ar"/>
              </w:rPr>
              <w:t>②连续两年净利润为正的</w:t>
            </w:r>
            <w:r>
              <w:rPr>
                <w:rFonts w:hint="eastAsia" w:ascii="宋体" w:hAnsi="宋体" w:cs="宋体"/>
                <w:color w:val="auto"/>
                <w:kern w:val="0"/>
                <w:szCs w:val="20"/>
                <w:highlight w:val="none"/>
                <w:lang w:bidi="ar"/>
              </w:rPr>
              <w:t>或三年平均25%＜资产负债率≤30%</w:t>
            </w:r>
            <w:r>
              <w:rPr>
                <w:rFonts w:hint="eastAsia" w:ascii="宋体" w:hAnsi="宋体" w:eastAsia="宋体" w:cs="宋体"/>
                <w:color w:val="auto"/>
                <w:kern w:val="0"/>
                <w:szCs w:val="20"/>
                <w:highlight w:val="none"/>
                <w:lang w:bidi="ar"/>
              </w:rPr>
              <w:t>，得2分；</w:t>
            </w:r>
          </w:p>
          <w:p>
            <w:pPr>
              <w:widowControl/>
              <w:numPr>
                <w:ilvl w:val="0"/>
                <w:numId w:val="0"/>
              </w:numPr>
              <w:spacing w:line="360" w:lineRule="auto"/>
              <w:jc w:val="left"/>
              <w:rPr>
                <w:rFonts w:hint="eastAsia"/>
                <w:highlight w:val="none"/>
                <w:lang w:eastAsia="zh-CN"/>
              </w:rPr>
            </w:pPr>
            <w:r>
              <w:rPr>
                <w:rFonts w:hint="eastAsia" w:ascii="宋体" w:hAnsi="宋体" w:eastAsia="宋体" w:cs="宋体"/>
                <w:color w:val="auto"/>
                <w:kern w:val="0"/>
                <w:szCs w:val="20"/>
                <w:highlight w:val="none"/>
                <w:lang w:bidi="ar"/>
              </w:rPr>
              <w:t>③任意一年净利润为正的</w:t>
            </w:r>
            <w:r>
              <w:rPr>
                <w:rFonts w:hint="eastAsia" w:ascii="宋体" w:hAnsi="宋体" w:cs="宋体"/>
                <w:color w:val="auto"/>
                <w:kern w:val="0"/>
                <w:szCs w:val="20"/>
                <w:highlight w:val="none"/>
                <w:lang w:val="en-US" w:eastAsia="zh-CN" w:bidi="ar"/>
              </w:rPr>
              <w:t>或</w:t>
            </w:r>
            <w:r>
              <w:rPr>
                <w:rFonts w:hint="eastAsia" w:ascii="宋体" w:hAnsi="宋体" w:cs="宋体"/>
                <w:color w:val="auto"/>
                <w:kern w:val="0"/>
                <w:szCs w:val="20"/>
                <w:highlight w:val="none"/>
                <w:lang w:bidi="ar"/>
              </w:rPr>
              <w:t>三年平均30%＜资产负债率≤35%</w:t>
            </w:r>
            <w:r>
              <w:rPr>
                <w:rFonts w:hint="eastAsia" w:ascii="宋体" w:hAnsi="宋体" w:eastAsia="宋体" w:cs="宋体"/>
                <w:color w:val="auto"/>
                <w:kern w:val="0"/>
                <w:szCs w:val="20"/>
                <w:highlight w:val="none"/>
                <w:lang w:bidi="ar"/>
              </w:rPr>
              <w:t>，得1分，其他情况不得分。</w:t>
            </w:r>
          </w:p>
          <w:p>
            <w:pPr>
              <w:widowControl/>
              <w:numPr>
                <w:ilvl w:val="0"/>
                <w:numId w:val="0"/>
              </w:numPr>
              <w:spacing w:line="360" w:lineRule="auto"/>
              <w:jc w:val="left"/>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Cs w:val="20"/>
                <w:highlight w:val="none"/>
                <w:lang w:bidi="ar"/>
              </w:rPr>
              <w:t>注意：投标人需提供经第三方审计的财务</w:t>
            </w:r>
            <w:r>
              <w:rPr>
                <w:rFonts w:hint="eastAsia" w:ascii="宋体" w:hAnsi="宋体" w:eastAsia="宋体" w:cs="宋体"/>
                <w:color w:val="auto"/>
                <w:kern w:val="0"/>
                <w:szCs w:val="20"/>
                <w:highlight w:val="none"/>
                <w:lang w:val="en-US" w:eastAsia="zh-CN" w:bidi="ar"/>
              </w:rPr>
              <w:t>报告</w:t>
            </w:r>
            <w:r>
              <w:rPr>
                <w:rFonts w:hint="eastAsia" w:ascii="宋体" w:hAnsi="宋体" w:cs="宋体"/>
                <w:szCs w:val="21"/>
                <w:lang w:bidi="ar"/>
              </w:rPr>
              <w:t>（须至少包含利润表、资产负债表、现金流量表、第三方机构盖章及签字页）。</w:t>
            </w:r>
            <w:r>
              <w:rPr>
                <w:rFonts w:hint="eastAsia" w:ascii="宋体" w:hAnsi="宋体" w:eastAsia="宋体" w:cs="宋体"/>
                <w:color w:val="auto"/>
                <w:kern w:val="0"/>
                <w:szCs w:val="20"/>
                <w:highlight w:val="none"/>
                <w:lang w:val="en-US" w:eastAsia="zh-CN" w:bidi="ar"/>
              </w:rPr>
              <w:t>未按要求</w:t>
            </w:r>
            <w:r>
              <w:rPr>
                <w:rFonts w:hint="eastAsia" w:ascii="宋体" w:hAnsi="宋体" w:eastAsia="宋体" w:cs="宋体"/>
                <w:color w:val="auto"/>
                <w:kern w:val="0"/>
                <w:szCs w:val="20"/>
                <w:highlight w:val="none"/>
                <w:lang w:bidi="ar"/>
              </w:rPr>
              <w:t>的证明</w:t>
            </w:r>
            <w:r>
              <w:rPr>
                <w:rFonts w:hint="eastAsia" w:ascii="宋体" w:hAnsi="宋体" w:eastAsia="宋体" w:cs="宋体"/>
                <w:color w:val="auto"/>
                <w:kern w:val="0"/>
                <w:szCs w:val="20"/>
                <w:highlight w:val="none"/>
                <w:lang w:val="en-US" w:eastAsia="zh-CN" w:bidi="ar"/>
              </w:rPr>
              <w:t>材料不得分</w:t>
            </w:r>
            <w:r>
              <w:rPr>
                <w:rFonts w:hint="eastAsia" w:ascii="宋体" w:hAnsi="宋体" w:eastAsia="宋体" w:cs="宋体"/>
                <w:color w:val="auto"/>
                <w:kern w:val="0"/>
                <w:szCs w:val="20"/>
                <w:highlight w:val="none"/>
                <w:lang w:bidi="ar"/>
              </w:rPr>
              <w:t>。</w:t>
            </w:r>
          </w:p>
        </w:tc>
        <w:tc>
          <w:tcPr>
            <w:tcW w:w="758" w:type="dxa"/>
            <w:noWrap w:val="0"/>
            <w:vAlign w:val="center"/>
          </w:tcPr>
          <w:p>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pPr>
              <w:adjustRightInd w:val="0"/>
              <w:spacing w:after="120"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274"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业绩</w:t>
            </w:r>
          </w:p>
        </w:tc>
        <w:tc>
          <w:tcPr>
            <w:tcW w:w="7088" w:type="dxa"/>
            <w:tcBorders>
              <w:bottom w:val="single" w:color="auto" w:sz="4" w:space="0"/>
            </w:tcBorders>
            <w:noWrap w:val="0"/>
            <w:vAlign w:val="center"/>
          </w:tcPr>
          <w:p>
            <w:pPr>
              <w:widowControl/>
              <w:numPr>
                <w:ilvl w:val="0"/>
                <w:numId w:val="0"/>
              </w:numPr>
              <w:spacing w:line="360" w:lineRule="auto"/>
              <w:jc w:val="left"/>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投标人自202</w:t>
            </w:r>
            <w:r>
              <w:rPr>
                <w:rFonts w:hint="eastAsia" w:ascii="宋体" w:hAnsi="宋体" w:eastAsia="宋体" w:cs="宋体"/>
                <w:color w:val="auto"/>
                <w:kern w:val="0"/>
                <w:highlight w:val="none"/>
                <w:lang w:val="en-US" w:eastAsia="zh-CN" w:bidi="ar"/>
              </w:rPr>
              <w:t>2</w:t>
            </w:r>
            <w:r>
              <w:rPr>
                <w:rFonts w:hint="eastAsia" w:ascii="宋体" w:hAnsi="宋体" w:eastAsia="宋体" w:cs="宋体"/>
                <w:color w:val="auto"/>
                <w:kern w:val="0"/>
                <w:highlight w:val="none"/>
                <w:lang w:bidi="ar"/>
              </w:rPr>
              <w:t>年1月1日至</w:t>
            </w:r>
            <w:r>
              <w:rPr>
                <w:rFonts w:hint="eastAsia" w:ascii="宋体" w:hAnsi="宋体" w:eastAsia="宋体" w:cs="宋体"/>
                <w:color w:val="auto"/>
                <w:kern w:val="0"/>
                <w:highlight w:val="none"/>
                <w:lang w:val="en-US" w:eastAsia="zh-CN" w:bidi="ar"/>
              </w:rPr>
              <w:t>投标截止日</w:t>
            </w:r>
            <w:r>
              <w:rPr>
                <w:rFonts w:hint="eastAsia" w:ascii="宋体" w:hAnsi="宋体" w:eastAsia="宋体" w:cs="宋体"/>
                <w:color w:val="auto"/>
                <w:kern w:val="0"/>
                <w:highlight w:val="none"/>
                <w:lang w:bidi="ar"/>
              </w:rPr>
              <w:t>承接过项目合同金额</w:t>
            </w:r>
            <w:r>
              <w:rPr>
                <w:rFonts w:hint="eastAsia" w:ascii="宋体" w:hAnsi="宋体" w:cs="宋体"/>
                <w:color w:val="auto"/>
                <w:kern w:val="0"/>
                <w:highlight w:val="none"/>
                <w:lang w:val="en-US" w:eastAsia="zh-CN" w:bidi="ar"/>
              </w:rPr>
              <w:t>50</w:t>
            </w:r>
            <w:r>
              <w:rPr>
                <w:rFonts w:hint="eastAsia" w:ascii="宋体" w:hAnsi="宋体" w:eastAsia="宋体" w:cs="宋体"/>
                <w:color w:val="auto"/>
                <w:kern w:val="0"/>
                <w:highlight w:val="none"/>
                <w:lang w:bidi="ar"/>
              </w:rPr>
              <w:t>万元</w:t>
            </w:r>
            <w:r>
              <w:rPr>
                <w:rFonts w:hint="eastAsia" w:ascii="宋体" w:hAnsi="宋体" w:eastAsia="宋体" w:cs="宋体"/>
                <w:color w:val="auto"/>
                <w:kern w:val="0"/>
                <w:highlight w:val="none"/>
                <w:lang w:val="en-US" w:eastAsia="zh-CN" w:bidi="ar"/>
              </w:rPr>
              <w:t>或</w:t>
            </w:r>
            <w:r>
              <w:rPr>
                <w:rFonts w:hint="eastAsia" w:ascii="宋体" w:hAnsi="宋体" w:eastAsia="宋体" w:cs="宋体"/>
                <w:color w:val="auto"/>
                <w:kern w:val="0"/>
                <w:highlight w:val="none"/>
                <w:lang w:bidi="ar"/>
              </w:rPr>
              <w:t>以上</w:t>
            </w:r>
            <w:bookmarkStart w:id="208" w:name="_GoBack"/>
            <w:r>
              <w:rPr>
                <w:rFonts w:hint="eastAsia" w:ascii="宋体" w:hAnsi="宋体" w:eastAsia="宋体" w:cs="宋体"/>
                <w:color w:val="auto"/>
                <w:kern w:val="0"/>
                <w:highlight w:val="none"/>
                <w:lang w:bidi="ar"/>
              </w:rPr>
              <w:t>的</w:t>
            </w:r>
            <w:r>
              <w:rPr>
                <w:rFonts w:hint="eastAsia" w:ascii="宋体" w:hAnsi="宋体" w:cs="宋体"/>
                <w:color w:val="auto"/>
                <w:kern w:val="0"/>
                <w:highlight w:val="none"/>
                <w:lang w:val="en-US" w:eastAsia="zh-CN" w:bidi="ar"/>
              </w:rPr>
              <w:t>空调类</w:t>
            </w:r>
            <w:r>
              <w:rPr>
                <w:rFonts w:hint="eastAsia" w:ascii="宋体" w:hAnsi="宋体" w:eastAsia="宋体" w:cs="宋体"/>
                <w:color w:val="auto"/>
                <w:kern w:val="0"/>
                <w:highlight w:val="none"/>
                <w:lang w:bidi="ar"/>
              </w:rPr>
              <w:t>工程</w:t>
            </w:r>
            <w:bookmarkEnd w:id="208"/>
            <w:r>
              <w:rPr>
                <w:rFonts w:hint="eastAsia" w:ascii="宋体" w:hAnsi="宋体" w:eastAsia="宋体" w:cs="宋体"/>
                <w:color w:val="auto"/>
                <w:kern w:val="0"/>
                <w:highlight w:val="none"/>
                <w:lang w:bidi="ar"/>
              </w:rPr>
              <w:t>业绩，每</w:t>
            </w:r>
            <w:r>
              <w:rPr>
                <w:rFonts w:hint="eastAsia" w:ascii="宋体" w:hAnsi="宋体" w:eastAsia="宋体" w:cs="宋体"/>
                <w:color w:val="auto"/>
                <w:kern w:val="0"/>
                <w:highlight w:val="none"/>
                <w:lang w:val="en-US" w:eastAsia="zh-CN" w:bidi="ar"/>
              </w:rPr>
              <w:t>提供一份</w:t>
            </w:r>
            <w:r>
              <w:rPr>
                <w:rFonts w:hint="eastAsia" w:ascii="宋体" w:hAnsi="宋体" w:eastAsia="宋体" w:cs="宋体"/>
                <w:color w:val="auto"/>
                <w:kern w:val="0"/>
                <w:highlight w:val="none"/>
                <w:lang w:bidi="ar"/>
              </w:rPr>
              <w:t>得</w:t>
            </w:r>
            <w:r>
              <w:rPr>
                <w:rFonts w:hint="eastAsia" w:ascii="宋体" w:hAnsi="宋体" w:eastAsia="宋体" w:cs="宋体"/>
                <w:color w:val="auto"/>
                <w:kern w:val="0"/>
                <w:highlight w:val="none"/>
                <w:lang w:val="en-US" w:eastAsia="zh-CN" w:bidi="ar"/>
              </w:rPr>
              <w:t>2</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bidi="ar"/>
              </w:rPr>
              <w:t>本项最多得</w:t>
            </w:r>
            <w:r>
              <w:rPr>
                <w:rFonts w:hint="eastAsia" w:ascii="宋体" w:hAnsi="宋体" w:eastAsia="宋体" w:cs="宋体"/>
                <w:color w:val="auto"/>
                <w:kern w:val="0"/>
                <w:highlight w:val="none"/>
                <w:lang w:val="en-US" w:eastAsia="zh-CN" w:bidi="ar"/>
              </w:rPr>
              <w:t>10</w:t>
            </w:r>
            <w:r>
              <w:rPr>
                <w:rFonts w:hint="eastAsia" w:ascii="宋体" w:hAnsi="宋体" w:eastAsia="宋体" w:cs="宋体"/>
                <w:color w:val="auto"/>
                <w:kern w:val="0"/>
                <w:highlight w:val="none"/>
                <w:lang w:bidi="ar"/>
              </w:rPr>
              <w:t xml:space="preserve">分。 </w:t>
            </w:r>
          </w:p>
          <w:p>
            <w:pPr>
              <w:widowControl/>
              <w:numPr>
                <w:ilvl w:val="0"/>
                <w:numId w:val="0"/>
              </w:numPr>
              <w:spacing w:line="360" w:lineRule="auto"/>
              <w:jc w:val="left"/>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szCs w:val="21"/>
                <w:highlight w:val="none"/>
              </w:rPr>
              <w:t>注：须</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合同</w:t>
            </w:r>
            <w:r>
              <w:rPr>
                <w:rFonts w:hint="eastAsia" w:ascii="宋体" w:hAnsi="宋体" w:cs="宋体"/>
                <w:color w:val="auto"/>
                <w:szCs w:val="21"/>
                <w:highlight w:val="none"/>
                <w:lang w:val="en-US" w:eastAsia="zh-CN"/>
              </w:rPr>
              <w:t>关键页</w:t>
            </w:r>
            <w:r>
              <w:rPr>
                <w:rFonts w:hint="eastAsia" w:ascii="宋体" w:hAnsi="宋体" w:eastAsia="宋体" w:cs="宋体"/>
                <w:color w:val="auto"/>
                <w:szCs w:val="21"/>
                <w:highlight w:val="none"/>
              </w:rPr>
              <w:t>及竣工验收证明材料</w:t>
            </w:r>
            <w:r>
              <w:rPr>
                <w:rFonts w:hint="eastAsia" w:ascii="宋体" w:hAnsi="宋体" w:eastAsia="宋体" w:cs="宋体"/>
                <w:color w:val="auto"/>
                <w:szCs w:val="21"/>
                <w:highlight w:val="none"/>
                <w:lang w:val="en-US" w:eastAsia="zh-CN"/>
              </w:rPr>
              <w:t>作为证明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未按要求提供不得分</w:t>
            </w:r>
            <w:r>
              <w:rPr>
                <w:rFonts w:hint="eastAsia" w:ascii="宋体" w:hAnsi="宋体" w:eastAsia="宋体" w:cs="宋体"/>
                <w:color w:val="auto"/>
                <w:szCs w:val="21"/>
                <w:highlight w:val="none"/>
              </w:rPr>
              <w:t>。</w:t>
            </w:r>
          </w:p>
        </w:tc>
        <w:tc>
          <w:tcPr>
            <w:tcW w:w="758" w:type="dxa"/>
            <w:noWrap w:val="0"/>
            <w:vAlign w:val="center"/>
          </w:tcPr>
          <w:p>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83" w:type="dxa"/>
            <w:gridSpan w:val="3"/>
            <w:noWrap w:val="0"/>
            <w:vAlign w:val="center"/>
          </w:tcPr>
          <w:p>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58" w:type="dxa"/>
            <w:noWrap w:val="0"/>
            <w:vAlign w:val="center"/>
          </w:tcPr>
          <w:p>
            <w:pPr>
              <w:widowControl/>
              <w:adjustRightInd w:val="0"/>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r>
    </w:tbl>
    <w:p>
      <w:pPr>
        <w:pStyle w:val="17"/>
        <w:rPr>
          <w:rFonts w:hint="eastAsia" w:hAnsi="宋体"/>
          <w:b/>
          <w:bCs/>
          <w:color w:val="auto"/>
          <w:highlight w:val="none"/>
        </w:rPr>
      </w:pPr>
      <w:r>
        <w:rPr>
          <w:rFonts w:hint="eastAsia" w:hAnsi="宋体"/>
          <w:b/>
          <w:bCs/>
          <w:color w:val="auto"/>
          <w:highlight w:val="none"/>
        </w:rPr>
        <w:t>注：1、评委对各投标文件进行评审，分数精确至小数点后2位。</w:t>
      </w:r>
    </w:p>
    <w:p>
      <w:pPr>
        <w:pStyle w:val="17"/>
        <w:rPr>
          <w:rFonts w:hint="eastAsia" w:hAnsi="宋体" w:cs="宋体"/>
          <w:b/>
          <w:bCs/>
          <w:color w:val="auto"/>
          <w:highlight w:val="none"/>
        </w:rPr>
      </w:pPr>
      <w:r>
        <w:rPr>
          <w:rFonts w:hint="eastAsia" w:hAnsi="宋体"/>
          <w:b/>
          <w:bCs/>
          <w:color w:val="auto"/>
          <w:highlight w:val="none"/>
        </w:rPr>
        <w:t>2、若投标人出现商务评分低于商务得分的60%，评标委员会将否决该投标人的所有投标文件，该投标人也不再进入价格详细评审环节</w:t>
      </w:r>
      <w:r>
        <w:rPr>
          <w:rFonts w:hint="eastAsia" w:hAnsi="宋体" w:cs="宋体"/>
          <w:b/>
          <w:bCs/>
          <w:color w:val="auto"/>
          <w:highlight w:val="none"/>
        </w:rPr>
        <w:t>。</w:t>
      </w:r>
    </w:p>
    <w:p>
      <w:pPr>
        <w:pStyle w:val="3"/>
        <w:rPr>
          <w:rFonts w:hint="eastAsia" w:ascii="宋体" w:hAnsi="宋体"/>
          <w:b/>
          <w:color w:val="auto"/>
          <w:highlight w:val="none"/>
        </w:rPr>
      </w:pPr>
      <w:r>
        <w:rPr>
          <w:rFonts w:hint="eastAsia" w:ascii="宋体" w:hAnsi="宋体" w:cs="宋体"/>
          <w:b/>
          <w:bCs/>
          <w:color w:val="auto"/>
          <w:highlight w:val="none"/>
        </w:rPr>
        <w:br w:type="page"/>
      </w:r>
      <w:r>
        <w:rPr>
          <w:rFonts w:hint="eastAsia" w:ascii="宋体" w:hAnsi="宋体"/>
          <w:b/>
          <w:color w:val="auto"/>
          <w:highlight w:val="none"/>
        </w:rPr>
        <w:t>附表4：符合性审查表（阶段二）</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符合性审查表（阶段二）</w:t>
      </w:r>
    </w:p>
    <w:tbl>
      <w:tblPr>
        <w:tblStyle w:val="25"/>
        <w:tblW w:w="0" w:type="auto"/>
        <w:tblInd w:w="0" w:type="dxa"/>
        <w:tblLayout w:type="fixed"/>
        <w:tblCellMar>
          <w:top w:w="0" w:type="dxa"/>
          <w:left w:w="0" w:type="dxa"/>
          <w:bottom w:w="0" w:type="dxa"/>
          <w:right w:w="0" w:type="dxa"/>
        </w:tblCellMar>
      </w:tblPr>
      <w:tblGrid>
        <w:gridCol w:w="561"/>
        <w:gridCol w:w="4225"/>
        <w:gridCol w:w="746"/>
        <w:gridCol w:w="744"/>
        <w:gridCol w:w="744"/>
        <w:gridCol w:w="744"/>
        <w:gridCol w:w="744"/>
        <w:gridCol w:w="764"/>
      </w:tblGrid>
      <w:tr>
        <w:tblPrEx>
          <w:tblCellMar>
            <w:top w:w="0" w:type="dxa"/>
            <w:left w:w="0" w:type="dxa"/>
            <w:bottom w:w="0" w:type="dxa"/>
            <w:right w:w="0" w:type="dxa"/>
          </w:tblCellMar>
        </w:tblPrEx>
        <w:trPr>
          <w:trHeight w:val="90" w:hRule="atLeast"/>
        </w:trPr>
        <w:tc>
          <w:tcPr>
            <w:tcW w:w="56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审查项目</w:t>
            </w:r>
          </w:p>
        </w:tc>
        <w:tc>
          <w:tcPr>
            <w:tcW w:w="4486"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r>
      <w:tr>
        <w:tblPrEx>
          <w:tblCellMar>
            <w:top w:w="0" w:type="dxa"/>
            <w:left w:w="0" w:type="dxa"/>
            <w:bottom w:w="0" w:type="dxa"/>
            <w:right w:w="0" w:type="dxa"/>
          </w:tblCellMar>
        </w:tblPrEx>
        <w:trPr>
          <w:trHeight w:val="211" w:hRule="atLeast"/>
        </w:trPr>
        <w:tc>
          <w:tcPr>
            <w:tcW w:w="56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E</w:t>
            </w:r>
          </w:p>
        </w:tc>
        <w:tc>
          <w:tcPr>
            <w:tcW w:w="7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bCs/>
                <w:color w:val="auto"/>
                <w:kern w:val="0"/>
                <w:szCs w:val="21"/>
                <w:highlight w:val="none"/>
              </w:rPr>
              <w:t>...</w:t>
            </w:r>
          </w:p>
        </w:tc>
      </w:tr>
      <w:tr>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投标人的商务评分未低于招标文件规定的商务得分比例</w:t>
            </w:r>
            <w:r>
              <w:rPr>
                <w:rFonts w:hint="eastAsia" w:ascii="宋体" w:hAnsi="宋体" w:cs="宋体"/>
                <w:color w:val="auto"/>
                <w:kern w:val="0"/>
                <w:szCs w:val="21"/>
                <w:highlight w:val="none"/>
                <w:lang w:bidi="ar"/>
              </w:rPr>
              <w:t>；</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投标人的投标报价没有超过本项目的最高限价；</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投标人不得递交两份或多份内容不同的投标文件，在一份投标文件中对同一招标</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报有两个或多个报价时必须声明哪一个为最终报价；</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lang w:bidi="ar"/>
              </w:rPr>
              <w:t>无招标文件中规定的其他无效投标的内容。</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56" w:hRule="atLeast"/>
        </w:trPr>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c>
          <w:tcPr>
            <w:tcW w:w="76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color w:val="auto"/>
                <w:szCs w:val="21"/>
                <w:highlight w:val="none"/>
              </w:rPr>
            </w:pPr>
          </w:p>
        </w:tc>
      </w:tr>
    </w:tbl>
    <w:p>
      <w:pPr>
        <w:spacing w:line="360" w:lineRule="auto"/>
        <w:rPr>
          <w:rFonts w:hint="eastAsia" w:ascii="宋体" w:hAnsi="宋体"/>
          <w:color w:val="auto"/>
          <w:highlight w:val="none"/>
        </w:rPr>
      </w:pPr>
    </w:p>
    <w:p>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pPr>
        <w:spacing w:line="360" w:lineRule="auto"/>
        <w:rPr>
          <w:rFonts w:hint="eastAsia"/>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p>
    <w:p/>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15875">
                        <a:noFill/>
                      </a:ln>
                    </wps:spPr>
                    <wps:txbx>
                      <w:txbxContent>
                        <w:p>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81pt;mso-position-horizontal:center;mso-position-horizontal-relative:margin;z-index:251661312;mso-width-relative:page;mso-height-relative:page;" filled="f" stroked="f" coordsize="21600,21600" o:gfxdata="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LxYh1AAAAAUBAAAPAAAAAAAAAAEAIAAAACIAAABkcnMv&#10;ZG93bnJldi54bWxQSwECFAAUAAAACACHTuJAiV4e9c4BAACXAwAADgAAAAAAAAABACAAAAAjAQAA&#10;ZHJzL2Uyb0RvYy54bWxQSwUGAAAAAAYABgBZAQAAYwUAAAAA&#10;">
              <v:fill on="f" focussize="0,0"/>
              <v:stroke on="f" weight="1.25pt"/>
              <v:imagedata o:title=""/>
              <o:lock v:ext="edit" aspectratio="f"/>
              <v:textbox inset="0mm,0mm,0mm,0mm" style="mso-fit-shape-to-text:t;">
                <w:txbxContent>
                  <w:p>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9"/>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rPr>
    </w:pPr>
    <w:r>
      <w:rPr>
        <w:rFonts w:hint="eastAsia"/>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AFCF3"/>
    <w:multiLevelType w:val="singleLevel"/>
    <w:tmpl w:val="E95AFCF3"/>
    <w:lvl w:ilvl="0" w:tentative="0">
      <w:start w:val="3"/>
      <w:numFmt w:val="chineseCounting"/>
      <w:suff w:val="space"/>
      <w:lvlText w:val="第%1章"/>
      <w:lvlJc w:val="left"/>
      <w:rPr>
        <w:rFonts w:hint="eastAsia"/>
      </w:rPr>
    </w:lvl>
  </w:abstractNum>
  <w:abstractNum w:abstractNumId="1">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A"/>
    <w:multiLevelType w:val="multilevel"/>
    <w:tmpl w:val="0000000A"/>
    <w:lvl w:ilvl="0" w:tentative="0">
      <w:start w:val="1"/>
      <w:numFmt w:val="japaneseCounting"/>
      <w:pStyle w:val="5"/>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D20AFE"/>
    <w:multiLevelType w:val="singleLevel"/>
    <w:tmpl w:val="0FD20AFE"/>
    <w:lvl w:ilvl="0" w:tentative="0">
      <w:start w:val="1"/>
      <w:numFmt w:val="decimal"/>
      <w:suff w:val="space"/>
      <w:lvlText w:val="（%1）"/>
      <w:lvlJc w:val="left"/>
    </w:lvl>
  </w:abstractNum>
  <w:abstractNum w:abstractNumId="6">
    <w:nsid w:val="4AE613DF"/>
    <w:multiLevelType w:val="multilevel"/>
    <w:tmpl w:val="4AE613DF"/>
    <w:lvl w:ilvl="0" w:tentative="0">
      <w:start w:val="1"/>
      <w:numFmt w:val="decimal"/>
      <w:lvlText w:val="（%1）"/>
      <w:lvlJc w:val="left"/>
      <w:pPr>
        <w:tabs>
          <w:tab w:val="left" w:pos="720"/>
        </w:tabs>
        <w:ind w:left="720"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7"/>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kNmU4ZTA0YjI0Zjg3NjA5OWQ4ZDUyMWVkYjZkNzIifQ=="/>
  </w:docVars>
  <w:rsids>
    <w:rsidRoot w:val="00172A27"/>
    <w:rsid w:val="00066EBC"/>
    <w:rsid w:val="002A37DA"/>
    <w:rsid w:val="0048507E"/>
    <w:rsid w:val="004D08BB"/>
    <w:rsid w:val="00BD3A25"/>
    <w:rsid w:val="01174C50"/>
    <w:rsid w:val="012A2737"/>
    <w:rsid w:val="01483505"/>
    <w:rsid w:val="014E7D2C"/>
    <w:rsid w:val="015A46DD"/>
    <w:rsid w:val="01A204E9"/>
    <w:rsid w:val="01E7160A"/>
    <w:rsid w:val="020E7076"/>
    <w:rsid w:val="024356B4"/>
    <w:rsid w:val="025A0994"/>
    <w:rsid w:val="02856759"/>
    <w:rsid w:val="03105673"/>
    <w:rsid w:val="0347360C"/>
    <w:rsid w:val="03AE0B18"/>
    <w:rsid w:val="03DA21C8"/>
    <w:rsid w:val="03E07A24"/>
    <w:rsid w:val="04441AFA"/>
    <w:rsid w:val="047D5273"/>
    <w:rsid w:val="048A44A4"/>
    <w:rsid w:val="049525BD"/>
    <w:rsid w:val="05080FE1"/>
    <w:rsid w:val="056132C7"/>
    <w:rsid w:val="05656433"/>
    <w:rsid w:val="0584521B"/>
    <w:rsid w:val="05877F27"/>
    <w:rsid w:val="0591547A"/>
    <w:rsid w:val="05EA4BBF"/>
    <w:rsid w:val="062D6971"/>
    <w:rsid w:val="06500E91"/>
    <w:rsid w:val="06647BA4"/>
    <w:rsid w:val="06E37E8E"/>
    <w:rsid w:val="07126147"/>
    <w:rsid w:val="0817503B"/>
    <w:rsid w:val="08F37412"/>
    <w:rsid w:val="09523C57"/>
    <w:rsid w:val="099557CE"/>
    <w:rsid w:val="09A60578"/>
    <w:rsid w:val="0A1B45C1"/>
    <w:rsid w:val="0A1C20F4"/>
    <w:rsid w:val="0A5071C3"/>
    <w:rsid w:val="0ADC375E"/>
    <w:rsid w:val="0B3A75DC"/>
    <w:rsid w:val="0B5C5252"/>
    <w:rsid w:val="0B7E470D"/>
    <w:rsid w:val="0BF77EA7"/>
    <w:rsid w:val="0C007176"/>
    <w:rsid w:val="0C033174"/>
    <w:rsid w:val="0C225E10"/>
    <w:rsid w:val="0C665ADE"/>
    <w:rsid w:val="0C803B53"/>
    <w:rsid w:val="0CB47CA0"/>
    <w:rsid w:val="0CB525FA"/>
    <w:rsid w:val="0D1150F2"/>
    <w:rsid w:val="0D681B8E"/>
    <w:rsid w:val="0E156526"/>
    <w:rsid w:val="0E1E7D1A"/>
    <w:rsid w:val="0E251C0E"/>
    <w:rsid w:val="0E7A343D"/>
    <w:rsid w:val="0E7B1CF4"/>
    <w:rsid w:val="0EA227C1"/>
    <w:rsid w:val="0F351DDF"/>
    <w:rsid w:val="0F6645DB"/>
    <w:rsid w:val="0FC41FA8"/>
    <w:rsid w:val="102E02F4"/>
    <w:rsid w:val="10492455"/>
    <w:rsid w:val="106F600E"/>
    <w:rsid w:val="10774185"/>
    <w:rsid w:val="10781FE1"/>
    <w:rsid w:val="10AF4A06"/>
    <w:rsid w:val="10BE3F13"/>
    <w:rsid w:val="10E723F2"/>
    <w:rsid w:val="11654CCB"/>
    <w:rsid w:val="117B25AA"/>
    <w:rsid w:val="118718C1"/>
    <w:rsid w:val="11BB443A"/>
    <w:rsid w:val="11BF336F"/>
    <w:rsid w:val="11E37B55"/>
    <w:rsid w:val="11E9219A"/>
    <w:rsid w:val="11FA79F6"/>
    <w:rsid w:val="12086AC4"/>
    <w:rsid w:val="12617F82"/>
    <w:rsid w:val="126749BD"/>
    <w:rsid w:val="12905384"/>
    <w:rsid w:val="12B136AC"/>
    <w:rsid w:val="12B61985"/>
    <w:rsid w:val="12DB6BAC"/>
    <w:rsid w:val="130A02C7"/>
    <w:rsid w:val="132972A0"/>
    <w:rsid w:val="13392CAD"/>
    <w:rsid w:val="14006431"/>
    <w:rsid w:val="14515DD5"/>
    <w:rsid w:val="14694189"/>
    <w:rsid w:val="148D1503"/>
    <w:rsid w:val="14B940A6"/>
    <w:rsid w:val="15087411"/>
    <w:rsid w:val="155D3CB6"/>
    <w:rsid w:val="15CB1311"/>
    <w:rsid w:val="164E15A7"/>
    <w:rsid w:val="16AD6350"/>
    <w:rsid w:val="16BC6358"/>
    <w:rsid w:val="16F01BF5"/>
    <w:rsid w:val="1739528A"/>
    <w:rsid w:val="17716EB9"/>
    <w:rsid w:val="17726A4F"/>
    <w:rsid w:val="17DB3114"/>
    <w:rsid w:val="18294330"/>
    <w:rsid w:val="18A06772"/>
    <w:rsid w:val="18F02060"/>
    <w:rsid w:val="19725B5A"/>
    <w:rsid w:val="19E949FC"/>
    <w:rsid w:val="1A110B6E"/>
    <w:rsid w:val="1A310042"/>
    <w:rsid w:val="1A424B3D"/>
    <w:rsid w:val="1AEF299D"/>
    <w:rsid w:val="1B0659E2"/>
    <w:rsid w:val="1B236D56"/>
    <w:rsid w:val="1B537BF0"/>
    <w:rsid w:val="1B79458F"/>
    <w:rsid w:val="1B9C202B"/>
    <w:rsid w:val="1BB116FE"/>
    <w:rsid w:val="1BDD4B1E"/>
    <w:rsid w:val="1BEB6F5A"/>
    <w:rsid w:val="1C231DE3"/>
    <w:rsid w:val="1C9363E7"/>
    <w:rsid w:val="1C9551F4"/>
    <w:rsid w:val="1CBD507B"/>
    <w:rsid w:val="1CD31E9A"/>
    <w:rsid w:val="1CE26164"/>
    <w:rsid w:val="1CE27103"/>
    <w:rsid w:val="1D2B6460"/>
    <w:rsid w:val="1D5A1311"/>
    <w:rsid w:val="1D7D6213"/>
    <w:rsid w:val="1DC1499F"/>
    <w:rsid w:val="1E1F39CC"/>
    <w:rsid w:val="1E29717E"/>
    <w:rsid w:val="1E8D532F"/>
    <w:rsid w:val="1E971D67"/>
    <w:rsid w:val="1EA32C7E"/>
    <w:rsid w:val="1ED66A28"/>
    <w:rsid w:val="1EE2244B"/>
    <w:rsid w:val="1EE67BBF"/>
    <w:rsid w:val="1F2D1F08"/>
    <w:rsid w:val="1F826F3D"/>
    <w:rsid w:val="1F8620C6"/>
    <w:rsid w:val="1F8B276E"/>
    <w:rsid w:val="1FE245DC"/>
    <w:rsid w:val="1FF300F9"/>
    <w:rsid w:val="2062449C"/>
    <w:rsid w:val="20B55C45"/>
    <w:rsid w:val="20CA48D9"/>
    <w:rsid w:val="20D10E40"/>
    <w:rsid w:val="20D87472"/>
    <w:rsid w:val="2115038D"/>
    <w:rsid w:val="22884B40"/>
    <w:rsid w:val="22E856FA"/>
    <w:rsid w:val="22F1744A"/>
    <w:rsid w:val="235064FD"/>
    <w:rsid w:val="23A14C42"/>
    <w:rsid w:val="23A654D1"/>
    <w:rsid w:val="23F61C2B"/>
    <w:rsid w:val="24131E7A"/>
    <w:rsid w:val="24206DB7"/>
    <w:rsid w:val="24294678"/>
    <w:rsid w:val="243454F7"/>
    <w:rsid w:val="24415E66"/>
    <w:rsid w:val="244813A6"/>
    <w:rsid w:val="24603DAE"/>
    <w:rsid w:val="24E862E1"/>
    <w:rsid w:val="252C586D"/>
    <w:rsid w:val="25421646"/>
    <w:rsid w:val="25503DD1"/>
    <w:rsid w:val="25C65F86"/>
    <w:rsid w:val="25C755E4"/>
    <w:rsid w:val="26461511"/>
    <w:rsid w:val="26600703"/>
    <w:rsid w:val="26B13A8A"/>
    <w:rsid w:val="26C41652"/>
    <w:rsid w:val="26CA6C37"/>
    <w:rsid w:val="27127B50"/>
    <w:rsid w:val="27AF471F"/>
    <w:rsid w:val="27AF712B"/>
    <w:rsid w:val="284B1061"/>
    <w:rsid w:val="286A0D1D"/>
    <w:rsid w:val="28E53263"/>
    <w:rsid w:val="296323DA"/>
    <w:rsid w:val="29674797"/>
    <w:rsid w:val="296E01BE"/>
    <w:rsid w:val="298E3AB4"/>
    <w:rsid w:val="29F959EB"/>
    <w:rsid w:val="2A7C2BFC"/>
    <w:rsid w:val="2A954815"/>
    <w:rsid w:val="2A994305"/>
    <w:rsid w:val="2ACF2B31"/>
    <w:rsid w:val="2AF77E8C"/>
    <w:rsid w:val="2B297AE6"/>
    <w:rsid w:val="2B2E1F52"/>
    <w:rsid w:val="2B6F46E4"/>
    <w:rsid w:val="2B81375B"/>
    <w:rsid w:val="2BE12008"/>
    <w:rsid w:val="2BF30D6C"/>
    <w:rsid w:val="2C0F2BDD"/>
    <w:rsid w:val="2C14020A"/>
    <w:rsid w:val="2C371CA4"/>
    <w:rsid w:val="2C8C6E09"/>
    <w:rsid w:val="2CAC78E7"/>
    <w:rsid w:val="2CC55886"/>
    <w:rsid w:val="2D83221A"/>
    <w:rsid w:val="2DBF3619"/>
    <w:rsid w:val="2E2C36E3"/>
    <w:rsid w:val="2E3B41A4"/>
    <w:rsid w:val="2E6E6670"/>
    <w:rsid w:val="2E7C7DAA"/>
    <w:rsid w:val="2F2E6F5D"/>
    <w:rsid w:val="2FEF0BC4"/>
    <w:rsid w:val="3026520B"/>
    <w:rsid w:val="304C202D"/>
    <w:rsid w:val="305118D2"/>
    <w:rsid w:val="3069734D"/>
    <w:rsid w:val="30700374"/>
    <w:rsid w:val="30FA3624"/>
    <w:rsid w:val="313F7193"/>
    <w:rsid w:val="325839DA"/>
    <w:rsid w:val="3284056D"/>
    <w:rsid w:val="32A73FA5"/>
    <w:rsid w:val="32FA113D"/>
    <w:rsid w:val="33452AD7"/>
    <w:rsid w:val="33662CF8"/>
    <w:rsid w:val="33726C38"/>
    <w:rsid w:val="33A665D2"/>
    <w:rsid w:val="33C06DA7"/>
    <w:rsid w:val="34334D07"/>
    <w:rsid w:val="34413162"/>
    <w:rsid w:val="345F655C"/>
    <w:rsid w:val="34755553"/>
    <w:rsid w:val="34AC367E"/>
    <w:rsid w:val="34F76B17"/>
    <w:rsid w:val="352C7961"/>
    <w:rsid w:val="35670448"/>
    <w:rsid w:val="358D4A67"/>
    <w:rsid w:val="35901C78"/>
    <w:rsid w:val="35C733B4"/>
    <w:rsid w:val="35D05B7D"/>
    <w:rsid w:val="35E41FC2"/>
    <w:rsid w:val="364315C9"/>
    <w:rsid w:val="3651018A"/>
    <w:rsid w:val="365657A0"/>
    <w:rsid w:val="3665478E"/>
    <w:rsid w:val="366A2CBA"/>
    <w:rsid w:val="36B0788C"/>
    <w:rsid w:val="37081E0E"/>
    <w:rsid w:val="37427AD3"/>
    <w:rsid w:val="3763500B"/>
    <w:rsid w:val="37D2541B"/>
    <w:rsid w:val="37DC3A83"/>
    <w:rsid w:val="37F9418D"/>
    <w:rsid w:val="38284F1B"/>
    <w:rsid w:val="382D55B6"/>
    <w:rsid w:val="3834062E"/>
    <w:rsid w:val="386F7475"/>
    <w:rsid w:val="3920556A"/>
    <w:rsid w:val="3934707A"/>
    <w:rsid w:val="39680FE3"/>
    <w:rsid w:val="398C3287"/>
    <w:rsid w:val="39AD2129"/>
    <w:rsid w:val="39CD7229"/>
    <w:rsid w:val="3A0B3EC3"/>
    <w:rsid w:val="3A1E1155"/>
    <w:rsid w:val="3A3A4072"/>
    <w:rsid w:val="3A63223A"/>
    <w:rsid w:val="3AA63234"/>
    <w:rsid w:val="3B297DB3"/>
    <w:rsid w:val="3B571756"/>
    <w:rsid w:val="3BA810F0"/>
    <w:rsid w:val="3C09240E"/>
    <w:rsid w:val="3C395948"/>
    <w:rsid w:val="3CB80424"/>
    <w:rsid w:val="3CB82139"/>
    <w:rsid w:val="3CC268F0"/>
    <w:rsid w:val="3CF8556E"/>
    <w:rsid w:val="3D0657A9"/>
    <w:rsid w:val="3D5C5741"/>
    <w:rsid w:val="3D622C7D"/>
    <w:rsid w:val="3D6E1622"/>
    <w:rsid w:val="3DF45431"/>
    <w:rsid w:val="3E0C635B"/>
    <w:rsid w:val="3E1378B2"/>
    <w:rsid w:val="3E4A630D"/>
    <w:rsid w:val="3E7C1E93"/>
    <w:rsid w:val="3EBD697E"/>
    <w:rsid w:val="3EC22607"/>
    <w:rsid w:val="3EC3599D"/>
    <w:rsid w:val="3EE726CF"/>
    <w:rsid w:val="3EFE0799"/>
    <w:rsid w:val="3F1D1045"/>
    <w:rsid w:val="3F6C7503"/>
    <w:rsid w:val="3FD51C48"/>
    <w:rsid w:val="3FE70C9D"/>
    <w:rsid w:val="3FF738EF"/>
    <w:rsid w:val="40375844"/>
    <w:rsid w:val="40D06DD0"/>
    <w:rsid w:val="423F2AA9"/>
    <w:rsid w:val="42426B80"/>
    <w:rsid w:val="42F51E2A"/>
    <w:rsid w:val="42F6354A"/>
    <w:rsid w:val="43993ABC"/>
    <w:rsid w:val="43A0677F"/>
    <w:rsid w:val="43E066A9"/>
    <w:rsid w:val="43E2516D"/>
    <w:rsid w:val="446F4A5E"/>
    <w:rsid w:val="449706A5"/>
    <w:rsid w:val="449A71A0"/>
    <w:rsid w:val="44B15AC5"/>
    <w:rsid w:val="44C24C07"/>
    <w:rsid w:val="45366CA5"/>
    <w:rsid w:val="45617CBE"/>
    <w:rsid w:val="45B4254C"/>
    <w:rsid w:val="462F0E76"/>
    <w:rsid w:val="46BD3083"/>
    <w:rsid w:val="46EA18AB"/>
    <w:rsid w:val="46F81F5C"/>
    <w:rsid w:val="47094169"/>
    <w:rsid w:val="471C47F9"/>
    <w:rsid w:val="472473B6"/>
    <w:rsid w:val="48050DD4"/>
    <w:rsid w:val="484C0BE3"/>
    <w:rsid w:val="48720BB5"/>
    <w:rsid w:val="48AE216E"/>
    <w:rsid w:val="48C0506B"/>
    <w:rsid w:val="49386C7F"/>
    <w:rsid w:val="49426EFB"/>
    <w:rsid w:val="49486249"/>
    <w:rsid w:val="494920D5"/>
    <w:rsid w:val="498A77E3"/>
    <w:rsid w:val="49951D54"/>
    <w:rsid w:val="49C04C59"/>
    <w:rsid w:val="4A1C2405"/>
    <w:rsid w:val="4A1C41B3"/>
    <w:rsid w:val="4A2D0ACC"/>
    <w:rsid w:val="4A3F4FB3"/>
    <w:rsid w:val="4A672648"/>
    <w:rsid w:val="4AB40569"/>
    <w:rsid w:val="4B1A3189"/>
    <w:rsid w:val="4B395D50"/>
    <w:rsid w:val="4B73621F"/>
    <w:rsid w:val="4BD33374"/>
    <w:rsid w:val="4C0473C6"/>
    <w:rsid w:val="4C4D5DEC"/>
    <w:rsid w:val="4CCE6A8F"/>
    <w:rsid w:val="4CD1623A"/>
    <w:rsid w:val="4D106251"/>
    <w:rsid w:val="4D881F0C"/>
    <w:rsid w:val="4DC61225"/>
    <w:rsid w:val="4DCA372B"/>
    <w:rsid w:val="4DD74D43"/>
    <w:rsid w:val="4E2E44B5"/>
    <w:rsid w:val="4E7D4B5E"/>
    <w:rsid w:val="4EE47996"/>
    <w:rsid w:val="4EE72FE2"/>
    <w:rsid w:val="4EF83277"/>
    <w:rsid w:val="4F2272E3"/>
    <w:rsid w:val="4F531A83"/>
    <w:rsid w:val="4F56399F"/>
    <w:rsid w:val="4F5A1305"/>
    <w:rsid w:val="4F6C3FB3"/>
    <w:rsid w:val="4F8151E4"/>
    <w:rsid w:val="4FC27D66"/>
    <w:rsid w:val="4FEE65F2"/>
    <w:rsid w:val="4FF9472F"/>
    <w:rsid w:val="50245A1B"/>
    <w:rsid w:val="50A3118B"/>
    <w:rsid w:val="50C13BD5"/>
    <w:rsid w:val="50D92DFE"/>
    <w:rsid w:val="50EE0EE5"/>
    <w:rsid w:val="5128521C"/>
    <w:rsid w:val="515D57DD"/>
    <w:rsid w:val="51C21E64"/>
    <w:rsid w:val="52546BE0"/>
    <w:rsid w:val="52880601"/>
    <w:rsid w:val="5298788F"/>
    <w:rsid w:val="52BD116E"/>
    <w:rsid w:val="52BE6462"/>
    <w:rsid w:val="53735E45"/>
    <w:rsid w:val="54723052"/>
    <w:rsid w:val="5490775B"/>
    <w:rsid w:val="54934045"/>
    <w:rsid w:val="54D122B2"/>
    <w:rsid w:val="55443692"/>
    <w:rsid w:val="5564033D"/>
    <w:rsid w:val="5576105D"/>
    <w:rsid w:val="55B442A9"/>
    <w:rsid w:val="55CC1183"/>
    <w:rsid w:val="55FF5B16"/>
    <w:rsid w:val="560A0856"/>
    <w:rsid w:val="56586573"/>
    <w:rsid w:val="567F0CAF"/>
    <w:rsid w:val="56A2510A"/>
    <w:rsid w:val="57082F52"/>
    <w:rsid w:val="57344EE1"/>
    <w:rsid w:val="57715B3F"/>
    <w:rsid w:val="57E75AEF"/>
    <w:rsid w:val="57FD7D2F"/>
    <w:rsid w:val="58920462"/>
    <w:rsid w:val="58AE4B70"/>
    <w:rsid w:val="58C44EB1"/>
    <w:rsid w:val="58D90F17"/>
    <w:rsid w:val="593F50F5"/>
    <w:rsid w:val="594F3C5E"/>
    <w:rsid w:val="598000B4"/>
    <w:rsid w:val="59BA4E55"/>
    <w:rsid w:val="59E93904"/>
    <w:rsid w:val="5A27541F"/>
    <w:rsid w:val="5A8F08C2"/>
    <w:rsid w:val="5AA945FA"/>
    <w:rsid w:val="5B0F2610"/>
    <w:rsid w:val="5BBE4E0A"/>
    <w:rsid w:val="5C2F0853"/>
    <w:rsid w:val="5C450A18"/>
    <w:rsid w:val="5C5A4458"/>
    <w:rsid w:val="5CA523ED"/>
    <w:rsid w:val="5D5B25CD"/>
    <w:rsid w:val="5D8E74DC"/>
    <w:rsid w:val="5DBE7604"/>
    <w:rsid w:val="5DCC7E0F"/>
    <w:rsid w:val="5DE84681"/>
    <w:rsid w:val="5E385608"/>
    <w:rsid w:val="5E6B571F"/>
    <w:rsid w:val="5E734A84"/>
    <w:rsid w:val="5EBC729F"/>
    <w:rsid w:val="5EDB3E95"/>
    <w:rsid w:val="5F100333"/>
    <w:rsid w:val="5F27742B"/>
    <w:rsid w:val="5F444CD0"/>
    <w:rsid w:val="5F653030"/>
    <w:rsid w:val="5F8416C1"/>
    <w:rsid w:val="5F8B79B9"/>
    <w:rsid w:val="5FEB167D"/>
    <w:rsid w:val="60196D73"/>
    <w:rsid w:val="608257F0"/>
    <w:rsid w:val="60C20654"/>
    <w:rsid w:val="60D54565"/>
    <w:rsid w:val="612123E7"/>
    <w:rsid w:val="61277F0A"/>
    <w:rsid w:val="61826B9A"/>
    <w:rsid w:val="61AC36FA"/>
    <w:rsid w:val="61E84C4F"/>
    <w:rsid w:val="61EE1A17"/>
    <w:rsid w:val="62CE1FA0"/>
    <w:rsid w:val="62D91738"/>
    <w:rsid w:val="62F56542"/>
    <w:rsid w:val="6322596E"/>
    <w:rsid w:val="632D1D71"/>
    <w:rsid w:val="63302135"/>
    <w:rsid w:val="63F25352"/>
    <w:rsid w:val="642443D9"/>
    <w:rsid w:val="645E744B"/>
    <w:rsid w:val="64CE08EF"/>
    <w:rsid w:val="64F07728"/>
    <w:rsid w:val="65053D6A"/>
    <w:rsid w:val="65060A9E"/>
    <w:rsid w:val="650C430C"/>
    <w:rsid w:val="65570574"/>
    <w:rsid w:val="656136E1"/>
    <w:rsid w:val="66030B7B"/>
    <w:rsid w:val="66BC2B4E"/>
    <w:rsid w:val="66FB5425"/>
    <w:rsid w:val="67313CE5"/>
    <w:rsid w:val="675608AD"/>
    <w:rsid w:val="67C90957"/>
    <w:rsid w:val="67E97887"/>
    <w:rsid w:val="68394457"/>
    <w:rsid w:val="68585023"/>
    <w:rsid w:val="69737B1B"/>
    <w:rsid w:val="69787200"/>
    <w:rsid w:val="69B82444"/>
    <w:rsid w:val="69DC0FD6"/>
    <w:rsid w:val="6A1D209B"/>
    <w:rsid w:val="6A9E4A45"/>
    <w:rsid w:val="6B157850"/>
    <w:rsid w:val="6B833C3B"/>
    <w:rsid w:val="6B8B09F9"/>
    <w:rsid w:val="6B9E2BAE"/>
    <w:rsid w:val="6BAF4966"/>
    <w:rsid w:val="6BD70B23"/>
    <w:rsid w:val="6BFD7676"/>
    <w:rsid w:val="6C1A3A0E"/>
    <w:rsid w:val="6C273703"/>
    <w:rsid w:val="6C31137D"/>
    <w:rsid w:val="6C554A5F"/>
    <w:rsid w:val="6C5630FD"/>
    <w:rsid w:val="6C5775A1"/>
    <w:rsid w:val="6CAE24D6"/>
    <w:rsid w:val="6D3F734F"/>
    <w:rsid w:val="6D4E0391"/>
    <w:rsid w:val="6DA944F5"/>
    <w:rsid w:val="6DE13966"/>
    <w:rsid w:val="6E314E27"/>
    <w:rsid w:val="6E6B2034"/>
    <w:rsid w:val="6E7F0A92"/>
    <w:rsid w:val="6EE71B57"/>
    <w:rsid w:val="6F000329"/>
    <w:rsid w:val="6F614293"/>
    <w:rsid w:val="6FBD3DD5"/>
    <w:rsid w:val="6FEF734E"/>
    <w:rsid w:val="70032909"/>
    <w:rsid w:val="700B4F57"/>
    <w:rsid w:val="70981F36"/>
    <w:rsid w:val="70B10988"/>
    <w:rsid w:val="71014B9D"/>
    <w:rsid w:val="71835CC7"/>
    <w:rsid w:val="719A5760"/>
    <w:rsid w:val="719D4BE8"/>
    <w:rsid w:val="71A5591A"/>
    <w:rsid w:val="71B356F8"/>
    <w:rsid w:val="71F17DFB"/>
    <w:rsid w:val="71F3746A"/>
    <w:rsid w:val="72084E9A"/>
    <w:rsid w:val="724845BB"/>
    <w:rsid w:val="72CB18A3"/>
    <w:rsid w:val="72D31AAD"/>
    <w:rsid w:val="72E41463"/>
    <w:rsid w:val="732C6966"/>
    <w:rsid w:val="733D5BF1"/>
    <w:rsid w:val="73523045"/>
    <w:rsid w:val="73B51E86"/>
    <w:rsid w:val="73E453E1"/>
    <w:rsid w:val="743261FE"/>
    <w:rsid w:val="74C57D5F"/>
    <w:rsid w:val="750B79C3"/>
    <w:rsid w:val="7516167C"/>
    <w:rsid w:val="761405A3"/>
    <w:rsid w:val="761E7D4A"/>
    <w:rsid w:val="770519A8"/>
    <w:rsid w:val="778F58CA"/>
    <w:rsid w:val="77A86F03"/>
    <w:rsid w:val="77CF011D"/>
    <w:rsid w:val="785670FD"/>
    <w:rsid w:val="78986F77"/>
    <w:rsid w:val="789D3984"/>
    <w:rsid w:val="78E13977"/>
    <w:rsid w:val="7903490F"/>
    <w:rsid w:val="791365FE"/>
    <w:rsid w:val="795D5A2B"/>
    <w:rsid w:val="799A5FB0"/>
    <w:rsid w:val="79E306C6"/>
    <w:rsid w:val="79E77C10"/>
    <w:rsid w:val="7A2830A1"/>
    <w:rsid w:val="7A373143"/>
    <w:rsid w:val="7A854E78"/>
    <w:rsid w:val="7AB85A8A"/>
    <w:rsid w:val="7AB9046F"/>
    <w:rsid w:val="7AF56F59"/>
    <w:rsid w:val="7B2745E3"/>
    <w:rsid w:val="7B576357"/>
    <w:rsid w:val="7BA877FC"/>
    <w:rsid w:val="7BDE7530"/>
    <w:rsid w:val="7C1103AD"/>
    <w:rsid w:val="7C562EA3"/>
    <w:rsid w:val="7C6874EE"/>
    <w:rsid w:val="7C6E5D1D"/>
    <w:rsid w:val="7C874681"/>
    <w:rsid w:val="7CA34DCF"/>
    <w:rsid w:val="7CD70BEB"/>
    <w:rsid w:val="7D156780"/>
    <w:rsid w:val="7D347692"/>
    <w:rsid w:val="7D7D498E"/>
    <w:rsid w:val="7E437638"/>
    <w:rsid w:val="7E805998"/>
    <w:rsid w:val="7E8C6B49"/>
    <w:rsid w:val="7F412A04"/>
    <w:rsid w:val="7F4A2909"/>
    <w:rsid w:val="7F876CCE"/>
    <w:rsid w:val="7FC32652"/>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6">
    <w:name w:val="heading 4"/>
    <w:basedOn w:val="1"/>
    <w:next w:val="1"/>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7">
    <w:name w:val="heading 5"/>
    <w:basedOn w:val="1"/>
    <w:next w:val="1"/>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character" w:default="1" w:styleId="27">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99"/>
    <w:pPr>
      <w:spacing w:after="120"/>
    </w:pPr>
    <w:rPr>
      <w:szCs w:val="24"/>
    </w:rPr>
  </w:style>
  <w:style w:type="paragraph" w:styleId="8">
    <w:name w:val="table of authorities"/>
    <w:basedOn w:val="1"/>
    <w:next w:val="1"/>
    <w:unhideWhenUsed/>
    <w:qFormat/>
    <w:uiPriority w:val="99"/>
    <w:pPr>
      <w:ind w:left="420" w:leftChars="200"/>
    </w:p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lang w:val="en-US" w:eastAsia="zh-CN" w:bidi="ar-SA"/>
    </w:rPr>
  </w:style>
  <w:style w:type="paragraph" w:styleId="10">
    <w:name w:val="Normal Indent"/>
    <w:basedOn w:val="1"/>
    <w:next w:val="11"/>
    <w:qFormat/>
    <w:uiPriority w:val="0"/>
    <w:pPr>
      <w:ind w:firstLine="420" w:firstLineChars="200"/>
    </w:pPr>
  </w:style>
  <w:style w:type="paragraph" w:customStyle="1" w:styleId="11">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2">
    <w:name w:val="toa heading"/>
    <w:basedOn w:val="1"/>
    <w:next w:val="1"/>
    <w:unhideWhenUsed/>
    <w:qFormat/>
    <w:uiPriority w:val="99"/>
    <w:pPr>
      <w:spacing w:before="120"/>
    </w:pPr>
    <w:rPr>
      <w:rFonts w:ascii="Cambria" w:hAnsi="Cambria" w:cs="Times New Roman"/>
      <w:sz w:val="24"/>
      <w:szCs w:val="24"/>
    </w:rPr>
  </w:style>
  <w:style w:type="paragraph" w:styleId="13">
    <w:name w:val="annotation text"/>
    <w:basedOn w:val="1"/>
    <w:unhideWhenUsed/>
    <w:qFormat/>
    <w:uiPriority w:val="99"/>
    <w:pPr>
      <w:jc w:val="left"/>
    </w:pPr>
    <w:rPr>
      <w:szCs w:val="24"/>
    </w:rPr>
  </w:style>
  <w:style w:type="paragraph" w:styleId="14">
    <w:name w:val="Body Text 3"/>
    <w:basedOn w:val="1"/>
    <w:qFormat/>
    <w:uiPriority w:val="99"/>
    <w:pPr>
      <w:spacing w:after="120"/>
    </w:pPr>
    <w:rPr>
      <w:sz w:val="16"/>
      <w:szCs w:val="16"/>
    </w:rPr>
  </w:style>
  <w:style w:type="paragraph" w:styleId="15">
    <w:name w:val="Body Text Indent"/>
    <w:basedOn w:val="1"/>
    <w:qFormat/>
    <w:uiPriority w:val="99"/>
    <w:pPr>
      <w:spacing w:after="120"/>
      <w:ind w:left="420" w:leftChars="200"/>
    </w:pPr>
    <w:rPr>
      <w:szCs w:val="24"/>
    </w:rPr>
  </w:style>
  <w:style w:type="paragraph" w:styleId="16">
    <w:name w:val="List 2"/>
    <w:basedOn w:val="1"/>
    <w:qFormat/>
    <w:uiPriority w:val="0"/>
    <w:pPr>
      <w:ind w:left="100" w:leftChars="200" w:hanging="200" w:hangingChars="200"/>
    </w:pPr>
  </w:style>
  <w:style w:type="paragraph" w:styleId="17">
    <w:name w:val="Plain Text"/>
    <w:basedOn w:val="1"/>
    <w:qFormat/>
    <w:uiPriority w:val="0"/>
    <w:rPr>
      <w:rFonts w:ascii="宋体" w:hAnsi="Courier New"/>
      <w:szCs w:val="24"/>
    </w:rPr>
  </w:style>
  <w:style w:type="paragraph" w:styleId="18">
    <w:name w:val="Body Text Indent 2"/>
    <w:basedOn w:val="1"/>
    <w:unhideWhenUsed/>
    <w:qFormat/>
    <w:uiPriority w:val="99"/>
    <w:pPr>
      <w:spacing w:after="120" w:line="480" w:lineRule="auto"/>
      <w:ind w:left="420" w:leftChars="200"/>
    </w:pPr>
    <w:rPr>
      <w:szCs w:val="24"/>
    </w:rPr>
  </w:style>
  <w:style w:type="paragraph" w:styleId="19">
    <w:name w:val="footer"/>
    <w:basedOn w:val="1"/>
    <w:unhideWhenUsed/>
    <w:qFormat/>
    <w:uiPriority w:val="99"/>
    <w:pPr>
      <w:tabs>
        <w:tab w:val="center" w:pos="4153"/>
        <w:tab w:val="right" w:pos="8306"/>
      </w:tabs>
      <w:snapToGrid w:val="0"/>
      <w:jc w:val="left"/>
    </w:pPr>
    <w:rPr>
      <w:sz w:val="18"/>
      <w:szCs w:val="24"/>
    </w:rPr>
  </w:style>
  <w:style w:type="paragraph" w:styleId="2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footnote text"/>
    <w:basedOn w:val="1"/>
    <w:qFormat/>
    <w:uiPriority w:val="99"/>
    <w:pPr>
      <w:snapToGrid w:val="0"/>
    </w:pPr>
    <w:rPr>
      <w:sz w:val="18"/>
      <w:szCs w:val="18"/>
    </w:rPr>
  </w:style>
  <w:style w:type="paragraph" w:styleId="22">
    <w:name w:val="Body Text Indent 3"/>
    <w:basedOn w:val="1"/>
    <w:unhideWhenUsed/>
    <w:qFormat/>
    <w:uiPriority w:val="0"/>
    <w:pPr>
      <w:spacing w:line="360" w:lineRule="auto"/>
      <w:ind w:firstLine="420"/>
    </w:pPr>
    <w:rPr>
      <w:rFonts w:ascii="宋体"/>
      <w:szCs w:val="24"/>
    </w:rPr>
  </w:style>
  <w:style w:type="paragraph" w:styleId="23">
    <w:name w:val="index 1"/>
    <w:basedOn w:val="1"/>
    <w:next w:val="1"/>
    <w:unhideWhenUsed/>
    <w:qFormat/>
    <w:uiPriority w:val="99"/>
    <w:pPr>
      <w:spacing w:line="200" w:lineRule="atLeast"/>
      <w:jc w:val="center"/>
    </w:pPr>
    <w:rPr>
      <w:rFonts w:ascii="宋体" w:hAnsi="宋体"/>
    </w:rPr>
  </w:style>
  <w:style w:type="paragraph" w:styleId="24">
    <w:name w:val="Body Text First Indent 2"/>
    <w:basedOn w:val="15"/>
    <w:unhideWhenUsed/>
    <w:qFormat/>
    <w:uiPriority w:val="99"/>
    <w:pPr>
      <w:spacing w:after="120"/>
      <w:ind w:left="420" w:leftChars="200" w:firstLine="420" w:firstLineChars="200"/>
    </w:pPr>
    <w:rPr>
      <w:sz w:val="21"/>
      <w:szCs w:val="24"/>
    </w:rPr>
  </w:style>
  <w:style w:type="table" w:styleId="26">
    <w:name w:val="Table Grid"/>
    <w:basedOn w:val="25"/>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page number"/>
    <w:basedOn w:val="27"/>
    <w:qFormat/>
    <w:uiPriority w:val="0"/>
  </w:style>
  <w:style w:type="character" w:styleId="29">
    <w:name w:val="Hyperlink"/>
    <w:basedOn w:val="27"/>
    <w:qFormat/>
    <w:uiPriority w:val="0"/>
    <w:rPr>
      <w:color w:val="0000FF"/>
      <w:u w:val="single"/>
    </w:rPr>
  </w:style>
  <w:style w:type="paragraph" w:customStyle="1" w:styleId="30">
    <w:name w:val="正文缩进1"/>
    <w:basedOn w:val="1"/>
    <w:next w:val="1"/>
    <w:qFormat/>
    <w:uiPriority w:val="0"/>
    <w:pPr>
      <w:ind w:firstLine="420"/>
    </w:pPr>
    <w:rPr>
      <w:rFonts w:ascii="Times New Roman" w:hAnsi="Times New Roman" w:eastAsia="宋体" w:cs="Times New Roman"/>
      <w:sz w:val="24"/>
      <w:szCs w:val="20"/>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表正文"/>
    <w:basedOn w:val="1"/>
    <w:next w:val="1"/>
    <w:qFormat/>
    <w:uiPriority w:val="0"/>
    <w:rPr>
      <w:rFonts w:ascii="宋体" w:hAnsi="Courier New"/>
    </w:rPr>
  </w:style>
  <w:style w:type="paragraph" w:customStyle="1" w:styleId="33">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34">
    <w:name w:val="ca-2"/>
    <w:basedOn w:val="27"/>
    <w:qFormat/>
    <w:uiPriority w:val="0"/>
  </w:style>
  <w:style w:type="character" w:customStyle="1" w:styleId="35">
    <w:name w:val="16"/>
    <w:basedOn w:val="27"/>
    <w:qFormat/>
    <w:uiPriority w:val="0"/>
    <w:rPr>
      <w:rFonts w:hint="default" w:ascii="Times New Roman" w:hAnsi="Times New Roman" w:cs="Times New Roman"/>
    </w:rPr>
  </w:style>
  <w:style w:type="paragraph" w:styleId="36">
    <w:name w:val="List Paragraph"/>
    <w:basedOn w:val="1"/>
    <w:qFormat/>
    <w:uiPriority w:val="34"/>
    <w:pPr>
      <w:ind w:firstLine="420" w:firstLineChars="200"/>
    </w:pPr>
  </w:style>
  <w:style w:type="paragraph" w:customStyle="1" w:styleId="37">
    <w:name w:val="Table Heading"/>
    <w:basedOn w:val="38"/>
    <w:qFormat/>
    <w:uiPriority w:val="0"/>
    <w:pPr>
      <w:jc w:val="center"/>
    </w:pPr>
    <w:rPr>
      <w:b/>
      <w:bCs/>
    </w:rPr>
  </w:style>
  <w:style w:type="paragraph" w:customStyle="1" w:styleId="38">
    <w:name w:val="Table Contents"/>
    <w:basedOn w:val="1"/>
    <w:qFormat/>
    <w:uiPriority w:val="0"/>
    <w:pPr>
      <w:suppressLineNumbers/>
    </w:pPr>
  </w:style>
  <w:style w:type="paragraph" w:customStyle="1" w:styleId="39">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40">
    <w:name w:val="Font Style17"/>
    <w:qFormat/>
    <w:uiPriority w:val="0"/>
    <w:rPr>
      <w:rFonts w:ascii="黑体" w:eastAsia="黑体" w:cs="黑体"/>
      <w:sz w:val="28"/>
      <w:szCs w:val="28"/>
    </w:rPr>
  </w:style>
  <w:style w:type="paragraph" w:customStyle="1" w:styleId="41">
    <w:name w:val="Table Text"/>
    <w:basedOn w:val="1"/>
    <w:semiHidden/>
    <w:qFormat/>
    <w:uiPriority w:val="0"/>
    <w:rPr>
      <w:rFonts w:ascii="宋体" w:hAnsi="宋体" w:eastAsia="宋体" w:cs="宋体"/>
      <w:sz w:val="18"/>
      <w:szCs w:val="18"/>
      <w:lang w:val="en-US" w:eastAsia="en-US" w:bidi="ar-SA"/>
    </w:rPr>
  </w:style>
  <w:style w:type="paragraph" w:customStyle="1" w:styleId="42">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
    <w:name w:val="null3"/>
    <w:hidden/>
    <w:qFormat/>
    <w:uiPriority w:val="0"/>
    <w:rPr>
      <w:rFonts w:hint="eastAsia" w:asciiTheme="minorHAnsi" w:hAnsiTheme="minorHAnsi" w:eastAsiaTheme="minorEastAsia" w:cstheme="minorBidi"/>
      <w:lang w:val="en-US" w:eastAsia="zh-Hans"/>
    </w:rPr>
  </w:style>
  <w:style w:type="paragraph" w:customStyle="1" w:styleId="44">
    <w:name w:val="Table Paragraph"/>
    <w:basedOn w:val="1"/>
    <w:qFormat/>
    <w:uiPriority w:val="1"/>
    <w:pPr>
      <w:widowControl w:val="0"/>
      <w:autoSpaceDE w:val="0"/>
      <w:autoSpaceDN w:val="0"/>
    </w:pPr>
    <w:rPr>
      <w:rFonts w:ascii="宋体" w:hAnsi="宋体" w:cs="宋体"/>
      <w:sz w:val="22"/>
      <w:szCs w:val="22"/>
      <w:lang w:val="zh-CN" w:bidi="zh-CN"/>
    </w:rPr>
  </w:style>
  <w:style w:type="paragraph" w:customStyle="1" w:styleId="45">
    <w:name w:val="_Style 3"/>
    <w:basedOn w:val="1"/>
    <w:qFormat/>
    <w:uiPriority w:val="0"/>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36315</Words>
  <Characters>38865</Characters>
  <Lines>0</Lines>
  <Paragraphs>0</Paragraphs>
  <TotalTime>2</TotalTime>
  <ScaleCrop>false</ScaleCrop>
  <LinksUpToDate>false</LinksUpToDate>
  <CharactersWithSpaces>40766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2024-12-24T07:02:00Z</dcterms:created>
  <dc:creator>MEEFOND</dc:creator>
  <cp:lastModifiedBy>胡美欢</cp:lastModifiedBy>
  <cp:lastPrinted>2025-04-24T01:21:00Z</cp:lastPrinted>
  <dcterms:modified xsi:type="dcterms:W3CDTF">2025-07-31T08:30:33Z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03EAC1C564A54FC3A6480858819AB817</vt:lpwstr>
  </property>
  <property fmtid="{D5CDD505-2E9C-101B-9397-08002B2CF9AE}" pid="4" name="KSOTemplateDocerSaveRecord">
    <vt:lpwstr>eyJoZGlkIjoiYTA4NmQ1MzI0MDBjODU0MWFjYzAwMDg5YzQ5YTYwMjYiLCJ1c2VySWQiOiI0OTUzODgyNzIifQ==</vt:lpwstr>
  </property>
</Properties>
</file>