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lang w:eastAsia="zh-CN"/>
        </w:rPr>
      </w:pPr>
      <w:r>
        <w:rPr>
          <w:rFonts w:hint="eastAsia" w:ascii="仿宋" w:hAnsi="仿宋" w:eastAsia="仿宋" w:cs="仿宋"/>
          <w:b/>
          <w:bCs/>
          <w:sz w:val="44"/>
          <w:szCs w:val="44"/>
          <w:highlight w:val="none"/>
          <w:shd w:val="clear" w:color="auto" w:fill="FFFFFF"/>
          <w:lang w:eastAsia="zh-CN"/>
        </w:rPr>
        <w:t>歌手大赛启动仪式场地租赁、搭建及执行</w:t>
      </w:r>
    </w:p>
    <w:p>
      <w:pPr>
        <w:spacing w:line="276" w:lineRule="auto"/>
        <w:jc w:val="center"/>
        <w:rPr>
          <w:rFonts w:hint="eastAsia" w:ascii="仿宋" w:hAnsi="仿宋" w:eastAsia="仿宋" w:cs="仿宋"/>
          <w:b/>
          <w:bCs/>
          <w:sz w:val="44"/>
          <w:szCs w:val="44"/>
          <w:highlight w:val="none"/>
          <w:shd w:val="clear" w:color="auto" w:fill="FFFFFF"/>
          <w:lang w:eastAsia="zh-CN"/>
        </w:rPr>
      </w:pPr>
      <w:r>
        <w:rPr>
          <w:rFonts w:hint="eastAsia" w:ascii="仿宋" w:hAnsi="仿宋" w:eastAsia="仿宋" w:cs="仿宋"/>
          <w:b/>
          <w:bCs/>
          <w:sz w:val="44"/>
          <w:szCs w:val="44"/>
          <w:highlight w:val="none"/>
          <w:shd w:val="clear" w:color="auto" w:fill="FFFFFF"/>
          <w:lang w:eastAsia="zh-CN"/>
        </w:rPr>
        <w:t>服务</w:t>
      </w: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歌手大赛启动仪式场地租赁、搭建及执行服务</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1"/>
        <w:tblW w:w="10705" w:type="dxa"/>
        <w:tblInd w:w="-1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705"/>
        <w:gridCol w:w="1425"/>
        <w:gridCol w:w="4260"/>
        <w:gridCol w:w="930"/>
        <w:gridCol w:w="982"/>
        <w:gridCol w:w="1104"/>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项目类别</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 明细</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具体内容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活动展板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背景</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单面，桁架+黑底灯布，侧面，（0.4+3+0.4）m*2.4m*2组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19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背板射灯</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白光，功率60w一个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6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签到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背景板</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单面，桁架+黑底灯布，侧面，（0.4+3+0.4）m*2.4m*1组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背板射灯</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白光，功率60w一个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主舞台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LED地台支撑</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标准钢木结构舞台3m*0.6m*2组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摄影地台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钢木结构1.2m*1.2m*0.6m,包地毯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舞台造型</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木质结构裱车贴画面3m*1m*3组，含仿真稻穗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发光字1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亚克力发光字一套，长3m*高0.8m，亚克力材质，含户外变压器电源，不少于12个字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发光字2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亚克力发光字一套，长2.5m*高0.8m，亚克力材质，含户外变压器电源，不少于8个字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拱门</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5m长*4m高*0.4m厚，钢木结构裱车贴画面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LED大屏</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户外左右LED，P3高亮屏4.5m*2.5m*2组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LED视频控台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S3+无缝切换器（1名控台人员），含活动彩排</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激光启动柱</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手按发光启动柱</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8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授牌牌匾</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A3金箔奖牌，木质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演讲台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演讲台+KT板包围包装，0.6m*1mH</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灯光设备</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灯光设备：光束灯、面光灯、线缆、2台烟雾机、1台灯光控台；满足不少于1000平方米场地规模使用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灯光师一名，含彩排</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灯光及大屏架子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TRUSS铝架40*40cm，2组8米长，4.米高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音响设备</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主舞台音响设备：线阵主音、线阵超低、补舞台监听、电脑、数字音控台、均衡器、线缆、立麦架、4支无线麦;专业歌唱表演设备，满足不少于1000平方米场地规模使用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音响师一名，含彩排</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嘉宾坐席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单人沙发配茶几</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白色方形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椅背胶贴15cm*10cm+台卡A4三折，不少于100份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瓜果满园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背板</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桁架+KT板异型造型，4m*2.5m*双层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格栅造型</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异型铁艺结构4m*2.5m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装饰摆件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草垛水果等，草垛不少于4个，水果数量不少于40斤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主题字</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铁架支撑，亚克力背撑5cm泡沫字,1.6m*1.2m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乡村K吧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拱门</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木结构圆形拱门3m*2.5m*2组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主题字</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铁架支撑，亚克力背撑5cm泡沫字,1.6m*0.6m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乡村乐吧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立体字</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立体字5cm泡沫字和人物造型，KT板约2m*1m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椰子树装饰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灯串</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发光灯串，不少于300m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设计费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包括但不限于舞台效果、瓜果满园区域、乡村K吧区域、活动周边氛围布置及指引牌等物料画面设计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气氛道具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手举牌</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KT板40cm*20cm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海绵荧光棒</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48cm*4cm直径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手掌拍</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28cm加厚手拍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150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氛围及指引</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指示牌</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A3（420*297mm），KT板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6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易拉宝</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80cm宽×200cm高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7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7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音乐专辑</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压制母盘，CD胶印、压盘，封面，U盘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05"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二维码展架</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丽屏展架0.8m*1.8m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705" w:type="dxa"/>
            <w:vMerge w:val="restart"/>
            <w:tcBorders>
              <w:top w:val="single" w:color="000000" w:sz="4" w:space="0"/>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其他</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遮雨道具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透明雨伞150把，透明雨衣150套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更衣室</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3m*3m普通帐篷2个，每个帐篷试衣镜各1个，配照明</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礼品袋</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定制礼品袋21cm*11cm*27cm，不少于150个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物料运输</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物料往返运及搬运费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安装、拆除</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安装、撤场人工（不少于15人次）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主持人</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省台主持人1位，包含妆造服装、交通、彩排以及正式活动等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茶歇服务</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白天鹅宾馆茶歇，按80元/位计算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化妆师</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为主持人、演出嘉宾化妆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3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矿泉水</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箱</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工作人员餐饮，按34元/餐次计算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餐次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49</w:t>
            </w:r>
          </w:p>
        </w:tc>
        <w:tc>
          <w:tcPr>
            <w:tcW w:w="70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户外大篷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欧式大篷：面积不少于500平方米（包含舞台和观众区）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705" w:type="dxa"/>
            <w:vMerge w:val="continue"/>
            <w:tcBorders>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移动空调扇</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8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51</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场地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场地租赁</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需使用白天鹅宾馆户外花园2天时间，可容纳300人，700平方米草地，含桌椅、彩排、服务员；提供一楼和二楼休息室使用（不少于半天时间）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75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合计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default" w:ascii="Tahoma" w:hAnsi="Tahoma" w:eastAsia="Tahoma" w:cs="Tahoma"/>
                <w:i w:val="0"/>
                <w:iCs w:val="0"/>
                <w:color w:val="000000"/>
                <w:kern w:val="0"/>
                <w:sz w:val="22"/>
                <w:szCs w:val="22"/>
                <w:u w:val="none"/>
                <w:lang w:val="en-US" w:eastAsia="zh-CN" w:bidi="ar"/>
              </w:rPr>
              <w:t xml:space="preserve"> </w:t>
            </w:r>
          </w:p>
        </w:tc>
      </w:tr>
    </w:tbl>
    <w:p>
      <w:pPr>
        <w:pStyle w:val="6"/>
        <w:spacing w:line="570" w:lineRule="exact"/>
        <w:ind w:firstLine="562" w:firstLineChars="200"/>
        <w:jc w:val="left"/>
        <w:rPr>
          <w:rFonts w:hint="eastAsia" w:ascii="仿宋" w:hAnsi="仿宋" w:eastAsia="仿宋" w:cs="仿宋"/>
          <w:b/>
          <w:color w:val="000000"/>
          <w:kern w:val="0"/>
          <w:sz w:val="28"/>
          <w:szCs w:val="28"/>
          <w:highlight w:val="none"/>
        </w:rPr>
      </w:pPr>
    </w:p>
    <w:p>
      <w:pPr>
        <w:pStyle w:val="6"/>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475472676"/>
      <w:bookmarkStart w:id="3" w:name="_Toc1651903"/>
      <w:bookmarkStart w:id="4"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年以来同类项目业绩</w:t>
      </w:r>
      <w:r>
        <w:rPr>
          <w:rFonts w:hint="eastAsia" w:ascii="仿宋_GB2312" w:hAnsi="仿宋_GB2312" w:eastAsia="仿宋_GB2312" w:cs="仿宋_GB2312"/>
          <w:sz w:val="28"/>
          <w:szCs w:val="28"/>
          <w:highlight w:val="none"/>
          <w:shd w:val="clear" w:color="auto" w:fill="FFFFFF"/>
        </w:rPr>
        <w:t>（</w:t>
      </w:r>
      <w:r>
        <w:rPr>
          <w:rFonts w:hint="eastAsia" w:ascii="仿宋_GB2312" w:hAnsi="仿宋_GB2312" w:eastAsia="仿宋_GB2312" w:cs="仿宋_GB2312"/>
          <w:sz w:val="28"/>
          <w:szCs w:val="28"/>
          <w:highlight w:val="none"/>
          <w:shd w:val="clear" w:color="auto" w:fill="FFFFFF"/>
          <w:lang w:val="en-US" w:eastAsia="zh-CN"/>
        </w:rPr>
        <w:t>搭建服务</w:t>
      </w:r>
      <w:r>
        <w:rPr>
          <w:rFonts w:hint="eastAsia" w:ascii="仿宋_GB2312" w:hAnsi="仿宋_GB2312" w:eastAsia="仿宋_GB2312" w:cs="仿宋_GB2312"/>
          <w:sz w:val="28"/>
          <w:szCs w:val="28"/>
          <w:highlight w:val="none"/>
          <w:shd w:val="clear" w:color="auto" w:fill="FFFFFF"/>
        </w:rPr>
        <w:t>）</w:t>
      </w:r>
      <w:r>
        <w:rPr>
          <w:rFonts w:hint="eastAsia" w:ascii="仿宋" w:hAnsi="仿宋" w:eastAsia="仿宋" w:cs="仿宋"/>
          <w:color w:val="000000"/>
          <w:sz w:val="28"/>
          <w:szCs w:val="28"/>
          <w:highlight w:val="none"/>
        </w:rPr>
        <w:t>两项（附合同关键页）。</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南方农村报社</w:t>
      </w:r>
      <w:r>
        <w:rPr>
          <w:rFonts w:hint="eastAsia" w:ascii="仿宋" w:hAnsi="仿宋" w:eastAsia="仿宋" w:cs="仿宋"/>
          <w:b/>
          <w:color w:val="000000"/>
          <w:sz w:val="28"/>
          <w:szCs w:val="28"/>
          <w:highlight w:val="none"/>
        </w:rPr>
        <w:t>：</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6"/>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8"/>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7"/>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000000"/>
          <w:sz w:val="28"/>
          <w:szCs w:val="28"/>
          <w:highlight w:val="none"/>
          <w:lang w:eastAsia="zh-CN"/>
        </w:rPr>
        <w:t>歌手大赛启动仪式场地租赁、搭建及执行服务</w:t>
      </w:r>
      <w:r>
        <w:rPr>
          <w:rFonts w:hint="eastAsia" w:ascii="仿宋" w:hAnsi="仿宋" w:eastAsia="仿宋" w:cs="仿宋"/>
          <w:bCs/>
          <w:color w:val="000000"/>
          <w:sz w:val="28"/>
          <w:szCs w:val="28"/>
          <w:highlight w:val="none"/>
        </w:rPr>
        <w:t>】的【洽谈、签约、项目服务联络等】事宜。</w:t>
      </w:r>
    </w:p>
    <w:p>
      <w:pPr>
        <w:pStyle w:val="7"/>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7"/>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7"/>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7"/>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7"/>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7"/>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7"/>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7"/>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7"/>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7"/>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7"/>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3"/>
        <w:rPr>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0"/>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0"/>
              <w:ind w:firstLine="0"/>
              <w:jc w:val="center"/>
              <w:rPr>
                <w:rFonts w:ascii="仿宋" w:hAnsi="仿宋" w:eastAsia="仿宋" w:cs="仿宋"/>
                <w:sz w:val="28"/>
                <w:szCs w:val="28"/>
                <w:highlight w:val="none"/>
              </w:rPr>
            </w:pPr>
          </w:p>
        </w:tc>
        <w:tc>
          <w:tcPr>
            <w:tcW w:w="2200" w:type="dxa"/>
          </w:tcPr>
          <w:p>
            <w:pPr>
              <w:pStyle w:val="10"/>
              <w:ind w:firstLine="0"/>
              <w:jc w:val="center"/>
              <w:rPr>
                <w:rFonts w:ascii="仿宋" w:hAnsi="仿宋" w:eastAsia="仿宋" w:cs="仿宋"/>
                <w:sz w:val="28"/>
                <w:szCs w:val="28"/>
                <w:highlight w:val="none"/>
              </w:rPr>
            </w:pPr>
          </w:p>
        </w:tc>
        <w:tc>
          <w:tcPr>
            <w:tcW w:w="3350" w:type="dxa"/>
          </w:tcPr>
          <w:p>
            <w:pPr>
              <w:pStyle w:val="10"/>
              <w:ind w:firstLine="0"/>
              <w:jc w:val="center"/>
              <w:rPr>
                <w:rFonts w:ascii="仿宋" w:hAnsi="仿宋" w:eastAsia="仿宋" w:cs="仿宋"/>
                <w:sz w:val="28"/>
                <w:szCs w:val="28"/>
                <w:highlight w:val="none"/>
              </w:rPr>
            </w:pPr>
          </w:p>
        </w:tc>
      </w:tr>
    </w:tbl>
    <w:p>
      <w:pPr>
        <w:pStyle w:val="9"/>
        <w:spacing w:after="200" w:line="276" w:lineRule="auto"/>
        <w:ind w:firstLine="0" w:firstLineChars="0"/>
        <w:jc w:val="left"/>
        <w:rPr>
          <w:rFonts w:ascii="仿宋" w:hAnsi="仿宋" w:eastAsia="仿宋" w:cs="仿宋"/>
          <w:b/>
          <w:kern w:val="0"/>
          <w:sz w:val="28"/>
          <w:szCs w:val="28"/>
          <w:highlight w:val="none"/>
        </w:rPr>
      </w:pPr>
    </w:p>
    <w:p>
      <w:pPr>
        <w:pStyle w:val="9"/>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w:t>
      </w:r>
      <w:bookmarkStart w:id="5" w:name="_GoBack"/>
      <w:bookmarkEnd w:id="5"/>
      <w:r>
        <w:rPr>
          <w:rFonts w:hint="eastAsia" w:ascii="仿宋" w:hAnsi="仿宋" w:eastAsia="仿宋" w:cs="仿宋"/>
          <w:b/>
          <w:kern w:val="0"/>
          <w:sz w:val="28"/>
          <w:szCs w:val="28"/>
          <w:highlight w:val="none"/>
        </w:rPr>
        <w:t>材料】</w:t>
      </w:r>
    </w:p>
    <w:p>
      <w:pPr>
        <w:rPr>
          <w:rFonts w:ascii="宋体" w:hAnsi="宋体" w:cs="宋体"/>
          <w:b/>
          <w:bCs/>
          <w:sz w:val="24"/>
          <w:highlight w:val="none"/>
        </w:rPr>
      </w:pPr>
    </w:p>
    <w:p>
      <w:pPr>
        <w:pStyle w:val="9"/>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cols w:space="425" w:num="1"/>
          <w:docGrid w:type="lines" w:linePitch="312" w:charSpace="0"/>
        </w:sectPr>
      </w:pPr>
    </w:p>
    <w:p>
      <w:pPr>
        <w:pStyle w:val="9"/>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pStyle w:val="3"/>
        <w:rPr>
          <w:highlight w:val="none"/>
        </w:rPr>
        <w:sectPr>
          <w:pgSz w:w="11906" w:h="16838"/>
          <w:pgMar w:top="1440" w:right="1800" w:bottom="1440" w:left="1800" w:header="851" w:footer="992" w:gutter="0"/>
          <w:cols w:space="425" w:num="1"/>
          <w:docGrid w:type="lines" w:linePitch="312" w:charSpace="0"/>
        </w:sectPr>
      </w:pPr>
    </w:p>
    <w:p>
      <w:pPr>
        <w:pStyle w:val="9"/>
        <w:spacing w:after="0"/>
        <w:ind w:firstLine="0" w:firstLineChars="0"/>
        <w:jc w:val="cente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fd6bc94f-cdfc-4053-8cf3-6e911ad833f3"/>
  </w:docVars>
  <w:rsids>
    <w:rsidRoot w:val="1D2D7ADF"/>
    <w:rsid w:val="0136732D"/>
    <w:rsid w:val="0B9A5D00"/>
    <w:rsid w:val="1D2D7ADF"/>
    <w:rsid w:val="22C602F7"/>
    <w:rsid w:val="4BB072A9"/>
    <w:rsid w:val="4C1E7CDB"/>
    <w:rsid w:val="4DB4444B"/>
    <w:rsid w:val="6071094E"/>
    <w:rsid w:val="72457E9C"/>
    <w:rsid w:val="7B7D06A6"/>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33"/>
      <w:szCs w:val="33"/>
    </w:r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5">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9">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4"/>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2667</Words>
  <Characters>3076</Characters>
  <Lines>0</Lines>
  <Paragraphs>0</Paragraphs>
  <TotalTime>0</TotalTime>
  <ScaleCrop>false</ScaleCrop>
  <LinksUpToDate>false</LinksUpToDate>
  <CharactersWithSpaces>3335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2024-10-31T09:04:00Z</dcterms:created>
  <dc:creator>玉婷</dc:creator>
  <cp:lastModifiedBy>玉婷</cp:lastModifiedBy>
  <dcterms:modified xsi:type="dcterms:W3CDTF">2025-05-22T02:50:22Z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9C534B5FA04B45B18C0903F28FD06E5F</vt:lpwstr>
  </property>
  <property fmtid="{D5CDD505-2E9C-101B-9397-08002B2CF9AE}" pid="4" name="KSOTemplateDocerSaveRecord">
    <vt:lpwstr>eyJoZGlkIjoiMjYwYzNmOWI3YjYzZjg4ZDRiOWU0MzA2MjBiZjQ3NWIiLCJ1c2VySWQiOiIyNDkwNDUzMTQifQ==</vt:lpwstr>
  </property>
</Properties>
</file>