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cs="宋体"/>
          <w:b/>
          <w:sz w:val="32"/>
          <w:szCs w:val="32"/>
        </w:rPr>
      </w:pPr>
      <w:bookmarkStart w:id="0" w:name="_GoBack"/>
      <w:bookmarkEnd w:id="0"/>
      <w:r>
        <w:rPr>
          <w:rFonts w:hint="eastAsia" w:ascii="宋体" w:hAnsi="宋体" w:cs="宋体"/>
          <w:b/>
          <w:sz w:val="32"/>
          <w:szCs w:val="32"/>
        </w:rPr>
        <w:t>附件2</w:t>
      </w:r>
    </w:p>
    <w:p>
      <w:pPr>
        <w:spacing w:line="360" w:lineRule="auto"/>
        <w:jc w:val="center"/>
        <w:rPr>
          <w:rFonts w:hint="eastAsia" w:ascii="方正小标宋简体" w:hAnsi="方正小标宋简体" w:eastAsia="方正小标宋简体" w:cs="方正小标宋简体"/>
          <w:b/>
          <w:color w:val="000000" w:themeColor="text1"/>
          <w:sz w:val="30"/>
          <w:szCs w:val="30"/>
          <w14:textFill>
            <w14:solidFill>
              <w14:schemeClr w14:val="tx1"/>
            </w14:solidFill>
          </w14:textFill>
        </w:rPr>
      </w:pPr>
      <w:r>
        <w:rPr>
          <w:rFonts w:hint="eastAsia" w:ascii="方正小标宋简体" w:hAnsi="方正小标宋简体" w:eastAsia="方正小标宋简体" w:cs="方正小标宋简体"/>
          <w:b/>
          <w:color w:val="000000" w:themeColor="text1"/>
          <w:sz w:val="30"/>
          <w:szCs w:val="30"/>
          <w14:textFill>
            <w14:solidFill>
              <w14:schemeClr w14:val="tx1"/>
            </w14:solidFill>
          </w14:textFill>
        </w:rPr>
        <w:t>评审标准</w:t>
      </w:r>
    </w:p>
    <w:p>
      <w:pPr>
        <w:pStyle w:val="2"/>
        <w:ind w:firstLine="0" w:firstLineChars="0"/>
      </w:pPr>
    </w:p>
    <w:tbl>
      <w:tblPr>
        <w:tblStyle w:val="7"/>
        <w:tblpPr w:leftFromText="180" w:rightFromText="180" w:vertAnchor="text" w:horzAnchor="page" w:tblpXSpec="center" w:tblpY="146"/>
        <w:tblOverlap w:val="never"/>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1573"/>
        <w:gridCol w:w="5094"/>
        <w:gridCol w:w="1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86" w:type="dxa"/>
            <w:vAlign w:val="center"/>
          </w:tcPr>
          <w:p>
            <w:pPr>
              <w:spacing w:line="380" w:lineRule="exact"/>
              <w:jc w:val="center"/>
              <w:rPr>
                <w:b/>
                <w:szCs w:val="21"/>
              </w:rPr>
            </w:pPr>
            <w:r>
              <w:rPr>
                <w:rFonts w:hint="eastAsia"/>
                <w:b/>
                <w:szCs w:val="21"/>
              </w:rPr>
              <w:t>类别</w:t>
            </w:r>
          </w:p>
        </w:tc>
        <w:tc>
          <w:tcPr>
            <w:tcW w:w="1573" w:type="dxa"/>
            <w:tcBorders>
              <w:bottom w:val="single" w:color="auto" w:sz="4" w:space="0"/>
            </w:tcBorders>
            <w:vAlign w:val="center"/>
          </w:tcPr>
          <w:p>
            <w:pPr>
              <w:spacing w:line="380" w:lineRule="exact"/>
              <w:jc w:val="center"/>
              <w:rPr>
                <w:b/>
                <w:szCs w:val="21"/>
              </w:rPr>
            </w:pPr>
            <w:r>
              <w:rPr>
                <w:b/>
                <w:szCs w:val="21"/>
              </w:rPr>
              <w:t>评分内容</w:t>
            </w:r>
          </w:p>
        </w:tc>
        <w:tc>
          <w:tcPr>
            <w:tcW w:w="5094" w:type="dxa"/>
            <w:tcBorders>
              <w:bottom w:val="single" w:color="auto" w:sz="4" w:space="0"/>
            </w:tcBorders>
            <w:vAlign w:val="center"/>
          </w:tcPr>
          <w:p>
            <w:pPr>
              <w:spacing w:line="380" w:lineRule="exact"/>
              <w:jc w:val="center"/>
              <w:rPr>
                <w:b/>
                <w:szCs w:val="21"/>
              </w:rPr>
            </w:pPr>
            <w:r>
              <w:rPr>
                <w:b/>
                <w:szCs w:val="21"/>
              </w:rPr>
              <w:t>评分标准</w:t>
            </w:r>
          </w:p>
        </w:tc>
        <w:tc>
          <w:tcPr>
            <w:tcW w:w="1442" w:type="dxa"/>
            <w:vAlign w:val="center"/>
          </w:tcPr>
          <w:p>
            <w:pPr>
              <w:spacing w:line="340" w:lineRule="exact"/>
              <w:jc w:val="center"/>
              <w:rPr>
                <w:b/>
                <w:szCs w:val="21"/>
              </w:rPr>
            </w:pPr>
            <w:r>
              <w:rPr>
                <w:b/>
                <w:szCs w:val="21"/>
              </w:rPr>
              <w:t>满分值（分）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086" w:type="dxa"/>
            <w:vMerge w:val="restart"/>
            <w:vAlign w:val="center"/>
          </w:tcPr>
          <w:p>
            <w:pPr>
              <w:spacing w:line="340" w:lineRule="exact"/>
              <w:jc w:val="center"/>
              <w:rPr>
                <w:szCs w:val="21"/>
              </w:rPr>
            </w:pPr>
            <w:r>
              <w:rPr>
                <w:rFonts w:hint="eastAsia"/>
                <w:szCs w:val="21"/>
              </w:rPr>
              <w:t>商务部分</w:t>
            </w:r>
          </w:p>
        </w:tc>
        <w:tc>
          <w:tcPr>
            <w:tcW w:w="1573" w:type="dxa"/>
            <w:vAlign w:val="center"/>
          </w:tcPr>
          <w:p>
            <w:pPr>
              <w:spacing w:line="340" w:lineRule="exact"/>
              <w:jc w:val="center"/>
              <w:rPr>
                <w:szCs w:val="21"/>
              </w:rPr>
            </w:pPr>
            <w:r>
              <w:rPr>
                <w:rFonts w:hint="eastAsia"/>
                <w:szCs w:val="21"/>
              </w:rPr>
              <w:t>同类型项目案例</w:t>
            </w:r>
          </w:p>
        </w:tc>
        <w:tc>
          <w:tcPr>
            <w:tcW w:w="5094" w:type="dxa"/>
            <w:tcBorders>
              <w:bottom w:val="single" w:color="auto" w:sz="4" w:space="0"/>
            </w:tcBorders>
            <w:vAlign w:val="center"/>
          </w:tcPr>
          <w:p>
            <w:pPr>
              <w:spacing w:line="340" w:lineRule="exact"/>
              <w:jc w:val="left"/>
              <w:rPr>
                <w:szCs w:val="21"/>
              </w:rPr>
            </w:pPr>
            <w:r>
              <w:rPr>
                <w:rFonts w:hint="eastAsia"/>
                <w:szCs w:val="21"/>
              </w:rPr>
              <w:t>供应商应具备有文化主题内容编写的专业能力；能够提供同类型政经历史文化等综合类主题公开出版物或与本次案例形式相似性较高的公开发表作品，提供1个得4分，最高得</w:t>
            </w:r>
            <w:r>
              <w:rPr>
                <w:szCs w:val="21"/>
              </w:rPr>
              <w:t>8</w:t>
            </w:r>
            <w:r>
              <w:rPr>
                <w:rFonts w:hint="eastAsia"/>
                <w:szCs w:val="21"/>
              </w:rPr>
              <w:t>分。</w:t>
            </w:r>
          </w:p>
          <w:p>
            <w:pPr>
              <w:spacing w:line="340" w:lineRule="exact"/>
              <w:jc w:val="left"/>
              <w:rPr>
                <w:szCs w:val="21"/>
              </w:rPr>
            </w:pPr>
            <w:r>
              <w:rPr>
                <w:rFonts w:hint="eastAsia"/>
                <w:szCs w:val="21"/>
              </w:rPr>
              <w:t>【</w:t>
            </w:r>
            <w:r>
              <w:rPr>
                <w:rFonts w:hint="eastAsia"/>
                <w:b/>
                <w:szCs w:val="21"/>
              </w:rPr>
              <w:t>需提供公开出版物关键页复印件或公开发表作品署名页复印件或其他证明材料，不提供不得分</w:t>
            </w:r>
            <w:r>
              <w:rPr>
                <w:rFonts w:hint="eastAsia"/>
                <w:szCs w:val="21"/>
              </w:rPr>
              <w:t>】</w:t>
            </w:r>
          </w:p>
        </w:tc>
        <w:tc>
          <w:tcPr>
            <w:tcW w:w="1442" w:type="dxa"/>
            <w:vAlign w:val="center"/>
          </w:tcPr>
          <w:p>
            <w:pPr>
              <w:spacing w:line="340" w:lineRule="exact"/>
              <w:jc w:val="center"/>
              <w:rPr>
                <w:rFonts w:ascii="宋体" w:hAnsi="宋体" w:cs="宋体"/>
                <w:szCs w:val="21"/>
              </w:rPr>
            </w:pPr>
            <w:r>
              <w:rPr>
                <w:rFonts w:ascii="宋体" w:hAnsi="宋体" w:cs="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086" w:type="dxa"/>
            <w:vMerge w:val="continue"/>
            <w:vAlign w:val="center"/>
          </w:tcPr>
          <w:p>
            <w:pPr>
              <w:spacing w:line="340" w:lineRule="exact"/>
              <w:jc w:val="center"/>
              <w:rPr>
                <w:szCs w:val="21"/>
              </w:rPr>
            </w:pPr>
          </w:p>
        </w:tc>
        <w:tc>
          <w:tcPr>
            <w:tcW w:w="1573" w:type="dxa"/>
            <w:vAlign w:val="center"/>
          </w:tcPr>
          <w:p>
            <w:pPr>
              <w:spacing w:line="340" w:lineRule="exact"/>
              <w:jc w:val="center"/>
              <w:rPr>
                <w:szCs w:val="21"/>
              </w:rPr>
            </w:pPr>
            <w:r>
              <w:rPr>
                <w:rFonts w:hint="eastAsia"/>
                <w:szCs w:val="21"/>
              </w:rPr>
              <w:t>项目团队成员情况</w:t>
            </w:r>
          </w:p>
        </w:tc>
        <w:tc>
          <w:tcPr>
            <w:tcW w:w="5094" w:type="dxa"/>
            <w:tcBorders>
              <w:bottom w:val="single" w:color="auto" w:sz="4" w:space="0"/>
            </w:tcBorders>
            <w:vAlign w:val="center"/>
          </w:tcPr>
          <w:p>
            <w:pPr>
              <w:spacing w:line="340" w:lineRule="exact"/>
              <w:jc w:val="left"/>
              <w:rPr>
                <w:szCs w:val="21"/>
              </w:rPr>
            </w:pPr>
            <w:r>
              <w:rPr>
                <w:rFonts w:hint="eastAsia"/>
                <w:szCs w:val="21"/>
              </w:rPr>
              <w:t>根据供应商提供的项目团队成员情况进行评审：供应商需提供项目执行的核心团队名单（包含但不限于项目总监、出版总监等）且均有3年以上从业经验（提供历年公开出版物或作品），可以提供至少2名成员本科学历证明，得5分，不满足不得分；每额外提供一人加3分，最高得14分。</w:t>
            </w:r>
          </w:p>
          <w:p>
            <w:pPr>
              <w:pStyle w:val="2"/>
              <w:ind w:firstLine="0" w:firstLineChars="0"/>
            </w:pPr>
            <w:r>
              <w:rPr>
                <w:rFonts w:hint="eastAsia"/>
              </w:rPr>
              <w:t>注:需按要求提供相关学历或作品关键页复印件，未按要求提供不得分。</w:t>
            </w:r>
          </w:p>
        </w:tc>
        <w:tc>
          <w:tcPr>
            <w:tcW w:w="1442" w:type="dxa"/>
            <w:vAlign w:val="center"/>
          </w:tcPr>
          <w:p>
            <w:pPr>
              <w:spacing w:line="340" w:lineRule="exact"/>
              <w:jc w:val="center"/>
              <w:rPr>
                <w:rFonts w:ascii="宋体" w:hAnsi="宋体" w:cs="宋体"/>
                <w:szCs w:val="21"/>
              </w:rPr>
            </w:pPr>
            <w:r>
              <w:rPr>
                <w:rFonts w:hint="eastAsia" w:ascii="宋体" w:hAnsi="宋体" w:cs="宋体"/>
                <w:szCs w:val="21"/>
              </w:rPr>
              <w:t>1</w:t>
            </w:r>
            <w:r>
              <w:rPr>
                <w:rFonts w:ascii="宋体" w:hAnsi="宋体" w:cs="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086" w:type="dxa"/>
            <w:vMerge w:val="continue"/>
            <w:vAlign w:val="center"/>
          </w:tcPr>
          <w:p>
            <w:pPr>
              <w:spacing w:line="340" w:lineRule="exact"/>
              <w:jc w:val="center"/>
              <w:rPr>
                <w:szCs w:val="21"/>
              </w:rPr>
            </w:pPr>
          </w:p>
        </w:tc>
        <w:tc>
          <w:tcPr>
            <w:tcW w:w="1573" w:type="dxa"/>
            <w:vAlign w:val="center"/>
          </w:tcPr>
          <w:p>
            <w:pPr>
              <w:spacing w:line="340" w:lineRule="exact"/>
              <w:jc w:val="center"/>
              <w:rPr>
                <w:szCs w:val="21"/>
              </w:rPr>
            </w:pPr>
            <w:r>
              <w:rPr>
                <w:rFonts w:hint="eastAsia"/>
                <w:szCs w:val="21"/>
              </w:rPr>
              <w:t>企业成立年限</w:t>
            </w:r>
          </w:p>
        </w:tc>
        <w:tc>
          <w:tcPr>
            <w:tcW w:w="5094" w:type="dxa"/>
            <w:tcBorders>
              <w:bottom w:val="single" w:color="auto" w:sz="4" w:space="0"/>
            </w:tcBorders>
            <w:vAlign w:val="center"/>
          </w:tcPr>
          <w:p>
            <w:pPr>
              <w:spacing w:line="340" w:lineRule="exact"/>
              <w:jc w:val="left"/>
              <w:rPr>
                <w:szCs w:val="21"/>
              </w:rPr>
            </w:pPr>
            <w:r>
              <w:rPr>
                <w:rFonts w:hint="eastAsia"/>
                <w:szCs w:val="21"/>
              </w:rPr>
              <w:t xml:space="preserve">供应商企业应成立至少三年，得3分；每超过1年加一分，最高得 </w:t>
            </w:r>
            <w:r>
              <w:rPr>
                <w:szCs w:val="21"/>
              </w:rPr>
              <w:t>8</w:t>
            </w:r>
            <w:r>
              <w:rPr>
                <w:rFonts w:hint="eastAsia"/>
                <w:szCs w:val="21"/>
              </w:rPr>
              <w:t xml:space="preserve"> 分。</w:t>
            </w:r>
          </w:p>
          <w:p>
            <w:pPr>
              <w:spacing w:line="340" w:lineRule="exact"/>
              <w:jc w:val="left"/>
              <w:rPr>
                <w:szCs w:val="21"/>
              </w:rPr>
            </w:pPr>
            <w:r>
              <w:rPr>
                <w:rFonts w:hint="eastAsia"/>
                <w:szCs w:val="21"/>
              </w:rPr>
              <w:t>注：需提供营业执照复印件</w:t>
            </w:r>
            <w:r>
              <w:rPr>
                <w:rFonts w:hint="eastAsia"/>
              </w:rPr>
              <w:t>，未按要求提供或未达到成立年限不得分。</w:t>
            </w:r>
          </w:p>
        </w:tc>
        <w:tc>
          <w:tcPr>
            <w:tcW w:w="1442" w:type="dxa"/>
            <w:vAlign w:val="center"/>
          </w:tcPr>
          <w:p>
            <w:pPr>
              <w:spacing w:line="340" w:lineRule="exact"/>
              <w:jc w:val="center"/>
              <w:rPr>
                <w:rFonts w:ascii="宋体" w:hAnsi="宋体" w:cs="宋体"/>
                <w:szCs w:val="21"/>
              </w:rPr>
            </w:pPr>
            <w:r>
              <w:rPr>
                <w:rFonts w:ascii="宋体" w:hAnsi="宋体" w:cs="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1086" w:type="dxa"/>
            <w:vMerge w:val="restart"/>
            <w:vAlign w:val="center"/>
          </w:tcPr>
          <w:p>
            <w:pPr>
              <w:spacing w:line="340" w:lineRule="exact"/>
              <w:jc w:val="center"/>
              <w:rPr>
                <w:szCs w:val="21"/>
              </w:rPr>
            </w:pPr>
            <w:r>
              <w:rPr>
                <w:rFonts w:hint="eastAsia"/>
                <w:szCs w:val="21"/>
              </w:rPr>
              <w:t>技术部分</w:t>
            </w:r>
          </w:p>
        </w:tc>
        <w:tc>
          <w:tcPr>
            <w:tcW w:w="1573" w:type="dxa"/>
            <w:vAlign w:val="center"/>
          </w:tcPr>
          <w:p>
            <w:pPr>
              <w:spacing w:line="360" w:lineRule="auto"/>
              <w:jc w:val="center"/>
              <w:rPr>
                <w:rFonts w:ascii="宋体" w:hAnsi="宋体" w:cs="宋体"/>
                <w:szCs w:val="21"/>
              </w:rPr>
            </w:pPr>
            <w:r>
              <w:rPr>
                <w:rFonts w:hint="eastAsia" w:ascii="宋体" w:hAnsi="宋体" w:cs="宋体"/>
                <w:szCs w:val="21"/>
              </w:rPr>
              <w:t>图书大纲方案</w:t>
            </w:r>
          </w:p>
        </w:tc>
        <w:tc>
          <w:tcPr>
            <w:tcW w:w="5094" w:type="dxa"/>
            <w:vAlign w:val="center"/>
          </w:tcPr>
          <w:p>
            <w:pPr>
              <w:pStyle w:val="12"/>
              <w:numPr>
                <w:ilvl w:val="0"/>
                <w:numId w:val="1"/>
              </w:numPr>
              <w:spacing w:line="340" w:lineRule="exact"/>
              <w:ind w:firstLineChars="0"/>
              <w:jc w:val="left"/>
            </w:pPr>
            <w:r>
              <w:rPr>
                <w:rFonts w:hint="eastAsia"/>
              </w:rPr>
              <w:t>符合本项目要求的图书语言风格，方案包含全书章节架构、图书核心逻辑等，内容详实，分点清晰，具有明确的贯穿全书的叙事主线和清晰的思路架构，得</w:t>
            </w:r>
            <w:r>
              <w:t>20</w:t>
            </w:r>
            <w:r>
              <w:rPr>
                <w:rFonts w:hint="eastAsia"/>
              </w:rPr>
              <w:t>分</w:t>
            </w:r>
          </w:p>
          <w:p>
            <w:pPr>
              <w:pStyle w:val="12"/>
              <w:numPr>
                <w:ilvl w:val="0"/>
                <w:numId w:val="1"/>
              </w:numPr>
              <w:spacing w:line="340" w:lineRule="exact"/>
              <w:ind w:firstLineChars="0"/>
              <w:jc w:val="left"/>
            </w:pPr>
            <w:r>
              <w:rPr>
                <w:rFonts w:hint="eastAsia"/>
              </w:rPr>
              <w:t>基本符合本项目要求的图书语言风格，方案包含全书章节架构、图书核心逻辑等，内容详实，分点清晰，但未有明确的叙事主线和思路架构，得</w:t>
            </w:r>
            <w:r>
              <w:t>15</w:t>
            </w:r>
            <w:r>
              <w:rPr>
                <w:rFonts w:hint="eastAsia"/>
              </w:rPr>
              <w:t>分。</w:t>
            </w:r>
          </w:p>
          <w:p>
            <w:pPr>
              <w:pStyle w:val="12"/>
              <w:numPr>
                <w:ilvl w:val="0"/>
                <w:numId w:val="1"/>
              </w:numPr>
              <w:spacing w:line="340" w:lineRule="exact"/>
              <w:ind w:firstLineChars="0"/>
              <w:jc w:val="left"/>
            </w:pPr>
            <w:r>
              <w:rPr>
                <w:rFonts w:hint="eastAsia"/>
              </w:rPr>
              <w:t>与本项目要求的图书语言风格存在部分偏差，方案未完整包含全书章节架构、图书核心逻辑等，得</w:t>
            </w:r>
            <w:r>
              <w:t>10</w:t>
            </w:r>
            <w:r>
              <w:rPr>
                <w:rFonts w:hint="eastAsia"/>
              </w:rPr>
              <w:t>分</w:t>
            </w:r>
          </w:p>
          <w:p>
            <w:pPr>
              <w:pStyle w:val="12"/>
              <w:numPr>
                <w:ilvl w:val="0"/>
                <w:numId w:val="1"/>
              </w:numPr>
              <w:spacing w:line="340" w:lineRule="exact"/>
              <w:ind w:firstLineChars="0"/>
              <w:jc w:val="left"/>
            </w:pPr>
            <w:r>
              <w:rPr>
                <w:rFonts w:hint="eastAsia"/>
              </w:rPr>
              <w:t>与本项目要求的图书语言风格存在部分偏差，仅提供简单思路，未提供全书章节架构、图书核心逻辑等内容，得</w:t>
            </w:r>
            <w:r>
              <w:t>5</w:t>
            </w:r>
            <w:r>
              <w:rPr>
                <w:rFonts w:hint="eastAsia"/>
              </w:rPr>
              <w:t>分</w:t>
            </w:r>
          </w:p>
          <w:p>
            <w:pPr>
              <w:pStyle w:val="12"/>
              <w:numPr>
                <w:ilvl w:val="0"/>
                <w:numId w:val="1"/>
              </w:numPr>
              <w:spacing w:line="340" w:lineRule="exact"/>
              <w:ind w:firstLineChars="0"/>
              <w:jc w:val="left"/>
            </w:pPr>
            <w:r>
              <w:rPr>
                <w:rFonts w:hint="eastAsia"/>
              </w:rPr>
              <w:t>符合本项目要求的图书语言风格，提供的材料逻辑不清晰、不完整，得</w:t>
            </w:r>
            <w:r>
              <w:t>0</w:t>
            </w:r>
            <w:r>
              <w:rPr>
                <w:rFonts w:hint="eastAsia"/>
              </w:rPr>
              <w:t>分。</w:t>
            </w:r>
          </w:p>
        </w:tc>
        <w:tc>
          <w:tcPr>
            <w:tcW w:w="1442" w:type="dxa"/>
            <w:vAlign w:val="center"/>
          </w:tcPr>
          <w:p>
            <w:pPr>
              <w:spacing w:line="340" w:lineRule="exact"/>
              <w:jc w:val="center"/>
              <w:rPr>
                <w:rFonts w:ascii="宋体" w:hAnsi="宋体" w:cs="宋体"/>
                <w:szCs w:val="21"/>
              </w:rPr>
            </w:pPr>
            <w:r>
              <w:rPr>
                <w:rFonts w:ascii="宋体" w:hAnsi="宋体" w:cs="宋体"/>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1" w:hRule="atLeast"/>
          <w:jc w:val="center"/>
        </w:trPr>
        <w:tc>
          <w:tcPr>
            <w:tcW w:w="1086" w:type="dxa"/>
            <w:vMerge w:val="continue"/>
            <w:vAlign w:val="center"/>
          </w:tcPr>
          <w:p>
            <w:pPr>
              <w:spacing w:line="340" w:lineRule="exact"/>
              <w:jc w:val="center"/>
              <w:rPr>
                <w:szCs w:val="21"/>
              </w:rPr>
            </w:pPr>
          </w:p>
        </w:tc>
        <w:tc>
          <w:tcPr>
            <w:tcW w:w="1573" w:type="dxa"/>
            <w:vAlign w:val="center"/>
          </w:tcPr>
          <w:p>
            <w:pPr>
              <w:spacing w:line="360" w:lineRule="auto"/>
              <w:jc w:val="center"/>
              <w:rPr>
                <w:rFonts w:ascii="宋体" w:hAnsi="宋体" w:cs="宋体"/>
                <w:szCs w:val="21"/>
              </w:rPr>
            </w:pPr>
            <w:r>
              <w:rPr>
                <w:rFonts w:hint="eastAsia" w:ascii="宋体" w:hAnsi="宋体" w:cs="宋体"/>
                <w:szCs w:val="21"/>
              </w:rPr>
              <w:t>排版、装帧设计水平及印刷质量</w:t>
            </w:r>
          </w:p>
        </w:tc>
        <w:tc>
          <w:tcPr>
            <w:tcW w:w="5094" w:type="dxa"/>
            <w:vAlign w:val="center"/>
          </w:tcPr>
          <w:p>
            <w:pPr>
              <w:pStyle w:val="12"/>
              <w:numPr>
                <w:ilvl w:val="0"/>
                <w:numId w:val="1"/>
              </w:numPr>
              <w:spacing w:line="340" w:lineRule="exact"/>
              <w:ind w:firstLineChars="0"/>
              <w:jc w:val="left"/>
            </w:pPr>
            <w:r>
              <w:rPr>
                <w:rFonts w:hint="eastAsia"/>
              </w:rPr>
              <w:t>提供1本既往公开出版物或已发表作品，并在印刷工艺、装帧工艺、图书规格、排版设计上达到本项目要求，装帧设计创意新颖，印刷质量高，得1</w:t>
            </w:r>
            <w:r>
              <w:t>5</w:t>
            </w:r>
            <w:r>
              <w:rPr>
                <w:rFonts w:hint="eastAsia"/>
              </w:rPr>
              <w:t>分</w:t>
            </w:r>
          </w:p>
          <w:p>
            <w:pPr>
              <w:pStyle w:val="12"/>
              <w:numPr>
                <w:ilvl w:val="0"/>
                <w:numId w:val="1"/>
              </w:numPr>
              <w:spacing w:line="340" w:lineRule="exact"/>
              <w:ind w:firstLineChars="0"/>
              <w:jc w:val="left"/>
            </w:pPr>
            <w:r>
              <w:rPr>
                <w:rFonts w:hint="eastAsia"/>
              </w:rPr>
              <w:t>提供1本既往公开出版物或已发表作品，并在印刷工艺、装帧工艺、图书规格、排版设计上达到本项目要求，但装帧设计、印刷质量较为常规，得1</w:t>
            </w:r>
            <w:r>
              <w:t>0</w:t>
            </w:r>
            <w:r>
              <w:rPr>
                <w:rFonts w:hint="eastAsia"/>
              </w:rPr>
              <w:t>分</w:t>
            </w:r>
          </w:p>
          <w:p>
            <w:pPr>
              <w:pStyle w:val="12"/>
              <w:numPr>
                <w:ilvl w:val="0"/>
                <w:numId w:val="1"/>
              </w:numPr>
              <w:spacing w:line="340" w:lineRule="exact"/>
              <w:ind w:firstLineChars="0"/>
              <w:jc w:val="left"/>
            </w:pPr>
            <w:r>
              <w:rPr>
                <w:rFonts w:hint="eastAsia"/>
              </w:rPr>
              <w:t>提供1本既往公开出版物或已发表作品，但在印刷工艺、装帧工艺、图书规格、排版设计上与本项目要求存在部分偏差，得</w:t>
            </w:r>
            <w:r>
              <w:t>5</w:t>
            </w:r>
            <w:r>
              <w:rPr>
                <w:rFonts w:hint="eastAsia"/>
              </w:rPr>
              <w:t>分</w:t>
            </w:r>
          </w:p>
          <w:p>
            <w:pPr>
              <w:pStyle w:val="12"/>
              <w:numPr>
                <w:ilvl w:val="0"/>
                <w:numId w:val="1"/>
              </w:numPr>
              <w:spacing w:line="340" w:lineRule="exact"/>
              <w:ind w:firstLineChars="0"/>
              <w:jc w:val="left"/>
            </w:pPr>
            <w:r>
              <w:rPr>
                <w:rFonts w:hint="eastAsia"/>
              </w:rPr>
              <w:t>无法提供既往公开出版物或已发表作品，或提供的公开出版物或已发表作品存在缺页、装订错误等明显质量问题等，得0分</w:t>
            </w:r>
          </w:p>
        </w:tc>
        <w:tc>
          <w:tcPr>
            <w:tcW w:w="1442" w:type="dxa"/>
            <w:vAlign w:val="center"/>
          </w:tcPr>
          <w:p>
            <w:pPr>
              <w:spacing w:line="340" w:lineRule="exact"/>
              <w:jc w:val="center"/>
              <w:rPr>
                <w:rFonts w:ascii="宋体" w:hAnsi="宋体" w:cs="宋体"/>
                <w:szCs w:val="21"/>
              </w:rPr>
            </w:pPr>
            <w:r>
              <w:rPr>
                <w:rFonts w:hint="eastAsia" w:ascii="宋体" w:hAnsi="宋体" w:cs="宋体"/>
                <w:szCs w:val="21"/>
              </w:rPr>
              <w:t>1</w:t>
            </w:r>
            <w:r>
              <w:rPr>
                <w:rFonts w:ascii="宋体" w:hAnsi="宋体" w:cs="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086" w:type="dxa"/>
            <w:vMerge w:val="continue"/>
            <w:vAlign w:val="center"/>
          </w:tcPr>
          <w:p>
            <w:pPr>
              <w:spacing w:line="340" w:lineRule="exact"/>
              <w:jc w:val="center"/>
              <w:rPr>
                <w:szCs w:val="21"/>
              </w:rPr>
            </w:pPr>
          </w:p>
        </w:tc>
        <w:tc>
          <w:tcPr>
            <w:tcW w:w="1573" w:type="dxa"/>
            <w:vAlign w:val="center"/>
          </w:tcPr>
          <w:p>
            <w:pPr>
              <w:spacing w:line="360" w:lineRule="auto"/>
              <w:jc w:val="center"/>
              <w:rPr>
                <w:rFonts w:ascii="宋体" w:hAnsi="宋体" w:cs="宋体"/>
                <w:szCs w:val="21"/>
              </w:rPr>
            </w:pPr>
            <w:r>
              <w:rPr>
                <w:rFonts w:hint="eastAsia" w:ascii="宋体" w:hAnsi="宋体" w:cs="宋体"/>
                <w:szCs w:val="21"/>
              </w:rPr>
              <w:t>项目时间表</w:t>
            </w:r>
          </w:p>
        </w:tc>
        <w:tc>
          <w:tcPr>
            <w:tcW w:w="5094" w:type="dxa"/>
            <w:tcBorders>
              <w:bottom w:val="single" w:color="auto" w:sz="4" w:space="0"/>
            </w:tcBorders>
            <w:vAlign w:val="center"/>
          </w:tcPr>
          <w:p>
            <w:pPr>
              <w:pStyle w:val="12"/>
              <w:numPr>
                <w:ilvl w:val="0"/>
                <w:numId w:val="1"/>
              </w:numPr>
              <w:spacing w:line="340" w:lineRule="exact"/>
              <w:ind w:firstLineChars="0"/>
              <w:jc w:val="left"/>
            </w:pPr>
            <w:r>
              <w:rPr>
                <w:rFonts w:hint="eastAsia" w:ascii="宋体" w:hAnsi="宋体" w:cs="宋体"/>
                <w:szCs w:val="21"/>
              </w:rPr>
              <w:t>项目时间表</w:t>
            </w:r>
            <w:r>
              <w:rPr>
                <w:rFonts w:hint="eastAsia"/>
              </w:rPr>
              <w:t>具有高执行性，时间规划合理高效，含出版前期准备，为书稿的修改等不可控因素留有额外应对空间，得</w:t>
            </w:r>
            <w:r>
              <w:t>15</w:t>
            </w:r>
            <w:r>
              <w:rPr>
                <w:rFonts w:hint="eastAsia"/>
              </w:rPr>
              <w:t>分</w:t>
            </w:r>
          </w:p>
          <w:p>
            <w:pPr>
              <w:pStyle w:val="12"/>
              <w:numPr>
                <w:ilvl w:val="0"/>
                <w:numId w:val="1"/>
              </w:numPr>
              <w:spacing w:line="340" w:lineRule="exact"/>
              <w:ind w:firstLineChars="0"/>
              <w:jc w:val="left"/>
            </w:pPr>
            <w:r>
              <w:rPr>
                <w:rFonts w:hint="eastAsia" w:ascii="宋体" w:hAnsi="宋体" w:cs="宋体"/>
                <w:szCs w:val="21"/>
              </w:rPr>
              <w:t>项目时间表</w:t>
            </w:r>
            <w:r>
              <w:rPr>
                <w:rFonts w:hint="eastAsia"/>
              </w:rPr>
              <w:t>具有基本执行性，有较为合理的时间规划，基本包含图书编写及出版所需流程，得</w:t>
            </w:r>
            <w:r>
              <w:t>10</w:t>
            </w:r>
            <w:r>
              <w:rPr>
                <w:rFonts w:hint="eastAsia"/>
              </w:rPr>
              <w:t>分</w:t>
            </w:r>
          </w:p>
          <w:p>
            <w:pPr>
              <w:pStyle w:val="12"/>
              <w:numPr>
                <w:ilvl w:val="0"/>
                <w:numId w:val="1"/>
              </w:numPr>
              <w:spacing w:line="340" w:lineRule="exact"/>
              <w:ind w:firstLineChars="0"/>
              <w:jc w:val="left"/>
            </w:pPr>
            <w:r>
              <w:rPr>
                <w:rFonts w:hint="eastAsia" w:ascii="宋体" w:hAnsi="宋体" w:cs="宋体"/>
                <w:szCs w:val="21"/>
              </w:rPr>
              <w:t>项目时间表</w:t>
            </w:r>
            <w:r>
              <w:rPr>
                <w:rFonts w:hint="eastAsia"/>
              </w:rPr>
              <w:t>不够细化，在推进编写及出版等方面存在部分纰漏或时段空缺，得</w:t>
            </w:r>
            <w:r>
              <w:t>5</w:t>
            </w:r>
            <w:r>
              <w:rPr>
                <w:rFonts w:hint="eastAsia"/>
              </w:rPr>
              <w:t>分</w:t>
            </w:r>
          </w:p>
          <w:p>
            <w:pPr>
              <w:pStyle w:val="12"/>
              <w:numPr>
                <w:ilvl w:val="0"/>
                <w:numId w:val="1"/>
              </w:numPr>
              <w:spacing w:line="340" w:lineRule="exact"/>
              <w:ind w:firstLineChars="0"/>
              <w:jc w:val="left"/>
            </w:pPr>
            <w:r>
              <w:rPr>
                <w:rFonts w:hint="eastAsia"/>
              </w:rPr>
              <w:t>无法提供</w:t>
            </w:r>
            <w:r>
              <w:rPr>
                <w:rFonts w:hint="eastAsia" w:ascii="宋体" w:hAnsi="宋体" w:cs="宋体"/>
                <w:szCs w:val="21"/>
              </w:rPr>
              <w:t>项目时间表</w:t>
            </w:r>
            <w:r>
              <w:rPr>
                <w:rFonts w:hint="eastAsia"/>
              </w:rPr>
              <w:t>或者不具备可执行性，得0分</w:t>
            </w:r>
          </w:p>
        </w:tc>
        <w:tc>
          <w:tcPr>
            <w:tcW w:w="1442" w:type="dxa"/>
            <w:vAlign w:val="center"/>
          </w:tcPr>
          <w:p>
            <w:pPr>
              <w:spacing w:line="340" w:lineRule="exact"/>
              <w:jc w:val="center"/>
              <w:rPr>
                <w:rFonts w:ascii="宋体" w:hAnsi="宋体" w:cs="宋体"/>
                <w:szCs w:val="21"/>
              </w:rPr>
            </w:pPr>
            <w:r>
              <w:rPr>
                <w:rFonts w:ascii="宋体" w:hAnsi="宋体" w:cs="宋体"/>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086" w:type="dxa"/>
            <w:vAlign w:val="center"/>
          </w:tcPr>
          <w:p>
            <w:pPr>
              <w:spacing w:line="340" w:lineRule="exact"/>
              <w:jc w:val="center"/>
              <w:rPr>
                <w:szCs w:val="21"/>
              </w:rPr>
            </w:pPr>
            <w:r>
              <w:rPr>
                <w:rFonts w:hint="eastAsia"/>
                <w:szCs w:val="21"/>
              </w:rPr>
              <w:t>价格部分</w:t>
            </w:r>
          </w:p>
        </w:tc>
        <w:tc>
          <w:tcPr>
            <w:tcW w:w="1573" w:type="dxa"/>
            <w:tcBorders>
              <w:bottom w:val="single" w:color="auto" w:sz="4" w:space="0"/>
            </w:tcBorders>
            <w:vAlign w:val="center"/>
          </w:tcPr>
          <w:p>
            <w:pPr>
              <w:spacing w:line="360" w:lineRule="auto"/>
              <w:jc w:val="center"/>
              <w:rPr>
                <w:rFonts w:ascii="宋体" w:hAnsi="宋体"/>
                <w:szCs w:val="21"/>
              </w:rPr>
            </w:pPr>
            <w:r>
              <w:rPr>
                <w:rFonts w:hint="eastAsia" w:ascii="宋体" w:hAnsi="宋体"/>
                <w:szCs w:val="21"/>
              </w:rPr>
              <w:t>报价</w:t>
            </w:r>
          </w:p>
        </w:tc>
        <w:tc>
          <w:tcPr>
            <w:tcW w:w="5094" w:type="dxa"/>
            <w:tcBorders>
              <w:bottom w:val="single" w:color="auto" w:sz="4" w:space="0"/>
            </w:tcBorders>
            <w:vAlign w:val="center"/>
          </w:tcPr>
          <w:p>
            <w:pPr>
              <w:adjustRightInd w:val="0"/>
              <w:snapToGrid w:val="0"/>
              <w:spacing w:line="360" w:lineRule="exact"/>
              <w:jc w:val="left"/>
              <w:rPr>
                <w:rFonts w:ascii="宋体" w:hAnsi="宋体"/>
                <w:szCs w:val="21"/>
              </w:rPr>
            </w:pPr>
            <w:r>
              <w:rPr>
                <w:rFonts w:hint="eastAsia" w:ascii="宋体" w:hAnsi="宋体"/>
                <w:szCs w:val="21"/>
              </w:rPr>
              <w:t>报价得分＝（基准价/报价）×价格分值【注：满足采购文件要求的所有供应商的平均报价为基准价。】</w:t>
            </w:r>
          </w:p>
        </w:tc>
        <w:tc>
          <w:tcPr>
            <w:tcW w:w="1442" w:type="dxa"/>
            <w:vAlign w:val="center"/>
          </w:tcPr>
          <w:p>
            <w:pPr>
              <w:spacing w:line="340" w:lineRule="exact"/>
              <w:jc w:val="center"/>
              <w:rPr>
                <w:rFonts w:ascii="宋体" w:hAnsi="宋体" w:cs="宋体"/>
                <w:szCs w:val="21"/>
              </w:rPr>
            </w:pPr>
            <w:r>
              <w:rPr>
                <w:rFonts w:ascii="宋体" w:hAnsi="宋体" w:cs="宋体"/>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753" w:type="dxa"/>
            <w:gridSpan w:val="3"/>
            <w:vAlign w:val="center"/>
          </w:tcPr>
          <w:p>
            <w:pPr>
              <w:spacing w:line="360" w:lineRule="auto"/>
              <w:jc w:val="center"/>
              <w:rPr>
                <w:b/>
                <w:szCs w:val="21"/>
              </w:rPr>
            </w:pPr>
            <w:r>
              <w:rPr>
                <w:b/>
                <w:szCs w:val="21"/>
              </w:rPr>
              <w:t>合计</w:t>
            </w:r>
          </w:p>
        </w:tc>
        <w:tc>
          <w:tcPr>
            <w:tcW w:w="1442" w:type="dxa"/>
            <w:vAlign w:val="center"/>
          </w:tcPr>
          <w:p>
            <w:pPr>
              <w:spacing w:line="360" w:lineRule="auto"/>
              <w:jc w:val="center"/>
              <w:rPr>
                <w:b/>
                <w:szCs w:val="21"/>
              </w:rPr>
            </w:pPr>
            <w:r>
              <w:rPr>
                <w:rFonts w:hint="eastAsia"/>
                <w:b/>
                <w:szCs w:val="21"/>
              </w:rPr>
              <w:t>100</w:t>
            </w:r>
            <w:r>
              <w:rPr>
                <w:b/>
                <w:szCs w:val="21"/>
              </w:rPr>
              <w:t>分</w:t>
            </w:r>
          </w:p>
        </w:tc>
      </w:tr>
    </w:tbl>
    <w:p>
      <w:pPr>
        <w:pStyle w:val="2"/>
        <w:ind w:firstLine="0" w:firstLineChars="0"/>
        <w:rPr>
          <w:rFonts w:cs="宋体"/>
          <w:b/>
          <w:sz w:val="40"/>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E359C"/>
    <w:multiLevelType w:val="multilevel"/>
    <w:tmpl w:val="547E359C"/>
    <w:lvl w:ilvl="0" w:tentative="0">
      <w:start w:val="3"/>
      <w:numFmt w:val="bullet"/>
      <w:lvlText w:val="·"/>
      <w:lvlJc w:val="left"/>
      <w:pPr>
        <w:ind w:left="360" w:hanging="360"/>
      </w:pPr>
      <w:rPr>
        <w:rFonts w:hint="eastAsia" w:ascii="宋体" w:hAnsi="宋体" w:eastAsia="宋体" w:cs="黑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NlYzRiN2NjZDBmZDY5MWNhYzVmNGE1YWQ2YTgwZDQifQ=="/>
  </w:docVars>
  <w:rsids>
    <w:rsidRoot w:val="7AC3359E"/>
    <w:rsid w:val="00035465"/>
    <w:rsid w:val="0007517C"/>
    <w:rsid w:val="000901D8"/>
    <w:rsid w:val="000947A3"/>
    <w:rsid w:val="00150F57"/>
    <w:rsid w:val="00180F75"/>
    <w:rsid w:val="001D3A4C"/>
    <w:rsid w:val="001E2C56"/>
    <w:rsid w:val="002432C9"/>
    <w:rsid w:val="00276F8E"/>
    <w:rsid w:val="002B18AC"/>
    <w:rsid w:val="002C127D"/>
    <w:rsid w:val="002C59E3"/>
    <w:rsid w:val="00304DA4"/>
    <w:rsid w:val="00377AF0"/>
    <w:rsid w:val="00383143"/>
    <w:rsid w:val="003A465D"/>
    <w:rsid w:val="003F4374"/>
    <w:rsid w:val="0046664E"/>
    <w:rsid w:val="004A2950"/>
    <w:rsid w:val="004E3C6E"/>
    <w:rsid w:val="00536B98"/>
    <w:rsid w:val="005575A8"/>
    <w:rsid w:val="005A0C32"/>
    <w:rsid w:val="005C50A1"/>
    <w:rsid w:val="005D125E"/>
    <w:rsid w:val="005F0F84"/>
    <w:rsid w:val="00657CA6"/>
    <w:rsid w:val="00667929"/>
    <w:rsid w:val="006774D8"/>
    <w:rsid w:val="006D6A35"/>
    <w:rsid w:val="0071479F"/>
    <w:rsid w:val="007B41B5"/>
    <w:rsid w:val="007E1B0B"/>
    <w:rsid w:val="00813EF7"/>
    <w:rsid w:val="0086177D"/>
    <w:rsid w:val="00882799"/>
    <w:rsid w:val="00895DFE"/>
    <w:rsid w:val="009927CA"/>
    <w:rsid w:val="009B65F2"/>
    <w:rsid w:val="009E33AE"/>
    <w:rsid w:val="00A83617"/>
    <w:rsid w:val="00A924A2"/>
    <w:rsid w:val="00AE27CB"/>
    <w:rsid w:val="00B06025"/>
    <w:rsid w:val="00B90F96"/>
    <w:rsid w:val="00BA307D"/>
    <w:rsid w:val="00BA6F4A"/>
    <w:rsid w:val="00BC1B69"/>
    <w:rsid w:val="00BC6CEE"/>
    <w:rsid w:val="00BD6371"/>
    <w:rsid w:val="00C036F5"/>
    <w:rsid w:val="00C55720"/>
    <w:rsid w:val="00C76684"/>
    <w:rsid w:val="00D47980"/>
    <w:rsid w:val="00D73575"/>
    <w:rsid w:val="00D85701"/>
    <w:rsid w:val="00DC2FE8"/>
    <w:rsid w:val="00DD25D9"/>
    <w:rsid w:val="00DE593E"/>
    <w:rsid w:val="00DF7A95"/>
    <w:rsid w:val="00F25A9D"/>
    <w:rsid w:val="00F379FD"/>
    <w:rsid w:val="00F51124"/>
    <w:rsid w:val="00F90595"/>
    <w:rsid w:val="00FD2C8E"/>
    <w:rsid w:val="08492130"/>
    <w:rsid w:val="091A640F"/>
    <w:rsid w:val="09532A47"/>
    <w:rsid w:val="09864BCA"/>
    <w:rsid w:val="0A6C2012"/>
    <w:rsid w:val="0AB4467F"/>
    <w:rsid w:val="0B7348E4"/>
    <w:rsid w:val="0C14470F"/>
    <w:rsid w:val="0C34090D"/>
    <w:rsid w:val="0C9D4705"/>
    <w:rsid w:val="0D162E3D"/>
    <w:rsid w:val="0F5B2655"/>
    <w:rsid w:val="110A000F"/>
    <w:rsid w:val="11E626AA"/>
    <w:rsid w:val="11E91791"/>
    <w:rsid w:val="11FD1874"/>
    <w:rsid w:val="139558FD"/>
    <w:rsid w:val="156A1844"/>
    <w:rsid w:val="15B05C5E"/>
    <w:rsid w:val="162B2D81"/>
    <w:rsid w:val="16A56DF3"/>
    <w:rsid w:val="17A233DE"/>
    <w:rsid w:val="18AC30F3"/>
    <w:rsid w:val="18FA4C8D"/>
    <w:rsid w:val="19E6A3AE"/>
    <w:rsid w:val="1A514D80"/>
    <w:rsid w:val="1B5263F4"/>
    <w:rsid w:val="1C805D1C"/>
    <w:rsid w:val="1E4566A4"/>
    <w:rsid w:val="1F903C55"/>
    <w:rsid w:val="20943C19"/>
    <w:rsid w:val="21B7FF35"/>
    <w:rsid w:val="226A2E48"/>
    <w:rsid w:val="22E03FC4"/>
    <w:rsid w:val="2380466E"/>
    <w:rsid w:val="24C3687B"/>
    <w:rsid w:val="2701028C"/>
    <w:rsid w:val="291C4301"/>
    <w:rsid w:val="2B3D7387"/>
    <w:rsid w:val="2C973861"/>
    <w:rsid w:val="2E114AFB"/>
    <w:rsid w:val="2E277E7A"/>
    <w:rsid w:val="2E9BED5F"/>
    <w:rsid w:val="2EC456C9"/>
    <w:rsid w:val="303C6E89"/>
    <w:rsid w:val="317E47D7"/>
    <w:rsid w:val="336B1FEE"/>
    <w:rsid w:val="3498562E"/>
    <w:rsid w:val="363EB51B"/>
    <w:rsid w:val="37272C99"/>
    <w:rsid w:val="37A83DDA"/>
    <w:rsid w:val="39F33B1C"/>
    <w:rsid w:val="3AED053D"/>
    <w:rsid w:val="3BD96FD5"/>
    <w:rsid w:val="3BE9108B"/>
    <w:rsid w:val="3CFB8CA7"/>
    <w:rsid w:val="3D3178F2"/>
    <w:rsid w:val="3D962926"/>
    <w:rsid w:val="3DFF8C26"/>
    <w:rsid w:val="3F9115F7"/>
    <w:rsid w:val="3F9D7F9C"/>
    <w:rsid w:val="400178CC"/>
    <w:rsid w:val="41F320F5"/>
    <w:rsid w:val="42948BA6"/>
    <w:rsid w:val="448A4856"/>
    <w:rsid w:val="45B222C8"/>
    <w:rsid w:val="46E5D459"/>
    <w:rsid w:val="473EDBB1"/>
    <w:rsid w:val="4981092F"/>
    <w:rsid w:val="49A773FE"/>
    <w:rsid w:val="49D24CE6"/>
    <w:rsid w:val="49F308E0"/>
    <w:rsid w:val="4B2D2829"/>
    <w:rsid w:val="4F0B3174"/>
    <w:rsid w:val="4F133DD7"/>
    <w:rsid w:val="4F456FA8"/>
    <w:rsid w:val="4FCF51CE"/>
    <w:rsid w:val="505E72D4"/>
    <w:rsid w:val="53AA6453"/>
    <w:rsid w:val="53EE7D08"/>
    <w:rsid w:val="54386F93"/>
    <w:rsid w:val="57757EC2"/>
    <w:rsid w:val="57AF00B3"/>
    <w:rsid w:val="59101DED"/>
    <w:rsid w:val="5B042454"/>
    <w:rsid w:val="5CBA7F88"/>
    <w:rsid w:val="5E0771FD"/>
    <w:rsid w:val="5E7E35D1"/>
    <w:rsid w:val="5E9465B6"/>
    <w:rsid w:val="5EFAF54E"/>
    <w:rsid w:val="62206ADF"/>
    <w:rsid w:val="62FF9507"/>
    <w:rsid w:val="631D4DCC"/>
    <w:rsid w:val="647318FE"/>
    <w:rsid w:val="64992B79"/>
    <w:rsid w:val="667C4500"/>
    <w:rsid w:val="66A9202B"/>
    <w:rsid w:val="67566AFF"/>
    <w:rsid w:val="698F00A6"/>
    <w:rsid w:val="6C3C2767"/>
    <w:rsid w:val="6DF6DAF5"/>
    <w:rsid w:val="6E3F2EA4"/>
    <w:rsid w:val="6EAF0ECF"/>
    <w:rsid w:val="6EBC17D2"/>
    <w:rsid w:val="6FEF7817"/>
    <w:rsid w:val="6FF39ED7"/>
    <w:rsid w:val="721B4BCD"/>
    <w:rsid w:val="72F76CE2"/>
    <w:rsid w:val="73102258"/>
    <w:rsid w:val="73BF3716"/>
    <w:rsid w:val="74923DD8"/>
    <w:rsid w:val="777E4FBA"/>
    <w:rsid w:val="79110AD8"/>
    <w:rsid w:val="7A441C1C"/>
    <w:rsid w:val="7A4E2141"/>
    <w:rsid w:val="7A6348AC"/>
    <w:rsid w:val="7AC3359E"/>
    <w:rsid w:val="7B3E1D2B"/>
    <w:rsid w:val="7BF7D03C"/>
    <w:rsid w:val="7C6F4D8B"/>
    <w:rsid w:val="7E1C5F55"/>
    <w:rsid w:val="7E1E1177"/>
    <w:rsid w:val="7E3037AE"/>
    <w:rsid w:val="7F3FC5C5"/>
    <w:rsid w:val="7F9A05DE"/>
    <w:rsid w:val="938EDDFB"/>
    <w:rsid w:val="BDF922B9"/>
    <w:rsid w:val="D3BDCC0D"/>
    <w:rsid w:val="D55ACDD2"/>
    <w:rsid w:val="E2FF1280"/>
    <w:rsid w:val="EBBC8F62"/>
    <w:rsid w:val="EFDBDB7D"/>
    <w:rsid w:val="F5E6E8C9"/>
    <w:rsid w:val="F5F9FFF2"/>
    <w:rsid w:val="FDF8F1F6"/>
    <w:rsid w:val="FF7D70E8"/>
    <w:rsid w:val="FFAF909B"/>
    <w:rsid w:val="FFBA347B"/>
    <w:rsid w:val="FFFFF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customStyle="1" w:styleId="2">
    <w:name w:val="正文首行缩进 21"/>
    <w:basedOn w:val="3"/>
    <w:next w:val="1"/>
    <w:qFormat/>
    <w:uiPriority w:val="0"/>
  </w:style>
  <w:style w:type="paragraph" w:customStyle="1" w:styleId="3">
    <w:name w:val="正文文本缩进1"/>
    <w:basedOn w:val="1"/>
    <w:qFormat/>
    <w:uiPriority w:val="0"/>
    <w:pPr>
      <w:autoSpaceDE w:val="0"/>
      <w:autoSpaceDN w:val="0"/>
      <w:spacing w:line="360" w:lineRule="auto"/>
      <w:ind w:firstLine="420" w:firstLineChars="200"/>
    </w:pPr>
    <w:rPr>
      <w:rFonts w:ascii="宋体" w:hAnsi="宋体"/>
      <w:szCs w:val="21"/>
    </w:rPr>
  </w:style>
  <w:style w:type="paragraph" w:styleId="4">
    <w:name w:val="Balloon Text"/>
    <w:basedOn w:val="1"/>
    <w:link w:val="14"/>
    <w:uiPriority w:val="0"/>
    <w:rPr>
      <w:rFonts w:ascii="宋体"/>
      <w:sz w:val="18"/>
      <w:szCs w:val="18"/>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字符"/>
    <w:basedOn w:val="8"/>
    <w:link w:val="6"/>
    <w:qFormat/>
    <w:uiPriority w:val="0"/>
    <w:rPr>
      <w:rFonts w:ascii="Calibri" w:hAnsi="Calibri" w:eastAsia="宋体" w:cs="黑体"/>
      <w:kern w:val="2"/>
      <w:sz w:val="18"/>
      <w:szCs w:val="18"/>
    </w:rPr>
  </w:style>
  <w:style w:type="character" w:customStyle="1" w:styleId="10">
    <w:name w:val="页脚 字符"/>
    <w:basedOn w:val="8"/>
    <w:link w:val="5"/>
    <w:qFormat/>
    <w:uiPriority w:val="0"/>
    <w:rPr>
      <w:rFonts w:ascii="Calibri" w:hAnsi="Calibri" w:eastAsia="宋体" w:cs="黑体"/>
      <w:kern w:val="2"/>
      <w:sz w:val="18"/>
      <w:szCs w:val="18"/>
    </w:rPr>
  </w:style>
  <w:style w:type="paragraph" w:customStyle="1" w:styleId="11">
    <w:name w:val="修订1"/>
    <w:hidden/>
    <w:unhideWhenUsed/>
    <w:uiPriority w:val="99"/>
    <w:rPr>
      <w:rFonts w:ascii="Calibri" w:hAnsi="Calibri" w:eastAsia="宋体" w:cs="黑体"/>
      <w:kern w:val="2"/>
      <w:sz w:val="21"/>
      <w:szCs w:val="24"/>
      <w:lang w:val="en-US" w:eastAsia="zh-CN" w:bidi="ar-SA"/>
    </w:rPr>
  </w:style>
  <w:style w:type="paragraph" w:styleId="12">
    <w:name w:val="List Paragraph"/>
    <w:basedOn w:val="1"/>
    <w:unhideWhenUsed/>
    <w:uiPriority w:val="99"/>
    <w:pPr>
      <w:ind w:firstLine="420" w:firstLineChars="200"/>
    </w:pPr>
  </w:style>
  <w:style w:type="paragraph" w:customStyle="1" w:styleId="13">
    <w:name w:val="Revision"/>
    <w:hidden/>
    <w:unhideWhenUsed/>
    <w:uiPriority w:val="99"/>
    <w:rPr>
      <w:rFonts w:ascii="Calibri" w:hAnsi="Calibri" w:eastAsia="宋体" w:cs="黑体"/>
      <w:kern w:val="2"/>
      <w:sz w:val="21"/>
      <w:szCs w:val="24"/>
      <w:lang w:val="en-US" w:eastAsia="zh-CN" w:bidi="ar-SA"/>
    </w:rPr>
  </w:style>
  <w:style w:type="character" w:customStyle="1" w:styleId="14">
    <w:name w:val="批注框文本 字符"/>
    <w:basedOn w:val="8"/>
    <w:link w:val="4"/>
    <w:qFormat/>
    <w:uiPriority w:val="0"/>
    <w:rPr>
      <w:rFonts w:ascii="宋体" w:hAnsi="Calibri" w:eastAsia="宋体" w:cs="黑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182</Words>
  <Characters>1044</Characters>
  <Lines>8</Lines>
  <Paragraphs>2</Paragraphs>
  <TotalTime>190</TotalTime>
  <ScaleCrop>false</ScaleCrop>
  <LinksUpToDate>false</LinksUpToDate>
  <CharactersWithSpaces>1224</CharactersWithSpaces>
  <Application>WPS Office_11.8.2.9068_F1E327BC-269C-435d-A152-05C5408002CA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2025-11-24T03:43:00Z</dcterms:created>
  <dc:creator>Rainnie</dc:creator>
  <cp:lastModifiedBy>曹晓瑾</cp:lastModifiedBy>
  <cp:lastPrinted>2025-12-05T08:50:00Z</cp:lastPrinted>
  <dcterms:modified xsi:type="dcterms:W3CDTF">2025-12-05T08:55:41Z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2052-11.8.2.9068</vt:lpwstr>
  </property>
  <property fmtid="{D5CDD505-2E9C-101B-9397-08002B2CF9AE}" pid="3" name="ICV">
    <vt:lpwstr>3F260B365BD4477090F437B7D35B7E64_13</vt:lpwstr>
  </property>
</Properties>
</file>