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9E02D">
      <w:pPr>
        <w:adjustRightInd w:val="0"/>
        <w:snapToGrid w:val="0"/>
        <w:spacing w:line="520" w:lineRule="exact"/>
        <w:jc w:val="center"/>
        <w:rPr>
          <w:rFonts w:hint="eastAsia" w:ascii="仿宋_GB2312" w:eastAsia="仿宋_GB2312"/>
          <w:b/>
          <w:bCs/>
          <w:sz w:val="32"/>
          <w:szCs w:val="32"/>
        </w:rPr>
      </w:pPr>
      <w:bookmarkStart w:id="0" w:name="_Toc11357_WPSOffice_Level1"/>
      <w:bookmarkStart w:id="1" w:name="_Toc20396_WPSOffice_Level1"/>
      <w:bookmarkStart w:id="2" w:name="_Toc19720_WPSOffice_Level1"/>
      <w:bookmarkStart w:id="3" w:name="_Toc28241_WPSOffice_Level1"/>
      <w:r>
        <w:rPr>
          <w:rFonts w:hint="eastAsia" w:ascii="方正小标宋简体" w:hAnsi="方正小标宋简体" w:eastAsia="方正小标宋简体" w:cs="方正小标宋简体"/>
          <w:b/>
          <w:sz w:val="32"/>
          <w:szCs w:val="32"/>
          <w:lang w:val="en-US" w:eastAsia="zh-CN"/>
        </w:rPr>
        <w:t>文旅规划项目</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bookmarkEnd w:id="0"/>
      <w:bookmarkEnd w:id="1"/>
      <w:bookmarkEnd w:id="2"/>
      <w:bookmarkEnd w:id="3"/>
    </w:p>
    <w:p w14:paraId="63D9FF34">
      <w:pPr>
        <w:spacing w:line="520" w:lineRule="exact"/>
        <w:rPr>
          <w:rFonts w:ascii="仿宋_GB2312" w:eastAsia="仿宋_GB2312"/>
          <w:b/>
          <w:bCs/>
          <w:sz w:val="28"/>
          <w:szCs w:val="28"/>
        </w:rPr>
      </w:pPr>
      <w:r>
        <w:rPr>
          <w:rFonts w:hint="eastAsia" w:ascii="仿宋_GB2312" w:eastAsia="仿宋_GB2312" w:cs="仿宋_GB2312"/>
          <w:b/>
          <w:bCs/>
          <w:sz w:val="28"/>
          <w:szCs w:val="28"/>
        </w:rPr>
        <w:t>广东省南方新发展顾问有限公司：</w:t>
      </w:r>
    </w:p>
    <w:p w14:paraId="41AD2FD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rPr>
      </w:pPr>
      <w:r>
        <w:rPr>
          <w:rFonts w:hint="eastAsia" w:ascii="仿宋_GB2312" w:hAnsi="仿宋_GB2312" w:eastAsia="仿宋_GB2312" w:cs="仿宋_GB2312"/>
          <w:sz w:val="28"/>
          <w:szCs w:val="28"/>
          <w:u w:val="none"/>
        </w:rPr>
        <w:t>根据贵</w:t>
      </w:r>
      <w:r>
        <w:rPr>
          <w:rFonts w:hint="eastAsia" w:ascii="仿宋_GB2312" w:hAnsi="仿宋_GB2312" w:eastAsia="仿宋_GB2312" w:cs="仿宋_GB2312"/>
          <w:sz w:val="28"/>
          <w:szCs w:val="28"/>
          <w:u w:val="none"/>
          <w:lang w:val="en-US" w:eastAsia="zh-CN"/>
        </w:rPr>
        <w:t>公司文旅规划项目</w:t>
      </w:r>
      <w:r>
        <w:rPr>
          <w:rFonts w:hint="eastAsia" w:ascii="仿宋_GB2312" w:hAnsi="仿宋_GB2312" w:eastAsia="仿宋_GB2312" w:cs="仿宋_GB2312"/>
          <w:sz w:val="28"/>
          <w:szCs w:val="28"/>
          <w:u w:val="single"/>
          <w:lang w:eastAsia="zh-CN"/>
        </w:rPr>
        <w:t>（</w:t>
      </w:r>
      <w:r>
        <w:rPr>
          <w:rFonts w:hint="eastAsia" w:ascii="仿宋_GB2312" w:eastAsia="仿宋_GB2312"/>
          <w:b/>
          <w:sz w:val="28"/>
          <w:szCs w:val="28"/>
          <w:u w:val="single"/>
        </w:rPr>
        <w:t>项目编号：</w:t>
      </w:r>
      <w:r>
        <w:rPr>
          <w:rFonts w:hint="eastAsia" w:ascii="黑体" w:hAnsi="黑体" w:eastAsia="黑体" w:cs="黑体"/>
          <w:b w:val="0"/>
          <w:bCs/>
          <w:sz w:val="28"/>
          <w:szCs w:val="28"/>
          <w:u w:val="single"/>
        </w:rPr>
        <w:t>NW</w:t>
      </w:r>
      <w:r>
        <w:rPr>
          <w:rFonts w:hint="eastAsia" w:ascii="黑体" w:hAnsi="黑体" w:eastAsia="黑体" w:cs="黑体"/>
          <w:b w:val="0"/>
          <w:bCs/>
          <w:sz w:val="28"/>
          <w:szCs w:val="28"/>
          <w:u w:val="single"/>
          <w:lang w:val="en-US" w:eastAsia="zh-CN"/>
        </w:rPr>
        <w:t>20250227001</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none"/>
          <w:lang w:val="en-US" w:eastAsia="zh-CN"/>
        </w:rPr>
        <w:t>采购</w:t>
      </w:r>
      <w:r>
        <w:rPr>
          <w:rFonts w:hint="eastAsia" w:ascii="仿宋_GB2312" w:hAnsi="仿宋_GB2312" w:eastAsia="仿宋_GB2312" w:cs="仿宋_GB2312"/>
          <w:sz w:val="28"/>
          <w:szCs w:val="28"/>
          <w:lang w:eastAsia="zh-CN"/>
        </w:rPr>
        <w:t>文件</w:t>
      </w:r>
      <w:r>
        <w:rPr>
          <w:rFonts w:hint="eastAsia" w:ascii="仿宋_GB2312" w:hAnsi="仿宋_GB2312" w:eastAsia="仿宋_GB2312" w:cs="仿宋_GB2312"/>
          <w:sz w:val="28"/>
          <w:szCs w:val="28"/>
        </w:rPr>
        <w:t>要求，我司已完全了解相关内容，承诺按要求提供产品和</w:t>
      </w:r>
      <w:bookmarkStart w:id="4" w:name="_GoBack"/>
      <w:bookmarkEnd w:id="4"/>
      <w:r>
        <w:rPr>
          <w:rFonts w:hint="eastAsia" w:ascii="仿宋_GB2312" w:hAnsi="仿宋_GB2312" w:eastAsia="仿宋_GB2312" w:cs="仿宋_GB2312"/>
          <w:sz w:val="28"/>
          <w:szCs w:val="28"/>
        </w:rPr>
        <w:t>服务，现按人民币报价如下：</w:t>
      </w:r>
    </w:p>
    <w:tbl>
      <w:tblPr>
        <w:tblStyle w:val="8"/>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2"/>
        <w:gridCol w:w="1136"/>
        <w:gridCol w:w="4684"/>
        <w:gridCol w:w="1357"/>
        <w:gridCol w:w="921"/>
      </w:tblGrid>
      <w:tr w14:paraId="60EA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exac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04E4EA92">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项目名称</w:t>
            </w:r>
          </w:p>
        </w:tc>
        <w:tc>
          <w:tcPr>
            <w:tcW w:w="80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592B294">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文旅规划项目报价表</w:t>
            </w:r>
          </w:p>
        </w:tc>
      </w:tr>
      <w:tr w14:paraId="0731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6002303B">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735FCB">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类别</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14:paraId="4C804E3C">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费用明细</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4350665F">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金额</w:t>
            </w:r>
          </w:p>
        </w:tc>
      </w:tr>
      <w:tr w14:paraId="3D2C2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4" w:hRule="exac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505C74FD">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F6595A9">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rPr>
              <w:t>前期调研</w:t>
            </w:r>
          </w:p>
        </w:tc>
        <w:tc>
          <w:tcPr>
            <w:tcW w:w="4684" w:type="dxa"/>
            <w:tcBorders>
              <w:top w:val="single" w:color="auto" w:sz="4" w:space="0"/>
              <w:left w:val="single" w:color="auto" w:sz="4" w:space="0"/>
              <w:bottom w:val="single" w:color="auto" w:sz="4" w:space="0"/>
              <w:right w:val="single" w:color="auto" w:sz="4" w:space="0"/>
            </w:tcBorders>
            <w:shd w:val="clear" w:color="auto" w:fill="auto"/>
            <w:vAlign w:val="center"/>
          </w:tcPr>
          <w:p w14:paraId="5622DA69">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组建专业团队，涵盖文化产业、旅游、经济等多领域专家，深入了解西藏地级市文化产业现状、旅游资源、政策环境等，收集相关资料，为后续规划奠定基础。</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14:paraId="1A59D4AA">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团队组建人力成本、资料收集费用</w:t>
            </w:r>
          </w:p>
          <w:p w14:paraId="7A0D2141">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234BF46E">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宋体" w:hAnsi="宋体" w:eastAsia="宋体" w:cs="宋体"/>
                <w:b w:val="0"/>
                <w:bCs w:val="0"/>
                <w:sz w:val="21"/>
                <w:szCs w:val="21"/>
                <w:lang w:val="en-US" w:eastAsia="zh-CN"/>
              </w:rPr>
            </w:pPr>
          </w:p>
        </w:tc>
      </w:tr>
      <w:tr w14:paraId="1B48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1" w:hRule="exac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0F13B6E9">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FD4EC66">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文化资源评估</w:t>
            </w:r>
          </w:p>
        </w:tc>
        <w:tc>
          <w:tcPr>
            <w:tcW w:w="4684" w:type="dxa"/>
            <w:tcBorders>
              <w:top w:val="single" w:color="auto" w:sz="4" w:space="0"/>
              <w:left w:val="single" w:color="auto" w:sz="4" w:space="0"/>
              <w:bottom w:val="single" w:color="auto" w:sz="4" w:space="0"/>
              <w:right w:val="single" w:color="auto" w:sz="4" w:space="0"/>
            </w:tcBorders>
            <w:shd w:val="clear" w:color="auto" w:fill="auto"/>
            <w:vAlign w:val="center"/>
          </w:tcPr>
          <w:p w14:paraId="11E8322E">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对当地历史文化遗迹民俗文化、艺术形式等文化资源进行全面评估，分析其独特性、稀缺性和开发潜力，为文化产业定位提供依据。</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14:paraId="3CE8FF75">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实地考察差旅费、问卷设计与发放费用、访谈劳务费用</w:t>
            </w:r>
          </w:p>
          <w:p w14:paraId="55BF4368">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202ED83F">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宋体" w:hAnsi="宋体" w:eastAsia="宋体" w:cs="宋体"/>
                <w:b w:val="0"/>
                <w:bCs w:val="0"/>
                <w:sz w:val="21"/>
                <w:szCs w:val="21"/>
                <w:lang w:val="en-US" w:eastAsia="zh-CN"/>
              </w:rPr>
            </w:pPr>
          </w:p>
        </w:tc>
      </w:tr>
      <w:tr w14:paraId="6E3D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exac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4128BB2D">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B8F8F9E">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市场分析</w:t>
            </w:r>
          </w:p>
        </w:tc>
        <w:tc>
          <w:tcPr>
            <w:tcW w:w="4684" w:type="dxa"/>
            <w:tcBorders>
              <w:top w:val="single" w:color="auto" w:sz="4" w:space="0"/>
              <w:left w:val="single" w:color="auto" w:sz="4" w:space="0"/>
              <w:bottom w:val="single" w:color="auto" w:sz="4" w:space="0"/>
              <w:right w:val="single" w:color="auto" w:sz="4" w:space="0"/>
            </w:tcBorders>
            <w:shd w:val="clear" w:color="auto" w:fill="auto"/>
            <w:vAlign w:val="center"/>
          </w:tcPr>
          <w:p w14:paraId="6CC4BF79">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研究当地及周边文化旅游市场，分析游客需求、消费习惯、竞争态势，预测文化产业市场发展趋势。</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14:paraId="3C15A515">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数据分析工具使用、专家咨询费用</w:t>
            </w:r>
          </w:p>
          <w:p w14:paraId="36B648E0">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1FE50383">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宋体" w:hAnsi="宋体" w:eastAsia="宋体" w:cs="宋体"/>
                <w:b w:val="0"/>
                <w:bCs w:val="0"/>
                <w:sz w:val="21"/>
                <w:szCs w:val="21"/>
                <w:lang w:val="en-US" w:eastAsia="zh-CN"/>
              </w:rPr>
            </w:pPr>
          </w:p>
        </w:tc>
      </w:tr>
      <w:tr w14:paraId="6B48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exac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0A495191">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2A958D1">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规划编制</w:t>
            </w:r>
          </w:p>
        </w:tc>
        <w:tc>
          <w:tcPr>
            <w:tcW w:w="4684" w:type="dxa"/>
            <w:tcBorders>
              <w:top w:val="single" w:color="auto" w:sz="4" w:space="0"/>
              <w:left w:val="single" w:color="auto" w:sz="4" w:space="0"/>
              <w:bottom w:val="single" w:color="auto" w:sz="4" w:space="0"/>
              <w:right w:val="single" w:color="auto" w:sz="4" w:space="0"/>
            </w:tcBorders>
            <w:shd w:val="clear" w:color="auto" w:fill="auto"/>
            <w:vAlign w:val="center"/>
          </w:tcPr>
          <w:p w14:paraId="031C3145">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基于前期研究，制定文化产业发展目标、战略、空间布局、重点项目规划等内容，形成初步规划报告框架。</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14:paraId="3505B53E">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规划设计人力成本、项目策划费用</w:t>
            </w:r>
          </w:p>
          <w:p w14:paraId="4D7897E6">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77C9630A">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宋体" w:hAnsi="宋体" w:eastAsia="宋体" w:cs="宋体"/>
                <w:b w:val="0"/>
                <w:bCs w:val="0"/>
                <w:sz w:val="21"/>
                <w:szCs w:val="21"/>
                <w:lang w:val="en-US" w:eastAsia="zh-CN"/>
              </w:rPr>
            </w:pPr>
          </w:p>
        </w:tc>
      </w:tr>
      <w:tr w14:paraId="6D58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exac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370C6650">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4E1C0CC">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方案优化</w:t>
            </w:r>
          </w:p>
        </w:tc>
        <w:tc>
          <w:tcPr>
            <w:tcW w:w="4684" w:type="dxa"/>
            <w:tcBorders>
              <w:top w:val="single" w:color="auto" w:sz="4" w:space="0"/>
              <w:left w:val="single" w:color="auto" w:sz="4" w:space="0"/>
              <w:bottom w:val="single" w:color="auto" w:sz="4" w:space="0"/>
              <w:right w:val="single" w:color="auto" w:sz="4" w:space="0"/>
            </w:tcBorders>
            <w:shd w:val="clear" w:color="auto" w:fill="auto"/>
            <w:vAlign w:val="center"/>
          </w:tcPr>
          <w:p w14:paraId="6340E140">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组织内部研讨、专家咨询会，广泛征求意见对初步规划报告进行优化完善，确保规划的科学性与可行性。</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14:paraId="41F4426B">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研讨会议场地费、专家评审费用</w:t>
            </w:r>
          </w:p>
          <w:p w14:paraId="455A309A">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17190F46">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宋体" w:hAnsi="宋体" w:eastAsia="宋体" w:cs="宋体"/>
                <w:b w:val="0"/>
                <w:bCs w:val="0"/>
                <w:sz w:val="21"/>
                <w:szCs w:val="21"/>
                <w:lang w:val="en-US" w:eastAsia="zh-CN"/>
              </w:rPr>
            </w:pPr>
          </w:p>
        </w:tc>
      </w:tr>
      <w:tr w14:paraId="26D7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4" w:hRule="exac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4A90C1DD">
            <w:pPr>
              <w:spacing w:line="36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8BF0BDC">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成果交付</w:t>
            </w:r>
          </w:p>
        </w:tc>
        <w:tc>
          <w:tcPr>
            <w:tcW w:w="4684" w:type="dxa"/>
            <w:tcBorders>
              <w:top w:val="single" w:color="auto" w:sz="4" w:space="0"/>
              <w:left w:val="single" w:color="auto" w:sz="4" w:space="0"/>
              <w:bottom w:val="single" w:color="auto" w:sz="4" w:space="0"/>
              <w:right w:val="single" w:color="auto" w:sz="4" w:space="0"/>
            </w:tcBorders>
            <w:shd w:val="clear" w:color="auto" w:fill="auto"/>
            <w:vAlign w:val="center"/>
          </w:tcPr>
          <w:p w14:paraId="014D88D0">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提交最终文化产业规划报告，包括文本、图表等提供一定期限的后续咨询服务。</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14:paraId="370901D9">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default" w:ascii="宋体" w:hAnsi="宋体" w:eastAsia="宋体" w:cs="宋体"/>
                <w:sz w:val="21"/>
                <w:szCs w:val="21"/>
                <w:lang w:val="en-US"/>
              </w:rPr>
            </w:pPr>
            <w:r>
              <w:rPr>
                <w:rFonts w:hint="eastAsia" w:ascii="宋体" w:hAnsi="宋体" w:eastAsia="宋体" w:cs="宋体"/>
                <w:sz w:val="21"/>
                <w:szCs w:val="21"/>
                <w:lang w:val="en-US" w:eastAsia="zh-CN"/>
              </w:rPr>
              <w:t>沟通协调费用、评估报告编制费用</w:t>
            </w:r>
          </w:p>
          <w:p w14:paraId="4A715A70">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lang w:val="en-US" w:eastAsia="zh-CN"/>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3FDD594B">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宋体" w:hAnsi="宋体" w:eastAsia="宋体" w:cs="宋体"/>
                <w:b w:val="0"/>
                <w:bCs w:val="0"/>
                <w:sz w:val="21"/>
                <w:szCs w:val="21"/>
                <w:lang w:val="en-US" w:eastAsia="zh-CN"/>
              </w:rPr>
            </w:pPr>
          </w:p>
        </w:tc>
      </w:tr>
      <w:tr w14:paraId="5F11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4340F9F4">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含税价</w:t>
            </w:r>
          </w:p>
        </w:tc>
        <w:tc>
          <w:tcPr>
            <w:tcW w:w="80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9EEBAC">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sz w:val="21"/>
                <w:szCs w:val="21"/>
              </w:rPr>
            </w:pPr>
          </w:p>
        </w:tc>
      </w:tr>
      <w:tr w14:paraId="64D2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32E44E38">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 w:eastAsia="仿宋_GB2312" w:cs="宋体"/>
                <w:b w:val="0"/>
                <w:bCs w:val="0"/>
                <w:color w:val="000000"/>
                <w:kern w:val="0"/>
                <w:sz w:val="28"/>
                <w:szCs w:val="28"/>
                <w:lang w:val="en-US" w:eastAsia="zh-CN" w:bidi="ar"/>
              </w:rPr>
            </w:pPr>
            <w:r>
              <w:rPr>
                <w:rFonts w:hint="eastAsia" w:ascii="仿宋_GB2312" w:hAnsi="仿宋_GB2312" w:eastAsia="仿宋_GB2312" w:cs="仿宋_GB2312"/>
                <w:b w:val="0"/>
                <w:bCs w:val="0"/>
                <w:sz w:val="28"/>
                <w:szCs w:val="28"/>
              </w:rPr>
              <w:t>报价单位</w:t>
            </w:r>
          </w:p>
        </w:tc>
        <w:tc>
          <w:tcPr>
            <w:tcW w:w="80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5DE795">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单位</w:t>
            </w:r>
            <w:r>
              <w:rPr>
                <w:rFonts w:hint="eastAsia" w:ascii="仿宋_GB2312" w:hAnsi="仿宋_GB2312" w:eastAsia="仿宋_GB2312" w:cs="仿宋_GB2312"/>
                <w:b w:val="0"/>
                <w:bCs w:val="0"/>
                <w:sz w:val="28"/>
                <w:szCs w:val="28"/>
                <w:lang w:eastAsia="zh-CN"/>
              </w:rPr>
              <w:t>名称</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（盖章）</w:t>
            </w:r>
          </w:p>
          <w:p w14:paraId="41DAFD5E">
            <w:pPr>
              <w:keepNext w:val="0"/>
              <w:keepLines w:val="0"/>
              <w:pageBreakBefore w:val="0"/>
              <w:kinsoku/>
              <w:wordWrap/>
              <w:overflowPunct/>
              <w:topLinePunct w:val="0"/>
              <w:autoSpaceDE/>
              <w:autoSpaceDN/>
              <w:bidi w:val="0"/>
              <w:adjustRightInd w:val="0"/>
              <w:snapToGrid w:val="0"/>
              <w:spacing w:line="360" w:lineRule="auto"/>
              <w:jc w:val="left"/>
              <w:rPr>
                <w:rFonts w:hint="default"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rPr>
              <w:t>项目负责人：</w:t>
            </w:r>
            <w:r>
              <w:rPr>
                <w:rFonts w:hint="eastAsia" w:ascii="仿宋_GB2312" w:hAnsi="仿宋_GB2312" w:eastAsia="仿宋_GB2312" w:cs="仿宋_GB2312"/>
                <w:b w:val="0"/>
                <w:bCs w:val="0"/>
                <w:sz w:val="28"/>
                <w:szCs w:val="28"/>
                <w:u w:val="single"/>
                <w:lang w:val="en-US" w:eastAsia="zh-CN"/>
              </w:rPr>
              <w:t xml:space="preserve">                     </w:t>
            </w:r>
          </w:p>
          <w:p w14:paraId="47669D5D">
            <w:pPr>
              <w:keepNext w:val="0"/>
              <w:keepLines w:val="0"/>
              <w:pageBreakBefore w:val="0"/>
              <w:kinsoku/>
              <w:wordWrap/>
              <w:overflowPunct/>
              <w:topLinePunct w:val="0"/>
              <w:autoSpaceDE/>
              <w:autoSpaceDN/>
              <w:bidi w:val="0"/>
              <w:adjustRightInd w:val="0"/>
              <w:snapToGrid w:val="0"/>
              <w:spacing w:line="360" w:lineRule="auto"/>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联系方式 ：</w:t>
            </w:r>
            <w:r>
              <w:rPr>
                <w:rFonts w:hint="eastAsia" w:ascii="仿宋_GB2312" w:hAnsi="仿宋_GB2312" w:eastAsia="仿宋_GB2312" w:cs="仿宋_GB2312"/>
                <w:b w:val="0"/>
                <w:bCs w:val="0"/>
                <w:sz w:val="28"/>
                <w:szCs w:val="28"/>
                <w:u w:val="single"/>
                <w:lang w:val="en-US" w:eastAsia="zh-CN"/>
              </w:rPr>
              <w:t xml:space="preserve">                       </w:t>
            </w:r>
          </w:p>
          <w:p w14:paraId="2C035739">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仿宋_GB2312" w:hAnsi="仿宋" w:eastAsia="仿宋_GB2312" w:cs="宋体"/>
                <w:b w:val="0"/>
                <w:bCs w:val="0"/>
                <w:color w:val="000000"/>
                <w:kern w:val="0"/>
                <w:sz w:val="28"/>
                <w:szCs w:val="28"/>
                <w:lang w:val="en-US" w:eastAsia="zh-CN" w:bidi="ar"/>
              </w:rPr>
            </w:pPr>
            <w:r>
              <w:rPr>
                <w:rFonts w:hint="eastAsia" w:ascii="仿宋_GB2312" w:hAnsi="仿宋_GB2312" w:eastAsia="仿宋_GB2312" w:cs="仿宋_GB2312"/>
                <w:b w:val="0"/>
                <w:bCs w:val="0"/>
                <w:sz w:val="28"/>
                <w:szCs w:val="28"/>
              </w:rPr>
              <w:t>报价日期：</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日</w:t>
            </w:r>
          </w:p>
        </w:tc>
      </w:tr>
    </w:tbl>
    <w:p w14:paraId="37E10544">
      <w:pPr>
        <w:pStyle w:val="2"/>
        <w:ind w:left="0" w:leftChars="0" w:firstLine="0" w:firstLineChars="0"/>
        <w:rPr>
          <w:lang w:val="en-US"/>
        </w:rPr>
      </w:pPr>
    </w:p>
    <w:sectPr>
      <w:pgSz w:w="11906" w:h="16838"/>
      <w:pgMar w:top="2211" w:right="147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MDkyMDlkY2I5ODdjYWY1OTQ1YzMwMzFiYjQxMzAifQ=="/>
  </w:docVars>
  <w:rsids>
    <w:rsidRoot w:val="00611DD7"/>
    <w:rsid w:val="00001558"/>
    <w:rsid w:val="000329C3"/>
    <w:rsid w:val="00064BF6"/>
    <w:rsid w:val="00074D50"/>
    <w:rsid w:val="000831E2"/>
    <w:rsid w:val="00084AA5"/>
    <w:rsid w:val="000C3AEA"/>
    <w:rsid w:val="000C72CD"/>
    <w:rsid w:val="001551DB"/>
    <w:rsid w:val="001B060E"/>
    <w:rsid w:val="001F520A"/>
    <w:rsid w:val="0021570C"/>
    <w:rsid w:val="002349F8"/>
    <w:rsid w:val="00270D92"/>
    <w:rsid w:val="00292AF4"/>
    <w:rsid w:val="002A6A73"/>
    <w:rsid w:val="002D079E"/>
    <w:rsid w:val="002D1396"/>
    <w:rsid w:val="0030139D"/>
    <w:rsid w:val="00333EAD"/>
    <w:rsid w:val="003A3423"/>
    <w:rsid w:val="003D6CAA"/>
    <w:rsid w:val="00405802"/>
    <w:rsid w:val="00432F37"/>
    <w:rsid w:val="004810FC"/>
    <w:rsid w:val="004B649F"/>
    <w:rsid w:val="00553C43"/>
    <w:rsid w:val="00597386"/>
    <w:rsid w:val="00611DD7"/>
    <w:rsid w:val="00680357"/>
    <w:rsid w:val="006835FA"/>
    <w:rsid w:val="006C4C1A"/>
    <w:rsid w:val="00736F99"/>
    <w:rsid w:val="00756C80"/>
    <w:rsid w:val="00770F77"/>
    <w:rsid w:val="00783409"/>
    <w:rsid w:val="0088654D"/>
    <w:rsid w:val="008963F8"/>
    <w:rsid w:val="008C4A03"/>
    <w:rsid w:val="008F7593"/>
    <w:rsid w:val="00931539"/>
    <w:rsid w:val="00960BBD"/>
    <w:rsid w:val="009A718B"/>
    <w:rsid w:val="009C62E1"/>
    <w:rsid w:val="009D4CF8"/>
    <w:rsid w:val="009F690A"/>
    <w:rsid w:val="00A37EDA"/>
    <w:rsid w:val="00A40670"/>
    <w:rsid w:val="00A576D7"/>
    <w:rsid w:val="00A80744"/>
    <w:rsid w:val="00A96F01"/>
    <w:rsid w:val="00AB308E"/>
    <w:rsid w:val="00AC1ACA"/>
    <w:rsid w:val="00B03757"/>
    <w:rsid w:val="00B97C1D"/>
    <w:rsid w:val="00BC74EF"/>
    <w:rsid w:val="00C6725E"/>
    <w:rsid w:val="00CE3324"/>
    <w:rsid w:val="00CE6AAD"/>
    <w:rsid w:val="00D0634B"/>
    <w:rsid w:val="00D2460A"/>
    <w:rsid w:val="00D4715F"/>
    <w:rsid w:val="00D707DA"/>
    <w:rsid w:val="00D84E66"/>
    <w:rsid w:val="00DF34A0"/>
    <w:rsid w:val="00E0013E"/>
    <w:rsid w:val="00EB0D69"/>
    <w:rsid w:val="00EC5177"/>
    <w:rsid w:val="00F65046"/>
    <w:rsid w:val="0682140E"/>
    <w:rsid w:val="098C441C"/>
    <w:rsid w:val="0DD0539F"/>
    <w:rsid w:val="11B3486A"/>
    <w:rsid w:val="121D0C5E"/>
    <w:rsid w:val="18B357BD"/>
    <w:rsid w:val="1B0E1DEA"/>
    <w:rsid w:val="1E696D10"/>
    <w:rsid w:val="1EFD8D5A"/>
    <w:rsid w:val="1F70B5A0"/>
    <w:rsid w:val="22020E70"/>
    <w:rsid w:val="224130E3"/>
    <w:rsid w:val="28377715"/>
    <w:rsid w:val="2A5877F1"/>
    <w:rsid w:val="2ED662CE"/>
    <w:rsid w:val="2F77836C"/>
    <w:rsid w:val="34362C0E"/>
    <w:rsid w:val="375543A6"/>
    <w:rsid w:val="387C4BA3"/>
    <w:rsid w:val="3B8EC8EC"/>
    <w:rsid w:val="3BA44219"/>
    <w:rsid w:val="3CD226A9"/>
    <w:rsid w:val="3E8B78D6"/>
    <w:rsid w:val="3EECC8C9"/>
    <w:rsid w:val="3F14775D"/>
    <w:rsid w:val="3F79B9A5"/>
    <w:rsid w:val="3F7F0D50"/>
    <w:rsid w:val="4044327C"/>
    <w:rsid w:val="433A2BE7"/>
    <w:rsid w:val="45AA33BD"/>
    <w:rsid w:val="472128D7"/>
    <w:rsid w:val="47F595CB"/>
    <w:rsid w:val="4A2E1D86"/>
    <w:rsid w:val="4B1B2B3F"/>
    <w:rsid w:val="4C3E285D"/>
    <w:rsid w:val="4EC77667"/>
    <w:rsid w:val="524116D3"/>
    <w:rsid w:val="53727562"/>
    <w:rsid w:val="5410637A"/>
    <w:rsid w:val="553F0318"/>
    <w:rsid w:val="5A446F59"/>
    <w:rsid w:val="609A3784"/>
    <w:rsid w:val="62557785"/>
    <w:rsid w:val="6437784C"/>
    <w:rsid w:val="649929CD"/>
    <w:rsid w:val="64CB0AA4"/>
    <w:rsid w:val="66251D48"/>
    <w:rsid w:val="67803AE3"/>
    <w:rsid w:val="67B363AF"/>
    <w:rsid w:val="67B71791"/>
    <w:rsid w:val="67FB1B19"/>
    <w:rsid w:val="6A527501"/>
    <w:rsid w:val="6B3F7BF3"/>
    <w:rsid w:val="6B8D0EF1"/>
    <w:rsid w:val="6C575971"/>
    <w:rsid w:val="6DDFF18D"/>
    <w:rsid w:val="6FDEC207"/>
    <w:rsid w:val="70775295"/>
    <w:rsid w:val="710F1A53"/>
    <w:rsid w:val="715147DF"/>
    <w:rsid w:val="7365394B"/>
    <w:rsid w:val="76F5C1A5"/>
    <w:rsid w:val="775992EE"/>
    <w:rsid w:val="79E12165"/>
    <w:rsid w:val="7AD91E19"/>
    <w:rsid w:val="7BCF7B6A"/>
    <w:rsid w:val="7D9C8A62"/>
    <w:rsid w:val="7DD7F9F8"/>
    <w:rsid w:val="7FFB32A6"/>
    <w:rsid w:val="7FFBEE2F"/>
    <w:rsid w:val="8FFDA70E"/>
    <w:rsid w:val="AFBFBE45"/>
    <w:rsid w:val="BDD733C8"/>
    <w:rsid w:val="BFEC7E11"/>
    <w:rsid w:val="CBFFA3CC"/>
    <w:rsid w:val="DF7F6A29"/>
    <w:rsid w:val="EBEF2CB0"/>
    <w:rsid w:val="ECFDA9B4"/>
    <w:rsid w:val="ED268AA2"/>
    <w:rsid w:val="F3EF1E8C"/>
    <w:rsid w:val="F5AF1532"/>
    <w:rsid w:val="F5DDEFB9"/>
    <w:rsid w:val="F7FE72AD"/>
    <w:rsid w:val="FAFF45A5"/>
    <w:rsid w:val="FE8F02E0"/>
    <w:rsid w:val="FFF5109A"/>
    <w:rsid w:val="FFFEF69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0"/>
    </w:pPr>
    <w:rPr>
      <w:rFonts w:ascii="仿宋" w:hAnsi="仿宋" w:eastAsia="仿宋" w:cs="仿宋"/>
      <w:sz w:val="32"/>
      <w:szCs w:val="32"/>
      <w:lang w:val="zh-CN" w:bidi="zh-CN"/>
    </w:rPr>
  </w:style>
  <w:style w:type="paragraph" w:styleId="3">
    <w:name w:val="Plain Text"/>
    <w:basedOn w:val="1"/>
    <w:next w:val="1"/>
    <w:qFormat/>
    <w:uiPriority w:val="99"/>
    <w:rPr>
      <w:rFonts w:ascii="宋体" w:hAnsi="Courier New" w:cs="Courier New"/>
    </w:rPr>
  </w:style>
  <w:style w:type="paragraph" w:styleId="4">
    <w:name w:val="Balloon Text"/>
    <w:basedOn w:val="1"/>
    <w:link w:val="14"/>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locked/>
    <w:uiPriority w:val="10"/>
    <w:pPr>
      <w:spacing w:before="240" w:after="60"/>
      <w:jc w:val="center"/>
      <w:outlineLvl w:val="0"/>
    </w:pPr>
    <w:rPr>
      <w:rFonts w:ascii="Cambria" w:hAnsi="Cambria"/>
      <w:b/>
      <w:bCs/>
      <w:sz w:val="32"/>
      <w:szCs w:val="32"/>
    </w:rPr>
  </w:style>
  <w:style w:type="table" w:styleId="9">
    <w:name w:val="Table Grid"/>
    <w:basedOn w:val="8"/>
    <w:unhideWhenUsed/>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脚 字符"/>
    <w:link w:val="5"/>
    <w:qFormat/>
    <w:locked/>
    <w:uiPriority w:val="99"/>
    <w:rPr>
      <w:sz w:val="18"/>
      <w:szCs w:val="18"/>
    </w:rPr>
  </w:style>
  <w:style w:type="character" w:customStyle="1" w:styleId="12">
    <w:name w:val="页眉 字符"/>
    <w:link w:val="6"/>
    <w:qFormat/>
    <w:locked/>
    <w:uiPriority w:val="99"/>
    <w:rPr>
      <w:sz w:val="18"/>
      <w:szCs w:val="18"/>
    </w:rPr>
  </w:style>
  <w:style w:type="character" w:customStyle="1" w:styleId="13">
    <w:name w:val="font51"/>
    <w:qFormat/>
    <w:uiPriority w:val="0"/>
    <w:rPr>
      <w:rFonts w:hint="eastAsia" w:ascii="宋体" w:hAnsi="宋体" w:eastAsia="宋体" w:cs="宋体"/>
      <w:color w:val="000000"/>
      <w:sz w:val="36"/>
      <w:szCs w:val="36"/>
      <w:u w:val="none"/>
    </w:rPr>
  </w:style>
  <w:style w:type="character" w:customStyle="1" w:styleId="14">
    <w:name w:val="批注框文本 字符"/>
    <w:basedOn w:val="10"/>
    <w:link w:val="4"/>
    <w:semiHidden/>
    <w:qFormat/>
    <w:uiPriority w:val="99"/>
    <w:rPr>
      <w:rFonts w:ascii="Times New Roman" w:hAnsi="Times New Roman" w:cs="Times New Roman"/>
      <w:kern w:val="2"/>
      <w:sz w:val="18"/>
      <w:szCs w:val="18"/>
    </w:rPr>
  </w:style>
  <w:style w:type="character" w:customStyle="1" w:styleId="15">
    <w:name w:val="font01"/>
    <w:basedOn w:val="10"/>
    <w:qFormat/>
    <w:uiPriority w:val="0"/>
    <w:rPr>
      <w:rFonts w:hint="eastAsia" w:ascii="宋体" w:hAnsi="宋体" w:eastAsia="宋体" w:cs="宋体"/>
      <w:b/>
      <w:bCs/>
      <w:color w:val="000000"/>
      <w:sz w:val="18"/>
      <w:szCs w:val="18"/>
      <w:u w:val="none"/>
    </w:rPr>
  </w:style>
  <w:style w:type="character" w:customStyle="1" w:styleId="16">
    <w:name w:val="font41"/>
    <w:basedOn w:val="10"/>
    <w:qFormat/>
    <w:uiPriority w:val="0"/>
    <w:rPr>
      <w:rFonts w:hint="eastAsia" w:ascii="宋体" w:hAnsi="宋体" w:eastAsia="宋体" w:cs="宋体"/>
      <w:color w:val="000000"/>
      <w:sz w:val="18"/>
      <w:szCs w:val="18"/>
      <w:u w:val="none"/>
    </w:rPr>
  </w:style>
  <w:style w:type="table" w:customStyle="1" w:styleId="17">
    <w:name w:val="网格型1"/>
    <w:basedOn w:val="8"/>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9">
    <w:name w:val="font21"/>
    <w:basedOn w:val="10"/>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575</Words>
  <Characters>587</Characters>
  <Lines>4</Lines>
  <Paragraphs>1</Paragraphs>
  <TotalTime>15</TotalTime>
  <ScaleCrop>false</ScaleCrop>
  <LinksUpToDate>false</LinksUpToDate>
  <CharactersWithSpaces>670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2019-10-12T19:22:00Z</dcterms:created>
  <dc:creator>管志雨</dc:creator>
  <cp:lastModifiedBy>林洁瑜</cp:lastModifiedBy>
  <cp:lastPrinted>2022-12-09T22:45:00Z</cp:lastPrinted>
  <dcterms:modified xsi:type="dcterms:W3CDTF">2025-02-26T02:25:55Z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7572213598264B60BD83D5A89924932E</vt:lpwstr>
  </property>
  <property fmtid="{D5CDD505-2E9C-101B-9397-08002B2CF9AE}" pid="4" name="KSOTemplateDocerSaveRecord">
    <vt:lpwstr>eyJoZGlkIjoiYzgzOWYxNDE5NDBiYjFkZWJjZWZkZDAyOTcxNjExMGQiLCJ1c2VySWQiOiIxNjMwMzkyMzY3In0=</vt:lpwstr>
  </property>
</Properties>
</file>