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宋体" w:hAnsi="宋体" w:cs="宋体"/>
          <w:b/>
          <w:color w:val="auto"/>
          <w:sz w:val="32"/>
          <w:szCs w:val="32"/>
        </w:rPr>
      </w:pPr>
      <w:r>
        <w:rPr>
          <w:rFonts w:hint="eastAsia" w:ascii="宋体" w:hAnsi="宋体" w:cs="宋体"/>
          <w:b/>
          <w:color w:val="auto"/>
          <w:sz w:val="32"/>
          <w:szCs w:val="32"/>
        </w:rPr>
        <w:t>附件2：</w:t>
      </w:r>
    </w:p>
    <w:p>
      <w:pPr>
        <w:spacing w:line="360" w:lineRule="auto"/>
        <w:jc w:val="center"/>
        <w:rPr>
          <w:rFonts w:hint="eastAsia" w:ascii="方正小标宋简体" w:hAnsi="方正小标宋简体" w:eastAsia="方正小标宋简体" w:cs="方正小标宋简体"/>
          <w:b/>
          <w:color w:val="auto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b/>
          <w:color w:val="auto"/>
          <w:sz w:val="32"/>
          <w:szCs w:val="32"/>
        </w:rPr>
        <w:t>评审标准</w:t>
      </w:r>
    </w:p>
    <w:p>
      <w:pPr>
        <w:pStyle w:val="2"/>
        <w:ind w:left="0" w:leftChars="0" w:firstLine="0" w:firstLineChars="0"/>
        <w:rPr>
          <w:color w:val="auto"/>
        </w:rPr>
      </w:pPr>
    </w:p>
    <w:tbl>
      <w:tblPr>
        <w:tblStyle w:val="8"/>
        <w:tblpPr w:leftFromText="180" w:rightFromText="180" w:vertAnchor="text" w:horzAnchor="page" w:tblpXSpec="center" w:tblpY="146"/>
        <w:tblOverlap w:val="never"/>
        <w:tblW w:w="919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6"/>
        <w:gridCol w:w="1573"/>
        <w:gridCol w:w="5174"/>
        <w:gridCol w:w="13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086" w:type="dxa"/>
            <w:vAlign w:val="center"/>
          </w:tcPr>
          <w:p>
            <w:pPr>
              <w:spacing w:line="380" w:lineRule="exact"/>
              <w:jc w:val="center"/>
              <w:rPr>
                <w:b/>
                <w:color w:val="auto"/>
                <w:szCs w:val="21"/>
              </w:rPr>
            </w:pPr>
            <w:r>
              <w:rPr>
                <w:rFonts w:hint="eastAsia"/>
                <w:b/>
                <w:color w:val="auto"/>
                <w:szCs w:val="21"/>
              </w:rPr>
              <w:t>类别</w:t>
            </w:r>
          </w:p>
        </w:tc>
        <w:tc>
          <w:tcPr>
            <w:tcW w:w="1573" w:type="dxa"/>
            <w:tcBorders>
              <w:bottom w:val="single" w:color="auto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b/>
                <w:color w:val="auto"/>
                <w:szCs w:val="21"/>
              </w:rPr>
            </w:pPr>
            <w:r>
              <w:rPr>
                <w:b/>
                <w:color w:val="auto"/>
                <w:szCs w:val="21"/>
              </w:rPr>
              <w:t>评分内容</w:t>
            </w:r>
          </w:p>
        </w:tc>
        <w:tc>
          <w:tcPr>
            <w:tcW w:w="5174" w:type="dxa"/>
            <w:tcBorders>
              <w:bottom w:val="single" w:color="auto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b/>
                <w:color w:val="auto"/>
                <w:szCs w:val="21"/>
              </w:rPr>
            </w:pPr>
            <w:r>
              <w:rPr>
                <w:b/>
                <w:color w:val="auto"/>
                <w:szCs w:val="21"/>
              </w:rPr>
              <w:t>评分标准</w:t>
            </w:r>
          </w:p>
        </w:tc>
        <w:tc>
          <w:tcPr>
            <w:tcW w:w="1362" w:type="dxa"/>
            <w:vAlign w:val="center"/>
          </w:tcPr>
          <w:p>
            <w:pPr>
              <w:spacing w:line="340" w:lineRule="exact"/>
              <w:jc w:val="center"/>
              <w:rPr>
                <w:b/>
                <w:color w:val="auto"/>
                <w:szCs w:val="21"/>
              </w:rPr>
            </w:pPr>
            <w:r>
              <w:rPr>
                <w:b/>
                <w:color w:val="auto"/>
                <w:szCs w:val="21"/>
              </w:rPr>
              <w:t>满分值（分）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5" w:hRule="atLeast"/>
          <w:jc w:val="center"/>
        </w:trPr>
        <w:tc>
          <w:tcPr>
            <w:tcW w:w="1086" w:type="dxa"/>
            <w:vMerge w:val="restart"/>
            <w:vAlign w:val="center"/>
          </w:tcPr>
          <w:p>
            <w:pPr>
              <w:spacing w:line="340" w:lineRule="exact"/>
              <w:jc w:val="center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商务部分</w:t>
            </w:r>
          </w:p>
        </w:tc>
        <w:tc>
          <w:tcPr>
            <w:tcW w:w="1573" w:type="dxa"/>
            <w:vAlign w:val="center"/>
          </w:tcPr>
          <w:p>
            <w:pPr>
              <w:spacing w:line="340" w:lineRule="exact"/>
              <w:jc w:val="center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同品牌/产品/类型项目案例</w:t>
            </w:r>
          </w:p>
        </w:tc>
        <w:tc>
          <w:tcPr>
            <w:tcW w:w="5174" w:type="dxa"/>
            <w:tcBorders>
              <w:bottom w:val="single" w:color="auto" w:sz="4" w:space="0"/>
            </w:tcBorders>
            <w:vAlign w:val="center"/>
          </w:tcPr>
          <w:p>
            <w:pPr>
              <w:spacing w:line="340" w:lineRule="exact"/>
              <w:jc w:val="left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供应商应具备视频拍摄制作服务能力，承接过</w:t>
            </w:r>
            <w:r>
              <w:rPr>
                <w:rFonts w:hint="eastAsia"/>
                <w:color w:val="auto"/>
                <w:szCs w:val="21"/>
                <w:lang w:val="en-US" w:eastAsia="zh-CN"/>
              </w:rPr>
              <w:t>手机、家电等电子产品的品牌片或产品广告片，或</w:t>
            </w:r>
            <w:r>
              <w:rPr>
                <w:rFonts w:hint="eastAsia"/>
                <w:color w:val="auto"/>
                <w:szCs w:val="21"/>
              </w:rPr>
              <w:t>与本次案例形式相似性较高的</w:t>
            </w:r>
            <w:r>
              <w:rPr>
                <w:rFonts w:hint="eastAsia"/>
                <w:color w:val="auto"/>
                <w:szCs w:val="21"/>
                <w:lang w:val="en-US" w:eastAsia="zh-CN"/>
              </w:rPr>
              <w:t>人物群像故事</w:t>
            </w:r>
            <w:r>
              <w:rPr>
                <w:rFonts w:hint="eastAsia"/>
                <w:color w:val="auto"/>
                <w:szCs w:val="21"/>
              </w:rPr>
              <w:t>视频</w:t>
            </w:r>
            <w:r>
              <w:rPr>
                <w:rFonts w:hint="eastAsia"/>
                <w:color w:val="auto"/>
                <w:szCs w:val="21"/>
                <w:lang w:val="en-US" w:eastAsia="zh-CN"/>
              </w:rPr>
              <w:t>作品</w:t>
            </w:r>
            <w:r>
              <w:rPr>
                <w:rFonts w:hint="eastAsia"/>
                <w:color w:val="auto"/>
                <w:szCs w:val="21"/>
              </w:rPr>
              <w:t>，提供1个得4分，最高得</w:t>
            </w:r>
            <w:r>
              <w:rPr>
                <w:rFonts w:hint="eastAsia"/>
                <w:color w:val="auto"/>
                <w:szCs w:val="21"/>
                <w:lang w:val="en-US" w:eastAsia="zh-CN"/>
              </w:rPr>
              <w:t>20</w:t>
            </w:r>
            <w:r>
              <w:rPr>
                <w:rFonts w:hint="eastAsia"/>
                <w:color w:val="auto"/>
                <w:szCs w:val="21"/>
              </w:rPr>
              <w:t>分，每条视频需附链接或二维码。</w:t>
            </w:r>
          </w:p>
          <w:p>
            <w:pPr>
              <w:spacing w:line="340" w:lineRule="exact"/>
              <w:jc w:val="left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【</w:t>
            </w:r>
            <w:r>
              <w:rPr>
                <w:rFonts w:hint="eastAsia"/>
                <w:b/>
                <w:color w:val="auto"/>
                <w:szCs w:val="21"/>
              </w:rPr>
              <w:t>需要合同或委托协议关键页复印件，不提供不得分</w:t>
            </w:r>
            <w:r>
              <w:rPr>
                <w:rFonts w:hint="eastAsia"/>
                <w:color w:val="auto"/>
                <w:szCs w:val="21"/>
              </w:rPr>
              <w:t>】</w:t>
            </w:r>
          </w:p>
        </w:tc>
        <w:tc>
          <w:tcPr>
            <w:tcW w:w="1362" w:type="dxa"/>
            <w:vAlign w:val="center"/>
          </w:tcPr>
          <w:p>
            <w:pPr>
              <w:spacing w:line="340" w:lineRule="exact"/>
              <w:jc w:val="center"/>
              <w:rPr>
                <w:rFonts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szCs w:val="21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5" w:hRule="atLeast"/>
          <w:jc w:val="center"/>
        </w:trPr>
        <w:tc>
          <w:tcPr>
            <w:tcW w:w="1086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color w:val="auto"/>
                <w:szCs w:val="21"/>
              </w:rPr>
            </w:pPr>
          </w:p>
        </w:tc>
        <w:tc>
          <w:tcPr>
            <w:tcW w:w="1573" w:type="dxa"/>
            <w:vAlign w:val="center"/>
          </w:tcPr>
          <w:p>
            <w:pPr>
              <w:spacing w:line="340" w:lineRule="exact"/>
              <w:jc w:val="center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项目团队成员情况</w:t>
            </w:r>
          </w:p>
        </w:tc>
        <w:tc>
          <w:tcPr>
            <w:tcW w:w="5174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rFonts w:hint="eastAsia"/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根据供应商提供的项目团队成员情况进行评审：供应商需提供6人以上的项目执行团队名单</w:t>
            </w:r>
            <w:r>
              <w:rPr>
                <w:rFonts w:hint="eastAsia"/>
                <w:color w:val="auto"/>
                <w:szCs w:val="21"/>
                <w:lang w:eastAsia="zh-CN"/>
              </w:rPr>
              <w:t>（</w:t>
            </w:r>
            <w:r>
              <w:rPr>
                <w:rFonts w:hint="eastAsia"/>
                <w:color w:val="auto"/>
                <w:szCs w:val="21"/>
                <w:lang w:val="en-US" w:eastAsia="zh-CN"/>
              </w:rPr>
              <w:t>不含演员</w:t>
            </w:r>
            <w:r>
              <w:rPr>
                <w:rFonts w:hint="eastAsia"/>
                <w:color w:val="auto"/>
                <w:szCs w:val="21"/>
                <w:lang w:eastAsia="zh-CN"/>
              </w:rPr>
              <w:t>）</w:t>
            </w:r>
            <w:r>
              <w:rPr>
                <w:rFonts w:hint="eastAsia"/>
                <w:color w:val="auto"/>
                <w:szCs w:val="21"/>
              </w:rPr>
              <w:t>，团队成员具有丰富的视频拍摄制经验，人员配置合理齐全。</w:t>
            </w:r>
          </w:p>
          <w:p>
            <w:pPr>
              <w:numPr>
                <w:ilvl w:val="0"/>
                <w:numId w:val="1"/>
              </w:numPr>
              <w:ind w:left="420" w:leftChars="0" w:hanging="420" w:firstLineChars="0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名单符合标准且多于</w:t>
            </w:r>
            <w:r>
              <w:rPr>
                <w:rFonts w:hint="eastAsia"/>
                <w:color w:val="auto"/>
                <w:szCs w:val="21"/>
                <w:lang w:val="en-US" w:eastAsia="zh-CN"/>
              </w:rPr>
              <w:t>9</w:t>
            </w:r>
            <w:r>
              <w:rPr>
                <w:rFonts w:hint="eastAsia"/>
                <w:color w:val="auto"/>
                <w:szCs w:val="21"/>
              </w:rPr>
              <w:t>人得</w:t>
            </w:r>
            <w:r>
              <w:rPr>
                <w:rFonts w:hint="eastAsia"/>
                <w:color w:val="auto"/>
                <w:szCs w:val="21"/>
                <w:lang w:val="en-US" w:eastAsia="zh-CN"/>
              </w:rPr>
              <w:t>6</w:t>
            </w:r>
            <w:r>
              <w:rPr>
                <w:rFonts w:hint="eastAsia"/>
                <w:color w:val="auto"/>
                <w:szCs w:val="21"/>
              </w:rPr>
              <w:t>分，</w:t>
            </w:r>
            <w:r>
              <w:rPr>
                <w:rFonts w:hint="eastAsia"/>
                <w:color w:val="auto"/>
                <w:szCs w:val="21"/>
                <w:lang w:val="en-US" w:eastAsia="zh-CN"/>
              </w:rPr>
              <w:t>6-9</w:t>
            </w:r>
            <w:r>
              <w:rPr>
                <w:rFonts w:hint="eastAsia"/>
                <w:color w:val="auto"/>
                <w:szCs w:val="21"/>
              </w:rPr>
              <w:t>人得</w:t>
            </w:r>
            <w:r>
              <w:rPr>
                <w:rFonts w:hint="eastAsia"/>
                <w:color w:val="auto"/>
                <w:szCs w:val="21"/>
                <w:lang w:val="en-US" w:eastAsia="zh-CN"/>
              </w:rPr>
              <w:t>4</w:t>
            </w:r>
            <w:r>
              <w:rPr>
                <w:rFonts w:hint="eastAsia"/>
                <w:color w:val="auto"/>
                <w:szCs w:val="21"/>
              </w:rPr>
              <w:t>分，少于6人不得分；</w:t>
            </w:r>
          </w:p>
          <w:p>
            <w:pPr>
              <w:numPr>
                <w:ilvl w:val="0"/>
                <w:numId w:val="1"/>
              </w:numPr>
              <w:ind w:left="420" w:leftChars="0" w:hanging="420" w:firstLineChars="0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需提供</w:t>
            </w:r>
            <w:r>
              <w:rPr>
                <w:rFonts w:hint="eastAsia"/>
                <w:color w:val="auto"/>
                <w:szCs w:val="21"/>
                <w:lang w:val="en-US" w:eastAsia="zh-CN"/>
              </w:rPr>
              <w:t>团队</w:t>
            </w:r>
            <w:r>
              <w:rPr>
                <w:rFonts w:hint="eastAsia"/>
                <w:color w:val="auto"/>
                <w:szCs w:val="21"/>
              </w:rPr>
              <w:t>成员</w:t>
            </w:r>
            <w:r>
              <w:rPr>
                <w:rFonts w:hint="eastAsia"/>
                <w:color w:val="auto"/>
                <w:szCs w:val="21"/>
                <w:lang w:eastAsia="zh-CN"/>
              </w:rPr>
              <w:t>（包括但不限于导演、制片、监制、摄像、灯光、后期等）</w:t>
            </w:r>
            <w:r>
              <w:rPr>
                <w:rFonts w:hint="eastAsia"/>
                <w:color w:val="auto"/>
                <w:szCs w:val="21"/>
              </w:rPr>
              <w:t>近3个月的社保缴存证明，符合要求的每人得</w:t>
            </w:r>
            <w:r>
              <w:rPr>
                <w:color w:val="auto"/>
                <w:szCs w:val="21"/>
              </w:rPr>
              <w:t>1</w:t>
            </w:r>
            <w:r>
              <w:rPr>
                <w:rFonts w:hint="eastAsia"/>
                <w:color w:val="auto"/>
                <w:szCs w:val="21"/>
              </w:rPr>
              <w:t>分，最高得</w:t>
            </w:r>
            <w:r>
              <w:rPr>
                <w:rFonts w:hint="eastAsia"/>
                <w:color w:val="auto"/>
                <w:szCs w:val="21"/>
                <w:lang w:val="en-US" w:eastAsia="zh-CN"/>
              </w:rPr>
              <w:t>4</w:t>
            </w:r>
            <w:r>
              <w:rPr>
                <w:rFonts w:hint="eastAsia"/>
                <w:color w:val="auto"/>
                <w:szCs w:val="21"/>
              </w:rPr>
              <w:t>分；不满足不得分。</w:t>
            </w:r>
          </w:p>
        </w:tc>
        <w:tc>
          <w:tcPr>
            <w:tcW w:w="1362" w:type="dxa"/>
            <w:vAlign w:val="center"/>
          </w:tcPr>
          <w:p>
            <w:pPr>
              <w:spacing w:line="340" w:lineRule="exact"/>
              <w:jc w:val="center"/>
              <w:rPr>
                <w:rFonts w:hint="default" w:ascii="宋体" w:hAnsi="宋体" w:eastAsia="宋体" w:cs="宋体"/>
                <w:color w:val="auto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Cs w:val="21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6" w:hRule="atLeast"/>
          <w:jc w:val="center"/>
        </w:trPr>
        <w:tc>
          <w:tcPr>
            <w:tcW w:w="1086" w:type="dxa"/>
            <w:vAlign w:val="center"/>
          </w:tcPr>
          <w:p>
            <w:pPr>
              <w:spacing w:line="340" w:lineRule="exact"/>
              <w:jc w:val="center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技术部分</w:t>
            </w:r>
          </w:p>
        </w:tc>
        <w:tc>
          <w:tcPr>
            <w:tcW w:w="1573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Cs w:val="21"/>
                <w:lang w:val="en-US" w:eastAsia="zh-CN"/>
              </w:rPr>
              <w:t>分镜脚本</w:t>
            </w:r>
          </w:p>
        </w:tc>
        <w:tc>
          <w:tcPr>
            <w:tcW w:w="5174" w:type="dxa"/>
            <w:tcBorders>
              <w:bottom w:val="single" w:color="auto" w:sz="4" w:space="0"/>
            </w:tcBorders>
            <w:vAlign w:val="center"/>
          </w:tcPr>
          <w:p>
            <w:pPr>
              <w:spacing w:line="340" w:lineRule="exact"/>
              <w:jc w:val="left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根据供应商</w:t>
            </w:r>
            <w:r>
              <w:rPr>
                <w:rFonts w:hint="eastAsia"/>
                <w:color w:val="auto"/>
              </w:rPr>
              <w:t>提供</w:t>
            </w:r>
            <w:r>
              <w:rPr>
                <w:rFonts w:hint="eastAsia"/>
                <w:color w:val="auto"/>
                <w:lang w:eastAsia="zh-CN"/>
              </w:rPr>
              <w:t>的</w:t>
            </w:r>
            <w:r>
              <w:rPr>
                <w:rFonts w:hint="eastAsia"/>
                <w:color w:val="auto"/>
              </w:rPr>
              <w:t>视频拍摄制作方案</w:t>
            </w:r>
            <w:r>
              <w:rPr>
                <w:rFonts w:hint="eastAsia"/>
                <w:color w:val="auto"/>
                <w:lang w:val="en-US" w:eastAsia="zh-CN"/>
              </w:rPr>
              <w:t>进行评审，分镜脚本作为制作方案的核心内容，可包含但不限于视频主题、主题阐述、镜头设计合理连贯、画面描述或示意、旁白或台词流畅、人物故事情节等；整体内容设计，符合门店服务进社区的实际情况，能够真实还原活动场景及内容，呈现多个门店员工与社区居民的群像故事，有洞察、有共鸣。</w:t>
            </w:r>
          </w:p>
          <w:p>
            <w:pPr>
              <w:numPr>
                <w:ilvl w:val="0"/>
                <w:numId w:val="2"/>
              </w:numPr>
              <w:spacing w:line="340" w:lineRule="exact"/>
              <w:ind w:left="420" w:leftChars="0" w:hanging="420" w:firstLineChars="0"/>
              <w:jc w:val="left"/>
              <w:rPr>
                <w:rFonts w:hint="eastAsia"/>
                <w:color w:val="auto"/>
                <w:lang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分镜脚本内容十分完整、主题及阐述十分贴切、镜头设计非常连贯或具创意、画面描述或参考非常详细、旁白或台词连贯流畅且具可读性高、人物故事情节丰富多元；有超过6组人物故事，整体内容设计符合逻辑和实际情况，真实还原员工与居民的友好关系，得21-30分；</w:t>
            </w:r>
          </w:p>
          <w:p>
            <w:pPr>
              <w:numPr>
                <w:ilvl w:val="0"/>
                <w:numId w:val="2"/>
              </w:numPr>
              <w:spacing w:line="340" w:lineRule="exact"/>
              <w:ind w:left="420" w:leftChars="0" w:hanging="420" w:firstLineChars="0"/>
              <w:jc w:val="left"/>
              <w:rPr>
                <w:rFonts w:hint="eastAsia"/>
                <w:color w:val="auto"/>
                <w:lang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分镜脚本内容较为完整、主题及阐述比较贴切、镜头设计连贯、画面描述或参考比较详细、旁白或台词连贯流畅、人物故事情节比较多样；有3-5组人物故事，整体内容设计比较符合实际情况，得11-20分；</w:t>
            </w:r>
          </w:p>
          <w:p>
            <w:pPr>
              <w:numPr>
                <w:ilvl w:val="0"/>
                <w:numId w:val="2"/>
              </w:numPr>
              <w:spacing w:line="340" w:lineRule="exact"/>
              <w:ind w:left="420" w:leftChars="0" w:hanging="420" w:firstLineChars="0"/>
              <w:jc w:val="left"/>
              <w:rPr>
                <w:rFonts w:hint="eastAsia"/>
                <w:color w:val="auto"/>
                <w:lang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分镜脚本不够完整、主题及阐述缺少或不够贴切、缺少镜头设计、画面描述或参考较为粗略、旁白或台词较为简短、人物故事情节比较平淡；少于3组人物故事，整体内容逻辑性一般，得0-10分；</w:t>
            </w:r>
          </w:p>
          <w:p>
            <w:pPr>
              <w:numPr>
                <w:ilvl w:val="0"/>
                <w:numId w:val="2"/>
              </w:numPr>
              <w:spacing w:line="340" w:lineRule="exact"/>
              <w:ind w:left="420" w:leftChars="0" w:hanging="420" w:firstLineChars="0"/>
              <w:jc w:val="left"/>
              <w:rPr>
                <w:rFonts w:hint="eastAsia" w:eastAsia="宋体"/>
                <w:color w:val="auto"/>
                <w:lang w:eastAsia="zh-CN"/>
              </w:rPr>
            </w:pPr>
            <w:r>
              <w:rPr>
                <w:rFonts w:hint="eastAsia"/>
                <w:color w:val="auto"/>
              </w:rPr>
              <w:t>未提供</w:t>
            </w:r>
            <w:r>
              <w:rPr>
                <w:rFonts w:hint="eastAsia"/>
                <w:color w:val="auto"/>
                <w:lang w:val="en-US" w:eastAsia="zh-CN"/>
              </w:rPr>
              <w:t>方案，</w:t>
            </w:r>
            <w:r>
              <w:rPr>
                <w:rFonts w:hint="eastAsia"/>
                <w:color w:val="auto"/>
              </w:rPr>
              <w:t>得</w:t>
            </w:r>
            <w:r>
              <w:rPr>
                <w:rFonts w:hint="eastAsia"/>
                <w:color w:val="auto"/>
                <w:lang w:val="en-US" w:eastAsia="zh-CN"/>
              </w:rPr>
              <w:t>0</w:t>
            </w:r>
            <w:r>
              <w:rPr>
                <w:rFonts w:hint="eastAsia"/>
                <w:color w:val="auto"/>
              </w:rPr>
              <w:t>分</w:t>
            </w:r>
            <w:r>
              <w:rPr>
                <w:rFonts w:hint="eastAsia"/>
                <w:color w:val="auto"/>
                <w:lang w:eastAsia="zh-CN"/>
              </w:rPr>
              <w:t>。</w:t>
            </w:r>
          </w:p>
        </w:tc>
        <w:tc>
          <w:tcPr>
            <w:tcW w:w="1362" w:type="dxa"/>
            <w:vAlign w:val="center"/>
          </w:tcPr>
          <w:p>
            <w:pPr>
              <w:spacing w:line="340" w:lineRule="exact"/>
              <w:jc w:val="center"/>
              <w:rPr>
                <w:rFonts w:hint="default" w:ascii="宋体" w:hAnsi="宋体" w:eastAsia="宋体" w:cs="宋体"/>
                <w:color w:val="auto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Cs w:val="21"/>
                <w:lang w:val="en-US" w:eastAsia="zh-CN"/>
              </w:rPr>
              <w:t>3</w:t>
            </w:r>
            <w:bookmarkStart w:id="0" w:name="_GoBack"/>
            <w:bookmarkEnd w:id="0"/>
            <w:r>
              <w:rPr>
                <w:rFonts w:hint="eastAsia" w:ascii="宋体" w:hAnsi="宋体" w:cs="宋体"/>
                <w:color w:val="auto"/>
                <w:szCs w:val="21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6" w:hRule="atLeast"/>
          <w:jc w:val="center"/>
        </w:trPr>
        <w:tc>
          <w:tcPr>
            <w:tcW w:w="1086" w:type="dxa"/>
            <w:vAlign w:val="center"/>
          </w:tcPr>
          <w:p>
            <w:pPr>
              <w:spacing w:line="340" w:lineRule="exact"/>
              <w:jc w:val="center"/>
              <w:rPr>
                <w:rFonts w:hint="eastAsia"/>
                <w:color w:val="auto"/>
                <w:szCs w:val="21"/>
              </w:rPr>
            </w:pPr>
          </w:p>
        </w:tc>
        <w:tc>
          <w:tcPr>
            <w:tcW w:w="1573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宋体" w:hAnsi="宋体" w:eastAsia="宋体" w:cs="宋体"/>
                <w:color w:val="auto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Cs w:val="21"/>
                <w:lang w:val="en-US" w:eastAsia="zh-CN"/>
              </w:rPr>
              <w:t>补充内容</w:t>
            </w:r>
          </w:p>
        </w:tc>
        <w:tc>
          <w:tcPr>
            <w:tcW w:w="5174" w:type="dxa"/>
            <w:tcBorders>
              <w:bottom w:val="single" w:color="auto" w:sz="4" w:space="0"/>
            </w:tcBorders>
            <w:vAlign w:val="center"/>
          </w:tcPr>
          <w:p>
            <w:pPr>
              <w:spacing w:line="340" w:lineRule="exact"/>
              <w:jc w:val="left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除分镜脚本外，可扩展补充其他拍摄建议，如推荐拍摄的城市&amp;场景及理由、推荐的社区&amp;门店及理由，演员人选及服装建议，道具及置景建议，对标样片建议等。</w:t>
            </w:r>
          </w:p>
          <w:p>
            <w:pPr>
              <w:numPr>
                <w:ilvl w:val="0"/>
                <w:numId w:val="2"/>
              </w:numPr>
              <w:spacing w:line="340" w:lineRule="exact"/>
              <w:ind w:left="420" w:leftChars="0" w:hanging="420" w:firstLineChars="0"/>
              <w:jc w:val="left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推荐的城市、场景、社区、门店具有代表性或特色，提供的演员、服装、道具建议十分符合主题内容，提供的对标样片质感非常高达到TVC规格、并且能非常直观呈现视频效果，</w:t>
            </w:r>
            <w:r>
              <w:rPr>
                <w:rFonts w:hint="eastAsia"/>
                <w:color w:val="auto"/>
              </w:rPr>
              <w:t>得</w:t>
            </w:r>
            <w:r>
              <w:rPr>
                <w:rFonts w:hint="eastAsia"/>
                <w:color w:val="auto"/>
                <w:lang w:val="en-US" w:eastAsia="zh-CN"/>
              </w:rPr>
              <w:t>6</w:t>
            </w:r>
            <w:r>
              <w:rPr>
                <w:rFonts w:hint="eastAsia"/>
                <w:color w:val="auto"/>
                <w:lang w:eastAsia="zh-CN"/>
              </w:rPr>
              <w:t>-</w:t>
            </w:r>
            <w:r>
              <w:rPr>
                <w:rFonts w:hint="eastAsia"/>
                <w:color w:val="auto"/>
                <w:lang w:val="en-US" w:eastAsia="zh-CN"/>
              </w:rPr>
              <w:t>10</w:t>
            </w:r>
            <w:r>
              <w:rPr>
                <w:rFonts w:hint="eastAsia"/>
                <w:color w:val="auto"/>
              </w:rPr>
              <w:t>分；</w:t>
            </w:r>
          </w:p>
          <w:p>
            <w:pPr>
              <w:numPr>
                <w:ilvl w:val="0"/>
                <w:numId w:val="2"/>
              </w:numPr>
              <w:spacing w:line="340" w:lineRule="exact"/>
              <w:ind w:left="420" w:leftChars="0" w:hanging="420" w:firstLineChars="0"/>
              <w:jc w:val="left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推荐的城市、场景、社区、门店较为合理，提供的演员、服装、道具建议比较符合主题内容，提供的对标样片质感能基本达到视频片要求，</w:t>
            </w:r>
            <w:r>
              <w:rPr>
                <w:rFonts w:hint="eastAsia"/>
                <w:color w:val="auto"/>
              </w:rPr>
              <w:t>得</w:t>
            </w:r>
            <w:r>
              <w:rPr>
                <w:rFonts w:hint="eastAsia"/>
                <w:color w:val="auto"/>
                <w:lang w:val="en-US" w:eastAsia="zh-CN"/>
              </w:rPr>
              <w:t>0</w:t>
            </w:r>
            <w:r>
              <w:rPr>
                <w:rFonts w:hint="eastAsia"/>
                <w:color w:val="auto"/>
                <w:lang w:eastAsia="zh-CN"/>
              </w:rPr>
              <w:t>-</w:t>
            </w:r>
            <w:r>
              <w:rPr>
                <w:rFonts w:hint="eastAsia"/>
                <w:color w:val="auto"/>
                <w:lang w:val="en-US" w:eastAsia="zh-CN"/>
              </w:rPr>
              <w:t>5</w:t>
            </w:r>
            <w:r>
              <w:rPr>
                <w:rFonts w:hint="eastAsia"/>
                <w:color w:val="auto"/>
              </w:rPr>
              <w:t>分；</w:t>
            </w:r>
          </w:p>
          <w:p>
            <w:pPr>
              <w:pStyle w:val="4"/>
              <w:numPr>
                <w:ilvl w:val="0"/>
                <w:numId w:val="2"/>
              </w:numPr>
              <w:ind w:left="420" w:leftChars="0" w:hanging="420" w:firstLineChars="0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  <w:lang w:val="en-US" w:eastAsia="zh-CN"/>
              </w:rPr>
              <w:t>未提供补充内容建议，得0分。</w:t>
            </w:r>
          </w:p>
        </w:tc>
        <w:tc>
          <w:tcPr>
            <w:tcW w:w="1362" w:type="dxa"/>
            <w:vAlign w:val="center"/>
          </w:tcPr>
          <w:p>
            <w:pPr>
              <w:spacing w:line="340" w:lineRule="exact"/>
              <w:jc w:val="center"/>
              <w:rPr>
                <w:rFonts w:hint="default" w:ascii="宋体" w:hAnsi="宋体" w:cs="宋体"/>
                <w:color w:val="auto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Cs w:val="21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1086" w:type="dxa"/>
            <w:vAlign w:val="center"/>
          </w:tcPr>
          <w:p>
            <w:pPr>
              <w:spacing w:line="340" w:lineRule="exact"/>
              <w:jc w:val="center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价格部分</w:t>
            </w:r>
          </w:p>
        </w:tc>
        <w:tc>
          <w:tcPr>
            <w:tcW w:w="1573" w:type="dxa"/>
            <w:tcBorders>
              <w:bottom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报价</w:t>
            </w:r>
          </w:p>
        </w:tc>
        <w:tc>
          <w:tcPr>
            <w:tcW w:w="5174" w:type="dxa"/>
            <w:tcBorders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60" w:lineRule="exact"/>
              <w:jc w:val="left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报价得分＝（基准价/报价）×价格分值【注：满足采购文件要求且价格最低的报价为基准价。】</w:t>
            </w:r>
          </w:p>
        </w:tc>
        <w:tc>
          <w:tcPr>
            <w:tcW w:w="1362" w:type="dxa"/>
            <w:vAlign w:val="center"/>
          </w:tcPr>
          <w:p>
            <w:pPr>
              <w:spacing w:line="340" w:lineRule="exact"/>
              <w:jc w:val="center"/>
              <w:rPr>
                <w:rFonts w:hint="default" w:ascii="宋体" w:hAnsi="宋体" w:eastAsia="宋体" w:cs="宋体"/>
                <w:color w:val="auto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Cs w:val="21"/>
                <w:lang w:val="en-US" w:eastAsia="zh-CN"/>
              </w:rPr>
              <w:t>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7833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b/>
                <w:color w:val="auto"/>
                <w:szCs w:val="21"/>
              </w:rPr>
            </w:pPr>
            <w:r>
              <w:rPr>
                <w:b/>
                <w:color w:val="auto"/>
                <w:szCs w:val="21"/>
              </w:rPr>
              <w:t>合计</w:t>
            </w:r>
          </w:p>
        </w:tc>
        <w:tc>
          <w:tcPr>
            <w:tcW w:w="1362" w:type="dxa"/>
            <w:vAlign w:val="center"/>
          </w:tcPr>
          <w:p>
            <w:pPr>
              <w:spacing w:line="360" w:lineRule="auto"/>
              <w:jc w:val="center"/>
              <w:rPr>
                <w:b/>
                <w:color w:val="auto"/>
                <w:szCs w:val="21"/>
              </w:rPr>
            </w:pPr>
            <w:r>
              <w:rPr>
                <w:rFonts w:hint="eastAsia"/>
                <w:b/>
                <w:color w:val="auto"/>
                <w:szCs w:val="21"/>
              </w:rPr>
              <w:t>100</w:t>
            </w:r>
            <w:r>
              <w:rPr>
                <w:b/>
                <w:color w:val="auto"/>
                <w:szCs w:val="21"/>
              </w:rPr>
              <w:t>分</w:t>
            </w:r>
          </w:p>
        </w:tc>
      </w:tr>
    </w:tbl>
    <w:p>
      <w:pPr>
        <w:pStyle w:val="2"/>
        <w:ind w:firstLine="0" w:firstLineChars="0"/>
        <w:rPr>
          <w:rFonts w:cs="宋体"/>
          <w:b/>
          <w:color w:val="auto"/>
          <w:sz w:val="40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6C06E3D"/>
    <w:multiLevelType w:val="singleLevel"/>
    <w:tmpl w:val="B6C06E3D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  <w:color w:val="auto"/>
      </w:rPr>
    </w:lvl>
  </w:abstractNum>
  <w:abstractNum w:abstractNumId="1">
    <w:nsid w:val="C7660444"/>
    <w:multiLevelType w:val="singleLevel"/>
    <w:tmpl w:val="C7660444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  <w:color w:val="auto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E66FA5"/>
    <w:rsid w:val="05237BC9"/>
    <w:rsid w:val="055F6874"/>
    <w:rsid w:val="062C7DED"/>
    <w:rsid w:val="06DC557D"/>
    <w:rsid w:val="0CFE191A"/>
    <w:rsid w:val="126B14A8"/>
    <w:rsid w:val="12ED1E9A"/>
    <w:rsid w:val="14EA1CE0"/>
    <w:rsid w:val="17E21B65"/>
    <w:rsid w:val="184B5B6A"/>
    <w:rsid w:val="19B906A4"/>
    <w:rsid w:val="1B3C77DE"/>
    <w:rsid w:val="1BFA7574"/>
    <w:rsid w:val="1D5020A4"/>
    <w:rsid w:val="24EF141E"/>
    <w:rsid w:val="26F234F5"/>
    <w:rsid w:val="27221F7E"/>
    <w:rsid w:val="2F291824"/>
    <w:rsid w:val="31BC43A8"/>
    <w:rsid w:val="32005D96"/>
    <w:rsid w:val="324803BF"/>
    <w:rsid w:val="328A09D8"/>
    <w:rsid w:val="3439473C"/>
    <w:rsid w:val="35F54301"/>
    <w:rsid w:val="374101FF"/>
    <w:rsid w:val="397D1296"/>
    <w:rsid w:val="3AEB6098"/>
    <w:rsid w:val="3CB66A91"/>
    <w:rsid w:val="3E430A34"/>
    <w:rsid w:val="3E612F34"/>
    <w:rsid w:val="3F0D0D3A"/>
    <w:rsid w:val="40C52CD1"/>
    <w:rsid w:val="41C52EE3"/>
    <w:rsid w:val="41D517BC"/>
    <w:rsid w:val="42D04E1A"/>
    <w:rsid w:val="479F390E"/>
    <w:rsid w:val="4A9D32F7"/>
    <w:rsid w:val="4AC40DAC"/>
    <w:rsid w:val="4CC90409"/>
    <w:rsid w:val="4D4633AB"/>
    <w:rsid w:val="4DDA685F"/>
    <w:rsid w:val="4ED9366C"/>
    <w:rsid w:val="4F7D6C19"/>
    <w:rsid w:val="528D20F2"/>
    <w:rsid w:val="54462559"/>
    <w:rsid w:val="55D3606E"/>
    <w:rsid w:val="55F52488"/>
    <w:rsid w:val="56976460"/>
    <w:rsid w:val="57FB5D50"/>
    <w:rsid w:val="599C7113"/>
    <w:rsid w:val="59C56616"/>
    <w:rsid w:val="5BC5549E"/>
    <w:rsid w:val="5CA318C5"/>
    <w:rsid w:val="5EF7101F"/>
    <w:rsid w:val="62AC0373"/>
    <w:rsid w:val="67421678"/>
    <w:rsid w:val="69356FC7"/>
    <w:rsid w:val="6CA24FC7"/>
    <w:rsid w:val="6D323B6A"/>
    <w:rsid w:val="6D3D2C47"/>
    <w:rsid w:val="6D4E1EC1"/>
    <w:rsid w:val="6FCE1C7C"/>
    <w:rsid w:val="71EF1D5A"/>
    <w:rsid w:val="7237336F"/>
    <w:rsid w:val="73D03795"/>
    <w:rsid w:val="7416093F"/>
    <w:rsid w:val="743D0241"/>
    <w:rsid w:val="76AF4F82"/>
    <w:rsid w:val="76FA3CFE"/>
    <w:rsid w:val="78A43B6E"/>
    <w:rsid w:val="794E743B"/>
    <w:rsid w:val="7AFE15D9"/>
    <w:rsid w:val="7B3F7B7E"/>
    <w:rsid w:val="7BFB2776"/>
    <w:rsid w:val="7EA321D2"/>
    <w:rsid w:val="7FA6577A"/>
    <w:rsid w:val="BFB73C25"/>
    <w:rsid w:val="E3F7BE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unhideWhenUsed/>
    <w:qFormat/>
    <w:uiPriority w:val="1"/>
  </w:style>
  <w:style w:type="table" w:default="1" w:styleId="8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正文首行缩进 21"/>
    <w:basedOn w:val="3"/>
    <w:next w:val="1"/>
    <w:qFormat/>
    <w:uiPriority w:val="0"/>
  </w:style>
  <w:style w:type="paragraph" w:customStyle="1" w:styleId="3">
    <w:name w:val="正文文本缩进1"/>
    <w:basedOn w:val="1"/>
    <w:qFormat/>
    <w:uiPriority w:val="0"/>
    <w:pPr>
      <w:autoSpaceDE w:val="0"/>
      <w:autoSpaceDN w:val="0"/>
      <w:spacing w:line="360" w:lineRule="auto"/>
      <w:ind w:firstLine="420" w:firstLineChars="200"/>
    </w:pPr>
    <w:rPr>
      <w:rFonts w:ascii="宋体" w:hAnsi="宋体"/>
      <w:szCs w:val="21"/>
    </w:rPr>
  </w:style>
  <w:style w:type="paragraph" w:styleId="4">
    <w:name w:val="Normal Indent"/>
    <w:basedOn w:val="1"/>
    <w:next w:val="1"/>
    <w:qFormat/>
    <w:uiPriority w:val="0"/>
    <w:pPr>
      <w:ind w:firstLine="420" w:firstLineChars="200"/>
    </w:pPr>
  </w:style>
  <w:style w:type="paragraph" w:styleId="5">
    <w:name w:val="Body Text"/>
    <w:basedOn w:val="1"/>
    <w:qFormat/>
    <w:uiPriority w:val="99"/>
    <w:pPr>
      <w:spacing w:after="120"/>
    </w:pPr>
  </w:style>
  <w:style w:type="paragraph" w:styleId="6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0">
    <w:name w:val="页眉 字符"/>
    <w:basedOn w:val="9"/>
    <w:link w:val="7"/>
    <w:qFormat/>
    <w:uiPriority w:val="0"/>
    <w:rPr>
      <w:rFonts w:ascii="Calibri" w:hAnsi="Calibri" w:eastAsia="宋体" w:cs="黑体"/>
      <w:kern w:val="2"/>
      <w:sz w:val="18"/>
      <w:szCs w:val="18"/>
    </w:rPr>
  </w:style>
  <w:style w:type="character" w:customStyle="1" w:styleId="11">
    <w:name w:val="页脚 字符"/>
    <w:basedOn w:val="9"/>
    <w:link w:val="6"/>
    <w:qFormat/>
    <w:uiPriority w:val="0"/>
    <w:rPr>
      <w:rFonts w:ascii="Calibri" w:hAnsi="Calibri" w:eastAsia="宋体" w:cs="黑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749</Words>
  <Characters>768</Characters>
  <Lines>3</Lines>
  <Paragraphs>1</Paragraphs>
  <TotalTime>81</TotalTime>
  <ScaleCrop>false</ScaleCrop>
  <LinksUpToDate>false</LinksUpToDate>
  <CharactersWithSpaces>768</CharactersWithSpaces>
  <Application>WPS Office_11.8.2.9068_F1E327BC-269C-435d-A152-05C5408002CA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2024-07-18T18:25:00Z</dcterms:created>
  <dc:creator>Rainnie</dc:creator>
  <cp:lastModifiedBy>曹晓瑾</cp:lastModifiedBy>
  <dcterms:modified xsi:type="dcterms:W3CDTF">2025-10-15T07:02:41Z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2052-11.8.2.9068</vt:lpwstr>
  </property>
  <property fmtid="{D5CDD505-2E9C-101B-9397-08002B2CF9AE}" pid="3" name="ICV">
    <vt:lpwstr>586D3723211C4291A149508844C99454_13</vt:lpwstr>
  </property>
  <property fmtid="{D5CDD505-2E9C-101B-9397-08002B2CF9AE}" pid="4" name="KSOTemplateDocerSaveRecord">
    <vt:lpwstr>eyJoZGlkIjoiZWJmMTVmNzU2NjA0YzRiYjdkMDUzYTUwNGZiMmMyYTAiLCJ1c2VySWQiOiIyNzEzMDAxMzMifQ==</vt:lpwstr>
  </property>
</Properties>
</file>