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38F0">
      <w:pPr>
        <w:spacing w:line="440" w:lineRule="exact"/>
        <w:rPr>
          <w:rFonts w:hint="eastAsia" w:ascii="宋体" w:hAnsi="宋体" w:eastAsia="宋体" w:cs="宋体"/>
          <w:b/>
          <w:sz w:val="28"/>
          <w:szCs w:val="30"/>
          <w:highlight w:val="none"/>
          <w:lang w:val="en-US" w:eastAsia="zh-CN"/>
        </w:rPr>
      </w:pPr>
      <w:r>
        <w:rPr>
          <w:rFonts w:hint="eastAsia" w:ascii="宋体" w:hAnsi="宋体" w:cs="宋体"/>
          <w:b/>
          <w:sz w:val="28"/>
          <w:szCs w:val="30"/>
          <w:highlight w:val="none"/>
          <w:lang w:val="en-US" w:eastAsia="zh-CN"/>
        </w:rPr>
        <w:t>项目</w:t>
      </w:r>
      <w:r>
        <w:rPr>
          <w:rFonts w:hint="eastAsia" w:ascii="宋体" w:hAnsi="宋体" w:eastAsia="宋体" w:cs="宋体"/>
          <w:b/>
          <w:sz w:val="28"/>
          <w:szCs w:val="30"/>
          <w:highlight w:val="none"/>
        </w:rPr>
        <w:t>编号：</w:t>
      </w:r>
      <w:r>
        <w:rPr>
          <w:rFonts w:hint="eastAsia" w:ascii="宋体" w:hAnsi="宋体" w:cs="宋体"/>
          <w:b/>
          <w:sz w:val="28"/>
          <w:szCs w:val="30"/>
          <w:highlight w:val="none"/>
          <w:lang w:eastAsia="zh-CN"/>
        </w:rPr>
        <w:t>JC-202505007</w:t>
      </w:r>
    </w:p>
    <w:p w14:paraId="6E61C45F">
      <w:pPr>
        <w:spacing w:line="360" w:lineRule="auto"/>
        <w:ind w:firstLine="560"/>
        <w:rPr>
          <w:rFonts w:hint="eastAsia" w:ascii="宋体" w:hAnsi="宋体" w:eastAsia="宋体" w:cs="宋体"/>
          <w:sz w:val="28"/>
          <w:szCs w:val="28"/>
          <w:highlight w:val="none"/>
        </w:rPr>
      </w:pPr>
    </w:p>
    <w:p w14:paraId="25F968C2">
      <w:pPr>
        <w:spacing w:line="360" w:lineRule="auto"/>
        <w:ind w:firstLine="560"/>
        <w:rPr>
          <w:rFonts w:hint="eastAsia" w:ascii="宋体" w:hAnsi="宋体" w:eastAsia="宋体" w:cs="宋体"/>
          <w:sz w:val="28"/>
          <w:szCs w:val="28"/>
          <w:highlight w:val="none"/>
        </w:rPr>
      </w:pPr>
    </w:p>
    <w:p w14:paraId="11A2116D">
      <w:pPr>
        <w:spacing w:line="360" w:lineRule="auto"/>
        <w:ind w:firstLine="560"/>
        <w:rPr>
          <w:rFonts w:hint="eastAsia" w:ascii="宋体" w:hAnsi="宋体" w:eastAsia="宋体" w:cs="宋体"/>
          <w:b/>
          <w:szCs w:val="21"/>
          <w:highlight w:val="none"/>
          <w:u w:val="single"/>
        </w:rPr>
      </w:pPr>
    </w:p>
    <w:p w14:paraId="5097138A">
      <w:pPr>
        <w:spacing w:after="120" w:line="360" w:lineRule="atLeast"/>
        <w:jc w:val="center"/>
        <w:rPr>
          <w:rFonts w:hint="eastAsia" w:ascii="宋体" w:hAnsi="宋体" w:eastAsia="宋体" w:cs="宋体"/>
          <w:b/>
          <w:sz w:val="32"/>
          <w:szCs w:val="32"/>
          <w:highlight w:val="none"/>
          <w:u w:val="single"/>
          <w:lang w:eastAsia="zh-CN"/>
        </w:rPr>
      </w:pPr>
      <w:r>
        <w:rPr>
          <w:rFonts w:hint="eastAsia" w:ascii="宋体" w:hAnsi="宋体" w:cs="宋体"/>
          <w:b/>
          <w:sz w:val="32"/>
          <w:szCs w:val="32"/>
          <w:highlight w:val="none"/>
          <w:u w:val="single"/>
          <w:lang w:eastAsia="zh-CN"/>
        </w:rPr>
        <w:t>今日广东国际传播中心团体意外险项目</w:t>
      </w:r>
    </w:p>
    <w:p w14:paraId="30C3DC9A">
      <w:pPr>
        <w:jc w:val="center"/>
        <w:rPr>
          <w:rFonts w:hint="eastAsia" w:ascii="宋体" w:hAnsi="宋体" w:eastAsia="宋体" w:cs="宋体"/>
          <w:b/>
          <w:szCs w:val="21"/>
          <w:highlight w:val="none"/>
          <w:u w:val="single"/>
        </w:rPr>
      </w:pPr>
    </w:p>
    <w:p w14:paraId="542193CB">
      <w:pPr>
        <w:spacing w:after="120" w:line="360" w:lineRule="atLeast"/>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询价文件</w:t>
      </w:r>
    </w:p>
    <w:p w14:paraId="1AEB1F6E">
      <w:pPr>
        <w:spacing w:after="120" w:line="360" w:lineRule="atLeast"/>
        <w:jc w:val="center"/>
        <w:rPr>
          <w:rFonts w:hint="eastAsia" w:ascii="宋体" w:hAnsi="宋体" w:eastAsia="宋体" w:cs="宋体"/>
          <w:b/>
          <w:sz w:val="32"/>
          <w:szCs w:val="32"/>
          <w:highlight w:val="none"/>
        </w:rPr>
      </w:pPr>
    </w:p>
    <w:p w14:paraId="33597AD0">
      <w:pPr>
        <w:spacing w:after="120" w:line="360" w:lineRule="atLeast"/>
        <w:jc w:val="center"/>
        <w:rPr>
          <w:rFonts w:hint="eastAsia" w:ascii="宋体" w:hAnsi="宋体" w:eastAsia="宋体" w:cs="宋体"/>
          <w:b/>
          <w:sz w:val="32"/>
          <w:szCs w:val="32"/>
          <w:highlight w:val="none"/>
        </w:rPr>
      </w:pPr>
    </w:p>
    <w:p w14:paraId="54402A95">
      <w:pPr>
        <w:spacing w:after="120" w:line="360" w:lineRule="atLeast"/>
        <w:jc w:val="center"/>
        <w:rPr>
          <w:rFonts w:hint="eastAsia" w:ascii="宋体" w:hAnsi="宋体" w:eastAsia="宋体" w:cs="宋体"/>
          <w:b/>
          <w:sz w:val="32"/>
          <w:szCs w:val="32"/>
          <w:highlight w:val="none"/>
        </w:rPr>
      </w:pPr>
    </w:p>
    <w:p w14:paraId="379CE4ED">
      <w:pPr>
        <w:spacing w:after="120" w:line="360" w:lineRule="atLeast"/>
        <w:jc w:val="center"/>
        <w:rPr>
          <w:rFonts w:hint="eastAsia" w:ascii="宋体" w:hAnsi="宋体" w:eastAsia="宋体" w:cs="宋体"/>
          <w:b/>
          <w:sz w:val="32"/>
          <w:szCs w:val="32"/>
          <w:highlight w:val="none"/>
        </w:rPr>
      </w:pPr>
    </w:p>
    <w:p w14:paraId="3968D102">
      <w:pPr>
        <w:spacing w:after="120" w:line="360" w:lineRule="atLeast"/>
        <w:jc w:val="center"/>
        <w:rPr>
          <w:rFonts w:hint="eastAsia" w:ascii="宋体" w:hAnsi="宋体" w:eastAsia="宋体" w:cs="宋体"/>
          <w:b/>
          <w:sz w:val="32"/>
          <w:szCs w:val="32"/>
          <w:highlight w:val="none"/>
        </w:rPr>
      </w:pPr>
    </w:p>
    <w:p w14:paraId="3B7F5CA2">
      <w:pPr>
        <w:spacing w:line="600" w:lineRule="exact"/>
        <w:ind w:firstLine="840" w:firstLineChars="350"/>
        <w:jc w:val="center"/>
        <w:rPr>
          <w:rFonts w:hint="eastAsia" w:ascii="宋体" w:hAnsi="宋体" w:eastAsia="宋体" w:cs="宋体"/>
          <w:b/>
          <w:sz w:val="24"/>
          <w:highlight w:val="none"/>
          <w:lang w:eastAsia="zh-CN"/>
        </w:rPr>
      </w:pPr>
      <w:r>
        <w:rPr>
          <w:rFonts w:hint="eastAsia" w:ascii="宋体" w:hAnsi="宋体" w:eastAsia="宋体" w:cs="宋体"/>
          <w:b/>
          <w:sz w:val="24"/>
          <w:highlight w:val="none"/>
        </w:rPr>
        <w:t>采购人：今日（广东）国际传播有限公司</w:t>
      </w:r>
    </w:p>
    <w:p w14:paraId="59FCBD68">
      <w:pPr>
        <w:spacing w:line="600" w:lineRule="exact"/>
        <w:ind w:firstLine="840" w:firstLineChars="350"/>
        <w:jc w:val="center"/>
        <w:rPr>
          <w:rFonts w:hint="eastAsia" w:ascii="宋体" w:hAnsi="宋体" w:eastAsia="宋体" w:cs="宋体"/>
          <w:b/>
          <w:sz w:val="24"/>
          <w:highlight w:val="none"/>
        </w:rPr>
      </w:pPr>
      <w:r>
        <w:rPr>
          <w:rFonts w:hint="eastAsia" w:ascii="宋体" w:hAnsi="宋体" w:eastAsia="宋体" w:cs="宋体"/>
          <w:b/>
          <w:sz w:val="24"/>
          <w:highlight w:val="none"/>
        </w:rPr>
        <w:t>202</w:t>
      </w:r>
      <w:r>
        <w:rPr>
          <w:rFonts w:hint="eastAsia" w:ascii="宋体" w:hAnsi="宋体" w:cs="宋体"/>
          <w:b/>
          <w:sz w:val="24"/>
          <w:highlight w:val="none"/>
          <w:lang w:val="en-US" w:eastAsia="zh-CN"/>
        </w:rPr>
        <w:t>5</w:t>
      </w:r>
      <w:r>
        <w:rPr>
          <w:rFonts w:hint="eastAsia" w:ascii="宋体" w:hAnsi="宋体" w:eastAsia="宋体" w:cs="宋体"/>
          <w:b/>
          <w:sz w:val="24"/>
          <w:highlight w:val="none"/>
        </w:rPr>
        <w:t>年</w:t>
      </w:r>
      <w:r>
        <w:rPr>
          <w:rFonts w:hint="eastAsia" w:ascii="宋体" w:hAnsi="宋体" w:cs="宋体"/>
          <w:b/>
          <w:sz w:val="24"/>
          <w:highlight w:val="none"/>
          <w:lang w:val="en-US" w:eastAsia="zh-CN"/>
        </w:rPr>
        <w:t>5</w:t>
      </w:r>
      <w:r>
        <w:rPr>
          <w:rFonts w:hint="eastAsia" w:ascii="宋体" w:hAnsi="宋体" w:eastAsia="宋体" w:cs="宋体"/>
          <w:b/>
          <w:sz w:val="24"/>
          <w:highlight w:val="none"/>
        </w:rPr>
        <w:t>月</w:t>
      </w:r>
    </w:p>
    <w:p w14:paraId="505AB0B6">
      <w:pPr>
        <w:spacing w:line="600" w:lineRule="exact"/>
        <w:ind w:firstLine="840" w:firstLineChars="350"/>
        <w:jc w:val="center"/>
        <w:rPr>
          <w:rFonts w:hint="eastAsia" w:ascii="宋体" w:hAnsi="宋体" w:eastAsia="宋体" w:cs="宋体"/>
          <w:b/>
          <w:sz w:val="24"/>
          <w:highlight w:val="none"/>
        </w:rPr>
        <w:sectPr>
          <w:headerReference r:id="rId4" w:type="first"/>
          <w:headerReference r:id="rId3" w:type="default"/>
          <w:footerReference r:id="rId5" w:type="default"/>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AndChars" w:linePitch="380" w:charSpace="0"/>
        </w:sectPr>
      </w:pPr>
    </w:p>
    <w:p w14:paraId="358A3F8C">
      <w:pPr>
        <w:spacing w:after="120" w:line="360" w:lineRule="atLeast"/>
        <w:jc w:val="center"/>
        <w:rPr>
          <w:rFonts w:hint="eastAsia" w:ascii="宋体" w:hAnsi="宋体" w:eastAsia="宋体" w:cs="宋体"/>
          <w:b/>
          <w:sz w:val="24"/>
          <w:highlight w:val="none"/>
        </w:rPr>
      </w:pPr>
      <w:r>
        <w:rPr>
          <w:rFonts w:hint="eastAsia" w:ascii="宋体" w:hAnsi="宋体" w:eastAsia="宋体" w:cs="宋体"/>
          <w:b/>
          <w:sz w:val="24"/>
          <w:highlight w:val="none"/>
        </w:rPr>
        <w:t>目  录</w:t>
      </w:r>
    </w:p>
    <w:p w14:paraId="74547476">
      <w:pPr>
        <w:pStyle w:val="30"/>
        <w:tabs>
          <w:tab w:val="right" w:leader="dot" w:pos="8504"/>
          <w:tab w:val="clear" w:pos="426"/>
          <w:tab w:val="clear" w:pos="709"/>
          <w:tab w:val="clear" w:pos="8505"/>
        </w:tabs>
      </w:pP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TOC \o "1-3" \h \z \u </w:instrText>
      </w:r>
      <w:r>
        <w:rPr>
          <w:rFonts w:hint="eastAsia" w:ascii="宋体" w:hAnsi="宋体" w:eastAsia="宋体" w:cs="宋体"/>
          <w:bCs/>
          <w:szCs w:val="21"/>
          <w:highlight w:val="none"/>
        </w:rPr>
        <w:fldChar w:fldCharType="separate"/>
      </w: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HYPERLINK \l _Toc3926 </w:instrText>
      </w:r>
      <w:r>
        <w:rPr>
          <w:rFonts w:hint="eastAsia" w:ascii="宋体" w:hAnsi="宋体" w:eastAsia="宋体" w:cs="宋体"/>
          <w:bCs/>
          <w:szCs w:val="21"/>
          <w:highlight w:val="none"/>
        </w:rPr>
        <w:fldChar w:fldCharType="separate"/>
      </w:r>
      <w:r>
        <w:rPr>
          <w:rFonts w:hint="eastAsia" w:ascii="宋体" w:hAnsi="宋体" w:eastAsia="宋体" w:cs="宋体"/>
          <w:bCs w:val="0"/>
          <w:kern w:val="0"/>
          <w:szCs w:val="36"/>
          <w:highlight w:val="none"/>
        </w:rPr>
        <w:t>第一章 采购公告</w:t>
      </w:r>
      <w:r>
        <w:tab/>
      </w:r>
      <w:r>
        <w:fldChar w:fldCharType="begin"/>
      </w:r>
      <w:r>
        <w:instrText xml:space="preserve"> PAGEREF _Toc3926 \h </w:instrText>
      </w:r>
      <w:r>
        <w:fldChar w:fldCharType="separate"/>
      </w:r>
      <w:r>
        <w:t>3</w:t>
      </w:r>
      <w:r>
        <w:fldChar w:fldCharType="end"/>
      </w:r>
      <w:r>
        <w:rPr>
          <w:rFonts w:hint="eastAsia" w:ascii="宋体" w:hAnsi="宋体" w:eastAsia="宋体" w:cs="宋体"/>
          <w:bCs/>
          <w:szCs w:val="21"/>
          <w:highlight w:val="none"/>
        </w:rPr>
        <w:fldChar w:fldCharType="end"/>
      </w:r>
    </w:p>
    <w:p w14:paraId="1D5E5048">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_Toc22123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第二章 供应商须知</w:t>
      </w:r>
      <w:r>
        <w:tab/>
      </w:r>
      <w:r>
        <w:fldChar w:fldCharType="begin"/>
      </w:r>
      <w:r>
        <w:instrText xml:space="preserve"> PAGEREF _Toc22123 \h </w:instrText>
      </w:r>
      <w:r>
        <w:fldChar w:fldCharType="separate"/>
      </w:r>
      <w:r>
        <w:t>5</w:t>
      </w:r>
      <w:r>
        <w:fldChar w:fldCharType="end"/>
      </w:r>
      <w:r>
        <w:rPr>
          <w:rFonts w:hint="eastAsia" w:ascii="宋体" w:hAnsi="宋体" w:eastAsia="宋体" w:cs="宋体"/>
          <w:szCs w:val="21"/>
          <w:highlight w:val="none"/>
        </w:rPr>
        <w:fldChar w:fldCharType="end"/>
      </w:r>
    </w:p>
    <w:p w14:paraId="61B84CA4">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_Toc23924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rPr>
        <w:t xml:space="preserve">第三章 </w:t>
      </w:r>
      <w:r>
        <w:rPr>
          <w:rFonts w:hint="eastAsia" w:ascii="宋体" w:hAnsi="宋体" w:eastAsia="宋体" w:cs="宋体"/>
          <w:bCs w:val="0"/>
          <w:kern w:val="0"/>
          <w:szCs w:val="28"/>
          <w:highlight w:val="none"/>
        </w:rPr>
        <w:t>评审办法</w:t>
      </w:r>
      <w:r>
        <w:tab/>
      </w:r>
      <w:r>
        <w:fldChar w:fldCharType="begin"/>
      </w:r>
      <w:r>
        <w:instrText xml:space="preserve"> PAGEREF _Toc23924 \h </w:instrText>
      </w:r>
      <w:r>
        <w:fldChar w:fldCharType="separate"/>
      </w:r>
      <w:r>
        <w:t>6</w:t>
      </w:r>
      <w:r>
        <w:fldChar w:fldCharType="end"/>
      </w:r>
      <w:r>
        <w:rPr>
          <w:rFonts w:hint="eastAsia" w:ascii="宋体" w:hAnsi="宋体" w:eastAsia="宋体" w:cs="宋体"/>
          <w:szCs w:val="21"/>
          <w:highlight w:val="none"/>
        </w:rPr>
        <w:fldChar w:fldCharType="end"/>
      </w:r>
    </w:p>
    <w:p w14:paraId="0C7EBFD5">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_Toc8687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评审办法前附表</w:t>
      </w:r>
      <w:r>
        <w:tab/>
      </w:r>
      <w:r>
        <w:fldChar w:fldCharType="begin"/>
      </w:r>
      <w:r>
        <w:instrText xml:space="preserve"> PAGEREF _Toc8687 \h </w:instrText>
      </w:r>
      <w:r>
        <w:fldChar w:fldCharType="separate"/>
      </w:r>
      <w:r>
        <w:t>6</w:t>
      </w:r>
      <w:r>
        <w:fldChar w:fldCharType="end"/>
      </w:r>
      <w:r>
        <w:rPr>
          <w:rFonts w:hint="eastAsia" w:ascii="宋体" w:hAnsi="宋体" w:eastAsia="宋体" w:cs="宋体"/>
          <w:szCs w:val="21"/>
          <w:highlight w:val="none"/>
        </w:rPr>
        <w:fldChar w:fldCharType="end"/>
      </w:r>
    </w:p>
    <w:p w14:paraId="1D93D2C4">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_Toc15469 </w:instrText>
      </w:r>
      <w:r>
        <w:rPr>
          <w:rFonts w:hint="eastAsia" w:ascii="宋体" w:hAnsi="宋体" w:eastAsia="宋体" w:cs="宋体"/>
          <w:szCs w:val="21"/>
          <w:highlight w:val="none"/>
        </w:rPr>
        <w:fldChar w:fldCharType="separate"/>
      </w:r>
      <w:r>
        <w:rPr>
          <w:rFonts w:hint="eastAsia" w:ascii="宋体" w:hAnsi="宋体" w:eastAsia="宋体" w:cs="宋体"/>
          <w:highlight w:val="none"/>
        </w:rPr>
        <w:t>评审程序</w:t>
      </w:r>
      <w:r>
        <w:tab/>
      </w:r>
      <w:r>
        <w:fldChar w:fldCharType="begin"/>
      </w:r>
      <w:r>
        <w:instrText xml:space="preserve"> PAGEREF _Toc15469 \h </w:instrText>
      </w:r>
      <w:r>
        <w:fldChar w:fldCharType="separate"/>
      </w:r>
      <w:r>
        <w:t>6</w:t>
      </w:r>
      <w:r>
        <w:fldChar w:fldCharType="end"/>
      </w:r>
      <w:r>
        <w:rPr>
          <w:rFonts w:hint="eastAsia" w:ascii="宋体" w:hAnsi="宋体" w:eastAsia="宋体" w:cs="宋体"/>
          <w:szCs w:val="21"/>
          <w:highlight w:val="none"/>
        </w:rPr>
        <w:fldChar w:fldCharType="end"/>
      </w:r>
    </w:p>
    <w:p w14:paraId="09CA2EED">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_Toc5909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 xml:space="preserve">第四章 </w:t>
      </w:r>
      <w:r>
        <w:rPr>
          <w:rFonts w:hint="eastAsia" w:ascii="宋体" w:hAnsi="宋体" w:eastAsia="宋体" w:cs="宋体"/>
          <w:bCs w:val="0"/>
          <w:kern w:val="0"/>
          <w:szCs w:val="28"/>
          <w:highlight w:val="none"/>
          <w:lang w:val="en-US" w:eastAsia="zh-CN"/>
        </w:rPr>
        <w:t>采购需求书</w:t>
      </w:r>
      <w:r>
        <w:tab/>
      </w:r>
      <w:r>
        <w:fldChar w:fldCharType="begin"/>
      </w:r>
      <w:r>
        <w:instrText xml:space="preserve"> PAGEREF _Toc5909 \h </w:instrText>
      </w:r>
      <w:r>
        <w:fldChar w:fldCharType="separate"/>
      </w:r>
      <w:r>
        <w:t>9</w:t>
      </w:r>
      <w:r>
        <w:fldChar w:fldCharType="end"/>
      </w:r>
      <w:r>
        <w:rPr>
          <w:rFonts w:hint="eastAsia" w:ascii="宋体" w:hAnsi="宋体" w:eastAsia="宋体" w:cs="宋体"/>
          <w:szCs w:val="21"/>
          <w:highlight w:val="none"/>
        </w:rPr>
        <w:fldChar w:fldCharType="end"/>
      </w:r>
    </w:p>
    <w:p w14:paraId="3B590B6E">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_Toc8938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五</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商务合同</w:t>
      </w:r>
      <w:r>
        <w:tab/>
      </w:r>
      <w:r>
        <w:fldChar w:fldCharType="begin"/>
      </w:r>
      <w:r>
        <w:instrText xml:space="preserve"> PAGEREF _Toc8938 \h </w:instrText>
      </w:r>
      <w:r>
        <w:fldChar w:fldCharType="separate"/>
      </w:r>
      <w:r>
        <w:t>13</w:t>
      </w:r>
      <w:r>
        <w:fldChar w:fldCharType="end"/>
      </w:r>
      <w:r>
        <w:rPr>
          <w:rFonts w:hint="eastAsia" w:ascii="宋体" w:hAnsi="宋体" w:eastAsia="宋体" w:cs="宋体"/>
          <w:szCs w:val="21"/>
          <w:highlight w:val="none"/>
        </w:rPr>
        <w:fldChar w:fldCharType="end"/>
      </w:r>
    </w:p>
    <w:p w14:paraId="0FA65FF9">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_Toc7537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六</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响应</w:t>
      </w:r>
      <w:r>
        <w:rPr>
          <w:rFonts w:hint="eastAsia" w:ascii="宋体" w:hAnsi="宋体" w:eastAsia="宋体" w:cs="宋体"/>
          <w:bCs w:val="0"/>
          <w:kern w:val="0"/>
          <w:szCs w:val="28"/>
          <w:highlight w:val="none"/>
        </w:rPr>
        <w:t>文件格式</w:t>
      </w:r>
      <w:r>
        <w:tab/>
      </w:r>
      <w:r>
        <w:fldChar w:fldCharType="begin"/>
      </w:r>
      <w:r>
        <w:instrText xml:space="preserve"> PAGEREF _Toc7537 \h </w:instrText>
      </w:r>
      <w:r>
        <w:fldChar w:fldCharType="separate"/>
      </w:r>
      <w:r>
        <w:t>17</w:t>
      </w:r>
      <w:r>
        <w:fldChar w:fldCharType="end"/>
      </w:r>
      <w:r>
        <w:rPr>
          <w:rFonts w:hint="eastAsia" w:ascii="宋体" w:hAnsi="宋体" w:eastAsia="宋体" w:cs="宋体"/>
          <w:szCs w:val="21"/>
          <w:highlight w:val="none"/>
        </w:rPr>
        <w:fldChar w:fldCharType="end"/>
      </w:r>
    </w:p>
    <w:p w14:paraId="39826F59">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_Toc16248 </w:instrText>
      </w:r>
      <w:r>
        <w:rPr>
          <w:rFonts w:hint="eastAsia" w:ascii="宋体" w:hAnsi="宋体" w:eastAsia="宋体" w:cs="宋体"/>
          <w:szCs w:val="21"/>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应答函</w:t>
      </w:r>
      <w:r>
        <w:tab/>
      </w:r>
      <w:r>
        <w:fldChar w:fldCharType="begin"/>
      </w:r>
      <w:r>
        <w:instrText xml:space="preserve"> PAGEREF _Toc16248 \h </w:instrText>
      </w:r>
      <w:r>
        <w:fldChar w:fldCharType="separate"/>
      </w:r>
      <w:r>
        <w:t>18</w:t>
      </w:r>
      <w:r>
        <w:fldChar w:fldCharType="end"/>
      </w:r>
      <w:r>
        <w:rPr>
          <w:rFonts w:hint="eastAsia" w:ascii="宋体" w:hAnsi="宋体" w:eastAsia="宋体" w:cs="宋体"/>
          <w:szCs w:val="21"/>
          <w:highlight w:val="none"/>
        </w:rPr>
        <w:fldChar w:fldCharType="end"/>
      </w:r>
    </w:p>
    <w:p w14:paraId="6831E65B">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_Toc8578 </w:instrText>
      </w:r>
      <w:r>
        <w:rPr>
          <w:rFonts w:hint="eastAsia" w:ascii="宋体" w:hAnsi="宋体" w:eastAsia="宋体" w:cs="宋体"/>
          <w:szCs w:val="21"/>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r>
        <w:tab/>
      </w:r>
      <w:r>
        <w:fldChar w:fldCharType="begin"/>
      </w:r>
      <w:r>
        <w:instrText xml:space="preserve"> PAGEREF _Toc8578 \h </w:instrText>
      </w:r>
      <w:r>
        <w:fldChar w:fldCharType="separate"/>
      </w:r>
      <w:r>
        <w:t>19</w:t>
      </w:r>
      <w:r>
        <w:fldChar w:fldCharType="end"/>
      </w:r>
      <w:r>
        <w:rPr>
          <w:rFonts w:hint="eastAsia" w:ascii="宋体" w:hAnsi="宋体" w:eastAsia="宋体" w:cs="宋体"/>
          <w:szCs w:val="21"/>
          <w:highlight w:val="none"/>
        </w:rPr>
        <w:fldChar w:fldCharType="end"/>
      </w:r>
    </w:p>
    <w:p w14:paraId="3338DD8D">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_Toc27699 </w:instrText>
      </w:r>
      <w:r>
        <w:rPr>
          <w:rFonts w:hint="eastAsia" w:ascii="宋体" w:hAnsi="宋体" w:eastAsia="宋体" w:cs="宋体"/>
          <w:szCs w:val="21"/>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r>
        <w:tab/>
      </w:r>
      <w:r>
        <w:fldChar w:fldCharType="begin"/>
      </w:r>
      <w:r>
        <w:instrText xml:space="preserve"> PAGEREF _Toc27699 \h </w:instrText>
      </w:r>
      <w:r>
        <w:fldChar w:fldCharType="separate"/>
      </w:r>
      <w:r>
        <w:t>20</w:t>
      </w:r>
      <w:r>
        <w:fldChar w:fldCharType="end"/>
      </w:r>
      <w:r>
        <w:rPr>
          <w:rFonts w:hint="eastAsia" w:ascii="宋体" w:hAnsi="宋体" w:eastAsia="宋体" w:cs="宋体"/>
          <w:szCs w:val="21"/>
          <w:highlight w:val="none"/>
        </w:rPr>
        <w:fldChar w:fldCharType="end"/>
      </w:r>
    </w:p>
    <w:p w14:paraId="1059FCF6">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_Toc7717 </w:instrText>
      </w:r>
      <w:r>
        <w:rPr>
          <w:rFonts w:hint="eastAsia" w:ascii="宋体" w:hAnsi="宋体" w:eastAsia="宋体" w:cs="宋体"/>
          <w:szCs w:val="21"/>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供应商基本情况</w:t>
      </w:r>
      <w:r>
        <w:tab/>
      </w:r>
      <w:r>
        <w:fldChar w:fldCharType="begin"/>
      </w:r>
      <w:r>
        <w:instrText xml:space="preserve"> PAGEREF _Toc7717 \h </w:instrText>
      </w:r>
      <w:r>
        <w:fldChar w:fldCharType="separate"/>
      </w:r>
      <w:r>
        <w:t>21</w:t>
      </w:r>
      <w:r>
        <w:fldChar w:fldCharType="end"/>
      </w:r>
      <w:r>
        <w:rPr>
          <w:rFonts w:hint="eastAsia" w:ascii="宋体" w:hAnsi="宋体" w:eastAsia="宋体" w:cs="宋体"/>
          <w:szCs w:val="21"/>
          <w:highlight w:val="none"/>
        </w:rPr>
        <w:fldChar w:fldCharType="end"/>
      </w:r>
    </w:p>
    <w:p w14:paraId="6E4EA052">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_Toc25840 </w:instrText>
      </w:r>
      <w:r>
        <w:rPr>
          <w:rFonts w:hint="eastAsia" w:ascii="宋体" w:hAnsi="宋体" w:eastAsia="宋体" w:cs="宋体"/>
          <w:szCs w:val="21"/>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技术商务偏离表</w:t>
      </w:r>
      <w:r>
        <w:tab/>
      </w:r>
      <w:r>
        <w:fldChar w:fldCharType="begin"/>
      </w:r>
      <w:r>
        <w:instrText xml:space="preserve"> PAGEREF _Toc25840 \h </w:instrText>
      </w:r>
      <w:r>
        <w:fldChar w:fldCharType="separate"/>
      </w:r>
      <w:r>
        <w:t>23</w:t>
      </w:r>
      <w:r>
        <w:fldChar w:fldCharType="end"/>
      </w:r>
      <w:r>
        <w:rPr>
          <w:rFonts w:hint="eastAsia" w:ascii="宋体" w:hAnsi="宋体" w:eastAsia="宋体" w:cs="宋体"/>
          <w:szCs w:val="21"/>
          <w:highlight w:val="none"/>
        </w:rPr>
        <w:fldChar w:fldCharType="end"/>
      </w:r>
    </w:p>
    <w:p w14:paraId="72DCAF9E">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_Toc666 </w:instrText>
      </w:r>
      <w:r>
        <w:rPr>
          <w:rFonts w:hint="eastAsia" w:ascii="宋体" w:hAnsi="宋体" w:eastAsia="宋体" w:cs="宋体"/>
          <w:szCs w:val="21"/>
          <w:highlight w:val="none"/>
        </w:rPr>
        <w:fldChar w:fldCharType="separate"/>
      </w:r>
      <w:r>
        <w:rPr>
          <w:rFonts w:hint="eastAsia" w:ascii="宋体" w:hAnsi="宋体" w:eastAsia="宋体" w:cs="宋体"/>
        </w:rPr>
        <w:t xml:space="preserve">六、 </w:t>
      </w:r>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r>
        <w:tab/>
      </w:r>
      <w:r>
        <w:fldChar w:fldCharType="begin"/>
      </w:r>
      <w:r>
        <w:instrText xml:space="preserve"> PAGEREF _Toc666 \h </w:instrText>
      </w:r>
      <w:r>
        <w:fldChar w:fldCharType="separate"/>
      </w:r>
      <w:r>
        <w:t>24</w:t>
      </w:r>
      <w:r>
        <w:fldChar w:fldCharType="end"/>
      </w:r>
      <w:r>
        <w:rPr>
          <w:rFonts w:hint="eastAsia" w:ascii="宋体" w:hAnsi="宋体" w:eastAsia="宋体" w:cs="宋体"/>
          <w:szCs w:val="21"/>
          <w:highlight w:val="none"/>
        </w:rPr>
        <w:fldChar w:fldCharType="end"/>
      </w:r>
    </w:p>
    <w:p w14:paraId="666C221C">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_Toc31657 </w:instrText>
      </w:r>
      <w:r>
        <w:rPr>
          <w:rFonts w:hint="eastAsia" w:ascii="宋体" w:hAnsi="宋体" w:eastAsia="宋体" w:cs="宋体"/>
          <w:szCs w:val="21"/>
          <w:highlight w:val="none"/>
        </w:rPr>
        <w:fldChar w:fldCharType="separate"/>
      </w:r>
      <w:r>
        <w:rPr>
          <w:rFonts w:hint="eastAsia" w:ascii="宋体" w:hAnsi="宋体" w:eastAsia="宋体" w:cs="宋体"/>
        </w:rPr>
        <w:t xml:space="preserve">七、 </w:t>
      </w:r>
      <w:r>
        <w:rPr>
          <w:rFonts w:hint="eastAsia" w:ascii="宋体" w:hAnsi="宋体" w:eastAsia="宋体" w:cs="宋体"/>
          <w:highlight w:val="none"/>
        </w:rPr>
        <w:t>项目负责人及成员组成情况表</w:t>
      </w:r>
      <w:r>
        <w:tab/>
      </w:r>
      <w:r>
        <w:fldChar w:fldCharType="begin"/>
      </w:r>
      <w:r>
        <w:instrText xml:space="preserve"> PAGEREF _Toc31657 \h </w:instrText>
      </w:r>
      <w:r>
        <w:fldChar w:fldCharType="separate"/>
      </w:r>
      <w:r>
        <w:t>25</w:t>
      </w:r>
      <w:r>
        <w:fldChar w:fldCharType="end"/>
      </w:r>
      <w:r>
        <w:rPr>
          <w:rFonts w:hint="eastAsia" w:ascii="宋体" w:hAnsi="宋体" w:eastAsia="宋体" w:cs="宋体"/>
          <w:szCs w:val="21"/>
          <w:highlight w:val="none"/>
        </w:rPr>
        <w:fldChar w:fldCharType="end"/>
      </w:r>
    </w:p>
    <w:p w14:paraId="49142D52">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_Toc25035 </w:instrText>
      </w:r>
      <w:r>
        <w:rPr>
          <w:rFonts w:hint="eastAsia" w:ascii="宋体" w:hAnsi="宋体" w:eastAsia="宋体" w:cs="宋体"/>
          <w:szCs w:val="21"/>
          <w:highlight w:val="none"/>
        </w:rPr>
        <w:fldChar w:fldCharType="separate"/>
      </w:r>
      <w:r>
        <w:rPr>
          <w:rFonts w:hint="eastAsia" w:ascii="宋体" w:hAnsi="宋体" w:eastAsia="宋体" w:cs="宋体"/>
        </w:rPr>
        <w:t xml:space="preserve">八、 </w:t>
      </w:r>
      <w:r>
        <w:rPr>
          <w:rFonts w:hint="eastAsia" w:ascii="宋体" w:hAnsi="宋体" w:eastAsia="宋体" w:cs="宋体"/>
          <w:highlight w:val="none"/>
        </w:rPr>
        <w:t>本项目的实施方案</w:t>
      </w:r>
      <w:r>
        <w:tab/>
      </w:r>
      <w:r>
        <w:fldChar w:fldCharType="begin"/>
      </w:r>
      <w:r>
        <w:instrText xml:space="preserve"> PAGEREF _Toc25035 \h </w:instrText>
      </w:r>
      <w:r>
        <w:fldChar w:fldCharType="separate"/>
      </w:r>
      <w:r>
        <w:t>26</w:t>
      </w:r>
      <w:r>
        <w:fldChar w:fldCharType="end"/>
      </w:r>
      <w:r>
        <w:rPr>
          <w:rFonts w:hint="eastAsia" w:ascii="宋体" w:hAnsi="宋体" w:eastAsia="宋体" w:cs="宋体"/>
          <w:szCs w:val="21"/>
          <w:highlight w:val="none"/>
        </w:rPr>
        <w:fldChar w:fldCharType="end"/>
      </w:r>
    </w:p>
    <w:p w14:paraId="4789563A">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_Toc9512 </w:instrText>
      </w:r>
      <w:r>
        <w:rPr>
          <w:rFonts w:hint="eastAsia" w:ascii="宋体" w:hAnsi="宋体" w:eastAsia="宋体" w:cs="宋体"/>
          <w:szCs w:val="21"/>
          <w:highlight w:val="none"/>
        </w:rPr>
        <w:fldChar w:fldCharType="separate"/>
      </w:r>
      <w:r>
        <w:rPr>
          <w:rFonts w:hint="eastAsia" w:ascii="宋体" w:hAnsi="宋体" w:eastAsia="宋体" w:cs="宋体"/>
        </w:rPr>
        <w:t xml:space="preserve">九、 </w:t>
      </w:r>
      <w:r>
        <w:rPr>
          <w:rFonts w:hint="eastAsia" w:ascii="宋体" w:hAnsi="宋体" w:eastAsia="宋体" w:cs="宋体"/>
          <w:highlight w:val="none"/>
          <w:lang w:val="en-US" w:eastAsia="zh-CN"/>
        </w:rPr>
        <w:t>项目</w:t>
      </w:r>
      <w:r>
        <w:rPr>
          <w:rFonts w:hint="eastAsia" w:ascii="宋体" w:hAnsi="宋体" w:eastAsia="宋体" w:cs="宋体"/>
          <w:highlight w:val="none"/>
        </w:rPr>
        <w:t>报价函</w:t>
      </w:r>
      <w:r>
        <w:tab/>
      </w:r>
      <w:r>
        <w:fldChar w:fldCharType="begin"/>
      </w:r>
      <w:r>
        <w:instrText xml:space="preserve"> PAGEREF _Toc9512 \h </w:instrText>
      </w:r>
      <w:r>
        <w:fldChar w:fldCharType="separate"/>
      </w:r>
      <w:r>
        <w:t>27</w:t>
      </w:r>
      <w:r>
        <w:fldChar w:fldCharType="end"/>
      </w:r>
      <w:r>
        <w:rPr>
          <w:rFonts w:hint="eastAsia" w:ascii="宋体" w:hAnsi="宋体" w:eastAsia="宋体" w:cs="宋体"/>
          <w:szCs w:val="21"/>
          <w:highlight w:val="none"/>
        </w:rPr>
        <w:fldChar w:fldCharType="end"/>
      </w:r>
    </w:p>
    <w:p w14:paraId="6B802E83">
      <w:pPr>
        <w:snapToGrid w:val="0"/>
        <w:spacing w:line="400" w:lineRule="exact"/>
        <w:rPr>
          <w:rFonts w:hint="eastAsia" w:ascii="宋体" w:hAnsi="宋体" w:eastAsia="宋体" w:cs="宋体"/>
          <w:sz w:val="24"/>
          <w:highlight w:val="none"/>
        </w:rPr>
        <w:sectPr>
          <w:footerReference r:id="rId6" w:type="default"/>
          <w:pgSz w:w="11906" w:h="16838"/>
          <w:pgMar w:top="1440" w:right="1701" w:bottom="1440" w:left="1701" w:header="851" w:footer="992" w:gutter="0"/>
          <w:pgBorders>
            <w:top w:val="none" w:sz="0" w:space="0"/>
            <w:left w:val="none" w:sz="0" w:space="0"/>
            <w:bottom w:val="none" w:sz="0" w:space="0"/>
            <w:right w:val="none" w:sz="0" w:space="0"/>
          </w:pgBorders>
          <w:pgNumType w:fmt="decimal" w:start="2"/>
          <w:cols w:space="720" w:num="1"/>
          <w:docGrid w:type="linesAndChars" w:linePitch="380" w:charSpace="0"/>
        </w:sectPr>
      </w:pPr>
      <w:r>
        <w:rPr>
          <w:rFonts w:hint="eastAsia" w:ascii="宋体" w:hAnsi="宋体" w:eastAsia="宋体" w:cs="宋体"/>
          <w:szCs w:val="21"/>
          <w:highlight w:val="none"/>
        </w:rPr>
        <w:fldChar w:fldCharType="end"/>
      </w:r>
    </w:p>
    <w:p w14:paraId="3BCE46BC">
      <w:pPr>
        <w:pStyle w:val="52"/>
        <w:snapToGrid w:val="0"/>
        <w:spacing w:before="0" w:after="0"/>
        <w:rPr>
          <w:rFonts w:hint="eastAsia" w:ascii="宋体" w:hAnsi="宋体" w:eastAsia="宋体" w:cs="宋体"/>
          <w:color w:val="333333"/>
          <w:sz w:val="44"/>
          <w:szCs w:val="44"/>
          <w:highlight w:val="none"/>
        </w:rPr>
      </w:pPr>
      <w:bookmarkStart w:id="0" w:name="_Toc447188662"/>
      <w:bookmarkStart w:id="1" w:name="_Toc447265211"/>
      <w:bookmarkStart w:id="2" w:name="_Toc447265497"/>
      <w:bookmarkStart w:id="3" w:name="_Toc3926"/>
      <w:bookmarkStart w:id="4" w:name="_Toc447265797"/>
      <w:r>
        <w:rPr>
          <w:rFonts w:hint="eastAsia" w:ascii="宋体" w:hAnsi="宋体" w:eastAsia="宋体" w:cs="宋体"/>
          <w:b/>
          <w:bCs w:val="0"/>
          <w:kern w:val="0"/>
          <w:sz w:val="36"/>
          <w:szCs w:val="36"/>
          <w:highlight w:val="none"/>
        </w:rPr>
        <w:t>第一章 采购公告</w:t>
      </w:r>
      <w:bookmarkEnd w:id="0"/>
      <w:bookmarkEnd w:id="1"/>
      <w:bookmarkEnd w:id="2"/>
      <w:bookmarkEnd w:id="3"/>
      <w:bookmarkEnd w:id="4"/>
      <w:bookmarkStart w:id="5" w:name="_Hlk77931056"/>
    </w:p>
    <w:bookmarkEnd w:id="5"/>
    <w:p w14:paraId="53D075A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6" w:name="_Toc1850_WPSOffice_Level1"/>
      <w:bookmarkStart w:id="7" w:name="_Toc10535_WPSOffice_Level1"/>
      <w:bookmarkStart w:id="8" w:name="_Toc6866_WPSOffice_Level1"/>
      <w:bookmarkStart w:id="9" w:name="_Toc16455_WPSOffice_Level1"/>
      <w:r>
        <w:rPr>
          <w:rFonts w:hint="eastAsia" w:ascii="宋体" w:hAnsi="宋体" w:eastAsia="宋体" w:cs="宋体"/>
          <w:b/>
          <w:bCs w:val="0"/>
          <w:color w:val="auto"/>
          <w:sz w:val="21"/>
          <w:szCs w:val="21"/>
          <w:lang w:val="en-US" w:eastAsia="zh-CN"/>
        </w:rPr>
        <w:t>项目名称</w:t>
      </w:r>
      <w:r>
        <w:rPr>
          <w:rFonts w:hint="eastAsia" w:ascii="宋体" w:hAnsi="宋体" w:eastAsia="宋体" w:cs="宋体"/>
          <w:b w:val="0"/>
          <w:bCs/>
          <w:color w:val="auto"/>
          <w:sz w:val="21"/>
          <w:szCs w:val="21"/>
          <w:lang w:val="en-US" w:eastAsia="zh-CN"/>
        </w:rPr>
        <w:t>：</w:t>
      </w:r>
      <w:bookmarkEnd w:id="6"/>
      <w:bookmarkEnd w:id="7"/>
      <w:bookmarkEnd w:id="8"/>
      <w:bookmarkEnd w:id="9"/>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今日广东国际传播中心团体意外险项目</w:t>
      </w:r>
      <w:r>
        <w:rPr>
          <w:rFonts w:hint="eastAsia" w:ascii="宋体" w:hAnsi="宋体" w:eastAsia="宋体" w:cs="宋体"/>
          <w:color w:val="auto"/>
          <w:sz w:val="21"/>
          <w:szCs w:val="21"/>
          <w:u w:val="single"/>
          <w:lang w:val="en-US" w:eastAsia="zh-CN"/>
        </w:rPr>
        <w:t xml:space="preserve"> </w:t>
      </w:r>
    </w:p>
    <w:p w14:paraId="0C6532F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10" w:name="_Toc24167_WPSOffice_Level1"/>
      <w:bookmarkStart w:id="11" w:name="_Toc29999_WPSOffice_Level1"/>
      <w:bookmarkStart w:id="12" w:name="_Toc2410_WPSOffice_Level1"/>
      <w:bookmarkStart w:id="13" w:name="_Toc29857_WPSOffice_Level1"/>
      <w:r>
        <w:rPr>
          <w:rFonts w:hint="eastAsia" w:ascii="宋体" w:hAnsi="宋体" w:eastAsia="宋体" w:cs="宋体"/>
          <w:b/>
          <w:bCs w:val="0"/>
          <w:color w:val="auto"/>
          <w:sz w:val="21"/>
          <w:szCs w:val="21"/>
          <w:lang w:val="en-US" w:eastAsia="zh-CN"/>
        </w:rPr>
        <w:t>项目编号</w:t>
      </w:r>
      <w:r>
        <w:rPr>
          <w:rFonts w:hint="eastAsia" w:ascii="宋体" w:hAnsi="宋体" w:eastAsia="宋体" w:cs="宋体"/>
          <w:b w:val="0"/>
          <w:bCs/>
          <w:color w:val="auto"/>
          <w:sz w:val="21"/>
          <w:szCs w:val="21"/>
          <w:lang w:val="en-US" w:eastAsia="zh-CN"/>
        </w:rPr>
        <w:t>：</w:t>
      </w:r>
      <w:bookmarkEnd w:id="10"/>
      <w:bookmarkEnd w:id="11"/>
      <w:bookmarkEnd w:id="12"/>
      <w:bookmarkEnd w:id="13"/>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JC-202505007</w:t>
      </w:r>
      <w:r>
        <w:rPr>
          <w:rFonts w:hint="eastAsia" w:ascii="宋体" w:hAnsi="宋体" w:eastAsia="宋体" w:cs="宋体"/>
          <w:color w:val="auto"/>
          <w:sz w:val="21"/>
          <w:szCs w:val="21"/>
          <w:u w:val="single"/>
          <w:lang w:val="en-US" w:eastAsia="zh-CN"/>
        </w:rPr>
        <w:t xml:space="preserve"> </w:t>
      </w:r>
    </w:p>
    <w:p w14:paraId="081F6F6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sz w:val="21"/>
          <w:szCs w:val="21"/>
          <w:lang w:val="en-US" w:eastAsia="zh-CN"/>
        </w:rPr>
      </w:pPr>
      <w:bookmarkStart w:id="14" w:name="_Toc7833_WPSOffice_Level1"/>
      <w:bookmarkStart w:id="15" w:name="_Toc21641_WPSOffice_Level1"/>
      <w:bookmarkStart w:id="16" w:name="_Toc16010_WPSOffice_Level1"/>
      <w:bookmarkStart w:id="17" w:name="_Toc9625_WPSOffice_Level1"/>
      <w:r>
        <w:rPr>
          <w:rFonts w:hint="eastAsia" w:ascii="宋体" w:hAnsi="宋体" w:eastAsia="宋体" w:cs="宋体"/>
          <w:b/>
          <w:bCs w:val="0"/>
          <w:sz w:val="21"/>
          <w:szCs w:val="21"/>
          <w:lang w:val="en-US" w:eastAsia="zh-CN"/>
        </w:rPr>
        <w:t>项目简介</w:t>
      </w:r>
      <w:bookmarkEnd w:id="14"/>
      <w:bookmarkEnd w:id="15"/>
      <w:bookmarkEnd w:id="16"/>
      <w:bookmarkEnd w:id="17"/>
    </w:p>
    <w:p w14:paraId="41A28F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因项目需要，采购人现计划采购一家专业供应商，为采购人提供团体意外险服务，包括意外伤害、猝死保障、意外医疗、50种重大疾病、疾病住院医疗报销、意外住院津贴共五个方面，服务期为。</w:t>
      </w:r>
    </w:p>
    <w:p w14:paraId="264D37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sz w:val="21"/>
          <w:szCs w:val="21"/>
          <w:lang w:val="en-US" w:eastAsia="zh-CN"/>
        </w:rPr>
      </w:pPr>
      <w:r>
        <w:rPr>
          <w:rFonts w:hint="eastAsia" w:ascii="宋体" w:hAnsi="宋体" w:cs="宋体"/>
          <w:i w:val="0"/>
          <w:iCs w:val="0"/>
          <w:color w:val="auto"/>
          <w:kern w:val="2"/>
          <w:sz w:val="21"/>
          <w:szCs w:val="21"/>
          <w:lang w:val="en-US" w:eastAsia="zh-CN" w:bidi="ar-SA"/>
        </w:rPr>
        <w:t>本项目预估金额为41400.00元，团体意外险保期为2025年6月1日零时至次年5月31日24时，并设有含税单价最高限价，具体为：“正式员工/见习员工”600.00元/年人、“实习生”120.00元/年人。</w:t>
      </w:r>
    </w:p>
    <w:p w14:paraId="2896DA9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kern w:val="2"/>
          <w:sz w:val="21"/>
          <w:szCs w:val="21"/>
          <w:lang w:val="en-US" w:eastAsia="zh-CN" w:bidi="ar-SA"/>
        </w:rPr>
      </w:pPr>
      <w:bookmarkStart w:id="18" w:name="_Toc16536_WPSOffice_Level1"/>
      <w:bookmarkStart w:id="19" w:name="_Toc28945_WPSOffice_Level1"/>
      <w:bookmarkStart w:id="20" w:name="_Toc78_WPSOffice_Level1"/>
      <w:bookmarkStart w:id="21" w:name="_Toc979_WPSOffice_Level1"/>
      <w:r>
        <w:rPr>
          <w:rFonts w:hint="eastAsia" w:ascii="宋体" w:hAnsi="宋体" w:eastAsia="宋体" w:cs="宋体"/>
          <w:b/>
          <w:bCs w:val="0"/>
          <w:sz w:val="21"/>
          <w:szCs w:val="21"/>
          <w:lang w:val="en-US" w:eastAsia="zh-CN"/>
        </w:rPr>
        <w:t>采购方式：</w:t>
      </w:r>
      <w:r>
        <w:rPr>
          <w:rFonts w:hint="eastAsia" w:ascii="宋体" w:hAnsi="宋体" w:eastAsia="宋体" w:cs="宋体"/>
          <w:b w:val="0"/>
          <w:bCs/>
          <w:sz w:val="21"/>
          <w:szCs w:val="21"/>
          <w:lang w:val="en-US" w:eastAsia="zh-CN"/>
        </w:rPr>
        <w:t>公开</w:t>
      </w:r>
      <w:r>
        <w:rPr>
          <w:rFonts w:hint="eastAsia" w:ascii="宋体" w:hAnsi="宋体" w:eastAsia="宋体" w:cs="宋体"/>
          <w:b w:val="0"/>
          <w:bCs/>
          <w:kern w:val="2"/>
          <w:sz w:val="21"/>
          <w:szCs w:val="21"/>
          <w:lang w:val="en-US" w:eastAsia="zh-CN" w:bidi="ar-SA"/>
        </w:rPr>
        <w:t>询价</w:t>
      </w:r>
      <w:bookmarkEnd w:id="18"/>
      <w:r>
        <w:rPr>
          <w:rFonts w:hint="eastAsia" w:ascii="宋体" w:hAnsi="宋体" w:eastAsia="宋体" w:cs="宋体"/>
          <w:b w:val="0"/>
          <w:bCs/>
          <w:kern w:val="2"/>
          <w:sz w:val="21"/>
          <w:szCs w:val="21"/>
          <w:lang w:val="en-US" w:eastAsia="zh-CN" w:bidi="ar-SA"/>
        </w:rPr>
        <w:t>采购</w:t>
      </w:r>
      <w:bookmarkEnd w:id="19"/>
      <w:bookmarkEnd w:id="20"/>
      <w:bookmarkEnd w:id="21"/>
    </w:p>
    <w:p w14:paraId="46EF655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22" w:name="_Toc16305_WPSOffice_Level1"/>
      <w:bookmarkStart w:id="23" w:name="_Toc26788_WPSOffice_Level1"/>
      <w:bookmarkStart w:id="24" w:name="_Toc12020_WPSOffice_Level1"/>
      <w:bookmarkStart w:id="25" w:name="_Toc3427_WPSOffice_Level1"/>
      <w:r>
        <w:rPr>
          <w:rFonts w:hint="eastAsia" w:ascii="宋体" w:hAnsi="宋体" w:eastAsia="宋体" w:cs="宋体"/>
          <w:b/>
          <w:bCs w:val="0"/>
          <w:sz w:val="21"/>
          <w:szCs w:val="21"/>
          <w:lang w:val="en-US" w:eastAsia="zh-CN"/>
        </w:rPr>
        <w:t>供应商资格条件</w:t>
      </w:r>
      <w:bookmarkEnd w:id="22"/>
      <w:bookmarkEnd w:id="23"/>
      <w:bookmarkEnd w:id="24"/>
      <w:bookmarkEnd w:id="25"/>
    </w:p>
    <w:p w14:paraId="64D229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1、供应商须为在中华人民共和国境内注册的具有独立承担民事责任能力的法人或其他组织，提供营业执照或事业法人登记证书复印件</w:t>
      </w:r>
      <w:r>
        <w:rPr>
          <w:rFonts w:hint="eastAsia" w:cs="宋体"/>
          <w:color w:val="333333"/>
          <w:sz w:val="21"/>
          <w:szCs w:val="21"/>
          <w:highlight w:val="none"/>
          <w:lang w:val="en-US" w:eastAsia="zh-CN"/>
        </w:rPr>
        <w:t>（分公司参选须得到总公司授权，同时提供总公司营业执照及盖章授权函）</w:t>
      </w:r>
    </w:p>
    <w:p w14:paraId="290FDC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2、供应商应具备承担本采购项目的能力。（提供应答函）</w:t>
      </w:r>
    </w:p>
    <w:p w14:paraId="41DA53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3、供应商参与本采购活动时，未被列入国家企业信用信息公示系统的经营异常名录、严重违法失信企业名单。（提供应答函）</w:t>
      </w:r>
    </w:p>
    <w:p w14:paraId="1A6B21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4、单位负责人为同一人或者存在直接控股、管理关系的不同供应商，不得同时参加本项目的采购活动。（提供应答函）</w:t>
      </w:r>
    </w:p>
    <w:p w14:paraId="1415DD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5、本项目不接受联合体报价，不得转包或分包。供应商应对所有的采购内容进行报价，不允许仅对部分内容报价。（提供应答函）</w:t>
      </w:r>
    </w:p>
    <w:p w14:paraId="5902B8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6、供应商应具备《中华人民共和国保险许可证》或《中华人民共和国经营保险业务许可证》，且业务范围包括“短期健康保险”或“人身保险”或“健康保险”</w:t>
      </w:r>
      <w:r>
        <w:rPr>
          <w:rFonts w:hint="eastAsia" w:ascii="宋体" w:hAnsi="宋体" w:cs="宋体"/>
          <w:i w:val="0"/>
          <w:iCs w:val="0"/>
          <w:color w:val="auto"/>
          <w:kern w:val="2"/>
          <w:sz w:val="21"/>
          <w:szCs w:val="21"/>
          <w:lang w:val="en-US" w:eastAsia="zh-CN" w:bidi="ar-SA"/>
        </w:rPr>
        <w:t>。（提供证书复印件）</w:t>
      </w:r>
    </w:p>
    <w:p w14:paraId="78855F0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color w:val="auto"/>
          <w:sz w:val="21"/>
          <w:szCs w:val="21"/>
          <w:shd w:val="clear" w:color="auto" w:fill="FFFFFF"/>
        </w:rPr>
      </w:pPr>
      <w:bookmarkStart w:id="26" w:name="_Toc28245_WPSOffice_Level1"/>
      <w:bookmarkStart w:id="27" w:name="_Toc22168_WPSOffice_Level1"/>
      <w:bookmarkStart w:id="28" w:name="_Toc19111_WPSOffice_Level1"/>
      <w:bookmarkStart w:id="29" w:name="_Toc7900_WPSOffice_Level1"/>
      <w:r>
        <w:rPr>
          <w:rFonts w:hint="eastAsia" w:ascii="宋体" w:hAnsi="宋体" w:eastAsia="宋体" w:cs="宋体"/>
          <w:b/>
          <w:bCs w:val="0"/>
          <w:sz w:val="21"/>
          <w:szCs w:val="21"/>
          <w:lang w:val="en-US" w:eastAsia="zh-CN"/>
        </w:rPr>
        <w:t>采购需求</w:t>
      </w:r>
      <w:bookmarkEnd w:id="26"/>
      <w:bookmarkEnd w:id="27"/>
      <w:bookmarkEnd w:id="28"/>
      <w:bookmarkEnd w:id="29"/>
    </w:p>
    <w:p w14:paraId="06CA01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lang w:val="en-US" w:eastAsia="zh-CN"/>
        </w:rPr>
        <w:t>详见《采购文件》第四章</w:t>
      </w:r>
      <w:r>
        <w:rPr>
          <w:rFonts w:hint="eastAsia" w:ascii="宋体" w:hAnsi="宋体" w:eastAsia="宋体" w:cs="宋体"/>
          <w:color w:val="auto"/>
          <w:sz w:val="21"/>
          <w:szCs w:val="21"/>
          <w:shd w:val="clear" w:color="auto" w:fill="FFFFFF"/>
        </w:rPr>
        <w:t>。</w:t>
      </w:r>
    </w:p>
    <w:p w14:paraId="3CCDFF0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sz w:val="21"/>
          <w:szCs w:val="21"/>
          <w:u w:val="single"/>
          <w:lang w:val="en-US" w:eastAsia="zh-CN"/>
        </w:rPr>
      </w:pPr>
      <w:bookmarkStart w:id="30" w:name="_Toc26501_WPSOffice_Level1"/>
      <w:bookmarkStart w:id="31" w:name="_Toc11254_WPSOffice_Level1"/>
      <w:bookmarkStart w:id="32" w:name="_Toc1191_WPSOffice_Level1"/>
      <w:bookmarkStart w:id="33" w:name="_Toc5256_WPSOffice_Level1"/>
      <w:r>
        <w:rPr>
          <w:rFonts w:hint="eastAsia" w:ascii="宋体" w:hAnsi="宋体" w:eastAsia="宋体" w:cs="宋体"/>
          <w:b/>
          <w:bCs w:val="0"/>
          <w:sz w:val="21"/>
          <w:szCs w:val="21"/>
          <w:lang w:val="en-US" w:eastAsia="zh-CN"/>
        </w:rPr>
        <w:t>合同主要条款</w:t>
      </w:r>
      <w:bookmarkEnd w:id="30"/>
      <w:bookmarkEnd w:id="31"/>
      <w:bookmarkEnd w:id="32"/>
      <w:bookmarkEnd w:id="33"/>
    </w:p>
    <w:p w14:paraId="402A412E">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签约主体： </w:t>
      </w:r>
      <w:r>
        <w:rPr>
          <w:rFonts w:hint="eastAsia" w:ascii="宋体" w:hAnsi="宋体" w:eastAsia="宋体" w:cs="宋体"/>
          <w:sz w:val="21"/>
          <w:szCs w:val="21"/>
          <w:u w:val="single"/>
          <w:lang w:val="en-US" w:eastAsia="zh-CN"/>
        </w:rPr>
        <w:t xml:space="preserve"> 今日（广东）国际传播有限公司  </w:t>
      </w:r>
      <w:r>
        <w:rPr>
          <w:rFonts w:hint="eastAsia" w:ascii="宋体" w:hAnsi="宋体" w:eastAsia="宋体" w:cs="宋体"/>
          <w:b w:val="0"/>
          <w:bCs/>
          <w:sz w:val="21"/>
          <w:szCs w:val="21"/>
          <w:lang w:val="en-US" w:eastAsia="zh-CN"/>
        </w:rPr>
        <w:t xml:space="preserve">                   </w:t>
      </w:r>
    </w:p>
    <w:p w14:paraId="2C6CDA0F">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val="0"/>
          <w:bCs/>
          <w:sz w:val="21"/>
          <w:szCs w:val="21"/>
          <w:lang w:eastAsia="zh-CN"/>
        </w:rPr>
        <w:t>合同主要</w:t>
      </w:r>
      <w:r>
        <w:rPr>
          <w:rFonts w:hint="eastAsia" w:ascii="宋体" w:hAnsi="宋体" w:eastAsia="宋体" w:cs="宋体"/>
          <w:sz w:val="21"/>
          <w:szCs w:val="21"/>
          <w:lang w:eastAsia="zh-CN"/>
        </w:rPr>
        <w:t>条款或拟签合同样本：</w:t>
      </w:r>
      <w:r>
        <w:rPr>
          <w:rFonts w:hint="eastAsia" w:ascii="宋体" w:hAnsi="宋体" w:eastAsia="宋体" w:cs="宋体"/>
          <w:sz w:val="21"/>
          <w:szCs w:val="21"/>
          <w:lang w:val="en-US" w:eastAsia="zh-CN"/>
        </w:rPr>
        <w:t>详见</w:t>
      </w:r>
      <w:r>
        <w:rPr>
          <w:rFonts w:hint="eastAsia" w:ascii="宋体" w:hAnsi="宋体" w:eastAsia="宋体" w:cs="宋体"/>
          <w:color w:val="auto"/>
          <w:sz w:val="21"/>
          <w:szCs w:val="21"/>
          <w:lang w:val="en-US" w:eastAsia="zh-CN"/>
        </w:rPr>
        <w:t>《采购文件》第五章</w:t>
      </w:r>
      <w:r>
        <w:rPr>
          <w:rFonts w:hint="eastAsia" w:ascii="宋体" w:hAnsi="宋体" w:eastAsia="宋体" w:cs="宋体"/>
          <w:sz w:val="21"/>
          <w:szCs w:val="21"/>
          <w:lang w:eastAsia="zh-CN"/>
        </w:rPr>
        <w:t>。</w:t>
      </w:r>
    </w:p>
    <w:p w14:paraId="12889CC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34" w:name="_Toc28896_WPSOffice_Level1"/>
      <w:bookmarkStart w:id="35" w:name="_Toc11095_WPSOffice_Level1"/>
      <w:bookmarkStart w:id="36" w:name="_Toc30859_WPSOffice_Level1"/>
      <w:bookmarkStart w:id="37" w:name="_Toc28264_WPSOffice_Level1"/>
      <w:r>
        <w:rPr>
          <w:rFonts w:hint="eastAsia" w:ascii="宋体" w:hAnsi="宋体" w:eastAsia="宋体" w:cs="宋体"/>
          <w:b/>
          <w:bCs w:val="0"/>
          <w:sz w:val="21"/>
          <w:szCs w:val="21"/>
          <w:lang w:val="en-US" w:eastAsia="zh-CN"/>
        </w:rPr>
        <w:t>响应文件编制</w:t>
      </w:r>
      <w:bookmarkEnd w:id="34"/>
      <w:bookmarkEnd w:id="35"/>
      <w:bookmarkEnd w:id="36"/>
      <w:bookmarkEnd w:id="37"/>
    </w:p>
    <w:p w14:paraId="4EB37B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宋体" w:hAnsi="宋体" w:eastAsia="宋体" w:cs="宋体"/>
          <w:color w:val="auto"/>
          <w:sz w:val="21"/>
          <w:szCs w:val="21"/>
          <w:lang w:val="en-US" w:eastAsia="zh-CN"/>
        </w:rPr>
        <w:t>详见《采购文件》第</w:t>
      </w:r>
      <w:r>
        <w:rPr>
          <w:rFonts w:hint="eastAsia" w:ascii="宋体" w:hAnsi="宋体" w:cs="宋体"/>
          <w:color w:val="auto"/>
          <w:sz w:val="21"/>
          <w:szCs w:val="21"/>
          <w:lang w:val="en-US" w:eastAsia="zh-CN"/>
        </w:rPr>
        <w:t>六</w:t>
      </w:r>
      <w:r>
        <w:rPr>
          <w:rFonts w:hint="eastAsia" w:ascii="宋体" w:hAnsi="宋体" w:eastAsia="宋体" w:cs="宋体"/>
          <w:color w:val="auto"/>
          <w:sz w:val="21"/>
          <w:szCs w:val="21"/>
          <w:lang w:val="en-US" w:eastAsia="zh-CN"/>
        </w:rPr>
        <w:t>章</w:t>
      </w:r>
      <w:r>
        <w:rPr>
          <w:rFonts w:hint="eastAsia" w:ascii="宋体" w:hAnsi="宋体" w:eastAsia="宋体" w:cs="宋体"/>
          <w:color w:val="auto"/>
          <w:sz w:val="21"/>
          <w:szCs w:val="21"/>
          <w:shd w:val="clear" w:color="auto" w:fill="FFFFFF"/>
        </w:rPr>
        <w:t>。</w:t>
      </w:r>
    </w:p>
    <w:p w14:paraId="3A5A58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38" w:name="_Toc21901_WPSOffice_Level1"/>
      <w:bookmarkStart w:id="39" w:name="_Toc32225_WPSOffice_Level1"/>
      <w:bookmarkStart w:id="40" w:name="_Toc16063_WPSOffice_Level1"/>
      <w:bookmarkStart w:id="41" w:name="_Toc20150_WPSOffice_Level1"/>
      <w:r>
        <w:rPr>
          <w:rFonts w:hint="eastAsia" w:ascii="宋体" w:hAnsi="宋体" w:eastAsia="宋体" w:cs="宋体"/>
          <w:b w:val="0"/>
          <w:bCs/>
          <w:sz w:val="21"/>
          <w:szCs w:val="21"/>
          <w:lang w:val="en-US" w:eastAsia="zh-CN"/>
        </w:rPr>
        <w:t>响应文件递交</w:t>
      </w:r>
      <w:bookmarkEnd w:id="38"/>
      <w:bookmarkEnd w:id="39"/>
      <w:bookmarkEnd w:id="40"/>
      <w:bookmarkEnd w:id="41"/>
    </w:p>
    <w:p w14:paraId="1EFD35B0">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sz w:val="21"/>
          <w:szCs w:val="21"/>
          <w:lang w:val="en-US" w:eastAsia="zh-CN"/>
        </w:rPr>
        <w:t>报价要求：请按要求填写报价，并附相关资质资料，加盖公章，装订成册。</w:t>
      </w:r>
    </w:p>
    <w:p w14:paraId="683AACBB">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密封要求：报价文件须进行密封，封口处贴封条并加盖骑缝章，外封面备注项目名称和联系方式。</w:t>
      </w:r>
    </w:p>
    <w:p w14:paraId="1B756511">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递交方式：直接送达或快递邮寄（以送达签收时间为准）。</w:t>
      </w:r>
    </w:p>
    <w:p w14:paraId="3B4D394B">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文件数量：</w:t>
      </w:r>
      <w:r>
        <w:rPr>
          <w:rFonts w:hint="eastAsia" w:ascii="宋体" w:hAnsi="宋体" w:eastAsia="宋体" w:cs="宋体"/>
          <w:b w:val="0"/>
          <w:bCs/>
          <w:sz w:val="21"/>
          <w:szCs w:val="21"/>
        </w:rPr>
        <w:t>正本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eastAsia="zh-CN"/>
        </w:rPr>
        <w:t>份，</w:t>
      </w:r>
      <w:r>
        <w:rPr>
          <w:rFonts w:hint="eastAsia" w:ascii="宋体" w:hAnsi="宋体" w:eastAsia="宋体" w:cs="宋体"/>
          <w:b w:val="0"/>
          <w:bCs/>
          <w:sz w:val="21"/>
          <w:szCs w:val="21"/>
        </w:rPr>
        <w:t>副本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val="en-US" w:eastAsia="zh-CN"/>
        </w:rPr>
        <w:t>份</w:t>
      </w:r>
      <w:r>
        <w:rPr>
          <w:rFonts w:hint="eastAsia" w:ascii="宋体" w:hAnsi="宋体" w:eastAsia="宋体" w:cs="宋体"/>
          <w:b w:val="0"/>
          <w:bCs/>
          <w:sz w:val="21"/>
          <w:szCs w:val="21"/>
        </w:rPr>
        <w:t>。</w:t>
      </w:r>
    </w:p>
    <w:p w14:paraId="25B15827">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截止时间：</w:t>
      </w:r>
      <w:r>
        <w:rPr>
          <w:rFonts w:hint="eastAsia" w:ascii="宋体" w:hAnsi="宋体" w:eastAsia="宋体" w:cs="宋体"/>
          <w:b w:val="0"/>
          <w:bCs/>
          <w:color w:val="auto"/>
          <w:sz w:val="21"/>
          <w:szCs w:val="21"/>
        </w:rPr>
        <w:t>202</w:t>
      </w:r>
      <w:r>
        <w:rPr>
          <w:rFonts w:hint="eastAsia" w:ascii="宋体" w:hAnsi="宋体" w:eastAsia="宋体" w:cs="宋体"/>
          <w:b w:val="0"/>
          <w:bCs/>
          <w:color w:val="auto"/>
          <w:sz w:val="21"/>
          <w:szCs w:val="21"/>
          <w:u w:val="single"/>
          <w:lang w:val="en-US" w:eastAsia="zh-CN"/>
        </w:rPr>
        <w:t>5</w:t>
      </w:r>
      <w:r>
        <w:rPr>
          <w:rFonts w:hint="eastAsia" w:ascii="宋体" w:hAnsi="宋体" w:eastAsia="宋体" w:cs="宋体"/>
          <w:b w:val="0"/>
          <w:bCs/>
          <w:color w:val="auto"/>
          <w:sz w:val="21"/>
          <w:szCs w:val="21"/>
        </w:rPr>
        <w:t>年</w:t>
      </w:r>
      <w:r>
        <w:rPr>
          <w:rFonts w:hint="eastAsia" w:ascii="宋体" w:hAnsi="宋体" w:eastAsia="宋体" w:cs="宋体"/>
          <w:b w:val="0"/>
          <w:bCs/>
          <w:color w:val="auto"/>
          <w:sz w:val="21"/>
          <w:szCs w:val="21"/>
          <w:u w:val="single"/>
          <w:lang w:val="en-US" w:eastAsia="zh-CN"/>
        </w:rPr>
        <w:t>6</w:t>
      </w:r>
      <w:r>
        <w:rPr>
          <w:rFonts w:hint="eastAsia" w:ascii="宋体" w:hAnsi="宋体" w:eastAsia="宋体" w:cs="宋体"/>
          <w:b w:val="0"/>
          <w:bCs/>
          <w:color w:val="auto"/>
          <w:sz w:val="21"/>
          <w:szCs w:val="21"/>
        </w:rPr>
        <w:t>月</w:t>
      </w:r>
      <w:r>
        <w:rPr>
          <w:rFonts w:hint="eastAsia" w:ascii="宋体" w:hAnsi="宋体" w:eastAsia="宋体" w:cs="宋体"/>
          <w:b w:val="0"/>
          <w:bCs/>
          <w:color w:val="auto"/>
          <w:sz w:val="21"/>
          <w:szCs w:val="21"/>
          <w:u w:val="single"/>
          <w:lang w:val="en-US" w:eastAsia="zh-CN"/>
        </w:rPr>
        <w:t>6</w:t>
      </w:r>
      <w:r>
        <w:rPr>
          <w:rFonts w:hint="eastAsia" w:ascii="宋体" w:hAnsi="宋体" w:eastAsia="宋体" w:cs="宋体"/>
          <w:b w:val="0"/>
          <w:bCs/>
          <w:color w:val="auto"/>
          <w:sz w:val="21"/>
          <w:szCs w:val="21"/>
        </w:rPr>
        <w:t>日</w:t>
      </w:r>
      <w:r>
        <w:rPr>
          <w:rFonts w:hint="eastAsia" w:ascii="宋体" w:hAnsi="宋体" w:eastAsia="宋体" w:cs="宋体"/>
          <w:b w:val="0"/>
          <w:bCs/>
          <w:color w:val="auto"/>
          <w:sz w:val="21"/>
          <w:szCs w:val="21"/>
          <w:u w:val="single"/>
          <w:lang w:val="en-US" w:eastAsia="zh-CN"/>
        </w:rPr>
        <w:t>12</w:t>
      </w:r>
      <w:r>
        <w:rPr>
          <w:rFonts w:hint="eastAsia" w:ascii="宋体" w:hAnsi="宋体" w:eastAsia="宋体" w:cs="宋体"/>
          <w:b w:val="0"/>
          <w:bCs/>
          <w:color w:val="auto"/>
          <w:sz w:val="21"/>
          <w:szCs w:val="21"/>
          <w:lang w:eastAsia="zh-CN"/>
        </w:rPr>
        <w:t>时</w:t>
      </w:r>
      <w:r>
        <w:rPr>
          <w:rFonts w:hint="eastAsia" w:ascii="宋体" w:hAnsi="宋体" w:eastAsia="宋体" w:cs="宋体"/>
          <w:b w:val="0"/>
          <w:bCs/>
          <w:color w:val="auto"/>
          <w:sz w:val="21"/>
          <w:szCs w:val="21"/>
          <w:u w:val="single"/>
          <w:lang w:val="en-US" w:eastAsia="zh-CN"/>
        </w:rPr>
        <w:t>00</w:t>
      </w:r>
      <w:r>
        <w:rPr>
          <w:rFonts w:hint="eastAsia" w:ascii="宋体" w:hAnsi="宋体" w:eastAsia="宋体" w:cs="宋体"/>
          <w:b w:val="0"/>
          <w:bCs/>
          <w:color w:val="auto"/>
          <w:sz w:val="21"/>
          <w:szCs w:val="21"/>
        </w:rPr>
        <w:t>分</w:t>
      </w:r>
      <w:r>
        <w:rPr>
          <w:rFonts w:hint="eastAsia" w:ascii="宋体" w:hAnsi="宋体" w:eastAsia="宋体" w:cs="宋体"/>
          <w:b w:val="0"/>
          <w:bCs/>
          <w:color w:val="auto"/>
          <w:sz w:val="21"/>
          <w:szCs w:val="21"/>
          <w:lang w:eastAsia="zh-CN"/>
        </w:rPr>
        <w:t>前</w:t>
      </w:r>
    </w:p>
    <w:p w14:paraId="0703BAA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42" w:name="_Toc10662_WPSOffice_Level1"/>
      <w:bookmarkStart w:id="43" w:name="_Toc31910_WPSOffice_Level1"/>
      <w:bookmarkStart w:id="44" w:name="_Toc6254_WPSOffice_Level1"/>
      <w:bookmarkStart w:id="45" w:name="_Toc26395_WPSOffice_Level1"/>
      <w:r>
        <w:rPr>
          <w:rFonts w:hint="eastAsia" w:ascii="宋体" w:hAnsi="宋体" w:eastAsia="宋体" w:cs="宋体"/>
          <w:b w:val="0"/>
          <w:bCs/>
          <w:sz w:val="21"/>
          <w:szCs w:val="21"/>
          <w:lang w:val="en-US" w:eastAsia="zh-CN"/>
        </w:rPr>
        <w:t>采购人及联系方式</w:t>
      </w:r>
      <w:bookmarkEnd w:id="42"/>
      <w:bookmarkEnd w:id="43"/>
      <w:bookmarkEnd w:id="44"/>
      <w:bookmarkEnd w:id="45"/>
    </w:p>
    <w:p w14:paraId="008E8490">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color w:val="auto"/>
          <w:sz w:val="21"/>
          <w:szCs w:val="21"/>
          <w:lang w:val="en-US" w:eastAsia="zh-CN"/>
        </w:rPr>
        <w:t>采购人：</w:t>
      </w:r>
      <w:r>
        <w:rPr>
          <w:rFonts w:hint="eastAsia" w:ascii="宋体" w:hAnsi="宋体" w:eastAsia="宋体" w:cs="宋体"/>
          <w:b w:val="0"/>
          <w:bCs/>
          <w:color w:val="auto"/>
          <w:sz w:val="21"/>
          <w:szCs w:val="21"/>
          <w:u w:val="single"/>
          <w:lang w:val="en-US" w:eastAsia="zh-CN"/>
        </w:rPr>
        <w:t xml:space="preserve">今日（广东）国际传播有限公司。 </w:t>
      </w:r>
    </w:p>
    <w:p w14:paraId="799BCF3A">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sz w:val="21"/>
          <w:szCs w:val="21"/>
          <w:lang w:val="en-US" w:eastAsia="zh-CN"/>
        </w:rPr>
        <w:t>联系人及电话：</w:t>
      </w:r>
      <w:r>
        <w:rPr>
          <w:rFonts w:hint="eastAsia" w:ascii="宋体" w:hAnsi="宋体" w:eastAsia="宋体" w:cs="宋体"/>
          <w:b w:val="0"/>
          <w:bCs/>
          <w:sz w:val="21"/>
          <w:szCs w:val="21"/>
          <w:u w:val="single"/>
          <w:lang w:val="en-US" w:eastAsia="zh-CN"/>
        </w:rPr>
        <w:t>邓老师13640220785/张老师 13500226498。</w:t>
      </w:r>
    </w:p>
    <w:p w14:paraId="3343CFFF">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bookmarkStart w:id="46" w:name="_Toc144974560"/>
      <w:bookmarkStart w:id="47" w:name="_Toc152042370"/>
      <w:bookmarkStart w:id="48" w:name="_Toc246996236"/>
      <w:bookmarkStart w:id="49" w:name="_Toc179632611"/>
      <w:bookmarkStart w:id="50" w:name="_Toc247085751"/>
      <w:bookmarkStart w:id="51" w:name="_Toc246996979"/>
      <w:bookmarkStart w:id="52" w:name="_Toc152045593"/>
      <w:r>
        <w:rPr>
          <w:rFonts w:hint="eastAsia" w:ascii="宋体" w:hAnsi="宋体" w:eastAsia="宋体" w:cs="宋体"/>
          <w:b w:val="0"/>
          <w:bCs/>
          <w:sz w:val="21"/>
          <w:szCs w:val="21"/>
          <w:lang w:eastAsia="zh-CN"/>
        </w:rPr>
        <w:t>联系</w:t>
      </w:r>
      <w:r>
        <w:rPr>
          <w:rFonts w:hint="eastAsia" w:ascii="宋体" w:hAnsi="宋体" w:eastAsia="宋体" w:cs="宋体"/>
          <w:b w:val="0"/>
          <w:bCs/>
          <w:sz w:val="21"/>
          <w:szCs w:val="21"/>
        </w:rPr>
        <w:t>地点：</w:t>
      </w:r>
      <w:r>
        <w:rPr>
          <w:rFonts w:hint="eastAsia" w:ascii="宋体" w:hAnsi="宋体" w:eastAsia="宋体" w:cs="宋体"/>
          <w:b w:val="0"/>
          <w:bCs/>
          <w:sz w:val="21"/>
          <w:szCs w:val="21"/>
          <w:u w:val="single"/>
        </w:rPr>
        <w:t>广州市</w:t>
      </w:r>
      <w:r>
        <w:rPr>
          <w:rFonts w:hint="eastAsia" w:ascii="宋体" w:hAnsi="宋体" w:eastAsia="宋体" w:cs="宋体"/>
          <w:b w:val="0"/>
          <w:bCs/>
          <w:sz w:val="21"/>
          <w:szCs w:val="21"/>
          <w:u w:val="single"/>
          <w:lang w:eastAsia="zh-CN"/>
        </w:rPr>
        <w:t>越秀区</w:t>
      </w:r>
      <w:r>
        <w:rPr>
          <w:rFonts w:hint="eastAsia" w:ascii="宋体" w:hAnsi="宋体" w:eastAsia="宋体" w:cs="宋体"/>
          <w:b w:val="0"/>
          <w:bCs/>
          <w:sz w:val="21"/>
          <w:szCs w:val="21"/>
          <w:u w:val="single"/>
        </w:rPr>
        <w:t>广州大道中289号</w:t>
      </w:r>
      <w:r>
        <w:rPr>
          <w:rFonts w:hint="eastAsia" w:ascii="宋体" w:hAnsi="宋体" w:eastAsia="宋体" w:cs="宋体"/>
          <w:b w:val="0"/>
          <w:bCs/>
          <w:sz w:val="21"/>
          <w:szCs w:val="21"/>
          <w:u w:val="single"/>
          <w:lang w:val="en-US" w:eastAsia="zh-CN"/>
        </w:rPr>
        <w:t xml:space="preserve">南方传媒大厦2号楼8楼 </w:t>
      </w:r>
      <w:r>
        <w:rPr>
          <w:rFonts w:hint="eastAsia" w:ascii="宋体" w:hAnsi="宋体" w:eastAsia="宋体" w:cs="宋体"/>
          <w:b w:val="0"/>
          <w:bCs/>
          <w:sz w:val="21"/>
          <w:szCs w:val="21"/>
          <w:lang w:eastAsia="zh-CN"/>
        </w:rPr>
        <w:t>。</w:t>
      </w:r>
    </w:p>
    <w:p w14:paraId="39B67D50">
      <w:pPr>
        <w:pStyle w:val="14"/>
        <w:ind w:left="0" w:leftChars="0" w:firstLine="0" w:firstLineChars="0"/>
        <w:rPr>
          <w:rFonts w:hint="eastAsia" w:ascii="宋体" w:hAnsi="宋体" w:eastAsia="宋体" w:cs="宋体"/>
          <w:sz w:val="21"/>
          <w:szCs w:val="21"/>
          <w:lang w:eastAsia="zh-CN"/>
        </w:rPr>
      </w:pPr>
    </w:p>
    <w:p w14:paraId="6242FF6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i w:val="0"/>
          <w:iCs w:val="0"/>
          <w:sz w:val="21"/>
          <w:szCs w:val="21"/>
          <w:lang w:eastAsia="zh-CN"/>
        </w:rPr>
      </w:pPr>
      <w:bookmarkStart w:id="132" w:name="_GoBack"/>
      <w:bookmarkEnd w:id="132"/>
    </w:p>
    <w:p w14:paraId="6F4A367B">
      <w:pPr>
        <w:pStyle w:val="1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p>
    <w:p w14:paraId="0217C3FB">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sz w:val="21"/>
          <w:szCs w:val="21"/>
        </w:rPr>
      </w:pPr>
      <w:r>
        <w:rPr>
          <w:rFonts w:hint="eastAsia" w:ascii="宋体" w:hAnsi="宋体" w:eastAsia="宋体" w:cs="宋体"/>
          <w:sz w:val="21"/>
          <w:szCs w:val="21"/>
        </w:rPr>
        <w:t xml:space="preserve">                                          </w:t>
      </w:r>
      <w:r>
        <w:rPr>
          <w:rFonts w:hint="eastAsia" w:ascii="宋体" w:hAnsi="宋体" w:eastAsia="宋体" w:cs="宋体"/>
          <w:b/>
          <w:sz w:val="21"/>
          <w:szCs w:val="21"/>
        </w:rPr>
        <w:t xml:space="preserve"> 南方报业传媒集团</w:t>
      </w:r>
    </w:p>
    <w:p w14:paraId="137C1633">
      <w:pPr>
        <w:pStyle w:val="37"/>
        <w:spacing w:before="0" w:beforeAutospacing="0" w:after="0" w:afterAutospacing="0" w:line="360" w:lineRule="auto"/>
        <w:jc w:val="right"/>
        <w:rPr>
          <w:rFonts w:hint="default" w:ascii="宋体" w:hAnsi="宋体" w:eastAsia="宋体" w:cs="宋体"/>
          <w:color w:val="333333"/>
          <w:sz w:val="21"/>
          <w:szCs w:val="21"/>
          <w:highlight w:val="none"/>
          <w:lang w:val="en-US"/>
        </w:rPr>
      </w:pPr>
      <w:r>
        <w:rPr>
          <w:rFonts w:hint="eastAsia" w:ascii="宋体" w:hAnsi="宋体" w:eastAsia="宋体" w:cs="宋体"/>
          <w:b/>
          <w:sz w:val="21"/>
          <w:szCs w:val="21"/>
        </w:rPr>
        <w:t xml:space="preserve">                                        202</w:t>
      </w:r>
      <w:r>
        <w:rPr>
          <w:rFonts w:hint="eastAsia" w:cs="宋体"/>
          <w:b/>
          <w:sz w:val="21"/>
          <w:szCs w:val="21"/>
          <w:u w:val="single"/>
          <w:lang w:val="en-US" w:eastAsia="zh-CN"/>
        </w:rPr>
        <w:t>5</w:t>
      </w:r>
      <w:r>
        <w:rPr>
          <w:rFonts w:hint="eastAsia" w:ascii="宋体" w:hAnsi="宋体" w:eastAsia="宋体" w:cs="宋体"/>
          <w:b/>
          <w:sz w:val="21"/>
          <w:szCs w:val="21"/>
        </w:rPr>
        <w:t>年</w:t>
      </w:r>
      <w:r>
        <w:rPr>
          <w:rFonts w:hint="eastAsia" w:cs="宋体"/>
          <w:b/>
          <w:sz w:val="21"/>
          <w:szCs w:val="21"/>
          <w:u w:val="single"/>
          <w:lang w:val="en-US" w:eastAsia="zh-CN"/>
        </w:rPr>
        <w:t>5</w:t>
      </w:r>
      <w:r>
        <w:rPr>
          <w:rFonts w:hint="eastAsia" w:ascii="宋体" w:hAnsi="宋体" w:eastAsia="宋体" w:cs="宋体"/>
          <w:b/>
          <w:sz w:val="21"/>
          <w:szCs w:val="21"/>
        </w:rPr>
        <w:t>月</w:t>
      </w:r>
      <w:bookmarkEnd w:id="46"/>
      <w:bookmarkEnd w:id="47"/>
      <w:bookmarkEnd w:id="48"/>
      <w:bookmarkEnd w:id="49"/>
      <w:bookmarkEnd w:id="50"/>
      <w:bookmarkEnd w:id="51"/>
      <w:bookmarkEnd w:id="52"/>
      <w:r>
        <w:rPr>
          <w:rFonts w:hint="eastAsia" w:cs="宋体"/>
          <w:b/>
          <w:sz w:val="21"/>
          <w:szCs w:val="21"/>
          <w:u w:val="single"/>
          <w:lang w:val="en-US" w:eastAsia="zh-CN"/>
        </w:rPr>
        <w:t>27</w:t>
      </w:r>
      <w:r>
        <w:rPr>
          <w:rFonts w:hint="eastAsia" w:cs="宋体"/>
          <w:b/>
          <w:sz w:val="21"/>
          <w:szCs w:val="21"/>
          <w:u w:val="none"/>
          <w:lang w:val="en-US" w:eastAsia="zh-CN"/>
        </w:rPr>
        <w:t>日</w:t>
      </w:r>
    </w:p>
    <w:p w14:paraId="1A0AD29E">
      <w:pPr>
        <w:spacing w:line="360" w:lineRule="auto"/>
        <w:rPr>
          <w:rFonts w:hint="eastAsia" w:ascii="宋体" w:hAnsi="宋体" w:eastAsia="宋体" w:cs="宋体"/>
          <w:sz w:val="21"/>
          <w:szCs w:val="21"/>
          <w:highlight w:val="none"/>
        </w:rPr>
      </w:pPr>
    </w:p>
    <w:p w14:paraId="15ABDF0E">
      <w:pPr>
        <w:pStyle w:val="53"/>
        <w:snapToGrid w:val="0"/>
        <w:spacing w:line="360" w:lineRule="exact"/>
        <w:ind w:firstLine="3542" w:firstLineChars="1687"/>
        <w:jc w:val="right"/>
        <w:rPr>
          <w:rFonts w:hint="eastAsia" w:ascii="宋体" w:hAnsi="宋体" w:eastAsia="宋体" w:cs="宋体"/>
          <w:highlight w:val="none"/>
        </w:rPr>
      </w:pPr>
    </w:p>
    <w:p w14:paraId="1A83E7D7">
      <w:pPr>
        <w:pStyle w:val="53"/>
        <w:snapToGrid w:val="0"/>
        <w:spacing w:line="360" w:lineRule="exact"/>
        <w:ind w:firstLine="3542" w:firstLineChars="1687"/>
        <w:rPr>
          <w:rFonts w:hint="eastAsia" w:ascii="宋体" w:hAnsi="宋体" w:eastAsia="宋体" w:cs="宋体"/>
          <w:highlight w:val="none"/>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4B7A620A">
      <w:pPr>
        <w:pStyle w:val="52"/>
        <w:snapToGrid w:val="0"/>
        <w:spacing w:before="120" w:after="120"/>
        <w:rPr>
          <w:rFonts w:hint="eastAsia" w:ascii="宋体" w:hAnsi="宋体" w:eastAsia="宋体" w:cs="宋体"/>
          <w:b/>
          <w:bCs w:val="0"/>
          <w:kern w:val="0"/>
          <w:sz w:val="28"/>
          <w:szCs w:val="28"/>
          <w:highlight w:val="none"/>
        </w:rPr>
      </w:pPr>
      <w:bookmarkStart w:id="53" w:name="_Toc447265500"/>
      <w:bookmarkStart w:id="54" w:name="_Toc447265214"/>
      <w:bookmarkStart w:id="55" w:name="_Toc22123"/>
      <w:bookmarkStart w:id="56" w:name="_Toc447188665"/>
      <w:r>
        <w:rPr>
          <w:rFonts w:hint="eastAsia" w:ascii="宋体" w:hAnsi="宋体" w:eastAsia="宋体" w:cs="宋体"/>
          <w:b/>
          <w:bCs w:val="0"/>
          <w:kern w:val="0"/>
          <w:sz w:val="28"/>
          <w:szCs w:val="28"/>
          <w:highlight w:val="none"/>
        </w:rPr>
        <w:t>第二章 供应商须知</w:t>
      </w:r>
      <w:bookmarkEnd w:id="53"/>
      <w:bookmarkEnd w:id="54"/>
      <w:bookmarkEnd w:id="55"/>
      <w:bookmarkEnd w:id="56"/>
    </w:p>
    <w:tbl>
      <w:tblPr>
        <w:tblStyle w:val="41"/>
        <w:tblW w:w="8505"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670"/>
      </w:tblGrid>
      <w:tr w14:paraId="512EC9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0692427C">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17AF4D05">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670" w:type="dxa"/>
            <w:vAlign w:val="center"/>
          </w:tcPr>
          <w:p w14:paraId="66A1B0F6">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608C678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08DE5843">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05B42CB5">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670" w:type="dxa"/>
            <w:vAlign w:val="center"/>
          </w:tcPr>
          <w:p w14:paraId="0BDF9BA9">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461A16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3A141ACD">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D94337A">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670" w:type="dxa"/>
            <w:vAlign w:val="center"/>
          </w:tcPr>
          <w:p w14:paraId="4284622C">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59A0CE8E">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590874C8">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BAAB814">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17A8435C">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4C7AA0A9">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53840D15">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1E9B2B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DD3185D">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2065FD3E">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670" w:type="dxa"/>
            <w:vAlign w:val="center"/>
          </w:tcPr>
          <w:p w14:paraId="3E304DFE">
            <w:pPr>
              <w:rPr>
                <w:rFonts w:hint="eastAsia" w:ascii="宋体" w:hAnsi="宋体" w:eastAsia="宋体" w:cs="宋体"/>
                <w:highlight w:val="none"/>
              </w:rPr>
            </w:pPr>
            <w:r>
              <w:rPr>
                <w:rFonts w:hint="eastAsia" w:ascii="宋体" w:hAnsi="宋体" w:eastAsia="宋体" w:cs="宋体"/>
                <w:highlight w:val="none"/>
              </w:rPr>
              <w:t>1、报价具体要求</w:t>
            </w:r>
          </w:p>
          <w:p w14:paraId="168E5E52">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本项目设有含税单价最高限价，具体为：“正式员工/见习员工”600.00元/年人、“实习生”120.00元/年人</w:t>
            </w:r>
            <w:r>
              <w:rPr>
                <w:rFonts w:hint="eastAsia" w:ascii="宋体" w:hAnsi="宋体" w:cs="宋体"/>
                <w:b/>
                <w:bCs/>
                <w:highlight w:val="none"/>
                <w:lang w:val="en-US" w:eastAsia="zh-CN"/>
              </w:rPr>
              <w:t>，供应商含税报价不得超出上述最高限价</w:t>
            </w:r>
            <w:r>
              <w:rPr>
                <w:rFonts w:hint="eastAsia" w:ascii="宋体" w:hAnsi="宋体" w:eastAsia="宋体" w:cs="宋体"/>
                <w:b/>
                <w:bCs/>
                <w:highlight w:val="none"/>
              </w:rPr>
              <w:t>。</w:t>
            </w:r>
            <w:r>
              <w:rPr>
                <w:rFonts w:hint="eastAsia" w:ascii="宋体" w:hAnsi="宋体" w:eastAsia="宋体" w:cs="宋体"/>
                <w:highlight w:val="none"/>
              </w:rPr>
              <w:t>（注：保留小数点后2位)。供应商应根据自身具体情况及项目实际要求对本询价项目报价。</w:t>
            </w:r>
          </w:p>
          <w:p w14:paraId="682514F2">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6A0CA420">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142C1B8C">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提供增值税发票</w:t>
            </w:r>
            <w:r>
              <w:rPr>
                <w:rFonts w:hint="eastAsia" w:ascii="宋体" w:hAnsi="宋体" w:cs="宋体"/>
                <w:b/>
                <w:bCs/>
                <w:highlight w:val="none"/>
                <w:lang w:eastAsia="zh-CN"/>
              </w:rPr>
              <w:t>。</w:t>
            </w:r>
          </w:p>
          <w:p w14:paraId="33F82F6A">
            <w:pPr>
              <w:numPr>
                <w:ilvl w:val="0"/>
                <w:numId w:val="6"/>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2007D2E5">
            <w:pPr>
              <w:pStyle w:val="14"/>
              <w:ind w:firstLine="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796C92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15D1AA85">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6CAA0C9B">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670" w:type="dxa"/>
            <w:vAlign w:val="center"/>
          </w:tcPr>
          <w:p w14:paraId="68A18ADA">
            <w:pPr>
              <w:autoSpaceDE w:val="0"/>
              <w:autoSpaceDN w:val="0"/>
              <w:adjustRightInd w:val="0"/>
              <w:snapToGrid w:val="0"/>
              <w:rPr>
                <w:rFonts w:hint="eastAsia" w:ascii="宋体" w:hAnsi="宋体" w:eastAsia="宋体" w:cs="宋体"/>
                <w:kern w:val="0"/>
                <w:szCs w:val="21"/>
                <w:highlight w:val="none"/>
              </w:rPr>
            </w:pPr>
            <w:r>
              <w:rPr>
                <w:rFonts w:hint="eastAsia" w:ascii="宋体" w:hAnsi="宋体" w:eastAsia="宋体" w:cs="宋体"/>
                <w:szCs w:val="21"/>
                <w:highlight w:val="none"/>
              </w:rPr>
              <w:t>在满足采购文件实质性要求的条件下，</w:t>
            </w:r>
            <w:r>
              <w:rPr>
                <w:rFonts w:hint="eastAsia" w:ascii="宋体" w:hAnsi="宋体" w:eastAsia="宋体" w:cs="宋体"/>
                <w:color w:val="333333"/>
                <w:sz w:val="21"/>
                <w:szCs w:val="21"/>
                <w:highlight w:val="none"/>
                <w:lang w:eastAsia="zh-CN"/>
              </w:rPr>
              <w:t>由</w:t>
            </w:r>
            <w:r>
              <w:rPr>
                <w:rFonts w:hint="eastAsia" w:ascii="宋体" w:hAnsi="宋体" w:eastAsia="宋体" w:cs="宋体"/>
                <w:color w:val="333333"/>
                <w:sz w:val="21"/>
                <w:szCs w:val="21"/>
                <w:highlight w:val="none"/>
                <w:lang w:val="en-US" w:eastAsia="zh-CN"/>
              </w:rPr>
              <w:t>项目</w:t>
            </w:r>
            <w:r>
              <w:rPr>
                <w:rFonts w:hint="eastAsia" w:ascii="宋体" w:hAnsi="宋体" w:eastAsia="宋体" w:cs="宋体"/>
                <w:color w:val="333333"/>
                <w:sz w:val="21"/>
                <w:szCs w:val="21"/>
                <w:highlight w:val="none"/>
                <w:lang w:eastAsia="zh-CN"/>
              </w:rPr>
              <w:t>小组（</w:t>
            </w:r>
            <w:r>
              <w:rPr>
                <w:rFonts w:hint="eastAsia" w:ascii="宋体" w:hAnsi="宋体" w:eastAsia="宋体" w:cs="宋体"/>
                <w:color w:val="333333"/>
                <w:sz w:val="21"/>
                <w:szCs w:val="21"/>
                <w:highlight w:val="none"/>
                <w:lang w:val="en-US" w:eastAsia="zh-CN"/>
              </w:rPr>
              <w:t>由采购人组建</w:t>
            </w:r>
            <w:r>
              <w:rPr>
                <w:rFonts w:hint="eastAsia" w:ascii="宋体" w:hAnsi="宋体" w:eastAsia="宋体" w:cs="宋体"/>
                <w:color w:val="333333"/>
                <w:sz w:val="21"/>
                <w:szCs w:val="21"/>
                <w:highlight w:val="none"/>
                <w:lang w:eastAsia="zh-CN"/>
              </w:rPr>
              <w:t>）综合考虑各报价商的资质、报价、实施方案（包括</w:t>
            </w:r>
            <w:r>
              <w:rPr>
                <w:rFonts w:hint="eastAsia" w:ascii="宋体" w:hAnsi="宋体" w:cs="宋体"/>
                <w:color w:val="333333"/>
                <w:sz w:val="21"/>
                <w:szCs w:val="21"/>
                <w:highlight w:val="none"/>
                <w:lang w:val="en-US" w:eastAsia="zh-CN"/>
              </w:rPr>
              <w:t>保险服务</w:t>
            </w:r>
            <w:r>
              <w:rPr>
                <w:rFonts w:hint="eastAsia" w:ascii="宋体" w:hAnsi="宋体" w:eastAsia="宋体" w:cs="宋体"/>
                <w:color w:val="333333"/>
                <w:sz w:val="21"/>
                <w:szCs w:val="21"/>
                <w:highlight w:val="none"/>
                <w:lang w:eastAsia="zh-CN"/>
              </w:rPr>
              <w:t>方案、</w:t>
            </w:r>
            <w:r>
              <w:rPr>
                <w:rFonts w:hint="eastAsia" w:ascii="宋体" w:hAnsi="宋体" w:cs="宋体"/>
                <w:color w:val="333333"/>
                <w:sz w:val="21"/>
                <w:szCs w:val="21"/>
                <w:highlight w:val="none"/>
                <w:lang w:val="en-US" w:eastAsia="zh-CN"/>
              </w:rPr>
              <w:t>赔偿保障</w:t>
            </w:r>
            <w:r>
              <w:rPr>
                <w:rFonts w:hint="eastAsia" w:ascii="宋体" w:hAnsi="宋体" w:eastAsia="宋体" w:cs="宋体"/>
                <w:color w:val="333333"/>
                <w:sz w:val="21"/>
                <w:szCs w:val="21"/>
                <w:highlight w:val="none"/>
                <w:lang w:eastAsia="zh-CN"/>
              </w:rPr>
              <w:t>措施、</w:t>
            </w:r>
            <w:r>
              <w:rPr>
                <w:rFonts w:hint="eastAsia" w:ascii="宋体" w:hAnsi="宋体" w:cs="宋体"/>
                <w:color w:val="333333"/>
                <w:sz w:val="21"/>
                <w:szCs w:val="21"/>
                <w:highlight w:val="none"/>
                <w:lang w:val="en-US" w:eastAsia="zh-CN"/>
              </w:rPr>
              <w:t>响应承诺</w:t>
            </w:r>
            <w:r>
              <w:rPr>
                <w:rFonts w:hint="eastAsia" w:ascii="宋体" w:hAnsi="宋体" w:eastAsia="宋体" w:cs="宋体"/>
                <w:color w:val="333333"/>
                <w:sz w:val="21"/>
                <w:szCs w:val="21"/>
                <w:highlight w:val="none"/>
                <w:lang w:eastAsia="zh-CN"/>
              </w:rPr>
              <w:t>等）、类似业绩案例等内容，以投票方式评选出一名成交候选人</w:t>
            </w:r>
            <w:r>
              <w:rPr>
                <w:rFonts w:hint="eastAsia" w:ascii="宋体" w:hAnsi="宋体" w:eastAsia="宋体" w:cs="宋体"/>
                <w:szCs w:val="21"/>
                <w:highlight w:val="none"/>
              </w:rPr>
              <w:t>。</w:t>
            </w:r>
          </w:p>
          <w:p w14:paraId="3AC99C20">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6DB59DCB">
            <w:pPr>
              <w:pStyle w:val="14"/>
              <w:rPr>
                <w:rFonts w:hint="eastAsia" w:ascii="宋体" w:hAnsi="宋体" w:eastAsia="宋体" w:cs="宋体"/>
                <w:highlight w:val="none"/>
              </w:rPr>
            </w:pPr>
            <w:r>
              <w:rPr>
                <w:rFonts w:hint="eastAsia" w:ascii="宋体" w:hAnsi="宋体" w:eastAsia="宋体" w:cs="宋体"/>
                <w:kern w:val="2"/>
                <w:sz w:val="21"/>
                <w:szCs w:val="21"/>
                <w:highlight w:val="none"/>
              </w:rPr>
              <w:t>在第一成交候选人</w:t>
            </w:r>
            <w:r>
              <w:rPr>
                <w:rFonts w:hint="eastAsia" w:ascii="宋体" w:hAnsi="宋体" w:eastAsia="宋体" w:cs="宋体"/>
                <w:kern w:val="2"/>
                <w:sz w:val="21"/>
                <w:szCs w:val="21"/>
                <w:highlight w:val="none"/>
                <w:lang w:val="en-US" w:eastAsia="zh-CN"/>
              </w:rPr>
              <w:t>撤销</w:t>
            </w:r>
            <w:r>
              <w:rPr>
                <w:rFonts w:hint="eastAsia" w:ascii="宋体" w:hAnsi="宋体" w:eastAsia="宋体" w:cs="宋体"/>
                <w:kern w:val="2"/>
                <w:sz w:val="21"/>
                <w:szCs w:val="21"/>
                <w:highlight w:val="none"/>
              </w:rPr>
              <w:t>报价或放弃成交的，采购人重新组织询价采购。</w:t>
            </w:r>
          </w:p>
        </w:tc>
      </w:tr>
      <w:tr w14:paraId="063429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31DEDFA4">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156CDC3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670" w:type="dxa"/>
            <w:vAlign w:val="center"/>
          </w:tcPr>
          <w:p w14:paraId="4B3E8E8C">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684BCDC3">
      <w:pPr>
        <w:pStyle w:val="38"/>
        <w:tabs>
          <w:tab w:val="left" w:pos="602"/>
        </w:tabs>
        <w:snapToGrid w:val="0"/>
        <w:spacing w:before="120" w:after="120" w:line="440" w:lineRule="exact"/>
        <w:jc w:val="left"/>
        <w:rPr>
          <w:rFonts w:hint="eastAsia" w:ascii="宋体" w:hAnsi="宋体" w:eastAsia="宋体" w:cs="宋体"/>
          <w:sz w:val="28"/>
          <w:szCs w:val="28"/>
          <w:highlight w:val="none"/>
        </w:rPr>
        <w:sectPr>
          <w:footerReference r:id="rId9" w:type="first"/>
          <w:footerReference r:id="rId8"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bookmarkStart w:id="57" w:name="_Toc488655831"/>
      <w:bookmarkStart w:id="58" w:name="_Toc226969278"/>
      <w:bookmarkStart w:id="59" w:name="_Toc447188667"/>
      <w:bookmarkStart w:id="60" w:name="_Toc107822484"/>
      <w:bookmarkStart w:id="61" w:name="_Toc227057885"/>
    </w:p>
    <w:bookmarkEnd w:id="57"/>
    <w:bookmarkEnd w:id="58"/>
    <w:bookmarkEnd w:id="59"/>
    <w:bookmarkEnd w:id="60"/>
    <w:bookmarkEnd w:id="61"/>
    <w:p w14:paraId="0BBE8A83">
      <w:pPr>
        <w:pStyle w:val="52"/>
        <w:numPr>
          <w:ilvl w:val="0"/>
          <w:numId w:val="7"/>
        </w:numPr>
        <w:snapToGrid w:val="0"/>
        <w:spacing w:before="0" w:after="0"/>
        <w:rPr>
          <w:rFonts w:hint="eastAsia" w:ascii="宋体" w:hAnsi="宋体" w:eastAsia="宋体" w:cs="宋体"/>
          <w:b/>
          <w:bCs w:val="0"/>
          <w:kern w:val="0"/>
          <w:sz w:val="28"/>
          <w:szCs w:val="28"/>
          <w:highlight w:val="none"/>
        </w:rPr>
      </w:pPr>
      <w:bookmarkStart w:id="62" w:name="_Toc447265557"/>
      <w:bookmarkStart w:id="63" w:name="_Toc447265271"/>
      <w:bookmarkStart w:id="64" w:name="_Toc23924"/>
      <w:r>
        <w:rPr>
          <w:rFonts w:hint="eastAsia" w:ascii="宋体" w:hAnsi="宋体" w:eastAsia="宋体" w:cs="宋体"/>
          <w:b/>
          <w:bCs w:val="0"/>
          <w:kern w:val="0"/>
          <w:sz w:val="28"/>
          <w:szCs w:val="28"/>
          <w:highlight w:val="none"/>
        </w:rPr>
        <w:t>评审办法</w:t>
      </w:r>
      <w:bookmarkEnd w:id="62"/>
      <w:bookmarkEnd w:id="63"/>
      <w:bookmarkEnd w:id="64"/>
    </w:p>
    <w:p w14:paraId="350BC133">
      <w:pPr>
        <w:pStyle w:val="5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65" w:name="_Toc8687"/>
      <w:r>
        <w:rPr>
          <w:rFonts w:hint="eastAsia" w:ascii="宋体" w:hAnsi="宋体" w:eastAsia="宋体" w:cs="宋体"/>
          <w:b/>
          <w:bCs w:val="0"/>
          <w:kern w:val="0"/>
          <w:sz w:val="28"/>
          <w:szCs w:val="28"/>
          <w:highlight w:val="none"/>
        </w:rPr>
        <w:t>评审办法前附表</w:t>
      </w:r>
      <w:bookmarkEnd w:id="65"/>
    </w:p>
    <w:tbl>
      <w:tblPr>
        <w:tblStyle w:val="41"/>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114"/>
        <w:gridCol w:w="2224"/>
        <w:gridCol w:w="4482"/>
      </w:tblGrid>
      <w:tr w14:paraId="2EBC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2" w:type="pct"/>
            <w:gridSpan w:val="2"/>
            <w:vAlign w:val="center"/>
          </w:tcPr>
          <w:p w14:paraId="41837D3E">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220A09E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598" w:type="pct"/>
            <w:vAlign w:val="center"/>
          </w:tcPr>
          <w:p w14:paraId="665C785F">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6C8C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66" w:type="pct"/>
            <w:vMerge w:val="restart"/>
            <w:vAlign w:val="center"/>
          </w:tcPr>
          <w:p w14:paraId="1F7D2BBF">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45" w:type="pct"/>
            <w:vMerge w:val="restart"/>
            <w:vAlign w:val="center"/>
          </w:tcPr>
          <w:p w14:paraId="324631FF">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4965F366">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598" w:type="pct"/>
            <w:vAlign w:val="center"/>
          </w:tcPr>
          <w:p w14:paraId="49D960C2">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13AE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21007DC8">
            <w:pPr>
              <w:snapToGrid w:val="0"/>
              <w:jc w:val="center"/>
              <w:rPr>
                <w:rFonts w:hint="eastAsia" w:ascii="宋体" w:hAnsi="宋体" w:eastAsia="宋体" w:cs="宋体"/>
                <w:sz w:val="21"/>
                <w:szCs w:val="21"/>
                <w:highlight w:val="none"/>
              </w:rPr>
            </w:pPr>
          </w:p>
        </w:tc>
        <w:tc>
          <w:tcPr>
            <w:tcW w:w="645" w:type="pct"/>
            <w:vMerge w:val="continue"/>
          </w:tcPr>
          <w:p w14:paraId="65495AB2">
            <w:pPr>
              <w:snapToGrid w:val="0"/>
              <w:jc w:val="center"/>
              <w:rPr>
                <w:rFonts w:hint="eastAsia" w:ascii="宋体" w:hAnsi="宋体" w:eastAsia="宋体" w:cs="宋体"/>
                <w:sz w:val="21"/>
                <w:szCs w:val="21"/>
                <w:highlight w:val="none"/>
              </w:rPr>
            </w:pPr>
          </w:p>
        </w:tc>
        <w:tc>
          <w:tcPr>
            <w:tcW w:w="1289" w:type="pct"/>
            <w:vAlign w:val="center"/>
          </w:tcPr>
          <w:p w14:paraId="6C4AEDE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598" w:type="pct"/>
            <w:vAlign w:val="center"/>
          </w:tcPr>
          <w:p w14:paraId="2784625A">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34E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107EA1F1">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0049E171">
            <w:pPr>
              <w:snapToGrid w:val="0"/>
              <w:jc w:val="center"/>
              <w:rPr>
                <w:rFonts w:hint="eastAsia" w:ascii="宋体" w:hAnsi="宋体" w:eastAsia="宋体" w:cs="宋体"/>
                <w:sz w:val="21"/>
                <w:szCs w:val="21"/>
                <w:highlight w:val="none"/>
              </w:rPr>
            </w:pPr>
          </w:p>
        </w:tc>
        <w:tc>
          <w:tcPr>
            <w:tcW w:w="1289" w:type="pct"/>
            <w:vAlign w:val="center"/>
          </w:tcPr>
          <w:p w14:paraId="49318F70">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598" w:type="pct"/>
            <w:vAlign w:val="center"/>
          </w:tcPr>
          <w:p w14:paraId="185E0DDF">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3216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011668A8">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05067D8A">
            <w:pPr>
              <w:snapToGrid w:val="0"/>
              <w:jc w:val="center"/>
              <w:rPr>
                <w:rFonts w:hint="eastAsia" w:ascii="宋体" w:hAnsi="宋体" w:eastAsia="宋体" w:cs="宋体"/>
                <w:sz w:val="21"/>
                <w:szCs w:val="21"/>
                <w:highlight w:val="none"/>
              </w:rPr>
            </w:pPr>
          </w:p>
        </w:tc>
        <w:tc>
          <w:tcPr>
            <w:tcW w:w="1289" w:type="pct"/>
          </w:tcPr>
          <w:p w14:paraId="3E7A7B73">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598" w:type="pct"/>
            <w:vAlign w:val="center"/>
          </w:tcPr>
          <w:p w14:paraId="18480D6E">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5F68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608F2414">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018E576A">
            <w:pPr>
              <w:snapToGrid w:val="0"/>
              <w:jc w:val="center"/>
              <w:rPr>
                <w:rFonts w:hint="eastAsia" w:ascii="宋体" w:hAnsi="宋体" w:eastAsia="宋体" w:cs="宋体"/>
                <w:sz w:val="21"/>
                <w:szCs w:val="21"/>
                <w:highlight w:val="none"/>
              </w:rPr>
            </w:pPr>
          </w:p>
        </w:tc>
        <w:tc>
          <w:tcPr>
            <w:tcW w:w="1289" w:type="pct"/>
          </w:tcPr>
          <w:p w14:paraId="3B3DCF6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598" w:type="pct"/>
            <w:vAlign w:val="center"/>
          </w:tcPr>
          <w:p w14:paraId="04BCF0C8">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7EDA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1A3B139E">
            <w:pPr>
              <w:snapToGrid w:val="0"/>
              <w:ind w:firstLine="420" w:firstLineChars="200"/>
              <w:jc w:val="center"/>
              <w:rPr>
                <w:rFonts w:hint="eastAsia" w:ascii="宋体" w:hAnsi="宋体" w:eastAsia="宋体" w:cs="宋体"/>
                <w:sz w:val="21"/>
                <w:szCs w:val="21"/>
                <w:highlight w:val="none"/>
              </w:rPr>
            </w:pPr>
          </w:p>
        </w:tc>
        <w:tc>
          <w:tcPr>
            <w:tcW w:w="645" w:type="pct"/>
            <w:vMerge w:val="restart"/>
            <w:vAlign w:val="center"/>
          </w:tcPr>
          <w:p w14:paraId="3227868E">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39577EFC">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598" w:type="pct"/>
            <w:vAlign w:val="center"/>
          </w:tcPr>
          <w:p w14:paraId="2FF2BA5D">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4E613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0E5F470">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29C21786">
            <w:pPr>
              <w:snapToGrid w:val="0"/>
              <w:jc w:val="center"/>
              <w:rPr>
                <w:rFonts w:hint="eastAsia" w:ascii="宋体" w:hAnsi="宋体" w:eastAsia="宋体" w:cs="宋体"/>
                <w:sz w:val="21"/>
                <w:szCs w:val="21"/>
                <w:highlight w:val="none"/>
              </w:rPr>
            </w:pPr>
          </w:p>
        </w:tc>
        <w:tc>
          <w:tcPr>
            <w:tcW w:w="1289" w:type="pct"/>
            <w:vAlign w:val="center"/>
          </w:tcPr>
          <w:p w14:paraId="695A9C46">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598" w:type="pct"/>
            <w:vAlign w:val="center"/>
          </w:tcPr>
          <w:p w14:paraId="764F9858">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0147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1096E3CB">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3ECFC732">
            <w:pPr>
              <w:snapToGrid w:val="0"/>
              <w:jc w:val="center"/>
              <w:rPr>
                <w:rFonts w:hint="eastAsia" w:ascii="宋体" w:hAnsi="宋体" w:eastAsia="宋体" w:cs="宋体"/>
                <w:sz w:val="21"/>
                <w:szCs w:val="21"/>
                <w:highlight w:val="none"/>
              </w:rPr>
            </w:pPr>
          </w:p>
        </w:tc>
        <w:tc>
          <w:tcPr>
            <w:tcW w:w="1289" w:type="pct"/>
            <w:vAlign w:val="center"/>
          </w:tcPr>
          <w:p w14:paraId="447C9F36">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598" w:type="pct"/>
            <w:vAlign w:val="center"/>
          </w:tcPr>
          <w:p w14:paraId="614332AE">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B27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7C0CB24">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4D13FE28">
            <w:pPr>
              <w:snapToGrid w:val="0"/>
              <w:jc w:val="center"/>
              <w:rPr>
                <w:rFonts w:hint="eastAsia" w:ascii="宋体" w:hAnsi="宋体" w:eastAsia="宋体" w:cs="宋体"/>
                <w:sz w:val="21"/>
                <w:szCs w:val="21"/>
                <w:highlight w:val="none"/>
              </w:rPr>
            </w:pPr>
          </w:p>
        </w:tc>
        <w:tc>
          <w:tcPr>
            <w:tcW w:w="1289" w:type="pct"/>
            <w:vAlign w:val="center"/>
          </w:tcPr>
          <w:p w14:paraId="4DEF0DB4">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598" w:type="pct"/>
            <w:vAlign w:val="center"/>
          </w:tcPr>
          <w:p w14:paraId="48DC7A5F">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922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4D091263">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63A16181">
            <w:pPr>
              <w:snapToGrid w:val="0"/>
              <w:jc w:val="center"/>
              <w:rPr>
                <w:rFonts w:hint="eastAsia" w:ascii="宋体" w:hAnsi="宋体" w:eastAsia="宋体" w:cs="宋体"/>
                <w:sz w:val="21"/>
                <w:szCs w:val="21"/>
                <w:highlight w:val="none"/>
              </w:rPr>
            </w:pPr>
          </w:p>
        </w:tc>
        <w:tc>
          <w:tcPr>
            <w:tcW w:w="1289" w:type="pct"/>
            <w:shd w:val="clear" w:color="auto" w:fill="auto"/>
            <w:vAlign w:val="center"/>
          </w:tcPr>
          <w:p w14:paraId="331BD133">
            <w:pPr>
              <w:snapToGrid w:val="0"/>
              <w:jc w:val="center"/>
              <w:rPr>
                <w:rFonts w:hint="eastAsia" w:ascii="宋体" w:hAnsi="宋体" w:eastAsia="宋体" w:cs="宋体"/>
                <w:color w:val="333333"/>
                <w:kern w:val="2"/>
                <w:sz w:val="21"/>
                <w:szCs w:val="21"/>
                <w:highlight w:val="none"/>
                <w:lang w:val="en-US" w:eastAsia="zh-CN" w:bidi="ar-SA"/>
              </w:rPr>
            </w:pPr>
            <w:r>
              <w:rPr>
                <w:rFonts w:hint="eastAsia" w:ascii="宋体" w:hAnsi="宋体" w:cs="宋体"/>
                <w:color w:val="333333"/>
                <w:sz w:val="21"/>
                <w:szCs w:val="21"/>
                <w:highlight w:val="none"/>
                <w:lang w:val="en-US" w:eastAsia="zh-CN"/>
              </w:rPr>
              <w:t>经营许可</w:t>
            </w:r>
          </w:p>
        </w:tc>
        <w:tc>
          <w:tcPr>
            <w:tcW w:w="2598" w:type="pct"/>
            <w:shd w:val="clear" w:color="auto" w:fill="auto"/>
            <w:vAlign w:val="center"/>
          </w:tcPr>
          <w:p w14:paraId="36D176EF">
            <w:pPr>
              <w:snapToGrid w:val="0"/>
              <w:rPr>
                <w:rFonts w:hint="eastAsia" w:ascii="Times New Roman" w:hAnsi="Times New Roman" w:eastAsia="宋体" w:cs="宋体"/>
                <w:color w:val="333333"/>
                <w:kern w:val="2"/>
                <w:sz w:val="21"/>
                <w:szCs w:val="21"/>
                <w:highlight w:val="none"/>
                <w:lang w:val="en-US" w:eastAsia="zh-CN" w:bidi="ar-SA"/>
              </w:rPr>
            </w:pPr>
            <w:r>
              <w:rPr>
                <w:rFonts w:hint="eastAsia" w:cs="宋体"/>
                <w:color w:val="333333"/>
                <w:sz w:val="21"/>
                <w:szCs w:val="21"/>
                <w:highlight w:val="none"/>
                <w:lang w:val="en-US" w:eastAsia="zh-CN"/>
              </w:rPr>
              <w:t>供应商应具备《中华人民共和国保险许可证》或《中华人民共和国经营保险业务许可证》，且业务范围包括“短期健康保险”或“人身保险”或“健康保险”。（提供证书复印件）</w:t>
            </w:r>
          </w:p>
        </w:tc>
      </w:tr>
      <w:tr w14:paraId="4E6E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47A916E4">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3A689627">
            <w:pPr>
              <w:snapToGrid w:val="0"/>
              <w:jc w:val="center"/>
              <w:rPr>
                <w:rFonts w:hint="eastAsia" w:ascii="宋体" w:hAnsi="宋体" w:eastAsia="宋体" w:cs="宋体"/>
                <w:sz w:val="21"/>
                <w:szCs w:val="21"/>
                <w:highlight w:val="none"/>
              </w:rPr>
            </w:pPr>
          </w:p>
        </w:tc>
        <w:tc>
          <w:tcPr>
            <w:tcW w:w="1289" w:type="pct"/>
            <w:vAlign w:val="center"/>
          </w:tcPr>
          <w:p w14:paraId="3CEA10CE">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598" w:type="pct"/>
            <w:vAlign w:val="center"/>
          </w:tcPr>
          <w:p w14:paraId="491D4393">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02C1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466" w:type="pct"/>
            <w:vAlign w:val="center"/>
          </w:tcPr>
          <w:p w14:paraId="71CBC8FF">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综合评审</w:t>
            </w:r>
          </w:p>
        </w:tc>
        <w:tc>
          <w:tcPr>
            <w:tcW w:w="4533" w:type="pct"/>
            <w:gridSpan w:val="3"/>
            <w:vAlign w:val="center"/>
          </w:tcPr>
          <w:p w14:paraId="6153F176">
            <w:pPr>
              <w:snapToGrid w:val="0"/>
              <w:rPr>
                <w:rFonts w:hint="default" w:ascii="宋体" w:hAnsi="宋体" w:eastAsia="宋体" w:cs="宋体"/>
                <w:color w:val="333333"/>
                <w:sz w:val="21"/>
                <w:szCs w:val="21"/>
                <w:highlight w:val="none"/>
                <w:lang w:val="en-US" w:eastAsia="zh-CN"/>
              </w:rPr>
            </w:pPr>
            <w:r>
              <w:rPr>
                <w:rFonts w:hint="eastAsia" w:ascii="宋体" w:hAnsi="宋体" w:eastAsia="宋体" w:cs="宋体"/>
                <w:color w:val="333333"/>
                <w:sz w:val="21"/>
                <w:szCs w:val="21"/>
                <w:highlight w:val="none"/>
                <w:lang w:eastAsia="zh-CN"/>
              </w:rPr>
              <w:t>本项目采用</w:t>
            </w:r>
            <w:r>
              <w:rPr>
                <w:rFonts w:hint="eastAsia" w:ascii="宋体" w:hAnsi="宋体" w:cs="宋体"/>
                <w:b/>
                <w:bCs/>
                <w:color w:val="333333"/>
                <w:sz w:val="21"/>
                <w:szCs w:val="21"/>
                <w:highlight w:val="none"/>
                <w:lang w:val="en-US" w:eastAsia="zh-CN"/>
              </w:rPr>
              <w:t>综合投票法</w:t>
            </w:r>
            <w:r>
              <w:rPr>
                <w:rFonts w:hint="eastAsia" w:ascii="宋体" w:hAnsi="宋体" w:eastAsia="宋体" w:cs="宋体"/>
                <w:color w:val="333333"/>
                <w:sz w:val="21"/>
                <w:szCs w:val="21"/>
                <w:highlight w:val="none"/>
                <w:lang w:eastAsia="zh-CN"/>
              </w:rPr>
              <w:t>，即在符合</w:t>
            </w:r>
            <w:r>
              <w:rPr>
                <w:rFonts w:hint="eastAsia" w:ascii="宋体" w:hAnsi="宋体" w:eastAsia="宋体" w:cs="宋体"/>
                <w:color w:val="333333"/>
                <w:sz w:val="21"/>
                <w:szCs w:val="21"/>
                <w:highlight w:val="none"/>
                <w:lang w:val="en-US" w:eastAsia="zh-CN"/>
              </w:rPr>
              <w:t>采购文件初步评审</w:t>
            </w:r>
            <w:r>
              <w:rPr>
                <w:rFonts w:hint="eastAsia" w:ascii="宋体" w:hAnsi="宋体" w:eastAsia="宋体" w:cs="宋体"/>
                <w:color w:val="333333"/>
                <w:sz w:val="21"/>
                <w:szCs w:val="21"/>
                <w:highlight w:val="none"/>
                <w:lang w:eastAsia="zh-CN"/>
              </w:rPr>
              <w:t>相关要求的前提下，由</w:t>
            </w:r>
            <w:r>
              <w:rPr>
                <w:rFonts w:hint="eastAsia" w:ascii="宋体" w:hAnsi="宋体" w:eastAsia="宋体" w:cs="宋体"/>
                <w:color w:val="333333"/>
                <w:sz w:val="21"/>
                <w:szCs w:val="21"/>
                <w:highlight w:val="none"/>
                <w:lang w:val="en-US" w:eastAsia="zh-CN"/>
              </w:rPr>
              <w:t>项目</w:t>
            </w:r>
            <w:r>
              <w:rPr>
                <w:rFonts w:hint="eastAsia" w:ascii="宋体" w:hAnsi="宋体" w:eastAsia="宋体" w:cs="宋体"/>
                <w:color w:val="333333"/>
                <w:sz w:val="21"/>
                <w:szCs w:val="21"/>
                <w:highlight w:val="none"/>
                <w:lang w:eastAsia="zh-CN"/>
              </w:rPr>
              <w:t>小组（</w:t>
            </w:r>
            <w:r>
              <w:rPr>
                <w:rFonts w:hint="eastAsia" w:ascii="宋体" w:hAnsi="宋体" w:eastAsia="宋体" w:cs="宋体"/>
                <w:color w:val="333333"/>
                <w:sz w:val="21"/>
                <w:szCs w:val="21"/>
                <w:highlight w:val="none"/>
                <w:lang w:val="en-US" w:eastAsia="zh-CN"/>
              </w:rPr>
              <w:t>由采购人组建</w:t>
            </w:r>
            <w:r>
              <w:rPr>
                <w:rFonts w:hint="eastAsia" w:ascii="宋体" w:hAnsi="宋体" w:eastAsia="宋体" w:cs="宋体"/>
                <w:color w:val="333333"/>
                <w:sz w:val="21"/>
                <w:szCs w:val="21"/>
                <w:highlight w:val="none"/>
                <w:lang w:eastAsia="zh-CN"/>
              </w:rPr>
              <w:t>）综合考虑各报价商的资质、报价、实施方案（包括</w:t>
            </w:r>
            <w:r>
              <w:rPr>
                <w:rFonts w:hint="eastAsia" w:ascii="宋体" w:hAnsi="宋体" w:cs="宋体"/>
                <w:color w:val="333333"/>
                <w:sz w:val="21"/>
                <w:szCs w:val="21"/>
                <w:highlight w:val="none"/>
                <w:lang w:val="en-US" w:eastAsia="zh-CN"/>
              </w:rPr>
              <w:t>保险服务</w:t>
            </w:r>
            <w:r>
              <w:rPr>
                <w:rFonts w:hint="eastAsia" w:ascii="宋体" w:hAnsi="宋体" w:eastAsia="宋体" w:cs="宋体"/>
                <w:color w:val="333333"/>
                <w:sz w:val="21"/>
                <w:szCs w:val="21"/>
                <w:highlight w:val="none"/>
                <w:lang w:eastAsia="zh-CN"/>
              </w:rPr>
              <w:t>方案、</w:t>
            </w:r>
            <w:r>
              <w:rPr>
                <w:rFonts w:hint="eastAsia" w:ascii="宋体" w:hAnsi="宋体" w:cs="宋体"/>
                <w:color w:val="333333"/>
                <w:sz w:val="21"/>
                <w:szCs w:val="21"/>
                <w:highlight w:val="none"/>
                <w:lang w:val="en-US" w:eastAsia="zh-CN"/>
              </w:rPr>
              <w:t>赔偿保障</w:t>
            </w:r>
            <w:r>
              <w:rPr>
                <w:rFonts w:hint="eastAsia" w:ascii="宋体" w:hAnsi="宋体" w:eastAsia="宋体" w:cs="宋体"/>
                <w:color w:val="333333"/>
                <w:sz w:val="21"/>
                <w:szCs w:val="21"/>
                <w:highlight w:val="none"/>
                <w:lang w:eastAsia="zh-CN"/>
              </w:rPr>
              <w:t>措施、</w:t>
            </w:r>
            <w:r>
              <w:rPr>
                <w:rFonts w:hint="eastAsia" w:ascii="宋体" w:hAnsi="宋体" w:cs="宋体"/>
                <w:color w:val="333333"/>
                <w:sz w:val="21"/>
                <w:szCs w:val="21"/>
                <w:highlight w:val="none"/>
                <w:lang w:val="en-US" w:eastAsia="zh-CN"/>
              </w:rPr>
              <w:t>响应承诺</w:t>
            </w:r>
            <w:r>
              <w:rPr>
                <w:rFonts w:hint="eastAsia" w:ascii="宋体" w:hAnsi="宋体" w:eastAsia="宋体" w:cs="宋体"/>
                <w:color w:val="333333"/>
                <w:sz w:val="21"/>
                <w:szCs w:val="21"/>
                <w:highlight w:val="none"/>
                <w:lang w:eastAsia="zh-CN"/>
              </w:rPr>
              <w:t>等）、类似业绩案例等内容，以投票方式评选出一名成交候选人</w:t>
            </w:r>
            <w:r>
              <w:rPr>
                <w:rFonts w:hint="eastAsia" w:ascii="宋体" w:hAnsi="宋体" w:cs="宋体"/>
                <w:color w:val="333333"/>
                <w:sz w:val="21"/>
                <w:szCs w:val="21"/>
                <w:highlight w:val="none"/>
                <w:lang w:val="en-US" w:eastAsia="zh-CN"/>
              </w:rPr>
              <w:t>。</w:t>
            </w:r>
          </w:p>
        </w:tc>
      </w:tr>
    </w:tbl>
    <w:p w14:paraId="7DA5E3AC">
      <w:pPr>
        <w:rPr>
          <w:rFonts w:hint="eastAsia" w:ascii="宋体" w:hAnsi="宋体" w:eastAsia="宋体" w:cs="宋体"/>
          <w:highlight w:val="none"/>
        </w:rPr>
      </w:pPr>
    </w:p>
    <w:p w14:paraId="26641B25">
      <w:pPr>
        <w:pStyle w:val="5"/>
        <w:rPr>
          <w:rFonts w:hint="eastAsia" w:ascii="宋体" w:hAnsi="宋体" w:eastAsia="宋体" w:cs="宋体"/>
          <w:highlight w:val="none"/>
        </w:rPr>
      </w:pPr>
      <w:bookmarkStart w:id="66" w:name="_Toc488944169"/>
      <w:bookmarkEnd w:id="66"/>
      <w:bookmarkStart w:id="67" w:name="_Toc488944170"/>
      <w:bookmarkEnd w:id="67"/>
      <w:bookmarkStart w:id="68" w:name="_Toc474148037"/>
      <w:bookmarkStart w:id="69" w:name="_Toc478566439"/>
      <w:bookmarkStart w:id="70" w:name="_Toc478566081"/>
      <w:bookmarkStart w:id="71" w:name="_Toc15469"/>
      <w:bookmarkStart w:id="72" w:name="_Toc68859970"/>
      <w:bookmarkStart w:id="73" w:name="_Toc478565718"/>
      <w:bookmarkStart w:id="74" w:name="_Toc478566273"/>
      <w:bookmarkStart w:id="75" w:name="_Toc475472662"/>
      <w:bookmarkStart w:id="76" w:name="_Toc447265316"/>
      <w:bookmarkStart w:id="77" w:name="_Toc447265602"/>
      <w:bookmarkStart w:id="78" w:name="_Toc475472669"/>
      <w:r>
        <w:rPr>
          <w:rFonts w:hint="eastAsia" w:ascii="宋体" w:hAnsi="宋体" w:eastAsia="宋体" w:cs="宋体"/>
          <w:highlight w:val="none"/>
        </w:rPr>
        <w:t>评审程序</w:t>
      </w:r>
      <w:bookmarkEnd w:id="68"/>
      <w:bookmarkEnd w:id="69"/>
      <w:bookmarkEnd w:id="70"/>
      <w:bookmarkEnd w:id="71"/>
      <w:bookmarkEnd w:id="72"/>
      <w:bookmarkEnd w:id="73"/>
      <w:bookmarkEnd w:id="74"/>
    </w:p>
    <w:p w14:paraId="124B22F3">
      <w:pPr>
        <w:rPr>
          <w:rFonts w:hint="eastAsia" w:ascii="宋体" w:hAnsi="宋体" w:eastAsia="宋体" w:cs="宋体"/>
          <w:b/>
          <w:szCs w:val="21"/>
          <w:highlight w:val="none"/>
        </w:rPr>
      </w:pPr>
      <w:r>
        <w:rPr>
          <w:rFonts w:hint="eastAsia" w:ascii="宋体" w:hAnsi="宋体" w:eastAsia="宋体" w:cs="宋体"/>
          <w:b/>
          <w:szCs w:val="21"/>
          <w:highlight w:val="none"/>
        </w:rPr>
        <w:t>3.1.1初步评审</w:t>
      </w:r>
    </w:p>
    <w:p w14:paraId="12FC00E6">
      <w:pPr>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 xml:space="preserve">3.3.1.1  </w:t>
      </w:r>
      <w:r>
        <w:rPr>
          <w:rFonts w:hint="eastAsia" w:ascii="宋体" w:hAnsi="宋体" w:cs="宋体"/>
          <w:szCs w:val="21"/>
          <w:highlight w:val="none"/>
          <w:lang w:eastAsia="zh-CN"/>
        </w:rPr>
        <w:t>项目小组</w:t>
      </w:r>
      <w:r>
        <w:rPr>
          <w:rFonts w:hint="eastAsia" w:ascii="宋体" w:hAnsi="宋体" w:eastAsia="宋体" w:cs="宋体"/>
          <w:szCs w:val="21"/>
          <w:highlight w:val="none"/>
        </w:rPr>
        <w:t>根据本章评审办法前附表规定的标准对</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进行初步评审。对全部</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进行初步评审，检查</w:t>
      </w:r>
      <w:r>
        <w:rPr>
          <w:rFonts w:hint="eastAsia" w:ascii="宋体" w:hAnsi="宋体" w:cs="宋体"/>
          <w:szCs w:val="21"/>
          <w:highlight w:val="none"/>
          <w:lang w:eastAsia="zh-CN"/>
        </w:rPr>
        <w:t>响应文件</w:t>
      </w:r>
      <w:r>
        <w:rPr>
          <w:rFonts w:hint="eastAsia" w:ascii="宋体" w:hAnsi="宋体" w:eastAsia="宋体" w:cs="宋体"/>
          <w:szCs w:val="21"/>
          <w:highlight w:val="none"/>
        </w:rPr>
        <w:t>是否完全满足采购文件要求。初步评审分为</w:t>
      </w:r>
      <w:r>
        <w:rPr>
          <w:rFonts w:hint="eastAsia" w:ascii="宋体" w:hAnsi="宋体" w:eastAsia="宋体" w:cs="宋体"/>
          <w:kern w:val="0"/>
          <w:sz w:val="21"/>
          <w:szCs w:val="21"/>
          <w:highlight w:val="none"/>
        </w:rPr>
        <w:t>形式及响应性评审</w:t>
      </w:r>
      <w:r>
        <w:rPr>
          <w:rFonts w:hint="eastAsia" w:ascii="宋体" w:hAnsi="宋体" w:eastAsia="宋体" w:cs="宋体"/>
          <w:szCs w:val="21"/>
          <w:highlight w:val="none"/>
        </w:rPr>
        <w:t>和资格</w:t>
      </w:r>
      <w:r>
        <w:rPr>
          <w:rFonts w:hint="eastAsia" w:ascii="宋体" w:hAnsi="宋体" w:cs="宋体"/>
          <w:szCs w:val="21"/>
          <w:highlight w:val="none"/>
          <w:lang w:val="en-US" w:eastAsia="zh-CN"/>
        </w:rPr>
        <w:t>评审</w:t>
      </w:r>
      <w:r>
        <w:rPr>
          <w:rFonts w:hint="eastAsia" w:ascii="宋体" w:hAnsi="宋体" w:eastAsia="宋体" w:cs="宋体"/>
          <w:szCs w:val="21"/>
          <w:highlight w:val="none"/>
        </w:rPr>
        <w:t>。初步评审中有一项不符合评审标准的，将做否决应答处理。</w:t>
      </w:r>
    </w:p>
    <w:p w14:paraId="2688426F">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3.3.1.2</w:t>
      </w:r>
      <w:r>
        <w:rPr>
          <w:rFonts w:hint="eastAsia" w:ascii="宋体" w:hAnsi="宋体" w:cs="宋体"/>
          <w:sz w:val="21"/>
          <w:highlight w:val="none"/>
          <w:lang w:eastAsia="zh-CN"/>
        </w:rPr>
        <w:t>供应商</w:t>
      </w:r>
      <w:r>
        <w:rPr>
          <w:rFonts w:hint="eastAsia" w:ascii="宋体" w:hAnsi="宋体" w:eastAsia="宋体" w:cs="宋体"/>
          <w:sz w:val="21"/>
          <w:highlight w:val="none"/>
        </w:rPr>
        <w:t>有以下情形之一的，</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2DAF860B">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不按照</w:t>
      </w:r>
      <w:r>
        <w:rPr>
          <w:rFonts w:hint="eastAsia" w:ascii="宋体" w:hAnsi="宋体" w:cs="宋体"/>
          <w:sz w:val="21"/>
          <w:highlight w:val="none"/>
          <w:lang w:eastAsia="zh-CN"/>
        </w:rPr>
        <w:t>项目小组</w:t>
      </w:r>
      <w:r>
        <w:rPr>
          <w:rFonts w:hint="eastAsia" w:ascii="宋体" w:hAnsi="宋体" w:eastAsia="宋体" w:cs="宋体"/>
          <w:sz w:val="21"/>
          <w:highlight w:val="none"/>
        </w:rPr>
        <w:t>要求澄清、说明或者补正；</w:t>
      </w:r>
    </w:p>
    <w:p w14:paraId="799F8485">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允许联合体应答的，应答联合体没有递交共同应答协议；</w:t>
      </w:r>
    </w:p>
    <w:p w14:paraId="4C05555E">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不符合国家或者采购文件规定的资格条件；</w:t>
      </w:r>
    </w:p>
    <w:p w14:paraId="697046F4">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同一</w:t>
      </w:r>
      <w:r>
        <w:rPr>
          <w:rFonts w:hint="eastAsia" w:ascii="宋体" w:hAnsi="宋体" w:cs="宋体"/>
          <w:sz w:val="21"/>
          <w:highlight w:val="none"/>
          <w:lang w:eastAsia="zh-CN"/>
        </w:rPr>
        <w:t>供应商</w:t>
      </w:r>
      <w:r>
        <w:rPr>
          <w:rFonts w:hint="eastAsia" w:ascii="宋体" w:hAnsi="宋体" w:eastAsia="宋体" w:cs="宋体"/>
          <w:sz w:val="21"/>
          <w:highlight w:val="none"/>
        </w:rPr>
        <w:t>递交两个以上不同的</w:t>
      </w:r>
      <w:r>
        <w:rPr>
          <w:rFonts w:hint="eastAsia" w:ascii="宋体" w:hAnsi="宋体" w:cs="宋体"/>
          <w:sz w:val="21"/>
          <w:highlight w:val="none"/>
          <w:lang w:eastAsia="zh-CN"/>
        </w:rPr>
        <w:t>响应文件</w:t>
      </w:r>
      <w:r>
        <w:rPr>
          <w:rFonts w:hint="eastAsia" w:ascii="宋体" w:hAnsi="宋体" w:eastAsia="宋体" w:cs="宋体"/>
          <w:sz w:val="21"/>
          <w:highlight w:val="none"/>
        </w:rPr>
        <w:t>或者应答报价，但采购文件要求递交备选应答的除外；</w:t>
      </w:r>
    </w:p>
    <w:p w14:paraId="2EBF99C1">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应答报价低于成本或者高于采购文件设定的最高应答限价；</w:t>
      </w:r>
    </w:p>
    <w:p w14:paraId="0439E6E6">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没有对采购文件的实质性要求和条件做出响应；</w:t>
      </w:r>
    </w:p>
    <w:p w14:paraId="28207145">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有串通应答、弄虚作假、行贿等违法行为；</w:t>
      </w:r>
    </w:p>
    <w:p w14:paraId="7800970B">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以他人名义应答；</w:t>
      </w:r>
    </w:p>
    <w:p w14:paraId="34FBF3AA">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没有按照采购文件要求提供应答担保或者所提供的应答担保有瑕疵；</w:t>
      </w:r>
    </w:p>
    <w:p w14:paraId="4F83FDEE">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载明的采购项目完成期限超过采购文件规定的期限；</w:t>
      </w:r>
    </w:p>
    <w:p w14:paraId="482B5362">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明显不符合技术规格、技术标准的要求；</w:t>
      </w:r>
    </w:p>
    <w:p w14:paraId="5BBE3A8E">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载明的货物包装方式、检验标准和方法等不符合采购文件的要求；</w:t>
      </w:r>
    </w:p>
    <w:p w14:paraId="241870E5">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附有采购人不能接受的条件；</w:t>
      </w:r>
    </w:p>
    <w:p w14:paraId="7400CB24">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不符合采购文件中规定的其他实质性要求。</w:t>
      </w:r>
    </w:p>
    <w:p w14:paraId="40FF6E51">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3.3.1.3  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收到低于成本价应答的书面质疑材料、发现</w:t>
      </w:r>
      <w:r>
        <w:rPr>
          <w:rFonts w:hint="eastAsia" w:ascii="宋体" w:hAnsi="宋体" w:cs="宋体"/>
          <w:sz w:val="21"/>
          <w:highlight w:val="none"/>
          <w:lang w:eastAsia="zh-CN"/>
        </w:rPr>
        <w:t>供应商</w:t>
      </w:r>
      <w:r>
        <w:rPr>
          <w:rFonts w:hint="eastAsia" w:ascii="宋体" w:hAnsi="宋体" w:eastAsia="宋体" w:cs="宋体"/>
          <w:sz w:val="21"/>
          <w:highlight w:val="none"/>
        </w:rPr>
        <w:t>的综合报价明显低于其他应答报价或者设有标底时明显低于标底，认为应答报价可能低于其个别成本的，应当书面要求该</w:t>
      </w:r>
      <w:r>
        <w:rPr>
          <w:rFonts w:hint="eastAsia" w:ascii="宋体" w:hAnsi="宋体" w:cs="宋体"/>
          <w:sz w:val="21"/>
          <w:highlight w:val="none"/>
          <w:lang w:eastAsia="zh-CN"/>
        </w:rPr>
        <w:t>供应商</w:t>
      </w:r>
      <w:r>
        <w:rPr>
          <w:rFonts w:hint="eastAsia" w:ascii="宋体" w:hAnsi="宋体" w:eastAsia="宋体" w:cs="宋体"/>
          <w:sz w:val="21"/>
          <w:highlight w:val="none"/>
        </w:rPr>
        <w:t>做出书面说明并提供相关证明材料。</w:t>
      </w:r>
      <w:r>
        <w:rPr>
          <w:rFonts w:hint="eastAsia" w:ascii="宋体" w:hAnsi="宋体" w:cs="宋体"/>
          <w:sz w:val="21"/>
          <w:highlight w:val="none"/>
          <w:lang w:eastAsia="zh-CN"/>
        </w:rPr>
        <w:t>供应商</w:t>
      </w:r>
      <w:r>
        <w:rPr>
          <w:rFonts w:hint="eastAsia" w:ascii="宋体" w:hAnsi="宋体" w:eastAsia="宋体" w:cs="宋体"/>
          <w:sz w:val="21"/>
          <w:highlight w:val="none"/>
        </w:rPr>
        <w:t>不能合理说明或者不能提供相应证明材料的，由</w:t>
      </w:r>
      <w:r>
        <w:rPr>
          <w:rFonts w:hint="eastAsia" w:ascii="宋体" w:hAnsi="宋体" w:cs="宋体"/>
          <w:sz w:val="21"/>
          <w:highlight w:val="none"/>
          <w:lang w:eastAsia="zh-CN"/>
        </w:rPr>
        <w:t>项目小组</w:t>
      </w:r>
      <w:r>
        <w:rPr>
          <w:rFonts w:hint="eastAsia" w:ascii="宋体" w:hAnsi="宋体" w:eastAsia="宋体" w:cs="宋体"/>
          <w:sz w:val="21"/>
          <w:highlight w:val="none"/>
        </w:rPr>
        <w:t>认定该</w:t>
      </w:r>
      <w:r>
        <w:rPr>
          <w:rFonts w:hint="eastAsia" w:ascii="宋体" w:hAnsi="宋体" w:cs="宋体"/>
          <w:sz w:val="21"/>
          <w:highlight w:val="none"/>
          <w:lang w:eastAsia="zh-CN"/>
        </w:rPr>
        <w:t>供应商</w:t>
      </w:r>
      <w:r>
        <w:rPr>
          <w:rFonts w:hint="eastAsia" w:ascii="宋体" w:hAnsi="宋体" w:eastAsia="宋体" w:cs="宋体"/>
          <w:sz w:val="21"/>
          <w:highlight w:val="none"/>
        </w:rPr>
        <w:t>以低于成本报价应答，</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01DB983D">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3.3.1.4  应答报价有算术错误的，</w:t>
      </w:r>
      <w:r>
        <w:rPr>
          <w:rFonts w:hint="eastAsia" w:ascii="宋体" w:hAnsi="宋体" w:cs="宋体"/>
          <w:sz w:val="21"/>
          <w:highlight w:val="none"/>
          <w:lang w:eastAsia="zh-CN"/>
        </w:rPr>
        <w:t>项目小组</w:t>
      </w:r>
      <w:r>
        <w:rPr>
          <w:rFonts w:hint="eastAsia" w:ascii="宋体" w:hAnsi="宋体" w:eastAsia="宋体" w:cs="宋体"/>
          <w:sz w:val="21"/>
          <w:highlight w:val="none"/>
        </w:rPr>
        <w:t>按照以下原则对应答报价进行修正，修正的价格经</w:t>
      </w:r>
      <w:r>
        <w:rPr>
          <w:rFonts w:hint="eastAsia" w:ascii="宋体" w:hAnsi="宋体" w:cs="宋体"/>
          <w:sz w:val="21"/>
          <w:highlight w:val="none"/>
          <w:lang w:eastAsia="zh-CN"/>
        </w:rPr>
        <w:t>供应商</w:t>
      </w:r>
      <w:r>
        <w:rPr>
          <w:rFonts w:hint="eastAsia" w:ascii="宋体" w:hAnsi="宋体" w:eastAsia="宋体" w:cs="宋体"/>
          <w:sz w:val="21"/>
          <w:highlight w:val="none"/>
        </w:rPr>
        <w:t>书面确认后具有约束力。报价不一致的处理原则：</w:t>
      </w:r>
    </w:p>
    <w:p w14:paraId="0F9A6491">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1）当报价一览表报价信息与分项报价表报价信息不一致时，</w:t>
      </w:r>
      <w:r>
        <w:rPr>
          <w:rFonts w:hint="eastAsia" w:ascii="宋体" w:hAnsi="宋体" w:cs="宋体"/>
          <w:szCs w:val="21"/>
          <w:highlight w:val="none"/>
          <w:lang w:eastAsia="zh-CN"/>
        </w:rPr>
        <w:t>项目小组</w:t>
      </w:r>
      <w:r>
        <w:rPr>
          <w:rFonts w:hint="eastAsia" w:ascii="宋体" w:hAnsi="宋体" w:eastAsia="宋体" w:cs="宋体"/>
          <w:szCs w:val="21"/>
          <w:highlight w:val="none"/>
        </w:rPr>
        <w:t>将以分项报价表中的单价报价信息为准，修正其他报价信息。</w:t>
      </w:r>
    </w:p>
    <w:p w14:paraId="4719C2DD">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总价金额与按单价汇总金额不一致的，以单价金额计算结果为准；但单价金额小数点或者百分比有明显错位的，以总价为准，并修改单价。</w:t>
      </w:r>
    </w:p>
    <w:p w14:paraId="291210C2">
      <w:pPr>
        <w:pStyle w:val="98"/>
        <w:spacing w:line="240" w:lineRule="auto"/>
        <w:ind w:firstLine="420"/>
        <w:rPr>
          <w:rFonts w:hint="eastAsia" w:ascii="宋体" w:hAnsi="宋体" w:eastAsia="宋体" w:cs="宋体"/>
          <w:color w:val="000000"/>
          <w:sz w:val="21"/>
          <w:highlight w:val="none"/>
        </w:rPr>
      </w:pPr>
      <w:r>
        <w:rPr>
          <w:rFonts w:hint="eastAsia" w:ascii="宋体" w:hAnsi="宋体" w:eastAsia="宋体" w:cs="宋体"/>
          <w:sz w:val="21"/>
          <w:highlight w:val="none"/>
        </w:rPr>
        <w:t>如果</w:t>
      </w:r>
      <w:r>
        <w:rPr>
          <w:rFonts w:hint="eastAsia" w:ascii="宋体" w:hAnsi="宋体" w:cs="宋体"/>
          <w:sz w:val="21"/>
          <w:highlight w:val="none"/>
          <w:lang w:eastAsia="zh-CN"/>
        </w:rPr>
        <w:t>供应商</w:t>
      </w:r>
      <w:r>
        <w:rPr>
          <w:rFonts w:hint="eastAsia" w:ascii="宋体" w:hAnsi="宋体" w:eastAsia="宋体" w:cs="宋体"/>
          <w:sz w:val="21"/>
          <w:highlight w:val="none"/>
        </w:rPr>
        <w:t>不接受对其错误的更正，其应答无效。</w:t>
      </w:r>
    </w:p>
    <w:p w14:paraId="49A2E3FD">
      <w:pPr>
        <w:pStyle w:val="98"/>
        <w:spacing w:line="240" w:lineRule="auto"/>
        <w:ind w:firstLine="0" w:firstLineChars="0"/>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3.3.2详细评审</w:t>
      </w:r>
    </w:p>
    <w:p w14:paraId="5425DA3B">
      <w:pPr>
        <w:pStyle w:val="98"/>
        <w:spacing w:line="240" w:lineRule="auto"/>
        <w:ind w:firstLine="420"/>
        <w:rPr>
          <w:rFonts w:hint="eastAsia" w:ascii="宋体" w:hAnsi="宋体" w:eastAsia="宋体" w:cs="宋体"/>
          <w:sz w:val="21"/>
          <w:highlight w:val="none"/>
        </w:rPr>
      </w:pPr>
      <w:r>
        <w:rPr>
          <w:rFonts w:hint="eastAsia" w:ascii="宋体" w:hAnsi="宋体" w:cs="宋体"/>
          <w:sz w:val="21"/>
          <w:highlight w:val="none"/>
          <w:lang w:eastAsia="zh-CN"/>
        </w:rPr>
        <w:t>项目小组</w:t>
      </w:r>
      <w:r>
        <w:rPr>
          <w:rFonts w:hint="eastAsia" w:ascii="宋体" w:hAnsi="宋体" w:eastAsia="宋体" w:cs="宋体"/>
          <w:sz w:val="21"/>
          <w:highlight w:val="none"/>
        </w:rPr>
        <w:t>按照本章评审办法前附表规定的综合评审规则进行评审。</w:t>
      </w:r>
    </w:p>
    <w:p w14:paraId="37035374">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3.3.3</w:t>
      </w:r>
      <w:r>
        <w:rPr>
          <w:rFonts w:hint="eastAsia" w:ascii="宋体" w:hAnsi="宋体" w:cs="宋体"/>
          <w:b/>
          <w:sz w:val="21"/>
          <w:highlight w:val="none"/>
          <w:lang w:eastAsia="zh-CN"/>
        </w:rPr>
        <w:t>响应文件</w:t>
      </w:r>
      <w:r>
        <w:rPr>
          <w:rFonts w:hint="eastAsia" w:ascii="宋体" w:hAnsi="宋体" w:eastAsia="宋体" w:cs="宋体"/>
          <w:b/>
          <w:sz w:val="21"/>
          <w:highlight w:val="none"/>
        </w:rPr>
        <w:t>的澄清</w:t>
      </w:r>
    </w:p>
    <w:p w14:paraId="5AFDF957">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3.3.3.1  在评审过程中，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应当以书面形式要求</w:t>
      </w:r>
      <w:r>
        <w:rPr>
          <w:rFonts w:hint="eastAsia" w:ascii="宋体" w:hAnsi="宋体" w:cs="宋体"/>
          <w:sz w:val="21"/>
          <w:highlight w:val="none"/>
          <w:lang w:eastAsia="zh-CN"/>
        </w:rPr>
        <w:t>供应商</w:t>
      </w:r>
      <w:r>
        <w:rPr>
          <w:rFonts w:hint="eastAsia" w:ascii="宋体" w:hAnsi="宋体" w:eastAsia="宋体" w:cs="宋体"/>
          <w:sz w:val="21"/>
          <w:highlight w:val="none"/>
        </w:rPr>
        <w:t>对所递交的</w:t>
      </w:r>
      <w:r>
        <w:rPr>
          <w:rFonts w:hint="eastAsia" w:ascii="宋体" w:hAnsi="宋体" w:cs="宋体"/>
          <w:sz w:val="21"/>
          <w:highlight w:val="none"/>
          <w:lang w:eastAsia="zh-CN"/>
        </w:rPr>
        <w:t>响应文件</w:t>
      </w:r>
      <w:r>
        <w:rPr>
          <w:rFonts w:hint="eastAsia" w:ascii="宋体" w:hAnsi="宋体" w:eastAsia="宋体" w:cs="宋体"/>
          <w:sz w:val="21"/>
          <w:highlight w:val="none"/>
        </w:rPr>
        <w:t>中不明确的内容进行书面澄清、说明或者对</w:t>
      </w:r>
      <w:r>
        <w:rPr>
          <w:rFonts w:hint="eastAsia" w:ascii="宋体" w:hAnsi="宋体" w:cs="宋体"/>
          <w:sz w:val="21"/>
          <w:highlight w:val="none"/>
          <w:lang w:eastAsia="zh-CN"/>
        </w:rPr>
        <w:t>响应文件</w:t>
      </w:r>
      <w:r>
        <w:rPr>
          <w:rFonts w:hint="eastAsia" w:ascii="宋体" w:hAnsi="宋体" w:eastAsia="宋体" w:cs="宋体"/>
          <w:sz w:val="21"/>
          <w:highlight w:val="none"/>
        </w:rPr>
        <w:t>中的细微偏差进行补正。</w:t>
      </w:r>
      <w:r>
        <w:rPr>
          <w:rFonts w:hint="eastAsia" w:ascii="宋体" w:hAnsi="宋体" w:cs="宋体"/>
          <w:sz w:val="21"/>
          <w:highlight w:val="none"/>
          <w:lang w:eastAsia="zh-CN"/>
        </w:rPr>
        <w:t>项目小组</w:t>
      </w:r>
      <w:r>
        <w:rPr>
          <w:rFonts w:hint="eastAsia" w:ascii="宋体" w:hAnsi="宋体" w:eastAsia="宋体" w:cs="宋体"/>
          <w:sz w:val="21"/>
          <w:highlight w:val="none"/>
        </w:rPr>
        <w:t>不接受</w:t>
      </w:r>
      <w:r>
        <w:rPr>
          <w:rFonts w:hint="eastAsia" w:ascii="宋体" w:hAnsi="宋体" w:cs="宋体"/>
          <w:sz w:val="21"/>
          <w:highlight w:val="none"/>
          <w:lang w:eastAsia="zh-CN"/>
        </w:rPr>
        <w:t>供应商</w:t>
      </w:r>
      <w:r>
        <w:rPr>
          <w:rFonts w:hint="eastAsia" w:ascii="宋体" w:hAnsi="宋体" w:eastAsia="宋体" w:cs="宋体"/>
          <w:sz w:val="21"/>
          <w:highlight w:val="none"/>
        </w:rPr>
        <w:t>主动提出的澄清、说明或者补正。</w:t>
      </w:r>
    </w:p>
    <w:p w14:paraId="0AD8493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3.3.3.2  细微偏差：是指</w:t>
      </w:r>
      <w:r>
        <w:rPr>
          <w:rFonts w:hint="eastAsia" w:ascii="宋体" w:hAnsi="宋体" w:cs="宋体"/>
          <w:sz w:val="21"/>
          <w:highlight w:val="none"/>
          <w:lang w:eastAsia="zh-CN"/>
        </w:rPr>
        <w:t>响应文件</w:t>
      </w:r>
      <w:r>
        <w:rPr>
          <w:rFonts w:hint="eastAsia" w:ascii="宋体" w:hAnsi="宋体" w:eastAsia="宋体" w:cs="宋体"/>
          <w:sz w:val="21"/>
          <w:highlight w:val="none"/>
        </w:rPr>
        <w:t>在实质上响应采购文件要求，但个别地方存在漏项或者提供了不完整的技术信息和数据等情况，并且补正这些遗漏或者不完整不会对其他</w:t>
      </w:r>
      <w:r>
        <w:rPr>
          <w:rFonts w:hint="eastAsia" w:ascii="宋体" w:hAnsi="宋体" w:cs="宋体"/>
          <w:sz w:val="21"/>
          <w:highlight w:val="none"/>
          <w:lang w:eastAsia="zh-CN"/>
        </w:rPr>
        <w:t>供应商</w:t>
      </w:r>
      <w:r>
        <w:rPr>
          <w:rFonts w:hint="eastAsia" w:ascii="宋体" w:hAnsi="宋体" w:eastAsia="宋体" w:cs="宋体"/>
          <w:sz w:val="21"/>
          <w:highlight w:val="none"/>
        </w:rPr>
        <w:t>造成不公平的结果。细微偏差不影响</w:t>
      </w:r>
      <w:r>
        <w:rPr>
          <w:rFonts w:hint="eastAsia" w:ascii="宋体" w:hAnsi="宋体" w:cs="宋体"/>
          <w:sz w:val="21"/>
          <w:highlight w:val="none"/>
          <w:lang w:eastAsia="zh-CN"/>
        </w:rPr>
        <w:t>响应文件</w:t>
      </w:r>
      <w:r>
        <w:rPr>
          <w:rFonts w:hint="eastAsia" w:ascii="宋体" w:hAnsi="宋体" w:eastAsia="宋体" w:cs="宋体"/>
          <w:sz w:val="21"/>
          <w:highlight w:val="none"/>
        </w:rPr>
        <w:t>的有效性。</w:t>
      </w:r>
    </w:p>
    <w:p w14:paraId="7D923E46">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3.3.3.3  澄清、说明和补正不得改变</w:t>
      </w:r>
      <w:r>
        <w:rPr>
          <w:rFonts w:hint="eastAsia" w:ascii="宋体" w:hAnsi="宋体" w:cs="宋体"/>
          <w:sz w:val="21"/>
          <w:highlight w:val="none"/>
          <w:lang w:eastAsia="zh-CN"/>
        </w:rPr>
        <w:t>响应文件</w:t>
      </w:r>
      <w:r>
        <w:rPr>
          <w:rFonts w:hint="eastAsia" w:ascii="宋体" w:hAnsi="宋体" w:eastAsia="宋体" w:cs="宋体"/>
          <w:sz w:val="21"/>
          <w:highlight w:val="none"/>
        </w:rPr>
        <w:t>的实质性内容（算术性错误修正的除外）。</w:t>
      </w:r>
      <w:r>
        <w:rPr>
          <w:rFonts w:hint="eastAsia" w:ascii="宋体" w:hAnsi="宋体" w:cs="宋体"/>
          <w:sz w:val="21"/>
          <w:highlight w:val="none"/>
          <w:lang w:eastAsia="zh-CN"/>
        </w:rPr>
        <w:t>供应商</w:t>
      </w:r>
      <w:r>
        <w:rPr>
          <w:rFonts w:hint="eastAsia" w:ascii="宋体" w:hAnsi="宋体" w:eastAsia="宋体" w:cs="宋体"/>
          <w:sz w:val="21"/>
          <w:highlight w:val="none"/>
        </w:rPr>
        <w:t>的书面澄清、说明和补正属于</w:t>
      </w:r>
      <w:r>
        <w:rPr>
          <w:rFonts w:hint="eastAsia" w:ascii="宋体" w:hAnsi="宋体" w:cs="宋体"/>
          <w:sz w:val="21"/>
          <w:highlight w:val="none"/>
          <w:lang w:eastAsia="zh-CN"/>
        </w:rPr>
        <w:t>响应文件</w:t>
      </w:r>
      <w:r>
        <w:rPr>
          <w:rFonts w:hint="eastAsia" w:ascii="宋体" w:hAnsi="宋体" w:eastAsia="宋体" w:cs="宋体"/>
          <w:sz w:val="21"/>
          <w:highlight w:val="none"/>
        </w:rPr>
        <w:t>的组成部分。</w:t>
      </w:r>
    </w:p>
    <w:p w14:paraId="4D093946">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3.3.3.4  </w:t>
      </w:r>
      <w:r>
        <w:rPr>
          <w:rFonts w:hint="eastAsia" w:ascii="宋体" w:hAnsi="宋体" w:cs="宋体"/>
          <w:sz w:val="21"/>
          <w:highlight w:val="none"/>
          <w:lang w:eastAsia="zh-CN"/>
        </w:rPr>
        <w:t>项目小组</w:t>
      </w:r>
      <w:r>
        <w:rPr>
          <w:rFonts w:hint="eastAsia" w:ascii="宋体" w:hAnsi="宋体" w:eastAsia="宋体" w:cs="宋体"/>
          <w:sz w:val="21"/>
          <w:highlight w:val="none"/>
        </w:rPr>
        <w:t>对</w:t>
      </w:r>
      <w:r>
        <w:rPr>
          <w:rFonts w:hint="eastAsia" w:ascii="宋体" w:hAnsi="宋体" w:cs="宋体"/>
          <w:sz w:val="21"/>
          <w:highlight w:val="none"/>
          <w:lang w:eastAsia="zh-CN"/>
        </w:rPr>
        <w:t>供应商</w:t>
      </w:r>
      <w:r>
        <w:rPr>
          <w:rFonts w:hint="eastAsia" w:ascii="宋体" w:hAnsi="宋体" w:eastAsia="宋体" w:cs="宋体"/>
          <w:sz w:val="21"/>
          <w:highlight w:val="none"/>
        </w:rPr>
        <w:t>递交的澄清、说明或者补正有疑问的，可以要求</w:t>
      </w:r>
      <w:r>
        <w:rPr>
          <w:rFonts w:hint="eastAsia" w:ascii="宋体" w:hAnsi="宋体" w:cs="宋体"/>
          <w:sz w:val="21"/>
          <w:highlight w:val="none"/>
          <w:lang w:eastAsia="zh-CN"/>
        </w:rPr>
        <w:t>供应商</w:t>
      </w:r>
      <w:r>
        <w:rPr>
          <w:rFonts w:hint="eastAsia" w:ascii="宋体" w:hAnsi="宋体" w:eastAsia="宋体" w:cs="宋体"/>
          <w:sz w:val="21"/>
          <w:highlight w:val="none"/>
        </w:rPr>
        <w:t>进一步澄清、说明或者补正，直至满足</w:t>
      </w:r>
      <w:r>
        <w:rPr>
          <w:rFonts w:hint="eastAsia" w:ascii="宋体" w:hAnsi="宋体" w:cs="宋体"/>
          <w:sz w:val="21"/>
          <w:highlight w:val="none"/>
          <w:lang w:eastAsia="zh-CN"/>
        </w:rPr>
        <w:t>项目小组</w:t>
      </w:r>
      <w:r>
        <w:rPr>
          <w:rFonts w:hint="eastAsia" w:ascii="宋体" w:hAnsi="宋体" w:eastAsia="宋体" w:cs="宋体"/>
          <w:sz w:val="21"/>
          <w:highlight w:val="none"/>
        </w:rPr>
        <w:t>的要求。</w:t>
      </w:r>
    </w:p>
    <w:p w14:paraId="590BE2F6">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3.3.3.5  </w:t>
      </w:r>
      <w:r>
        <w:rPr>
          <w:rFonts w:hint="eastAsia" w:ascii="宋体" w:hAnsi="宋体" w:cs="宋体"/>
          <w:sz w:val="21"/>
          <w:highlight w:val="none"/>
          <w:lang w:eastAsia="zh-CN"/>
        </w:rPr>
        <w:t>项目小组</w:t>
      </w:r>
      <w:r>
        <w:rPr>
          <w:rFonts w:hint="eastAsia" w:ascii="宋体" w:hAnsi="宋体" w:eastAsia="宋体" w:cs="宋体"/>
          <w:sz w:val="21"/>
          <w:highlight w:val="none"/>
        </w:rPr>
        <w:t>必要时可以要求</w:t>
      </w:r>
      <w:r>
        <w:rPr>
          <w:rFonts w:hint="eastAsia" w:ascii="宋体" w:hAnsi="宋体" w:cs="宋体"/>
          <w:sz w:val="21"/>
          <w:highlight w:val="none"/>
          <w:lang w:eastAsia="zh-CN"/>
        </w:rPr>
        <w:t>供应商</w:t>
      </w:r>
      <w:r>
        <w:rPr>
          <w:rFonts w:hint="eastAsia" w:ascii="宋体" w:hAnsi="宋体" w:eastAsia="宋体" w:cs="宋体"/>
          <w:sz w:val="21"/>
          <w:highlight w:val="none"/>
        </w:rPr>
        <w:t>递交有关证明和证件的原件，以便核验。</w:t>
      </w:r>
      <w:bookmarkStart w:id="79" w:name="_Toc474148041"/>
      <w:bookmarkStart w:id="80" w:name="_Toc478566085"/>
      <w:bookmarkStart w:id="81" w:name="_Toc478566443"/>
      <w:bookmarkStart w:id="82" w:name="_Toc478566277"/>
      <w:bookmarkStart w:id="83" w:name="_Toc478565722"/>
    </w:p>
    <w:p w14:paraId="602FA218">
      <w:pPr>
        <w:pStyle w:val="98"/>
        <w:ind w:firstLine="0" w:firstLineChars="0"/>
        <w:rPr>
          <w:rFonts w:hint="eastAsia" w:ascii="宋体" w:hAnsi="宋体" w:eastAsia="宋体" w:cs="宋体"/>
          <w:b/>
          <w:bCs/>
          <w:sz w:val="21"/>
          <w:highlight w:val="none"/>
        </w:rPr>
      </w:pPr>
      <w:r>
        <w:rPr>
          <w:rFonts w:hint="eastAsia" w:ascii="宋体" w:hAnsi="宋体" w:eastAsia="宋体" w:cs="宋体"/>
          <w:b/>
          <w:bCs/>
          <w:sz w:val="21"/>
          <w:highlight w:val="none"/>
        </w:rPr>
        <w:t>3.3.4成交候选人推荐原则</w:t>
      </w:r>
      <w:bookmarkEnd w:id="79"/>
      <w:bookmarkEnd w:id="80"/>
      <w:bookmarkEnd w:id="81"/>
      <w:bookmarkEnd w:id="82"/>
      <w:bookmarkEnd w:id="83"/>
    </w:p>
    <w:p w14:paraId="1D5AEFD6">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成交候选人推荐原则见评审办法前附表。</w:t>
      </w:r>
    </w:p>
    <w:p w14:paraId="559B036C">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3.3.5评审结果</w:t>
      </w:r>
    </w:p>
    <w:p w14:paraId="4AC49F4F">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3.3.5.1  </w:t>
      </w:r>
      <w:r>
        <w:rPr>
          <w:rFonts w:hint="eastAsia" w:ascii="宋体" w:hAnsi="宋体" w:cs="宋体"/>
          <w:sz w:val="21"/>
          <w:highlight w:val="none"/>
          <w:lang w:eastAsia="zh-CN"/>
        </w:rPr>
        <w:t>项目小组</w:t>
      </w:r>
      <w:r>
        <w:rPr>
          <w:rFonts w:hint="eastAsia" w:ascii="宋体" w:hAnsi="宋体" w:eastAsia="宋体" w:cs="宋体"/>
          <w:sz w:val="21"/>
          <w:highlight w:val="none"/>
        </w:rPr>
        <w:t>完成评审后，应当</w:t>
      </w:r>
      <w:r>
        <w:rPr>
          <w:rFonts w:hint="eastAsia" w:ascii="宋体" w:hAnsi="宋体" w:cs="宋体"/>
          <w:sz w:val="21"/>
          <w:highlight w:val="none"/>
          <w:lang w:val="en-US" w:eastAsia="zh-CN"/>
        </w:rPr>
        <w:t>形成统一、完整的</w:t>
      </w:r>
      <w:r>
        <w:rPr>
          <w:rFonts w:hint="eastAsia" w:ascii="宋体" w:hAnsi="宋体" w:eastAsia="宋体" w:cs="宋体"/>
          <w:sz w:val="21"/>
          <w:highlight w:val="none"/>
        </w:rPr>
        <w:t>书面评审报告。</w:t>
      </w:r>
    </w:p>
    <w:p w14:paraId="5E85CB2C">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3.3.5.2  评审报告应当包括下列内容：</w:t>
      </w:r>
    </w:p>
    <w:p w14:paraId="3E6B1012">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（1）项目简介；</w:t>
      </w:r>
    </w:p>
    <w:p w14:paraId="1747C697">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（2）采购过程简介；</w:t>
      </w:r>
    </w:p>
    <w:p w14:paraId="6B17F568">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3</w:t>
      </w:r>
      <w:r>
        <w:rPr>
          <w:rFonts w:hint="eastAsia" w:ascii="宋体" w:hAnsi="宋体" w:eastAsia="宋体" w:cs="宋体"/>
          <w:sz w:val="21"/>
          <w:highlight w:val="none"/>
        </w:rPr>
        <w:t>）</w:t>
      </w:r>
      <w:r>
        <w:rPr>
          <w:rFonts w:hint="eastAsia" w:ascii="宋体" w:hAnsi="宋体" w:cs="宋体"/>
          <w:sz w:val="21"/>
          <w:highlight w:val="none"/>
          <w:lang w:val="en-US" w:eastAsia="zh-CN"/>
        </w:rPr>
        <w:t>项目小组初步评审情况说明（包含</w:t>
      </w:r>
      <w:r>
        <w:rPr>
          <w:rFonts w:hint="eastAsia" w:ascii="宋体" w:hAnsi="宋体" w:eastAsia="宋体" w:cs="宋体"/>
          <w:sz w:val="21"/>
          <w:highlight w:val="none"/>
        </w:rPr>
        <w:t>否决应答的情况说明</w:t>
      </w:r>
      <w:r>
        <w:rPr>
          <w:rFonts w:hint="eastAsia" w:ascii="宋体" w:hAnsi="宋体" w:cs="宋体"/>
          <w:sz w:val="21"/>
          <w:highlight w:val="none"/>
          <w:lang w:eastAsia="zh-CN"/>
        </w:rPr>
        <w:t>）</w:t>
      </w:r>
      <w:r>
        <w:rPr>
          <w:rFonts w:hint="eastAsia" w:ascii="宋体" w:hAnsi="宋体" w:eastAsia="宋体" w:cs="宋体"/>
          <w:sz w:val="21"/>
          <w:highlight w:val="none"/>
        </w:rPr>
        <w:t>；</w:t>
      </w:r>
    </w:p>
    <w:p w14:paraId="72E2B85D">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4</w:t>
      </w:r>
      <w:r>
        <w:rPr>
          <w:rFonts w:hint="eastAsia" w:ascii="宋体" w:hAnsi="宋体" w:eastAsia="宋体" w:cs="宋体"/>
          <w:sz w:val="21"/>
          <w:highlight w:val="none"/>
        </w:rPr>
        <w:t>）推荐的</w:t>
      </w:r>
      <w:r>
        <w:rPr>
          <w:rFonts w:hint="eastAsia" w:ascii="宋体" w:hAnsi="宋体" w:eastAsia="宋体" w:cs="宋体"/>
          <w:sz w:val="21"/>
          <w:highlight w:val="none"/>
          <w:lang w:eastAsia="zh-CN"/>
        </w:rPr>
        <w:t>成交</w:t>
      </w:r>
      <w:r>
        <w:rPr>
          <w:rFonts w:hint="eastAsia" w:ascii="宋体" w:hAnsi="宋体" w:eastAsia="宋体" w:cs="宋体"/>
          <w:sz w:val="21"/>
          <w:highlight w:val="none"/>
        </w:rPr>
        <w:t>候选人名单；</w:t>
      </w:r>
    </w:p>
    <w:p w14:paraId="3F447F78">
      <w:pPr>
        <w:pStyle w:val="98"/>
        <w:spacing w:line="240" w:lineRule="auto"/>
        <w:ind w:firstLine="420"/>
        <w:rPr>
          <w:rFonts w:hint="eastAsia" w:ascii="宋体" w:hAnsi="宋体" w:eastAsia="宋体" w:cs="宋体"/>
          <w:sz w:val="21"/>
          <w:highlight w:val="none"/>
          <w:lang w:eastAsia="zh-CN"/>
        </w:rPr>
      </w:pPr>
      <w:r>
        <w:rPr>
          <w:rFonts w:hint="eastAsia" w:ascii="宋体" w:hAnsi="宋体" w:eastAsia="宋体" w:cs="宋体"/>
          <w:sz w:val="21"/>
          <w:highlight w:val="none"/>
        </w:rPr>
        <w:t>（</w:t>
      </w:r>
      <w:r>
        <w:rPr>
          <w:rFonts w:hint="eastAsia" w:ascii="宋体" w:hAnsi="宋体" w:cs="宋体"/>
          <w:sz w:val="21"/>
          <w:highlight w:val="none"/>
          <w:lang w:val="en-US" w:eastAsia="zh-CN"/>
        </w:rPr>
        <w:t>5</w:t>
      </w:r>
      <w:r>
        <w:rPr>
          <w:rFonts w:hint="eastAsia" w:ascii="宋体" w:hAnsi="宋体" w:eastAsia="宋体" w:cs="宋体"/>
          <w:sz w:val="21"/>
          <w:highlight w:val="none"/>
        </w:rPr>
        <w:t>）签订合同前要处理的事宜；</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2FAEE1A3">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6</w:t>
      </w:r>
      <w:r>
        <w:rPr>
          <w:rFonts w:hint="eastAsia" w:ascii="宋体" w:hAnsi="宋体" w:eastAsia="宋体" w:cs="宋体"/>
          <w:sz w:val="21"/>
          <w:highlight w:val="none"/>
        </w:rPr>
        <w:t>）澄清、说明、补正事项纪要；</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684911F0">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7</w:t>
      </w:r>
      <w:r>
        <w:rPr>
          <w:rFonts w:hint="eastAsia" w:ascii="宋体" w:hAnsi="宋体" w:eastAsia="宋体" w:cs="宋体"/>
          <w:sz w:val="21"/>
          <w:highlight w:val="none"/>
        </w:rPr>
        <w:t>）</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成员名单及本人签字、拒绝在评审报告上签字的</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成员名单及其陈述的不同意见和理由。</w:t>
      </w:r>
    </w:p>
    <w:p w14:paraId="0C45F215">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149E26FE">
      <w:pPr>
        <w:pStyle w:val="52"/>
        <w:snapToGrid w:val="0"/>
        <w:spacing w:before="120" w:after="120"/>
        <w:rPr>
          <w:rFonts w:hint="default" w:ascii="宋体" w:hAnsi="宋体" w:eastAsia="宋体" w:cs="宋体"/>
          <w:b/>
          <w:bCs w:val="0"/>
          <w:kern w:val="0"/>
          <w:sz w:val="28"/>
          <w:szCs w:val="28"/>
          <w:highlight w:val="none"/>
          <w:lang w:val="en-US" w:eastAsia="zh-CN"/>
        </w:rPr>
      </w:pPr>
      <w:bookmarkStart w:id="84" w:name="_Toc5909"/>
      <w:r>
        <w:rPr>
          <w:rFonts w:hint="eastAsia" w:ascii="宋体" w:hAnsi="宋体" w:eastAsia="宋体" w:cs="宋体"/>
          <w:b/>
          <w:bCs w:val="0"/>
          <w:kern w:val="0"/>
          <w:sz w:val="28"/>
          <w:szCs w:val="28"/>
          <w:highlight w:val="none"/>
        </w:rPr>
        <w:t xml:space="preserve">第四章 </w:t>
      </w:r>
      <w:r>
        <w:rPr>
          <w:rFonts w:hint="eastAsia" w:ascii="宋体" w:hAnsi="宋体" w:eastAsia="宋体" w:cs="宋体"/>
          <w:b/>
          <w:bCs w:val="0"/>
          <w:kern w:val="0"/>
          <w:sz w:val="28"/>
          <w:szCs w:val="28"/>
          <w:highlight w:val="none"/>
          <w:lang w:val="en-US" w:eastAsia="zh-CN"/>
        </w:rPr>
        <w:t>采购需求书</w:t>
      </w:r>
      <w:bookmarkEnd w:id="84"/>
    </w:p>
    <w:bookmarkEnd w:id="75"/>
    <w:p w14:paraId="5DD3C9A1">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5498E33C">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30C5FE7B">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5549FCF3">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7584AAFD">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3FF4ACAF">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243FEE0A">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供应商须对《采购需求书》全部</w:t>
      </w:r>
      <w:r>
        <w:rPr>
          <w:rFonts w:hint="eastAsia" w:ascii="宋体" w:hAnsi="宋体" w:cs="宋体"/>
          <w:b/>
          <w:color w:val="auto"/>
          <w:lang w:val="en-US" w:eastAsia="zh-CN"/>
        </w:rPr>
        <w:t>内容</w:t>
      </w:r>
      <w:r>
        <w:rPr>
          <w:rFonts w:hint="eastAsia" w:ascii="宋体" w:hAnsi="宋体" w:cs="宋体"/>
          <w:b/>
          <w:color w:val="auto"/>
        </w:rPr>
        <w:t>理解清楚，并填写《技术商务偏离表》（格式见第六章）。</w:t>
      </w:r>
    </w:p>
    <w:p w14:paraId="18C8390D">
      <w:pPr>
        <w:rPr>
          <w:rFonts w:hint="eastAsia" w:ascii="宋体" w:hAnsi="宋体" w:eastAsia="宋体" w:cs="宋体"/>
          <w:sz w:val="21"/>
          <w:szCs w:val="21"/>
          <w:lang w:eastAsia="zh-CN"/>
        </w:rPr>
      </w:pPr>
    </w:p>
    <w:p w14:paraId="2D8FB1AD">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1A60A0D7">
      <w:pPr>
        <w:jc w:val="center"/>
        <w:rPr>
          <w:rFonts w:hint="eastAsia" w:ascii="宋体" w:hAnsi="宋体" w:eastAsia="宋体" w:cs="宋体"/>
          <w:b w:val="0"/>
          <w:bCs w:val="0"/>
          <w:sz w:val="32"/>
          <w:szCs w:val="32"/>
          <w:lang w:val="en-US" w:eastAsia="zh-CN"/>
        </w:rPr>
      </w:pPr>
      <w:r>
        <w:rPr>
          <w:rFonts w:hint="eastAsia" w:ascii="宋体" w:hAnsi="宋体" w:cs="宋体"/>
          <w:b w:val="0"/>
          <w:bCs w:val="0"/>
          <w:sz w:val="32"/>
          <w:szCs w:val="32"/>
          <w:lang w:val="en-US" w:eastAsia="zh-CN"/>
        </w:rPr>
        <w:t>今日广东国际传播中心团体意外险项目采购</w:t>
      </w:r>
      <w:r>
        <w:rPr>
          <w:rFonts w:hint="eastAsia" w:ascii="宋体" w:hAnsi="宋体" w:eastAsia="宋体" w:cs="宋体"/>
          <w:b w:val="0"/>
          <w:bCs w:val="0"/>
          <w:sz w:val="32"/>
          <w:szCs w:val="32"/>
          <w:lang w:val="en-US" w:eastAsia="zh-CN"/>
        </w:rPr>
        <w:t>需求书</w:t>
      </w:r>
    </w:p>
    <w:p w14:paraId="425624B1">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val="0"/>
          <w:bCs w:val="0"/>
          <w:lang w:val="en-US" w:eastAsia="zh-CN"/>
        </w:rPr>
      </w:pPr>
    </w:p>
    <w:p w14:paraId="54D970B4">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拟购险种</w:t>
      </w:r>
    </w:p>
    <w:p w14:paraId="1C504F4F">
      <w:pPr>
        <w:pStyle w:val="3"/>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val="0"/>
          <w:bCs w:val="0"/>
          <w:kern w:val="2"/>
          <w:sz w:val="24"/>
          <w:szCs w:val="24"/>
          <w:lang w:val="en-US" w:eastAsia="zh-CN" w:bidi="ar-SA"/>
        </w:rPr>
        <w:t xml:space="preserve"> 1.一般职工（正式员工、见习员工）</w:t>
      </w:r>
    </w:p>
    <w:tbl>
      <w:tblPr>
        <w:tblStyle w:val="42"/>
        <w:tblW w:w="8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2048"/>
        <w:gridCol w:w="5710"/>
      </w:tblGrid>
      <w:tr w14:paraId="6593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7BD947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序号</w:t>
            </w:r>
          </w:p>
        </w:tc>
        <w:tc>
          <w:tcPr>
            <w:tcW w:w="2048" w:type="dxa"/>
            <w:noWrap w:val="0"/>
            <w:vAlign w:val="center"/>
          </w:tcPr>
          <w:p w14:paraId="041F8BD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险种</w:t>
            </w:r>
          </w:p>
        </w:tc>
        <w:tc>
          <w:tcPr>
            <w:tcW w:w="5710" w:type="dxa"/>
            <w:noWrap w:val="0"/>
            <w:vAlign w:val="center"/>
          </w:tcPr>
          <w:p w14:paraId="216595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具体情况</w:t>
            </w:r>
          </w:p>
        </w:tc>
      </w:tr>
      <w:tr w14:paraId="11F8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741" w:type="dxa"/>
            <w:noWrap w:val="0"/>
            <w:vAlign w:val="center"/>
          </w:tcPr>
          <w:p w14:paraId="6A69FE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2048" w:type="dxa"/>
            <w:noWrap w:val="0"/>
            <w:vAlign w:val="center"/>
          </w:tcPr>
          <w:p w14:paraId="2B0039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意外身故及伤残保障30万元</w:t>
            </w:r>
          </w:p>
        </w:tc>
        <w:tc>
          <w:tcPr>
            <w:tcW w:w="5710" w:type="dxa"/>
            <w:noWrap w:val="0"/>
            <w:vAlign w:val="top"/>
          </w:tcPr>
          <w:p w14:paraId="1EA8F0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被保险人因意外伤害事件导致身故，保险公司给付保险金30万元。因意外伤害事件导致残疾，保险公司根据其残疾鉴定等级给付保险金，最高给付30万元。</w:t>
            </w:r>
          </w:p>
        </w:tc>
      </w:tr>
      <w:tr w14:paraId="23C4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64D887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p>
        </w:tc>
        <w:tc>
          <w:tcPr>
            <w:tcW w:w="2048" w:type="dxa"/>
            <w:noWrap w:val="0"/>
            <w:vAlign w:val="center"/>
          </w:tcPr>
          <w:p w14:paraId="45FC07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意外医疗保障</w:t>
            </w:r>
          </w:p>
          <w:p w14:paraId="7398E4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auto"/>
                <w:sz w:val="21"/>
                <w:szCs w:val="21"/>
              </w:rPr>
              <w:t>3万元</w:t>
            </w:r>
          </w:p>
        </w:tc>
        <w:tc>
          <w:tcPr>
            <w:tcW w:w="5710" w:type="dxa"/>
            <w:noWrap w:val="0"/>
            <w:vAlign w:val="top"/>
          </w:tcPr>
          <w:p w14:paraId="348D12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被保险人无论一次或多次遭受意外伤害，在二级以上（含二级）医院诊疗所支出的、符合当地社会医疗保险主管部门规定可报销的医疗费用（包含意外门诊与意外住院），每次按100%给付医疗保险金，最高给付3万元。</w:t>
            </w:r>
          </w:p>
        </w:tc>
      </w:tr>
      <w:tr w14:paraId="73DA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08CC39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3</w:t>
            </w:r>
          </w:p>
        </w:tc>
        <w:tc>
          <w:tcPr>
            <w:tcW w:w="2048" w:type="dxa"/>
            <w:noWrap w:val="0"/>
            <w:vAlign w:val="center"/>
          </w:tcPr>
          <w:p w14:paraId="217B56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50种重大疾病保障20万元</w:t>
            </w:r>
          </w:p>
        </w:tc>
        <w:tc>
          <w:tcPr>
            <w:tcW w:w="5710" w:type="dxa"/>
            <w:noWrap w:val="0"/>
            <w:vAlign w:val="top"/>
          </w:tcPr>
          <w:p w14:paraId="46DD8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z w:val="21"/>
                <w:szCs w:val="21"/>
                <w:lang w:val="en-US" w:eastAsia="zh-CN"/>
              </w:rPr>
              <w:t>被保险人在等待期后初次发生并经专科医生明确诊断患本合同中的重大疾病(无论一种或多种),该员工保险责任终止，重大疾病保险金额一次性给付(首次参保有疾病等待期30天，续保无等待期 )</w:t>
            </w:r>
          </w:p>
        </w:tc>
      </w:tr>
      <w:tr w14:paraId="0EE6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255418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4</w:t>
            </w:r>
          </w:p>
        </w:tc>
        <w:tc>
          <w:tcPr>
            <w:tcW w:w="2048" w:type="dxa"/>
            <w:noWrap w:val="0"/>
            <w:vAlign w:val="center"/>
          </w:tcPr>
          <w:p w14:paraId="049F914A">
            <w:pPr>
              <w:pStyle w:val="109"/>
              <w:spacing w:line="256" w:lineRule="auto"/>
              <w:rPr>
                <w:rFonts w:hint="eastAsia" w:asciiTheme="minorEastAsia" w:hAnsiTheme="minorEastAsia" w:eastAsiaTheme="minorEastAsia" w:cstheme="minorEastAsia"/>
                <w:sz w:val="21"/>
                <w:szCs w:val="21"/>
              </w:rPr>
            </w:pPr>
          </w:p>
          <w:p w14:paraId="7D3E044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疾病医疗保障3</w:t>
            </w:r>
          </w:p>
          <w:p w14:paraId="5B180C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万元</w:t>
            </w:r>
          </w:p>
        </w:tc>
        <w:tc>
          <w:tcPr>
            <w:tcW w:w="5710" w:type="dxa"/>
            <w:noWrap w:val="0"/>
            <w:vAlign w:val="top"/>
          </w:tcPr>
          <w:p w14:paraId="0ADD3B5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员工在首次投保30天等侍期后(按照本公司相关规定续保的，续保保险间内不受等待期的限制)若员工发生疾病就医住院已使用医保剩余符合条款约定的医疗保险金给付的免赔额为0元，社保目录内用药给付比例为100%;若员工发生疾病就医住院未使用医保或其他途径获得赔偿的，约定符合条款约定的医疗保险金给付的免 赔额为100元，社保目录内用药给付比例为50%</w:t>
            </w:r>
            <w:r>
              <w:rPr>
                <w:rFonts w:hint="eastAsia" w:asciiTheme="minorEastAsia" w:hAnsiTheme="minorEastAsia" w:cstheme="minorEastAsia"/>
                <w:color w:val="auto"/>
                <w:sz w:val="21"/>
                <w:szCs w:val="21"/>
                <w:lang w:val="en-US" w:eastAsia="zh-CN"/>
              </w:rPr>
              <w:t>。</w:t>
            </w:r>
          </w:p>
        </w:tc>
      </w:tr>
      <w:tr w14:paraId="139C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06A2E6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5</w:t>
            </w:r>
          </w:p>
        </w:tc>
        <w:tc>
          <w:tcPr>
            <w:tcW w:w="2048" w:type="dxa"/>
            <w:noWrap w:val="0"/>
            <w:vAlign w:val="center"/>
          </w:tcPr>
          <w:p w14:paraId="7628F3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意外住院津贴赔</w:t>
            </w:r>
          </w:p>
          <w:p w14:paraId="5D4FD59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auto"/>
                <w:sz w:val="21"/>
                <w:szCs w:val="21"/>
                <w:lang w:val="en-US" w:eastAsia="zh-CN"/>
              </w:rPr>
              <w:t>付200元/天</w:t>
            </w:r>
          </w:p>
        </w:tc>
        <w:tc>
          <w:tcPr>
            <w:tcW w:w="5710" w:type="dxa"/>
            <w:noWrap w:val="0"/>
            <w:vAlign w:val="top"/>
          </w:tcPr>
          <w:p w14:paraId="7B426CA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auto"/>
                <w:sz w:val="21"/>
                <w:szCs w:val="21"/>
                <w:lang w:val="en-US" w:eastAsia="zh-CN"/>
              </w:rPr>
              <w:t>被保险人遭受意外伤害，并因该意外伤害在二级以上(含二级)医院或保险公司认可的其他医疗机构住院治疗，按200元/天乘以实际住院日数给付保险金，每次住院的给付日数以九十日为限。多次住院的，累计给付日数以一百八十日为限。</w:t>
            </w:r>
          </w:p>
        </w:tc>
      </w:tr>
    </w:tbl>
    <w:p w14:paraId="2FB74DD0">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实习生</w:t>
      </w:r>
    </w:p>
    <w:tbl>
      <w:tblPr>
        <w:tblStyle w:val="110"/>
        <w:tblW w:w="5142" w:type="pct"/>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70"/>
        <w:gridCol w:w="2063"/>
        <w:gridCol w:w="5725"/>
      </w:tblGrid>
      <w:tr w14:paraId="38B85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450" w:type="pct"/>
            <w:vAlign w:val="top"/>
          </w:tcPr>
          <w:p w14:paraId="23C262E1">
            <w:pPr>
              <w:pStyle w:val="109"/>
              <w:spacing w:line="251" w:lineRule="auto"/>
              <w:jc w:val="center"/>
              <w:rPr>
                <w:rFonts w:hint="eastAsia" w:asciiTheme="minorEastAsia" w:hAnsiTheme="minorEastAsia" w:eastAsiaTheme="minorEastAsia" w:cstheme="minorEastAsia"/>
                <w:color w:val="auto"/>
                <w:kern w:val="2"/>
                <w:sz w:val="21"/>
                <w:szCs w:val="21"/>
                <w:lang w:val="en-US" w:eastAsia="zh-CN" w:bidi="ar-SA"/>
              </w:rPr>
            </w:pPr>
          </w:p>
          <w:p w14:paraId="73154ECC">
            <w:pPr>
              <w:spacing w:before="140" w:line="221"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序号</w:t>
            </w:r>
          </w:p>
        </w:tc>
        <w:tc>
          <w:tcPr>
            <w:tcW w:w="1205" w:type="pct"/>
            <w:vAlign w:val="top"/>
          </w:tcPr>
          <w:p w14:paraId="51C4A5E0">
            <w:pPr>
              <w:pStyle w:val="109"/>
              <w:spacing w:line="250" w:lineRule="auto"/>
              <w:jc w:val="center"/>
              <w:rPr>
                <w:rFonts w:hint="eastAsia" w:asciiTheme="minorEastAsia" w:hAnsiTheme="minorEastAsia" w:eastAsiaTheme="minorEastAsia" w:cstheme="minorEastAsia"/>
                <w:color w:val="auto"/>
                <w:kern w:val="2"/>
                <w:sz w:val="21"/>
                <w:szCs w:val="21"/>
                <w:lang w:val="en-US" w:eastAsia="zh-CN" w:bidi="ar-SA"/>
              </w:rPr>
            </w:pPr>
          </w:p>
          <w:p w14:paraId="1F2812BD">
            <w:pPr>
              <w:spacing w:before="140" w:line="220"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险种</w:t>
            </w:r>
          </w:p>
        </w:tc>
        <w:tc>
          <w:tcPr>
            <w:tcW w:w="3344" w:type="pct"/>
            <w:vAlign w:val="top"/>
          </w:tcPr>
          <w:p w14:paraId="498F5908">
            <w:pPr>
              <w:pStyle w:val="109"/>
              <w:spacing w:line="250" w:lineRule="auto"/>
              <w:jc w:val="center"/>
              <w:rPr>
                <w:rFonts w:hint="eastAsia" w:asciiTheme="minorEastAsia" w:hAnsiTheme="minorEastAsia" w:eastAsiaTheme="minorEastAsia" w:cstheme="minorEastAsia"/>
                <w:color w:val="auto"/>
                <w:kern w:val="2"/>
                <w:sz w:val="21"/>
                <w:szCs w:val="21"/>
                <w:lang w:val="en-US" w:eastAsia="zh-CN" w:bidi="ar-SA"/>
              </w:rPr>
            </w:pPr>
          </w:p>
          <w:p w14:paraId="1B474EB8">
            <w:pPr>
              <w:spacing w:before="140" w:line="220"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具体情况</w:t>
            </w:r>
          </w:p>
        </w:tc>
      </w:tr>
      <w:tr w14:paraId="5504C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450" w:type="pct"/>
            <w:vAlign w:val="top"/>
          </w:tcPr>
          <w:p w14:paraId="49BA8B58">
            <w:pPr>
              <w:pStyle w:val="109"/>
              <w:spacing w:line="306" w:lineRule="auto"/>
              <w:jc w:val="left"/>
              <w:rPr>
                <w:rFonts w:hint="eastAsia" w:asciiTheme="minorEastAsia" w:hAnsiTheme="minorEastAsia" w:eastAsiaTheme="minorEastAsia" w:cstheme="minorEastAsia"/>
                <w:color w:val="auto"/>
                <w:kern w:val="2"/>
                <w:sz w:val="21"/>
                <w:szCs w:val="21"/>
                <w:lang w:val="en-US" w:eastAsia="zh-CN" w:bidi="ar-SA"/>
              </w:rPr>
            </w:pPr>
          </w:p>
          <w:p w14:paraId="30BF84C4">
            <w:pPr>
              <w:spacing w:before="140" w:line="184"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1</w:t>
            </w:r>
          </w:p>
        </w:tc>
        <w:tc>
          <w:tcPr>
            <w:tcW w:w="1205" w:type="pct"/>
            <w:vAlign w:val="center"/>
          </w:tcPr>
          <w:p w14:paraId="309A6657">
            <w:pPr>
              <w:spacing w:before="0" w:line="360"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意外身故及伤残保障</w:t>
            </w:r>
          </w:p>
          <w:p w14:paraId="4EDE5232">
            <w:pPr>
              <w:spacing w:before="0" w:line="360"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30万元</w:t>
            </w:r>
          </w:p>
        </w:tc>
        <w:tc>
          <w:tcPr>
            <w:tcW w:w="3344" w:type="pct"/>
            <w:vAlign w:val="top"/>
          </w:tcPr>
          <w:p w14:paraId="3FF1652C">
            <w:pPr>
              <w:spacing w:before="0" w:line="360" w:lineRule="auto"/>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被保险人因意外伤害事件导致身故，保险公司给付保险金30万元。因意外伤害事件导致残疾，保险公司根据其残疾鉴定等级给付保险金，最高给付30万元。</w:t>
            </w:r>
          </w:p>
        </w:tc>
      </w:tr>
      <w:tr w14:paraId="01FE5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450" w:type="pct"/>
            <w:vAlign w:val="top"/>
          </w:tcPr>
          <w:p w14:paraId="22FD993E">
            <w:pPr>
              <w:spacing w:before="140" w:line="183" w:lineRule="auto"/>
              <w:jc w:val="center"/>
              <w:rPr>
                <w:rFonts w:hint="eastAsia" w:asciiTheme="minorEastAsia" w:hAnsiTheme="minorEastAsia" w:eastAsiaTheme="minorEastAsia" w:cstheme="minorEastAsia"/>
                <w:color w:val="auto"/>
                <w:kern w:val="2"/>
                <w:sz w:val="21"/>
                <w:szCs w:val="21"/>
                <w:lang w:val="en-US" w:eastAsia="zh-CN" w:bidi="ar-SA"/>
              </w:rPr>
            </w:pPr>
          </w:p>
          <w:p w14:paraId="76B0C7CC">
            <w:pPr>
              <w:spacing w:before="140" w:line="183"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kern w:val="2"/>
                <w:sz w:val="21"/>
                <w:szCs w:val="21"/>
                <w:lang w:val="en-US" w:eastAsia="zh-CN" w:bidi="ar-SA"/>
              </w:rPr>
              <w:t>2</w:t>
            </w:r>
          </w:p>
        </w:tc>
        <w:tc>
          <w:tcPr>
            <w:tcW w:w="1205" w:type="pct"/>
            <w:vAlign w:val="center"/>
          </w:tcPr>
          <w:p w14:paraId="073169FD">
            <w:pPr>
              <w:spacing w:line="360" w:lineRule="auto"/>
              <w:jc w:val="center"/>
              <w:rPr>
                <w:rFonts w:hint="eastAsia" w:asciiTheme="minorEastAsia" w:hAnsiTheme="minorEastAsia" w:eastAsiaTheme="minorEastAsia" w:cstheme="minorEastAsia"/>
                <w:color w:val="auto"/>
                <w:kern w:val="2"/>
                <w:sz w:val="21"/>
                <w:szCs w:val="21"/>
                <w:lang w:val="en-US" w:eastAsia="zh-CN" w:bidi="ar-SA"/>
              </w:rPr>
            </w:pPr>
          </w:p>
          <w:p w14:paraId="0979476B">
            <w:pPr>
              <w:spacing w:before="0" w:line="360" w:lineRule="auto"/>
              <w:ind w:firstLine="0" w:firstLine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意外医疗保障</w:t>
            </w:r>
          </w:p>
          <w:p w14:paraId="52E57B96">
            <w:pPr>
              <w:spacing w:line="360" w:lineRule="auto"/>
              <w:ind w:firstLine="0" w:firstLine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3万元</w:t>
            </w:r>
          </w:p>
        </w:tc>
        <w:tc>
          <w:tcPr>
            <w:tcW w:w="3344" w:type="pct"/>
            <w:vAlign w:val="top"/>
          </w:tcPr>
          <w:p w14:paraId="25C0F5B6">
            <w:pPr>
              <w:spacing w:before="0" w:line="360" w:lineRule="auto"/>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被保险人无论一次或多次遭受意外伤害，在二级以上(含二级)医院诊疗所支出的、符合当地社会医疗保险主管部门规定可报销的医疗费用(包含意外门诊与意外住院),每次按100%给付医疗保险金，最高给付3万元。</w:t>
            </w:r>
          </w:p>
        </w:tc>
      </w:tr>
      <w:tr w14:paraId="7628C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450" w:type="pct"/>
            <w:vAlign w:val="top"/>
          </w:tcPr>
          <w:p w14:paraId="0AB2BA3C">
            <w:pPr>
              <w:pStyle w:val="109"/>
              <w:spacing w:line="250" w:lineRule="auto"/>
              <w:jc w:val="left"/>
              <w:rPr>
                <w:rFonts w:hint="eastAsia" w:asciiTheme="minorEastAsia" w:hAnsiTheme="minorEastAsia" w:eastAsiaTheme="minorEastAsia" w:cstheme="minorEastAsia"/>
                <w:color w:val="auto"/>
                <w:kern w:val="2"/>
                <w:sz w:val="21"/>
                <w:szCs w:val="21"/>
                <w:lang w:val="en-US" w:eastAsia="zh-CN" w:bidi="ar-SA"/>
              </w:rPr>
            </w:pPr>
          </w:p>
          <w:p w14:paraId="3A36E5DD">
            <w:pPr>
              <w:spacing w:before="140" w:line="183"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kern w:val="2"/>
                <w:sz w:val="21"/>
                <w:szCs w:val="21"/>
                <w:lang w:val="en-US" w:eastAsia="zh-CN" w:bidi="ar-SA"/>
              </w:rPr>
              <w:t>3</w:t>
            </w:r>
          </w:p>
        </w:tc>
        <w:tc>
          <w:tcPr>
            <w:tcW w:w="1205" w:type="pct"/>
            <w:vAlign w:val="center"/>
          </w:tcPr>
          <w:p w14:paraId="255DEEC1">
            <w:pPr>
              <w:spacing w:before="0" w:line="360"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意外住院津贴赔</w:t>
            </w:r>
          </w:p>
          <w:p w14:paraId="60EE441B">
            <w:pPr>
              <w:spacing w:line="360" w:lineRule="auto"/>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付至少150元/天</w:t>
            </w:r>
          </w:p>
        </w:tc>
        <w:tc>
          <w:tcPr>
            <w:tcW w:w="3344" w:type="pct"/>
            <w:vAlign w:val="top"/>
          </w:tcPr>
          <w:p w14:paraId="4EB9CE3F">
            <w:pPr>
              <w:spacing w:before="0" w:line="360" w:lineRule="auto"/>
              <w:ind w:left="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被保险人遭受意外伤害，并因该意外伤害在二级以上(含二级)医院或保险公司认可的其他医疗机构住院治疗，按至少150元/天乘以实际住院日数给付保险金，每次住院的给付日数以九十日为限。多次住院的，累计给付日数以一百八十日为限。</w:t>
            </w:r>
          </w:p>
        </w:tc>
      </w:tr>
    </w:tbl>
    <w:p w14:paraId="7A3550A3">
      <w:pPr>
        <w:pStyle w:val="3"/>
        <w:rPr>
          <w:rFonts w:hint="eastAsia" w:asciiTheme="minorEastAsia" w:hAnsiTheme="minorEastAsia" w:eastAsiaTheme="minorEastAsia" w:cstheme="minorEastAsia"/>
          <w:sz w:val="24"/>
          <w:szCs w:val="24"/>
          <w:lang w:eastAsia="zh-CN"/>
        </w:rPr>
      </w:pPr>
    </w:p>
    <w:p w14:paraId="1D75A188">
      <w:pPr>
        <w:pStyle w:val="3"/>
        <w:rPr>
          <w:rFonts w:hint="eastAsia" w:asciiTheme="minorEastAsia" w:hAnsiTheme="minorEastAsia" w:eastAsiaTheme="minorEastAsia" w:cstheme="minorEastAsia"/>
          <w:sz w:val="24"/>
          <w:szCs w:val="24"/>
          <w:lang w:eastAsia="zh-CN"/>
        </w:rPr>
      </w:pPr>
    </w:p>
    <w:p w14:paraId="2FE36E71">
      <w:pPr>
        <w:pStyle w:val="3"/>
        <w:rPr>
          <w:rFonts w:hint="eastAsia" w:asciiTheme="minorEastAsia" w:hAnsiTheme="minorEastAsia" w:eastAsiaTheme="minorEastAsia" w:cstheme="minorEastAsia"/>
          <w:sz w:val="24"/>
          <w:szCs w:val="24"/>
          <w:lang w:eastAsia="zh-CN"/>
        </w:rPr>
      </w:pPr>
    </w:p>
    <w:p w14:paraId="62275B52">
      <w:pPr>
        <w:pStyle w:val="3"/>
        <w:rPr>
          <w:rFonts w:hint="eastAsia" w:asciiTheme="minorEastAsia" w:hAnsiTheme="minorEastAsia" w:eastAsiaTheme="minorEastAsia" w:cstheme="minorEastAsia"/>
          <w:sz w:val="24"/>
          <w:szCs w:val="24"/>
          <w:lang w:eastAsia="zh-CN"/>
        </w:rPr>
      </w:pPr>
    </w:p>
    <w:p w14:paraId="016D5C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二、服务要求</w:t>
      </w:r>
    </w:p>
    <w:tbl>
      <w:tblPr>
        <w:tblStyle w:val="42"/>
        <w:tblW w:w="8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2156"/>
        <w:gridCol w:w="5583"/>
      </w:tblGrid>
      <w:tr w14:paraId="7819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32E3B3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序号</w:t>
            </w:r>
          </w:p>
        </w:tc>
        <w:tc>
          <w:tcPr>
            <w:tcW w:w="2156" w:type="dxa"/>
            <w:noWrap w:val="0"/>
            <w:vAlign w:val="center"/>
          </w:tcPr>
          <w:p w14:paraId="011412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服务内容</w:t>
            </w:r>
          </w:p>
        </w:tc>
        <w:tc>
          <w:tcPr>
            <w:tcW w:w="5583" w:type="dxa"/>
            <w:noWrap w:val="0"/>
            <w:vAlign w:val="center"/>
          </w:tcPr>
          <w:p w14:paraId="1F7538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具体情况</w:t>
            </w:r>
          </w:p>
        </w:tc>
      </w:tr>
      <w:tr w14:paraId="342E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21EE06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2156" w:type="dxa"/>
            <w:noWrap w:val="0"/>
            <w:vAlign w:val="center"/>
          </w:tcPr>
          <w:p w14:paraId="59FCBC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加减保及结算</w:t>
            </w:r>
          </w:p>
        </w:tc>
        <w:tc>
          <w:tcPr>
            <w:tcW w:w="5583" w:type="dxa"/>
            <w:noWrap w:val="0"/>
            <w:vAlign w:val="top"/>
          </w:tcPr>
          <w:p w14:paraId="2AB7051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在保险合同有效期内，如投保人发生员工增加、减少，由投保人指定的经办人员汇总整理新增和离职员工名单， 并向保险公司提出变更申请。申请的方式可约定。保险公司人员收到投保人的变动申请，认为符合申请要求的，在1个工作日内完成操作，并履行保险责任。保费结算方式可约定。增减员部分 按照</w:t>
            </w:r>
            <w:r>
              <w:rPr>
                <w:rFonts w:hint="eastAsia" w:asciiTheme="minorEastAsia" w:hAnsiTheme="minorEastAsia" w:cstheme="minorEastAsia"/>
                <w:sz w:val="21"/>
                <w:szCs w:val="21"/>
                <w:lang w:val="en-US" w:eastAsia="zh-CN"/>
              </w:rPr>
              <w:t>半年</w:t>
            </w:r>
            <w:r>
              <w:rPr>
                <w:rFonts w:hint="eastAsia" w:asciiTheme="minorEastAsia" w:hAnsiTheme="minorEastAsia" w:eastAsiaTheme="minorEastAsia" w:cstheme="minorEastAsia"/>
                <w:sz w:val="21"/>
                <w:szCs w:val="21"/>
              </w:rPr>
              <w:t>结算模式进行结算，多退少补的原则。</w:t>
            </w:r>
          </w:p>
        </w:tc>
      </w:tr>
      <w:tr w14:paraId="5ACF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4FF75D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2156" w:type="dxa"/>
            <w:noWrap w:val="0"/>
            <w:vAlign w:val="center"/>
          </w:tcPr>
          <w:p w14:paraId="2702D9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理赔时效</w:t>
            </w:r>
          </w:p>
        </w:tc>
        <w:tc>
          <w:tcPr>
            <w:tcW w:w="5583" w:type="dxa"/>
            <w:noWrap w:val="0"/>
            <w:vAlign w:val="top"/>
          </w:tcPr>
          <w:p w14:paraId="6F6985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保险公司在收到索赔资料后，资料齐全的10个工作日内将赔款划入到被保险人指定帐号，并将赔款清单交付投保人。</w:t>
            </w:r>
          </w:p>
        </w:tc>
      </w:tr>
      <w:tr w14:paraId="7BDF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138F89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2156" w:type="dxa"/>
            <w:noWrap w:val="0"/>
            <w:vAlign w:val="center"/>
          </w:tcPr>
          <w:p w14:paraId="08B6016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理赔通知和查询</w:t>
            </w:r>
          </w:p>
        </w:tc>
        <w:tc>
          <w:tcPr>
            <w:tcW w:w="5583" w:type="dxa"/>
            <w:noWrap w:val="0"/>
            <w:vAlign w:val="top"/>
          </w:tcPr>
          <w:p w14:paraId="76C28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以短信或</w:t>
            </w:r>
            <w:r>
              <w:rPr>
                <w:rFonts w:hint="eastAsia" w:asciiTheme="minorEastAsia" w:hAnsiTheme="minorEastAsia" w:eastAsiaTheme="minorEastAsia" w:cstheme="minorEastAsia"/>
                <w:sz w:val="21"/>
                <w:szCs w:val="21"/>
                <w:lang w:val="en-US" w:eastAsia="zh-CN"/>
              </w:rPr>
              <w:t>微信</w:t>
            </w:r>
            <w:r>
              <w:rPr>
                <w:rFonts w:hint="eastAsia" w:asciiTheme="minorEastAsia" w:hAnsiTheme="minorEastAsia" w:eastAsiaTheme="minorEastAsia" w:cstheme="minorEastAsia"/>
                <w:sz w:val="21"/>
                <w:szCs w:val="21"/>
              </w:rPr>
              <w:t>方式通知理赔结果。并提供网上理赔系统供员工进行理赔查询（包括本单位经办部门可在保险公司的保险外部网上查询整体投保人数、已处理及处理中案件数、赔付情况、赔付金额、赔付明细等，员工可查询个人保险缴费、理赔进度、赔付金额、本保险年度内赔付明细等）。对于拒付理赔案件及不符合赔付标准的案件保险公司应及时出具书面通知书。</w:t>
            </w:r>
          </w:p>
        </w:tc>
      </w:tr>
      <w:tr w14:paraId="582B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51F0D6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156" w:type="dxa"/>
            <w:noWrap w:val="0"/>
            <w:vAlign w:val="center"/>
          </w:tcPr>
          <w:p w14:paraId="1B49E9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保险服务手册</w:t>
            </w:r>
          </w:p>
        </w:tc>
        <w:tc>
          <w:tcPr>
            <w:tcW w:w="5583" w:type="dxa"/>
            <w:noWrap w:val="0"/>
            <w:vAlign w:val="top"/>
          </w:tcPr>
          <w:p w14:paraId="391ECB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保险公司应为本单位印制人手一册的“保险服务手册”。详细介绍其所享有的保险保障范围及理赔所需资料和理赔流程等。</w:t>
            </w:r>
          </w:p>
        </w:tc>
      </w:tr>
      <w:tr w14:paraId="3A06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0502A4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2156" w:type="dxa"/>
            <w:noWrap w:val="0"/>
            <w:vAlign w:val="center"/>
          </w:tcPr>
          <w:p w14:paraId="3901A8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设立服务团队</w:t>
            </w:r>
          </w:p>
        </w:tc>
        <w:tc>
          <w:tcPr>
            <w:tcW w:w="5583" w:type="dxa"/>
            <w:noWrap w:val="0"/>
            <w:vAlign w:val="top"/>
          </w:tcPr>
          <w:p w14:paraId="7ACB5F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为保证各项工作的高效高质开展，保险公司应为本单位设立服务团队，接受本单位员工的咨询，与经办部门进行工作对接。日常的问题</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突发情况咨询应立即回复并指导操作。如发生人员变动，应书面通知本单位。</w:t>
            </w:r>
          </w:p>
        </w:tc>
      </w:tr>
      <w:tr w14:paraId="274A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3C3FEC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6</w:t>
            </w:r>
          </w:p>
        </w:tc>
        <w:tc>
          <w:tcPr>
            <w:tcW w:w="2156" w:type="dxa"/>
            <w:noWrap w:val="0"/>
            <w:vAlign w:val="center"/>
          </w:tcPr>
          <w:p w14:paraId="1AA358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其他增值服务</w:t>
            </w:r>
          </w:p>
        </w:tc>
        <w:tc>
          <w:tcPr>
            <w:tcW w:w="5583" w:type="dxa"/>
            <w:noWrap w:val="0"/>
            <w:vAlign w:val="top"/>
          </w:tcPr>
          <w:p w14:paraId="6A4D68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请在报价文件中告知可提供的增值服务。</w:t>
            </w:r>
          </w:p>
        </w:tc>
      </w:tr>
      <w:tr w14:paraId="2C12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noWrap w:val="0"/>
            <w:vAlign w:val="center"/>
          </w:tcPr>
          <w:p w14:paraId="7BEEFF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7</w:t>
            </w:r>
          </w:p>
        </w:tc>
        <w:tc>
          <w:tcPr>
            <w:tcW w:w="2156" w:type="dxa"/>
            <w:noWrap w:val="0"/>
            <w:vAlign w:val="center"/>
          </w:tcPr>
          <w:p w14:paraId="7864844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其它要求</w:t>
            </w:r>
          </w:p>
        </w:tc>
        <w:tc>
          <w:tcPr>
            <w:tcW w:w="5583" w:type="dxa"/>
            <w:noWrap w:val="0"/>
            <w:vAlign w:val="top"/>
          </w:tcPr>
          <w:p w14:paraId="35E4CA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为确保采购方员工利益，并有利于后续保障方案的实施，所有新投保人员和续保人员的保障时段统一为2025年6月1日零时，到次年5月31日24时</w:t>
            </w:r>
            <w:r>
              <w:rPr>
                <w:rFonts w:hint="eastAsia" w:asciiTheme="minorEastAsia" w:hAnsiTheme="minorEastAsia" w:cstheme="minorEastAsia"/>
                <w:sz w:val="21"/>
                <w:szCs w:val="21"/>
                <w:lang w:eastAsia="zh-CN"/>
              </w:rPr>
              <w:t>。</w:t>
            </w:r>
          </w:p>
        </w:tc>
      </w:tr>
    </w:tbl>
    <w:p w14:paraId="5C25954F">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服务期限</w:t>
      </w:r>
    </w:p>
    <w:p w14:paraId="4C299D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自合同签订之日起</w:t>
      </w:r>
      <w:r>
        <w:rPr>
          <w:rFonts w:hint="default" w:asciiTheme="minorEastAsia" w:hAnsiTheme="minorEastAsia" w:eastAsiaTheme="minorEastAsia" w:cstheme="minorEastAsia"/>
          <w:sz w:val="21"/>
          <w:szCs w:val="21"/>
          <w:lang w:val="en-US" w:eastAsia="zh-CN"/>
        </w:rPr>
        <w:t>，一年有效</w:t>
      </w:r>
      <w:r>
        <w:rPr>
          <w:rFonts w:hint="eastAsia" w:asciiTheme="minorEastAsia" w:hAnsiTheme="minorEastAsia" w:eastAsiaTheme="minorEastAsia" w:cstheme="minorEastAsia"/>
          <w:sz w:val="21"/>
          <w:szCs w:val="21"/>
          <w:lang w:val="en-US" w:eastAsia="zh-CN"/>
        </w:rPr>
        <w:t>。</w:t>
      </w:r>
    </w:p>
    <w:p w14:paraId="04FB4E3D">
      <w:pPr>
        <w:pStyle w:val="3"/>
        <w:keepNext w:val="0"/>
        <w:keepLines w:val="0"/>
        <w:pageBreakBefore w:val="0"/>
        <w:widowControl w:val="0"/>
        <w:kinsoku/>
        <w:wordWrap/>
        <w:overflowPunct/>
        <w:topLinePunct w:val="0"/>
        <w:bidi w:val="0"/>
        <w:snapToGrid/>
        <w:spacing w:line="360" w:lineRule="auto"/>
        <w:ind w:firstLine="630" w:firstLineChars="300"/>
        <w:textAlignment w:val="auto"/>
        <w:rPr>
          <w:rFonts w:hint="eastAsia" w:ascii="宋体" w:hAnsi="宋体" w:eastAsia="宋体" w:cs="宋体"/>
          <w:color w:val="111111"/>
          <w:sz w:val="21"/>
          <w:szCs w:val="21"/>
          <w:highlight w:val="white"/>
        </w:rPr>
      </w:pPr>
    </w:p>
    <w:p w14:paraId="7D5939A6">
      <w:pPr>
        <w:rPr>
          <w:rFonts w:hint="eastAsia" w:ascii="宋体" w:hAnsi="宋体" w:eastAsia="宋体" w:cs="宋体"/>
          <w:color w:val="111111"/>
          <w:sz w:val="21"/>
          <w:szCs w:val="21"/>
          <w:highlight w:val="white"/>
        </w:rPr>
      </w:pPr>
      <w:r>
        <w:rPr>
          <w:rFonts w:hint="eastAsia" w:ascii="宋体" w:hAnsi="宋体" w:eastAsia="宋体" w:cs="宋体"/>
          <w:color w:val="111111"/>
          <w:sz w:val="21"/>
          <w:szCs w:val="21"/>
          <w:highlight w:val="white"/>
        </w:rPr>
        <w:br w:type="page"/>
      </w:r>
    </w:p>
    <w:p w14:paraId="3471A936">
      <w:pPr>
        <w:pStyle w:val="52"/>
        <w:snapToGrid w:val="0"/>
        <w:spacing w:before="120" w:after="120"/>
        <w:rPr>
          <w:rFonts w:hint="default" w:ascii="宋体" w:hAnsi="宋体" w:eastAsia="宋体" w:cs="宋体"/>
          <w:b/>
          <w:bCs w:val="0"/>
          <w:kern w:val="0"/>
          <w:sz w:val="28"/>
          <w:szCs w:val="28"/>
          <w:highlight w:val="none"/>
          <w:lang w:val="en-US" w:eastAsia="zh-CN"/>
        </w:rPr>
      </w:pPr>
      <w:bookmarkStart w:id="85" w:name="_Toc8938"/>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五</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商务合同</w:t>
      </w:r>
      <w:bookmarkEnd w:id="85"/>
    </w:p>
    <w:p w14:paraId="31837332">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68E752E7">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6AF3CA29">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2D07328A">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color w:val="auto"/>
          <w:szCs w:val="21"/>
          <w:lang w:eastAsia="zh-CN"/>
        </w:rPr>
        <w:t>今日（广东）国际传播有限公司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4FDE1BFC">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供应商须对《商务合同书》全部条款理解清楚，并填写《技术商务偏离表》（格式见第六章）。</w:t>
      </w:r>
    </w:p>
    <w:p w14:paraId="59E6749A">
      <w:pPr>
        <w:spacing w:line="360" w:lineRule="auto"/>
        <w:ind w:firstLine="420" w:firstLineChars="200"/>
        <w:rPr>
          <w:rFonts w:hint="eastAsia" w:ascii="宋体" w:hAnsi="宋体" w:cs="宋体"/>
          <w:b/>
          <w:color w:val="auto"/>
        </w:rPr>
      </w:pPr>
      <w:r>
        <w:rPr>
          <w:rFonts w:hint="eastAsia" w:ascii="宋体" w:hAnsi="宋体" w:cs="宋体"/>
          <w:b/>
          <w:color w:val="auto"/>
        </w:rPr>
        <w:t>注：</w:t>
      </w:r>
      <w:r>
        <w:rPr>
          <w:rFonts w:hint="eastAsia" w:ascii="宋体" w:hAnsi="宋体" w:cs="宋体"/>
          <w:b/>
          <w:szCs w:val="21"/>
        </w:rPr>
        <w:t>本合同仅为合同草案文本，合同签订双方可根据项目的具体要求进行修订和细化</w:t>
      </w:r>
      <w:r>
        <w:rPr>
          <w:rFonts w:hint="eastAsia" w:ascii="宋体" w:hAnsi="宋体" w:cs="宋体"/>
          <w:b/>
          <w:color w:val="auto"/>
          <w:lang w:val="en-US" w:eastAsia="zh-CN"/>
        </w:rPr>
        <w:t>，</w:t>
      </w:r>
      <w:r>
        <w:rPr>
          <w:rFonts w:hint="eastAsia" w:ascii="宋体" w:hAnsi="宋体" w:cs="宋体"/>
          <w:b/>
          <w:color w:val="auto"/>
        </w:rPr>
        <w:t>当供应商在成交后，应依据本合同的主要条款与采购方签订正式合同；当本合同与</w:t>
      </w:r>
      <w:r>
        <w:rPr>
          <w:rFonts w:hint="eastAsia" w:ascii="宋体" w:hAnsi="宋体" w:cs="宋体"/>
          <w:b/>
          <w:color w:val="auto"/>
          <w:lang w:val="en-US" w:eastAsia="zh-CN"/>
        </w:rPr>
        <w:t>询价采购</w:t>
      </w:r>
      <w:r>
        <w:rPr>
          <w:rFonts w:hint="eastAsia" w:ascii="宋体" w:hAnsi="宋体" w:cs="宋体"/>
          <w:b/>
          <w:color w:val="auto"/>
        </w:rPr>
        <w:t>文件其他部分有冲突，应按</w:t>
      </w:r>
      <w:r>
        <w:rPr>
          <w:rFonts w:hint="eastAsia" w:ascii="宋体" w:hAnsi="宋体" w:cs="宋体"/>
          <w:b/>
          <w:color w:val="auto"/>
          <w:lang w:val="en-US" w:eastAsia="zh-CN"/>
        </w:rPr>
        <w:t>询价采购</w:t>
      </w:r>
      <w:r>
        <w:rPr>
          <w:rFonts w:hint="eastAsia" w:ascii="宋体" w:hAnsi="宋体" w:cs="宋体"/>
          <w:b/>
          <w:color w:val="auto"/>
        </w:rPr>
        <w:t>文件的其他部分为准编制</w:t>
      </w:r>
      <w:r>
        <w:rPr>
          <w:rFonts w:hint="eastAsia" w:ascii="宋体" w:hAnsi="宋体" w:cs="宋体"/>
          <w:b/>
          <w:color w:val="auto"/>
          <w:lang w:val="en-US" w:eastAsia="zh-CN"/>
        </w:rPr>
        <w:t>合同</w:t>
      </w:r>
      <w:r>
        <w:rPr>
          <w:rFonts w:hint="eastAsia" w:ascii="宋体" w:hAnsi="宋体" w:cs="宋体"/>
          <w:b/>
          <w:color w:val="auto"/>
        </w:rPr>
        <w:t>。合同版本与条款以甲方最新合同模板为准。</w:t>
      </w:r>
    </w:p>
    <w:p w14:paraId="47BCF1B2">
      <w:pPr>
        <w:rPr>
          <w:rFonts w:hint="eastAsia" w:ascii="宋体" w:hAnsi="宋体" w:cs="宋体"/>
          <w:b/>
          <w:color w:val="auto"/>
        </w:rPr>
      </w:pPr>
      <w:r>
        <w:rPr>
          <w:rFonts w:hint="eastAsia" w:ascii="宋体" w:hAnsi="宋体" w:cs="宋体"/>
          <w:b/>
          <w:color w:val="auto"/>
        </w:rPr>
        <w:br w:type="page"/>
      </w:r>
    </w:p>
    <w:p w14:paraId="7AE20123">
      <w:pPr>
        <w:spacing w:line="360" w:lineRule="auto"/>
        <w:jc w:val="center"/>
        <w:rPr>
          <w:rFonts w:ascii="宋体" w:hAnsi="宋体" w:eastAsia="宋体" w:cs="宋体"/>
          <w:bCs/>
          <w:color w:val="000000"/>
          <w:szCs w:val="21"/>
        </w:rPr>
      </w:pPr>
      <w:r>
        <w:rPr>
          <w:rFonts w:hint="eastAsia" w:ascii="宋体" w:hAnsi="宋体" w:cs="宋体"/>
          <w:szCs w:val="21"/>
          <w:lang w:eastAsia="zh-CN"/>
        </w:rPr>
        <w:t>今日广东国际传播中心团体意外险项目</w:t>
      </w:r>
      <w:r>
        <w:rPr>
          <w:rFonts w:hint="eastAsia" w:ascii="宋体" w:hAnsi="宋体" w:eastAsia="宋体" w:cs="宋体"/>
          <w:szCs w:val="21"/>
        </w:rPr>
        <w:t>合同</w:t>
      </w:r>
    </w:p>
    <w:p w14:paraId="7AE3760A">
      <w:pPr>
        <w:pStyle w:val="3"/>
        <w:spacing w:line="360" w:lineRule="auto"/>
        <w:ind w:left="422" w:leftChars="20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一、保险期间和保险生效日</w:t>
      </w:r>
    </w:p>
    <w:p w14:paraId="670BE232">
      <w:pPr>
        <w:pStyle w:val="3"/>
        <w:spacing w:line="360" w:lineRule="auto"/>
        <w:ind w:firstLine="422" w:firstLineChars="20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协议的有效期间为一年，每年出具一份保险单，保险生效日以签发保单上载明的生效日期为准，保险人自保险单上所记载的保险期间起始日开始承担相应保险责任。本协议有效期满后，投保人可以重新投保（或续保），并按规定交纳保险费，保险人签发新保险单。</w:t>
      </w:r>
    </w:p>
    <w:p w14:paraId="406FB5B3">
      <w:pPr>
        <w:pStyle w:val="3"/>
        <w:spacing w:line="360" w:lineRule="auto"/>
        <w:ind w:firstLine="422" w:firstLineChars="20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重新投保（或续保）时，投保人与保险人可协商调整保险费。</w:t>
      </w:r>
    </w:p>
    <w:p w14:paraId="1A78AF55">
      <w:pPr>
        <w:pStyle w:val="3"/>
        <w:numPr>
          <w:ilvl w:val="0"/>
          <w:numId w:val="9"/>
        </w:numPr>
        <w:spacing w:line="360" w:lineRule="auto"/>
        <w:ind w:left="0" w:leftChars="0" w:firstLine="420"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保险金额和保险费</w:t>
      </w:r>
      <w:r>
        <w:rPr>
          <w:rFonts w:hint="eastAsia" w:asciiTheme="minorEastAsia" w:hAnsiTheme="minorEastAsia" w:eastAsiaTheme="minorEastAsia" w:cstheme="minorEastAsia"/>
          <w:b/>
          <w:sz w:val="21"/>
          <w:szCs w:val="21"/>
        </w:rPr>
        <w:tab/>
      </w:r>
    </w:p>
    <w:p w14:paraId="0BE2D1F9">
      <w:pPr>
        <w:pStyle w:val="3"/>
        <w:spacing w:line="360" w:lineRule="auto"/>
        <w:ind w:firstLine="422" w:firstLineChars="201"/>
        <w:rPr>
          <w:rFonts w:hint="default" w:asciiTheme="minorEastAsia" w:hAnsiTheme="minorEastAsia" w:eastAsiaTheme="minorEastAsia" w:cstheme="minorEastAsia"/>
          <w:sz w:val="21"/>
          <w:szCs w:val="21"/>
          <w:lang w:val="en-US" w:eastAsia="zh-CN"/>
        </w:rPr>
      </w:pPr>
      <w:r>
        <w:rPr>
          <w:rFonts w:hint="eastAsia" w:ascii="仿宋_GB2312" w:hAnsi="仿宋_GB2312" w:eastAsia="仿宋_GB2312" w:cs="仿宋_GB2312"/>
          <w:b/>
          <w:bCs/>
          <w:kern w:val="2"/>
          <w:sz w:val="21"/>
          <w:szCs w:val="21"/>
          <w:lang w:val="en-US" w:eastAsia="zh-CN" w:bidi="ar-SA"/>
        </w:rPr>
        <w:t xml:space="preserve"> </w:t>
      </w:r>
      <w:r>
        <w:rPr>
          <w:rFonts w:hint="eastAsia" w:asciiTheme="minorEastAsia" w:hAnsiTheme="minorEastAsia" w:eastAsiaTheme="minorEastAsia" w:cstheme="minorEastAsia"/>
          <w:sz w:val="21"/>
          <w:szCs w:val="21"/>
          <w:lang w:val="en-US" w:eastAsia="zh-CN"/>
        </w:rPr>
        <w:t>1.一般职工</w:t>
      </w:r>
      <w:r>
        <w:rPr>
          <w:rFonts w:hint="eastAsia" w:asciiTheme="minorEastAsia" w:hAnsiTheme="minorEastAsia" w:cstheme="minorEastAsia"/>
          <w:sz w:val="21"/>
          <w:szCs w:val="21"/>
          <w:lang w:val="en-US" w:eastAsia="zh-CN"/>
        </w:rPr>
        <w:t>（正式员工、见习员工）</w:t>
      </w:r>
    </w:p>
    <w:tbl>
      <w:tblPr>
        <w:tblStyle w:val="42"/>
        <w:tblW w:w="9543" w:type="dxa"/>
        <w:tblInd w:w="-3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555"/>
        <w:gridCol w:w="6496"/>
        <w:gridCol w:w="911"/>
      </w:tblGrid>
      <w:tr w14:paraId="4BFE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noWrap w:val="0"/>
            <w:vAlign w:val="center"/>
          </w:tcPr>
          <w:p w14:paraId="769F9F2A">
            <w:pPr>
              <w:pStyle w:val="3"/>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序号</w:t>
            </w:r>
          </w:p>
        </w:tc>
        <w:tc>
          <w:tcPr>
            <w:tcW w:w="1555" w:type="dxa"/>
            <w:noWrap w:val="0"/>
            <w:vAlign w:val="center"/>
          </w:tcPr>
          <w:p w14:paraId="500B5E89">
            <w:pPr>
              <w:pStyle w:val="3"/>
              <w:spacing w:line="360" w:lineRule="auto"/>
              <w:ind w:firstLine="422" w:firstLineChars="201"/>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险种</w:t>
            </w:r>
          </w:p>
        </w:tc>
        <w:tc>
          <w:tcPr>
            <w:tcW w:w="6496" w:type="dxa"/>
            <w:noWrap w:val="0"/>
            <w:vAlign w:val="center"/>
          </w:tcPr>
          <w:p w14:paraId="0F8E16CC">
            <w:pPr>
              <w:pStyle w:val="3"/>
              <w:spacing w:line="360" w:lineRule="auto"/>
              <w:ind w:firstLine="422" w:firstLineChars="201"/>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具体情况</w:t>
            </w:r>
          </w:p>
        </w:tc>
        <w:tc>
          <w:tcPr>
            <w:tcW w:w="911" w:type="dxa"/>
            <w:noWrap w:val="0"/>
            <w:vAlign w:val="center"/>
          </w:tcPr>
          <w:p w14:paraId="75244673">
            <w:pPr>
              <w:pStyle w:val="3"/>
              <w:spacing w:line="360" w:lineRule="auto"/>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每人保险费</w:t>
            </w:r>
          </w:p>
        </w:tc>
      </w:tr>
      <w:tr w14:paraId="468B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581" w:type="dxa"/>
            <w:noWrap w:val="0"/>
            <w:vAlign w:val="center"/>
          </w:tcPr>
          <w:p w14:paraId="652E3E72">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1555" w:type="dxa"/>
            <w:noWrap w:val="0"/>
            <w:vAlign w:val="center"/>
          </w:tcPr>
          <w:p w14:paraId="4A9CD106">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意外身故及伤残保障30万元</w:t>
            </w:r>
          </w:p>
        </w:tc>
        <w:tc>
          <w:tcPr>
            <w:tcW w:w="6496" w:type="dxa"/>
            <w:noWrap w:val="0"/>
            <w:vAlign w:val="center"/>
          </w:tcPr>
          <w:p w14:paraId="1F6BB2E0">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被保险人因意外伤害事件导致身故，保险公司给付保险金30万元。因意外伤害事件导致残疾，保险公司根据其残疾鉴定等级给付保险金，最高给付30万元。</w:t>
            </w:r>
          </w:p>
        </w:tc>
        <w:tc>
          <w:tcPr>
            <w:tcW w:w="911" w:type="dxa"/>
            <w:vMerge w:val="restart"/>
            <w:noWrap w:val="0"/>
            <w:vAlign w:val="center"/>
          </w:tcPr>
          <w:p w14:paraId="0762622E">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元/年/人</w:t>
            </w:r>
          </w:p>
        </w:tc>
      </w:tr>
      <w:tr w14:paraId="3167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noWrap w:val="0"/>
            <w:vAlign w:val="center"/>
          </w:tcPr>
          <w:p w14:paraId="617D57C5">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p>
        </w:tc>
        <w:tc>
          <w:tcPr>
            <w:tcW w:w="1555" w:type="dxa"/>
            <w:noWrap w:val="0"/>
            <w:vAlign w:val="center"/>
          </w:tcPr>
          <w:p w14:paraId="6AE0AD13">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意外医疗保障3万元</w:t>
            </w:r>
          </w:p>
        </w:tc>
        <w:tc>
          <w:tcPr>
            <w:tcW w:w="6496" w:type="dxa"/>
            <w:noWrap w:val="0"/>
            <w:vAlign w:val="center"/>
          </w:tcPr>
          <w:p w14:paraId="295E8FBC">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被保险人无论一次或多次遭受意外伤害，在二级以上（含二级）医院诊疗所支出的、符合当地社会医疗保险主管部门规定可报销的医疗费用（包含意外门诊与意外住院），每次按100%给付医疗保险金，最高给付3万元。</w:t>
            </w:r>
          </w:p>
        </w:tc>
        <w:tc>
          <w:tcPr>
            <w:tcW w:w="911" w:type="dxa"/>
            <w:vMerge w:val="continue"/>
            <w:noWrap w:val="0"/>
            <w:vAlign w:val="center"/>
          </w:tcPr>
          <w:p w14:paraId="6094A8CC">
            <w:pPr>
              <w:pStyle w:val="3"/>
              <w:spacing w:line="360" w:lineRule="auto"/>
              <w:jc w:val="left"/>
              <w:rPr>
                <w:rFonts w:hint="eastAsia" w:asciiTheme="minorEastAsia" w:hAnsiTheme="minorEastAsia" w:eastAsiaTheme="minorEastAsia" w:cstheme="minorEastAsia"/>
                <w:sz w:val="21"/>
                <w:szCs w:val="21"/>
              </w:rPr>
            </w:pPr>
          </w:p>
        </w:tc>
      </w:tr>
      <w:tr w14:paraId="2BEBC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noWrap w:val="0"/>
            <w:vAlign w:val="center"/>
          </w:tcPr>
          <w:p w14:paraId="2086D635">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3</w:t>
            </w:r>
          </w:p>
        </w:tc>
        <w:tc>
          <w:tcPr>
            <w:tcW w:w="1555" w:type="dxa"/>
            <w:noWrap w:val="0"/>
            <w:vAlign w:val="center"/>
          </w:tcPr>
          <w:p w14:paraId="00CBC249">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50种重大疾病保障20万元</w:t>
            </w:r>
          </w:p>
        </w:tc>
        <w:tc>
          <w:tcPr>
            <w:tcW w:w="6496" w:type="dxa"/>
            <w:noWrap w:val="0"/>
            <w:vAlign w:val="center"/>
          </w:tcPr>
          <w:p w14:paraId="4734E08F">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被保险人在等待期后初次发生并经专科医生明确诊断患本合同中的重大疾病(无论一种或多种),该员工保险责任终止，重大疾病保险金额一次性给付(首次参保有疾病等待期30天，续保无等待期 )</w:t>
            </w:r>
          </w:p>
        </w:tc>
        <w:tc>
          <w:tcPr>
            <w:tcW w:w="911" w:type="dxa"/>
            <w:vMerge w:val="continue"/>
            <w:noWrap w:val="0"/>
            <w:vAlign w:val="center"/>
          </w:tcPr>
          <w:p w14:paraId="4A8D76DC">
            <w:pPr>
              <w:pStyle w:val="3"/>
              <w:spacing w:line="360" w:lineRule="auto"/>
              <w:jc w:val="left"/>
              <w:rPr>
                <w:rFonts w:hint="eastAsia" w:asciiTheme="minorEastAsia" w:hAnsiTheme="minorEastAsia" w:eastAsiaTheme="minorEastAsia" w:cstheme="minorEastAsia"/>
                <w:sz w:val="21"/>
                <w:szCs w:val="21"/>
                <w:lang w:val="en-US" w:eastAsia="zh-CN"/>
              </w:rPr>
            </w:pPr>
          </w:p>
        </w:tc>
      </w:tr>
      <w:tr w14:paraId="620D4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noWrap w:val="0"/>
            <w:vAlign w:val="center"/>
          </w:tcPr>
          <w:p w14:paraId="32EA141E">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4</w:t>
            </w:r>
          </w:p>
        </w:tc>
        <w:tc>
          <w:tcPr>
            <w:tcW w:w="1555" w:type="dxa"/>
            <w:noWrap w:val="0"/>
            <w:vAlign w:val="center"/>
          </w:tcPr>
          <w:p w14:paraId="3FB8576E">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疾病医疗保障3万元</w:t>
            </w:r>
          </w:p>
        </w:tc>
        <w:tc>
          <w:tcPr>
            <w:tcW w:w="6496" w:type="dxa"/>
            <w:noWrap w:val="0"/>
            <w:vAlign w:val="center"/>
          </w:tcPr>
          <w:p w14:paraId="48BAE646">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员工在首次投保30天等侍期后(按照本公司相关规定续保的，续保保险间内不受等待期的限制)若员工发生疾病就医住院已使用医保剩余符合条款约定的医疗保险金给付的免赔额为0元，社保目录内用药给付比例为100%;若员工发生疾病就医住院未使用医保或其他途径获得赔偿的，约 定符合条款约定的医疗保险金给付的免 赔额为100元，社保目录内用药给付比例为50%</w:t>
            </w:r>
            <w:r>
              <w:rPr>
                <w:rFonts w:hint="eastAsia" w:asciiTheme="minorEastAsia" w:hAnsiTheme="minorEastAsia" w:cstheme="minorEastAsia"/>
                <w:sz w:val="21"/>
                <w:szCs w:val="21"/>
                <w:lang w:val="en-US" w:eastAsia="zh-CN"/>
              </w:rPr>
              <w:t>。</w:t>
            </w:r>
          </w:p>
        </w:tc>
        <w:tc>
          <w:tcPr>
            <w:tcW w:w="911" w:type="dxa"/>
            <w:vMerge w:val="continue"/>
            <w:noWrap w:val="0"/>
            <w:vAlign w:val="center"/>
          </w:tcPr>
          <w:p w14:paraId="4549403A">
            <w:pPr>
              <w:pStyle w:val="3"/>
              <w:spacing w:line="360" w:lineRule="auto"/>
              <w:jc w:val="left"/>
              <w:rPr>
                <w:rFonts w:hint="eastAsia" w:asciiTheme="minorEastAsia" w:hAnsiTheme="minorEastAsia" w:eastAsiaTheme="minorEastAsia" w:cstheme="minorEastAsia"/>
                <w:sz w:val="21"/>
                <w:szCs w:val="21"/>
                <w:lang w:val="en-US" w:eastAsia="zh-CN"/>
              </w:rPr>
            </w:pPr>
          </w:p>
        </w:tc>
      </w:tr>
      <w:tr w14:paraId="5EAB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noWrap w:val="0"/>
            <w:vAlign w:val="center"/>
          </w:tcPr>
          <w:p w14:paraId="0D7ACDE0">
            <w:pPr>
              <w:pStyle w:val="3"/>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5</w:t>
            </w:r>
          </w:p>
        </w:tc>
        <w:tc>
          <w:tcPr>
            <w:tcW w:w="1555" w:type="dxa"/>
            <w:noWrap w:val="0"/>
            <w:vAlign w:val="center"/>
          </w:tcPr>
          <w:p w14:paraId="45FEDB86">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意外住院津贴赔付200元/天</w:t>
            </w:r>
          </w:p>
        </w:tc>
        <w:tc>
          <w:tcPr>
            <w:tcW w:w="6496" w:type="dxa"/>
            <w:noWrap w:val="0"/>
            <w:vAlign w:val="center"/>
          </w:tcPr>
          <w:p w14:paraId="5E4B9302">
            <w:pPr>
              <w:pStyle w:val="3"/>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被保险人遭受意外伤害，并因该意外伤害在二级以上(含二级)医院或保险公司认可的其他医疗机构住院治疗，按200元/天乘以实际住院日数给付保险金，每次住院的给付日数以九十日为限。多次住院的，累计给付日数以一百八十日为限。</w:t>
            </w:r>
          </w:p>
        </w:tc>
        <w:tc>
          <w:tcPr>
            <w:tcW w:w="911" w:type="dxa"/>
            <w:vMerge w:val="continue"/>
            <w:noWrap w:val="0"/>
            <w:vAlign w:val="center"/>
          </w:tcPr>
          <w:p w14:paraId="7708C44D">
            <w:pPr>
              <w:pStyle w:val="3"/>
              <w:spacing w:line="360" w:lineRule="auto"/>
              <w:jc w:val="left"/>
              <w:rPr>
                <w:rFonts w:hint="eastAsia" w:asciiTheme="minorEastAsia" w:hAnsiTheme="minorEastAsia" w:eastAsiaTheme="minorEastAsia" w:cstheme="minorEastAsia"/>
                <w:sz w:val="21"/>
                <w:szCs w:val="21"/>
                <w:lang w:val="en-US" w:eastAsia="zh-CN"/>
              </w:rPr>
            </w:pPr>
          </w:p>
        </w:tc>
      </w:tr>
    </w:tbl>
    <w:p w14:paraId="41526BF2">
      <w:pPr>
        <w:pStyle w:val="3"/>
        <w:spacing w:line="360" w:lineRule="auto"/>
        <w:ind w:firstLine="422" w:firstLineChars="201"/>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实习生</w:t>
      </w:r>
    </w:p>
    <w:tbl>
      <w:tblPr>
        <w:tblStyle w:val="110"/>
        <w:tblW w:w="9525" w:type="dxa"/>
        <w:tblInd w:w="-4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18"/>
        <w:gridCol w:w="1519"/>
        <w:gridCol w:w="6506"/>
        <w:gridCol w:w="882"/>
      </w:tblGrid>
      <w:tr w14:paraId="63ECB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618" w:type="dxa"/>
            <w:vAlign w:val="center"/>
          </w:tcPr>
          <w:p w14:paraId="2066DA24">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序号</w:t>
            </w:r>
          </w:p>
        </w:tc>
        <w:tc>
          <w:tcPr>
            <w:tcW w:w="1519" w:type="dxa"/>
            <w:vAlign w:val="center"/>
          </w:tcPr>
          <w:p w14:paraId="14A0D35B">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险种</w:t>
            </w:r>
          </w:p>
        </w:tc>
        <w:tc>
          <w:tcPr>
            <w:tcW w:w="6506" w:type="dxa"/>
            <w:vAlign w:val="center"/>
          </w:tcPr>
          <w:p w14:paraId="3B7B3867">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具体情况</w:t>
            </w:r>
          </w:p>
        </w:tc>
        <w:tc>
          <w:tcPr>
            <w:tcW w:w="882" w:type="dxa"/>
            <w:vAlign w:val="center"/>
          </w:tcPr>
          <w:p w14:paraId="085A274D">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每人保险费</w:t>
            </w:r>
          </w:p>
        </w:tc>
      </w:tr>
      <w:tr w14:paraId="42E12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618" w:type="dxa"/>
            <w:vAlign w:val="center"/>
          </w:tcPr>
          <w:p w14:paraId="1C5BF996">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1519" w:type="dxa"/>
            <w:vAlign w:val="center"/>
          </w:tcPr>
          <w:p w14:paraId="338A1950">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意外身故</w:t>
            </w:r>
            <w:r>
              <w:rPr>
                <w:rFonts w:hint="eastAsia" w:asciiTheme="minorEastAsia" w:hAnsiTheme="minorEastAsia" w:eastAsiaTheme="minorEastAsia" w:cstheme="minorEastAsia"/>
                <w:sz w:val="21"/>
                <w:szCs w:val="21"/>
              </w:rPr>
              <w:t>及伤残</w:t>
            </w:r>
            <w:r>
              <w:rPr>
                <w:rFonts w:hint="eastAsia" w:asciiTheme="minorEastAsia" w:hAnsiTheme="minorEastAsia" w:eastAsiaTheme="minorEastAsia" w:cstheme="minorEastAsia"/>
                <w:sz w:val="21"/>
                <w:szCs w:val="21"/>
                <w:lang w:val="en-US" w:eastAsia="zh-CN"/>
              </w:rPr>
              <w:t>保障30万元</w:t>
            </w:r>
          </w:p>
        </w:tc>
        <w:tc>
          <w:tcPr>
            <w:tcW w:w="6506" w:type="dxa"/>
            <w:vAlign w:val="center"/>
          </w:tcPr>
          <w:p w14:paraId="32C0C6A6">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被保险人因意外伤害事件导致身故，保险公司给付保险金30万元。因意外伤害事件导致残疾，保险公司根据其残疾鉴定等级给付保险金，最高给付30万元。</w:t>
            </w:r>
          </w:p>
        </w:tc>
        <w:tc>
          <w:tcPr>
            <w:tcW w:w="882" w:type="dxa"/>
            <w:vMerge w:val="restart"/>
            <w:vAlign w:val="center"/>
          </w:tcPr>
          <w:p w14:paraId="5FD9A1F5">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元/年/人</w:t>
            </w:r>
          </w:p>
        </w:tc>
      </w:tr>
      <w:tr w14:paraId="1C83B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618" w:type="dxa"/>
            <w:vAlign w:val="center"/>
          </w:tcPr>
          <w:p w14:paraId="2DC506EA">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p>
        </w:tc>
        <w:tc>
          <w:tcPr>
            <w:tcW w:w="1519" w:type="dxa"/>
            <w:vAlign w:val="center"/>
          </w:tcPr>
          <w:p w14:paraId="00D9CA84">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意外医疗保障3万元</w:t>
            </w:r>
          </w:p>
        </w:tc>
        <w:tc>
          <w:tcPr>
            <w:tcW w:w="6506" w:type="dxa"/>
            <w:vAlign w:val="center"/>
          </w:tcPr>
          <w:p w14:paraId="3B88A329">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被保险人无论一次或多次遭受意外伤害，在二级以上(含二级)医院诊疗所支出的、符合当地社会医疗保险主管部门规定可报销的医疗费用(包含意外门诊与意外住院),每次按100%给付医疗保险金，最高给付3万元。</w:t>
            </w:r>
          </w:p>
        </w:tc>
        <w:tc>
          <w:tcPr>
            <w:tcW w:w="882" w:type="dxa"/>
            <w:vMerge w:val="continue"/>
            <w:vAlign w:val="center"/>
          </w:tcPr>
          <w:p w14:paraId="39FC6777">
            <w:pPr>
              <w:pStyle w:val="3"/>
              <w:spacing w:line="360" w:lineRule="auto"/>
              <w:jc w:val="center"/>
              <w:rPr>
                <w:rFonts w:hint="eastAsia" w:asciiTheme="minorEastAsia" w:hAnsiTheme="minorEastAsia" w:eastAsiaTheme="minorEastAsia" w:cstheme="minorEastAsia"/>
                <w:sz w:val="21"/>
                <w:szCs w:val="21"/>
                <w:lang w:val="en-US" w:eastAsia="zh-CN"/>
              </w:rPr>
            </w:pPr>
          </w:p>
        </w:tc>
      </w:tr>
      <w:tr w14:paraId="59D05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618" w:type="dxa"/>
            <w:vAlign w:val="center"/>
          </w:tcPr>
          <w:p w14:paraId="5F6176D4">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3</w:t>
            </w:r>
          </w:p>
        </w:tc>
        <w:tc>
          <w:tcPr>
            <w:tcW w:w="1519" w:type="dxa"/>
            <w:vAlign w:val="center"/>
          </w:tcPr>
          <w:p w14:paraId="257EB637">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意外住院津贴赔付至少150元/天</w:t>
            </w:r>
          </w:p>
        </w:tc>
        <w:tc>
          <w:tcPr>
            <w:tcW w:w="6506" w:type="dxa"/>
            <w:vAlign w:val="center"/>
          </w:tcPr>
          <w:p w14:paraId="4610B828">
            <w:pPr>
              <w:pStyle w:val="3"/>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被保险人遭受意外伤害，并因该意外伤害在二级以上(含二级)医院或保险公司认可的其他医疗机构住院治疗，按至少150元/天乘以实际住院日数给付保险金，每次住院的给付日数以九十日为限。多次住院的，累计给付日数以一百八十日为限。</w:t>
            </w:r>
          </w:p>
        </w:tc>
        <w:tc>
          <w:tcPr>
            <w:tcW w:w="882" w:type="dxa"/>
            <w:vMerge w:val="continue"/>
            <w:vAlign w:val="center"/>
          </w:tcPr>
          <w:p w14:paraId="1AD6FF96">
            <w:pPr>
              <w:pStyle w:val="3"/>
              <w:spacing w:line="360" w:lineRule="auto"/>
              <w:jc w:val="center"/>
              <w:rPr>
                <w:rFonts w:hint="eastAsia" w:asciiTheme="minorEastAsia" w:hAnsiTheme="minorEastAsia" w:eastAsiaTheme="minorEastAsia" w:cstheme="minorEastAsia"/>
                <w:sz w:val="21"/>
                <w:szCs w:val="21"/>
                <w:lang w:val="en-US" w:eastAsia="zh-CN"/>
              </w:rPr>
            </w:pPr>
          </w:p>
        </w:tc>
      </w:tr>
    </w:tbl>
    <w:p w14:paraId="135680A6">
      <w:pPr>
        <w:pStyle w:val="3"/>
        <w:numPr>
          <w:ilvl w:val="0"/>
          <w:numId w:val="0"/>
        </w:numPr>
        <w:spacing w:line="360" w:lineRule="auto"/>
        <w:ind w:leftChars="200"/>
        <w:rPr>
          <w:rFonts w:hint="eastAsia" w:asciiTheme="minorEastAsia" w:hAnsiTheme="minorEastAsia" w:eastAsiaTheme="minorEastAsia" w:cstheme="minorEastAsia"/>
          <w:b/>
          <w:sz w:val="21"/>
          <w:szCs w:val="21"/>
        </w:rPr>
      </w:pPr>
    </w:p>
    <w:p w14:paraId="284724C1">
      <w:pPr>
        <w:pStyle w:val="3"/>
        <w:spacing w:line="360" w:lineRule="auto"/>
        <w:ind w:left="420" w:left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三、被保险人结算模式</w:t>
      </w:r>
    </w:p>
    <w:p w14:paraId="5BE31D44">
      <w:pPr>
        <w:pStyle w:val="3"/>
        <w:spacing w:line="360" w:lineRule="auto"/>
        <w:ind w:left="420" w:left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（一）结算周期及内容：</w:t>
      </w:r>
    </w:p>
    <w:p w14:paraId="1AF1B1F5">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（1）双方确定12个月为一个结算周期，最后一个结算周期届满日期为保单满期日。乙方在结算周期内受理甲方的保全变更申请。</w:t>
      </w:r>
    </w:p>
    <w:p w14:paraId="5FD82835">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双方确定就本协议所约定的团体人身险短期保险，在保单有效期间内，设定特殊的资金结算机制。定期就该保单下增加被保险人、减少被保险人、保障变更（包括增加保额、减少保额、增加附约、减少附约、层级变更）、短期险人员变更、职业变更、月薪变更申请所发生的应缴/应退保费进行资金结算。</w:t>
      </w:r>
    </w:p>
    <w:p w14:paraId="55D3E8FA">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（3）协议签订后，不再采用逐笔缴费/退费的方式，而是达到</w:t>
      </w:r>
      <w:r>
        <w:rPr>
          <w:rFonts w:hint="eastAsia" w:asciiTheme="minorEastAsia" w:hAnsiTheme="minorEastAsia" w:cstheme="minorEastAsia"/>
          <w:sz w:val="21"/>
          <w:szCs w:val="21"/>
          <w:lang w:val="en-US" w:eastAsia="zh-CN"/>
        </w:rPr>
        <w:t>半年</w:t>
      </w:r>
      <w:r>
        <w:rPr>
          <w:rFonts w:hint="eastAsia" w:asciiTheme="minorEastAsia" w:hAnsiTheme="minorEastAsia" w:eastAsiaTheme="minorEastAsia" w:cstheme="minorEastAsia"/>
          <w:sz w:val="21"/>
          <w:szCs w:val="21"/>
        </w:rPr>
        <w:t>结算周期后，通过一次性结算方式完成保费的划转。</w:t>
      </w:r>
    </w:p>
    <w:p w14:paraId="57294444">
      <w:pPr>
        <w:pStyle w:val="3"/>
        <w:spacing w:line="360" w:lineRule="auto"/>
        <w:ind w:left="420" w:left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（二）结算方式：</w:t>
      </w:r>
    </w:p>
    <w:p w14:paraId="021490CD">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（1）在合同有效期间内，被保险人的变动按如下规定处理：投保人因其在职人员的变动需要增加被保险人的，每月一次向保险人提出申请，并提交“人员增减员花名册”。</w:t>
      </w:r>
    </w:p>
    <w:p w14:paraId="53F84550">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交费方式为趸交，即签订合同后，根据投保人员名单一次性缴纳保险费，定期人员变更的，则在达到结算周期后再统一进行结算。投保人因其在职人员的变动需要增加或减少被保险人的，每月一次向保险人提出申请，经保险人审核并按增加人员受保期保险费短期收费标准（受保期保险费=年交保险费×本协议需承保天数÷365）收取相应的保险费。</w:t>
      </w:r>
    </w:p>
    <w:p w14:paraId="38FB21A6">
      <w:pPr>
        <w:tabs>
          <w:tab w:val="left" w:pos="420"/>
          <w:tab w:val="left" w:pos="567"/>
          <w:tab w:val="left" w:pos="630"/>
        </w:tabs>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（三）服务收费：</w:t>
      </w:r>
    </w:p>
    <w:p w14:paraId="42FC46A8">
      <w:pPr>
        <w:tabs>
          <w:tab w:val="left" w:pos="420"/>
          <w:tab w:val="left" w:pos="567"/>
          <w:tab w:val="left" w:pos="630"/>
        </w:tabs>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乙方所报金额应包含为服务所需支付所有必要的开支及合理的利润，包括差旅费及其它相关费用。</w:t>
      </w:r>
    </w:p>
    <w:p w14:paraId="2E585040">
      <w:pPr>
        <w:pStyle w:val="3"/>
        <w:numPr>
          <w:ilvl w:val="0"/>
          <w:numId w:val="12"/>
        </w:numPr>
        <w:spacing w:line="360" w:lineRule="auto"/>
        <w:ind w:left="420" w:left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其他补充说明</w:t>
      </w:r>
    </w:p>
    <w:p w14:paraId="74A879CF">
      <w:pPr>
        <w:widowControl/>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《第四章 合同主要条款》须在双方签订的合同上体现，合同最终签订的样式及内容以甲乙双方达成一致意见为准。</w:t>
      </w:r>
      <w:r>
        <w:rPr>
          <w:rFonts w:hint="eastAsia" w:asciiTheme="minorEastAsia" w:hAnsiTheme="minorEastAsia" w:eastAsiaTheme="minorEastAsia" w:cstheme="minorEastAsia"/>
          <w:sz w:val="21"/>
          <w:szCs w:val="21"/>
        </w:rPr>
        <w:br w:type="page"/>
      </w:r>
    </w:p>
    <w:p w14:paraId="03CA7A55">
      <w:pPr>
        <w:pStyle w:val="22"/>
        <w:tabs>
          <w:tab w:val="left" w:pos="630"/>
        </w:tabs>
        <w:snapToGrid w:val="0"/>
        <w:spacing w:line="440" w:lineRule="exact"/>
        <w:ind w:firstLine="424" w:firstLineChars="202"/>
        <w:rPr>
          <w:rFonts w:hint="eastAsia" w:ascii="宋体" w:hAnsi="宋体" w:eastAsia="宋体" w:cs="宋体"/>
          <w:bCs/>
          <w:highlight w:val="none"/>
        </w:rPr>
      </w:pPr>
    </w:p>
    <w:p w14:paraId="098E7301">
      <w:pPr>
        <w:pStyle w:val="52"/>
        <w:snapToGrid w:val="0"/>
        <w:spacing w:before="120" w:after="120"/>
        <w:rPr>
          <w:rFonts w:hint="eastAsia" w:ascii="宋体" w:hAnsi="宋体" w:eastAsia="宋体" w:cs="宋体"/>
          <w:b/>
          <w:bCs w:val="0"/>
          <w:kern w:val="0"/>
          <w:sz w:val="28"/>
          <w:szCs w:val="28"/>
          <w:highlight w:val="none"/>
        </w:rPr>
      </w:pPr>
      <w:bookmarkStart w:id="86" w:name="_Toc7537"/>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六</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响应</w:t>
      </w:r>
      <w:r>
        <w:rPr>
          <w:rFonts w:hint="eastAsia" w:ascii="宋体" w:hAnsi="宋体" w:eastAsia="宋体" w:cs="宋体"/>
          <w:b/>
          <w:bCs w:val="0"/>
          <w:kern w:val="0"/>
          <w:sz w:val="28"/>
          <w:szCs w:val="28"/>
          <w:highlight w:val="none"/>
        </w:rPr>
        <w:t>文件格式</w:t>
      </w:r>
      <w:bookmarkEnd w:id="76"/>
      <w:bookmarkEnd w:id="77"/>
      <w:bookmarkEnd w:id="78"/>
      <w:bookmarkEnd w:id="86"/>
    </w:p>
    <w:p w14:paraId="55E3B187">
      <w:pPr>
        <w:pStyle w:val="53"/>
        <w:widowControl/>
        <w:spacing w:before="156" w:beforeLines="50" w:after="156" w:afterLines="50" w:line="360" w:lineRule="auto"/>
        <w:ind w:left="720" w:firstLine="0" w:firstLineChars="0"/>
        <w:jc w:val="left"/>
        <w:rPr>
          <w:rFonts w:hint="eastAsia" w:ascii="宋体" w:hAnsi="宋体" w:eastAsia="宋体" w:cs="宋体"/>
          <w:b/>
          <w:szCs w:val="21"/>
          <w:highlight w:val="none"/>
        </w:rPr>
      </w:pPr>
    </w:p>
    <w:p w14:paraId="59649916">
      <w:pPr>
        <w:widowControl/>
        <w:jc w:val="left"/>
        <w:rPr>
          <w:rFonts w:hint="eastAsia" w:ascii="宋体" w:hAnsi="宋体" w:eastAsia="宋体" w:cs="宋体"/>
          <w:b/>
          <w:sz w:val="24"/>
          <w:highlight w:val="none"/>
        </w:rPr>
      </w:pPr>
      <w:r>
        <w:rPr>
          <w:rFonts w:hint="eastAsia" w:ascii="宋体" w:hAnsi="宋体" w:eastAsia="宋体" w:cs="宋体"/>
          <w:b/>
          <w:sz w:val="24"/>
          <w:highlight w:val="none"/>
        </w:rPr>
        <w:br w:type="page"/>
      </w:r>
    </w:p>
    <w:p w14:paraId="3FF2B767">
      <w:pPr>
        <w:pStyle w:val="5"/>
        <w:pageBreakBefore w:val="0"/>
        <w:widowControl w:val="0"/>
        <w:numPr>
          <w:ilvl w:val="1"/>
          <w:numId w:val="13"/>
        </w:numPr>
        <w:kinsoku/>
        <w:wordWrap/>
        <w:overflowPunct/>
        <w:topLinePunct w:val="0"/>
        <w:autoSpaceDE/>
        <w:autoSpaceDN/>
        <w:bidi w:val="0"/>
        <w:adjustRightInd/>
        <w:snapToGrid/>
        <w:spacing w:line="240" w:lineRule="auto"/>
        <w:textAlignment w:val="auto"/>
        <w:rPr>
          <w:rFonts w:hint="eastAsia" w:ascii="宋体" w:hAnsi="宋体" w:eastAsia="宋体" w:cs="宋体"/>
          <w:highlight w:val="none"/>
        </w:rPr>
      </w:pPr>
      <w:bookmarkStart w:id="87" w:name="_Toc32326"/>
      <w:bookmarkStart w:id="88" w:name="_Toc16248"/>
      <w:r>
        <w:rPr>
          <w:rFonts w:hint="eastAsia" w:ascii="宋体" w:hAnsi="宋体" w:eastAsia="宋体" w:cs="宋体"/>
          <w:highlight w:val="none"/>
        </w:rPr>
        <w:t>应答函</w:t>
      </w:r>
      <w:bookmarkEnd w:id="87"/>
      <w:bookmarkEnd w:id="88"/>
    </w:p>
    <w:p w14:paraId="6101E0C7">
      <w:pPr>
        <w:pStyle w:val="53"/>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7F8C4126">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144140B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439FE017">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7A5FB84E">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7435F675">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564188C8">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0A27B824">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开具增值税发票</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2A5F7A4D">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F606A05">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不</w:t>
      </w:r>
      <w:r>
        <w:rPr>
          <w:rFonts w:hint="eastAsia" w:ascii="宋体" w:hAnsi="宋体" w:eastAsia="宋体" w:cs="宋体"/>
          <w:szCs w:val="21"/>
          <w:highlight w:val="none"/>
        </w:rPr>
        <w:t>分包</w:t>
      </w:r>
      <w:r>
        <w:rPr>
          <w:rFonts w:hint="eastAsia" w:ascii="宋体" w:hAnsi="宋体" w:eastAsia="宋体" w:cs="宋体"/>
          <w:szCs w:val="21"/>
          <w:highlight w:val="none"/>
          <w:lang w:eastAsia="zh-CN"/>
        </w:rPr>
        <w:t>。</w:t>
      </w:r>
    </w:p>
    <w:p w14:paraId="3B102D81">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620CF2FB">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0ACFDF64">
      <w:pPr>
        <w:pStyle w:val="53"/>
        <w:numPr>
          <w:ilvl w:val="0"/>
          <w:numId w:val="15"/>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3A49C2BD">
      <w:pPr>
        <w:pStyle w:val="53"/>
        <w:numPr>
          <w:ilvl w:val="0"/>
          <w:numId w:val="15"/>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52AE0D7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60D444A5">
      <w:pPr>
        <w:pStyle w:val="53"/>
        <w:numPr>
          <w:ilvl w:val="3"/>
          <w:numId w:val="1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4FD8DE97">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08334BCA">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6AA71B5D">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F1457C3">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0E4AB417">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7621020F">
      <w:pPr>
        <w:pStyle w:val="5"/>
        <w:numPr>
          <w:ilvl w:val="1"/>
          <w:numId w:val="13"/>
        </w:numPr>
        <w:rPr>
          <w:rFonts w:hint="eastAsia" w:ascii="宋体" w:hAnsi="宋体" w:eastAsia="宋体" w:cs="宋体"/>
          <w:highlight w:val="none"/>
        </w:rPr>
      </w:pPr>
      <w:bookmarkStart w:id="89" w:name="_Toc26153"/>
      <w:bookmarkStart w:id="90" w:name="_Toc68688804"/>
      <w:bookmarkStart w:id="91" w:name="_Toc475472674"/>
      <w:bookmarkStart w:id="92" w:name="_Toc17459"/>
      <w:bookmarkStart w:id="93" w:name="_Toc56432234"/>
      <w:bookmarkStart w:id="94" w:name="_Toc1651899"/>
      <w:bookmarkStart w:id="95" w:name="_Toc8578"/>
      <w:bookmarkStart w:id="96" w:name="_Toc18365"/>
      <w:bookmarkStart w:id="97"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89"/>
      <w:bookmarkEnd w:id="90"/>
      <w:bookmarkEnd w:id="91"/>
      <w:bookmarkEnd w:id="92"/>
      <w:bookmarkEnd w:id="93"/>
      <w:bookmarkEnd w:id="94"/>
      <w:bookmarkEnd w:id="95"/>
      <w:bookmarkEnd w:id="96"/>
    </w:p>
    <w:p w14:paraId="35365E49">
      <w:pPr>
        <w:jc w:val="center"/>
        <w:rPr>
          <w:rFonts w:hint="eastAsia" w:ascii="宋体" w:hAnsi="宋体" w:eastAsia="宋体" w:cs="宋体"/>
          <w:b/>
          <w:sz w:val="24"/>
          <w:highlight w:val="none"/>
        </w:rPr>
      </w:pPr>
    </w:p>
    <w:p w14:paraId="739331F9">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43205302">
      <w:pPr>
        <w:spacing w:line="440" w:lineRule="exact"/>
        <w:rPr>
          <w:rFonts w:hint="eastAsia" w:ascii="宋体" w:hAnsi="宋体" w:eastAsia="宋体" w:cs="宋体"/>
          <w:szCs w:val="21"/>
          <w:highlight w:val="none"/>
        </w:rPr>
      </w:pPr>
    </w:p>
    <w:p w14:paraId="4225AB7C">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68CD8EDC">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5C6B5E2D">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3E61D6CE">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1A969CA2">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0046EB3E">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4F4B5B57">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739B6CF0">
      <w:pPr>
        <w:topLinePunct/>
        <w:snapToGrid w:val="0"/>
        <w:spacing w:line="440" w:lineRule="exact"/>
        <w:ind w:firstLine="420" w:firstLineChars="200"/>
        <w:rPr>
          <w:rFonts w:hint="eastAsia" w:ascii="宋体" w:hAnsi="宋体" w:eastAsia="宋体" w:cs="宋体"/>
          <w:bCs/>
          <w:szCs w:val="21"/>
          <w:highlight w:val="none"/>
        </w:rPr>
      </w:pPr>
    </w:p>
    <w:p w14:paraId="69A7EF8C">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7000E507">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745CAA5">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2745CAA5">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F873387">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2F873387">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4ECE0907">
      <w:pPr>
        <w:spacing w:line="500" w:lineRule="exact"/>
        <w:rPr>
          <w:rFonts w:hint="eastAsia" w:ascii="宋体" w:hAnsi="宋体" w:eastAsia="宋体" w:cs="宋体"/>
          <w:szCs w:val="21"/>
          <w:highlight w:val="none"/>
        </w:rPr>
      </w:pPr>
    </w:p>
    <w:p w14:paraId="06B97147">
      <w:pPr>
        <w:spacing w:line="440" w:lineRule="exact"/>
        <w:rPr>
          <w:rFonts w:hint="eastAsia" w:ascii="宋体" w:hAnsi="宋体" w:eastAsia="宋体" w:cs="宋体"/>
          <w:szCs w:val="21"/>
          <w:highlight w:val="none"/>
        </w:rPr>
      </w:pPr>
    </w:p>
    <w:p w14:paraId="423D275E">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D1C2F78">
      <w:pPr>
        <w:spacing w:line="500" w:lineRule="exact"/>
        <w:rPr>
          <w:rFonts w:hint="eastAsia" w:ascii="宋体" w:hAnsi="宋体" w:eastAsia="宋体" w:cs="宋体"/>
          <w:szCs w:val="21"/>
          <w:highlight w:val="none"/>
        </w:rPr>
      </w:pPr>
    </w:p>
    <w:p w14:paraId="50838027">
      <w:pPr>
        <w:spacing w:line="440" w:lineRule="exact"/>
        <w:rPr>
          <w:rFonts w:hint="eastAsia" w:ascii="宋体" w:hAnsi="宋体" w:eastAsia="宋体" w:cs="宋体"/>
          <w:szCs w:val="21"/>
          <w:highlight w:val="none"/>
        </w:rPr>
      </w:pPr>
    </w:p>
    <w:p w14:paraId="1C33C1DE">
      <w:pPr>
        <w:spacing w:line="500" w:lineRule="exact"/>
        <w:rPr>
          <w:rFonts w:hint="eastAsia" w:ascii="宋体" w:hAnsi="宋体" w:eastAsia="宋体" w:cs="宋体"/>
          <w:szCs w:val="21"/>
          <w:highlight w:val="none"/>
        </w:rPr>
      </w:pPr>
    </w:p>
    <w:p w14:paraId="7E7BFA7E">
      <w:pPr>
        <w:spacing w:line="440" w:lineRule="exact"/>
        <w:rPr>
          <w:rFonts w:hint="eastAsia" w:ascii="宋体" w:hAnsi="宋体" w:eastAsia="宋体" w:cs="宋体"/>
          <w:szCs w:val="21"/>
          <w:highlight w:val="none"/>
        </w:rPr>
      </w:pPr>
    </w:p>
    <w:p w14:paraId="6F813F91">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22A7C45">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1A6BC47A">
      <w:pPr>
        <w:spacing w:line="440" w:lineRule="exact"/>
        <w:ind w:firstLine="4305" w:firstLineChars="2050"/>
        <w:rPr>
          <w:rFonts w:hint="eastAsia" w:ascii="宋体" w:hAnsi="宋体" w:eastAsia="宋体" w:cs="宋体"/>
          <w:szCs w:val="21"/>
          <w:highlight w:val="none"/>
        </w:rPr>
      </w:pPr>
    </w:p>
    <w:p w14:paraId="460E4187">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7620A6F">
      <w:pPr>
        <w:topLinePunct/>
        <w:spacing w:line="440" w:lineRule="exact"/>
        <w:ind w:left="422"/>
        <w:jc w:val="left"/>
        <w:rPr>
          <w:rFonts w:hint="eastAsia" w:ascii="宋体" w:hAnsi="宋体" w:eastAsia="宋体" w:cs="宋体"/>
          <w:highlight w:val="none"/>
        </w:rPr>
      </w:pPr>
    </w:p>
    <w:p w14:paraId="7A74A1A8">
      <w:pPr>
        <w:pStyle w:val="5"/>
        <w:numPr>
          <w:ilvl w:val="1"/>
          <w:numId w:val="13"/>
        </w:numPr>
        <w:rPr>
          <w:rFonts w:hint="eastAsia" w:ascii="宋体" w:hAnsi="宋体" w:eastAsia="宋体" w:cs="宋体"/>
          <w:highlight w:val="none"/>
        </w:rPr>
      </w:pPr>
      <w:r>
        <w:rPr>
          <w:rFonts w:hint="eastAsia" w:ascii="宋体" w:hAnsi="宋体" w:eastAsia="宋体" w:cs="宋体"/>
          <w:szCs w:val="21"/>
          <w:highlight w:val="none"/>
        </w:rPr>
        <w:br w:type="page"/>
      </w:r>
      <w:bookmarkStart w:id="98" w:name="_Toc438052122"/>
      <w:bookmarkStart w:id="99" w:name="_Toc27699"/>
      <w:bookmarkStart w:id="100" w:name="_Toc68688805"/>
      <w:bookmarkStart w:id="101" w:name="_Toc8603"/>
      <w:bookmarkStart w:id="102" w:name="_Toc56432235"/>
      <w:bookmarkStart w:id="103" w:name="_Toc3806"/>
      <w:bookmarkStart w:id="104" w:name="_Toc27262"/>
      <w:bookmarkStart w:id="105" w:name="_Toc475472675"/>
      <w:bookmarkStart w:id="106" w:name="_Toc1651900"/>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98"/>
      <w:bookmarkEnd w:id="99"/>
      <w:bookmarkEnd w:id="100"/>
      <w:bookmarkEnd w:id="101"/>
      <w:bookmarkEnd w:id="102"/>
      <w:bookmarkEnd w:id="103"/>
      <w:bookmarkEnd w:id="104"/>
      <w:bookmarkEnd w:id="105"/>
      <w:bookmarkEnd w:id="106"/>
    </w:p>
    <w:p w14:paraId="041AE83D">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43F3FBC6">
      <w:pPr>
        <w:jc w:val="center"/>
        <w:rPr>
          <w:rFonts w:hint="eastAsia" w:ascii="宋体" w:hAnsi="宋体" w:eastAsia="宋体" w:cs="宋体"/>
          <w:b/>
          <w:sz w:val="24"/>
          <w:highlight w:val="none"/>
        </w:rPr>
      </w:pPr>
    </w:p>
    <w:p w14:paraId="4184CC6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049A64D8">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3B5448B4">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643AF360">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F35DB2D">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6BD03D66">
      <w:pPr>
        <w:pStyle w:val="14"/>
        <w:rPr>
          <w:rFonts w:hint="eastAsia" w:ascii="宋体" w:hAnsi="宋体" w:eastAsia="宋体" w:cs="宋体"/>
          <w:highlight w:val="none"/>
        </w:rPr>
      </w:pPr>
    </w:p>
    <w:p w14:paraId="431424F1">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24E3B1CF">
      <w:pPr>
        <w:pStyle w:val="14"/>
        <w:rPr>
          <w:rFonts w:hint="eastAsia" w:ascii="宋体" w:hAnsi="宋体" w:eastAsia="宋体" w:cs="宋体"/>
          <w:highlight w:val="none"/>
        </w:rPr>
      </w:pPr>
    </w:p>
    <w:p w14:paraId="704D2AD8">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041F8484">
      <w:pPr>
        <w:pStyle w:val="14"/>
        <w:rPr>
          <w:rFonts w:hint="eastAsia" w:ascii="宋体" w:hAnsi="宋体" w:eastAsia="宋体" w:cs="宋体"/>
          <w:highlight w:val="none"/>
        </w:rPr>
      </w:pPr>
    </w:p>
    <w:p w14:paraId="6C1010AB">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383A38F9">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A44D9BC">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66E4B7F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2715A5C">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BGPOCxKQIAAFAEAAAOAAAAAAAAAAEAIAAAACcBAABkcnMvZTJvRG9jLnhtbFBLBQYA&#10;AAAABgAGAFkBAADCBQAAAAA=&#10;">
                <v:fill on="t" focussize="0,0"/>
                <v:stroke color="#000000" joinstyle="miter"/>
                <v:imagedata o:title=""/>
                <o:lock v:ext="edit" aspectratio="f"/>
                <v:textbox>
                  <w:txbxContent>
                    <w:p w14:paraId="22715A5C">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B8945D1">
                            <w:pPr>
                              <w:jc w:val="center"/>
                              <w:rPr>
                                <w:szCs w:val="21"/>
                              </w:rPr>
                            </w:pPr>
                            <w:r>
                              <w:rPr>
                                <w:rFonts w:hint="eastAsia"/>
                                <w:szCs w:val="21"/>
                              </w:rPr>
                              <w:t>委托代理人身份证正面复印件贴于此处</w:t>
                            </w:r>
                          </w:p>
                          <w:p w14:paraId="648D1947">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3B8945D1">
                      <w:pPr>
                        <w:jc w:val="center"/>
                        <w:rPr>
                          <w:szCs w:val="21"/>
                        </w:rPr>
                      </w:pPr>
                      <w:r>
                        <w:rPr>
                          <w:rFonts w:hint="eastAsia"/>
                          <w:szCs w:val="21"/>
                        </w:rPr>
                        <w:t>委托代理人身份证正面复印件贴于此处</w:t>
                      </w:r>
                    </w:p>
                    <w:p w14:paraId="648D1947">
                      <w:pPr>
                        <w:jc w:val="center"/>
                        <w:rPr>
                          <w:szCs w:val="21"/>
                        </w:rPr>
                      </w:pPr>
                    </w:p>
                  </w:txbxContent>
                </v:textbox>
              </v:shape>
            </w:pict>
          </mc:Fallback>
        </mc:AlternateContent>
      </w:r>
    </w:p>
    <w:p w14:paraId="18EF4AF9">
      <w:pPr>
        <w:spacing w:line="440" w:lineRule="exact"/>
        <w:rPr>
          <w:rFonts w:hint="eastAsia" w:ascii="宋体" w:hAnsi="宋体" w:eastAsia="宋体" w:cs="宋体"/>
          <w:szCs w:val="21"/>
          <w:highlight w:val="none"/>
        </w:rPr>
      </w:pPr>
    </w:p>
    <w:p w14:paraId="0EDE2ADE">
      <w:pPr>
        <w:spacing w:line="500" w:lineRule="exact"/>
        <w:rPr>
          <w:rFonts w:hint="eastAsia" w:ascii="宋体" w:hAnsi="宋体" w:eastAsia="宋体" w:cs="宋体"/>
          <w:szCs w:val="21"/>
          <w:highlight w:val="none"/>
        </w:rPr>
      </w:pPr>
    </w:p>
    <w:p w14:paraId="7404F1CD">
      <w:pPr>
        <w:spacing w:line="440" w:lineRule="exact"/>
        <w:rPr>
          <w:rFonts w:hint="eastAsia" w:ascii="宋体" w:hAnsi="宋体" w:eastAsia="宋体" w:cs="宋体"/>
          <w:szCs w:val="21"/>
          <w:highlight w:val="none"/>
        </w:rPr>
      </w:pPr>
    </w:p>
    <w:p w14:paraId="68B1B299">
      <w:pPr>
        <w:topLinePunct/>
        <w:snapToGrid w:val="0"/>
        <w:spacing w:line="440" w:lineRule="exact"/>
        <w:rPr>
          <w:rFonts w:hint="eastAsia" w:ascii="宋体" w:hAnsi="宋体" w:eastAsia="宋体" w:cs="宋体"/>
          <w:highlight w:val="none"/>
        </w:rPr>
      </w:pPr>
    </w:p>
    <w:p w14:paraId="1C1E930A">
      <w:pPr>
        <w:topLinePunct/>
        <w:snapToGrid w:val="0"/>
        <w:spacing w:line="440" w:lineRule="exact"/>
        <w:ind w:firstLine="420" w:firstLineChars="200"/>
        <w:rPr>
          <w:rFonts w:hint="eastAsia" w:ascii="宋体" w:hAnsi="宋体" w:eastAsia="宋体" w:cs="宋体"/>
          <w:bCs/>
          <w:szCs w:val="21"/>
          <w:highlight w:val="none"/>
        </w:rPr>
      </w:pPr>
    </w:p>
    <w:p w14:paraId="1C20E1A9">
      <w:pPr>
        <w:topLinePunct/>
        <w:snapToGrid w:val="0"/>
        <w:spacing w:line="440" w:lineRule="exact"/>
        <w:ind w:firstLine="420" w:firstLineChars="200"/>
        <w:rPr>
          <w:rFonts w:hint="eastAsia" w:ascii="宋体" w:hAnsi="宋体" w:eastAsia="宋体" w:cs="宋体"/>
          <w:bCs/>
          <w:szCs w:val="21"/>
          <w:highlight w:val="none"/>
        </w:rPr>
      </w:pPr>
    </w:p>
    <w:p w14:paraId="72561F79">
      <w:pPr>
        <w:topLinePunct/>
        <w:snapToGrid w:val="0"/>
        <w:spacing w:line="440" w:lineRule="exact"/>
        <w:ind w:firstLine="420" w:firstLineChars="200"/>
        <w:rPr>
          <w:rFonts w:hint="eastAsia" w:ascii="宋体" w:hAnsi="宋体" w:eastAsia="宋体" w:cs="宋体"/>
          <w:bCs/>
          <w:szCs w:val="21"/>
          <w:highlight w:val="none"/>
        </w:rPr>
      </w:pPr>
    </w:p>
    <w:p w14:paraId="2CBA23C0">
      <w:pPr>
        <w:widowControl/>
        <w:jc w:val="left"/>
        <w:rPr>
          <w:rFonts w:hint="eastAsia" w:ascii="宋体" w:hAnsi="宋体" w:eastAsia="宋体" w:cs="宋体"/>
          <w:b/>
          <w:bCs/>
          <w:sz w:val="32"/>
          <w:szCs w:val="32"/>
          <w:highlight w:val="none"/>
        </w:rPr>
      </w:pPr>
    </w:p>
    <w:p w14:paraId="1ACAA270">
      <w:pPr>
        <w:pStyle w:val="5"/>
        <w:numPr>
          <w:ilvl w:val="1"/>
          <w:numId w:val="13"/>
        </w:numPr>
        <w:rPr>
          <w:rFonts w:hint="eastAsia" w:ascii="宋体" w:hAnsi="宋体" w:eastAsia="宋体" w:cs="宋体"/>
          <w:highlight w:val="none"/>
        </w:rPr>
      </w:pPr>
      <w:bookmarkStart w:id="107" w:name="_Toc8223"/>
      <w:bookmarkStart w:id="108" w:name="_Toc7717"/>
      <w:bookmarkStart w:id="109" w:name="_Toc18794"/>
      <w:r>
        <w:rPr>
          <w:rFonts w:hint="eastAsia" w:ascii="宋体" w:hAnsi="宋体" w:eastAsia="宋体" w:cs="宋体"/>
          <w:highlight w:val="none"/>
        </w:rPr>
        <w:t>供应商基本情况</w:t>
      </w:r>
      <w:bookmarkEnd w:id="97"/>
      <w:bookmarkEnd w:id="107"/>
      <w:bookmarkEnd w:id="108"/>
      <w:bookmarkEnd w:id="109"/>
    </w:p>
    <w:p w14:paraId="6C4ECD5E">
      <w:pPr>
        <w:widowControl/>
        <w:snapToGrid w:val="0"/>
        <w:spacing w:line="360" w:lineRule="auto"/>
        <w:ind w:left="720"/>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6CCBCDCA">
      <w:pPr>
        <w:pStyle w:val="2"/>
        <w:rPr>
          <w:rFonts w:hint="eastAsia" w:ascii="宋体" w:hAnsi="宋体" w:eastAsia="宋体" w:cs="宋体"/>
          <w:highlight w:val="none"/>
        </w:rPr>
      </w:pPr>
    </w:p>
    <w:p w14:paraId="71D4431B">
      <w:pPr>
        <w:pStyle w:val="2"/>
        <w:rPr>
          <w:rFonts w:hint="eastAsia" w:ascii="宋体" w:hAnsi="宋体" w:eastAsia="宋体" w:cs="宋体"/>
          <w:highlight w:val="none"/>
        </w:rPr>
      </w:pPr>
    </w:p>
    <w:p w14:paraId="465749E0">
      <w:pPr>
        <w:widowControl/>
        <w:snapToGrid w:val="0"/>
        <w:spacing w:line="360" w:lineRule="auto"/>
        <w:ind w:left="720"/>
        <w:rPr>
          <w:rFonts w:hint="eastAsia" w:ascii="宋体" w:hAnsi="宋体" w:eastAsia="宋体" w:cs="宋体"/>
          <w:highlight w:val="none"/>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r>
        <w:rPr>
          <w:rFonts w:hint="eastAsia" w:ascii="宋体" w:hAnsi="宋体" w:eastAsia="宋体" w:cs="宋体"/>
          <w:i w:val="0"/>
          <w:iCs w:val="0"/>
          <w:color w:val="auto"/>
          <w:kern w:val="2"/>
          <w:sz w:val="21"/>
          <w:szCs w:val="21"/>
          <w:lang w:val="en-US" w:eastAsia="zh-CN" w:bidi="ar-SA"/>
        </w:rPr>
        <w:t>供应商应具备《中华人民共和国保险许可证》或《中华人民共和国经营保险业务许可证》，且业务范围包括“短期健康保险”或“人身保险”或“健康保险”</w:t>
      </w:r>
      <w:r>
        <w:rPr>
          <w:rFonts w:hint="eastAsia" w:ascii="宋体" w:hAnsi="宋体" w:cs="宋体"/>
          <w:i w:val="0"/>
          <w:iCs w:val="0"/>
          <w:color w:val="auto"/>
          <w:kern w:val="2"/>
          <w:sz w:val="21"/>
          <w:szCs w:val="21"/>
          <w:lang w:val="en-US" w:eastAsia="zh-CN" w:bidi="ar-SA"/>
        </w:rPr>
        <w:t>。（提供证书复印件）</w:t>
      </w:r>
      <w:r>
        <w:rPr>
          <w:rFonts w:hint="eastAsia" w:ascii="宋体" w:hAnsi="宋体" w:eastAsia="宋体" w:cs="宋体"/>
          <w:highlight w:val="none"/>
        </w:rPr>
        <w:t>；</w:t>
      </w:r>
    </w:p>
    <w:p w14:paraId="38A64A08">
      <w:pPr>
        <w:pStyle w:val="2"/>
        <w:rPr>
          <w:rFonts w:hint="eastAsia" w:ascii="宋体" w:hAnsi="宋体" w:eastAsia="宋体" w:cs="宋体"/>
          <w:highlight w:val="none"/>
        </w:rPr>
      </w:pPr>
    </w:p>
    <w:p w14:paraId="6771416A">
      <w:pPr>
        <w:widowControl/>
        <w:snapToGrid w:val="0"/>
        <w:spacing w:line="360" w:lineRule="auto"/>
        <w:ind w:left="720"/>
        <w:jc w:val="left"/>
        <w:rPr>
          <w:rFonts w:hint="eastAsia" w:ascii="宋体" w:hAnsi="宋体" w:cs="宋体"/>
          <w:highlight w:val="none"/>
          <w:lang w:val="en-US" w:eastAsia="zh-CN"/>
        </w:rPr>
      </w:pPr>
      <w:bookmarkStart w:id="110" w:name="_Toc476321847"/>
    </w:p>
    <w:p w14:paraId="093DF85C">
      <w:pPr>
        <w:widowControl/>
        <w:snapToGrid w:val="0"/>
        <w:spacing w:line="360" w:lineRule="auto"/>
        <w:ind w:left="720"/>
        <w:jc w:val="left"/>
        <w:rPr>
          <w:rFonts w:hint="eastAsia" w:ascii="宋体" w:hAnsi="宋体" w:cs="宋体"/>
          <w:highlight w:val="none"/>
          <w:lang w:val="en-US" w:eastAsia="zh-CN"/>
        </w:rPr>
      </w:pPr>
    </w:p>
    <w:p w14:paraId="38749601">
      <w:pPr>
        <w:widowControl/>
        <w:snapToGrid w:val="0"/>
        <w:spacing w:line="360" w:lineRule="auto"/>
        <w:ind w:left="720"/>
        <w:jc w:val="left"/>
        <w:rPr>
          <w:rFonts w:hint="eastAsia" w:ascii="宋体" w:hAnsi="宋体" w:eastAsia="宋体" w:cs="宋体"/>
          <w:highlight w:val="none"/>
        </w:rPr>
      </w:pPr>
      <w:r>
        <w:rPr>
          <w:rFonts w:hint="eastAsia" w:ascii="宋体" w:hAnsi="宋体" w:cs="宋体"/>
          <w:highlight w:val="none"/>
          <w:lang w:val="en-US" w:eastAsia="zh-CN"/>
        </w:rPr>
        <w:t>4.3</w:t>
      </w:r>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110"/>
    </w:p>
    <w:p w14:paraId="63EC1778">
      <w:pPr>
        <w:pStyle w:val="53"/>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14:paraId="7666D781">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2C80E7B8">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41"/>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245"/>
        <w:gridCol w:w="3635"/>
      </w:tblGrid>
      <w:tr w14:paraId="7402373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3D32850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vAlign w:val="center"/>
          </w:tcPr>
          <w:p w14:paraId="7DA9B4A3">
            <w:pPr>
              <w:spacing w:line="360" w:lineRule="auto"/>
              <w:rPr>
                <w:rFonts w:hint="eastAsia" w:ascii="宋体" w:hAnsi="宋体" w:eastAsia="宋体" w:cs="宋体"/>
                <w:szCs w:val="21"/>
                <w:highlight w:val="none"/>
              </w:rPr>
            </w:pPr>
          </w:p>
        </w:tc>
      </w:tr>
      <w:tr w14:paraId="4BED46E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4F5F904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vAlign w:val="center"/>
          </w:tcPr>
          <w:p w14:paraId="4C54FC8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vAlign w:val="center"/>
          </w:tcPr>
          <w:p w14:paraId="6657A8D5">
            <w:pPr>
              <w:spacing w:line="360" w:lineRule="auto"/>
              <w:rPr>
                <w:rFonts w:hint="eastAsia" w:ascii="宋体" w:hAnsi="宋体" w:eastAsia="宋体" w:cs="宋体"/>
                <w:szCs w:val="21"/>
                <w:highlight w:val="none"/>
              </w:rPr>
            </w:pPr>
          </w:p>
        </w:tc>
      </w:tr>
      <w:tr w14:paraId="30F31F35">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558EDEB4">
            <w:pPr>
              <w:spacing w:line="360" w:lineRule="auto"/>
              <w:rPr>
                <w:rFonts w:hint="eastAsia" w:ascii="宋体" w:hAnsi="宋体" w:eastAsia="宋体" w:cs="宋体"/>
                <w:szCs w:val="21"/>
                <w:highlight w:val="none"/>
              </w:rPr>
            </w:pPr>
          </w:p>
        </w:tc>
        <w:tc>
          <w:tcPr>
            <w:tcW w:w="1350" w:type="pct"/>
            <w:vAlign w:val="center"/>
          </w:tcPr>
          <w:p w14:paraId="707E952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vAlign w:val="center"/>
          </w:tcPr>
          <w:p w14:paraId="1B61EEC5">
            <w:pPr>
              <w:spacing w:line="360" w:lineRule="auto"/>
              <w:rPr>
                <w:rFonts w:hint="eastAsia" w:ascii="宋体" w:hAnsi="宋体" w:eastAsia="宋体" w:cs="宋体"/>
                <w:szCs w:val="21"/>
                <w:highlight w:val="none"/>
              </w:rPr>
            </w:pPr>
          </w:p>
        </w:tc>
      </w:tr>
      <w:tr w14:paraId="60FE378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0C787EA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3BB7D58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61165D01">
            <w:pPr>
              <w:spacing w:line="360" w:lineRule="auto"/>
              <w:rPr>
                <w:rFonts w:hint="eastAsia" w:ascii="宋体" w:hAnsi="宋体" w:eastAsia="宋体" w:cs="宋体"/>
                <w:szCs w:val="21"/>
                <w:highlight w:val="none"/>
              </w:rPr>
            </w:pPr>
          </w:p>
        </w:tc>
      </w:tr>
      <w:tr w14:paraId="209204A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07C0E445">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09F406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1CF90C96">
            <w:pPr>
              <w:spacing w:line="360" w:lineRule="auto"/>
              <w:rPr>
                <w:rFonts w:hint="eastAsia" w:ascii="宋体" w:hAnsi="宋体" w:eastAsia="宋体" w:cs="宋体"/>
                <w:szCs w:val="21"/>
                <w:highlight w:val="none"/>
              </w:rPr>
            </w:pPr>
          </w:p>
        </w:tc>
      </w:tr>
      <w:tr w14:paraId="134AA3B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11DE9D0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vAlign w:val="center"/>
          </w:tcPr>
          <w:p w14:paraId="7F6F6912">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vAlign w:val="center"/>
          </w:tcPr>
          <w:p w14:paraId="2BC7E0E0">
            <w:pPr>
              <w:spacing w:line="360" w:lineRule="auto"/>
              <w:rPr>
                <w:rFonts w:hint="eastAsia" w:ascii="宋体" w:hAnsi="宋体" w:eastAsia="宋体" w:cs="宋体"/>
                <w:szCs w:val="21"/>
                <w:highlight w:val="none"/>
              </w:rPr>
            </w:pPr>
          </w:p>
        </w:tc>
      </w:tr>
      <w:tr w14:paraId="45258E5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41728199">
            <w:pPr>
              <w:spacing w:line="360" w:lineRule="auto"/>
              <w:rPr>
                <w:rFonts w:hint="eastAsia" w:ascii="宋体" w:hAnsi="宋体" w:eastAsia="宋体" w:cs="宋体"/>
                <w:szCs w:val="21"/>
                <w:highlight w:val="none"/>
              </w:rPr>
            </w:pPr>
          </w:p>
        </w:tc>
        <w:tc>
          <w:tcPr>
            <w:tcW w:w="1350" w:type="pct"/>
            <w:vAlign w:val="center"/>
          </w:tcPr>
          <w:p w14:paraId="7DEAF52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vAlign w:val="center"/>
          </w:tcPr>
          <w:p w14:paraId="218B6717">
            <w:pPr>
              <w:spacing w:line="360" w:lineRule="auto"/>
              <w:rPr>
                <w:rFonts w:hint="eastAsia" w:ascii="宋体" w:hAnsi="宋体" w:eastAsia="宋体" w:cs="宋体"/>
                <w:szCs w:val="21"/>
                <w:highlight w:val="none"/>
              </w:rPr>
            </w:pPr>
          </w:p>
        </w:tc>
      </w:tr>
      <w:tr w14:paraId="1A1972A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24AB3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07360006">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6D26F086">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6D33DC4A">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7D34A84C">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5154F649">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1E1B11BF">
      <w:pPr>
        <w:pStyle w:val="53"/>
        <w:widowControl/>
        <w:numPr>
          <w:ilvl w:val="0"/>
          <w:numId w:val="15"/>
        </w:numPr>
        <w:snapToGrid w:val="0"/>
        <w:spacing w:line="360" w:lineRule="auto"/>
        <w:ind w:firstLineChars="0"/>
        <w:jc w:val="left"/>
        <w:rPr>
          <w:rFonts w:hint="eastAsia" w:ascii="宋体" w:hAnsi="宋体" w:eastAsia="宋体" w:cs="宋体"/>
          <w:szCs w:val="21"/>
          <w:highlight w:val="none"/>
        </w:rPr>
      </w:pPr>
      <w:r>
        <w:rPr>
          <w:rFonts w:hint="eastAsia" w:ascii="宋体" w:hAnsi="宋体" w:eastAsia="宋体" w:cs="宋体"/>
          <w:highlight w:val="none"/>
        </w:rPr>
        <w:br w:type="page"/>
      </w:r>
    </w:p>
    <w:p w14:paraId="5F77D8EB">
      <w:pPr>
        <w:pStyle w:val="5"/>
        <w:numPr>
          <w:ilvl w:val="1"/>
          <w:numId w:val="13"/>
        </w:numPr>
        <w:rPr>
          <w:rFonts w:hint="eastAsia" w:ascii="宋体" w:hAnsi="宋体" w:eastAsia="宋体" w:cs="宋体"/>
          <w:highlight w:val="none"/>
        </w:rPr>
      </w:pPr>
      <w:bookmarkStart w:id="111" w:name="_Toc12072"/>
      <w:bookmarkStart w:id="112" w:name="_Toc13174"/>
      <w:bookmarkStart w:id="113" w:name="_Toc25840"/>
      <w:r>
        <w:rPr>
          <w:rFonts w:hint="eastAsia" w:ascii="宋体" w:hAnsi="宋体" w:eastAsia="宋体" w:cs="宋体"/>
          <w:highlight w:val="none"/>
        </w:rPr>
        <w:t>技术商务偏离表</w:t>
      </w:r>
      <w:bookmarkEnd w:id="111"/>
      <w:bookmarkEnd w:id="112"/>
      <w:bookmarkEnd w:id="113"/>
    </w:p>
    <w:p w14:paraId="3675A372">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4A34C6C3">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227508C9">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623F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67A03DE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7AB6920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32BA4BC1">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06BB3A7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16E01BBC">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6AD7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2DA495B7">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23B5D570">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24B3524D">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05F253C5">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54AEC42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1D4EF703">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613FA588">
            <w:pPr>
              <w:spacing w:after="120" w:line="360" w:lineRule="atLeast"/>
              <w:ind w:left="851" w:hanging="851"/>
              <w:jc w:val="center"/>
              <w:rPr>
                <w:rFonts w:hint="eastAsia" w:ascii="宋体" w:hAnsi="宋体" w:eastAsia="宋体" w:cs="宋体"/>
                <w:szCs w:val="21"/>
                <w:highlight w:val="none"/>
              </w:rPr>
            </w:pPr>
          </w:p>
        </w:tc>
      </w:tr>
      <w:tr w14:paraId="4F97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30410B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4FED197">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2DC7FB41">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139F381">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0BB2F1D8">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4F0977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26BE4553">
            <w:pPr>
              <w:spacing w:after="120" w:line="360" w:lineRule="atLeast"/>
              <w:ind w:left="851" w:hanging="851"/>
              <w:jc w:val="center"/>
              <w:rPr>
                <w:rFonts w:hint="eastAsia" w:ascii="宋体" w:hAnsi="宋体" w:eastAsia="宋体" w:cs="宋体"/>
                <w:szCs w:val="21"/>
                <w:highlight w:val="none"/>
              </w:rPr>
            </w:pPr>
          </w:p>
        </w:tc>
      </w:tr>
      <w:tr w14:paraId="217CE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1FD898E">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14297BFD">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4EDC0422">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54536EC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5328F2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2525C46">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0AE220F">
            <w:pPr>
              <w:spacing w:after="120" w:line="360" w:lineRule="atLeast"/>
              <w:ind w:left="851" w:hanging="851"/>
              <w:jc w:val="center"/>
              <w:rPr>
                <w:rFonts w:hint="eastAsia" w:ascii="宋体" w:hAnsi="宋体" w:eastAsia="宋体" w:cs="宋体"/>
                <w:szCs w:val="21"/>
                <w:highlight w:val="none"/>
              </w:rPr>
            </w:pPr>
          </w:p>
        </w:tc>
      </w:tr>
      <w:tr w14:paraId="2C44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41758C90">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5F9E250">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297FE14F">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60981C6E">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4CF82B5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13CEE6D5">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FA51E3E">
            <w:pPr>
              <w:spacing w:after="120" w:line="360" w:lineRule="atLeast"/>
              <w:ind w:left="851" w:hanging="851"/>
              <w:jc w:val="center"/>
              <w:rPr>
                <w:rFonts w:hint="eastAsia" w:ascii="宋体" w:hAnsi="宋体" w:eastAsia="宋体" w:cs="宋体"/>
                <w:szCs w:val="21"/>
                <w:highlight w:val="none"/>
              </w:rPr>
            </w:pPr>
          </w:p>
        </w:tc>
      </w:tr>
      <w:tr w14:paraId="31B9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7AC468E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621D70C1">
            <w:pPr>
              <w:spacing w:after="120" w:line="360" w:lineRule="atLeast"/>
              <w:ind w:left="851" w:hanging="851"/>
              <w:jc w:val="center"/>
              <w:rPr>
                <w:rFonts w:hint="eastAsia" w:ascii="宋体" w:hAnsi="宋体" w:eastAsia="宋体" w:cs="宋体"/>
                <w:szCs w:val="21"/>
                <w:highlight w:val="none"/>
              </w:rPr>
            </w:pPr>
          </w:p>
        </w:tc>
      </w:tr>
    </w:tbl>
    <w:p w14:paraId="170931D9">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6D575951">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17BDAF77">
      <w:pPr>
        <w:widowControl/>
        <w:snapToGrid w:val="0"/>
        <w:spacing w:line="360" w:lineRule="exact"/>
        <w:jc w:val="left"/>
        <w:rPr>
          <w:rFonts w:hint="eastAsia" w:ascii="宋体" w:hAnsi="宋体" w:eastAsia="宋体" w:cs="宋体"/>
          <w:szCs w:val="21"/>
          <w:highlight w:val="none"/>
        </w:rPr>
      </w:pPr>
    </w:p>
    <w:p w14:paraId="78961CC4">
      <w:pPr>
        <w:pStyle w:val="5"/>
        <w:numPr>
          <w:ilvl w:val="1"/>
          <w:numId w:val="13"/>
        </w:numPr>
        <w:rPr>
          <w:rFonts w:hint="eastAsia" w:ascii="宋体" w:hAnsi="宋体" w:eastAsia="宋体" w:cs="宋体"/>
          <w:highlight w:val="none"/>
        </w:rPr>
      </w:pPr>
      <w:bookmarkStart w:id="114" w:name="_Toc11834"/>
      <w:bookmarkStart w:id="115" w:name="_Toc10360"/>
      <w:bookmarkStart w:id="116" w:name="_Toc476321849"/>
      <w:bookmarkStart w:id="117" w:name="_Toc666"/>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114"/>
      <w:bookmarkEnd w:id="115"/>
      <w:bookmarkEnd w:id="116"/>
      <w:bookmarkEnd w:id="117"/>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3207"/>
        <w:gridCol w:w="1678"/>
        <w:gridCol w:w="1376"/>
        <w:gridCol w:w="1155"/>
      </w:tblGrid>
      <w:tr w14:paraId="5854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56349D98">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0F7D02A">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7B811FB">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1ACAF4F9">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6E59965A">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4BBC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308B058C">
            <w:pPr>
              <w:jc w:val="center"/>
              <w:rPr>
                <w:rFonts w:hint="eastAsia" w:ascii="宋体" w:hAnsi="宋体" w:eastAsia="宋体" w:cs="宋体"/>
                <w:szCs w:val="21"/>
                <w:highlight w:val="none"/>
              </w:rPr>
            </w:pPr>
          </w:p>
          <w:p w14:paraId="46D054E1">
            <w:pPr>
              <w:jc w:val="center"/>
              <w:rPr>
                <w:rFonts w:hint="eastAsia" w:ascii="宋体" w:hAnsi="宋体" w:eastAsia="宋体" w:cs="宋体"/>
                <w:szCs w:val="21"/>
                <w:highlight w:val="none"/>
              </w:rPr>
            </w:pPr>
          </w:p>
        </w:tc>
        <w:tc>
          <w:tcPr>
            <w:tcW w:w="1880" w:type="pct"/>
            <w:vAlign w:val="center"/>
          </w:tcPr>
          <w:p w14:paraId="0B2FC9C6">
            <w:pPr>
              <w:widowControl/>
              <w:jc w:val="center"/>
              <w:rPr>
                <w:rFonts w:hint="eastAsia" w:ascii="宋体" w:hAnsi="宋体" w:eastAsia="宋体" w:cs="宋体"/>
                <w:szCs w:val="21"/>
                <w:highlight w:val="none"/>
              </w:rPr>
            </w:pPr>
          </w:p>
          <w:p w14:paraId="7CD45858">
            <w:pPr>
              <w:jc w:val="center"/>
              <w:rPr>
                <w:rFonts w:hint="eastAsia" w:ascii="宋体" w:hAnsi="宋体" w:eastAsia="宋体" w:cs="宋体"/>
                <w:szCs w:val="21"/>
                <w:highlight w:val="none"/>
              </w:rPr>
            </w:pPr>
          </w:p>
        </w:tc>
        <w:tc>
          <w:tcPr>
            <w:tcW w:w="984" w:type="pct"/>
          </w:tcPr>
          <w:p w14:paraId="2A26B6E7">
            <w:pPr>
              <w:jc w:val="center"/>
              <w:rPr>
                <w:rFonts w:hint="eastAsia" w:ascii="宋体" w:hAnsi="宋体" w:eastAsia="宋体" w:cs="宋体"/>
                <w:szCs w:val="21"/>
                <w:highlight w:val="none"/>
              </w:rPr>
            </w:pPr>
          </w:p>
        </w:tc>
        <w:tc>
          <w:tcPr>
            <w:tcW w:w="807" w:type="pct"/>
            <w:vAlign w:val="center"/>
          </w:tcPr>
          <w:p w14:paraId="5C187842">
            <w:pPr>
              <w:jc w:val="center"/>
              <w:rPr>
                <w:rFonts w:hint="eastAsia" w:ascii="宋体" w:hAnsi="宋体" w:eastAsia="宋体" w:cs="宋体"/>
                <w:szCs w:val="21"/>
                <w:highlight w:val="none"/>
              </w:rPr>
            </w:pPr>
          </w:p>
        </w:tc>
        <w:tc>
          <w:tcPr>
            <w:tcW w:w="677" w:type="pct"/>
            <w:vAlign w:val="center"/>
          </w:tcPr>
          <w:p w14:paraId="25FF3944">
            <w:pPr>
              <w:jc w:val="center"/>
              <w:rPr>
                <w:rFonts w:hint="eastAsia" w:ascii="宋体" w:hAnsi="宋体" w:eastAsia="宋体" w:cs="宋体"/>
                <w:szCs w:val="21"/>
                <w:highlight w:val="none"/>
              </w:rPr>
            </w:pPr>
          </w:p>
        </w:tc>
      </w:tr>
      <w:tr w14:paraId="1508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25D40133">
            <w:pPr>
              <w:jc w:val="center"/>
              <w:rPr>
                <w:rFonts w:hint="eastAsia" w:ascii="宋体" w:hAnsi="宋体" w:eastAsia="宋体" w:cs="宋体"/>
                <w:szCs w:val="21"/>
                <w:highlight w:val="none"/>
              </w:rPr>
            </w:pPr>
          </w:p>
          <w:p w14:paraId="4CEDD0BD">
            <w:pPr>
              <w:jc w:val="center"/>
              <w:rPr>
                <w:rFonts w:hint="eastAsia" w:ascii="宋体" w:hAnsi="宋体" w:eastAsia="宋体" w:cs="宋体"/>
                <w:szCs w:val="21"/>
                <w:highlight w:val="none"/>
              </w:rPr>
            </w:pPr>
          </w:p>
        </w:tc>
        <w:tc>
          <w:tcPr>
            <w:tcW w:w="1880" w:type="pct"/>
            <w:vAlign w:val="center"/>
          </w:tcPr>
          <w:p w14:paraId="307F26F0">
            <w:pPr>
              <w:widowControl/>
              <w:jc w:val="center"/>
              <w:rPr>
                <w:rFonts w:hint="eastAsia" w:ascii="宋体" w:hAnsi="宋体" w:eastAsia="宋体" w:cs="宋体"/>
                <w:szCs w:val="21"/>
                <w:highlight w:val="none"/>
              </w:rPr>
            </w:pPr>
          </w:p>
          <w:p w14:paraId="7B3888AE">
            <w:pPr>
              <w:jc w:val="center"/>
              <w:rPr>
                <w:rFonts w:hint="eastAsia" w:ascii="宋体" w:hAnsi="宋体" w:eastAsia="宋体" w:cs="宋体"/>
                <w:szCs w:val="21"/>
                <w:highlight w:val="none"/>
              </w:rPr>
            </w:pPr>
          </w:p>
        </w:tc>
        <w:tc>
          <w:tcPr>
            <w:tcW w:w="984" w:type="pct"/>
          </w:tcPr>
          <w:p w14:paraId="0BBCFA05">
            <w:pPr>
              <w:jc w:val="center"/>
              <w:rPr>
                <w:rFonts w:hint="eastAsia" w:ascii="宋体" w:hAnsi="宋体" w:eastAsia="宋体" w:cs="宋体"/>
                <w:szCs w:val="21"/>
                <w:highlight w:val="none"/>
              </w:rPr>
            </w:pPr>
          </w:p>
        </w:tc>
        <w:tc>
          <w:tcPr>
            <w:tcW w:w="807" w:type="pct"/>
            <w:vAlign w:val="center"/>
          </w:tcPr>
          <w:p w14:paraId="15ABECCB">
            <w:pPr>
              <w:jc w:val="center"/>
              <w:rPr>
                <w:rFonts w:hint="eastAsia" w:ascii="宋体" w:hAnsi="宋体" w:eastAsia="宋体" w:cs="宋体"/>
                <w:szCs w:val="21"/>
                <w:highlight w:val="none"/>
              </w:rPr>
            </w:pPr>
          </w:p>
        </w:tc>
        <w:tc>
          <w:tcPr>
            <w:tcW w:w="677" w:type="pct"/>
            <w:vAlign w:val="center"/>
          </w:tcPr>
          <w:p w14:paraId="1B8C7A3D">
            <w:pPr>
              <w:jc w:val="center"/>
              <w:rPr>
                <w:rFonts w:hint="eastAsia" w:ascii="宋体" w:hAnsi="宋体" w:eastAsia="宋体" w:cs="宋体"/>
                <w:szCs w:val="21"/>
                <w:highlight w:val="none"/>
              </w:rPr>
            </w:pPr>
          </w:p>
        </w:tc>
      </w:tr>
      <w:tr w14:paraId="3729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6F369C9B">
            <w:pPr>
              <w:jc w:val="center"/>
              <w:rPr>
                <w:rFonts w:hint="eastAsia" w:ascii="宋体" w:hAnsi="宋体" w:eastAsia="宋体" w:cs="宋体"/>
                <w:szCs w:val="21"/>
                <w:highlight w:val="none"/>
              </w:rPr>
            </w:pPr>
          </w:p>
          <w:p w14:paraId="1B93EAFD">
            <w:pPr>
              <w:jc w:val="center"/>
              <w:rPr>
                <w:rFonts w:hint="eastAsia" w:ascii="宋体" w:hAnsi="宋体" w:eastAsia="宋体" w:cs="宋体"/>
                <w:szCs w:val="21"/>
                <w:highlight w:val="none"/>
              </w:rPr>
            </w:pPr>
          </w:p>
        </w:tc>
        <w:tc>
          <w:tcPr>
            <w:tcW w:w="1880" w:type="pct"/>
            <w:vAlign w:val="center"/>
          </w:tcPr>
          <w:p w14:paraId="32C80F4F">
            <w:pPr>
              <w:widowControl/>
              <w:jc w:val="center"/>
              <w:rPr>
                <w:rFonts w:hint="eastAsia" w:ascii="宋体" w:hAnsi="宋体" w:eastAsia="宋体" w:cs="宋体"/>
                <w:szCs w:val="21"/>
                <w:highlight w:val="none"/>
              </w:rPr>
            </w:pPr>
          </w:p>
          <w:p w14:paraId="25D70CEB">
            <w:pPr>
              <w:jc w:val="center"/>
              <w:rPr>
                <w:rFonts w:hint="eastAsia" w:ascii="宋体" w:hAnsi="宋体" w:eastAsia="宋体" w:cs="宋体"/>
                <w:szCs w:val="21"/>
                <w:highlight w:val="none"/>
              </w:rPr>
            </w:pPr>
          </w:p>
        </w:tc>
        <w:tc>
          <w:tcPr>
            <w:tcW w:w="984" w:type="pct"/>
          </w:tcPr>
          <w:p w14:paraId="453E296D">
            <w:pPr>
              <w:jc w:val="center"/>
              <w:rPr>
                <w:rFonts w:hint="eastAsia" w:ascii="宋体" w:hAnsi="宋体" w:eastAsia="宋体" w:cs="宋体"/>
                <w:szCs w:val="21"/>
                <w:highlight w:val="none"/>
              </w:rPr>
            </w:pPr>
          </w:p>
        </w:tc>
        <w:tc>
          <w:tcPr>
            <w:tcW w:w="807" w:type="pct"/>
            <w:vAlign w:val="center"/>
          </w:tcPr>
          <w:p w14:paraId="1A3ABED5">
            <w:pPr>
              <w:jc w:val="center"/>
              <w:rPr>
                <w:rFonts w:hint="eastAsia" w:ascii="宋体" w:hAnsi="宋体" w:eastAsia="宋体" w:cs="宋体"/>
                <w:szCs w:val="21"/>
                <w:highlight w:val="none"/>
              </w:rPr>
            </w:pPr>
          </w:p>
        </w:tc>
        <w:tc>
          <w:tcPr>
            <w:tcW w:w="677" w:type="pct"/>
            <w:vAlign w:val="center"/>
          </w:tcPr>
          <w:p w14:paraId="6172FA1B">
            <w:pPr>
              <w:jc w:val="center"/>
              <w:rPr>
                <w:rFonts w:hint="eastAsia" w:ascii="宋体" w:hAnsi="宋体" w:eastAsia="宋体" w:cs="宋体"/>
                <w:szCs w:val="21"/>
                <w:highlight w:val="none"/>
              </w:rPr>
            </w:pPr>
          </w:p>
        </w:tc>
      </w:tr>
      <w:tr w14:paraId="47A0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04A060C7">
            <w:pPr>
              <w:jc w:val="center"/>
              <w:rPr>
                <w:rFonts w:hint="eastAsia" w:ascii="宋体" w:hAnsi="宋体" w:eastAsia="宋体" w:cs="宋体"/>
                <w:szCs w:val="21"/>
                <w:highlight w:val="none"/>
              </w:rPr>
            </w:pPr>
          </w:p>
          <w:p w14:paraId="2578882C">
            <w:pPr>
              <w:jc w:val="center"/>
              <w:rPr>
                <w:rFonts w:hint="eastAsia" w:ascii="宋体" w:hAnsi="宋体" w:eastAsia="宋体" w:cs="宋体"/>
                <w:szCs w:val="21"/>
                <w:highlight w:val="none"/>
              </w:rPr>
            </w:pPr>
          </w:p>
        </w:tc>
        <w:tc>
          <w:tcPr>
            <w:tcW w:w="1880" w:type="pct"/>
            <w:vAlign w:val="center"/>
          </w:tcPr>
          <w:p w14:paraId="4C12D76A">
            <w:pPr>
              <w:widowControl/>
              <w:jc w:val="center"/>
              <w:rPr>
                <w:rFonts w:hint="eastAsia" w:ascii="宋体" w:hAnsi="宋体" w:eastAsia="宋体" w:cs="宋体"/>
                <w:szCs w:val="21"/>
                <w:highlight w:val="none"/>
              </w:rPr>
            </w:pPr>
          </w:p>
          <w:p w14:paraId="4BAAAA8D">
            <w:pPr>
              <w:jc w:val="center"/>
              <w:rPr>
                <w:rFonts w:hint="eastAsia" w:ascii="宋体" w:hAnsi="宋体" w:eastAsia="宋体" w:cs="宋体"/>
                <w:szCs w:val="21"/>
                <w:highlight w:val="none"/>
              </w:rPr>
            </w:pPr>
          </w:p>
        </w:tc>
        <w:tc>
          <w:tcPr>
            <w:tcW w:w="984" w:type="pct"/>
          </w:tcPr>
          <w:p w14:paraId="1AAB2D4C">
            <w:pPr>
              <w:jc w:val="center"/>
              <w:rPr>
                <w:rFonts w:hint="eastAsia" w:ascii="宋体" w:hAnsi="宋体" w:eastAsia="宋体" w:cs="宋体"/>
                <w:szCs w:val="21"/>
                <w:highlight w:val="none"/>
              </w:rPr>
            </w:pPr>
          </w:p>
        </w:tc>
        <w:tc>
          <w:tcPr>
            <w:tcW w:w="807" w:type="pct"/>
            <w:vAlign w:val="center"/>
          </w:tcPr>
          <w:p w14:paraId="11D3AC31">
            <w:pPr>
              <w:jc w:val="center"/>
              <w:rPr>
                <w:rFonts w:hint="eastAsia" w:ascii="宋体" w:hAnsi="宋体" w:eastAsia="宋体" w:cs="宋体"/>
                <w:szCs w:val="21"/>
                <w:highlight w:val="none"/>
              </w:rPr>
            </w:pPr>
          </w:p>
        </w:tc>
        <w:tc>
          <w:tcPr>
            <w:tcW w:w="677" w:type="pct"/>
            <w:vAlign w:val="center"/>
          </w:tcPr>
          <w:p w14:paraId="644C3DF6">
            <w:pPr>
              <w:jc w:val="center"/>
              <w:rPr>
                <w:rFonts w:hint="eastAsia" w:ascii="宋体" w:hAnsi="宋体" w:eastAsia="宋体" w:cs="宋体"/>
                <w:szCs w:val="21"/>
                <w:highlight w:val="none"/>
              </w:rPr>
            </w:pPr>
          </w:p>
        </w:tc>
      </w:tr>
      <w:tr w14:paraId="4525F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08017A3E">
            <w:pPr>
              <w:jc w:val="center"/>
              <w:rPr>
                <w:rFonts w:hint="eastAsia" w:ascii="宋体" w:hAnsi="宋体" w:eastAsia="宋体" w:cs="宋体"/>
                <w:szCs w:val="21"/>
                <w:highlight w:val="none"/>
              </w:rPr>
            </w:pPr>
          </w:p>
          <w:p w14:paraId="12903674">
            <w:pPr>
              <w:jc w:val="center"/>
              <w:rPr>
                <w:rFonts w:hint="eastAsia" w:ascii="宋体" w:hAnsi="宋体" w:eastAsia="宋体" w:cs="宋体"/>
                <w:szCs w:val="21"/>
                <w:highlight w:val="none"/>
              </w:rPr>
            </w:pPr>
          </w:p>
        </w:tc>
        <w:tc>
          <w:tcPr>
            <w:tcW w:w="1880" w:type="pct"/>
            <w:vAlign w:val="center"/>
          </w:tcPr>
          <w:p w14:paraId="19C719FC">
            <w:pPr>
              <w:widowControl/>
              <w:jc w:val="center"/>
              <w:rPr>
                <w:rFonts w:hint="eastAsia" w:ascii="宋体" w:hAnsi="宋体" w:eastAsia="宋体" w:cs="宋体"/>
                <w:szCs w:val="21"/>
                <w:highlight w:val="none"/>
              </w:rPr>
            </w:pPr>
          </w:p>
          <w:p w14:paraId="71CBEFE3">
            <w:pPr>
              <w:jc w:val="center"/>
              <w:rPr>
                <w:rFonts w:hint="eastAsia" w:ascii="宋体" w:hAnsi="宋体" w:eastAsia="宋体" w:cs="宋体"/>
                <w:szCs w:val="21"/>
                <w:highlight w:val="none"/>
              </w:rPr>
            </w:pPr>
          </w:p>
        </w:tc>
        <w:tc>
          <w:tcPr>
            <w:tcW w:w="984" w:type="pct"/>
          </w:tcPr>
          <w:p w14:paraId="0C5E0EC1">
            <w:pPr>
              <w:jc w:val="center"/>
              <w:rPr>
                <w:rFonts w:hint="eastAsia" w:ascii="宋体" w:hAnsi="宋体" w:eastAsia="宋体" w:cs="宋体"/>
                <w:szCs w:val="21"/>
                <w:highlight w:val="none"/>
              </w:rPr>
            </w:pPr>
          </w:p>
        </w:tc>
        <w:tc>
          <w:tcPr>
            <w:tcW w:w="807" w:type="pct"/>
            <w:vAlign w:val="center"/>
          </w:tcPr>
          <w:p w14:paraId="1E6A8549">
            <w:pPr>
              <w:jc w:val="center"/>
              <w:rPr>
                <w:rFonts w:hint="eastAsia" w:ascii="宋体" w:hAnsi="宋体" w:eastAsia="宋体" w:cs="宋体"/>
                <w:szCs w:val="21"/>
                <w:highlight w:val="none"/>
              </w:rPr>
            </w:pPr>
          </w:p>
        </w:tc>
        <w:tc>
          <w:tcPr>
            <w:tcW w:w="677" w:type="pct"/>
            <w:vAlign w:val="center"/>
          </w:tcPr>
          <w:p w14:paraId="3E243388">
            <w:pPr>
              <w:jc w:val="center"/>
              <w:rPr>
                <w:rFonts w:hint="eastAsia" w:ascii="宋体" w:hAnsi="宋体" w:eastAsia="宋体" w:cs="宋体"/>
                <w:szCs w:val="21"/>
                <w:highlight w:val="none"/>
              </w:rPr>
            </w:pPr>
          </w:p>
        </w:tc>
      </w:tr>
      <w:tr w14:paraId="5636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5EC88CF2">
            <w:pPr>
              <w:jc w:val="center"/>
              <w:rPr>
                <w:rFonts w:hint="eastAsia" w:ascii="宋体" w:hAnsi="宋体" w:eastAsia="宋体" w:cs="宋体"/>
                <w:szCs w:val="21"/>
                <w:highlight w:val="none"/>
              </w:rPr>
            </w:pPr>
          </w:p>
          <w:p w14:paraId="34A29334">
            <w:pPr>
              <w:jc w:val="center"/>
              <w:rPr>
                <w:rFonts w:hint="eastAsia" w:ascii="宋体" w:hAnsi="宋体" w:eastAsia="宋体" w:cs="宋体"/>
                <w:szCs w:val="21"/>
                <w:highlight w:val="none"/>
              </w:rPr>
            </w:pPr>
          </w:p>
        </w:tc>
        <w:tc>
          <w:tcPr>
            <w:tcW w:w="1880" w:type="pct"/>
            <w:vAlign w:val="center"/>
          </w:tcPr>
          <w:p w14:paraId="076CEB84">
            <w:pPr>
              <w:widowControl/>
              <w:jc w:val="center"/>
              <w:rPr>
                <w:rFonts w:hint="eastAsia" w:ascii="宋体" w:hAnsi="宋体" w:eastAsia="宋体" w:cs="宋体"/>
                <w:szCs w:val="21"/>
                <w:highlight w:val="none"/>
              </w:rPr>
            </w:pPr>
          </w:p>
          <w:p w14:paraId="660F9FF1">
            <w:pPr>
              <w:jc w:val="center"/>
              <w:rPr>
                <w:rFonts w:hint="eastAsia" w:ascii="宋体" w:hAnsi="宋体" w:eastAsia="宋体" w:cs="宋体"/>
                <w:szCs w:val="21"/>
                <w:highlight w:val="none"/>
              </w:rPr>
            </w:pPr>
          </w:p>
        </w:tc>
        <w:tc>
          <w:tcPr>
            <w:tcW w:w="984" w:type="pct"/>
          </w:tcPr>
          <w:p w14:paraId="14679627">
            <w:pPr>
              <w:jc w:val="center"/>
              <w:rPr>
                <w:rFonts w:hint="eastAsia" w:ascii="宋体" w:hAnsi="宋体" w:eastAsia="宋体" w:cs="宋体"/>
                <w:szCs w:val="21"/>
                <w:highlight w:val="none"/>
              </w:rPr>
            </w:pPr>
          </w:p>
        </w:tc>
        <w:tc>
          <w:tcPr>
            <w:tcW w:w="807" w:type="pct"/>
            <w:vAlign w:val="center"/>
          </w:tcPr>
          <w:p w14:paraId="671C2358">
            <w:pPr>
              <w:jc w:val="center"/>
              <w:rPr>
                <w:rFonts w:hint="eastAsia" w:ascii="宋体" w:hAnsi="宋体" w:eastAsia="宋体" w:cs="宋体"/>
                <w:szCs w:val="21"/>
                <w:highlight w:val="none"/>
              </w:rPr>
            </w:pPr>
          </w:p>
        </w:tc>
        <w:tc>
          <w:tcPr>
            <w:tcW w:w="677" w:type="pct"/>
            <w:vAlign w:val="center"/>
          </w:tcPr>
          <w:p w14:paraId="4C099F25">
            <w:pPr>
              <w:jc w:val="center"/>
              <w:rPr>
                <w:rFonts w:hint="eastAsia" w:ascii="宋体" w:hAnsi="宋体" w:eastAsia="宋体" w:cs="宋体"/>
                <w:szCs w:val="21"/>
                <w:highlight w:val="none"/>
              </w:rPr>
            </w:pPr>
          </w:p>
        </w:tc>
      </w:tr>
    </w:tbl>
    <w:p w14:paraId="76FF52A4">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5075DC9D">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62A62ED0">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0845CBAE">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7FC7448A">
      <w:pPr>
        <w:widowControl/>
        <w:jc w:val="left"/>
        <w:rPr>
          <w:rFonts w:hint="eastAsia" w:ascii="宋体" w:hAnsi="宋体" w:eastAsia="宋体" w:cs="宋体"/>
          <w:b/>
          <w:bCs/>
          <w:sz w:val="24"/>
          <w:highlight w:val="none"/>
        </w:rPr>
      </w:pPr>
    </w:p>
    <w:p w14:paraId="65BE0087">
      <w:pPr>
        <w:pStyle w:val="5"/>
        <w:numPr>
          <w:ilvl w:val="1"/>
          <w:numId w:val="13"/>
        </w:numPr>
        <w:rPr>
          <w:rFonts w:hint="eastAsia" w:ascii="宋体" w:hAnsi="宋体" w:eastAsia="宋体" w:cs="宋体"/>
          <w:highlight w:val="none"/>
        </w:rPr>
      </w:pPr>
      <w:bookmarkStart w:id="118" w:name="_Toc3792"/>
      <w:bookmarkStart w:id="119" w:name="_Toc476321850"/>
      <w:bookmarkStart w:id="120" w:name="_Toc26958"/>
      <w:bookmarkStart w:id="121" w:name="_Toc31657"/>
      <w:r>
        <w:rPr>
          <w:rFonts w:hint="eastAsia" w:ascii="宋体" w:hAnsi="宋体" w:eastAsia="宋体" w:cs="宋体"/>
          <w:highlight w:val="none"/>
        </w:rPr>
        <w:t>项目负责人及成员组成情况表</w:t>
      </w:r>
      <w:bookmarkEnd w:id="118"/>
      <w:bookmarkEnd w:id="119"/>
      <w:bookmarkEnd w:id="120"/>
      <w:bookmarkEnd w:id="121"/>
    </w:p>
    <w:p w14:paraId="16C6B1FB">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08575932">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1585"/>
        <w:gridCol w:w="1175"/>
        <w:gridCol w:w="1307"/>
        <w:gridCol w:w="1773"/>
      </w:tblGrid>
      <w:tr w14:paraId="4272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5686799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0C54AC63">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470E3D4B">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3C4B8C4B">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4B496C5A">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06B9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7BB1D5CE">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52EBA574">
            <w:pPr>
              <w:spacing w:line="360" w:lineRule="auto"/>
              <w:ind w:right="-55" w:firstLine="472"/>
              <w:jc w:val="center"/>
              <w:rPr>
                <w:rFonts w:hint="eastAsia" w:ascii="宋体" w:hAnsi="宋体" w:eastAsia="宋体" w:cs="宋体"/>
                <w:szCs w:val="21"/>
                <w:highlight w:val="none"/>
              </w:rPr>
            </w:pPr>
          </w:p>
        </w:tc>
        <w:tc>
          <w:tcPr>
            <w:tcW w:w="689" w:type="pct"/>
            <w:vAlign w:val="center"/>
          </w:tcPr>
          <w:p w14:paraId="44B6DD25">
            <w:pPr>
              <w:spacing w:line="360" w:lineRule="auto"/>
              <w:ind w:right="-55" w:firstLine="472"/>
              <w:jc w:val="center"/>
              <w:rPr>
                <w:rFonts w:hint="eastAsia" w:ascii="宋体" w:hAnsi="宋体" w:eastAsia="宋体" w:cs="宋体"/>
                <w:szCs w:val="21"/>
                <w:highlight w:val="none"/>
              </w:rPr>
            </w:pPr>
          </w:p>
        </w:tc>
        <w:tc>
          <w:tcPr>
            <w:tcW w:w="766" w:type="pct"/>
            <w:vAlign w:val="center"/>
          </w:tcPr>
          <w:p w14:paraId="63DDA1D9">
            <w:pPr>
              <w:spacing w:line="360" w:lineRule="auto"/>
              <w:ind w:right="-55" w:firstLine="472"/>
              <w:jc w:val="center"/>
              <w:rPr>
                <w:rFonts w:hint="eastAsia" w:ascii="宋体" w:hAnsi="宋体" w:eastAsia="宋体" w:cs="宋体"/>
                <w:szCs w:val="21"/>
                <w:highlight w:val="none"/>
              </w:rPr>
            </w:pPr>
          </w:p>
        </w:tc>
        <w:tc>
          <w:tcPr>
            <w:tcW w:w="1039" w:type="pct"/>
            <w:vAlign w:val="center"/>
          </w:tcPr>
          <w:p w14:paraId="4D58124E">
            <w:pPr>
              <w:spacing w:line="360" w:lineRule="auto"/>
              <w:ind w:right="-55" w:firstLine="472"/>
              <w:jc w:val="center"/>
              <w:rPr>
                <w:rFonts w:hint="eastAsia" w:ascii="宋体" w:hAnsi="宋体" w:eastAsia="宋体" w:cs="宋体"/>
                <w:szCs w:val="21"/>
                <w:highlight w:val="none"/>
              </w:rPr>
            </w:pPr>
          </w:p>
        </w:tc>
      </w:tr>
      <w:tr w14:paraId="6405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29C1537">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7DCE4632">
            <w:pPr>
              <w:spacing w:line="360" w:lineRule="auto"/>
              <w:ind w:right="-55" w:firstLine="472"/>
              <w:jc w:val="center"/>
              <w:rPr>
                <w:rFonts w:hint="eastAsia" w:ascii="宋体" w:hAnsi="宋体" w:eastAsia="宋体" w:cs="宋体"/>
                <w:szCs w:val="21"/>
                <w:highlight w:val="none"/>
              </w:rPr>
            </w:pPr>
          </w:p>
        </w:tc>
        <w:tc>
          <w:tcPr>
            <w:tcW w:w="689" w:type="pct"/>
            <w:vAlign w:val="center"/>
          </w:tcPr>
          <w:p w14:paraId="516EDC89">
            <w:pPr>
              <w:spacing w:line="360" w:lineRule="auto"/>
              <w:ind w:right="-55" w:firstLine="472"/>
              <w:jc w:val="center"/>
              <w:rPr>
                <w:rFonts w:hint="eastAsia" w:ascii="宋体" w:hAnsi="宋体" w:eastAsia="宋体" w:cs="宋体"/>
                <w:szCs w:val="21"/>
                <w:highlight w:val="none"/>
              </w:rPr>
            </w:pPr>
          </w:p>
        </w:tc>
        <w:tc>
          <w:tcPr>
            <w:tcW w:w="766" w:type="pct"/>
            <w:vAlign w:val="center"/>
          </w:tcPr>
          <w:p w14:paraId="2A09C3B7">
            <w:pPr>
              <w:spacing w:line="360" w:lineRule="auto"/>
              <w:ind w:right="-55" w:firstLine="472"/>
              <w:jc w:val="center"/>
              <w:rPr>
                <w:rFonts w:hint="eastAsia" w:ascii="宋体" w:hAnsi="宋体" w:eastAsia="宋体" w:cs="宋体"/>
                <w:szCs w:val="21"/>
                <w:highlight w:val="none"/>
              </w:rPr>
            </w:pPr>
          </w:p>
        </w:tc>
        <w:tc>
          <w:tcPr>
            <w:tcW w:w="1039" w:type="pct"/>
            <w:vAlign w:val="center"/>
          </w:tcPr>
          <w:p w14:paraId="154B3503">
            <w:pPr>
              <w:spacing w:line="360" w:lineRule="auto"/>
              <w:ind w:right="-55" w:firstLine="472"/>
              <w:jc w:val="center"/>
              <w:rPr>
                <w:rFonts w:hint="eastAsia" w:ascii="宋体" w:hAnsi="宋体" w:eastAsia="宋体" w:cs="宋体"/>
                <w:szCs w:val="21"/>
                <w:highlight w:val="none"/>
              </w:rPr>
            </w:pPr>
          </w:p>
        </w:tc>
      </w:tr>
      <w:tr w14:paraId="295E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5D438E0A">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7B30477D">
            <w:pPr>
              <w:spacing w:line="360" w:lineRule="auto"/>
              <w:ind w:right="-55" w:firstLine="472"/>
              <w:jc w:val="center"/>
              <w:rPr>
                <w:rFonts w:hint="eastAsia" w:ascii="宋体" w:hAnsi="宋体" w:eastAsia="宋体" w:cs="宋体"/>
                <w:szCs w:val="21"/>
                <w:highlight w:val="none"/>
              </w:rPr>
            </w:pPr>
          </w:p>
        </w:tc>
        <w:tc>
          <w:tcPr>
            <w:tcW w:w="689" w:type="pct"/>
            <w:vAlign w:val="center"/>
          </w:tcPr>
          <w:p w14:paraId="097714F8">
            <w:pPr>
              <w:spacing w:line="360" w:lineRule="auto"/>
              <w:ind w:right="-55" w:firstLine="472"/>
              <w:jc w:val="center"/>
              <w:rPr>
                <w:rFonts w:hint="eastAsia" w:ascii="宋体" w:hAnsi="宋体" w:eastAsia="宋体" w:cs="宋体"/>
                <w:szCs w:val="21"/>
                <w:highlight w:val="none"/>
              </w:rPr>
            </w:pPr>
          </w:p>
        </w:tc>
        <w:tc>
          <w:tcPr>
            <w:tcW w:w="766" w:type="pct"/>
            <w:vAlign w:val="center"/>
          </w:tcPr>
          <w:p w14:paraId="125BDB32">
            <w:pPr>
              <w:spacing w:line="360" w:lineRule="auto"/>
              <w:ind w:right="-55" w:firstLine="472"/>
              <w:jc w:val="center"/>
              <w:rPr>
                <w:rFonts w:hint="eastAsia" w:ascii="宋体" w:hAnsi="宋体" w:eastAsia="宋体" w:cs="宋体"/>
                <w:szCs w:val="21"/>
                <w:highlight w:val="none"/>
              </w:rPr>
            </w:pPr>
          </w:p>
        </w:tc>
        <w:tc>
          <w:tcPr>
            <w:tcW w:w="1039" w:type="pct"/>
            <w:vAlign w:val="center"/>
          </w:tcPr>
          <w:p w14:paraId="24CEA96E">
            <w:pPr>
              <w:spacing w:line="360" w:lineRule="auto"/>
              <w:ind w:right="-55" w:firstLine="472"/>
              <w:jc w:val="center"/>
              <w:rPr>
                <w:rFonts w:hint="eastAsia" w:ascii="宋体" w:hAnsi="宋体" w:eastAsia="宋体" w:cs="宋体"/>
                <w:szCs w:val="21"/>
                <w:highlight w:val="none"/>
              </w:rPr>
            </w:pPr>
          </w:p>
        </w:tc>
      </w:tr>
      <w:tr w14:paraId="7515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2A6BEDB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2CFBC6AC">
            <w:pPr>
              <w:spacing w:line="360" w:lineRule="auto"/>
              <w:ind w:right="-55" w:firstLine="472"/>
              <w:jc w:val="center"/>
              <w:rPr>
                <w:rFonts w:hint="eastAsia" w:ascii="宋体" w:hAnsi="宋体" w:eastAsia="宋体" w:cs="宋体"/>
                <w:szCs w:val="21"/>
                <w:highlight w:val="none"/>
              </w:rPr>
            </w:pPr>
          </w:p>
        </w:tc>
        <w:tc>
          <w:tcPr>
            <w:tcW w:w="689" w:type="pct"/>
            <w:vAlign w:val="center"/>
          </w:tcPr>
          <w:p w14:paraId="7970424C">
            <w:pPr>
              <w:spacing w:line="360" w:lineRule="auto"/>
              <w:ind w:right="-55" w:firstLine="472"/>
              <w:jc w:val="center"/>
              <w:rPr>
                <w:rFonts w:hint="eastAsia" w:ascii="宋体" w:hAnsi="宋体" w:eastAsia="宋体" w:cs="宋体"/>
                <w:szCs w:val="21"/>
                <w:highlight w:val="none"/>
              </w:rPr>
            </w:pPr>
          </w:p>
        </w:tc>
        <w:tc>
          <w:tcPr>
            <w:tcW w:w="766" w:type="pct"/>
            <w:vAlign w:val="center"/>
          </w:tcPr>
          <w:p w14:paraId="0E96B78A">
            <w:pPr>
              <w:spacing w:line="360" w:lineRule="auto"/>
              <w:ind w:right="-55" w:firstLine="472"/>
              <w:jc w:val="center"/>
              <w:rPr>
                <w:rFonts w:hint="eastAsia" w:ascii="宋体" w:hAnsi="宋体" w:eastAsia="宋体" w:cs="宋体"/>
                <w:szCs w:val="21"/>
                <w:highlight w:val="none"/>
              </w:rPr>
            </w:pPr>
          </w:p>
        </w:tc>
        <w:tc>
          <w:tcPr>
            <w:tcW w:w="1039" w:type="pct"/>
            <w:vAlign w:val="center"/>
          </w:tcPr>
          <w:p w14:paraId="2496BD9E">
            <w:pPr>
              <w:spacing w:line="360" w:lineRule="auto"/>
              <w:ind w:right="-55" w:firstLine="472"/>
              <w:jc w:val="center"/>
              <w:rPr>
                <w:rFonts w:hint="eastAsia" w:ascii="宋体" w:hAnsi="宋体" w:eastAsia="宋体" w:cs="宋体"/>
                <w:szCs w:val="21"/>
                <w:highlight w:val="none"/>
              </w:rPr>
            </w:pPr>
          </w:p>
        </w:tc>
      </w:tr>
      <w:tr w14:paraId="28EB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B20057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25F6445F">
            <w:pPr>
              <w:spacing w:line="360" w:lineRule="auto"/>
              <w:ind w:right="-55" w:firstLine="472"/>
              <w:jc w:val="center"/>
              <w:rPr>
                <w:rFonts w:hint="eastAsia" w:ascii="宋体" w:hAnsi="宋体" w:eastAsia="宋体" w:cs="宋体"/>
                <w:szCs w:val="21"/>
                <w:highlight w:val="none"/>
              </w:rPr>
            </w:pPr>
          </w:p>
        </w:tc>
        <w:tc>
          <w:tcPr>
            <w:tcW w:w="689" w:type="pct"/>
            <w:vAlign w:val="center"/>
          </w:tcPr>
          <w:p w14:paraId="277BAB8E">
            <w:pPr>
              <w:spacing w:line="360" w:lineRule="auto"/>
              <w:ind w:right="-55" w:firstLine="472"/>
              <w:jc w:val="center"/>
              <w:rPr>
                <w:rFonts w:hint="eastAsia" w:ascii="宋体" w:hAnsi="宋体" w:eastAsia="宋体" w:cs="宋体"/>
                <w:szCs w:val="21"/>
                <w:highlight w:val="none"/>
              </w:rPr>
            </w:pPr>
          </w:p>
        </w:tc>
        <w:tc>
          <w:tcPr>
            <w:tcW w:w="766" w:type="pct"/>
            <w:vAlign w:val="center"/>
          </w:tcPr>
          <w:p w14:paraId="4C6CAAAC">
            <w:pPr>
              <w:spacing w:line="360" w:lineRule="auto"/>
              <w:ind w:right="-55" w:firstLine="472"/>
              <w:jc w:val="center"/>
              <w:rPr>
                <w:rFonts w:hint="eastAsia" w:ascii="宋体" w:hAnsi="宋体" w:eastAsia="宋体" w:cs="宋体"/>
                <w:szCs w:val="21"/>
                <w:highlight w:val="none"/>
              </w:rPr>
            </w:pPr>
          </w:p>
        </w:tc>
        <w:tc>
          <w:tcPr>
            <w:tcW w:w="1039" w:type="pct"/>
            <w:vAlign w:val="center"/>
          </w:tcPr>
          <w:p w14:paraId="55F3969F">
            <w:pPr>
              <w:spacing w:line="360" w:lineRule="auto"/>
              <w:ind w:right="-55" w:firstLine="472"/>
              <w:jc w:val="center"/>
              <w:rPr>
                <w:rFonts w:hint="eastAsia" w:ascii="宋体" w:hAnsi="宋体" w:eastAsia="宋体" w:cs="宋体"/>
                <w:szCs w:val="21"/>
                <w:highlight w:val="none"/>
              </w:rPr>
            </w:pPr>
          </w:p>
        </w:tc>
      </w:tr>
      <w:tr w14:paraId="06F3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0FE1507">
            <w:pPr>
              <w:spacing w:line="360" w:lineRule="auto"/>
              <w:ind w:right="-55"/>
              <w:jc w:val="both"/>
              <w:rPr>
                <w:rFonts w:hint="eastAsia" w:ascii="宋体" w:hAnsi="宋体" w:eastAsia="宋体" w:cs="宋体"/>
                <w:szCs w:val="21"/>
                <w:highlight w:val="none"/>
              </w:rPr>
            </w:pPr>
          </w:p>
        </w:tc>
        <w:tc>
          <w:tcPr>
            <w:tcW w:w="929" w:type="pct"/>
            <w:vAlign w:val="center"/>
          </w:tcPr>
          <w:p w14:paraId="55709832">
            <w:pPr>
              <w:spacing w:line="360" w:lineRule="auto"/>
              <w:ind w:right="-55" w:firstLine="472"/>
              <w:jc w:val="center"/>
              <w:rPr>
                <w:rFonts w:hint="eastAsia" w:ascii="宋体" w:hAnsi="宋体" w:eastAsia="宋体" w:cs="宋体"/>
                <w:szCs w:val="21"/>
                <w:highlight w:val="none"/>
              </w:rPr>
            </w:pPr>
          </w:p>
        </w:tc>
        <w:tc>
          <w:tcPr>
            <w:tcW w:w="689" w:type="pct"/>
            <w:vAlign w:val="center"/>
          </w:tcPr>
          <w:p w14:paraId="3B11A22D">
            <w:pPr>
              <w:spacing w:line="360" w:lineRule="auto"/>
              <w:ind w:right="-55" w:firstLine="472"/>
              <w:jc w:val="center"/>
              <w:rPr>
                <w:rFonts w:hint="eastAsia" w:ascii="宋体" w:hAnsi="宋体" w:eastAsia="宋体" w:cs="宋体"/>
                <w:szCs w:val="21"/>
                <w:highlight w:val="none"/>
              </w:rPr>
            </w:pPr>
          </w:p>
        </w:tc>
        <w:tc>
          <w:tcPr>
            <w:tcW w:w="766" w:type="pct"/>
            <w:vAlign w:val="center"/>
          </w:tcPr>
          <w:p w14:paraId="5C5C8478">
            <w:pPr>
              <w:spacing w:line="360" w:lineRule="auto"/>
              <w:ind w:right="-55" w:firstLine="472"/>
              <w:jc w:val="center"/>
              <w:rPr>
                <w:rFonts w:hint="eastAsia" w:ascii="宋体" w:hAnsi="宋体" w:eastAsia="宋体" w:cs="宋体"/>
                <w:szCs w:val="21"/>
                <w:highlight w:val="none"/>
              </w:rPr>
            </w:pPr>
          </w:p>
        </w:tc>
        <w:tc>
          <w:tcPr>
            <w:tcW w:w="1039" w:type="pct"/>
            <w:vAlign w:val="center"/>
          </w:tcPr>
          <w:p w14:paraId="232DD35B">
            <w:pPr>
              <w:spacing w:line="360" w:lineRule="auto"/>
              <w:ind w:right="-55" w:firstLine="472"/>
              <w:jc w:val="center"/>
              <w:rPr>
                <w:rFonts w:hint="eastAsia" w:ascii="宋体" w:hAnsi="宋体" w:eastAsia="宋体" w:cs="宋体"/>
                <w:szCs w:val="21"/>
                <w:highlight w:val="none"/>
              </w:rPr>
            </w:pPr>
          </w:p>
        </w:tc>
      </w:tr>
      <w:tr w14:paraId="31AC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FEE90D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2F3E9CAE">
            <w:pPr>
              <w:spacing w:line="360" w:lineRule="auto"/>
              <w:ind w:right="-55" w:firstLine="472"/>
              <w:jc w:val="center"/>
              <w:rPr>
                <w:rFonts w:hint="eastAsia" w:ascii="宋体" w:hAnsi="宋体" w:eastAsia="宋体" w:cs="宋体"/>
                <w:szCs w:val="21"/>
                <w:highlight w:val="none"/>
              </w:rPr>
            </w:pPr>
          </w:p>
        </w:tc>
        <w:tc>
          <w:tcPr>
            <w:tcW w:w="689" w:type="pct"/>
            <w:vAlign w:val="center"/>
          </w:tcPr>
          <w:p w14:paraId="511B1C45">
            <w:pPr>
              <w:spacing w:line="360" w:lineRule="auto"/>
              <w:ind w:right="-55" w:firstLine="472"/>
              <w:jc w:val="center"/>
              <w:rPr>
                <w:rFonts w:hint="eastAsia" w:ascii="宋体" w:hAnsi="宋体" w:eastAsia="宋体" w:cs="宋体"/>
                <w:szCs w:val="21"/>
                <w:highlight w:val="none"/>
              </w:rPr>
            </w:pPr>
          </w:p>
        </w:tc>
        <w:tc>
          <w:tcPr>
            <w:tcW w:w="766" w:type="pct"/>
            <w:vAlign w:val="center"/>
          </w:tcPr>
          <w:p w14:paraId="75DB735A">
            <w:pPr>
              <w:spacing w:line="360" w:lineRule="auto"/>
              <w:ind w:right="-55" w:firstLine="472"/>
              <w:jc w:val="center"/>
              <w:rPr>
                <w:rFonts w:hint="eastAsia" w:ascii="宋体" w:hAnsi="宋体" w:eastAsia="宋体" w:cs="宋体"/>
                <w:szCs w:val="21"/>
                <w:highlight w:val="none"/>
              </w:rPr>
            </w:pPr>
          </w:p>
        </w:tc>
        <w:tc>
          <w:tcPr>
            <w:tcW w:w="1039" w:type="pct"/>
            <w:vAlign w:val="center"/>
          </w:tcPr>
          <w:p w14:paraId="20545D50">
            <w:pPr>
              <w:spacing w:line="360" w:lineRule="auto"/>
              <w:ind w:right="-55" w:firstLine="472"/>
              <w:jc w:val="center"/>
              <w:rPr>
                <w:rFonts w:hint="eastAsia" w:ascii="宋体" w:hAnsi="宋体" w:eastAsia="宋体" w:cs="宋体"/>
                <w:szCs w:val="21"/>
                <w:highlight w:val="none"/>
              </w:rPr>
            </w:pPr>
          </w:p>
        </w:tc>
      </w:tr>
    </w:tbl>
    <w:p w14:paraId="6359E955">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5AC7ABF6">
      <w:pPr>
        <w:pStyle w:val="5"/>
        <w:numPr>
          <w:ilvl w:val="1"/>
          <w:numId w:val="13"/>
        </w:numPr>
        <w:rPr>
          <w:rFonts w:hint="eastAsia" w:ascii="宋体" w:hAnsi="宋体" w:eastAsia="宋体" w:cs="宋体"/>
          <w:highlight w:val="none"/>
        </w:rPr>
      </w:pPr>
      <w:bookmarkStart w:id="122" w:name="_Toc18330"/>
      <w:bookmarkStart w:id="123" w:name="_Toc104"/>
      <w:bookmarkStart w:id="124" w:name="_Toc25035"/>
      <w:bookmarkStart w:id="125" w:name="_Toc68688822"/>
      <w:bookmarkStart w:id="126" w:name="_Toc56432254"/>
      <w:bookmarkStart w:id="127" w:name="_Toc15928"/>
      <w:bookmarkStart w:id="128" w:name="_Toc1651923"/>
      <w:r>
        <w:rPr>
          <w:rFonts w:hint="eastAsia" w:ascii="宋体" w:hAnsi="宋体" w:eastAsia="宋体" w:cs="宋体"/>
          <w:highlight w:val="none"/>
        </w:rPr>
        <w:t>本项目的实施方案</w:t>
      </w:r>
      <w:bookmarkEnd w:id="122"/>
      <w:bookmarkEnd w:id="123"/>
      <w:bookmarkEnd w:id="124"/>
    </w:p>
    <w:p w14:paraId="367D7206">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65D84322">
      <w:pPr>
        <w:widowControl/>
        <w:numPr>
          <w:ilvl w:val="0"/>
          <w:numId w:val="0"/>
        </w:numPr>
        <w:jc w:val="left"/>
        <w:rPr>
          <w:rFonts w:hint="eastAsia" w:ascii="宋体" w:hAnsi="宋体" w:cs="宋体"/>
          <w:kern w:val="2"/>
          <w:sz w:val="21"/>
          <w:szCs w:val="24"/>
          <w:lang w:val="en-US" w:eastAsia="zh-CN" w:bidi="ar-SA"/>
        </w:rPr>
      </w:pPr>
    </w:p>
    <w:p w14:paraId="29ABF207">
      <w:pPr>
        <w:widowControl/>
        <w:numPr>
          <w:ilvl w:val="0"/>
          <w:numId w:val="0"/>
        </w:numPr>
        <w:jc w:val="left"/>
        <w:rPr>
          <w:rFonts w:hint="eastAsia" w:ascii="宋体" w:hAnsi="宋体" w:cs="宋体"/>
          <w:kern w:val="2"/>
          <w:sz w:val="21"/>
          <w:szCs w:val="24"/>
          <w:lang w:val="en-US" w:eastAsia="zh-CN" w:bidi="ar-SA"/>
        </w:rPr>
      </w:pPr>
    </w:p>
    <w:p w14:paraId="341C661E">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服务方案应包括但不限于以下内容：</w:t>
      </w:r>
    </w:p>
    <w:p w14:paraId="5DA5474A">
      <w:pPr>
        <w:widowControl/>
        <w:numPr>
          <w:ilvl w:val="0"/>
          <w:numId w:val="0"/>
        </w:numPr>
        <w:jc w:val="left"/>
        <w:rPr>
          <w:rFonts w:hint="default" w:ascii="宋体" w:hAnsi="宋体" w:cs="宋体"/>
          <w:highlight w:val="none"/>
          <w:lang w:val="en-US" w:eastAsia="zh-CN"/>
        </w:rPr>
      </w:pPr>
      <w:r>
        <w:rPr>
          <w:rFonts w:hint="eastAsia" w:ascii="宋体" w:hAnsi="宋体" w:cs="宋体"/>
          <w:highlight w:val="none"/>
          <w:lang w:val="en-US" w:eastAsia="zh-CN"/>
        </w:rPr>
        <w:t>1.供应商服务能力介绍（如：偿付能力介绍（包括</w:t>
      </w:r>
      <w:r>
        <w:rPr>
          <w:rFonts w:hint="eastAsia" w:ascii="宋体" w:hAnsi="宋体" w:cs="宋体"/>
          <w:szCs w:val="21"/>
        </w:rPr>
        <w:t>综合偿付能力充足率</w:t>
      </w:r>
      <w:r>
        <w:rPr>
          <w:rFonts w:hint="eastAsia" w:ascii="宋体" w:hAnsi="宋体" w:cs="宋体"/>
          <w:szCs w:val="21"/>
          <w:lang w:eastAsia="zh-CN"/>
        </w:rPr>
        <w:t>、</w:t>
      </w:r>
      <w:r>
        <w:rPr>
          <w:rFonts w:hint="eastAsia" w:ascii="宋体" w:hAnsi="宋体" w:cs="宋体"/>
          <w:szCs w:val="21"/>
        </w:rPr>
        <w:t>核心偿付能力充足率</w:t>
      </w:r>
      <w:r>
        <w:rPr>
          <w:rFonts w:hint="eastAsia" w:ascii="宋体" w:hAnsi="宋体" w:cs="宋体"/>
          <w:szCs w:val="21"/>
          <w:lang w:eastAsia="zh-CN"/>
        </w:rPr>
        <w:t>、</w:t>
      </w:r>
      <w:r>
        <w:rPr>
          <w:rFonts w:hint="eastAsia" w:ascii="宋体" w:hAnsi="宋体" w:cs="宋体"/>
          <w:szCs w:val="21"/>
          <w:lang w:val="en-US" w:eastAsia="zh-CN"/>
        </w:rPr>
        <w:t>最新</w:t>
      </w:r>
      <w:r>
        <w:rPr>
          <w:rFonts w:hint="eastAsia" w:ascii="宋体" w:hAnsi="宋体"/>
          <w:szCs w:val="21"/>
        </w:rPr>
        <w:t>季度风险综合评级</w:t>
      </w:r>
      <w:r>
        <w:rPr>
          <w:rFonts w:hint="eastAsia" w:ascii="宋体" w:hAnsi="宋体"/>
          <w:szCs w:val="21"/>
          <w:lang w:val="en-US" w:eastAsia="zh-CN"/>
        </w:rPr>
        <w:t>等内容</w:t>
      </w:r>
      <w:r>
        <w:rPr>
          <w:rFonts w:hint="eastAsia" w:ascii="宋体" w:hAnsi="宋体" w:cs="宋体"/>
          <w:highlight w:val="none"/>
          <w:lang w:val="en-US" w:eastAsia="zh-CN"/>
        </w:rPr>
        <w:t>）、理赔响应时效方案等）</w:t>
      </w:r>
    </w:p>
    <w:p w14:paraId="69FBBAD0">
      <w:pPr>
        <w:widowControl/>
        <w:numPr>
          <w:ilvl w:val="0"/>
          <w:numId w:val="0"/>
        </w:numPr>
        <w:jc w:val="left"/>
        <w:rPr>
          <w:rFonts w:hint="default" w:ascii="宋体" w:hAnsi="宋体" w:cs="宋体"/>
          <w:highlight w:val="none"/>
          <w:lang w:val="en-US" w:eastAsia="zh-CN"/>
        </w:rPr>
      </w:pPr>
      <w:r>
        <w:rPr>
          <w:rFonts w:hint="eastAsia" w:ascii="宋体" w:hAnsi="宋体" w:cs="宋体"/>
          <w:highlight w:val="none"/>
          <w:lang w:val="en-US" w:eastAsia="zh-CN"/>
        </w:rPr>
        <w:t>2.本项目服务方案（如：</w:t>
      </w:r>
      <w:r>
        <w:rPr>
          <w:rFonts w:hint="eastAsia" w:ascii="宋体" w:hAnsi="宋体" w:cs="宋体"/>
          <w:szCs w:val="21"/>
        </w:rPr>
        <w:t>员工医药费用报销</w:t>
      </w:r>
      <w:r>
        <w:rPr>
          <w:rFonts w:hint="eastAsia" w:ascii="宋体" w:hAnsi="宋体" w:cs="宋体"/>
          <w:szCs w:val="21"/>
          <w:lang w:val="en-US" w:eastAsia="zh-CN"/>
        </w:rPr>
        <w:t>服务方案、理赔流程详细说明等</w:t>
      </w:r>
      <w:r>
        <w:rPr>
          <w:rFonts w:hint="eastAsia" w:ascii="宋体" w:hAnsi="宋体" w:cs="宋体"/>
          <w:highlight w:val="none"/>
          <w:lang w:val="en-US" w:eastAsia="zh-CN"/>
        </w:rPr>
        <w:t>）</w:t>
      </w:r>
    </w:p>
    <w:p w14:paraId="143553AA">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highlight w:val="none"/>
          <w:lang w:val="en-US" w:eastAsia="zh-CN"/>
        </w:rPr>
        <w:t>3.</w:t>
      </w:r>
      <w:r>
        <w:rPr>
          <w:rFonts w:hint="eastAsia" w:ascii="宋体" w:hAnsi="宋体" w:eastAsia="宋体" w:cs="宋体"/>
          <w:highlight w:val="none"/>
        </w:rPr>
        <w:t>其他</w:t>
      </w:r>
      <w:r>
        <w:rPr>
          <w:rFonts w:hint="eastAsia" w:ascii="宋体" w:hAnsi="宋体" w:cs="宋体"/>
          <w:highlight w:val="none"/>
          <w:lang w:val="en-US" w:eastAsia="zh-CN"/>
        </w:rPr>
        <w:t>增值服务</w:t>
      </w:r>
      <w:r>
        <w:rPr>
          <w:rFonts w:hint="eastAsia" w:ascii="宋体" w:hAnsi="宋体" w:eastAsia="宋体" w:cs="宋体"/>
          <w:highlight w:val="none"/>
        </w:rPr>
        <w:t>（注：内容自定，</w:t>
      </w:r>
      <w:r>
        <w:rPr>
          <w:rFonts w:hint="eastAsia"/>
          <w:szCs w:val="21"/>
        </w:rPr>
        <w:t>如员工及家属保险团购价优惠、网上问诊、重疾员工就医协助等</w:t>
      </w:r>
      <w:r>
        <w:rPr>
          <w:rFonts w:hint="eastAsia" w:ascii="宋体" w:hAnsi="宋体" w:eastAsia="宋体" w:cs="宋体"/>
          <w:highlight w:val="none"/>
        </w:rPr>
        <w:t>）</w:t>
      </w:r>
      <w:r>
        <w:rPr>
          <w:rFonts w:hint="eastAsia" w:ascii="宋体" w:hAnsi="宋体" w:eastAsia="宋体" w:cs="宋体"/>
          <w:highlight w:val="none"/>
        </w:rPr>
        <w:br w:type="page"/>
      </w:r>
    </w:p>
    <w:p w14:paraId="2433F310">
      <w:pPr>
        <w:pStyle w:val="5"/>
        <w:numPr>
          <w:ilvl w:val="1"/>
          <w:numId w:val="13"/>
        </w:numPr>
        <w:rPr>
          <w:rFonts w:hint="eastAsia" w:ascii="宋体" w:hAnsi="宋体" w:eastAsia="宋体" w:cs="宋体"/>
          <w:highlight w:val="none"/>
        </w:rPr>
      </w:pPr>
      <w:bookmarkStart w:id="129" w:name="_Toc17083"/>
      <w:bookmarkStart w:id="130" w:name="_Toc29130"/>
      <w:bookmarkStart w:id="131" w:name="_Toc9512"/>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125"/>
      <w:bookmarkEnd w:id="126"/>
      <w:bookmarkEnd w:id="127"/>
      <w:bookmarkEnd w:id="128"/>
      <w:bookmarkEnd w:id="129"/>
      <w:r>
        <w:rPr>
          <w:rFonts w:hint="eastAsia" w:ascii="宋体" w:hAnsi="宋体" w:eastAsia="宋体" w:cs="宋体"/>
          <w:highlight w:val="none"/>
        </w:rPr>
        <w:t>函</w:t>
      </w:r>
      <w:bookmarkEnd w:id="130"/>
      <w:bookmarkEnd w:id="131"/>
    </w:p>
    <w:p w14:paraId="424E4D2A">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今日广东国际传播中心团体意外险项目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14:paraId="3F6526D4">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今日（广东）国际传播有限公司</w:t>
      </w:r>
      <w:r>
        <w:rPr>
          <w:rFonts w:hint="eastAsia" w:ascii="宋体" w:hAnsi="宋体" w:eastAsia="宋体" w:cs="宋体"/>
          <w:b/>
          <w:sz w:val="21"/>
          <w:szCs w:val="21"/>
        </w:rPr>
        <w:t>：</w:t>
      </w:r>
    </w:p>
    <w:p w14:paraId="075F71F6">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eastAsia="zh-CN"/>
        </w:rPr>
        <w:t>今日广东国际传播中心团体意外险项目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eastAsia="zh-CN"/>
        </w:rPr>
        <w:t>JC-202505007</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4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6878"/>
      </w:tblGrid>
      <w:tr w14:paraId="2A0F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6BDC07AE">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2F98863E">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eastAsia="zh-CN"/>
              </w:rPr>
              <w:t>今日广东国际传播中心团体意外险项目</w:t>
            </w:r>
          </w:p>
        </w:tc>
      </w:tr>
      <w:tr w14:paraId="5C9FA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176DC53F">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44A59B4E">
            <w:pPr>
              <w:widowControl/>
              <w:jc w:val="center"/>
              <w:textAlignment w:val="center"/>
              <w:rPr>
                <w:rFonts w:hint="default" w:ascii="宋体" w:hAnsi="宋体" w:cs="宋体"/>
                <w:b w:val="0"/>
                <w:bCs w:val="0"/>
                <w:color w:val="000000"/>
                <w:sz w:val="21"/>
                <w:szCs w:val="21"/>
                <w:u w:val="none"/>
                <w:lang w:val="en-US" w:eastAsia="zh-CN"/>
              </w:rPr>
            </w:pPr>
            <w:r>
              <w:rPr>
                <w:rFonts w:hint="eastAsia" w:ascii="宋体" w:hAnsi="宋体" w:cs="宋体"/>
                <w:b w:val="0"/>
                <w:bCs w:val="0"/>
                <w:color w:val="000000"/>
                <w:sz w:val="21"/>
                <w:szCs w:val="21"/>
                <w:u w:val="none"/>
                <w:lang w:val="en-US" w:eastAsia="zh-CN"/>
              </w:rPr>
              <w:t>正式员工/见习员工团体意外险保险费：</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cs="宋体"/>
                <w:b w:val="0"/>
                <w:bCs w:val="0"/>
                <w:color w:val="000000"/>
                <w:sz w:val="21"/>
                <w:szCs w:val="21"/>
                <w:u w:val="none"/>
                <w:lang w:val="en-US" w:eastAsia="zh-CN"/>
              </w:rPr>
              <w:t>元/年/人</w:t>
            </w:r>
          </w:p>
          <w:p w14:paraId="5E81A6F7">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cs="宋体"/>
                <w:b w:val="0"/>
                <w:bCs w:val="0"/>
                <w:color w:val="000000"/>
                <w:sz w:val="21"/>
                <w:szCs w:val="21"/>
                <w:u w:val="none"/>
                <w:lang w:val="en-US" w:eastAsia="zh-CN"/>
              </w:rPr>
              <w:t>实习生团体意外险保险费：</w:t>
            </w:r>
            <w:r>
              <w:rPr>
                <w:rFonts w:hint="eastAsia" w:ascii="宋体" w:hAnsi="宋体" w:cs="宋体"/>
                <w:b w:val="0"/>
                <w:bCs w:val="0"/>
                <w:color w:val="000000"/>
                <w:sz w:val="21"/>
                <w:szCs w:val="21"/>
                <w:u w:val="single"/>
                <w:lang w:val="en-US" w:eastAsia="zh-CN"/>
              </w:rPr>
              <w:t xml:space="preserve">       </w:t>
            </w:r>
            <w:r>
              <w:rPr>
                <w:rFonts w:hint="eastAsia" w:ascii="宋体" w:hAnsi="宋体" w:cs="宋体"/>
                <w:b w:val="0"/>
                <w:bCs w:val="0"/>
                <w:color w:val="000000"/>
                <w:sz w:val="21"/>
                <w:szCs w:val="21"/>
                <w:u w:val="none"/>
                <w:lang w:val="en-US" w:eastAsia="zh-CN"/>
              </w:rPr>
              <w:t>元/年/人</w:t>
            </w:r>
          </w:p>
        </w:tc>
      </w:tr>
      <w:tr w14:paraId="3E14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6216A4C2">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7BAAB0D7">
            <w:pPr>
              <w:pStyle w:val="2"/>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53BB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62F062A3">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2B1007D7">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7D850181">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257C2162">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2124FE52">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7E90972E">
      <w:pPr>
        <w:rPr>
          <w:rFonts w:hint="eastAsia"/>
          <w:lang w:eastAsia="zh-CN"/>
        </w:rPr>
      </w:pPr>
    </w:p>
    <w:p w14:paraId="4F82239A">
      <w:pPr>
        <w:rPr>
          <w:rFonts w:hint="eastAsia" w:ascii="宋体" w:hAnsi="宋体" w:eastAsia="宋体" w:cs="宋体"/>
          <w:szCs w:val="21"/>
          <w:lang w:eastAsia="zh-CN"/>
        </w:rPr>
      </w:pPr>
    </w:p>
    <w:sectPr>
      <w:footerReference r:id="rId10" w:type="default"/>
      <w:pgSz w:w="11906" w:h="16838"/>
      <w:pgMar w:top="1418"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1" w:fontKey="{65462A9A-F33F-45DE-84E3-E9BDA619A06A}"/>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7DCFDF43-AEB5-4EF0-8565-CFC5ACC10564}"/>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967F4">
    <w:pPr>
      <w:pStyle w:val="27"/>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ABAFA">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216ABAFA">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C5DB7">
    <w:pPr>
      <w:pStyle w:val="27"/>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DABC9">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162DABC9">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0093B">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9D4F1">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7B9D4F1">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FA7E7">
    <w:pPr>
      <w:jc w:val="center"/>
      <w:rPr>
        <w:rFonts w:asciiTheme="minorEastAsia" w:hAnsiTheme="minorEastAsia" w:eastAsiaTheme="minorEastAsia"/>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F77971">
                          <w:pPr>
                            <w:pStyle w:val="27"/>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1F77971">
                    <w:pPr>
                      <w:pStyle w:val="27"/>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sdtPr>
    <w:sdtContent>
      <w:p w14:paraId="088110B4">
        <w:pPr>
          <w:pStyle w:val="27"/>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80BE">
    <w:pPr>
      <w:pStyle w:val="2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38DC9A">
                          <w:pPr>
                            <w:pStyle w:val="2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438DC9A">
                    <w:pPr>
                      <w:pStyle w:val="2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01B60">
    <w:pPr>
      <w:pStyle w:val="29"/>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31CE">
    <w:pPr>
      <w:pStyle w:val="29"/>
      <w:jc w:val="right"/>
      <w:rPr>
        <w:rFonts w:ascii="宋体" w:hAnsi="宋体"/>
      </w:rPr>
    </w:pPr>
    <w:r>
      <w:rPr>
        <w:rFonts w:hint="eastAsia" w:ascii="宋体" w:hAnsi="宋体"/>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48B51"/>
    <w:multiLevelType w:val="singleLevel"/>
    <w:tmpl w:val="87448B51"/>
    <w:lvl w:ilvl="0" w:tentative="0">
      <w:start w:val="1"/>
      <w:numFmt w:val="chineseCounting"/>
      <w:suff w:val="nothing"/>
      <w:lvlText w:val="%1、"/>
      <w:lvlJc w:val="left"/>
      <w:rPr>
        <w:rFonts w:hint="eastAsia"/>
      </w:rPr>
    </w:lvl>
  </w:abstractNum>
  <w:abstractNum w:abstractNumId="1">
    <w:nsid w:val="8EB48046"/>
    <w:multiLevelType w:val="singleLevel"/>
    <w:tmpl w:val="8EB48046"/>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2">
    <w:nsid w:val="A46111B9"/>
    <w:multiLevelType w:val="singleLevel"/>
    <w:tmpl w:val="A46111B9"/>
    <w:lvl w:ilvl="0" w:tentative="0">
      <w:start w:val="3"/>
      <w:numFmt w:val="chineseCounting"/>
      <w:suff w:val="space"/>
      <w:lvlText w:val="第%1章"/>
      <w:lvlJc w:val="left"/>
      <w:rPr>
        <w:rFonts w:hint="eastAsia"/>
      </w:rPr>
    </w:lvl>
  </w:abstractNum>
  <w:abstractNum w:abstractNumId="3">
    <w:nsid w:val="BB7163BE"/>
    <w:multiLevelType w:val="singleLevel"/>
    <w:tmpl w:val="BB7163BE"/>
    <w:lvl w:ilvl="0" w:tentative="0">
      <w:start w:val="2"/>
      <w:numFmt w:val="decimal"/>
      <w:lvlText w:val="%1."/>
      <w:lvlJc w:val="left"/>
      <w:pPr>
        <w:tabs>
          <w:tab w:val="left" w:pos="312"/>
        </w:tabs>
      </w:pPr>
    </w:lvl>
  </w:abstractNum>
  <w:abstractNum w:abstractNumId="4">
    <w:nsid w:val="CA2F63DF"/>
    <w:multiLevelType w:val="singleLevel"/>
    <w:tmpl w:val="CA2F63DF"/>
    <w:lvl w:ilvl="0" w:tentative="0">
      <w:start w:val="3"/>
      <w:numFmt w:val="chineseCounting"/>
      <w:suff w:val="nothing"/>
      <w:lvlText w:val="%1、"/>
      <w:lvlJc w:val="left"/>
      <w:rPr>
        <w:rFonts w:hint="eastAsia"/>
      </w:rPr>
    </w:lvl>
  </w:abstractNum>
  <w:abstractNum w:abstractNumId="5">
    <w:nsid w:val="DA5A4C52"/>
    <w:multiLevelType w:val="singleLevel"/>
    <w:tmpl w:val="DA5A4C52"/>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6">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230B51C"/>
    <w:multiLevelType w:val="singleLevel"/>
    <w:tmpl w:val="3230B51C"/>
    <w:lvl w:ilvl="0" w:tentative="0">
      <w:start w:val="4"/>
      <w:numFmt w:val="chineseCounting"/>
      <w:suff w:val="nothing"/>
      <w:lvlText w:val="%1、"/>
      <w:lvlJc w:val="left"/>
      <w:rPr>
        <w:rFonts w:hint="eastAsia"/>
      </w:rPr>
    </w:lvl>
  </w:abstractNum>
  <w:abstractNum w:abstractNumId="10">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61BC8251"/>
    <w:multiLevelType w:val="singleLevel"/>
    <w:tmpl w:val="61BC8251"/>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13">
    <w:nsid w:val="649FA7A7"/>
    <w:multiLevelType w:val="singleLevel"/>
    <w:tmpl w:val="649FA7A7"/>
    <w:lvl w:ilvl="0" w:tentative="0">
      <w:start w:val="1"/>
      <w:numFmt w:val="chineseCounting"/>
      <w:suff w:val="nothing"/>
      <w:lvlText w:val="%1、"/>
      <w:lvlJc w:val="left"/>
      <w:rPr>
        <w:rFonts w:hint="eastAsia" w:ascii="黑体" w:hAnsi="黑体" w:eastAsia="黑体" w:cs="黑体"/>
        <w:b/>
        <w:bCs/>
        <w:sz w:val="21"/>
        <w:szCs w:val="21"/>
      </w:rPr>
    </w:lvl>
  </w:abstractNum>
  <w:abstractNum w:abstractNumId="1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0"/>
  </w:num>
  <w:num w:numId="2">
    <w:abstractNumId w:val="13"/>
  </w:num>
  <w:num w:numId="3">
    <w:abstractNumId w:val="1"/>
  </w:num>
  <w:num w:numId="4">
    <w:abstractNumId w:val="5"/>
  </w:num>
  <w:num w:numId="5">
    <w:abstractNumId w:val="12"/>
  </w:num>
  <w:num w:numId="6">
    <w:abstractNumId w:val="8"/>
  </w:num>
  <w:num w:numId="7">
    <w:abstractNumId w:val="2"/>
  </w:num>
  <w:num w:numId="8">
    <w:abstractNumId w:val="11"/>
  </w:num>
  <w:num w:numId="9">
    <w:abstractNumId w:val="0"/>
  </w:num>
  <w:num w:numId="10">
    <w:abstractNumId w:val="3"/>
  </w:num>
  <w:num w:numId="11">
    <w:abstractNumId w:val="4"/>
  </w:num>
  <w:num w:numId="12">
    <w:abstractNumId w:val="9"/>
  </w:num>
  <w:num w:numId="13">
    <w:abstractNumId w:val="7"/>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0ZGNiMzZhNDI0NTgzNmM2ZTVlZTc5OTMxODY0NjUifQ=="/>
  </w:docVars>
  <w:rsids>
    <w:rsidRoot w:val="006D1E24"/>
    <w:rsid w:val="000019DC"/>
    <w:rsid w:val="00001D14"/>
    <w:rsid w:val="00001F9E"/>
    <w:rsid w:val="00004907"/>
    <w:rsid w:val="00005869"/>
    <w:rsid w:val="0000597B"/>
    <w:rsid w:val="0000738B"/>
    <w:rsid w:val="00010968"/>
    <w:rsid w:val="000124EE"/>
    <w:rsid w:val="00016CB3"/>
    <w:rsid w:val="00020D9C"/>
    <w:rsid w:val="0002129D"/>
    <w:rsid w:val="0002141C"/>
    <w:rsid w:val="00021888"/>
    <w:rsid w:val="00021A11"/>
    <w:rsid w:val="0002398D"/>
    <w:rsid w:val="0002413D"/>
    <w:rsid w:val="00027253"/>
    <w:rsid w:val="00027794"/>
    <w:rsid w:val="00033ED9"/>
    <w:rsid w:val="0003775A"/>
    <w:rsid w:val="0004206C"/>
    <w:rsid w:val="0004255D"/>
    <w:rsid w:val="000445C6"/>
    <w:rsid w:val="0004718C"/>
    <w:rsid w:val="00047CB9"/>
    <w:rsid w:val="00047E9C"/>
    <w:rsid w:val="00051CBD"/>
    <w:rsid w:val="000560BC"/>
    <w:rsid w:val="00061656"/>
    <w:rsid w:val="00061B23"/>
    <w:rsid w:val="00061E84"/>
    <w:rsid w:val="00062473"/>
    <w:rsid w:val="00062A74"/>
    <w:rsid w:val="00063079"/>
    <w:rsid w:val="00065450"/>
    <w:rsid w:val="000665A5"/>
    <w:rsid w:val="00073E0B"/>
    <w:rsid w:val="00081C20"/>
    <w:rsid w:val="0008220C"/>
    <w:rsid w:val="00082ABD"/>
    <w:rsid w:val="00084ED1"/>
    <w:rsid w:val="000901AA"/>
    <w:rsid w:val="0009128A"/>
    <w:rsid w:val="00092670"/>
    <w:rsid w:val="000944A0"/>
    <w:rsid w:val="00094678"/>
    <w:rsid w:val="00096BF6"/>
    <w:rsid w:val="000975BF"/>
    <w:rsid w:val="000A0B43"/>
    <w:rsid w:val="000A0EF5"/>
    <w:rsid w:val="000A1448"/>
    <w:rsid w:val="000A1CA4"/>
    <w:rsid w:val="000A2258"/>
    <w:rsid w:val="000A250B"/>
    <w:rsid w:val="000A3C93"/>
    <w:rsid w:val="000A71E6"/>
    <w:rsid w:val="000B256E"/>
    <w:rsid w:val="000B55EC"/>
    <w:rsid w:val="000B6EB8"/>
    <w:rsid w:val="000B731B"/>
    <w:rsid w:val="000C01FA"/>
    <w:rsid w:val="000C09BF"/>
    <w:rsid w:val="000C1E9B"/>
    <w:rsid w:val="000C37EF"/>
    <w:rsid w:val="000C5D3C"/>
    <w:rsid w:val="000C62C7"/>
    <w:rsid w:val="000D090B"/>
    <w:rsid w:val="000D1A9E"/>
    <w:rsid w:val="000D202B"/>
    <w:rsid w:val="000D2B76"/>
    <w:rsid w:val="000D2C2A"/>
    <w:rsid w:val="000E045B"/>
    <w:rsid w:val="000E1C06"/>
    <w:rsid w:val="000E28EF"/>
    <w:rsid w:val="000E2B1C"/>
    <w:rsid w:val="000E2DD2"/>
    <w:rsid w:val="000E362C"/>
    <w:rsid w:val="000E4B58"/>
    <w:rsid w:val="000E5C88"/>
    <w:rsid w:val="000E5F8C"/>
    <w:rsid w:val="000E65C0"/>
    <w:rsid w:val="000E68A1"/>
    <w:rsid w:val="000F175B"/>
    <w:rsid w:val="000F3D64"/>
    <w:rsid w:val="000F6AD7"/>
    <w:rsid w:val="000F6C5A"/>
    <w:rsid w:val="00100735"/>
    <w:rsid w:val="00102BE9"/>
    <w:rsid w:val="00102C6F"/>
    <w:rsid w:val="00104246"/>
    <w:rsid w:val="00105188"/>
    <w:rsid w:val="001051DB"/>
    <w:rsid w:val="00107748"/>
    <w:rsid w:val="00107807"/>
    <w:rsid w:val="00107E05"/>
    <w:rsid w:val="00110A63"/>
    <w:rsid w:val="00110B1E"/>
    <w:rsid w:val="001112C1"/>
    <w:rsid w:val="00116CBA"/>
    <w:rsid w:val="00120CA5"/>
    <w:rsid w:val="0012225B"/>
    <w:rsid w:val="00123F97"/>
    <w:rsid w:val="00125693"/>
    <w:rsid w:val="001306E5"/>
    <w:rsid w:val="00135887"/>
    <w:rsid w:val="00135891"/>
    <w:rsid w:val="0013604E"/>
    <w:rsid w:val="001370BD"/>
    <w:rsid w:val="00141291"/>
    <w:rsid w:val="001413DE"/>
    <w:rsid w:val="00141EF0"/>
    <w:rsid w:val="00144EE1"/>
    <w:rsid w:val="001464EC"/>
    <w:rsid w:val="001476AF"/>
    <w:rsid w:val="00147EC5"/>
    <w:rsid w:val="001521DF"/>
    <w:rsid w:val="001523E0"/>
    <w:rsid w:val="001529A3"/>
    <w:rsid w:val="00152FC0"/>
    <w:rsid w:val="001558E8"/>
    <w:rsid w:val="001559C5"/>
    <w:rsid w:val="00156AD9"/>
    <w:rsid w:val="001622FD"/>
    <w:rsid w:val="00170461"/>
    <w:rsid w:val="00170A2B"/>
    <w:rsid w:val="001712B8"/>
    <w:rsid w:val="001714FB"/>
    <w:rsid w:val="00173C41"/>
    <w:rsid w:val="00174F8F"/>
    <w:rsid w:val="00176386"/>
    <w:rsid w:val="001773FF"/>
    <w:rsid w:val="0018045D"/>
    <w:rsid w:val="00180FCE"/>
    <w:rsid w:val="00182766"/>
    <w:rsid w:val="001830EA"/>
    <w:rsid w:val="001845D4"/>
    <w:rsid w:val="001848F1"/>
    <w:rsid w:val="00184F2C"/>
    <w:rsid w:val="001851E3"/>
    <w:rsid w:val="00186411"/>
    <w:rsid w:val="00186424"/>
    <w:rsid w:val="0018646D"/>
    <w:rsid w:val="001922AD"/>
    <w:rsid w:val="00193061"/>
    <w:rsid w:val="00193C19"/>
    <w:rsid w:val="00193C2A"/>
    <w:rsid w:val="00195240"/>
    <w:rsid w:val="00196397"/>
    <w:rsid w:val="00197154"/>
    <w:rsid w:val="001A0063"/>
    <w:rsid w:val="001A13AA"/>
    <w:rsid w:val="001A7B9F"/>
    <w:rsid w:val="001A7C37"/>
    <w:rsid w:val="001B03AE"/>
    <w:rsid w:val="001B0424"/>
    <w:rsid w:val="001B1E47"/>
    <w:rsid w:val="001B2099"/>
    <w:rsid w:val="001B2883"/>
    <w:rsid w:val="001B3F0F"/>
    <w:rsid w:val="001B5B42"/>
    <w:rsid w:val="001B79BF"/>
    <w:rsid w:val="001C162C"/>
    <w:rsid w:val="001C1E3D"/>
    <w:rsid w:val="001C2649"/>
    <w:rsid w:val="001C2B03"/>
    <w:rsid w:val="001C3F5C"/>
    <w:rsid w:val="001C5464"/>
    <w:rsid w:val="001C560E"/>
    <w:rsid w:val="001C59FC"/>
    <w:rsid w:val="001C5D49"/>
    <w:rsid w:val="001D0DDC"/>
    <w:rsid w:val="001D1275"/>
    <w:rsid w:val="001D201F"/>
    <w:rsid w:val="001D433D"/>
    <w:rsid w:val="001D618A"/>
    <w:rsid w:val="001D6D30"/>
    <w:rsid w:val="001E0048"/>
    <w:rsid w:val="001E15DC"/>
    <w:rsid w:val="001E254A"/>
    <w:rsid w:val="001E2A0A"/>
    <w:rsid w:val="001E39E7"/>
    <w:rsid w:val="001E4A17"/>
    <w:rsid w:val="001E7788"/>
    <w:rsid w:val="001F0FF1"/>
    <w:rsid w:val="001F2F59"/>
    <w:rsid w:val="001F4E16"/>
    <w:rsid w:val="001F5418"/>
    <w:rsid w:val="001F74E8"/>
    <w:rsid w:val="002001B4"/>
    <w:rsid w:val="002010F2"/>
    <w:rsid w:val="002017B3"/>
    <w:rsid w:val="0020216F"/>
    <w:rsid w:val="00204982"/>
    <w:rsid w:val="00205C2E"/>
    <w:rsid w:val="0020741B"/>
    <w:rsid w:val="00210392"/>
    <w:rsid w:val="002109CC"/>
    <w:rsid w:val="00213454"/>
    <w:rsid w:val="0021515C"/>
    <w:rsid w:val="00216A63"/>
    <w:rsid w:val="00217698"/>
    <w:rsid w:val="00217911"/>
    <w:rsid w:val="00221349"/>
    <w:rsid w:val="0022246C"/>
    <w:rsid w:val="00222817"/>
    <w:rsid w:val="00222EC3"/>
    <w:rsid w:val="002255BE"/>
    <w:rsid w:val="00227929"/>
    <w:rsid w:val="002306A8"/>
    <w:rsid w:val="00232E61"/>
    <w:rsid w:val="002342CB"/>
    <w:rsid w:val="00234EA4"/>
    <w:rsid w:val="0023604B"/>
    <w:rsid w:val="002434D9"/>
    <w:rsid w:val="00244F36"/>
    <w:rsid w:val="00246597"/>
    <w:rsid w:val="00250163"/>
    <w:rsid w:val="00254C4F"/>
    <w:rsid w:val="00254DD5"/>
    <w:rsid w:val="00254DE2"/>
    <w:rsid w:val="00257772"/>
    <w:rsid w:val="00260CC4"/>
    <w:rsid w:val="00261D39"/>
    <w:rsid w:val="00263504"/>
    <w:rsid w:val="00263D8B"/>
    <w:rsid w:val="00264F8F"/>
    <w:rsid w:val="0026596A"/>
    <w:rsid w:val="00265D3C"/>
    <w:rsid w:val="00266376"/>
    <w:rsid w:val="0026656B"/>
    <w:rsid w:val="00266F33"/>
    <w:rsid w:val="0027044A"/>
    <w:rsid w:val="002721E5"/>
    <w:rsid w:val="00272C88"/>
    <w:rsid w:val="002735CB"/>
    <w:rsid w:val="00274C16"/>
    <w:rsid w:val="00276C1D"/>
    <w:rsid w:val="00277C54"/>
    <w:rsid w:val="00280A92"/>
    <w:rsid w:val="00280E8F"/>
    <w:rsid w:val="00281520"/>
    <w:rsid w:val="0028282F"/>
    <w:rsid w:val="00284F94"/>
    <w:rsid w:val="002864CD"/>
    <w:rsid w:val="00287A8C"/>
    <w:rsid w:val="00291EFA"/>
    <w:rsid w:val="002929E4"/>
    <w:rsid w:val="00294153"/>
    <w:rsid w:val="00295D81"/>
    <w:rsid w:val="00296112"/>
    <w:rsid w:val="002A0CBE"/>
    <w:rsid w:val="002A411E"/>
    <w:rsid w:val="002A5F03"/>
    <w:rsid w:val="002A6E2F"/>
    <w:rsid w:val="002B1672"/>
    <w:rsid w:val="002B20FF"/>
    <w:rsid w:val="002B3064"/>
    <w:rsid w:val="002B4238"/>
    <w:rsid w:val="002B7AFB"/>
    <w:rsid w:val="002C01C6"/>
    <w:rsid w:val="002C17E2"/>
    <w:rsid w:val="002C2734"/>
    <w:rsid w:val="002C2F0A"/>
    <w:rsid w:val="002C3215"/>
    <w:rsid w:val="002C364D"/>
    <w:rsid w:val="002C3771"/>
    <w:rsid w:val="002C6C4D"/>
    <w:rsid w:val="002C7EA3"/>
    <w:rsid w:val="002D1D6E"/>
    <w:rsid w:val="002D4E79"/>
    <w:rsid w:val="002D557F"/>
    <w:rsid w:val="002D5862"/>
    <w:rsid w:val="002D74A6"/>
    <w:rsid w:val="002D7600"/>
    <w:rsid w:val="002D794D"/>
    <w:rsid w:val="002E2A86"/>
    <w:rsid w:val="002E31E7"/>
    <w:rsid w:val="002E32AA"/>
    <w:rsid w:val="002E6A25"/>
    <w:rsid w:val="002E6B3F"/>
    <w:rsid w:val="002E71A2"/>
    <w:rsid w:val="002F037F"/>
    <w:rsid w:val="002F2670"/>
    <w:rsid w:val="002F3EA8"/>
    <w:rsid w:val="002F4305"/>
    <w:rsid w:val="002F67EF"/>
    <w:rsid w:val="00300CCB"/>
    <w:rsid w:val="003026F1"/>
    <w:rsid w:val="00303FEC"/>
    <w:rsid w:val="00306EB1"/>
    <w:rsid w:val="00310C54"/>
    <w:rsid w:val="003116CF"/>
    <w:rsid w:val="00313C13"/>
    <w:rsid w:val="00314673"/>
    <w:rsid w:val="00316007"/>
    <w:rsid w:val="0031734A"/>
    <w:rsid w:val="00317AD8"/>
    <w:rsid w:val="00317B40"/>
    <w:rsid w:val="00320956"/>
    <w:rsid w:val="003217AB"/>
    <w:rsid w:val="00321B84"/>
    <w:rsid w:val="00322D96"/>
    <w:rsid w:val="00323874"/>
    <w:rsid w:val="00324AB5"/>
    <w:rsid w:val="00325834"/>
    <w:rsid w:val="00325AE5"/>
    <w:rsid w:val="00327A80"/>
    <w:rsid w:val="003318A3"/>
    <w:rsid w:val="00331E14"/>
    <w:rsid w:val="003330C2"/>
    <w:rsid w:val="00335107"/>
    <w:rsid w:val="00336072"/>
    <w:rsid w:val="0033670D"/>
    <w:rsid w:val="00336A4B"/>
    <w:rsid w:val="00337135"/>
    <w:rsid w:val="00340B2E"/>
    <w:rsid w:val="00342C93"/>
    <w:rsid w:val="00343C02"/>
    <w:rsid w:val="00346700"/>
    <w:rsid w:val="00347031"/>
    <w:rsid w:val="00347D90"/>
    <w:rsid w:val="00350628"/>
    <w:rsid w:val="00351F65"/>
    <w:rsid w:val="00353442"/>
    <w:rsid w:val="0035484D"/>
    <w:rsid w:val="00355398"/>
    <w:rsid w:val="00356B01"/>
    <w:rsid w:val="0035715D"/>
    <w:rsid w:val="003575FE"/>
    <w:rsid w:val="003620DF"/>
    <w:rsid w:val="003640C0"/>
    <w:rsid w:val="0036458A"/>
    <w:rsid w:val="003649EA"/>
    <w:rsid w:val="00367944"/>
    <w:rsid w:val="003701BE"/>
    <w:rsid w:val="00371B8B"/>
    <w:rsid w:val="00372139"/>
    <w:rsid w:val="00372D5B"/>
    <w:rsid w:val="00372D8A"/>
    <w:rsid w:val="00373F68"/>
    <w:rsid w:val="0037478D"/>
    <w:rsid w:val="00374969"/>
    <w:rsid w:val="00375A09"/>
    <w:rsid w:val="00377044"/>
    <w:rsid w:val="00381A65"/>
    <w:rsid w:val="00381BC0"/>
    <w:rsid w:val="00381F10"/>
    <w:rsid w:val="00385140"/>
    <w:rsid w:val="00386842"/>
    <w:rsid w:val="003869B6"/>
    <w:rsid w:val="00387343"/>
    <w:rsid w:val="0039040B"/>
    <w:rsid w:val="00390CCC"/>
    <w:rsid w:val="00391035"/>
    <w:rsid w:val="00393CC5"/>
    <w:rsid w:val="00394C7A"/>
    <w:rsid w:val="00394DFC"/>
    <w:rsid w:val="00395679"/>
    <w:rsid w:val="00397BE2"/>
    <w:rsid w:val="003A12E8"/>
    <w:rsid w:val="003A2C0F"/>
    <w:rsid w:val="003A500C"/>
    <w:rsid w:val="003A78ED"/>
    <w:rsid w:val="003B1BFF"/>
    <w:rsid w:val="003B216D"/>
    <w:rsid w:val="003B34FF"/>
    <w:rsid w:val="003B3CC3"/>
    <w:rsid w:val="003B6288"/>
    <w:rsid w:val="003B654E"/>
    <w:rsid w:val="003B6F52"/>
    <w:rsid w:val="003B7A35"/>
    <w:rsid w:val="003C0EF7"/>
    <w:rsid w:val="003C2639"/>
    <w:rsid w:val="003C3666"/>
    <w:rsid w:val="003C3983"/>
    <w:rsid w:val="003D2EE1"/>
    <w:rsid w:val="003E0AA8"/>
    <w:rsid w:val="003E5604"/>
    <w:rsid w:val="003E589F"/>
    <w:rsid w:val="003E6406"/>
    <w:rsid w:val="003E717C"/>
    <w:rsid w:val="003E76B6"/>
    <w:rsid w:val="003F0C44"/>
    <w:rsid w:val="003F14BB"/>
    <w:rsid w:val="003F2534"/>
    <w:rsid w:val="003F3580"/>
    <w:rsid w:val="003F360D"/>
    <w:rsid w:val="003F41A9"/>
    <w:rsid w:val="003F5459"/>
    <w:rsid w:val="003F6DE6"/>
    <w:rsid w:val="003F6F4B"/>
    <w:rsid w:val="003F7856"/>
    <w:rsid w:val="00400501"/>
    <w:rsid w:val="00400B3E"/>
    <w:rsid w:val="00400CAE"/>
    <w:rsid w:val="00400D2C"/>
    <w:rsid w:val="0040109A"/>
    <w:rsid w:val="00401A3C"/>
    <w:rsid w:val="00403219"/>
    <w:rsid w:val="004059BA"/>
    <w:rsid w:val="004062F8"/>
    <w:rsid w:val="00407F26"/>
    <w:rsid w:val="00412691"/>
    <w:rsid w:val="00412AD6"/>
    <w:rsid w:val="004149D4"/>
    <w:rsid w:val="004159C7"/>
    <w:rsid w:val="00416AF9"/>
    <w:rsid w:val="00417E86"/>
    <w:rsid w:val="0042393D"/>
    <w:rsid w:val="004246E2"/>
    <w:rsid w:val="00425096"/>
    <w:rsid w:val="00425128"/>
    <w:rsid w:val="004256F0"/>
    <w:rsid w:val="00426094"/>
    <w:rsid w:val="00426872"/>
    <w:rsid w:val="00426B48"/>
    <w:rsid w:val="00431EED"/>
    <w:rsid w:val="00432010"/>
    <w:rsid w:val="00434201"/>
    <w:rsid w:val="00436072"/>
    <w:rsid w:val="004362FE"/>
    <w:rsid w:val="00441D34"/>
    <w:rsid w:val="0044330A"/>
    <w:rsid w:val="00454D2C"/>
    <w:rsid w:val="0045530D"/>
    <w:rsid w:val="00456C5A"/>
    <w:rsid w:val="00456CE8"/>
    <w:rsid w:val="0045728D"/>
    <w:rsid w:val="00460E19"/>
    <w:rsid w:val="004613BF"/>
    <w:rsid w:val="00461FFB"/>
    <w:rsid w:val="00463CF7"/>
    <w:rsid w:val="0046422B"/>
    <w:rsid w:val="0046568F"/>
    <w:rsid w:val="0046735C"/>
    <w:rsid w:val="004706A5"/>
    <w:rsid w:val="00470BBF"/>
    <w:rsid w:val="004731F0"/>
    <w:rsid w:val="00474A74"/>
    <w:rsid w:val="00476059"/>
    <w:rsid w:val="00476673"/>
    <w:rsid w:val="00483139"/>
    <w:rsid w:val="00484D35"/>
    <w:rsid w:val="00485FDC"/>
    <w:rsid w:val="00486C53"/>
    <w:rsid w:val="00486F8B"/>
    <w:rsid w:val="0048715D"/>
    <w:rsid w:val="004876D5"/>
    <w:rsid w:val="00487F31"/>
    <w:rsid w:val="004908F9"/>
    <w:rsid w:val="00492A9C"/>
    <w:rsid w:val="00492F59"/>
    <w:rsid w:val="00493539"/>
    <w:rsid w:val="00494DEE"/>
    <w:rsid w:val="004951C8"/>
    <w:rsid w:val="00495BCC"/>
    <w:rsid w:val="00496137"/>
    <w:rsid w:val="004A09A6"/>
    <w:rsid w:val="004A1063"/>
    <w:rsid w:val="004A194C"/>
    <w:rsid w:val="004A23A1"/>
    <w:rsid w:val="004A3B95"/>
    <w:rsid w:val="004A3E95"/>
    <w:rsid w:val="004A49D1"/>
    <w:rsid w:val="004A5604"/>
    <w:rsid w:val="004A596D"/>
    <w:rsid w:val="004A5E20"/>
    <w:rsid w:val="004A6046"/>
    <w:rsid w:val="004A7D86"/>
    <w:rsid w:val="004B0624"/>
    <w:rsid w:val="004B0CAD"/>
    <w:rsid w:val="004B25B8"/>
    <w:rsid w:val="004C0425"/>
    <w:rsid w:val="004C0733"/>
    <w:rsid w:val="004C131F"/>
    <w:rsid w:val="004C1CF8"/>
    <w:rsid w:val="004C3BF4"/>
    <w:rsid w:val="004D07CA"/>
    <w:rsid w:val="004D0D18"/>
    <w:rsid w:val="004D1731"/>
    <w:rsid w:val="004D22F4"/>
    <w:rsid w:val="004D257F"/>
    <w:rsid w:val="004D27D7"/>
    <w:rsid w:val="004D3245"/>
    <w:rsid w:val="004E0925"/>
    <w:rsid w:val="004E1970"/>
    <w:rsid w:val="004E24FF"/>
    <w:rsid w:val="004E3223"/>
    <w:rsid w:val="004E49BC"/>
    <w:rsid w:val="004E70C5"/>
    <w:rsid w:val="004E7D6B"/>
    <w:rsid w:val="004F1DED"/>
    <w:rsid w:val="00501D8B"/>
    <w:rsid w:val="005046A9"/>
    <w:rsid w:val="00506D45"/>
    <w:rsid w:val="00507204"/>
    <w:rsid w:val="00507585"/>
    <w:rsid w:val="005113EA"/>
    <w:rsid w:val="00512735"/>
    <w:rsid w:val="00514617"/>
    <w:rsid w:val="00515EB1"/>
    <w:rsid w:val="00516EDF"/>
    <w:rsid w:val="00520559"/>
    <w:rsid w:val="00520659"/>
    <w:rsid w:val="00521A17"/>
    <w:rsid w:val="005227F2"/>
    <w:rsid w:val="005242CA"/>
    <w:rsid w:val="0052572C"/>
    <w:rsid w:val="005266BE"/>
    <w:rsid w:val="00530B70"/>
    <w:rsid w:val="00530CB7"/>
    <w:rsid w:val="00531093"/>
    <w:rsid w:val="00534354"/>
    <w:rsid w:val="0053445B"/>
    <w:rsid w:val="005348FF"/>
    <w:rsid w:val="005359EA"/>
    <w:rsid w:val="00535D4C"/>
    <w:rsid w:val="005372B6"/>
    <w:rsid w:val="00542212"/>
    <w:rsid w:val="00542516"/>
    <w:rsid w:val="00543CA0"/>
    <w:rsid w:val="00543E79"/>
    <w:rsid w:val="005473AE"/>
    <w:rsid w:val="005514A7"/>
    <w:rsid w:val="00553505"/>
    <w:rsid w:val="005547C4"/>
    <w:rsid w:val="005605AE"/>
    <w:rsid w:val="00564D16"/>
    <w:rsid w:val="00565324"/>
    <w:rsid w:val="005657FF"/>
    <w:rsid w:val="0056697B"/>
    <w:rsid w:val="00566A70"/>
    <w:rsid w:val="005670F5"/>
    <w:rsid w:val="0056789E"/>
    <w:rsid w:val="0057236A"/>
    <w:rsid w:val="00573490"/>
    <w:rsid w:val="00575101"/>
    <w:rsid w:val="0057736F"/>
    <w:rsid w:val="005809A2"/>
    <w:rsid w:val="00580D19"/>
    <w:rsid w:val="0058173A"/>
    <w:rsid w:val="00581A41"/>
    <w:rsid w:val="00583ADB"/>
    <w:rsid w:val="00583FB6"/>
    <w:rsid w:val="00590013"/>
    <w:rsid w:val="005A0F69"/>
    <w:rsid w:val="005A1C47"/>
    <w:rsid w:val="005A3D09"/>
    <w:rsid w:val="005B0EA7"/>
    <w:rsid w:val="005B13D1"/>
    <w:rsid w:val="005B157C"/>
    <w:rsid w:val="005B1F45"/>
    <w:rsid w:val="005B45CF"/>
    <w:rsid w:val="005B51B6"/>
    <w:rsid w:val="005B6BB6"/>
    <w:rsid w:val="005C0710"/>
    <w:rsid w:val="005C2906"/>
    <w:rsid w:val="005C57D5"/>
    <w:rsid w:val="005C585F"/>
    <w:rsid w:val="005C5B43"/>
    <w:rsid w:val="005D26BE"/>
    <w:rsid w:val="005D4557"/>
    <w:rsid w:val="005D4C85"/>
    <w:rsid w:val="005D6187"/>
    <w:rsid w:val="005D67BF"/>
    <w:rsid w:val="005D6BDC"/>
    <w:rsid w:val="005D6EE0"/>
    <w:rsid w:val="005D6FA4"/>
    <w:rsid w:val="005E14E9"/>
    <w:rsid w:val="005E2223"/>
    <w:rsid w:val="005E2F6E"/>
    <w:rsid w:val="005E2FF9"/>
    <w:rsid w:val="005E68C1"/>
    <w:rsid w:val="005E6BB6"/>
    <w:rsid w:val="005E7C2F"/>
    <w:rsid w:val="005F0F2C"/>
    <w:rsid w:val="005F10E1"/>
    <w:rsid w:val="005F1BA7"/>
    <w:rsid w:val="005F216C"/>
    <w:rsid w:val="005F23ED"/>
    <w:rsid w:val="005F2E89"/>
    <w:rsid w:val="005F2F82"/>
    <w:rsid w:val="005F303E"/>
    <w:rsid w:val="005F37DF"/>
    <w:rsid w:val="005F3889"/>
    <w:rsid w:val="005F3A2D"/>
    <w:rsid w:val="005F4BAA"/>
    <w:rsid w:val="005F6314"/>
    <w:rsid w:val="005F79D7"/>
    <w:rsid w:val="0060299F"/>
    <w:rsid w:val="006041B3"/>
    <w:rsid w:val="00604A7F"/>
    <w:rsid w:val="0060594D"/>
    <w:rsid w:val="00606155"/>
    <w:rsid w:val="00606456"/>
    <w:rsid w:val="00606B8B"/>
    <w:rsid w:val="00607909"/>
    <w:rsid w:val="00610E5B"/>
    <w:rsid w:val="00611CC4"/>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5463"/>
    <w:rsid w:val="006479D9"/>
    <w:rsid w:val="00650F1B"/>
    <w:rsid w:val="0065400A"/>
    <w:rsid w:val="006558F9"/>
    <w:rsid w:val="00656F1A"/>
    <w:rsid w:val="00662F8A"/>
    <w:rsid w:val="00665DA6"/>
    <w:rsid w:val="00667E25"/>
    <w:rsid w:val="00667FBF"/>
    <w:rsid w:val="006701E0"/>
    <w:rsid w:val="00672899"/>
    <w:rsid w:val="0067638A"/>
    <w:rsid w:val="00677E41"/>
    <w:rsid w:val="00680D0B"/>
    <w:rsid w:val="0068278C"/>
    <w:rsid w:val="00683ED3"/>
    <w:rsid w:val="006868C0"/>
    <w:rsid w:val="006912DA"/>
    <w:rsid w:val="00692DA8"/>
    <w:rsid w:val="00693415"/>
    <w:rsid w:val="00694AAC"/>
    <w:rsid w:val="00694AAE"/>
    <w:rsid w:val="00695BE5"/>
    <w:rsid w:val="0069643C"/>
    <w:rsid w:val="006979BF"/>
    <w:rsid w:val="00697E9A"/>
    <w:rsid w:val="006A12AA"/>
    <w:rsid w:val="006A281F"/>
    <w:rsid w:val="006A61E8"/>
    <w:rsid w:val="006B0401"/>
    <w:rsid w:val="006B2E23"/>
    <w:rsid w:val="006B5212"/>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3B39"/>
    <w:rsid w:val="006E4447"/>
    <w:rsid w:val="006E4787"/>
    <w:rsid w:val="006E4FF8"/>
    <w:rsid w:val="006F0D0C"/>
    <w:rsid w:val="006F2060"/>
    <w:rsid w:val="006F68B2"/>
    <w:rsid w:val="006F702F"/>
    <w:rsid w:val="006F79E9"/>
    <w:rsid w:val="006F7CC6"/>
    <w:rsid w:val="00700060"/>
    <w:rsid w:val="00701E8C"/>
    <w:rsid w:val="00704F0D"/>
    <w:rsid w:val="00705B65"/>
    <w:rsid w:val="007076CD"/>
    <w:rsid w:val="007116E4"/>
    <w:rsid w:val="00711852"/>
    <w:rsid w:val="007144FC"/>
    <w:rsid w:val="00714CAB"/>
    <w:rsid w:val="00714DD9"/>
    <w:rsid w:val="00714F6F"/>
    <w:rsid w:val="007218A5"/>
    <w:rsid w:val="007218C3"/>
    <w:rsid w:val="007243F8"/>
    <w:rsid w:val="007248BF"/>
    <w:rsid w:val="00730AFC"/>
    <w:rsid w:val="00732D8D"/>
    <w:rsid w:val="007341CF"/>
    <w:rsid w:val="0073456F"/>
    <w:rsid w:val="00734699"/>
    <w:rsid w:val="007377C7"/>
    <w:rsid w:val="00737DDF"/>
    <w:rsid w:val="00743B2E"/>
    <w:rsid w:val="00743CFC"/>
    <w:rsid w:val="0074513B"/>
    <w:rsid w:val="00746D6C"/>
    <w:rsid w:val="00746EE9"/>
    <w:rsid w:val="00747819"/>
    <w:rsid w:val="00751AE2"/>
    <w:rsid w:val="00752A74"/>
    <w:rsid w:val="00753151"/>
    <w:rsid w:val="00753505"/>
    <w:rsid w:val="0075594E"/>
    <w:rsid w:val="007573B9"/>
    <w:rsid w:val="00757B25"/>
    <w:rsid w:val="00757E81"/>
    <w:rsid w:val="0076103F"/>
    <w:rsid w:val="0076273A"/>
    <w:rsid w:val="00763061"/>
    <w:rsid w:val="007632D5"/>
    <w:rsid w:val="00763D6F"/>
    <w:rsid w:val="00764152"/>
    <w:rsid w:val="00764396"/>
    <w:rsid w:val="007667D8"/>
    <w:rsid w:val="00766B60"/>
    <w:rsid w:val="0076717C"/>
    <w:rsid w:val="007716B6"/>
    <w:rsid w:val="00771AF5"/>
    <w:rsid w:val="00771F86"/>
    <w:rsid w:val="007728A2"/>
    <w:rsid w:val="007744AD"/>
    <w:rsid w:val="00774C21"/>
    <w:rsid w:val="007754C0"/>
    <w:rsid w:val="00775CC5"/>
    <w:rsid w:val="007771E6"/>
    <w:rsid w:val="0078188A"/>
    <w:rsid w:val="00782FEE"/>
    <w:rsid w:val="0078401E"/>
    <w:rsid w:val="007877D5"/>
    <w:rsid w:val="00790DBD"/>
    <w:rsid w:val="00791CFD"/>
    <w:rsid w:val="007929B4"/>
    <w:rsid w:val="007A1A6B"/>
    <w:rsid w:val="007A1A9F"/>
    <w:rsid w:val="007A361F"/>
    <w:rsid w:val="007A4AA7"/>
    <w:rsid w:val="007A555C"/>
    <w:rsid w:val="007A5619"/>
    <w:rsid w:val="007A5F97"/>
    <w:rsid w:val="007A66C1"/>
    <w:rsid w:val="007A6AE8"/>
    <w:rsid w:val="007A75FE"/>
    <w:rsid w:val="007A78A8"/>
    <w:rsid w:val="007B0491"/>
    <w:rsid w:val="007B057B"/>
    <w:rsid w:val="007B0C92"/>
    <w:rsid w:val="007B3149"/>
    <w:rsid w:val="007B3EF5"/>
    <w:rsid w:val="007B5036"/>
    <w:rsid w:val="007B5F37"/>
    <w:rsid w:val="007B6419"/>
    <w:rsid w:val="007B703A"/>
    <w:rsid w:val="007B7131"/>
    <w:rsid w:val="007B7270"/>
    <w:rsid w:val="007C07A8"/>
    <w:rsid w:val="007C1828"/>
    <w:rsid w:val="007C3369"/>
    <w:rsid w:val="007C4C1C"/>
    <w:rsid w:val="007C7480"/>
    <w:rsid w:val="007D0A37"/>
    <w:rsid w:val="007D4699"/>
    <w:rsid w:val="007D6A14"/>
    <w:rsid w:val="007D772E"/>
    <w:rsid w:val="007E0769"/>
    <w:rsid w:val="007E0AF6"/>
    <w:rsid w:val="007E60D4"/>
    <w:rsid w:val="007E7E11"/>
    <w:rsid w:val="007F169F"/>
    <w:rsid w:val="007F306F"/>
    <w:rsid w:val="007F4E3B"/>
    <w:rsid w:val="007F6996"/>
    <w:rsid w:val="0080007B"/>
    <w:rsid w:val="00800580"/>
    <w:rsid w:val="008009FF"/>
    <w:rsid w:val="00800E88"/>
    <w:rsid w:val="0080185D"/>
    <w:rsid w:val="0080277F"/>
    <w:rsid w:val="0080646B"/>
    <w:rsid w:val="00810E84"/>
    <w:rsid w:val="008115E5"/>
    <w:rsid w:val="00812DD3"/>
    <w:rsid w:val="00815E67"/>
    <w:rsid w:val="008163A1"/>
    <w:rsid w:val="00816614"/>
    <w:rsid w:val="00816620"/>
    <w:rsid w:val="00822871"/>
    <w:rsid w:val="0082728A"/>
    <w:rsid w:val="00830214"/>
    <w:rsid w:val="00830AB0"/>
    <w:rsid w:val="00830B76"/>
    <w:rsid w:val="00832641"/>
    <w:rsid w:val="0083474E"/>
    <w:rsid w:val="00834F71"/>
    <w:rsid w:val="00837ECC"/>
    <w:rsid w:val="00841DAC"/>
    <w:rsid w:val="0084207A"/>
    <w:rsid w:val="00843D83"/>
    <w:rsid w:val="00846062"/>
    <w:rsid w:val="0084705D"/>
    <w:rsid w:val="00852484"/>
    <w:rsid w:val="00852D1A"/>
    <w:rsid w:val="0085339E"/>
    <w:rsid w:val="00855FA8"/>
    <w:rsid w:val="00857327"/>
    <w:rsid w:val="00860C7B"/>
    <w:rsid w:val="00863311"/>
    <w:rsid w:val="00863EF1"/>
    <w:rsid w:val="00864AC4"/>
    <w:rsid w:val="00866FEA"/>
    <w:rsid w:val="008702CD"/>
    <w:rsid w:val="008722E5"/>
    <w:rsid w:val="00874FF4"/>
    <w:rsid w:val="00875315"/>
    <w:rsid w:val="00875D54"/>
    <w:rsid w:val="008778A2"/>
    <w:rsid w:val="0088000D"/>
    <w:rsid w:val="00880BE2"/>
    <w:rsid w:val="00880DBE"/>
    <w:rsid w:val="008815A8"/>
    <w:rsid w:val="00881A66"/>
    <w:rsid w:val="008837BA"/>
    <w:rsid w:val="00883AA3"/>
    <w:rsid w:val="0088428A"/>
    <w:rsid w:val="008849BF"/>
    <w:rsid w:val="0088738B"/>
    <w:rsid w:val="00887F75"/>
    <w:rsid w:val="00890BCD"/>
    <w:rsid w:val="008928A7"/>
    <w:rsid w:val="00893678"/>
    <w:rsid w:val="0089444D"/>
    <w:rsid w:val="0089678B"/>
    <w:rsid w:val="008A057F"/>
    <w:rsid w:val="008A1733"/>
    <w:rsid w:val="008A7688"/>
    <w:rsid w:val="008B38CD"/>
    <w:rsid w:val="008B6145"/>
    <w:rsid w:val="008B6334"/>
    <w:rsid w:val="008C1476"/>
    <w:rsid w:val="008C178B"/>
    <w:rsid w:val="008C1BC7"/>
    <w:rsid w:val="008C2A4D"/>
    <w:rsid w:val="008C3840"/>
    <w:rsid w:val="008D03E0"/>
    <w:rsid w:val="008D0E03"/>
    <w:rsid w:val="008D43AE"/>
    <w:rsid w:val="008D45F6"/>
    <w:rsid w:val="008D6259"/>
    <w:rsid w:val="008E3BE6"/>
    <w:rsid w:val="008E5712"/>
    <w:rsid w:val="008F4E02"/>
    <w:rsid w:val="008F56EC"/>
    <w:rsid w:val="008F5B84"/>
    <w:rsid w:val="008F6434"/>
    <w:rsid w:val="00900307"/>
    <w:rsid w:val="0090060E"/>
    <w:rsid w:val="00902408"/>
    <w:rsid w:val="00904659"/>
    <w:rsid w:val="00905370"/>
    <w:rsid w:val="00905628"/>
    <w:rsid w:val="009077FF"/>
    <w:rsid w:val="00907CDE"/>
    <w:rsid w:val="00911BA0"/>
    <w:rsid w:val="009120E4"/>
    <w:rsid w:val="0091302E"/>
    <w:rsid w:val="00916414"/>
    <w:rsid w:val="00916E62"/>
    <w:rsid w:val="00917866"/>
    <w:rsid w:val="0092084A"/>
    <w:rsid w:val="009304CD"/>
    <w:rsid w:val="00930ED2"/>
    <w:rsid w:val="00932F94"/>
    <w:rsid w:val="00932FA6"/>
    <w:rsid w:val="00937277"/>
    <w:rsid w:val="00945F08"/>
    <w:rsid w:val="0094774A"/>
    <w:rsid w:val="009503B8"/>
    <w:rsid w:val="00950F51"/>
    <w:rsid w:val="00952287"/>
    <w:rsid w:val="00957742"/>
    <w:rsid w:val="009600A6"/>
    <w:rsid w:val="009602A9"/>
    <w:rsid w:val="00960ADB"/>
    <w:rsid w:val="00963ED1"/>
    <w:rsid w:val="00965DEC"/>
    <w:rsid w:val="00966853"/>
    <w:rsid w:val="00966B34"/>
    <w:rsid w:val="00970012"/>
    <w:rsid w:val="00974E0A"/>
    <w:rsid w:val="00974FE6"/>
    <w:rsid w:val="00976B35"/>
    <w:rsid w:val="00976D44"/>
    <w:rsid w:val="00980F02"/>
    <w:rsid w:val="00982782"/>
    <w:rsid w:val="00983604"/>
    <w:rsid w:val="00984F6F"/>
    <w:rsid w:val="0098572E"/>
    <w:rsid w:val="0098690A"/>
    <w:rsid w:val="009876B2"/>
    <w:rsid w:val="009876CD"/>
    <w:rsid w:val="00991447"/>
    <w:rsid w:val="0099179A"/>
    <w:rsid w:val="00991E44"/>
    <w:rsid w:val="009932CF"/>
    <w:rsid w:val="00994596"/>
    <w:rsid w:val="0099463C"/>
    <w:rsid w:val="00994D79"/>
    <w:rsid w:val="009951E5"/>
    <w:rsid w:val="009A0DAC"/>
    <w:rsid w:val="009A184D"/>
    <w:rsid w:val="009A1EDF"/>
    <w:rsid w:val="009A2F08"/>
    <w:rsid w:val="009A5DB0"/>
    <w:rsid w:val="009A7438"/>
    <w:rsid w:val="009B1E34"/>
    <w:rsid w:val="009B33ED"/>
    <w:rsid w:val="009B3539"/>
    <w:rsid w:val="009B501E"/>
    <w:rsid w:val="009B6748"/>
    <w:rsid w:val="009C0BC2"/>
    <w:rsid w:val="009C1319"/>
    <w:rsid w:val="009C37E7"/>
    <w:rsid w:val="009C436E"/>
    <w:rsid w:val="009C7A4C"/>
    <w:rsid w:val="009D1CC4"/>
    <w:rsid w:val="009D289C"/>
    <w:rsid w:val="009D2B2D"/>
    <w:rsid w:val="009D3253"/>
    <w:rsid w:val="009D4A1E"/>
    <w:rsid w:val="009D4D93"/>
    <w:rsid w:val="009D5A5C"/>
    <w:rsid w:val="009D5FDA"/>
    <w:rsid w:val="009D7270"/>
    <w:rsid w:val="009D7598"/>
    <w:rsid w:val="009E274F"/>
    <w:rsid w:val="009E38A2"/>
    <w:rsid w:val="009E5AD2"/>
    <w:rsid w:val="009E6B4E"/>
    <w:rsid w:val="009E7330"/>
    <w:rsid w:val="009F0DDF"/>
    <w:rsid w:val="009F2931"/>
    <w:rsid w:val="009F2DF8"/>
    <w:rsid w:val="009F34D1"/>
    <w:rsid w:val="009F60E9"/>
    <w:rsid w:val="009F6275"/>
    <w:rsid w:val="009F7F8B"/>
    <w:rsid w:val="00A00023"/>
    <w:rsid w:val="00A036A2"/>
    <w:rsid w:val="00A03872"/>
    <w:rsid w:val="00A03EAC"/>
    <w:rsid w:val="00A05C83"/>
    <w:rsid w:val="00A06708"/>
    <w:rsid w:val="00A0760D"/>
    <w:rsid w:val="00A14013"/>
    <w:rsid w:val="00A146D0"/>
    <w:rsid w:val="00A15649"/>
    <w:rsid w:val="00A17508"/>
    <w:rsid w:val="00A21041"/>
    <w:rsid w:val="00A21ABA"/>
    <w:rsid w:val="00A238D7"/>
    <w:rsid w:val="00A23BB6"/>
    <w:rsid w:val="00A240BB"/>
    <w:rsid w:val="00A24819"/>
    <w:rsid w:val="00A24B66"/>
    <w:rsid w:val="00A2705E"/>
    <w:rsid w:val="00A30FAC"/>
    <w:rsid w:val="00A3195D"/>
    <w:rsid w:val="00A31A42"/>
    <w:rsid w:val="00A33361"/>
    <w:rsid w:val="00A339BF"/>
    <w:rsid w:val="00A43DEB"/>
    <w:rsid w:val="00A44BCB"/>
    <w:rsid w:val="00A4582A"/>
    <w:rsid w:val="00A45888"/>
    <w:rsid w:val="00A45B0A"/>
    <w:rsid w:val="00A45FA0"/>
    <w:rsid w:val="00A46BEA"/>
    <w:rsid w:val="00A50972"/>
    <w:rsid w:val="00A50EB0"/>
    <w:rsid w:val="00A526BC"/>
    <w:rsid w:val="00A56C76"/>
    <w:rsid w:val="00A613AC"/>
    <w:rsid w:val="00A6371D"/>
    <w:rsid w:val="00A637EC"/>
    <w:rsid w:val="00A65011"/>
    <w:rsid w:val="00A6565C"/>
    <w:rsid w:val="00A66FA9"/>
    <w:rsid w:val="00A70DC6"/>
    <w:rsid w:val="00A73B0D"/>
    <w:rsid w:val="00A73B72"/>
    <w:rsid w:val="00A74164"/>
    <w:rsid w:val="00A748C4"/>
    <w:rsid w:val="00A74ADB"/>
    <w:rsid w:val="00A74E8C"/>
    <w:rsid w:val="00A811B8"/>
    <w:rsid w:val="00A81304"/>
    <w:rsid w:val="00A84359"/>
    <w:rsid w:val="00A84B9D"/>
    <w:rsid w:val="00A8604B"/>
    <w:rsid w:val="00A86199"/>
    <w:rsid w:val="00A86B2C"/>
    <w:rsid w:val="00A90A45"/>
    <w:rsid w:val="00A925C1"/>
    <w:rsid w:val="00A931DC"/>
    <w:rsid w:val="00A960E3"/>
    <w:rsid w:val="00A96568"/>
    <w:rsid w:val="00A9661D"/>
    <w:rsid w:val="00A976D8"/>
    <w:rsid w:val="00AA13DE"/>
    <w:rsid w:val="00AA1554"/>
    <w:rsid w:val="00AA1F47"/>
    <w:rsid w:val="00AA25C2"/>
    <w:rsid w:val="00AA40AD"/>
    <w:rsid w:val="00AA5754"/>
    <w:rsid w:val="00AA7105"/>
    <w:rsid w:val="00AA74A7"/>
    <w:rsid w:val="00AB38DA"/>
    <w:rsid w:val="00AB3BEF"/>
    <w:rsid w:val="00AB6453"/>
    <w:rsid w:val="00AB693A"/>
    <w:rsid w:val="00AB720C"/>
    <w:rsid w:val="00AB7B5E"/>
    <w:rsid w:val="00AC1A18"/>
    <w:rsid w:val="00AC2066"/>
    <w:rsid w:val="00AC461E"/>
    <w:rsid w:val="00AC50FF"/>
    <w:rsid w:val="00AD1D93"/>
    <w:rsid w:val="00AD392E"/>
    <w:rsid w:val="00AD440F"/>
    <w:rsid w:val="00AD4488"/>
    <w:rsid w:val="00AD4971"/>
    <w:rsid w:val="00AD67FC"/>
    <w:rsid w:val="00AD7D70"/>
    <w:rsid w:val="00AE12E1"/>
    <w:rsid w:val="00AE3328"/>
    <w:rsid w:val="00AE3FFF"/>
    <w:rsid w:val="00AE5850"/>
    <w:rsid w:val="00AF0E98"/>
    <w:rsid w:val="00AF172F"/>
    <w:rsid w:val="00AF20B3"/>
    <w:rsid w:val="00AF3F35"/>
    <w:rsid w:val="00AF78FE"/>
    <w:rsid w:val="00AF7911"/>
    <w:rsid w:val="00B00D84"/>
    <w:rsid w:val="00B032A1"/>
    <w:rsid w:val="00B06B80"/>
    <w:rsid w:val="00B10BD0"/>
    <w:rsid w:val="00B11587"/>
    <w:rsid w:val="00B1236D"/>
    <w:rsid w:val="00B13203"/>
    <w:rsid w:val="00B13CB7"/>
    <w:rsid w:val="00B14457"/>
    <w:rsid w:val="00B15ACE"/>
    <w:rsid w:val="00B21C42"/>
    <w:rsid w:val="00B23364"/>
    <w:rsid w:val="00B2362D"/>
    <w:rsid w:val="00B23EA6"/>
    <w:rsid w:val="00B24183"/>
    <w:rsid w:val="00B249FB"/>
    <w:rsid w:val="00B24C22"/>
    <w:rsid w:val="00B25905"/>
    <w:rsid w:val="00B30359"/>
    <w:rsid w:val="00B3225A"/>
    <w:rsid w:val="00B33D0F"/>
    <w:rsid w:val="00B3411C"/>
    <w:rsid w:val="00B342EB"/>
    <w:rsid w:val="00B35E4A"/>
    <w:rsid w:val="00B3659D"/>
    <w:rsid w:val="00B3775D"/>
    <w:rsid w:val="00B37948"/>
    <w:rsid w:val="00B405CE"/>
    <w:rsid w:val="00B4723C"/>
    <w:rsid w:val="00B53FB6"/>
    <w:rsid w:val="00B54BA5"/>
    <w:rsid w:val="00B57FC2"/>
    <w:rsid w:val="00B606C1"/>
    <w:rsid w:val="00B607F1"/>
    <w:rsid w:val="00B614B8"/>
    <w:rsid w:val="00B64A4C"/>
    <w:rsid w:val="00B64FC8"/>
    <w:rsid w:val="00B65A77"/>
    <w:rsid w:val="00B65D23"/>
    <w:rsid w:val="00B66093"/>
    <w:rsid w:val="00B668A7"/>
    <w:rsid w:val="00B70F37"/>
    <w:rsid w:val="00B71D6D"/>
    <w:rsid w:val="00B736B4"/>
    <w:rsid w:val="00B74869"/>
    <w:rsid w:val="00B77F15"/>
    <w:rsid w:val="00B83C6E"/>
    <w:rsid w:val="00B86232"/>
    <w:rsid w:val="00B87253"/>
    <w:rsid w:val="00B92BAF"/>
    <w:rsid w:val="00B93BE5"/>
    <w:rsid w:val="00B93FC6"/>
    <w:rsid w:val="00B9448A"/>
    <w:rsid w:val="00B9457D"/>
    <w:rsid w:val="00B959E5"/>
    <w:rsid w:val="00BA0B0F"/>
    <w:rsid w:val="00BA2C08"/>
    <w:rsid w:val="00BA3544"/>
    <w:rsid w:val="00BA3B02"/>
    <w:rsid w:val="00BA560E"/>
    <w:rsid w:val="00BA5662"/>
    <w:rsid w:val="00BA5874"/>
    <w:rsid w:val="00BA6128"/>
    <w:rsid w:val="00BB041A"/>
    <w:rsid w:val="00BB0DAD"/>
    <w:rsid w:val="00BB1691"/>
    <w:rsid w:val="00BB42EC"/>
    <w:rsid w:val="00BB6429"/>
    <w:rsid w:val="00BB7CE5"/>
    <w:rsid w:val="00BC0741"/>
    <w:rsid w:val="00BC1070"/>
    <w:rsid w:val="00BC2519"/>
    <w:rsid w:val="00BC2876"/>
    <w:rsid w:val="00BD0A3D"/>
    <w:rsid w:val="00BD24B2"/>
    <w:rsid w:val="00BE2884"/>
    <w:rsid w:val="00BE3B07"/>
    <w:rsid w:val="00BE5625"/>
    <w:rsid w:val="00BE5740"/>
    <w:rsid w:val="00BE63E9"/>
    <w:rsid w:val="00BE6936"/>
    <w:rsid w:val="00BE75CE"/>
    <w:rsid w:val="00BE78B4"/>
    <w:rsid w:val="00BF00EC"/>
    <w:rsid w:val="00BF1129"/>
    <w:rsid w:val="00BF1281"/>
    <w:rsid w:val="00BF1B25"/>
    <w:rsid w:val="00BF2371"/>
    <w:rsid w:val="00BF3BA8"/>
    <w:rsid w:val="00BF6455"/>
    <w:rsid w:val="00BF6582"/>
    <w:rsid w:val="00BF6E5D"/>
    <w:rsid w:val="00BF7A38"/>
    <w:rsid w:val="00BF7CC4"/>
    <w:rsid w:val="00C005AE"/>
    <w:rsid w:val="00C00EB6"/>
    <w:rsid w:val="00C0187E"/>
    <w:rsid w:val="00C0459B"/>
    <w:rsid w:val="00C0570C"/>
    <w:rsid w:val="00C10007"/>
    <w:rsid w:val="00C10AEF"/>
    <w:rsid w:val="00C12D62"/>
    <w:rsid w:val="00C1455E"/>
    <w:rsid w:val="00C205D4"/>
    <w:rsid w:val="00C22847"/>
    <w:rsid w:val="00C228D1"/>
    <w:rsid w:val="00C2310D"/>
    <w:rsid w:val="00C23B89"/>
    <w:rsid w:val="00C249E9"/>
    <w:rsid w:val="00C24E26"/>
    <w:rsid w:val="00C25075"/>
    <w:rsid w:val="00C26CB0"/>
    <w:rsid w:val="00C2738A"/>
    <w:rsid w:val="00C312E0"/>
    <w:rsid w:val="00C3283C"/>
    <w:rsid w:val="00C33703"/>
    <w:rsid w:val="00C34BBF"/>
    <w:rsid w:val="00C350EB"/>
    <w:rsid w:val="00C40F7C"/>
    <w:rsid w:val="00C4547D"/>
    <w:rsid w:val="00C46E3F"/>
    <w:rsid w:val="00C47153"/>
    <w:rsid w:val="00C4789D"/>
    <w:rsid w:val="00C47A25"/>
    <w:rsid w:val="00C51A2A"/>
    <w:rsid w:val="00C53E65"/>
    <w:rsid w:val="00C61015"/>
    <w:rsid w:val="00C633D6"/>
    <w:rsid w:val="00C63955"/>
    <w:rsid w:val="00C63A64"/>
    <w:rsid w:val="00C6586D"/>
    <w:rsid w:val="00C6759A"/>
    <w:rsid w:val="00C67C70"/>
    <w:rsid w:val="00C67F82"/>
    <w:rsid w:val="00C7007A"/>
    <w:rsid w:val="00C70909"/>
    <w:rsid w:val="00C71A39"/>
    <w:rsid w:val="00C72E98"/>
    <w:rsid w:val="00C7519B"/>
    <w:rsid w:val="00C81948"/>
    <w:rsid w:val="00C823BB"/>
    <w:rsid w:val="00C8504B"/>
    <w:rsid w:val="00C855D9"/>
    <w:rsid w:val="00C87294"/>
    <w:rsid w:val="00C91390"/>
    <w:rsid w:val="00C92571"/>
    <w:rsid w:val="00C92FA0"/>
    <w:rsid w:val="00C93C73"/>
    <w:rsid w:val="00C94864"/>
    <w:rsid w:val="00C951DB"/>
    <w:rsid w:val="00C97925"/>
    <w:rsid w:val="00CA2E53"/>
    <w:rsid w:val="00CA5C62"/>
    <w:rsid w:val="00CB09B1"/>
    <w:rsid w:val="00CB109F"/>
    <w:rsid w:val="00CB3594"/>
    <w:rsid w:val="00CB5C83"/>
    <w:rsid w:val="00CB753B"/>
    <w:rsid w:val="00CC2798"/>
    <w:rsid w:val="00CC4313"/>
    <w:rsid w:val="00CC6075"/>
    <w:rsid w:val="00CC7467"/>
    <w:rsid w:val="00CD0E17"/>
    <w:rsid w:val="00CD31BA"/>
    <w:rsid w:val="00CD3BC0"/>
    <w:rsid w:val="00CD5E69"/>
    <w:rsid w:val="00CE0B8F"/>
    <w:rsid w:val="00CE25F0"/>
    <w:rsid w:val="00CE3E81"/>
    <w:rsid w:val="00CE4D9B"/>
    <w:rsid w:val="00CE5A8C"/>
    <w:rsid w:val="00CE5ABD"/>
    <w:rsid w:val="00CF2BD7"/>
    <w:rsid w:val="00CF36EF"/>
    <w:rsid w:val="00CF3761"/>
    <w:rsid w:val="00CF55A0"/>
    <w:rsid w:val="00CF676C"/>
    <w:rsid w:val="00CF72D8"/>
    <w:rsid w:val="00D01BC1"/>
    <w:rsid w:val="00D02A49"/>
    <w:rsid w:val="00D05260"/>
    <w:rsid w:val="00D06B19"/>
    <w:rsid w:val="00D074CA"/>
    <w:rsid w:val="00D13E87"/>
    <w:rsid w:val="00D14875"/>
    <w:rsid w:val="00D156DF"/>
    <w:rsid w:val="00D16DFB"/>
    <w:rsid w:val="00D178E8"/>
    <w:rsid w:val="00D200E4"/>
    <w:rsid w:val="00D22059"/>
    <w:rsid w:val="00D250AD"/>
    <w:rsid w:val="00D258BB"/>
    <w:rsid w:val="00D25ABB"/>
    <w:rsid w:val="00D25F76"/>
    <w:rsid w:val="00D3075E"/>
    <w:rsid w:val="00D30A5B"/>
    <w:rsid w:val="00D31049"/>
    <w:rsid w:val="00D346D4"/>
    <w:rsid w:val="00D36FBF"/>
    <w:rsid w:val="00D425D7"/>
    <w:rsid w:val="00D43824"/>
    <w:rsid w:val="00D43AD9"/>
    <w:rsid w:val="00D43F83"/>
    <w:rsid w:val="00D45617"/>
    <w:rsid w:val="00D47FF6"/>
    <w:rsid w:val="00D5014D"/>
    <w:rsid w:val="00D510DA"/>
    <w:rsid w:val="00D52AF0"/>
    <w:rsid w:val="00D52E3B"/>
    <w:rsid w:val="00D53511"/>
    <w:rsid w:val="00D54FFD"/>
    <w:rsid w:val="00D570D5"/>
    <w:rsid w:val="00D6111F"/>
    <w:rsid w:val="00D62B98"/>
    <w:rsid w:val="00D62CEE"/>
    <w:rsid w:val="00D65044"/>
    <w:rsid w:val="00D6546D"/>
    <w:rsid w:val="00D65D0D"/>
    <w:rsid w:val="00D727D8"/>
    <w:rsid w:val="00D72D84"/>
    <w:rsid w:val="00D73B08"/>
    <w:rsid w:val="00D74CBB"/>
    <w:rsid w:val="00D75E7A"/>
    <w:rsid w:val="00D77672"/>
    <w:rsid w:val="00D80DA5"/>
    <w:rsid w:val="00D8104F"/>
    <w:rsid w:val="00D81EEC"/>
    <w:rsid w:val="00D829CE"/>
    <w:rsid w:val="00D9288B"/>
    <w:rsid w:val="00D96A88"/>
    <w:rsid w:val="00D96C52"/>
    <w:rsid w:val="00D9750E"/>
    <w:rsid w:val="00DA0534"/>
    <w:rsid w:val="00DA45E9"/>
    <w:rsid w:val="00DA560D"/>
    <w:rsid w:val="00DA7F2D"/>
    <w:rsid w:val="00DB2869"/>
    <w:rsid w:val="00DB2BC7"/>
    <w:rsid w:val="00DB312B"/>
    <w:rsid w:val="00DB337C"/>
    <w:rsid w:val="00DB6102"/>
    <w:rsid w:val="00DB6D48"/>
    <w:rsid w:val="00DB7D9F"/>
    <w:rsid w:val="00DC12A4"/>
    <w:rsid w:val="00DC231B"/>
    <w:rsid w:val="00DC4D3F"/>
    <w:rsid w:val="00DC655F"/>
    <w:rsid w:val="00DC6C2C"/>
    <w:rsid w:val="00DC7815"/>
    <w:rsid w:val="00DD4159"/>
    <w:rsid w:val="00DD493C"/>
    <w:rsid w:val="00DD4B67"/>
    <w:rsid w:val="00DD72E5"/>
    <w:rsid w:val="00DE0908"/>
    <w:rsid w:val="00DE18A6"/>
    <w:rsid w:val="00DE33B3"/>
    <w:rsid w:val="00DE3532"/>
    <w:rsid w:val="00DE763A"/>
    <w:rsid w:val="00DE7B53"/>
    <w:rsid w:val="00DF03B6"/>
    <w:rsid w:val="00DF1E5E"/>
    <w:rsid w:val="00DF2082"/>
    <w:rsid w:val="00DF2AE1"/>
    <w:rsid w:val="00DF2C5A"/>
    <w:rsid w:val="00DF5B6C"/>
    <w:rsid w:val="00DF5D70"/>
    <w:rsid w:val="00DF6A02"/>
    <w:rsid w:val="00E01EFE"/>
    <w:rsid w:val="00E05491"/>
    <w:rsid w:val="00E06598"/>
    <w:rsid w:val="00E067A6"/>
    <w:rsid w:val="00E06D06"/>
    <w:rsid w:val="00E1015E"/>
    <w:rsid w:val="00E11585"/>
    <w:rsid w:val="00E128C3"/>
    <w:rsid w:val="00E161D2"/>
    <w:rsid w:val="00E167A6"/>
    <w:rsid w:val="00E169F4"/>
    <w:rsid w:val="00E16F9E"/>
    <w:rsid w:val="00E175C8"/>
    <w:rsid w:val="00E2241B"/>
    <w:rsid w:val="00E228B8"/>
    <w:rsid w:val="00E26639"/>
    <w:rsid w:val="00E30389"/>
    <w:rsid w:val="00E32226"/>
    <w:rsid w:val="00E346A1"/>
    <w:rsid w:val="00E4050E"/>
    <w:rsid w:val="00E4319F"/>
    <w:rsid w:val="00E438B9"/>
    <w:rsid w:val="00E444A1"/>
    <w:rsid w:val="00E45C72"/>
    <w:rsid w:val="00E50C51"/>
    <w:rsid w:val="00E57496"/>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837"/>
    <w:rsid w:val="00E76EC2"/>
    <w:rsid w:val="00E8015D"/>
    <w:rsid w:val="00E828FC"/>
    <w:rsid w:val="00E83653"/>
    <w:rsid w:val="00E83BB6"/>
    <w:rsid w:val="00E85BEA"/>
    <w:rsid w:val="00E8697F"/>
    <w:rsid w:val="00E87766"/>
    <w:rsid w:val="00E90CDA"/>
    <w:rsid w:val="00E90D5D"/>
    <w:rsid w:val="00E91E2D"/>
    <w:rsid w:val="00E9407C"/>
    <w:rsid w:val="00EA1279"/>
    <w:rsid w:val="00EA1457"/>
    <w:rsid w:val="00EA30A6"/>
    <w:rsid w:val="00EA4E24"/>
    <w:rsid w:val="00EA6492"/>
    <w:rsid w:val="00EA69B6"/>
    <w:rsid w:val="00EB1C98"/>
    <w:rsid w:val="00EB2D35"/>
    <w:rsid w:val="00EB48A8"/>
    <w:rsid w:val="00EB5E79"/>
    <w:rsid w:val="00EB6D2D"/>
    <w:rsid w:val="00EC30CC"/>
    <w:rsid w:val="00EC3BF0"/>
    <w:rsid w:val="00EC604A"/>
    <w:rsid w:val="00EC7E71"/>
    <w:rsid w:val="00ED077E"/>
    <w:rsid w:val="00ED21E7"/>
    <w:rsid w:val="00ED3022"/>
    <w:rsid w:val="00ED3481"/>
    <w:rsid w:val="00ED646E"/>
    <w:rsid w:val="00ED741E"/>
    <w:rsid w:val="00ED7C32"/>
    <w:rsid w:val="00EE0AB3"/>
    <w:rsid w:val="00EE1364"/>
    <w:rsid w:val="00EE17EB"/>
    <w:rsid w:val="00EE2311"/>
    <w:rsid w:val="00EE27EF"/>
    <w:rsid w:val="00EE33D7"/>
    <w:rsid w:val="00EE4FFF"/>
    <w:rsid w:val="00EE775F"/>
    <w:rsid w:val="00EF422C"/>
    <w:rsid w:val="00EF6038"/>
    <w:rsid w:val="00EF7397"/>
    <w:rsid w:val="00F01C82"/>
    <w:rsid w:val="00F07504"/>
    <w:rsid w:val="00F07567"/>
    <w:rsid w:val="00F07F57"/>
    <w:rsid w:val="00F10354"/>
    <w:rsid w:val="00F162D6"/>
    <w:rsid w:val="00F169BA"/>
    <w:rsid w:val="00F16D7B"/>
    <w:rsid w:val="00F215D2"/>
    <w:rsid w:val="00F2262D"/>
    <w:rsid w:val="00F2277E"/>
    <w:rsid w:val="00F27207"/>
    <w:rsid w:val="00F3188B"/>
    <w:rsid w:val="00F31E85"/>
    <w:rsid w:val="00F32638"/>
    <w:rsid w:val="00F346A3"/>
    <w:rsid w:val="00F34B4E"/>
    <w:rsid w:val="00F40B5B"/>
    <w:rsid w:val="00F41047"/>
    <w:rsid w:val="00F417CB"/>
    <w:rsid w:val="00F418B2"/>
    <w:rsid w:val="00F41EAF"/>
    <w:rsid w:val="00F427FC"/>
    <w:rsid w:val="00F42B59"/>
    <w:rsid w:val="00F449FC"/>
    <w:rsid w:val="00F44D3B"/>
    <w:rsid w:val="00F4550D"/>
    <w:rsid w:val="00F511FC"/>
    <w:rsid w:val="00F513DD"/>
    <w:rsid w:val="00F53566"/>
    <w:rsid w:val="00F54532"/>
    <w:rsid w:val="00F5458A"/>
    <w:rsid w:val="00F54B0F"/>
    <w:rsid w:val="00F54CE3"/>
    <w:rsid w:val="00F6098A"/>
    <w:rsid w:val="00F60B11"/>
    <w:rsid w:val="00F6189B"/>
    <w:rsid w:val="00F63C70"/>
    <w:rsid w:val="00F64FD4"/>
    <w:rsid w:val="00F65C48"/>
    <w:rsid w:val="00F65E88"/>
    <w:rsid w:val="00F702DD"/>
    <w:rsid w:val="00F722BC"/>
    <w:rsid w:val="00F72E6C"/>
    <w:rsid w:val="00F767DF"/>
    <w:rsid w:val="00F76C94"/>
    <w:rsid w:val="00F82F14"/>
    <w:rsid w:val="00F84219"/>
    <w:rsid w:val="00F8506F"/>
    <w:rsid w:val="00F866A8"/>
    <w:rsid w:val="00F87F41"/>
    <w:rsid w:val="00FA0183"/>
    <w:rsid w:val="00FA14C0"/>
    <w:rsid w:val="00FA5F16"/>
    <w:rsid w:val="00FA7F2D"/>
    <w:rsid w:val="00FB01FF"/>
    <w:rsid w:val="00FB2D17"/>
    <w:rsid w:val="00FB32C2"/>
    <w:rsid w:val="00FB5B3F"/>
    <w:rsid w:val="00FB7358"/>
    <w:rsid w:val="00FC0E5B"/>
    <w:rsid w:val="00FC138B"/>
    <w:rsid w:val="00FC22A6"/>
    <w:rsid w:val="00FC32AB"/>
    <w:rsid w:val="00FC3C97"/>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E0"/>
    <w:rsid w:val="00FF6373"/>
    <w:rsid w:val="00FF64F2"/>
    <w:rsid w:val="00FF748B"/>
    <w:rsid w:val="00FF7EFE"/>
    <w:rsid w:val="010F3087"/>
    <w:rsid w:val="01E60B57"/>
    <w:rsid w:val="02A96172"/>
    <w:rsid w:val="03F36D65"/>
    <w:rsid w:val="044C05B1"/>
    <w:rsid w:val="04957317"/>
    <w:rsid w:val="06997F2C"/>
    <w:rsid w:val="07CC46CC"/>
    <w:rsid w:val="09616B55"/>
    <w:rsid w:val="09786F5C"/>
    <w:rsid w:val="0E314B7C"/>
    <w:rsid w:val="0F4A444A"/>
    <w:rsid w:val="100F5CB0"/>
    <w:rsid w:val="11663FA5"/>
    <w:rsid w:val="118454F7"/>
    <w:rsid w:val="11F03D41"/>
    <w:rsid w:val="122B0C68"/>
    <w:rsid w:val="127508D7"/>
    <w:rsid w:val="12CF0B69"/>
    <w:rsid w:val="13452433"/>
    <w:rsid w:val="13AC3C68"/>
    <w:rsid w:val="14860174"/>
    <w:rsid w:val="148D3880"/>
    <w:rsid w:val="14C71E2C"/>
    <w:rsid w:val="15403700"/>
    <w:rsid w:val="158D6A4E"/>
    <w:rsid w:val="15DB2DA6"/>
    <w:rsid w:val="16CA07EC"/>
    <w:rsid w:val="192654DD"/>
    <w:rsid w:val="195D0C07"/>
    <w:rsid w:val="19B22C04"/>
    <w:rsid w:val="1A0E122D"/>
    <w:rsid w:val="1A667B0C"/>
    <w:rsid w:val="1A6E433A"/>
    <w:rsid w:val="1BB31F7A"/>
    <w:rsid w:val="1C357720"/>
    <w:rsid w:val="1D07649A"/>
    <w:rsid w:val="1E424807"/>
    <w:rsid w:val="1E956831"/>
    <w:rsid w:val="1FF379C2"/>
    <w:rsid w:val="2006362B"/>
    <w:rsid w:val="20AD096A"/>
    <w:rsid w:val="20E553B1"/>
    <w:rsid w:val="22EE36FF"/>
    <w:rsid w:val="24075CBC"/>
    <w:rsid w:val="240C179E"/>
    <w:rsid w:val="248532F7"/>
    <w:rsid w:val="24905166"/>
    <w:rsid w:val="263179D7"/>
    <w:rsid w:val="279E085F"/>
    <w:rsid w:val="291750BF"/>
    <w:rsid w:val="292A3FDD"/>
    <w:rsid w:val="29DE45F4"/>
    <w:rsid w:val="29E06657"/>
    <w:rsid w:val="2A6F6410"/>
    <w:rsid w:val="2B8E100D"/>
    <w:rsid w:val="2BD439CB"/>
    <w:rsid w:val="2C0B5146"/>
    <w:rsid w:val="2C1B13EE"/>
    <w:rsid w:val="2C805AEB"/>
    <w:rsid w:val="2D556DE5"/>
    <w:rsid w:val="30471746"/>
    <w:rsid w:val="310A6EC0"/>
    <w:rsid w:val="311470E3"/>
    <w:rsid w:val="31444456"/>
    <w:rsid w:val="31447C69"/>
    <w:rsid w:val="327454BC"/>
    <w:rsid w:val="332E2EA1"/>
    <w:rsid w:val="338C1D5A"/>
    <w:rsid w:val="339F776B"/>
    <w:rsid w:val="33CB53DB"/>
    <w:rsid w:val="34235D54"/>
    <w:rsid w:val="34BA2BC8"/>
    <w:rsid w:val="350325B2"/>
    <w:rsid w:val="35ED6BDF"/>
    <w:rsid w:val="368465AA"/>
    <w:rsid w:val="36DB3EF8"/>
    <w:rsid w:val="3723513A"/>
    <w:rsid w:val="37726B89"/>
    <w:rsid w:val="378258AE"/>
    <w:rsid w:val="37BA7B64"/>
    <w:rsid w:val="382B560B"/>
    <w:rsid w:val="39880764"/>
    <w:rsid w:val="398A76E0"/>
    <w:rsid w:val="39B73FED"/>
    <w:rsid w:val="3A985188"/>
    <w:rsid w:val="3B2576C1"/>
    <w:rsid w:val="3CDE086D"/>
    <w:rsid w:val="3D230633"/>
    <w:rsid w:val="3D5027A5"/>
    <w:rsid w:val="3D64314E"/>
    <w:rsid w:val="3D9A3E6E"/>
    <w:rsid w:val="400651C1"/>
    <w:rsid w:val="41710C78"/>
    <w:rsid w:val="42850554"/>
    <w:rsid w:val="42B44AAA"/>
    <w:rsid w:val="43F6439D"/>
    <w:rsid w:val="45277812"/>
    <w:rsid w:val="45A73624"/>
    <w:rsid w:val="462B1998"/>
    <w:rsid w:val="465A2A5B"/>
    <w:rsid w:val="46E14C12"/>
    <w:rsid w:val="46F72500"/>
    <w:rsid w:val="475F3D89"/>
    <w:rsid w:val="48084655"/>
    <w:rsid w:val="48496326"/>
    <w:rsid w:val="487429DE"/>
    <w:rsid w:val="491B5C3B"/>
    <w:rsid w:val="4AA87431"/>
    <w:rsid w:val="4BB50611"/>
    <w:rsid w:val="4C3474E8"/>
    <w:rsid w:val="4D7D3CB3"/>
    <w:rsid w:val="4D976C60"/>
    <w:rsid w:val="4DDF5C24"/>
    <w:rsid w:val="4E1F3ADA"/>
    <w:rsid w:val="4E6B67CB"/>
    <w:rsid w:val="4FBF5D0D"/>
    <w:rsid w:val="531555EA"/>
    <w:rsid w:val="54A61249"/>
    <w:rsid w:val="552B70A1"/>
    <w:rsid w:val="55501BB2"/>
    <w:rsid w:val="56496330"/>
    <w:rsid w:val="57A437BF"/>
    <w:rsid w:val="58241BF0"/>
    <w:rsid w:val="58E32BB5"/>
    <w:rsid w:val="591B5DF7"/>
    <w:rsid w:val="597C6B74"/>
    <w:rsid w:val="5B875B99"/>
    <w:rsid w:val="5B9D7EC3"/>
    <w:rsid w:val="5BE179F4"/>
    <w:rsid w:val="5D337DF5"/>
    <w:rsid w:val="5DC85604"/>
    <w:rsid w:val="5E131299"/>
    <w:rsid w:val="5F0665CD"/>
    <w:rsid w:val="60202499"/>
    <w:rsid w:val="60CE6EF8"/>
    <w:rsid w:val="60E26C0C"/>
    <w:rsid w:val="60E61ADC"/>
    <w:rsid w:val="616C2AE8"/>
    <w:rsid w:val="61E355CC"/>
    <w:rsid w:val="62733360"/>
    <w:rsid w:val="62BB2AF8"/>
    <w:rsid w:val="635D6A4E"/>
    <w:rsid w:val="6450498C"/>
    <w:rsid w:val="64A111C7"/>
    <w:rsid w:val="657F4D4B"/>
    <w:rsid w:val="672F3D84"/>
    <w:rsid w:val="67FC0514"/>
    <w:rsid w:val="6AFB7A17"/>
    <w:rsid w:val="6B250B57"/>
    <w:rsid w:val="6B7C4792"/>
    <w:rsid w:val="6C3F7755"/>
    <w:rsid w:val="6C4500FB"/>
    <w:rsid w:val="6C873682"/>
    <w:rsid w:val="6CCB299B"/>
    <w:rsid w:val="6DBB21E0"/>
    <w:rsid w:val="6E614B51"/>
    <w:rsid w:val="6F79220C"/>
    <w:rsid w:val="6FD1577A"/>
    <w:rsid w:val="70D3301C"/>
    <w:rsid w:val="721750DD"/>
    <w:rsid w:val="725956F5"/>
    <w:rsid w:val="72A97CF2"/>
    <w:rsid w:val="73B35573"/>
    <w:rsid w:val="751F6D7B"/>
    <w:rsid w:val="754E1CFE"/>
    <w:rsid w:val="766B6455"/>
    <w:rsid w:val="772D5B56"/>
    <w:rsid w:val="776D6323"/>
    <w:rsid w:val="7A553377"/>
    <w:rsid w:val="7B1B7E87"/>
    <w:rsid w:val="7B6F05B6"/>
    <w:rsid w:val="7B7E01E2"/>
    <w:rsid w:val="7BB026E1"/>
    <w:rsid w:val="7C1B6950"/>
    <w:rsid w:val="7C8B4A51"/>
    <w:rsid w:val="7C8F73F9"/>
    <w:rsid w:val="7DA367C3"/>
    <w:rsid w:val="7DB75D62"/>
    <w:rsid w:val="7DF306D1"/>
    <w:rsid w:val="7E5C589A"/>
    <w:rsid w:val="7F2C0419"/>
    <w:rsid w:val="7F5B695D"/>
    <w:rsid w:val="7F84247C"/>
    <w:rsid w:val="7F9B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autoRedefine/>
    <w:qFormat/>
    <w:uiPriority w:val="0"/>
    <w:pPr>
      <w:keepNext/>
      <w:keepLines/>
      <w:spacing w:before="340" w:after="330" w:line="578" w:lineRule="auto"/>
      <w:outlineLvl w:val="0"/>
    </w:pPr>
    <w:rPr>
      <w:kern w:val="44"/>
      <w:sz w:val="44"/>
      <w:szCs w:val="44"/>
    </w:rPr>
  </w:style>
  <w:style w:type="paragraph" w:styleId="5">
    <w:name w:val="heading 2"/>
    <w:basedOn w:val="1"/>
    <w:next w:val="1"/>
    <w:link w:val="57"/>
    <w:autoRedefine/>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7">
    <w:name w:val="heading 4"/>
    <w:basedOn w:val="1"/>
    <w:next w:val="1"/>
    <w:link w:val="59"/>
    <w:autoRedefine/>
    <w:qFormat/>
    <w:uiPriority w:val="0"/>
    <w:pPr>
      <w:keepNext/>
      <w:outlineLvl w:val="3"/>
    </w:pPr>
    <w:rPr>
      <w:sz w:val="28"/>
      <w:szCs w:val="20"/>
    </w:rPr>
  </w:style>
  <w:style w:type="paragraph" w:styleId="8">
    <w:name w:val="heading 5"/>
    <w:basedOn w:val="1"/>
    <w:next w:val="1"/>
    <w:link w:val="60"/>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61"/>
    <w:autoRedefine/>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link w:val="62"/>
    <w:autoRedefine/>
    <w:qFormat/>
    <w:uiPriority w:val="0"/>
    <w:pPr>
      <w:keepNext/>
      <w:keepLines/>
      <w:spacing w:before="240" w:after="64" w:line="320" w:lineRule="auto"/>
      <w:outlineLvl w:val="6"/>
    </w:pPr>
    <w:rPr>
      <w:b/>
      <w:bCs/>
      <w:sz w:val="24"/>
    </w:rPr>
  </w:style>
  <w:style w:type="paragraph" w:styleId="11">
    <w:name w:val="heading 8"/>
    <w:basedOn w:val="1"/>
    <w:next w:val="1"/>
    <w:link w:val="63"/>
    <w:autoRedefine/>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64"/>
    <w:autoRedefine/>
    <w:qFormat/>
    <w:uiPriority w:val="0"/>
    <w:pPr>
      <w:keepNext/>
      <w:keepLines/>
      <w:spacing w:before="240" w:after="64" w:line="320" w:lineRule="auto"/>
      <w:outlineLvl w:val="8"/>
    </w:pPr>
    <w:rPr>
      <w:rFonts w:ascii="Arial" w:hAnsi="Arial" w:eastAsia="黑体"/>
      <w:szCs w:val="21"/>
    </w:rPr>
  </w:style>
  <w:style w:type="character" w:default="1" w:styleId="43">
    <w:name w:val="Default Paragraph Font"/>
    <w:autoRedefine/>
    <w:semiHidden/>
    <w:unhideWhenUsed/>
    <w:qFormat/>
    <w:uiPriority w:val="1"/>
  </w:style>
  <w:style w:type="table" w:default="1" w:styleId="4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after="120"/>
      <w:ind w:firstLine="420"/>
      <w:jc w:val="both"/>
    </w:pPr>
    <w:rPr>
      <w:sz w:val="21"/>
    </w:rPr>
  </w:style>
  <w:style w:type="paragraph" w:styleId="3">
    <w:name w:val="Body Text"/>
    <w:basedOn w:val="1"/>
    <w:link w:val="70"/>
    <w:autoRedefine/>
    <w:qFormat/>
    <w:uiPriority w:val="0"/>
    <w:rPr>
      <w:sz w:val="28"/>
      <w:szCs w:val="20"/>
    </w:rPr>
  </w:style>
  <w:style w:type="paragraph" w:styleId="13">
    <w:name w:val="toc 7"/>
    <w:basedOn w:val="1"/>
    <w:next w:val="1"/>
    <w:autoRedefine/>
    <w:unhideWhenUsed/>
    <w:qFormat/>
    <w:uiPriority w:val="39"/>
    <w:pPr>
      <w:ind w:left="2520" w:leftChars="1200"/>
    </w:pPr>
    <w:rPr>
      <w:rFonts w:ascii="Calibri" w:hAnsi="Calibri"/>
      <w:szCs w:val="22"/>
    </w:rPr>
  </w:style>
  <w:style w:type="paragraph" w:styleId="14">
    <w:name w:val="Normal Indent"/>
    <w:basedOn w:val="1"/>
    <w:next w:val="1"/>
    <w:link w:val="95"/>
    <w:autoRedefine/>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5">
    <w:name w:val="Document Map"/>
    <w:basedOn w:val="1"/>
    <w:link w:val="69"/>
    <w:autoRedefine/>
    <w:semiHidden/>
    <w:qFormat/>
    <w:uiPriority w:val="0"/>
    <w:rPr>
      <w:rFonts w:ascii="宋体"/>
      <w:sz w:val="18"/>
      <w:szCs w:val="18"/>
    </w:rPr>
  </w:style>
  <w:style w:type="paragraph" w:styleId="16">
    <w:name w:val="annotation text"/>
    <w:basedOn w:val="1"/>
    <w:link w:val="67"/>
    <w:autoRedefine/>
    <w:unhideWhenUsed/>
    <w:qFormat/>
    <w:uiPriority w:val="99"/>
    <w:pPr>
      <w:jc w:val="left"/>
    </w:pPr>
  </w:style>
  <w:style w:type="paragraph" w:styleId="17">
    <w:name w:val="Body Text 3"/>
    <w:basedOn w:val="1"/>
    <w:link w:val="93"/>
    <w:autoRedefine/>
    <w:semiHidden/>
    <w:unhideWhenUsed/>
    <w:qFormat/>
    <w:uiPriority w:val="99"/>
    <w:pPr>
      <w:spacing w:after="120"/>
    </w:pPr>
    <w:rPr>
      <w:sz w:val="16"/>
      <w:szCs w:val="16"/>
    </w:rPr>
  </w:style>
  <w:style w:type="paragraph" w:styleId="18">
    <w:name w:val="Body Text Indent"/>
    <w:basedOn w:val="1"/>
    <w:link w:val="71"/>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9">
    <w:name w:val="List 2"/>
    <w:basedOn w:val="1"/>
    <w:autoRedefine/>
    <w:qFormat/>
    <w:uiPriority w:val="0"/>
    <w:pPr>
      <w:ind w:left="100" w:leftChars="200" w:hanging="200" w:hangingChars="200"/>
    </w:pPr>
  </w:style>
  <w:style w:type="paragraph" w:styleId="20">
    <w:name w:val="toc 5"/>
    <w:basedOn w:val="1"/>
    <w:next w:val="1"/>
    <w:autoRedefine/>
    <w:unhideWhenUsed/>
    <w:qFormat/>
    <w:uiPriority w:val="39"/>
    <w:pPr>
      <w:ind w:left="1680" w:leftChars="800"/>
    </w:pPr>
    <w:rPr>
      <w:rFonts w:ascii="Calibri" w:hAnsi="Calibri"/>
      <w:szCs w:val="22"/>
    </w:rPr>
  </w:style>
  <w:style w:type="paragraph" w:styleId="21">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2">
    <w:name w:val="Plain Text"/>
    <w:basedOn w:val="1"/>
    <w:link w:val="72"/>
    <w:autoRedefine/>
    <w:qFormat/>
    <w:uiPriority w:val="0"/>
    <w:rPr>
      <w:rFonts w:ascii="宋体" w:hAnsi="Courier New"/>
      <w:szCs w:val="20"/>
    </w:rPr>
  </w:style>
  <w:style w:type="paragraph" w:styleId="23">
    <w:name w:val="toc 8"/>
    <w:basedOn w:val="1"/>
    <w:next w:val="1"/>
    <w:autoRedefine/>
    <w:unhideWhenUsed/>
    <w:qFormat/>
    <w:uiPriority w:val="39"/>
    <w:pPr>
      <w:ind w:left="2940" w:leftChars="1400"/>
    </w:pPr>
    <w:rPr>
      <w:rFonts w:ascii="Calibri" w:hAnsi="Calibri"/>
      <w:szCs w:val="22"/>
    </w:rPr>
  </w:style>
  <w:style w:type="paragraph" w:styleId="24">
    <w:name w:val="Date"/>
    <w:basedOn w:val="1"/>
    <w:next w:val="1"/>
    <w:link w:val="73"/>
    <w:autoRedefine/>
    <w:qFormat/>
    <w:uiPriority w:val="0"/>
    <w:pPr>
      <w:ind w:left="100" w:leftChars="2500"/>
    </w:pPr>
    <w:rPr>
      <w:szCs w:val="20"/>
    </w:rPr>
  </w:style>
  <w:style w:type="paragraph" w:styleId="25">
    <w:name w:val="Body Text Indent 2"/>
    <w:basedOn w:val="1"/>
    <w:link w:val="74"/>
    <w:autoRedefine/>
    <w:qFormat/>
    <w:uiPriority w:val="0"/>
    <w:pPr>
      <w:spacing w:line="480" w:lineRule="auto"/>
      <w:ind w:firstLine="480" w:firstLineChars="200"/>
    </w:pPr>
    <w:rPr>
      <w:rFonts w:ascii="仿宋_GB2312" w:hAnsi="宋体" w:eastAsia="仿宋_GB2312"/>
      <w:sz w:val="24"/>
    </w:rPr>
  </w:style>
  <w:style w:type="paragraph" w:styleId="26">
    <w:name w:val="Balloon Text"/>
    <w:basedOn w:val="1"/>
    <w:link w:val="55"/>
    <w:autoRedefine/>
    <w:semiHidden/>
    <w:unhideWhenUsed/>
    <w:qFormat/>
    <w:uiPriority w:val="0"/>
    <w:rPr>
      <w:sz w:val="18"/>
      <w:szCs w:val="18"/>
    </w:rPr>
  </w:style>
  <w:style w:type="paragraph" w:styleId="27">
    <w:name w:val="footer"/>
    <w:basedOn w:val="1"/>
    <w:link w:val="66"/>
    <w:autoRedefine/>
    <w:unhideWhenUsed/>
    <w:qFormat/>
    <w:uiPriority w:val="0"/>
    <w:pPr>
      <w:tabs>
        <w:tab w:val="center" w:pos="4153"/>
        <w:tab w:val="right" w:pos="8306"/>
      </w:tabs>
      <w:snapToGrid w:val="0"/>
      <w:jc w:val="left"/>
    </w:pPr>
    <w:rPr>
      <w:sz w:val="18"/>
      <w:szCs w:val="18"/>
    </w:rPr>
  </w:style>
  <w:style w:type="paragraph" w:styleId="28">
    <w:name w:val="envelope return"/>
    <w:basedOn w:val="1"/>
    <w:autoRedefine/>
    <w:qFormat/>
    <w:uiPriority w:val="0"/>
    <w:pPr>
      <w:snapToGrid w:val="0"/>
    </w:pPr>
    <w:rPr>
      <w:rFonts w:ascii="Arial" w:hAnsi="Arial" w:cs="Arial"/>
    </w:rPr>
  </w:style>
  <w:style w:type="paragraph" w:styleId="29">
    <w:name w:val="header"/>
    <w:basedOn w:val="1"/>
    <w:link w:val="6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tabs>
        <w:tab w:val="left" w:pos="426"/>
        <w:tab w:val="left" w:pos="709"/>
        <w:tab w:val="right" w:leader="dot" w:pos="8505"/>
      </w:tabs>
      <w:snapToGrid w:val="0"/>
      <w:spacing w:line="440" w:lineRule="exact"/>
      <w:jc w:val="left"/>
    </w:pPr>
    <w:rPr>
      <w:rFonts w:ascii="宋体" w:hAnsi="宋体"/>
    </w:rPr>
  </w:style>
  <w:style w:type="paragraph" w:styleId="31">
    <w:name w:val="toc 4"/>
    <w:basedOn w:val="1"/>
    <w:next w:val="1"/>
    <w:autoRedefine/>
    <w:unhideWhenUsed/>
    <w:qFormat/>
    <w:uiPriority w:val="39"/>
    <w:pPr>
      <w:ind w:left="1260" w:leftChars="600"/>
    </w:pPr>
    <w:rPr>
      <w:rFonts w:ascii="Calibri" w:hAnsi="Calibri"/>
      <w:szCs w:val="22"/>
    </w:rPr>
  </w:style>
  <w:style w:type="paragraph" w:styleId="32">
    <w:name w:val="Subtitle"/>
    <w:basedOn w:val="1"/>
    <w:next w:val="1"/>
    <w:link w:val="75"/>
    <w:autoRedefine/>
    <w:qFormat/>
    <w:uiPriority w:val="0"/>
    <w:pPr>
      <w:spacing w:before="240" w:after="60" w:line="312" w:lineRule="auto"/>
      <w:jc w:val="center"/>
      <w:outlineLvl w:val="1"/>
    </w:pPr>
    <w:rPr>
      <w:rFonts w:ascii="Cambria" w:hAnsi="Cambria" w:cs="黑体"/>
      <w:b/>
      <w:bCs/>
      <w:kern w:val="28"/>
      <w:sz w:val="32"/>
      <w:szCs w:val="32"/>
    </w:rPr>
  </w:style>
  <w:style w:type="paragraph" w:styleId="33">
    <w:name w:val="toc 6"/>
    <w:basedOn w:val="1"/>
    <w:next w:val="1"/>
    <w:autoRedefine/>
    <w:unhideWhenUsed/>
    <w:qFormat/>
    <w:uiPriority w:val="39"/>
    <w:pPr>
      <w:ind w:left="2100" w:leftChars="1000"/>
    </w:pPr>
    <w:rPr>
      <w:rFonts w:ascii="Calibri" w:hAnsi="Calibri"/>
      <w:szCs w:val="22"/>
    </w:rPr>
  </w:style>
  <w:style w:type="paragraph" w:styleId="34">
    <w:name w:val="Body Text Indent 3"/>
    <w:basedOn w:val="1"/>
    <w:link w:val="76"/>
    <w:autoRedefine/>
    <w:qFormat/>
    <w:uiPriority w:val="0"/>
    <w:pPr>
      <w:spacing w:after="120" w:line="360" w:lineRule="atLeast"/>
      <w:ind w:firstLine="720" w:firstLineChars="300"/>
    </w:pPr>
    <w:rPr>
      <w:sz w:val="24"/>
      <w:szCs w:val="20"/>
    </w:rPr>
  </w:style>
  <w:style w:type="paragraph" w:styleId="35">
    <w:name w:val="toc 2"/>
    <w:basedOn w:val="1"/>
    <w:next w:val="1"/>
    <w:autoRedefine/>
    <w:qFormat/>
    <w:uiPriority w:val="39"/>
    <w:pPr>
      <w:tabs>
        <w:tab w:val="left" w:pos="567"/>
        <w:tab w:val="right" w:leader="dot" w:pos="8505"/>
        <w:tab w:val="right" w:leader="dot" w:pos="9628"/>
      </w:tabs>
      <w:spacing w:line="440" w:lineRule="exact"/>
    </w:pPr>
  </w:style>
  <w:style w:type="paragraph" w:styleId="36">
    <w:name w:val="toc 9"/>
    <w:basedOn w:val="1"/>
    <w:next w:val="1"/>
    <w:autoRedefine/>
    <w:unhideWhenUsed/>
    <w:qFormat/>
    <w:uiPriority w:val="39"/>
    <w:pPr>
      <w:ind w:left="3360" w:leftChars="1600"/>
    </w:pPr>
    <w:rPr>
      <w:rFonts w:ascii="Calibri" w:hAnsi="Calibri"/>
      <w:szCs w:val="22"/>
    </w:rPr>
  </w:style>
  <w:style w:type="paragraph" w:styleId="3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8">
    <w:name w:val="Title"/>
    <w:basedOn w:val="1"/>
    <w:next w:val="1"/>
    <w:link w:val="77"/>
    <w:autoRedefine/>
    <w:qFormat/>
    <w:uiPriority w:val="0"/>
    <w:pPr>
      <w:spacing w:before="240" w:after="60"/>
      <w:jc w:val="center"/>
      <w:outlineLvl w:val="0"/>
    </w:pPr>
    <w:rPr>
      <w:rFonts w:ascii="Cambria" w:hAnsi="Cambria"/>
      <w:b/>
      <w:bCs/>
      <w:sz w:val="32"/>
      <w:szCs w:val="32"/>
    </w:rPr>
  </w:style>
  <w:style w:type="paragraph" w:styleId="39">
    <w:name w:val="annotation subject"/>
    <w:basedOn w:val="16"/>
    <w:next w:val="16"/>
    <w:link w:val="68"/>
    <w:autoRedefine/>
    <w:semiHidden/>
    <w:qFormat/>
    <w:uiPriority w:val="0"/>
    <w:rPr>
      <w:b/>
      <w:bCs/>
      <w:szCs w:val="20"/>
    </w:rPr>
  </w:style>
  <w:style w:type="paragraph" w:styleId="40">
    <w:name w:val="Body Text First Indent 2"/>
    <w:basedOn w:val="18"/>
    <w:next w:val="1"/>
    <w:autoRedefine/>
    <w:qFormat/>
    <w:uiPriority w:val="0"/>
    <w:pPr>
      <w:ind w:firstLine="420" w:firstLineChars="200"/>
    </w:pPr>
  </w:style>
  <w:style w:type="table" w:styleId="42">
    <w:name w:val="Table Grid"/>
    <w:basedOn w:val="41"/>
    <w:autoRedefine/>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page number"/>
    <w:basedOn w:val="43"/>
    <w:autoRedefine/>
    <w:qFormat/>
    <w:uiPriority w:val="0"/>
  </w:style>
  <w:style w:type="character" w:styleId="45">
    <w:name w:val="FollowedHyperlink"/>
    <w:autoRedefine/>
    <w:qFormat/>
    <w:uiPriority w:val="0"/>
    <w:rPr>
      <w:color w:val="800080"/>
      <w:u w:val="single"/>
    </w:rPr>
  </w:style>
  <w:style w:type="character" w:styleId="46">
    <w:name w:val="Hyperlink"/>
    <w:basedOn w:val="43"/>
    <w:autoRedefine/>
    <w:qFormat/>
    <w:uiPriority w:val="99"/>
    <w:rPr>
      <w:color w:val="0000FF"/>
      <w:u w:val="single"/>
    </w:rPr>
  </w:style>
  <w:style w:type="character" w:styleId="47">
    <w:name w:val="annotation reference"/>
    <w:autoRedefine/>
    <w:qFormat/>
    <w:uiPriority w:val="99"/>
    <w:rPr>
      <w:sz w:val="21"/>
      <w:szCs w:val="21"/>
    </w:rPr>
  </w:style>
  <w:style w:type="paragraph" w:customStyle="1" w:styleId="48">
    <w:name w:val="_Style 3"/>
    <w:basedOn w:val="1"/>
    <w:next w:val="49"/>
    <w:autoRedefine/>
    <w:qFormat/>
    <w:uiPriority w:val="0"/>
    <w:pPr>
      <w:ind w:firstLine="420" w:firstLineChars="200"/>
    </w:pPr>
    <w:rPr>
      <w:rFonts w:ascii="等线" w:hAnsi="等线" w:eastAsia="等线" w:cs="Times New Roman"/>
      <w:sz w:val="20"/>
    </w:rPr>
  </w:style>
  <w:style w:type="paragraph" w:customStyle="1" w:styleId="49">
    <w:name w:val="List Paragraph1"/>
    <w:basedOn w:val="1"/>
    <w:autoRedefine/>
    <w:qFormat/>
    <w:uiPriority w:val="99"/>
    <w:pPr>
      <w:ind w:firstLine="420" w:firstLineChars="200"/>
    </w:pPr>
  </w:style>
  <w:style w:type="paragraph" w:customStyle="1" w:styleId="50">
    <w:name w:val="表格文字"/>
    <w:basedOn w:val="51"/>
    <w:next w:val="1"/>
    <w:autoRedefine/>
    <w:qFormat/>
    <w:uiPriority w:val="0"/>
    <w:pPr>
      <w:spacing w:before="25" w:after="25"/>
      <w:jc w:val="left"/>
    </w:pPr>
    <w:rPr>
      <w:bCs/>
      <w:spacing w:val="10"/>
      <w:kern w:val="0"/>
      <w:sz w:val="24"/>
      <w:szCs w:val="20"/>
    </w:rPr>
  </w:style>
  <w:style w:type="paragraph" w:customStyle="1" w:styleId="51">
    <w:name w:val="表格文字（两侧对齐）"/>
    <w:basedOn w:val="1"/>
    <w:autoRedefine/>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52">
    <w:name w:val="bt1bt1"/>
    <w:basedOn w:val="4"/>
    <w:autoRedefine/>
    <w:qFormat/>
    <w:uiPriority w:val="0"/>
    <w:pPr>
      <w:spacing w:line="240" w:lineRule="auto"/>
      <w:jc w:val="center"/>
    </w:pPr>
    <w:rPr>
      <w:rFonts w:ascii="黑体" w:eastAsia="黑体"/>
      <w:sz w:val="36"/>
      <w:szCs w:val="36"/>
    </w:rPr>
  </w:style>
  <w:style w:type="paragraph" w:styleId="53">
    <w:name w:val="List Paragraph"/>
    <w:basedOn w:val="1"/>
    <w:autoRedefine/>
    <w:unhideWhenUsed/>
    <w:qFormat/>
    <w:uiPriority w:val="34"/>
    <w:pPr>
      <w:ind w:firstLine="420" w:firstLineChars="200"/>
    </w:pPr>
  </w:style>
  <w:style w:type="character" w:customStyle="1" w:styleId="54">
    <w:name w:val="标题 1 字符"/>
    <w:basedOn w:val="43"/>
    <w:link w:val="4"/>
    <w:autoRedefine/>
    <w:qFormat/>
    <w:uiPriority w:val="0"/>
    <w:rPr>
      <w:rFonts w:ascii="Times New Roman" w:hAnsi="Times New Roman" w:eastAsia="宋体" w:cs="Times New Roman"/>
      <w:b/>
      <w:bCs/>
      <w:kern w:val="44"/>
      <w:sz w:val="44"/>
      <w:szCs w:val="44"/>
    </w:rPr>
  </w:style>
  <w:style w:type="character" w:customStyle="1" w:styleId="55">
    <w:name w:val="批注框文本 字符"/>
    <w:basedOn w:val="43"/>
    <w:link w:val="26"/>
    <w:autoRedefine/>
    <w:semiHidden/>
    <w:qFormat/>
    <w:uiPriority w:val="0"/>
    <w:rPr>
      <w:rFonts w:ascii="Times New Roman" w:hAnsi="Times New Roman" w:eastAsia="宋体" w:cs="Times New Roman"/>
      <w:sz w:val="18"/>
      <w:szCs w:val="18"/>
    </w:rPr>
  </w:style>
  <w:style w:type="paragraph" w:customStyle="1" w:styleId="56">
    <w:name w:val="TOC 标题1"/>
    <w:basedOn w:val="4"/>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标题 2 字符"/>
    <w:basedOn w:val="43"/>
    <w:link w:val="5"/>
    <w:autoRedefine/>
    <w:qFormat/>
    <w:uiPriority w:val="0"/>
    <w:rPr>
      <w:rFonts w:ascii="Arial" w:hAnsi="Arial" w:eastAsia="黑体" w:cs="Times New Roman"/>
      <w:b/>
      <w:bCs/>
      <w:sz w:val="32"/>
      <w:szCs w:val="32"/>
    </w:rPr>
  </w:style>
  <w:style w:type="character" w:customStyle="1" w:styleId="58">
    <w:name w:val="标题 3 字符"/>
    <w:basedOn w:val="43"/>
    <w:link w:val="6"/>
    <w:autoRedefine/>
    <w:qFormat/>
    <w:uiPriority w:val="0"/>
    <w:rPr>
      <w:rFonts w:ascii="黑体" w:hAnsi="Times New Roman" w:eastAsia="黑体" w:cs="Times New Roman"/>
      <w:kern w:val="0"/>
      <w:sz w:val="28"/>
      <w:szCs w:val="20"/>
    </w:rPr>
  </w:style>
  <w:style w:type="character" w:customStyle="1" w:styleId="59">
    <w:name w:val="标题 4 字符"/>
    <w:basedOn w:val="43"/>
    <w:link w:val="7"/>
    <w:autoRedefine/>
    <w:qFormat/>
    <w:uiPriority w:val="0"/>
    <w:rPr>
      <w:rFonts w:ascii="Times New Roman" w:hAnsi="Times New Roman" w:eastAsia="宋体" w:cs="Times New Roman"/>
      <w:sz w:val="28"/>
      <w:szCs w:val="20"/>
    </w:rPr>
  </w:style>
  <w:style w:type="character" w:customStyle="1" w:styleId="60">
    <w:name w:val="标题 5 字符"/>
    <w:basedOn w:val="43"/>
    <w:link w:val="8"/>
    <w:autoRedefine/>
    <w:qFormat/>
    <w:uiPriority w:val="0"/>
    <w:rPr>
      <w:rFonts w:ascii="Times New Roman" w:hAnsi="Times New Roman" w:eastAsia="宋体" w:cs="Times New Roman"/>
      <w:b/>
      <w:bCs/>
      <w:sz w:val="28"/>
      <w:szCs w:val="28"/>
    </w:rPr>
  </w:style>
  <w:style w:type="character" w:customStyle="1" w:styleId="61">
    <w:name w:val="标题 6 字符"/>
    <w:basedOn w:val="43"/>
    <w:link w:val="9"/>
    <w:autoRedefine/>
    <w:qFormat/>
    <w:uiPriority w:val="0"/>
    <w:rPr>
      <w:rFonts w:ascii="Arial" w:hAnsi="Arial" w:eastAsia="黑体" w:cs="Times New Roman"/>
      <w:b/>
      <w:bCs/>
      <w:sz w:val="24"/>
      <w:szCs w:val="24"/>
    </w:rPr>
  </w:style>
  <w:style w:type="character" w:customStyle="1" w:styleId="62">
    <w:name w:val="标题 7 字符"/>
    <w:basedOn w:val="43"/>
    <w:link w:val="10"/>
    <w:autoRedefine/>
    <w:qFormat/>
    <w:uiPriority w:val="0"/>
    <w:rPr>
      <w:rFonts w:ascii="Times New Roman" w:hAnsi="Times New Roman" w:eastAsia="宋体" w:cs="Times New Roman"/>
      <w:b/>
      <w:bCs/>
      <w:sz w:val="24"/>
      <w:szCs w:val="24"/>
    </w:rPr>
  </w:style>
  <w:style w:type="character" w:customStyle="1" w:styleId="63">
    <w:name w:val="标题 8 字符"/>
    <w:basedOn w:val="43"/>
    <w:link w:val="11"/>
    <w:autoRedefine/>
    <w:qFormat/>
    <w:uiPriority w:val="0"/>
    <w:rPr>
      <w:rFonts w:ascii="Arial" w:hAnsi="Arial" w:eastAsia="黑体" w:cs="Times New Roman"/>
      <w:sz w:val="24"/>
      <w:szCs w:val="24"/>
    </w:rPr>
  </w:style>
  <w:style w:type="character" w:customStyle="1" w:styleId="64">
    <w:name w:val="标题 9 字符"/>
    <w:basedOn w:val="43"/>
    <w:link w:val="12"/>
    <w:autoRedefine/>
    <w:qFormat/>
    <w:uiPriority w:val="0"/>
    <w:rPr>
      <w:rFonts w:ascii="Arial" w:hAnsi="Arial" w:eastAsia="黑体" w:cs="Times New Roman"/>
      <w:szCs w:val="21"/>
    </w:rPr>
  </w:style>
  <w:style w:type="character" w:customStyle="1" w:styleId="65">
    <w:name w:val="页眉 字符"/>
    <w:basedOn w:val="43"/>
    <w:link w:val="29"/>
    <w:autoRedefine/>
    <w:qFormat/>
    <w:uiPriority w:val="99"/>
    <w:rPr>
      <w:rFonts w:ascii="Times New Roman" w:hAnsi="Times New Roman" w:eastAsia="宋体" w:cs="Times New Roman"/>
      <w:sz w:val="18"/>
      <w:szCs w:val="18"/>
    </w:rPr>
  </w:style>
  <w:style w:type="character" w:customStyle="1" w:styleId="66">
    <w:name w:val="页脚 字符"/>
    <w:basedOn w:val="43"/>
    <w:link w:val="27"/>
    <w:autoRedefine/>
    <w:qFormat/>
    <w:uiPriority w:val="0"/>
    <w:rPr>
      <w:rFonts w:ascii="Times New Roman" w:hAnsi="Times New Roman" w:eastAsia="宋体" w:cs="Times New Roman"/>
      <w:sz w:val="18"/>
      <w:szCs w:val="18"/>
    </w:rPr>
  </w:style>
  <w:style w:type="character" w:customStyle="1" w:styleId="67">
    <w:name w:val="批注文字 字符"/>
    <w:basedOn w:val="43"/>
    <w:link w:val="16"/>
    <w:autoRedefine/>
    <w:qFormat/>
    <w:uiPriority w:val="99"/>
    <w:rPr>
      <w:rFonts w:ascii="Times New Roman" w:hAnsi="Times New Roman" w:eastAsia="宋体" w:cs="Times New Roman"/>
      <w:szCs w:val="24"/>
    </w:rPr>
  </w:style>
  <w:style w:type="character" w:customStyle="1" w:styleId="68">
    <w:name w:val="批注主题 字符"/>
    <w:basedOn w:val="67"/>
    <w:link w:val="39"/>
    <w:autoRedefine/>
    <w:semiHidden/>
    <w:qFormat/>
    <w:uiPriority w:val="0"/>
    <w:rPr>
      <w:rFonts w:ascii="Times New Roman" w:hAnsi="Times New Roman" w:eastAsia="宋体" w:cs="Times New Roman"/>
      <w:b/>
      <w:bCs/>
      <w:szCs w:val="20"/>
    </w:rPr>
  </w:style>
  <w:style w:type="character" w:customStyle="1" w:styleId="69">
    <w:name w:val="文档结构图 字符"/>
    <w:basedOn w:val="43"/>
    <w:link w:val="15"/>
    <w:autoRedefine/>
    <w:semiHidden/>
    <w:qFormat/>
    <w:uiPriority w:val="0"/>
    <w:rPr>
      <w:rFonts w:ascii="宋体" w:hAnsi="Times New Roman" w:eastAsia="宋体" w:cs="Times New Roman"/>
      <w:sz w:val="18"/>
      <w:szCs w:val="18"/>
    </w:rPr>
  </w:style>
  <w:style w:type="character" w:customStyle="1" w:styleId="70">
    <w:name w:val="正文文本 字符"/>
    <w:basedOn w:val="43"/>
    <w:link w:val="3"/>
    <w:autoRedefine/>
    <w:qFormat/>
    <w:uiPriority w:val="0"/>
    <w:rPr>
      <w:rFonts w:ascii="Times New Roman" w:hAnsi="Times New Roman" w:eastAsia="宋体" w:cs="Times New Roman"/>
      <w:sz w:val="28"/>
      <w:szCs w:val="20"/>
    </w:rPr>
  </w:style>
  <w:style w:type="character" w:customStyle="1" w:styleId="71">
    <w:name w:val="正文文本缩进 字符"/>
    <w:basedOn w:val="43"/>
    <w:link w:val="18"/>
    <w:autoRedefine/>
    <w:qFormat/>
    <w:uiPriority w:val="0"/>
    <w:rPr>
      <w:rFonts w:ascii="楷体_GB2312" w:hAnsi="Times New Roman" w:eastAsia="楷体_GB2312" w:cs="Times New Roman"/>
      <w:kern w:val="0"/>
      <w:sz w:val="28"/>
      <w:szCs w:val="20"/>
    </w:rPr>
  </w:style>
  <w:style w:type="character" w:customStyle="1" w:styleId="72">
    <w:name w:val="纯文本 字符"/>
    <w:basedOn w:val="43"/>
    <w:link w:val="22"/>
    <w:autoRedefine/>
    <w:qFormat/>
    <w:uiPriority w:val="0"/>
    <w:rPr>
      <w:rFonts w:ascii="宋体" w:hAnsi="Courier New" w:eastAsia="宋体" w:cs="Times New Roman"/>
      <w:szCs w:val="20"/>
    </w:rPr>
  </w:style>
  <w:style w:type="character" w:customStyle="1" w:styleId="73">
    <w:name w:val="日期 字符"/>
    <w:basedOn w:val="43"/>
    <w:link w:val="24"/>
    <w:autoRedefine/>
    <w:qFormat/>
    <w:uiPriority w:val="0"/>
    <w:rPr>
      <w:rFonts w:ascii="Times New Roman" w:hAnsi="Times New Roman" w:eastAsia="宋体" w:cs="Times New Roman"/>
      <w:szCs w:val="20"/>
    </w:rPr>
  </w:style>
  <w:style w:type="character" w:customStyle="1" w:styleId="74">
    <w:name w:val="正文文本缩进 2 字符"/>
    <w:basedOn w:val="43"/>
    <w:link w:val="25"/>
    <w:autoRedefine/>
    <w:qFormat/>
    <w:uiPriority w:val="0"/>
    <w:rPr>
      <w:rFonts w:ascii="仿宋_GB2312" w:hAnsi="宋体" w:eastAsia="仿宋_GB2312" w:cs="Times New Roman"/>
      <w:sz w:val="24"/>
      <w:szCs w:val="24"/>
    </w:rPr>
  </w:style>
  <w:style w:type="character" w:customStyle="1" w:styleId="75">
    <w:name w:val="副标题 字符"/>
    <w:basedOn w:val="43"/>
    <w:link w:val="32"/>
    <w:autoRedefine/>
    <w:qFormat/>
    <w:uiPriority w:val="0"/>
    <w:rPr>
      <w:rFonts w:ascii="Cambria" w:hAnsi="Cambria" w:eastAsia="宋体" w:cs="黑体"/>
      <w:b/>
      <w:bCs/>
      <w:kern w:val="28"/>
      <w:sz w:val="32"/>
      <w:szCs w:val="32"/>
    </w:rPr>
  </w:style>
  <w:style w:type="character" w:customStyle="1" w:styleId="76">
    <w:name w:val="正文文本缩进 3 字符"/>
    <w:basedOn w:val="43"/>
    <w:link w:val="34"/>
    <w:autoRedefine/>
    <w:qFormat/>
    <w:uiPriority w:val="0"/>
    <w:rPr>
      <w:rFonts w:ascii="Times New Roman" w:hAnsi="Times New Roman" w:eastAsia="宋体" w:cs="Times New Roman"/>
      <w:sz w:val="24"/>
      <w:szCs w:val="20"/>
    </w:rPr>
  </w:style>
  <w:style w:type="character" w:customStyle="1" w:styleId="77">
    <w:name w:val="标题 字符"/>
    <w:basedOn w:val="43"/>
    <w:link w:val="38"/>
    <w:autoRedefine/>
    <w:qFormat/>
    <w:uiPriority w:val="0"/>
    <w:rPr>
      <w:rFonts w:ascii="Cambria" w:hAnsi="Cambria" w:eastAsia="宋体" w:cs="Times New Roman"/>
      <w:b/>
      <w:bCs/>
      <w:sz w:val="32"/>
      <w:szCs w:val="32"/>
    </w:rPr>
  </w:style>
  <w:style w:type="paragraph" w:customStyle="1" w:styleId="78">
    <w:name w:val="TOC 标题11"/>
    <w:basedOn w:val="4"/>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autoRedefine/>
    <w:qFormat/>
    <w:uiPriority w:val="34"/>
    <w:pPr>
      <w:ind w:firstLine="420" w:firstLineChars="200"/>
    </w:pPr>
    <w:rPr>
      <w:szCs w:val="20"/>
    </w:rPr>
  </w:style>
  <w:style w:type="paragraph" w:customStyle="1" w:styleId="80">
    <w:name w:val="Char Char Char Char Char Char Char Char Char Char Char Char Char"/>
    <w:basedOn w:val="15"/>
    <w:autoRedefine/>
    <w:qFormat/>
    <w:uiPriority w:val="0"/>
    <w:pPr>
      <w:shd w:val="clear" w:color="auto" w:fill="000080"/>
    </w:pPr>
    <w:rPr>
      <w:rFonts w:ascii="Tahoma" w:hAnsi="Tahoma"/>
      <w:sz w:val="24"/>
      <w:szCs w:val="24"/>
    </w:rPr>
  </w:style>
  <w:style w:type="paragraph" w:customStyle="1" w:styleId="8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autoRedefine/>
    <w:qFormat/>
    <w:uiPriority w:val="0"/>
    <w:pPr>
      <w:widowControl/>
    </w:pPr>
    <w:rPr>
      <w:color w:val="000000"/>
      <w:szCs w:val="21"/>
    </w:rPr>
  </w:style>
  <w:style w:type="paragraph" w:customStyle="1" w:styleId="84">
    <w:name w:val="节"/>
    <w:basedOn w:val="5"/>
    <w:autoRedefine/>
    <w:qFormat/>
    <w:uiPriority w:val="0"/>
    <w:pPr>
      <w:numPr>
        <w:ilvl w:val="1"/>
        <w:numId w:val="1"/>
      </w:numPr>
      <w:tabs>
        <w:tab w:val="left" w:pos="432"/>
      </w:tabs>
      <w:spacing w:line="240" w:lineRule="auto"/>
    </w:pPr>
    <w:rPr>
      <w:rFonts w:ascii="黑体"/>
      <w:b w:val="0"/>
      <w:sz w:val="28"/>
      <w:szCs w:val="28"/>
    </w:rPr>
  </w:style>
  <w:style w:type="paragraph" w:customStyle="1" w:styleId="85">
    <w:name w:val="TOC 标题2"/>
    <w:basedOn w:val="4"/>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
    <w:basedOn w:val="1"/>
    <w:autoRedefine/>
    <w:qFormat/>
    <w:uiPriority w:val="0"/>
    <w:pPr>
      <w:ind w:firstLine="420" w:firstLineChars="200"/>
    </w:pPr>
    <w:rPr>
      <w:szCs w:val="20"/>
    </w:rPr>
  </w:style>
  <w:style w:type="paragraph" w:customStyle="1" w:styleId="87">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autoRedefine/>
    <w:qFormat/>
    <w:uiPriority w:val="0"/>
    <w:rPr>
      <w:rFonts w:ascii="楷体_GB2312" w:eastAsia="楷体_GB2312"/>
      <w:sz w:val="28"/>
    </w:rPr>
  </w:style>
  <w:style w:type="character" w:customStyle="1" w:styleId="89">
    <w:name w:val="Char Char"/>
    <w:autoRedefine/>
    <w:qFormat/>
    <w:uiPriority w:val="0"/>
    <w:rPr>
      <w:rFonts w:ascii="宋体"/>
      <w:kern w:val="2"/>
      <w:sz w:val="18"/>
      <w:szCs w:val="18"/>
    </w:rPr>
  </w:style>
  <w:style w:type="paragraph" w:customStyle="1" w:styleId="90">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6"/>
    <w:autoRedefine/>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autoRedefine/>
    <w:qFormat/>
    <w:uiPriority w:val="99"/>
    <w:rPr>
      <w:kern w:val="2"/>
      <w:sz w:val="21"/>
    </w:rPr>
  </w:style>
  <w:style w:type="character" w:customStyle="1" w:styleId="93">
    <w:name w:val="正文文本 3 字符"/>
    <w:basedOn w:val="43"/>
    <w:link w:val="17"/>
    <w:autoRedefine/>
    <w:semiHidden/>
    <w:qFormat/>
    <w:uiPriority w:val="99"/>
    <w:rPr>
      <w:rFonts w:ascii="Times New Roman" w:hAnsi="Times New Roman" w:eastAsia="宋体" w:cs="Times New Roman"/>
      <w:sz w:val="16"/>
      <w:szCs w:val="16"/>
    </w:rPr>
  </w:style>
  <w:style w:type="paragraph" w:customStyle="1" w:styleId="94">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bCs w:val="0"/>
      <w:sz w:val="28"/>
      <w:szCs w:val="20"/>
    </w:rPr>
  </w:style>
  <w:style w:type="character" w:customStyle="1" w:styleId="95">
    <w:name w:val="正文缩进 字符"/>
    <w:link w:val="14"/>
    <w:autoRedefine/>
    <w:qFormat/>
    <w:uiPriority w:val="99"/>
    <w:rPr>
      <w:rFonts w:ascii="楷体_GB2312" w:hAnsi="Times New Roman" w:eastAsia="楷体_GB2312" w:cs="Times New Roman"/>
      <w:kern w:val="0"/>
      <w:sz w:val="28"/>
      <w:szCs w:val="20"/>
    </w:rPr>
  </w:style>
  <w:style w:type="table" w:customStyle="1" w:styleId="96">
    <w:name w:val="网格型1"/>
    <w:basedOn w:val="41"/>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font01"/>
    <w:basedOn w:val="43"/>
    <w:autoRedefine/>
    <w:qFormat/>
    <w:uiPriority w:val="0"/>
    <w:rPr>
      <w:rFonts w:hint="default" w:ascii="仿宋" w:hAnsi="仿宋" w:eastAsia="仿宋" w:cs="仿宋"/>
      <w:color w:val="000000"/>
      <w:sz w:val="18"/>
      <w:szCs w:val="18"/>
      <w:u w:val="none"/>
    </w:rPr>
  </w:style>
  <w:style w:type="paragraph" w:customStyle="1" w:styleId="98">
    <w:name w:val="正文00"/>
    <w:basedOn w:val="1"/>
    <w:autoRedefine/>
    <w:qFormat/>
    <w:uiPriority w:val="0"/>
    <w:pPr>
      <w:topLinePunct/>
      <w:spacing w:line="360" w:lineRule="auto"/>
      <w:ind w:firstLine="200" w:firstLineChars="200"/>
    </w:pPr>
    <w:rPr>
      <w:sz w:val="24"/>
      <w:szCs w:val="21"/>
    </w:rPr>
  </w:style>
  <w:style w:type="paragraph" w:customStyle="1" w:styleId="99">
    <w:name w:val="UserStyle_0"/>
    <w:basedOn w:val="1"/>
    <w:autoRedefine/>
    <w:qFormat/>
    <w:uiPriority w:val="0"/>
    <w:pPr>
      <w:jc w:val="center"/>
      <w:textAlignment w:val="baseline"/>
    </w:pPr>
    <w:rPr>
      <w:rFonts w:ascii="Times New Roman" w:hAnsi="Times New Roman" w:eastAsia="仿宋_GB2312" w:cs="Times New Roman"/>
      <w:b/>
      <w:bCs/>
      <w:kern w:val="2"/>
      <w:sz w:val="44"/>
      <w:szCs w:val="24"/>
      <w:lang w:val="en-US" w:eastAsia="zh-CN" w:bidi="ar-SA"/>
    </w:rPr>
  </w:style>
  <w:style w:type="paragraph" w:customStyle="1" w:styleId="100">
    <w:name w:val="Heading2"/>
    <w:basedOn w:val="1"/>
    <w:next w:val="1"/>
    <w:autoRedefine/>
    <w:qFormat/>
    <w:uiPriority w:val="0"/>
    <w:pPr>
      <w:keepNext/>
      <w:spacing w:line="680" w:lineRule="exact"/>
      <w:jc w:val="center"/>
      <w:textAlignment w:val="baseline"/>
    </w:pPr>
    <w:rPr>
      <w:rFonts w:ascii="Calibri Light" w:hAnsi="Calibri Light" w:eastAsia="楷体_GB2312"/>
      <w:bCs/>
    </w:rPr>
  </w:style>
  <w:style w:type="paragraph" w:customStyle="1" w:styleId="101">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styleId="102">
    <w:name w:val="No Spacing"/>
    <w:autoRedefine/>
    <w:qFormat/>
    <w:uiPriority w:val="1"/>
    <w:rPr>
      <w:rFonts w:ascii="Times New Roman" w:hAnsi="Times New Roman" w:eastAsia="宋体" w:cs="Times New Roman"/>
      <w:sz w:val="22"/>
      <w:szCs w:val="22"/>
      <w:lang w:val="en-US" w:eastAsia="zh-CN" w:bidi="ar-SA"/>
    </w:rPr>
  </w:style>
  <w:style w:type="character" w:customStyle="1" w:styleId="103">
    <w:name w:val="NormalCharacter"/>
    <w:autoRedefine/>
    <w:qFormat/>
    <w:uiPriority w:val="0"/>
  </w:style>
  <w:style w:type="paragraph" w:customStyle="1" w:styleId="104">
    <w:name w:val="正文1"/>
    <w:basedOn w:val="1"/>
    <w:autoRedefine/>
    <w:qFormat/>
    <w:uiPriority w:val="0"/>
    <w:pPr>
      <w:tabs>
        <w:tab w:val="left" w:pos="720"/>
      </w:tabs>
      <w:adjustRightInd w:val="0"/>
      <w:spacing w:line="312" w:lineRule="atLeast"/>
      <w:textAlignment w:val="baseline"/>
    </w:pPr>
    <w:rPr>
      <w:kern w:val="0"/>
      <w:szCs w:val="20"/>
    </w:rPr>
  </w:style>
  <w:style w:type="paragraph" w:customStyle="1" w:styleId="105">
    <w:name w:val="缺省文本"/>
    <w:basedOn w:val="1"/>
    <w:autoRedefine/>
    <w:qFormat/>
    <w:uiPriority w:val="0"/>
    <w:pPr>
      <w:autoSpaceDE w:val="0"/>
      <w:autoSpaceDN w:val="0"/>
      <w:adjustRightInd w:val="0"/>
      <w:jc w:val="left"/>
    </w:pPr>
    <w:rPr>
      <w:kern w:val="0"/>
      <w:sz w:val="24"/>
      <w:szCs w:val="24"/>
    </w:rPr>
  </w:style>
  <w:style w:type="character" w:customStyle="1" w:styleId="106">
    <w:name w:val="font11"/>
    <w:basedOn w:val="43"/>
    <w:autoRedefine/>
    <w:qFormat/>
    <w:uiPriority w:val="0"/>
    <w:rPr>
      <w:rFonts w:hint="eastAsia" w:ascii="仿宋" w:hAnsi="仿宋" w:eastAsia="仿宋" w:cs="仿宋"/>
      <w:color w:val="000000"/>
      <w:sz w:val="24"/>
      <w:szCs w:val="24"/>
      <w:u w:val="none"/>
    </w:rPr>
  </w:style>
  <w:style w:type="character" w:customStyle="1" w:styleId="107">
    <w:name w:val="font21"/>
    <w:basedOn w:val="43"/>
    <w:autoRedefine/>
    <w:qFormat/>
    <w:uiPriority w:val="0"/>
    <w:rPr>
      <w:rFonts w:hint="eastAsia" w:ascii="仿宋" w:hAnsi="仿宋" w:eastAsia="仿宋" w:cs="仿宋"/>
      <w:color w:val="000000"/>
      <w:sz w:val="24"/>
      <w:szCs w:val="24"/>
      <w:u w:val="none"/>
    </w:rPr>
  </w:style>
  <w:style w:type="character" w:customStyle="1" w:styleId="108">
    <w:name w:val="标题 1 Char"/>
    <w:autoRedefine/>
    <w:qFormat/>
    <w:uiPriority w:val="0"/>
    <w:rPr>
      <w:rFonts w:ascii="Arial" w:hAnsi="Arial" w:eastAsia="宋体"/>
      <w:bCs/>
      <w:kern w:val="44"/>
      <w:sz w:val="36"/>
      <w:szCs w:val="36"/>
      <w:lang w:val="en-US" w:eastAsia="zh-CN" w:bidi="ar-SA"/>
    </w:rPr>
  </w:style>
  <w:style w:type="paragraph" w:customStyle="1" w:styleId="109">
    <w:name w:val="Table Text"/>
    <w:basedOn w:val="1"/>
    <w:semiHidden/>
    <w:qFormat/>
    <w:uiPriority w:val="0"/>
    <w:rPr>
      <w:rFonts w:ascii="Arial" w:hAnsi="Arial" w:eastAsia="Arial" w:cs="Arial"/>
      <w:sz w:val="21"/>
      <w:szCs w:val="21"/>
      <w:lang w:val="en-US" w:eastAsia="en-US" w:bidi="ar-SA"/>
    </w:rPr>
  </w:style>
  <w:style w:type="table" w:customStyle="1" w:styleId="1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9D409-5DE7-4BC0-A3F2-0AA99419CBD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9667</Words>
  <Characters>9971</Characters>
  <Lines>117</Lines>
  <Paragraphs>33</Paragraphs>
  <TotalTime>1</TotalTime>
  <ScaleCrop>false</ScaleCrop>
  <LinksUpToDate>false</LinksUpToDate>
  <CharactersWithSpaces>10694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2021-12-22T10:10:00Z</dcterms:created>
  <dc:creator>MIIT</dc:creator>
  <cp:lastModifiedBy>zhangxjian</cp:lastModifiedBy>
  <cp:lastPrinted>2025-03-31T09:45:00Z</cp:lastPrinted>
  <dcterms:modified xsi:type="dcterms:W3CDTF">2025-05-27T08:24:01Z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3F86BC64388048C784D8E3E7CEABBF3A_13</vt:lpwstr>
  </property>
  <property fmtid="{D5CDD505-2E9C-101B-9397-08002B2CF9AE}" pid="4" name="KSOTemplateDocerSaveRecord">
    <vt:lpwstr>eyJoZGlkIjoiZDU0ZGNiMzZhNDI0NTgzNmM2ZTVlZTc5OTMxODY0NjUiLCJ1c2VySWQiOiI2MTI5MDQyNTQifQ==</vt:lpwstr>
  </property>
</Properties>
</file>